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pStyle w:val="14"/>
        <w:jc w:val="center"/>
        <w:rPr>
          <w:rFonts w:ascii="黑体" w:hAnsi="黑体" w:eastAsia="黑体" w:cs="黑体"/>
          <w:bCs/>
          <w:sz w:val="20"/>
          <w:szCs w:val="22"/>
        </w:rPr>
      </w:pPr>
      <w:r>
        <w:rPr>
          <w:rFonts w:hint="eastAsia" w:ascii="黑体" w:hAnsi="黑体" w:eastAsia="黑体" w:cs="黑体"/>
          <w:b/>
          <w:bCs/>
          <w:sz w:val="48"/>
          <w:szCs w:val="48"/>
          <w:lang w:eastAsia="zh-CN"/>
        </w:rPr>
        <w:t>阿克苏地区第四人民医院等级医院相关医疗服务开发能力提升项目</w:t>
      </w:r>
    </w:p>
    <w:p/>
    <w:p>
      <w:pPr>
        <w:pStyle w:val="2"/>
      </w:pPr>
    </w:p>
    <w:p>
      <w:pPr>
        <w:pStyle w:val="26"/>
        <w:tabs>
          <w:tab w:val="left" w:pos="5891"/>
          <w:tab w:val="right" w:leader="dot" w:pos="9004"/>
        </w:tabs>
        <w:rPr>
          <w:rFonts w:ascii="黑体" w:hAnsi="黑体" w:eastAsia="黑体" w:cs="黑体"/>
          <w:bCs/>
          <w:sz w:val="32"/>
          <w:szCs w:val="32"/>
        </w:rPr>
      </w:pPr>
    </w:p>
    <w:p>
      <w:pPr>
        <w:rPr>
          <w:rFonts w:ascii="黑体" w:hAnsi="黑体" w:eastAsia="黑体" w:cs="黑体"/>
          <w:bCs/>
        </w:rPr>
      </w:pPr>
    </w:p>
    <w:p>
      <w:pPr>
        <w:pStyle w:val="26"/>
        <w:tabs>
          <w:tab w:val="right" w:leader="dot" w:pos="9004"/>
        </w:tabs>
        <w:jc w:val="center"/>
        <w:rPr>
          <w:rFonts w:ascii="黑体" w:hAnsi="黑体" w:eastAsia="黑体" w:cs="黑体"/>
          <w:bCs/>
          <w:sz w:val="32"/>
          <w:szCs w:val="32"/>
        </w:rPr>
      </w:pPr>
    </w:p>
    <w:p/>
    <w:p>
      <w:pPr>
        <w:pStyle w:val="26"/>
        <w:tabs>
          <w:tab w:val="right" w:leader="dot" w:pos="9004"/>
        </w:tabs>
        <w:jc w:val="center"/>
        <w:rPr>
          <w:rFonts w:ascii="黑体" w:hAnsi="黑体" w:eastAsia="黑体" w:cs="黑体"/>
          <w:b/>
          <w:sz w:val="56"/>
          <w:szCs w:val="56"/>
        </w:rPr>
      </w:pPr>
      <w:r>
        <w:rPr>
          <w:rFonts w:hint="eastAsia" w:ascii="黑体" w:hAnsi="黑体" w:eastAsia="黑体" w:cs="黑体"/>
          <w:b/>
          <w:sz w:val="56"/>
          <w:szCs w:val="56"/>
        </w:rPr>
        <w:t>招标文件</w:t>
      </w:r>
    </w:p>
    <w:p>
      <w:pPr>
        <w:jc w:val="center"/>
        <w:rPr>
          <w:rFonts w:ascii="黑体" w:hAnsi="黑体" w:eastAsia="黑体" w:cs="黑体"/>
          <w:bCs/>
          <w:sz w:val="16"/>
          <w:szCs w:val="20"/>
        </w:rPr>
      </w:pPr>
    </w:p>
    <w:p>
      <w:pPr>
        <w:rPr>
          <w:rFonts w:ascii="黑体" w:hAnsi="黑体" w:eastAsia="黑体" w:cs="黑体"/>
          <w:bCs/>
        </w:rPr>
      </w:pPr>
    </w:p>
    <w:p>
      <w:pPr>
        <w:pStyle w:val="14"/>
        <w:rPr>
          <w:rFonts w:ascii="黑体" w:hAnsi="黑体" w:eastAsia="黑体" w:cs="黑体"/>
          <w:bCs/>
          <w:sz w:val="32"/>
          <w:szCs w:val="32"/>
        </w:rPr>
      </w:pPr>
    </w:p>
    <w:p>
      <w:pPr>
        <w:rPr>
          <w:rFonts w:ascii="黑体" w:hAnsi="黑体" w:eastAsia="黑体" w:cs="黑体"/>
          <w:bCs/>
        </w:rPr>
      </w:pPr>
    </w:p>
    <w:p>
      <w:pPr>
        <w:pStyle w:val="26"/>
        <w:tabs>
          <w:tab w:val="right" w:leader="dot" w:pos="9004"/>
        </w:tabs>
        <w:rPr>
          <w:rFonts w:ascii="黑体" w:hAnsi="黑体" w:eastAsia="黑体" w:cs="黑体"/>
          <w:bCs/>
          <w:sz w:val="32"/>
          <w:szCs w:val="32"/>
        </w:rPr>
      </w:pPr>
      <w:r>
        <w:rPr>
          <w:rFonts w:hint="eastAsia" w:ascii="黑体" w:hAnsi="黑体" w:eastAsia="黑体" w:cs="黑体"/>
          <w:bCs/>
          <w:sz w:val="32"/>
          <w:szCs w:val="32"/>
        </w:rPr>
        <w:t xml:space="preserve">       </w:t>
      </w:r>
    </w:p>
    <w:p>
      <w:pPr>
        <w:pStyle w:val="26"/>
        <w:tabs>
          <w:tab w:val="right" w:leader="dot" w:pos="9004"/>
        </w:tabs>
        <w:rPr>
          <w:rFonts w:ascii="黑体" w:hAnsi="黑体" w:eastAsia="黑体" w:cs="黑体"/>
          <w:bCs/>
          <w:sz w:val="32"/>
          <w:szCs w:val="32"/>
        </w:rPr>
      </w:pPr>
    </w:p>
    <w:p>
      <w:pPr>
        <w:rPr>
          <w:rFonts w:ascii="黑体" w:hAnsi="黑体" w:eastAsia="黑体" w:cs="黑体"/>
          <w:bCs/>
        </w:rPr>
      </w:pPr>
    </w:p>
    <w:p>
      <w:pPr>
        <w:spacing w:line="480" w:lineRule="auto"/>
        <w:ind w:firstLine="640" w:firstLineChars="200"/>
        <w:rPr>
          <w:rFonts w:ascii="黑体" w:hAnsi="黑体" w:eastAsia="黑体" w:cs="黑体"/>
          <w:bCs/>
          <w:sz w:val="28"/>
          <w:szCs w:val="28"/>
        </w:rPr>
      </w:pPr>
      <w:r>
        <w:rPr>
          <w:rFonts w:hint="eastAsia" w:ascii="黑体" w:hAnsi="黑体" w:eastAsia="黑体" w:cs="黑体"/>
          <w:bCs/>
          <w:sz w:val="32"/>
          <w:szCs w:val="32"/>
        </w:rPr>
        <w:t xml:space="preserve">   </w:t>
      </w:r>
      <w:r>
        <w:rPr>
          <w:rFonts w:hint="eastAsia" w:ascii="黑体" w:hAnsi="黑体" w:eastAsia="黑体" w:cs="黑体"/>
          <w:bCs/>
          <w:sz w:val="28"/>
          <w:szCs w:val="28"/>
        </w:rPr>
        <w:t xml:space="preserve"> </w:t>
      </w:r>
    </w:p>
    <w:p>
      <w:pPr>
        <w:spacing w:line="360" w:lineRule="auto"/>
        <w:ind w:firstLine="1124" w:firstLineChars="400"/>
        <w:rPr>
          <w:rFonts w:hint="default" w:ascii="黑体" w:hAnsi="黑体" w:eastAsia="黑体" w:cs="黑体"/>
          <w:b/>
          <w:color w:val="auto"/>
          <w:sz w:val="28"/>
          <w:szCs w:val="28"/>
          <w:lang w:val="en-US" w:eastAsia="zh-CN"/>
        </w:rPr>
      </w:pPr>
      <w:r>
        <w:rPr>
          <w:rFonts w:hint="eastAsia" w:ascii="黑体" w:hAnsi="黑体" w:eastAsia="黑体" w:cs="黑体"/>
          <w:b/>
          <w:sz w:val="28"/>
          <w:szCs w:val="28"/>
        </w:rPr>
        <w:t>项目编号：</w:t>
      </w:r>
      <w:r>
        <w:rPr>
          <w:rFonts w:hint="eastAsia" w:ascii="黑体" w:hAnsi="黑体" w:eastAsia="黑体" w:cs="黑体"/>
          <w:b/>
          <w:color w:val="auto"/>
          <w:sz w:val="28"/>
          <w:szCs w:val="28"/>
          <w:lang w:eastAsia="zh-CN"/>
        </w:rPr>
        <w:t>分202</w:t>
      </w:r>
      <w:r>
        <w:rPr>
          <w:rFonts w:hint="eastAsia" w:ascii="黑体" w:hAnsi="黑体" w:eastAsia="黑体" w:cs="黑体"/>
          <w:b/>
          <w:color w:val="auto"/>
          <w:sz w:val="28"/>
          <w:szCs w:val="28"/>
          <w:lang w:val="en-US" w:eastAsia="zh-CN"/>
        </w:rPr>
        <w:t>2</w:t>
      </w:r>
      <w:r>
        <w:rPr>
          <w:rFonts w:hint="eastAsia" w:ascii="黑体" w:hAnsi="黑体" w:eastAsia="黑体" w:cs="黑体"/>
          <w:b/>
          <w:color w:val="auto"/>
          <w:sz w:val="28"/>
          <w:szCs w:val="28"/>
          <w:lang w:eastAsia="zh-CN"/>
        </w:rPr>
        <w:t>-01-</w:t>
      </w:r>
      <w:r>
        <w:rPr>
          <w:rFonts w:hint="eastAsia" w:ascii="黑体" w:hAnsi="黑体" w:eastAsia="黑体" w:cs="黑体"/>
          <w:b/>
          <w:color w:val="auto"/>
          <w:sz w:val="28"/>
          <w:szCs w:val="28"/>
          <w:lang w:val="en-US" w:eastAsia="zh-CN"/>
        </w:rPr>
        <w:t>18</w:t>
      </w:r>
    </w:p>
    <w:p>
      <w:pPr>
        <w:spacing w:line="360" w:lineRule="auto"/>
        <w:ind w:firstLine="1124" w:firstLineChars="400"/>
        <w:rPr>
          <w:rFonts w:hint="eastAsia" w:ascii="黑体" w:hAnsi="黑体" w:eastAsia="黑体" w:cs="黑体"/>
          <w:b/>
          <w:sz w:val="28"/>
          <w:szCs w:val="28"/>
          <w:lang w:eastAsia="zh-CN"/>
        </w:rPr>
      </w:pPr>
      <w:r>
        <w:rPr>
          <w:rFonts w:hint="eastAsia" w:ascii="黑体" w:hAnsi="黑体" w:eastAsia="黑体" w:cs="黑体"/>
          <w:b/>
          <w:sz w:val="28"/>
          <w:szCs w:val="28"/>
        </w:rPr>
        <w:t>采 购 人：</w:t>
      </w:r>
      <w:r>
        <w:rPr>
          <w:rFonts w:hint="eastAsia" w:ascii="黑体" w:hAnsi="黑体" w:eastAsia="黑体" w:cs="黑体"/>
          <w:b/>
          <w:sz w:val="28"/>
          <w:szCs w:val="28"/>
          <w:lang w:eastAsia="zh-CN"/>
        </w:rPr>
        <w:t>阿克苏地区第四人民医院</w:t>
      </w:r>
    </w:p>
    <w:p>
      <w:pPr>
        <w:pStyle w:val="26"/>
        <w:tabs>
          <w:tab w:val="right" w:leader="dot" w:pos="9004"/>
        </w:tabs>
        <w:spacing w:line="700" w:lineRule="exact"/>
        <w:ind w:firstLine="1110" w:firstLineChars="395"/>
        <w:rPr>
          <w:rFonts w:hint="eastAsia" w:ascii="黑体" w:hAnsi="黑体" w:eastAsia="黑体" w:cs="黑体"/>
          <w:b/>
          <w:sz w:val="32"/>
          <w:szCs w:val="32"/>
          <w:lang w:eastAsia="zh-CN"/>
        </w:rPr>
      </w:pPr>
      <w:r>
        <w:rPr>
          <w:rFonts w:hint="eastAsia" w:ascii="黑体" w:hAnsi="黑体" w:eastAsia="黑体" w:cs="黑体"/>
          <w:b/>
          <w:sz w:val="28"/>
          <w:szCs w:val="28"/>
        </w:rPr>
        <w:t>招标机构：</w:t>
      </w:r>
      <w:r>
        <w:rPr>
          <w:rFonts w:hint="eastAsia" w:ascii="黑体" w:hAnsi="黑体" w:eastAsia="黑体" w:cs="黑体"/>
          <w:b/>
          <w:sz w:val="28"/>
          <w:szCs w:val="28"/>
          <w:lang w:eastAsia="zh-CN"/>
        </w:rPr>
        <w:t>新疆华玫睿项目管理有限公司</w:t>
      </w:r>
    </w:p>
    <w:p>
      <w:pPr>
        <w:pStyle w:val="26"/>
        <w:tabs>
          <w:tab w:val="right" w:leader="dot" w:pos="9004"/>
        </w:tabs>
        <w:spacing w:line="700" w:lineRule="exact"/>
        <w:ind w:firstLine="1269" w:firstLineChars="395"/>
        <w:rPr>
          <w:rFonts w:ascii="黑体" w:hAnsi="黑体" w:eastAsia="黑体" w:cs="黑体"/>
          <w:b/>
          <w:sz w:val="28"/>
          <w:szCs w:val="28"/>
        </w:rPr>
      </w:pPr>
      <w:r>
        <w:rPr>
          <w:rFonts w:hint="eastAsia" w:ascii="黑体" w:hAnsi="黑体" w:eastAsia="黑体" w:cs="黑体"/>
          <w:b/>
          <w:sz w:val="32"/>
          <w:szCs w:val="32"/>
        </w:rPr>
        <w:t xml:space="preserve">        </w:t>
      </w:r>
      <w:r>
        <w:rPr>
          <w:rFonts w:hint="eastAsia" w:ascii="黑体" w:hAnsi="黑体" w:eastAsia="黑体" w:cs="黑体"/>
          <w:b/>
          <w:sz w:val="28"/>
          <w:szCs w:val="28"/>
        </w:rPr>
        <w:t xml:space="preserve">    二0二</w:t>
      </w:r>
      <w:r>
        <w:rPr>
          <w:rFonts w:hint="eastAsia" w:ascii="黑体" w:hAnsi="黑体" w:eastAsia="黑体" w:cs="黑体"/>
          <w:b/>
          <w:sz w:val="28"/>
          <w:szCs w:val="28"/>
          <w:lang w:eastAsia="zh-CN"/>
        </w:rPr>
        <w:t>二</w:t>
      </w:r>
      <w:r>
        <w:rPr>
          <w:rFonts w:hint="eastAsia" w:ascii="黑体" w:hAnsi="黑体" w:eastAsia="黑体" w:cs="黑体"/>
          <w:b/>
          <w:sz w:val="28"/>
          <w:szCs w:val="28"/>
        </w:rPr>
        <w:t>年</w:t>
      </w:r>
      <w:r>
        <w:rPr>
          <w:rFonts w:hint="eastAsia" w:ascii="黑体" w:hAnsi="黑体" w:eastAsia="黑体" w:cs="黑体"/>
          <w:b/>
          <w:sz w:val="28"/>
          <w:szCs w:val="28"/>
          <w:lang w:eastAsia="zh-CN"/>
        </w:rPr>
        <w:t>二</w:t>
      </w:r>
      <w:r>
        <w:rPr>
          <w:rFonts w:hint="eastAsia" w:ascii="黑体" w:hAnsi="黑体" w:eastAsia="黑体" w:cs="黑体"/>
          <w:b/>
          <w:sz w:val="28"/>
          <w:szCs w:val="28"/>
        </w:rPr>
        <w:t>月</w:t>
      </w:r>
    </w:p>
    <w:p>
      <w:pPr>
        <w:pStyle w:val="14"/>
        <w:rPr>
          <w:rFonts w:ascii="黑体" w:hAnsi="黑体" w:eastAsia="黑体" w:cs="黑体"/>
          <w:bCs/>
          <w:w w:val="80"/>
          <w:kern w:val="0"/>
          <w:sz w:val="28"/>
          <w:szCs w:val="28"/>
        </w:rPr>
      </w:pPr>
    </w:p>
    <w:p>
      <w:pPr>
        <w:spacing w:before="312" w:beforeLines="100"/>
        <w:jc w:val="center"/>
        <w:rPr>
          <w:sz w:val="16"/>
          <w:szCs w:val="20"/>
        </w:rPr>
      </w:pPr>
      <w:r>
        <w:rPr>
          <w:rFonts w:hint="eastAsia" w:ascii="宋体" w:hAnsi="宋体" w:cs="宋体"/>
          <w:b/>
          <w:sz w:val="44"/>
          <w:szCs w:val="44"/>
        </w:rPr>
        <w:t>招标文件</w:t>
      </w:r>
    </w:p>
    <w:p/>
    <w:p/>
    <w:p/>
    <w:p>
      <w:pPr>
        <w:spacing w:line="480" w:lineRule="auto"/>
        <w:rPr>
          <w:rFonts w:hint="eastAsia" w:ascii="宋体" w:hAnsi="宋体" w:eastAsia="宋体" w:cs="宋体"/>
          <w:sz w:val="24"/>
          <w:lang w:eastAsia="zh-CN"/>
        </w:rPr>
      </w:pPr>
      <w:r>
        <w:rPr>
          <w:rFonts w:hint="eastAsia" w:ascii="宋体" w:hAnsi="宋体" w:cs="宋体"/>
          <w:sz w:val="24"/>
        </w:rPr>
        <w:t>项 目 名 称:</w:t>
      </w:r>
      <w:r>
        <w:rPr>
          <w:rFonts w:hint="eastAsia" w:ascii="宋体" w:hAnsi="宋体" w:cs="宋体"/>
          <w:sz w:val="24"/>
          <w:lang w:eastAsia="zh-CN"/>
        </w:rPr>
        <w:t>阿克苏地区第四人民医院等级医院相关医疗服务开发能力提升项目</w:t>
      </w:r>
    </w:p>
    <w:p>
      <w:pPr>
        <w:spacing w:line="480" w:lineRule="auto"/>
        <w:rPr>
          <w:rFonts w:ascii="宋体" w:hAnsi="宋体" w:cs="宋体"/>
          <w:sz w:val="24"/>
        </w:rPr>
      </w:pPr>
      <w:r>
        <w:rPr>
          <w:rFonts w:hint="eastAsia" w:ascii="宋体" w:hAnsi="宋体" w:cs="宋体"/>
          <w:sz w:val="24"/>
        </w:rPr>
        <w:t>采  购  人（公章）：</w:t>
      </w:r>
      <w:r>
        <w:rPr>
          <w:rFonts w:hint="eastAsia" w:ascii="宋体" w:hAnsi="宋体" w:cs="宋体"/>
          <w:sz w:val="24"/>
          <w:lang w:eastAsia="zh-CN"/>
        </w:rPr>
        <w:t>阿克苏地区第四人民医院</w:t>
      </w:r>
      <w:r>
        <w:rPr>
          <w:rFonts w:hint="eastAsia" w:ascii="宋体" w:hAnsi="宋体" w:cs="宋体"/>
          <w:sz w:val="24"/>
        </w:rPr>
        <w:t xml:space="preserve">       </w:t>
      </w:r>
    </w:p>
    <w:p>
      <w:pPr>
        <w:spacing w:line="480" w:lineRule="auto"/>
        <w:rPr>
          <w:rFonts w:ascii="宋体" w:hAnsi="宋体" w:cs="宋体"/>
          <w:sz w:val="24"/>
        </w:rPr>
      </w:pPr>
      <w:r>
        <w:rPr>
          <w:rFonts w:hint="eastAsia" w:ascii="宋体" w:hAnsi="宋体" w:cs="宋体"/>
          <w:sz w:val="24"/>
        </w:rPr>
        <w:t xml:space="preserve">法定代表人（签字或盖章）： </w:t>
      </w:r>
    </w:p>
    <w:p>
      <w:pPr>
        <w:spacing w:line="480" w:lineRule="auto"/>
        <w:rPr>
          <w:rFonts w:hint="default" w:ascii="宋体" w:hAnsi="宋体" w:eastAsia="宋体" w:cs="宋体"/>
          <w:sz w:val="24"/>
          <w:lang w:val="en-US" w:eastAsia="zh-CN"/>
        </w:rPr>
      </w:pPr>
      <w:r>
        <w:rPr>
          <w:rFonts w:hint="eastAsia" w:ascii="宋体" w:hAnsi="宋体" w:cs="宋体"/>
          <w:sz w:val="24"/>
        </w:rPr>
        <w:t xml:space="preserve">联  系  人： </w:t>
      </w:r>
      <w:r>
        <w:rPr>
          <w:rFonts w:hint="eastAsia" w:ascii="宋体" w:hAnsi="宋体" w:cs="宋体"/>
          <w:sz w:val="24"/>
          <w:lang w:val="en-US" w:eastAsia="zh-CN"/>
        </w:rPr>
        <w:t>王炳元</w:t>
      </w:r>
    </w:p>
    <w:p>
      <w:pPr>
        <w:spacing w:line="480" w:lineRule="auto"/>
        <w:rPr>
          <w:rFonts w:hint="default" w:ascii="宋体" w:hAnsi="宋体" w:eastAsia="宋体" w:cs="宋体"/>
          <w:sz w:val="24"/>
          <w:lang w:val="en-US" w:eastAsia="zh-CN"/>
        </w:rPr>
      </w:pPr>
      <w:r>
        <w:rPr>
          <w:rFonts w:hint="eastAsia" w:ascii="宋体" w:hAnsi="宋体" w:cs="宋体"/>
          <w:sz w:val="24"/>
        </w:rPr>
        <w:t>电      话：</w:t>
      </w:r>
      <w:r>
        <w:rPr>
          <w:rFonts w:hint="eastAsia" w:ascii="宋体" w:hAnsi="宋体" w:cs="宋体"/>
          <w:sz w:val="24"/>
          <w:lang w:val="en-US" w:eastAsia="zh-CN"/>
        </w:rPr>
        <w:t>15026389711</w:t>
      </w:r>
    </w:p>
    <w:p>
      <w:pPr>
        <w:spacing w:line="360" w:lineRule="auto"/>
        <w:rPr>
          <w:rFonts w:ascii="宋体" w:hAnsi="宋体" w:cs="宋体"/>
          <w:sz w:val="24"/>
        </w:rPr>
      </w:pPr>
    </w:p>
    <w:p>
      <w:pPr>
        <w:spacing w:line="360" w:lineRule="auto"/>
        <w:rPr>
          <w:rFonts w:ascii="宋体" w:hAnsi="宋体" w:cs="宋体"/>
          <w:sz w:val="24"/>
        </w:rPr>
      </w:pPr>
    </w:p>
    <w:p>
      <w:pPr>
        <w:pStyle w:val="14"/>
        <w:rPr>
          <w:rFonts w:ascii="宋体" w:hAnsi="宋体" w:cs="宋体"/>
          <w:sz w:val="24"/>
        </w:rPr>
      </w:pPr>
    </w:p>
    <w:p/>
    <w:p>
      <w:pPr>
        <w:spacing w:line="360" w:lineRule="auto"/>
        <w:rPr>
          <w:rFonts w:ascii="宋体" w:hAnsi="宋体" w:cs="宋体"/>
          <w:sz w:val="24"/>
        </w:rPr>
      </w:pPr>
    </w:p>
    <w:p>
      <w:pPr>
        <w:spacing w:line="360" w:lineRule="auto"/>
        <w:rPr>
          <w:rFonts w:ascii="宋体" w:hAnsi="宋体" w:cs="宋体"/>
          <w:sz w:val="24"/>
        </w:rPr>
      </w:pPr>
    </w:p>
    <w:p>
      <w:pPr>
        <w:spacing w:line="480" w:lineRule="auto"/>
        <w:rPr>
          <w:rFonts w:hint="eastAsia" w:ascii="宋体" w:hAnsi="宋体" w:eastAsia="宋体" w:cs="宋体"/>
          <w:sz w:val="24"/>
          <w:lang w:eastAsia="zh-CN"/>
        </w:rPr>
      </w:pPr>
      <w:r>
        <w:rPr>
          <w:rFonts w:hint="eastAsia" w:ascii="宋体" w:hAnsi="宋体" w:cs="宋体"/>
          <w:sz w:val="24"/>
        </w:rPr>
        <w:t>采购代理机构（公章）：</w:t>
      </w:r>
      <w:r>
        <w:rPr>
          <w:rFonts w:hint="eastAsia" w:ascii="宋体" w:hAnsi="宋体" w:cs="宋体"/>
          <w:sz w:val="24"/>
          <w:lang w:eastAsia="zh-CN"/>
        </w:rPr>
        <w:t>新疆华玫睿项目管理有限公司</w:t>
      </w:r>
    </w:p>
    <w:p>
      <w:pPr>
        <w:spacing w:line="480" w:lineRule="auto"/>
        <w:rPr>
          <w:rFonts w:ascii="宋体" w:hAnsi="宋体" w:cs="宋体"/>
          <w:sz w:val="24"/>
        </w:rPr>
      </w:pPr>
      <w:r>
        <w:rPr>
          <w:rFonts w:hint="eastAsia" w:ascii="宋体" w:hAnsi="宋体" w:cs="宋体"/>
          <w:sz w:val="24"/>
        </w:rPr>
        <w:t>法定代表人（签字或盖章）：</w:t>
      </w:r>
    </w:p>
    <w:p>
      <w:pPr>
        <w:spacing w:line="480" w:lineRule="auto"/>
        <w:rPr>
          <w:rFonts w:hint="eastAsia" w:ascii="宋体" w:hAnsi="宋体" w:eastAsia="宋体" w:cs="宋体"/>
          <w:sz w:val="24"/>
          <w:lang w:eastAsia="zh-CN"/>
        </w:rPr>
      </w:pPr>
      <w:r>
        <w:rPr>
          <w:rFonts w:hint="eastAsia" w:ascii="宋体" w:hAnsi="宋体" w:cs="宋体"/>
          <w:sz w:val="24"/>
        </w:rPr>
        <w:t>联  系  人：</w:t>
      </w:r>
      <w:r>
        <w:rPr>
          <w:rFonts w:hint="eastAsia" w:ascii="宋体" w:hAnsi="宋体" w:cs="宋体"/>
          <w:sz w:val="24"/>
          <w:lang w:eastAsia="zh-CN"/>
        </w:rPr>
        <w:t>张恩慈</w:t>
      </w:r>
    </w:p>
    <w:p>
      <w:pPr>
        <w:spacing w:line="480" w:lineRule="auto"/>
        <w:rPr>
          <w:rFonts w:ascii="宋体" w:hAnsi="宋体" w:cs="宋体"/>
          <w:sz w:val="24"/>
        </w:rPr>
      </w:pPr>
      <w:r>
        <w:rPr>
          <w:rFonts w:hint="eastAsia" w:ascii="宋体" w:hAnsi="宋体" w:cs="宋体"/>
          <w:sz w:val="24"/>
        </w:rPr>
        <w:t>电      话：</w:t>
      </w:r>
      <w:r>
        <w:rPr>
          <w:rFonts w:hint="eastAsia" w:ascii="宋体" w:hAnsi="宋体" w:cs="宋体"/>
          <w:sz w:val="24"/>
          <w:lang w:val="en-US" w:eastAsia="zh-CN"/>
        </w:rPr>
        <w:t>13579399515</w:t>
      </w:r>
      <w:r>
        <w:rPr>
          <w:rFonts w:hint="eastAsia" w:ascii="宋体" w:hAnsi="宋体" w:cs="宋体"/>
          <w:sz w:val="24"/>
        </w:rPr>
        <w:t xml:space="preserve">       </w:t>
      </w:r>
    </w:p>
    <w:p>
      <w:pPr>
        <w:spacing w:line="480" w:lineRule="auto"/>
        <w:rPr>
          <w:rFonts w:hint="eastAsia" w:ascii="宋体" w:hAnsi="宋体" w:eastAsia="宋体" w:cs="宋体"/>
          <w:sz w:val="24"/>
          <w:lang w:eastAsia="zh-CN"/>
        </w:rPr>
      </w:pPr>
      <w:r>
        <w:rPr>
          <w:rFonts w:hint="eastAsia" w:ascii="宋体" w:hAnsi="宋体" w:cs="宋体"/>
          <w:sz w:val="24"/>
        </w:rPr>
        <w:t>联 系 地 址：</w:t>
      </w:r>
      <w:r>
        <w:rPr>
          <w:rFonts w:hint="eastAsia" w:ascii="宋体" w:hAnsi="宋体" w:cs="宋体"/>
          <w:sz w:val="24"/>
          <w:lang w:val="en-US" w:eastAsia="zh-CN"/>
        </w:rPr>
        <w:t>阿克苏市南城街道南郊路6号多浪水泥厂家属院办公楼201室</w:t>
      </w:r>
    </w:p>
    <w:p>
      <w:pPr>
        <w:spacing w:line="360" w:lineRule="auto"/>
        <w:rPr>
          <w:rFonts w:ascii="宋体" w:hAnsi="宋体" w:cs="宋体"/>
          <w:sz w:val="24"/>
        </w:rPr>
      </w:pPr>
    </w:p>
    <w:p/>
    <w:p/>
    <w:p/>
    <w:p/>
    <w:p>
      <w:pPr>
        <w:jc w:val="center"/>
        <w:rPr>
          <w:rFonts w:ascii="宋体" w:hAnsi="宋体" w:cs="宋体"/>
          <w:sz w:val="24"/>
        </w:rPr>
        <w:sectPr>
          <w:headerReference r:id="rId4" w:type="first"/>
          <w:headerReference r:id="rId3" w:type="default"/>
          <w:pgSz w:w="11906" w:h="16838"/>
          <w:pgMar w:top="1440" w:right="1800" w:bottom="1440" w:left="1800" w:header="851" w:footer="992" w:gutter="0"/>
          <w:pgNumType w:start="1"/>
          <w:cols w:space="720" w:num="1"/>
          <w:titlePg/>
          <w:docGrid w:type="lines" w:linePitch="312" w:charSpace="0"/>
        </w:sectPr>
      </w:pPr>
      <w:r>
        <w:rPr>
          <w:rFonts w:hint="eastAsia" w:ascii="宋体" w:hAnsi="宋体" w:cs="宋体"/>
          <w:sz w:val="24"/>
        </w:rPr>
        <w:t>202</w:t>
      </w:r>
      <w:r>
        <w:rPr>
          <w:rFonts w:hint="eastAsia" w:ascii="宋体" w:hAnsi="宋体" w:cs="宋体"/>
          <w:sz w:val="24"/>
          <w:lang w:val="en-US" w:eastAsia="zh-CN"/>
        </w:rPr>
        <w:t>2</w:t>
      </w:r>
      <w:r>
        <w:rPr>
          <w:rFonts w:hint="eastAsia" w:ascii="宋体" w:hAnsi="宋体" w:cs="宋体"/>
          <w:sz w:val="24"/>
        </w:rPr>
        <w:t>年</w:t>
      </w:r>
      <w:r>
        <w:rPr>
          <w:rFonts w:hint="eastAsia" w:ascii="宋体" w:hAnsi="宋体" w:cs="宋体"/>
          <w:sz w:val="24"/>
          <w:lang w:val="en-US" w:eastAsia="zh-CN"/>
        </w:rPr>
        <w:t>2</w:t>
      </w:r>
      <w:r>
        <w:rPr>
          <w:rFonts w:hint="eastAsia" w:ascii="宋体" w:hAnsi="宋体" w:cs="宋体"/>
          <w:sz w:val="24"/>
        </w:rPr>
        <w:t>月</w:t>
      </w:r>
    </w:p>
    <w:p>
      <w:pPr>
        <w:pStyle w:val="75"/>
        <w:snapToGrid w:val="0"/>
        <w:rPr>
          <w:b/>
          <w:bCs/>
          <w:color w:val="auto"/>
          <w:sz w:val="28"/>
          <w:szCs w:val="28"/>
        </w:rPr>
      </w:pPr>
    </w:p>
    <w:p>
      <w:pPr>
        <w:pStyle w:val="75"/>
        <w:snapToGrid w:val="0"/>
        <w:jc w:val="center"/>
        <w:rPr>
          <w:rFonts w:ascii="宋体" w:hAnsi="宋体" w:cs="宋体"/>
          <w:b/>
          <w:bCs/>
          <w:color w:val="auto"/>
          <w:sz w:val="21"/>
          <w:szCs w:val="21"/>
        </w:rPr>
      </w:pPr>
      <w:r>
        <w:rPr>
          <w:rFonts w:hint="eastAsia"/>
          <w:b/>
          <w:bCs/>
          <w:color w:val="auto"/>
          <w:sz w:val="28"/>
          <w:szCs w:val="28"/>
        </w:rPr>
        <w:t>目 录</w:t>
      </w:r>
    </w:p>
    <w:p>
      <w:pPr>
        <w:pStyle w:val="26"/>
        <w:tabs>
          <w:tab w:val="right" w:pos="4000"/>
          <w:tab w:val="right" w:leader="dot" w:pos="8300"/>
        </w:tabs>
        <w:spacing w:line="480" w:lineRule="auto"/>
      </w:pPr>
      <w:r>
        <w:rPr>
          <w:rFonts w:hint="eastAsia" w:ascii="宋体" w:hAnsi="宋体" w:cs="宋体"/>
          <w:b/>
          <w:bCs/>
          <w:szCs w:val="21"/>
        </w:rPr>
        <w:fldChar w:fldCharType="begin"/>
      </w:r>
      <w:r>
        <w:rPr>
          <w:rFonts w:hint="eastAsia" w:ascii="宋体" w:hAnsi="宋体" w:cs="宋体"/>
          <w:b/>
          <w:bCs/>
          <w:szCs w:val="21"/>
        </w:rPr>
        <w:instrText xml:space="preserve">TOC \o "1-2" \h \u </w:instrText>
      </w:r>
      <w:r>
        <w:rPr>
          <w:rFonts w:hint="eastAsia" w:ascii="宋体" w:hAnsi="宋体" w:cs="宋体"/>
          <w:b/>
          <w:bCs/>
          <w:szCs w:val="21"/>
        </w:rPr>
        <w:fldChar w:fldCharType="separate"/>
      </w:r>
      <w:r>
        <w:rPr>
          <w:rFonts w:hint="eastAsia" w:ascii="宋体" w:hAnsi="宋体" w:cs="宋体"/>
          <w:bCs/>
          <w:szCs w:val="21"/>
        </w:rPr>
        <w:fldChar w:fldCharType="begin"/>
      </w:r>
      <w:r>
        <w:rPr>
          <w:rFonts w:hint="eastAsia" w:ascii="宋体" w:hAnsi="宋体" w:cs="宋体"/>
          <w:bCs/>
          <w:szCs w:val="21"/>
        </w:rPr>
        <w:instrText xml:space="preserve"> HYPERLINK \l _Toc13853 </w:instrText>
      </w:r>
      <w:r>
        <w:rPr>
          <w:rFonts w:hint="eastAsia" w:ascii="宋体" w:hAnsi="宋体" w:cs="宋体"/>
          <w:bCs/>
          <w:szCs w:val="21"/>
        </w:rPr>
        <w:fldChar w:fldCharType="separate"/>
      </w:r>
      <w:r>
        <w:rPr>
          <w:rFonts w:hint="default" w:ascii="Times New Roman" w:hAnsi="Times New Roman" w:eastAsia="宋体" w:cs="Times New Roman"/>
          <w:bCs/>
          <w:kern w:val="0"/>
          <w:szCs w:val="32"/>
        </w:rPr>
        <w:t xml:space="preserve">第一章 </w:t>
      </w:r>
      <w:r>
        <w:rPr>
          <w:rFonts w:ascii="Times New Roman" w:hAnsi="Times New Roman" w:eastAsia="宋体" w:cs="Times New Roman"/>
          <w:bCs/>
          <w:kern w:val="0"/>
          <w:szCs w:val="32"/>
        </w:rPr>
        <w:t>招标公告</w:t>
      </w:r>
      <w:r>
        <w:rPr>
          <w:rFonts w:ascii="Times New Roman" w:hAnsi="Times New Roman" w:eastAsia="宋体" w:cs="Times New Roman"/>
          <w:bCs/>
          <w:kern w:val="0"/>
          <w:szCs w:val="32"/>
        </w:rPr>
        <w:tab/>
      </w:r>
      <w:r>
        <w:tab/>
      </w:r>
      <w:r>
        <w:fldChar w:fldCharType="begin"/>
      </w:r>
      <w:r>
        <w:instrText xml:space="preserve"> PAGEREF _Toc13853 \h </w:instrText>
      </w:r>
      <w:r>
        <w:fldChar w:fldCharType="separate"/>
      </w:r>
      <w:r>
        <w:t>4</w:t>
      </w:r>
      <w:r>
        <w:fldChar w:fldCharType="end"/>
      </w:r>
      <w:r>
        <w:rPr>
          <w:rFonts w:hint="eastAsia" w:ascii="宋体" w:hAnsi="宋体" w:cs="宋体"/>
          <w:bCs/>
          <w:szCs w:val="21"/>
        </w:rPr>
        <w:fldChar w:fldCharType="end"/>
      </w:r>
    </w:p>
    <w:p>
      <w:pPr>
        <w:pStyle w:val="26"/>
        <w:tabs>
          <w:tab w:val="right" w:leader="dot" w:pos="8300"/>
        </w:tabs>
        <w:spacing w:line="480" w:lineRule="auto"/>
      </w:pPr>
      <w:r>
        <w:rPr>
          <w:rFonts w:hint="eastAsia" w:ascii="宋体" w:hAnsi="宋体" w:cs="宋体"/>
          <w:bCs/>
          <w:color w:val="auto"/>
          <w:szCs w:val="21"/>
        </w:rPr>
        <w:fldChar w:fldCharType="begin"/>
      </w:r>
      <w:r>
        <w:rPr>
          <w:rFonts w:hint="eastAsia" w:ascii="宋体" w:hAnsi="宋体" w:cs="宋体"/>
          <w:bCs/>
          <w:szCs w:val="21"/>
        </w:rPr>
        <w:instrText xml:space="preserve"> HYPERLINK \l _Toc30743 </w:instrText>
      </w:r>
      <w:r>
        <w:rPr>
          <w:rFonts w:hint="eastAsia" w:ascii="宋体" w:hAnsi="宋体" w:cs="宋体"/>
          <w:bCs/>
          <w:szCs w:val="21"/>
        </w:rPr>
        <w:fldChar w:fldCharType="separate"/>
      </w:r>
      <w:r>
        <w:rPr>
          <w:rFonts w:hint="eastAsia"/>
          <w:bCs/>
          <w:szCs w:val="32"/>
        </w:rPr>
        <w:t>第二章  投标人须知</w:t>
      </w:r>
      <w:r>
        <w:tab/>
      </w:r>
      <w:r>
        <w:fldChar w:fldCharType="begin"/>
      </w:r>
      <w:r>
        <w:instrText xml:space="preserve"> PAGEREF _Toc30743 \h </w:instrText>
      </w:r>
      <w:r>
        <w:fldChar w:fldCharType="separate"/>
      </w:r>
      <w:r>
        <w:t>7</w:t>
      </w:r>
      <w:r>
        <w:fldChar w:fldCharType="end"/>
      </w:r>
      <w:r>
        <w:rPr>
          <w:rFonts w:hint="eastAsia" w:ascii="宋体" w:hAnsi="宋体" w:cs="宋体"/>
          <w:bCs/>
          <w:color w:val="auto"/>
          <w:szCs w:val="21"/>
        </w:rPr>
        <w:fldChar w:fldCharType="end"/>
      </w:r>
    </w:p>
    <w:p>
      <w:pPr>
        <w:pStyle w:val="26"/>
        <w:tabs>
          <w:tab w:val="right" w:leader="dot" w:pos="8300"/>
        </w:tabs>
        <w:spacing w:line="480" w:lineRule="auto"/>
      </w:pPr>
      <w:r>
        <w:rPr>
          <w:rFonts w:hint="eastAsia" w:ascii="宋体" w:hAnsi="宋体" w:cs="宋体"/>
          <w:bCs/>
          <w:color w:val="auto"/>
          <w:szCs w:val="21"/>
        </w:rPr>
        <w:fldChar w:fldCharType="begin"/>
      </w:r>
      <w:r>
        <w:rPr>
          <w:rFonts w:hint="eastAsia" w:ascii="宋体" w:hAnsi="宋体" w:cs="宋体"/>
          <w:bCs/>
          <w:szCs w:val="21"/>
        </w:rPr>
        <w:instrText xml:space="preserve"> HYPERLINK \l _Toc3660 </w:instrText>
      </w:r>
      <w:r>
        <w:rPr>
          <w:rFonts w:hint="eastAsia" w:ascii="宋体" w:hAnsi="宋体" w:cs="宋体"/>
          <w:bCs/>
          <w:szCs w:val="21"/>
        </w:rPr>
        <w:fldChar w:fldCharType="separate"/>
      </w:r>
      <w:r>
        <w:rPr>
          <w:rFonts w:hint="eastAsia"/>
          <w:bCs/>
          <w:szCs w:val="32"/>
        </w:rPr>
        <w:t>第三章  评标办法</w:t>
      </w:r>
      <w:r>
        <w:tab/>
      </w:r>
      <w:r>
        <w:fldChar w:fldCharType="begin"/>
      </w:r>
      <w:r>
        <w:instrText xml:space="preserve"> PAGEREF _Toc3660 \h </w:instrText>
      </w:r>
      <w:r>
        <w:fldChar w:fldCharType="separate"/>
      </w:r>
      <w:r>
        <w:t>26</w:t>
      </w:r>
      <w:r>
        <w:fldChar w:fldCharType="end"/>
      </w:r>
      <w:r>
        <w:rPr>
          <w:rFonts w:hint="eastAsia" w:ascii="宋体" w:hAnsi="宋体" w:cs="宋体"/>
          <w:bCs/>
          <w:color w:val="auto"/>
          <w:szCs w:val="21"/>
        </w:rPr>
        <w:fldChar w:fldCharType="end"/>
      </w:r>
    </w:p>
    <w:p>
      <w:pPr>
        <w:pStyle w:val="26"/>
        <w:tabs>
          <w:tab w:val="right" w:leader="dot" w:pos="8300"/>
        </w:tabs>
        <w:spacing w:line="480" w:lineRule="auto"/>
      </w:pPr>
      <w:r>
        <w:rPr>
          <w:rFonts w:hint="eastAsia" w:ascii="宋体" w:hAnsi="宋体" w:cs="宋体"/>
          <w:bCs/>
          <w:color w:val="auto"/>
          <w:szCs w:val="21"/>
        </w:rPr>
        <w:fldChar w:fldCharType="begin"/>
      </w:r>
      <w:r>
        <w:rPr>
          <w:rFonts w:hint="eastAsia" w:ascii="宋体" w:hAnsi="宋体" w:cs="宋体"/>
          <w:bCs/>
          <w:szCs w:val="21"/>
        </w:rPr>
        <w:instrText xml:space="preserve"> HYPERLINK \l _Toc31947 </w:instrText>
      </w:r>
      <w:r>
        <w:rPr>
          <w:rFonts w:hint="eastAsia" w:ascii="宋体" w:hAnsi="宋体" w:cs="宋体"/>
          <w:bCs/>
          <w:szCs w:val="21"/>
        </w:rPr>
        <w:fldChar w:fldCharType="separate"/>
      </w:r>
      <w:r>
        <w:rPr>
          <w:rFonts w:hint="eastAsia" w:ascii="宋体" w:hAnsi="宋体" w:cs="宋体"/>
          <w:bCs/>
          <w:szCs w:val="32"/>
        </w:rPr>
        <w:t>第四章  合同条款</w:t>
      </w:r>
      <w:r>
        <w:tab/>
      </w:r>
      <w:r>
        <w:fldChar w:fldCharType="begin"/>
      </w:r>
      <w:r>
        <w:instrText xml:space="preserve"> PAGEREF _Toc31947 \h </w:instrText>
      </w:r>
      <w:r>
        <w:fldChar w:fldCharType="separate"/>
      </w:r>
      <w:r>
        <w:t>30</w:t>
      </w:r>
      <w:r>
        <w:fldChar w:fldCharType="end"/>
      </w:r>
      <w:r>
        <w:rPr>
          <w:rFonts w:hint="eastAsia" w:ascii="宋体" w:hAnsi="宋体" w:cs="宋体"/>
          <w:bCs/>
          <w:color w:val="auto"/>
          <w:szCs w:val="21"/>
        </w:rPr>
        <w:fldChar w:fldCharType="end"/>
      </w:r>
    </w:p>
    <w:p>
      <w:pPr>
        <w:pStyle w:val="26"/>
        <w:tabs>
          <w:tab w:val="right" w:leader="dot" w:pos="8300"/>
        </w:tabs>
        <w:spacing w:line="480" w:lineRule="auto"/>
      </w:pPr>
      <w:r>
        <w:rPr>
          <w:rFonts w:hint="eastAsia" w:ascii="宋体" w:hAnsi="宋体" w:cs="宋体"/>
          <w:bCs/>
          <w:color w:val="auto"/>
          <w:szCs w:val="21"/>
        </w:rPr>
        <w:fldChar w:fldCharType="begin"/>
      </w:r>
      <w:r>
        <w:rPr>
          <w:rFonts w:hint="eastAsia" w:ascii="宋体" w:hAnsi="宋体" w:cs="宋体"/>
          <w:bCs/>
          <w:szCs w:val="21"/>
        </w:rPr>
        <w:instrText xml:space="preserve"> HYPERLINK \l _Toc7960 </w:instrText>
      </w:r>
      <w:r>
        <w:rPr>
          <w:rFonts w:hint="eastAsia" w:ascii="宋体" w:hAnsi="宋体" w:cs="宋体"/>
          <w:bCs/>
          <w:szCs w:val="21"/>
        </w:rPr>
        <w:fldChar w:fldCharType="separate"/>
      </w:r>
      <w:r>
        <w:rPr>
          <w:rFonts w:hint="eastAsia" w:ascii="宋体" w:hAnsi="宋体" w:cs="宋体"/>
          <w:bCs/>
          <w:szCs w:val="32"/>
        </w:rPr>
        <w:t>第五章 采购需求及技术参数</w:t>
      </w:r>
      <w:r>
        <w:tab/>
      </w:r>
      <w:r>
        <w:fldChar w:fldCharType="begin"/>
      </w:r>
      <w:r>
        <w:instrText xml:space="preserve"> PAGEREF _Toc7960 \h </w:instrText>
      </w:r>
      <w:r>
        <w:fldChar w:fldCharType="separate"/>
      </w:r>
      <w:r>
        <w:t>36</w:t>
      </w:r>
      <w:r>
        <w:fldChar w:fldCharType="end"/>
      </w:r>
      <w:r>
        <w:rPr>
          <w:rFonts w:hint="eastAsia" w:ascii="宋体" w:hAnsi="宋体" w:cs="宋体"/>
          <w:bCs/>
          <w:color w:val="auto"/>
          <w:szCs w:val="21"/>
        </w:rPr>
        <w:fldChar w:fldCharType="end"/>
      </w:r>
      <w:bookmarkStart w:id="418" w:name="_GoBack"/>
      <w:bookmarkEnd w:id="418"/>
    </w:p>
    <w:p>
      <w:pPr>
        <w:pStyle w:val="26"/>
        <w:tabs>
          <w:tab w:val="right" w:leader="dot" w:pos="8300"/>
        </w:tabs>
        <w:spacing w:line="480" w:lineRule="auto"/>
      </w:pPr>
      <w:r>
        <w:rPr>
          <w:rFonts w:hint="eastAsia" w:ascii="宋体" w:hAnsi="宋体" w:cs="宋体"/>
          <w:bCs/>
          <w:color w:val="auto"/>
          <w:szCs w:val="21"/>
        </w:rPr>
        <w:fldChar w:fldCharType="begin"/>
      </w:r>
      <w:r>
        <w:rPr>
          <w:rFonts w:hint="eastAsia" w:ascii="宋体" w:hAnsi="宋体" w:cs="宋体"/>
          <w:bCs/>
          <w:szCs w:val="21"/>
        </w:rPr>
        <w:instrText xml:space="preserve"> HYPERLINK \l _Toc756 </w:instrText>
      </w:r>
      <w:r>
        <w:rPr>
          <w:rFonts w:hint="eastAsia" w:ascii="宋体" w:hAnsi="宋体" w:cs="宋体"/>
          <w:bCs/>
          <w:szCs w:val="21"/>
        </w:rPr>
        <w:fldChar w:fldCharType="separate"/>
      </w:r>
      <w:r>
        <w:rPr>
          <w:rFonts w:hint="eastAsia" w:ascii="宋体" w:hAnsi="宋体" w:cs="宋体"/>
          <w:bCs/>
          <w:szCs w:val="32"/>
        </w:rPr>
        <w:t>第六章 投标文件格式</w:t>
      </w:r>
      <w:r>
        <w:tab/>
      </w:r>
      <w:r>
        <w:fldChar w:fldCharType="begin"/>
      </w:r>
      <w:r>
        <w:instrText xml:space="preserve"> PAGEREF _Toc756 \h </w:instrText>
      </w:r>
      <w:r>
        <w:fldChar w:fldCharType="separate"/>
      </w:r>
      <w:r>
        <w:t>36</w:t>
      </w:r>
      <w:r>
        <w:fldChar w:fldCharType="end"/>
      </w:r>
      <w:r>
        <w:rPr>
          <w:rFonts w:hint="eastAsia" w:ascii="宋体" w:hAnsi="宋体" w:cs="宋体"/>
          <w:bCs/>
          <w:color w:val="auto"/>
          <w:szCs w:val="21"/>
        </w:rPr>
        <w:fldChar w:fldCharType="end"/>
      </w:r>
    </w:p>
    <w:p>
      <w:pPr>
        <w:pStyle w:val="33"/>
        <w:tabs>
          <w:tab w:val="right" w:leader="dot" w:pos="8300"/>
        </w:tabs>
        <w:spacing w:line="480" w:lineRule="auto"/>
        <w:ind w:left="0" w:leftChars="0" w:firstLine="0" w:firstLineChars="0"/>
      </w:pPr>
      <w:r>
        <w:rPr>
          <w:rFonts w:hint="eastAsia" w:ascii="宋体" w:hAnsi="宋体" w:cs="宋体"/>
          <w:bCs/>
          <w:color w:val="auto"/>
          <w:szCs w:val="21"/>
        </w:rPr>
        <w:fldChar w:fldCharType="begin"/>
      </w:r>
      <w:r>
        <w:rPr>
          <w:rFonts w:hint="eastAsia" w:ascii="宋体" w:hAnsi="宋体" w:cs="宋体"/>
          <w:bCs/>
          <w:szCs w:val="21"/>
        </w:rPr>
        <w:instrText xml:space="preserve"> HYPERLINK \l _Toc6713 </w:instrText>
      </w:r>
      <w:r>
        <w:rPr>
          <w:rFonts w:hint="eastAsia" w:ascii="宋体" w:hAnsi="宋体" w:cs="宋体"/>
          <w:bCs/>
          <w:szCs w:val="21"/>
        </w:rPr>
        <w:fldChar w:fldCharType="separate"/>
      </w:r>
      <w:r>
        <w:rPr>
          <w:rFonts w:hint="eastAsia" w:ascii="宋体" w:hAnsi="宋体" w:cs="宋体"/>
        </w:rPr>
        <w:t>第七章 代理合同</w:t>
      </w:r>
      <w:r>
        <w:tab/>
      </w:r>
      <w:r>
        <w:fldChar w:fldCharType="begin"/>
      </w:r>
      <w:r>
        <w:instrText xml:space="preserve"> PAGEREF _Toc6713 \h </w:instrText>
      </w:r>
      <w:r>
        <w:fldChar w:fldCharType="separate"/>
      </w:r>
      <w:r>
        <w:t>93</w:t>
      </w:r>
      <w:r>
        <w:fldChar w:fldCharType="end"/>
      </w:r>
      <w:r>
        <w:rPr>
          <w:rFonts w:hint="eastAsia" w:ascii="宋体" w:hAnsi="宋体" w:cs="宋体"/>
          <w:bCs/>
          <w:color w:val="auto"/>
          <w:szCs w:val="21"/>
        </w:rPr>
        <w:fldChar w:fldCharType="end"/>
      </w:r>
    </w:p>
    <w:p>
      <w:pPr>
        <w:pStyle w:val="68"/>
        <w:snapToGrid w:val="0"/>
        <w:spacing w:line="480" w:lineRule="auto"/>
        <w:jc w:val="center"/>
        <w:rPr>
          <w:b/>
          <w:bCs/>
          <w:color w:val="auto"/>
          <w:sz w:val="24"/>
        </w:rPr>
      </w:pPr>
      <w:r>
        <w:rPr>
          <w:rFonts w:hint="eastAsia" w:ascii="宋体" w:hAnsi="宋体" w:cs="宋体"/>
          <w:bCs/>
          <w:color w:val="auto"/>
          <w:szCs w:val="21"/>
        </w:rPr>
        <w:fldChar w:fldCharType="end"/>
      </w:r>
    </w:p>
    <w:p>
      <w:pPr>
        <w:pStyle w:val="3"/>
        <w:tabs>
          <w:tab w:val="left" w:pos="0"/>
        </w:tabs>
        <w:autoSpaceDE w:val="0"/>
        <w:autoSpaceDN w:val="0"/>
        <w:spacing w:before="0" w:after="0" w:line="480" w:lineRule="auto"/>
        <w:jc w:val="center"/>
        <w:rPr>
          <w:rFonts w:hint="default" w:ascii="Times New Roman" w:hAnsi="Times New Roman" w:eastAsia="宋体" w:cs="Times New Roman"/>
          <w:b/>
          <w:bCs/>
          <w:kern w:val="0"/>
          <w:szCs w:val="32"/>
        </w:rPr>
        <w:sectPr>
          <w:pgSz w:w="11906" w:h="16838"/>
          <w:pgMar w:top="1440" w:right="1803" w:bottom="1440" w:left="1803" w:header="851" w:footer="992" w:gutter="0"/>
          <w:pgNumType w:fmt="numberInDash"/>
          <w:cols w:space="720" w:num="1"/>
          <w:titlePg/>
          <w:docGrid w:type="lines" w:linePitch="319" w:charSpace="0"/>
        </w:sectPr>
      </w:pPr>
      <w:bookmarkStart w:id="0" w:name="_Toc35393797"/>
      <w:bookmarkStart w:id="1" w:name="_Toc28359011"/>
    </w:p>
    <w:p>
      <w:pPr>
        <w:pStyle w:val="3"/>
        <w:tabs>
          <w:tab w:val="left" w:pos="0"/>
        </w:tabs>
        <w:autoSpaceDE w:val="0"/>
        <w:autoSpaceDN w:val="0"/>
        <w:adjustRightInd w:val="0"/>
        <w:spacing w:beforeAutospacing="0" w:afterAutospacing="0" w:line="360" w:lineRule="auto"/>
        <w:jc w:val="center"/>
        <w:rPr>
          <w:rFonts w:hint="default"/>
          <w:sz w:val="28"/>
          <w:szCs w:val="28"/>
        </w:rPr>
      </w:pPr>
      <w:bookmarkStart w:id="2" w:name="_Toc13853"/>
      <w:r>
        <w:rPr>
          <w:rFonts w:ascii="Times New Roman" w:hAnsi="Times New Roman" w:eastAsia="宋体" w:cs="Times New Roman"/>
          <w:b/>
          <w:bCs/>
          <w:kern w:val="0"/>
          <w:szCs w:val="32"/>
        </w:rPr>
        <w:fldChar w:fldCharType="begin"/>
      </w:r>
      <w:r>
        <w:rPr>
          <w:rFonts w:ascii="Times New Roman" w:hAnsi="Times New Roman" w:eastAsia="宋体" w:cs="Times New Roman"/>
          <w:b/>
          <w:bCs/>
          <w:kern w:val="0"/>
          <w:szCs w:val="32"/>
        </w:rPr>
        <w:instrText xml:space="preserve"> HYPERLINK \l _Toc16730 </w:instrText>
      </w:r>
      <w:r>
        <w:rPr>
          <w:rFonts w:ascii="Times New Roman" w:hAnsi="Times New Roman" w:eastAsia="宋体" w:cs="Times New Roman"/>
          <w:b/>
          <w:bCs/>
          <w:kern w:val="0"/>
          <w:szCs w:val="32"/>
        </w:rPr>
        <w:fldChar w:fldCharType="separate"/>
      </w:r>
      <w:r>
        <w:rPr>
          <w:rFonts w:hint="default" w:ascii="Times New Roman" w:hAnsi="Times New Roman" w:eastAsia="宋体" w:cs="Times New Roman"/>
          <w:b/>
          <w:bCs/>
          <w:kern w:val="0"/>
          <w:szCs w:val="32"/>
        </w:rPr>
        <w:t xml:space="preserve">第一章 </w:t>
      </w:r>
      <w:r>
        <w:rPr>
          <w:rFonts w:ascii="Times New Roman" w:hAnsi="Times New Roman" w:eastAsia="宋体" w:cs="Times New Roman"/>
          <w:b/>
          <w:bCs/>
          <w:kern w:val="0"/>
          <w:szCs w:val="32"/>
        </w:rPr>
        <w:t>招标公告</w:t>
      </w:r>
      <w:r>
        <w:rPr>
          <w:rFonts w:ascii="Times New Roman" w:hAnsi="Times New Roman" w:eastAsia="宋体" w:cs="Times New Roman"/>
          <w:b/>
          <w:bCs/>
          <w:kern w:val="0"/>
          <w:szCs w:val="32"/>
        </w:rPr>
        <w:tab/>
      </w:r>
      <w:r>
        <w:rPr>
          <w:rFonts w:ascii="Times New Roman" w:hAnsi="Times New Roman" w:eastAsia="宋体" w:cs="Times New Roman"/>
          <w:b/>
          <w:bCs/>
          <w:kern w:val="0"/>
          <w:szCs w:val="32"/>
        </w:rPr>
        <w:fldChar w:fldCharType="end"/>
      </w:r>
      <w:bookmarkEnd w:id="0"/>
      <w:bookmarkEnd w:id="1"/>
      <w:bookmarkEnd w:id="2"/>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80" w:lineRule="exac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项目概况</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lang w:eastAsia="zh-CN"/>
        </w:rPr>
        <w:t>阿克苏地区第四人民医院等级医院相关医疗服务开发能力提升项目</w:t>
      </w:r>
      <w:r>
        <w:rPr>
          <w:rFonts w:hint="eastAsia" w:ascii="仿宋_GB2312" w:hAnsi="仿宋_GB2312" w:eastAsia="仿宋_GB2312" w:cs="仿宋_GB2312"/>
          <w:sz w:val="24"/>
          <w:szCs w:val="24"/>
        </w:rPr>
        <w:t>的潜在投标人应在政采云平台获取（下载）采购文件，并于</w:t>
      </w:r>
      <w:r>
        <w:rPr>
          <w:rFonts w:hint="eastAsia" w:ascii="仿宋_GB2312" w:hAnsi="仿宋_GB2312" w:eastAsia="仿宋_GB2312" w:cs="仿宋_GB2312"/>
          <w:b w:val="0"/>
          <w:bCs w:val="0"/>
          <w:color w:val="000000" w:themeColor="text1"/>
          <w:sz w:val="24"/>
          <w:szCs w:val="24"/>
          <w14:textFill>
            <w14:solidFill>
              <w14:schemeClr w14:val="tx1"/>
            </w14:solidFill>
          </w14:textFill>
        </w:rPr>
        <w:t>202</w:t>
      </w:r>
      <w:r>
        <w:rPr>
          <w:rFonts w:hint="eastAsia" w:ascii="仿宋_GB2312" w:hAnsi="仿宋_GB2312" w:eastAsia="仿宋_GB2312" w:cs="仿宋_GB2312"/>
          <w:b w:val="0"/>
          <w:bCs w:val="0"/>
          <w:color w:val="000000" w:themeColor="text1"/>
          <w:sz w:val="24"/>
          <w:szCs w:val="24"/>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24"/>
          <w:szCs w:val="24"/>
          <w14:textFill>
            <w14:solidFill>
              <w14:schemeClr w14:val="tx1"/>
            </w14:solidFill>
          </w14:textFill>
        </w:rPr>
        <w:t>年</w:t>
      </w:r>
      <w:r>
        <w:rPr>
          <w:rFonts w:hint="eastAsia" w:ascii="仿宋_GB2312" w:hAnsi="仿宋_GB2312" w:eastAsia="仿宋_GB2312" w:cs="仿宋_GB2312"/>
          <w:b w:val="0"/>
          <w:bCs w:val="0"/>
          <w:color w:val="000000" w:themeColor="text1"/>
          <w:sz w:val="24"/>
          <w:szCs w:val="24"/>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24"/>
          <w:szCs w:val="24"/>
          <w14:textFill>
            <w14:solidFill>
              <w14:schemeClr w14:val="tx1"/>
            </w14:solidFill>
          </w14:textFill>
        </w:rPr>
        <w:t>月</w:t>
      </w:r>
      <w:r>
        <w:rPr>
          <w:rFonts w:hint="eastAsia" w:ascii="仿宋_GB2312" w:hAnsi="仿宋_GB2312" w:eastAsia="仿宋_GB2312" w:cs="仿宋_GB2312"/>
          <w:b w:val="0"/>
          <w:bCs w:val="0"/>
          <w:color w:val="000000" w:themeColor="text1"/>
          <w:sz w:val="24"/>
          <w:szCs w:val="24"/>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24"/>
          <w:szCs w:val="24"/>
          <w14:textFill>
            <w14:solidFill>
              <w14:schemeClr w14:val="tx1"/>
            </w14:solidFill>
          </w14:textFill>
        </w:rPr>
        <w:t>日16点</w:t>
      </w:r>
      <w:r>
        <w:rPr>
          <w:rFonts w:hint="eastAsia" w:ascii="仿宋_GB2312" w:hAnsi="仿宋_GB2312" w:eastAsia="仿宋_GB2312" w:cs="仿宋_GB2312"/>
          <w:b w:val="0"/>
          <w:bCs w:val="0"/>
          <w:color w:val="000000" w:themeColor="text1"/>
          <w:sz w:val="24"/>
          <w:szCs w:val="24"/>
          <w:lang w:val="en-US" w:eastAsia="zh-CN"/>
          <w14:textFill>
            <w14:solidFill>
              <w14:schemeClr w14:val="tx1"/>
            </w14:solidFill>
          </w14:textFill>
        </w:rPr>
        <w:t>0</w:t>
      </w:r>
      <w:r>
        <w:rPr>
          <w:rFonts w:hint="eastAsia" w:ascii="仿宋_GB2312" w:hAnsi="仿宋_GB2312" w:eastAsia="仿宋_GB2312" w:cs="仿宋_GB2312"/>
          <w:b w:val="0"/>
          <w:bCs w:val="0"/>
          <w:color w:val="000000" w:themeColor="text1"/>
          <w:sz w:val="24"/>
          <w:szCs w:val="24"/>
          <w14:textFill>
            <w14:solidFill>
              <w14:schemeClr w14:val="tx1"/>
            </w14:solidFill>
          </w14:textFill>
        </w:rPr>
        <w:t>0</w:t>
      </w:r>
      <w:r>
        <w:rPr>
          <w:rFonts w:hint="eastAsia" w:ascii="仿宋_GB2312" w:hAnsi="仿宋_GB2312" w:eastAsia="仿宋_GB2312" w:cs="仿宋_GB2312"/>
          <w:b w:val="0"/>
          <w:bCs w:val="0"/>
          <w:color w:val="auto"/>
          <w:sz w:val="24"/>
          <w:szCs w:val="24"/>
        </w:rPr>
        <w:t>分（北京时间）</w:t>
      </w:r>
      <w:r>
        <w:rPr>
          <w:rFonts w:hint="eastAsia" w:ascii="仿宋_GB2312" w:hAnsi="仿宋_GB2312" w:eastAsia="仿宋_GB2312" w:cs="仿宋_GB2312"/>
          <w:bCs/>
          <w:sz w:val="24"/>
          <w:szCs w:val="24"/>
        </w:rPr>
        <w:t>前提交投标文件</w:t>
      </w:r>
      <w:r>
        <w:rPr>
          <w:rFonts w:hint="eastAsia" w:ascii="仿宋_GB2312" w:hAnsi="仿宋_GB2312" w:eastAsia="仿宋_GB2312" w:cs="仿宋_GB2312"/>
          <w:sz w:val="24"/>
          <w:szCs w:val="24"/>
        </w:rPr>
        <w:t>。</w:t>
      </w:r>
    </w:p>
    <w:p>
      <w:pPr>
        <w:pStyle w:val="2"/>
        <w:keepNext w:val="0"/>
        <w:keepLines w:val="0"/>
        <w:pageBreakBefore w:val="0"/>
        <w:widowControl w:val="0"/>
        <w:kinsoku/>
        <w:wordWrap/>
        <w:overflowPunct/>
        <w:topLinePunct w:val="0"/>
        <w:autoSpaceDE/>
        <w:autoSpaceDN/>
        <w:bidi w:val="0"/>
        <w:adjustRightInd/>
        <w:snapToGrid/>
        <w:spacing w:before="0" w:after="0" w:line="480" w:lineRule="exact"/>
        <w:textAlignment w:val="auto"/>
        <w:rPr>
          <w:rFonts w:ascii="仿宋_GB2312" w:hAnsi="仿宋_GB2312" w:eastAsia="仿宋_GB2312" w:cs="仿宋_GB2312"/>
          <w:bCs w:val="0"/>
          <w:sz w:val="24"/>
          <w:szCs w:val="24"/>
        </w:rPr>
      </w:pPr>
      <w:bookmarkStart w:id="3" w:name="_Toc28359012"/>
      <w:bookmarkStart w:id="4" w:name="_Toc35393798"/>
      <w:bookmarkStart w:id="5" w:name="_Toc28359089"/>
      <w:bookmarkStart w:id="6" w:name="_Toc35393629"/>
      <w:bookmarkStart w:id="7" w:name="_Toc13011"/>
      <w:r>
        <w:rPr>
          <w:rFonts w:hint="eastAsia" w:ascii="仿宋_GB2312" w:hAnsi="仿宋_GB2312" w:eastAsia="仿宋_GB2312" w:cs="仿宋_GB2312"/>
          <w:bCs w:val="0"/>
          <w:sz w:val="24"/>
          <w:szCs w:val="24"/>
        </w:rPr>
        <w:t>一、项目基本情况</w:t>
      </w:r>
      <w:bookmarkEnd w:id="3"/>
      <w:bookmarkEnd w:id="4"/>
      <w:bookmarkEnd w:id="5"/>
      <w:bookmarkEnd w:id="6"/>
      <w:bookmarkEnd w:id="7"/>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color w:val="FF0000"/>
          <w:sz w:val="24"/>
          <w:szCs w:val="24"/>
          <w:lang w:val="en-US" w:eastAsia="zh-CN"/>
        </w:rPr>
      </w:pPr>
      <w:r>
        <w:rPr>
          <w:rFonts w:hint="eastAsia" w:ascii="仿宋_GB2312" w:hAnsi="仿宋_GB2312" w:eastAsia="仿宋_GB2312" w:cs="仿宋_GB2312"/>
          <w:sz w:val="24"/>
          <w:szCs w:val="24"/>
        </w:rPr>
        <w:t>项目编号：</w:t>
      </w:r>
      <w:r>
        <w:rPr>
          <w:rFonts w:hint="eastAsia" w:ascii="仿宋_GB2312" w:hAnsi="仿宋_GB2312" w:eastAsia="仿宋_GB2312" w:cs="仿宋_GB2312"/>
          <w:sz w:val="24"/>
          <w:szCs w:val="24"/>
          <w:lang w:eastAsia="zh-CN"/>
        </w:rPr>
        <w:t>分202</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eastAsia="zh-CN"/>
        </w:rPr>
        <w:t>-01-</w:t>
      </w:r>
      <w:r>
        <w:rPr>
          <w:rFonts w:hint="eastAsia" w:ascii="仿宋_GB2312" w:hAnsi="仿宋_GB2312" w:eastAsia="仿宋_GB2312" w:cs="仿宋_GB2312"/>
          <w:sz w:val="24"/>
          <w:szCs w:val="24"/>
          <w:lang w:val="en-US" w:eastAsia="zh-CN"/>
        </w:rPr>
        <w:t>18</w:t>
      </w:r>
    </w:p>
    <w:p>
      <w:pPr>
        <w:keepNext w:val="0"/>
        <w:keepLines w:val="0"/>
        <w:pageBreakBefore w:val="0"/>
        <w:widowControl w:val="0"/>
        <w:kinsoku/>
        <w:wordWrap/>
        <w:overflowPunct/>
        <w:topLinePunct w:val="0"/>
        <w:autoSpaceDE/>
        <w:autoSpaceDN/>
        <w:bidi w:val="0"/>
        <w:adjustRightInd/>
        <w:snapToGrid/>
        <w:spacing w:line="480" w:lineRule="exact"/>
        <w:ind w:left="479" w:leftChars="228" w:firstLine="0" w:firstLineChars="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项目名称：</w:t>
      </w:r>
      <w:r>
        <w:rPr>
          <w:rFonts w:hint="eastAsia" w:ascii="仿宋_GB2312" w:hAnsi="仿宋_GB2312" w:eastAsia="仿宋_GB2312" w:cs="仿宋_GB2312"/>
          <w:sz w:val="24"/>
          <w:szCs w:val="24"/>
          <w:lang w:eastAsia="zh-CN"/>
        </w:rPr>
        <w:t>阿克苏地区第四人民医院等级医院相关医疗服务开发能力提升项目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预算金额：</w:t>
      </w:r>
      <w:r>
        <w:rPr>
          <w:rFonts w:hint="eastAsia" w:ascii="仿宋_GB2312" w:hAnsi="仿宋_GB2312" w:eastAsia="仿宋_GB2312" w:cs="仿宋_GB2312"/>
          <w:sz w:val="24"/>
          <w:szCs w:val="24"/>
          <w:lang w:val="en-US" w:eastAsia="zh-CN"/>
        </w:rPr>
        <w:t>5500000.00</w:t>
      </w:r>
      <w:r>
        <w:rPr>
          <w:rFonts w:hint="eastAsia" w:ascii="仿宋_GB2312" w:hAnsi="仿宋_GB2312" w:eastAsia="仿宋_GB2312" w:cs="仿宋_GB2312"/>
          <w:sz w:val="24"/>
          <w:szCs w:val="24"/>
        </w:rPr>
        <w:t>元</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最高限价：</w:t>
      </w:r>
      <w:r>
        <w:rPr>
          <w:rFonts w:hint="eastAsia" w:ascii="仿宋_GB2312" w:hAnsi="仿宋_GB2312" w:eastAsia="仿宋_GB2312" w:cs="仿宋_GB2312"/>
          <w:sz w:val="24"/>
          <w:szCs w:val="24"/>
          <w:lang w:val="en-US" w:eastAsia="zh-CN"/>
        </w:rPr>
        <w:t>5500000.00</w:t>
      </w:r>
      <w:r>
        <w:rPr>
          <w:rFonts w:hint="eastAsia" w:ascii="仿宋_GB2312" w:hAnsi="仿宋_GB2312" w:eastAsia="仿宋_GB2312" w:cs="仿宋_GB2312"/>
          <w:sz w:val="24"/>
          <w:szCs w:val="24"/>
        </w:rPr>
        <w:t>元</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采购需求：</w:t>
      </w:r>
    </w:p>
    <w:p>
      <w:pPr>
        <w:keepNext w:val="0"/>
        <w:keepLines w:val="0"/>
        <w:pageBreakBefore w:val="0"/>
        <w:widowControl w:val="0"/>
        <w:kinsoku/>
        <w:wordWrap/>
        <w:overflowPunct/>
        <w:topLinePunct w:val="0"/>
        <w:autoSpaceDE/>
        <w:autoSpaceDN/>
        <w:bidi w:val="0"/>
        <w:adjustRightInd/>
        <w:snapToGrid/>
        <w:spacing w:line="480" w:lineRule="exact"/>
        <w:ind w:left="479" w:leftChars="228" w:firstLine="0" w:firstLineChars="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标项名称:</w:t>
      </w:r>
      <w:r>
        <w:rPr>
          <w:rFonts w:hint="eastAsia" w:ascii="仿宋_GB2312" w:hAnsi="仿宋_GB2312" w:eastAsia="仿宋_GB2312" w:cs="仿宋_GB2312"/>
          <w:sz w:val="24"/>
          <w:szCs w:val="24"/>
          <w:lang w:eastAsia="zh-CN"/>
        </w:rPr>
        <w:t>阿克苏地区第四人民医院等级医院相关医疗服务开发能力提升项目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数量:1</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预算金额（元）:</w:t>
      </w:r>
      <w:r>
        <w:rPr>
          <w:rFonts w:hint="eastAsia" w:ascii="仿宋_GB2312" w:hAnsi="仿宋_GB2312" w:eastAsia="仿宋_GB2312" w:cs="仿宋_GB2312"/>
          <w:sz w:val="24"/>
          <w:szCs w:val="24"/>
          <w:lang w:val="en-US" w:eastAsia="zh-CN"/>
        </w:rPr>
        <w:t>5500000.00</w:t>
      </w:r>
      <w:r>
        <w:rPr>
          <w:rFonts w:hint="eastAsia" w:ascii="仿宋_GB2312" w:hAnsi="仿宋_GB2312" w:eastAsia="仿宋_GB2312" w:cs="仿宋_GB2312"/>
          <w:sz w:val="24"/>
          <w:szCs w:val="24"/>
        </w:rPr>
        <w:t>元</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单位：</w:t>
      </w:r>
      <w:r>
        <w:rPr>
          <w:rFonts w:hint="eastAsia" w:ascii="仿宋_GB2312" w:hAnsi="仿宋_GB2312" w:eastAsia="仿宋_GB2312" w:cs="仿宋_GB2312"/>
          <w:sz w:val="24"/>
          <w:szCs w:val="24"/>
          <w:lang w:val="en-US" w:eastAsia="zh-CN"/>
        </w:rPr>
        <w:t>批</w:t>
      </w:r>
    </w:p>
    <w:p>
      <w:pPr>
        <w:keepNext w:val="0"/>
        <w:keepLines w:val="0"/>
        <w:pageBreakBefore w:val="0"/>
        <w:widowControl w:val="0"/>
        <w:kinsoku/>
        <w:wordWrap/>
        <w:overflowPunct/>
        <w:topLinePunct w:val="0"/>
        <w:autoSpaceDE/>
        <w:autoSpaceDN/>
        <w:bidi w:val="0"/>
        <w:adjustRightInd/>
        <w:snapToGrid/>
        <w:spacing w:line="480" w:lineRule="exact"/>
        <w:ind w:left="479" w:leftChars="228" w:firstLine="0" w:firstLineChars="0"/>
        <w:textAlignment w:val="auto"/>
        <w:rPr>
          <w:rFonts w:hint="eastAsia"/>
        </w:rPr>
      </w:pPr>
      <w:r>
        <w:rPr>
          <w:rFonts w:hint="eastAsia" w:ascii="仿宋_GB2312" w:hAnsi="仿宋_GB2312" w:eastAsia="仿宋_GB2312" w:cs="仿宋_GB2312"/>
          <w:sz w:val="24"/>
          <w:szCs w:val="24"/>
        </w:rPr>
        <w:t>简要规格描述：</w:t>
      </w:r>
      <w:r>
        <w:rPr>
          <w:rFonts w:hint="eastAsia" w:ascii="仿宋_GB2312" w:hAnsi="仿宋_GB2312" w:eastAsia="仿宋_GB2312" w:cs="仿宋_GB2312"/>
          <w:sz w:val="24"/>
          <w:szCs w:val="24"/>
          <w:lang w:eastAsia="zh-CN"/>
        </w:rPr>
        <w:t>等级医院相关医疗服务开发能力提升，详见采购文件及清单。</w:t>
      </w:r>
      <w:r>
        <w:rPr>
          <w:rFonts w:hint="eastAsia" w:ascii="仿宋_GB2312" w:hAnsi="仿宋_GB2312" w:eastAsia="仿宋_GB2312" w:cs="仿宋_GB2312"/>
          <w:sz w:val="24"/>
          <w:szCs w:val="24"/>
        </w:rPr>
        <w:t>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u w:val="single"/>
        </w:rPr>
      </w:pPr>
      <w:r>
        <w:rPr>
          <w:rFonts w:hint="eastAsia" w:ascii="仿宋_GB2312" w:hAnsi="仿宋_GB2312" w:eastAsia="仿宋_GB2312" w:cs="仿宋_GB2312"/>
          <w:sz w:val="24"/>
          <w:szCs w:val="24"/>
        </w:rPr>
        <w:t>合同履行期限：按照甲乙双方签订的合同日期执行。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本项目不接受联合体。</w:t>
      </w:r>
    </w:p>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ascii="仿宋_GB2312" w:hAnsi="仿宋_GB2312" w:eastAsia="仿宋_GB2312" w:cs="仿宋_GB2312"/>
          <w:bCs w:val="0"/>
          <w:sz w:val="24"/>
          <w:szCs w:val="24"/>
        </w:rPr>
      </w:pPr>
      <w:bookmarkStart w:id="8" w:name="_Toc28359090"/>
      <w:bookmarkStart w:id="9" w:name="_Toc14624"/>
      <w:bookmarkStart w:id="10" w:name="_Toc35393799"/>
      <w:bookmarkStart w:id="11" w:name="_Toc28359013"/>
      <w:bookmarkStart w:id="12" w:name="_Toc35393630"/>
      <w:r>
        <w:rPr>
          <w:rFonts w:hint="eastAsia" w:ascii="仿宋_GB2312" w:hAnsi="仿宋_GB2312" w:eastAsia="仿宋_GB2312" w:cs="仿宋_GB2312"/>
          <w:bCs w:val="0"/>
          <w:sz w:val="24"/>
          <w:szCs w:val="24"/>
        </w:rPr>
        <w:t>二、申请人的资格要求：</w:t>
      </w:r>
      <w:bookmarkEnd w:id="8"/>
      <w:bookmarkEnd w:id="9"/>
      <w:bookmarkEnd w:id="10"/>
      <w:bookmarkEnd w:id="11"/>
      <w:bookmarkEnd w:id="12"/>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bookmarkStart w:id="13" w:name="_Toc35393800"/>
      <w:bookmarkStart w:id="14" w:name="_Toc28359014"/>
      <w:bookmarkStart w:id="15" w:name="_Toc28359091"/>
      <w:bookmarkStart w:id="16" w:name="_Toc35393631"/>
      <w:r>
        <w:rPr>
          <w:rFonts w:hint="eastAsia" w:ascii="仿宋_GB2312" w:hAnsi="仿宋_GB2312" w:eastAsia="仿宋_GB2312" w:cs="仿宋_GB2312"/>
          <w:sz w:val="24"/>
          <w:szCs w:val="24"/>
        </w:rPr>
        <w:t>1、满足《中华人民共和国政府采购法》第二十二条规定；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2、落实政府采购政策需满足的资格要求：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（1）财政部、工业和信息化部关于印发《政府采购促进中小企业发展管理办法》的通知（财库〔2020〕46号）；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（2）《财政部、司法部关于政府采购支持监狱企业发展有关问题的通知》（财库[2014]68号）；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（3）《国务院办公厅关于建立政府强制采购节能产品制度的通知》（国发办[2007]51号）；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（4）《财政部 民政部 中国残疾人联合会关于促进残疾人就业政府采购政策的通知》财库[2017]141号；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5）《国务院办公厅关于建立政府强制采购节能产品制度的通知》（国办发〔2007〕51号），投标产品为计算机、打印机、空调、照明产品、电视机、电热水器、显示器、便器、水嘴等九大类政府强制采购的产品，必须为国家财政部、环境保护部、国家发改委等有关部门发布的《环境标志产品政府采购清单》和《节能产品政府采购清单》中的产品；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3、本项目的特定资格要求：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（1）具有有效经年检的三证合一的营业执照原件；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（2）具有近</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rPr>
        <w:t>年</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2020年</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的财务审计报告或成立不满足一年的提供财务报表；</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）提供近六个月完税证明和盖有社保局公章的社保缴纳证明（社保缴纳证明中含法人及委托人的社保明细）；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）法定代表人到场需提供法定代表人身份证明及身份证原件，授权委托人到场的需提供附有法定代表人身份证明的授权委托书及被委托人身份证原件；</w:t>
      </w:r>
    </w:p>
    <w:p>
      <w:pPr>
        <w:pStyle w:val="14"/>
        <w:keepNext w:val="0"/>
        <w:keepLines w:val="0"/>
        <w:pageBreakBefore w:val="0"/>
        <w:widowControl w:val="0"/>
        <w:kinsoku/>
        <w:wordWrap/>
        <w:overflowPunct/>
        <w:topLinePunct w:val="0"/>
        <w:autoSpaceDE/>
        <w:autoSpaceDN/>
        <w:bidi w:val="0"/>
        <w:adjustRightInd/>
        <w:snapToGrid/>
        <w:spacing w:line="480" w:lineRule="exact"/>
        <w:ind w:firstLine="64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）未被“信用中国”（www.creditchina.gov.cn）、中国政府采购网（www.ccgp.gov.cn）列入失信被执行人、重大税收违法案件当事人名单、政府采购严重违法失信行为记录名单的﹙供应商网上自行打印后加盖公章﹚；</w:t>
      </w:r>
    </w:p>
    <w:p>
      <w:pPr>
        <w:pStyle w:val="14"/>
        <w:keepNext w:val="0"/>
        <w:keepLines w:val="0"/>
        <w:pageBreakBefore w:val="0"/>
        <w:widowControl w:val="0"/>
        <w:kinsoku/>
        <w:wordWrap/>
        <w:overflowPunct/>
        <w:topLinePunct w:val="0"/>
        <w:autoSpaceDE/>
        <w:autoSpaceDN/>
        <w:bidi w:val="0"/>
        <w:adjustRightInd/>
        <w:snapToGrid/>
        <w:spacing w:line="480" w:lineRule="exact"/>
        <w:textAlignment w:val="auto"/>
        <w:rPr>
          <w:rFonts w:ascii="仿宋_GB2312" w:hAnsi="仿宋_GB2312" w:eastAsia="仿宋_GB2312" w:cs="仿宋_GB2312"/>
          <w:b/>
          <w:sz w:val="24"/>
          <w:szCs w:val="24"/>
        </w:rPr>
      </w:pPr>
      <w:r>
        <w:rPr>
          <w:rFonts w:hint="eastAsia" w:ascii="仿宋_GB2312" w:hAnsi="仿宋_GB2312" w:eastAsia="仿宋_GB2312" w:cs="仿宋_GB2312"/>
          <w:b/>
          <w:sz w:val="24"/>
          <w:szCs w:val="24"/>
        </w:rPr>
        <w:t>三、获取招标文件</w:t>
      </w:r>
      <w:bookmarkEnd w:id="13"/>
      <w:bookmarkEnd w:id="14"/>
      <w:bookmarkEnd w:id="15"/>
      <w:bookmarkEnd w:id="16"/>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时间：</w:t>
      </w:r>
      <w:r>
        <w:rPr>
          <w:rFonts w:hint="eastAsia" w:ascii="仿宋_GB2312" w:hAnsi="仿宋_GB2312" w:eastAsia="仿宋_GB2312" w:cs="仿宋_GB2312"/>
          <w:color w:val="000000" w:themeColor="text1"/>
          <w:sz w:val="24"/>
          <w:szCs w:val="24"/>
          <w14:textFill>
            <w14:solidFill>
              <w14:schemeClr w14:val="tx1"/>
            </w14:solidFill>
          </w14:textFill>
        </w:rPr>
        <w:t>202</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2</w:t>
      </w:r>
      <w:r>
        <w:rPr>
          <w:rFonts w:hint="eastAsia" w:ascii="仿宋_GB2312" w:hAnsi="仿宋_GB2312" w:eastAsia="仿宋_GB2312" w:cs="仿宋_GB2312"/>
          <w:color w:val="000000" w:themeColor="text1"/>
          <w:sz w:val="24"/>
          <w:szCs w:val="24"/>
          <w14:textFill>
            <w14:solidFill>
              <w14:schemeClr w14:val="tx1"/>
            </w14:solidFill>
          </w14:textFill>
        </w:rPr>
        <w:t>年</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2</w:t>
      </w:r>
      <w:r>
        <w:rPr>
          <w:rFonts w:hint="eastAsia" w:ascii="仿宋_GB2312" w:hAnsi="仿宋_GB2312" w:eastAsia="仿宋_GB2312" w:cs="仿宋_GB2312"/>
          <w:color w:val="000000" w:themeColor="text1"/>
          <w:sz w:val="24"/>
          <w:szCs w:val="24"/>
          <w14:textFill>
            <w14:solidFill>
              <w14:schemeClr w14:val="tx1"/>
            </w14:solidFill>
          </w14:textFill>
        </w:rPr>
        <w:t>月</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11</w:t>
      </w:r>
      <w:r>
        <w:rPr>
          <w:rFonts w:hint="eastAsia" w:ascii="仿宋_GB2312" w:hAnsi="仿宋_GB2312" w:eastAsia="仿宋_GB2312" w:cs="仿宋_GB2312"/>
          <w:color w:val="000000" w:themeColor="text1"/>
          <w:sz w:val="24"/>
          <w:szCs w:val="24"/>
          <w14:textFill>
            <w14:solidFill>
              <w14:schemeClr w14:val="tx1"/>
            </w14:solidFill>
          </w14:textFill>
        </w:rPr>
        <w:t>日至 202</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2</w:t>
      </w:r>
      <w:r>
        <w:rPr>
          <w:rFonts w:hint="eastAsia" w:ascii="仿宋_GB2312" w:hAnsi="仿宋_GB2312" w:eastAsia="仿宋_GB2312" w:cs="仿宋_GB2312"/>
          <w:color w:val="000000" w:themeColor="text1"/>
          <w:sz w:val="24"/>
          <w:szCs w:val="24"/>
          <w14:textFill>
            <w14:solidFill>
              <w14:schemeClr w14:val="tx1"/>
            </w14:solidFill>
          </w14:textFill>
        </w:rPr>
        <w:t>年</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2</w:t>
      </w:r>
      <w:r>
        <w:rPr>
          <w:rFonts w:hint="eastAsia" w:ascii="仿宋_GB2312" w:hAnsi="仿宋_GB2312" w:eastAsia="仿宋_GB2312" w:cs="仿宋_GB2312"/>
          <w:color w:val="000000" w:themeColor="text1"/>
          <w:sz w:val="24"/>
          <w:szCs w:val="24"/>
          <w14:textFill>
            <w14:solidFill>
              <w14:schemeClr w14:val="tx1"/>
            </w14:solidFill>
          </w14:textFill>
        </w:rPr>
        <w:t>月</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18</w:t>
      </w:r>
      <w:r>
        <w:rPr>
          <w:rFonts w:hint="eastAsia" w:ascii="仿宋_GB2312" w:hAnsi="仿宋_GB2312" w:eastAsia="仿宋_GB2312" w:cs="仿宋_GB2312"/>
          <w:color w:val="000000" w:themeColor="text1"/>
          <w:sz w:val="24"/>
          <w:szCs w:val="24"/>
          <w14:textFill>
            <w14:solidFill>
              <w14:schemeClr w14:val="tx1"/>
            </w14:solidFill>
          </w14:textFill>
        </w:rPr>
        <w:t>日</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sz w:val="24"/>
          <w:szCs w:val="24"/>
        </w:rPr>
        <w:t>每天上午</w:t>
      </w:r>
      <w:r>
        <w:rPr>
          <w:rFonts w:hint="eastAsia" w:ascii="仿宋_GB2312" w:hAnsi="仿宋_GB2312" w:eastAsia="仿宋_GB2312" w:cs="仿宋_GB2312"/>
          <w:sz w:val="24"/>
          <w:szCs w:val="24"/>
          <w:lang w:val="en-US" w:eastAsia="zh-CN"/>
        </w:rPr>
        <w:t>10</w:t>
      </w:r>
      <w:r>
        <w:rPr>
          <w:rFonts w:hint="eastAsia" w:ascii="仿宋_GB2312" w:hAnsi="仿宋_GB2312" w:eastAsia="仿宋_GB2312" w:cs="仿宋_GB2312"/>
          <w:sz w:val="24"/>
          <w:szCs w:val="24"/>
        </w:rPr>
        <w:t>:00至1</w:t>
      </w: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:00，下午1</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0至</w:t>
      </w:r>
      <w:r>
        <w:rPr>
          <w:rFonts w:hint="eastAsia" w:ascii="仿宋_GB2312" w:hAnsi="仿宋_GB2312" w:eastAsia="仿宋_GB2312" w:cs="仿宋_GB2312"/>
          <w:sz w:val="24"/>
          <w:szCs w:val="24"/>
          <w:lang w:val="en-US" w:eastAsia="zh-CN"/>
        </w:rPr>
        <w:t>19</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30</w:t>
      </w:r>
      <w:r>
        <w:rPr>
          <w:rFonts w:hint="eastAsia" w:ascii="仿宋_GB2312" w:hAnsi="仿宋_GB2312" w:eastAsia="仿宋_GB2312" w:cs="仿宋_GB2312"/>
          <w:sz w:val="24"/>
          <w:szCs w:val="24"/>
        </w:rPr>
        <w:t>（北京时间，法定节假日除外 ）</w:t>
      </w:r>
    </w:p>
    <w:p>
      <w:pPr>
        <w:keepNext w:val="0"/>
        <w:keepLines w:val="0"/>
        <w:pageBreakBefore w:val="0"/>
        <w:widowControl w:val="0"/>
        <w:kinsoku/>
        <w:wordWrap/>
        <w:overflowPunct/>
        <w:topLinePunct w:val="0"/>
        <w:autoSpaceDE/>
        <w:autoSpaceDN/>
        <w:bidi w:val="0"/>
        <w:adjustRightInd/>
        <w:snapToGrid/>
        <w:spacing w:line="480" w:lineRule="exact"/>
        <w:ind w:firstLine="54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地点：</w:t>
      </w:r>
      <w:r>
        <w:rPr>
          <w:rFonts w:hint="eastAsia" w:ascii="仿宋_GB2312" w:hAnsi="仿宋_GB2312" w:eastAsia="仿宋_GB2312" w:cs="仿宋_GB2312"/>
          <w:kern w:val="0"/>
          <w:sz w:val="24"/>
          <w:szCs w:val="24"/>
        </w:rPr>
        <w:t>政采云平台</w:t>
      </w:r>
      <w:r>
        <w:rPr>
          <w:rFonts w:hint="eastAsia" w:ascii="仿宋_GB2312" w:hAnsi="仿宋_GB2312" w:eastAsia="仿宋_GB2312" w:cs="仿宋_GB2312"/>
          <w:sz w:val="24"/>
          <w:szCs w:val="24"/>
        </w:rPr>
        <w:t> </w:t>
      </w:r>
    </w:p>
    <w:p>
      <w:pPr>
        <w:keepNext w:val="0"/>
        <w:keepLines w:val="0"/>
        <w:pageBreakBefore w:val="0"/>
        <w:widowControl w:val="0"/>
        <w:kinsoku/>
        <w:wordWrap/>
        <w:overflowPunct/>
        <w:topLinePunct w:val="0"/>
        <w:autoSpaceDE/>
        <w:autoSpaceDN/>
        <w:bidi w:val="0"/>
        <w:adjustRightInd/>
        <w:snapToGrid/>
        <w:spacing w:line="480" w:lineRule="exact"/>
        <w:ind w:firstLine="54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方式：政采云平台注册报名成功后下载 </w:t>
      </w:r>
    </w:p>
    <w:p>
      <w:pPr>
        <w:keepNext w:val="0"/>
        <w:keepLines w:val="0"/>
        <w:pageBreakBefore w:val="0"/>
        <w:widowControl w:val="0"/>
        <w:kinsoku/>
        <w:wordWrap/>
        <w:overflowPunct/>
        <w:topLinePunct w:val="0"/>
        <w:autoSpaceDE/>
        <w:autoSpaceDN/>
        <w:bidi w:val="0"/>
        <w:adjustRightInd/>
        <w:snapToGrid/>
        <w:spacing w:line="480" w:lineRule="exact"/>
        <w:ind w:firstLine="54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售价： 0 元/份</w:t>
      </w:r>
    </w:p>
    <w:p>
      <w:pPr>
        <w:pStyle w:val="2"/>
        <w:keepNext w:val="0"/>
        <w:keepLines w:val="0"/>
        <w:pageBreakBefore w:val="0"/>
        <w:widowControl w:val="0"/>
        <w:kinsoku/>
        <w:wordWrap/>
        <w:overflowPunct/>
        <w:topLinePunct w:val="0"/>
        <w:autoSpaceDE/>
        <w:autoSpaceDN/>
        <w:bidi w:val="0"/>
        <w:adjustRightInd/>
        <w:snapToGrid/>
        <w:spacing w:before="0" w:after="0" w:line="480" w:lineRule="exact"/>
        <w:textAlignment w:val="auto"/>
        <w:rPr>
          <w:rFonts w:ascii="仿宋_GB2312" w:hAnsi="仿宋_GB2312" w:eastAsia="仿宋_GB2312" w:cs="仿宋_GB2312"/>
          <w:bCs w:val="0"/>
          <w:sz w:val="24"/>
          <w:szCs w:val="24"/>
        </w:rPr>
      </w:pPr>
      <w:bookmarkStart w:id="17" w:name="_Toc28359092"/>
      <w:bookmarkStart w:id="18" w:name="_Toc35393632"/>
      <w:bookmarkStart w:id="19" w:name="_Toc28359015"/>
      <w:bookmarkStart w:id="20" w:name="_Toc35393801"/>
      <w:bookmarkStart w:id="21" w:name="_Toc4828"/>
      <w:r>
        <w:rPr>
          <w:rFonts w:hint="eastAsia" w:ascii="仿宋_GB2312" w:hAnsi="仿宋_GB2312" w:eastAsia="仿宋_GB2312" w:cs="仿宋_GB2312"/>
          <w:bCs w:val="0"/>
          <w:sz w:val="24"/>
          <w:szCs w:val="24"/>
        </w:rPr>
        <w:t>四、</w:t>
      </w:r>
      <w:bookmarkEnd w:id="17"/>
      <w:bookmarkEnd w:id="18"/>
      <w:bookmarkEnd w:id="19"/>
      <w:bookmarkEnd w:id="20"/>
      <w:r>
        <w:rPr>
          <w:rFonts w:hint="eastAsia" w:ascii="仿宋_GB2312" w:hAnsi="仿宋_GB2312" w:eastAsia="仿宋_GB2312" w:cs="仿宋_GB2312"/>
          <w:bCs w:val="0"/>
          <w:sz w:val="24"/>
          <w:szCs w:val="24"/>
        </w:rPr>
        <w:t>提交投标文件截止时间、开标时间和地点</w:t>
      </w:r>
      <w:bookmarkEnd w:id="21"/>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bCs/>
          <w:sz w:val="24"/>
          <w:szCs w:val="24"/>
        </w:rPr>
      </w:pPr>
      <w:r>
        <w:rPr>
          <w:rFonts w:hint="eastAsia" w:ascii="仿宋_GB2312" w:hAnsi="仿宋_GB2312" w:eastAsia="仿宋_GB2312" w:cs="仿宋_GB2312"/>
          <w:sz w:val="24"/>
          <w:szCs w:val="24"/>
        </w:rPr>
        <w:t>截止时间：</w:t>
      </w:r>
      <w:r>
        <w:rPr>
          <w:rFonts w:hint="eastAsia" w:ascii="仿宋_GB2312" w:hAnsi="仿宋_GB2312" w:eastAsia="仿宋_GB2312" w:cs="仿宋_GB2312"/>
          <w:b w:val="0"/>
          <w:bCs w:val="0"/>
          <w:color w:val="000000" w:themeColor="text1"/>
          <w:sz w:val="24"/>
          <w:szCs w:val="24"/>
          <w14:textFill>
            <w14:solidFill>
              <w14:schemeClr w14:val="tx1"/>
            </w14:solidFill>
          </w14:textFill>
        </w:rPr>
        <w:t>202</w:t>
      </w:r>
      <w:r>
        <w:rPr>
          <w:rFonts w:hint="eastAsia" w:ascii="仿宋_GB2312" w:hAnsi="仿宋_GB2312" w:eastAsia="仿宋_GB2312" w:cs="仿宋_GB2312"/>
          <w:b w:val="0"/>
          <w:bCs w:val="0"/>
          <w:color w:val="000000" w:themeColor="text1"/>
          <w:sz w:val="24"/>
          <w:szCs w:val="24"/>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24"/>
          <w:szCs w:val="24"/>
          <w14:textFill>
            <w14:solidFill>
              <w14:schemeClr w14:val="tx1"/>
            </w14:solidFill>
          </w14:textFill>
        </w:rPr>
        <w:t>年</w:t>
      </w:r>
      <w:r>
        <w:rPr>
          <w:rFonts w:hint="eastAsia" w:ascii="仿宋_GB2312" w:hAnsi="仿宋_GB2312" w:eastAsia="仿宋_GB2312" w:cs="仿宋_GB2312"/>
          <w:b w:val="0"/>
          <w:bCs w:val="0"/>
          <w:color w:val="000000" w:themeColor="text1"/>
          <w:sz w:val="24"/>
          <w:szCs w:val="24"/>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24"/>
          <w:szCs w:val="24"/>
          <w14:textFill>
            <w14:solidFill>
              <w14:schemeClr w14:val="tx1"/>
            </w14:solidFill>
          </w14:textFill>
        </w:rPr>
        <w:t>月</w:t>
      </w:r>
      <w:r>
        <w:rPr>
          <w:rFonts w:hint="eastAsia" w:ascii="仿宋_GB2312" w:hAnsi="仿宋_GB2312" w:eastAsia="仿宋_GB2312" w:cs="仿宋_GB2312"/>
          <w:b w:val="0"/>
          <w:bCs w:val="0"/>
          <w:color w:val="000000" w:themeColor="text1"/>
          <w:sz w:val="24"/>
          <w:szCs w:val="24"/>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24"/>
          <w:szCs w:val="24"/>
          <w14:textFill>
            <w14:solidFill>
              <w14:schemeClr w14:val="tx1"/>
            </w14:solidFill>
          </w14:textFill>
        </w:rPr>
        <w:t>日16点</w:t>
      </w:r>
      <w:r>
        <w:rPr>
          <w:rFonts w:hint="eastAsia" w:ascii="仿宋_GB2312" w:hAnsi="仿宋_GB2312" w:eastAsia="仿宋_GB2312" w:cs="仿宋_GB2312"/>
          <w:b w:val="0"/>
          <w:bCs w:val="0"/>
          <w:color w:val="000000" w:themeColor="text1"/>
          <w:sz w:val="24"/>
          <w:szCs w:val="24"/>
          <w:lang w:val="en-US" w:eastAsia="zh-CN"/>
          <w14:textFill>
            <w14:solidFill>
              <w14:schemeClr w14:val="tx1"/>
            </w14:solidFill>
          </w14:textFill>
        </w:rPr>
        <w:t>0</w:t>
      </w:r>
      <w:r>
        <w:rPr>
          <w:rFonts w:hint="eastAsia" w:ascii="仿宋_GB2312" w:hAnsi="仿宋_GB2312" w:eastAsia="仿宋_GB2312" w:cs="仿宋_GB2312"/>
          <w:b w:val="0"/>
          <w:bCs w:val="0"/>
          <w:color w:val="000000" w:themeColor="text1"/>
          <w:sz w:val="24"/>
          <w:szCs w:val="24"/>
          <w14:textFill>
            <w14:solidFill>
              <w14:schemeClr w14:val="tx1"/>
            </w14:solidFill>
          </w14:textFill>
        </w:rPr>
        <w:t>0分</w:t>
      </w:r>
      <w:r>
        <w:rPr>
          <w:rFonts w:hint="eastAsia" w:ascii="仿宋_GB2312" w:hAnsi="仿宋_GB2312" w:eastAsia="仿宋_GB2312" w:cs="仿宋_GB2312"/>
          <w:bCs/>
          <w:sz w:val="24"/>
          <w:szCs w:val="24"/>
        </w:rPr>
        <w:t>（北京时间）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bCs/>
          <w:sz w:val="24"/>
          <w:szCs w:val="24"/>
        </w:rPr>
      </w:pPr>
      <w:r>
        <w:rPr>
          <w:rFonts w:hint="eastAsia" w:ascii="仿宋_GB2312" w:hAnsi="仿宋_GB2312" w:eastAsia="仿宋_GB2312" w:cs="仿宋_GB2312"/>
          <w:sz w:val="24"/>
          <w:szCs w:val="24"/>
        </w:rPr>
        <w:t xml:space="preserve">地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点：阿克苏药品集散中心办公大楼（温宿县长兴街15号）一楼</w:t>
      </w:r>
    </w:p>
    <w:p>
      <w:pPr>
        <w:pStyle w:val="2"/>
        <w:keepNext w:val="0"/>
        <w:keepLines w:val="0"/>
        <w:pageBreakBefore w:val="0"/>
        <w:widowControl w:val="0"/>
        <w:kinsoku/>
        <w:wordWrap/>
        <w:overflowPunct/>
        <w:topLinePunct w:val="0"/>
        <w:autoSpaceDE/>
        <w:autoSpaceDN/>
        <w:bidi w:val="0"/>
        <w:adjustRightInd/>
        <w:snapToGrid/>
        <w:spacing w:before="0" w:after="0" w:line="480" w:lineRule="exact"/>
        <w:textAlignment w:val="auto"/>
        <w:rPr>
          <w:rFonts w:ascii="仿宋_GB2312" w:hAnsi="仿宋_GB2312" w:eastAsia="仿宋_GB2312" w:cs="仿宋_GB2312"/>
          <w:bCs w:val="0"/>
          <w:sz w:val="24"/>
          <w:szCs w:val="24"/>
        </w:rPr>
      </w:pPr>
      <w:bookmarkStart w:id="22" w:name="_Toc28359094"/>
      <w:bookmarkStart w:id="23" w:name="_Toc35393634"/>
      <w:bookmarkStart w:id="24" w:name="_Toc35393803"/>
      <w:bookmarkStart w:id="25" w:name="_Toc28359017"/>
      <w:bookmarkStart w:id="26" w:name="_Toc23029"/>
      <w:r>
        <w:rPr>
          <w:rFonts w:hint="eastAsia" w:ascii="仿宋_GB2312" w:hAnsi="仿宋_GB2312" w:eastAsia="仿宋_GB2312" w:cs="仿宋_GB2312"/>
          <w:bCs w:val="0"/>
          <w:sz w:val="24"/>
          <w:szCs w:val="24"/>
        </w:rPr>
        <w:t>五、公告期限</w:t>
      </w:r>
      <w:bookmarkEnd w:id="22"/>
      <w:bookmarkEnd w:id="23"/>
      <w:bookmarkEnd w:id="24"/>
      <w:bookmarkEnd w:id="25"/>
      <w:bookmarkEnd w:id="26"/>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自本公告发布之日起5个工作日。</w:t>
      </w:r>
    </w:p>
    <w:p>
      <w:pPr>
        <w:pStyle w:val="2"/>
        <w:keepNext w:val="0"/>
        <w:keepLines w:val="0"/>
        <w:pageBreakBefore w:val="0"/>
        <w:widowControl w:val="0"/>
        <w:kinsoku/>
        <w:wordWrap/>
        <w:overflowPunct/>
        <w:topLinePunct w:val="0"/>
        <w:autoSpaceDE/>
        <w:autoSpaceDN/>
        <w:bidi w:val="0"/>
        <w:adjustRightInd/>
        <w:snapToGrid/>
        <w:spacing w:before="0" w:after="0" w:line="480" w:lineRule="exact"/>
        <w:textAlignment w:val="auto"/>
        <w:rPr>
          <w:rFonts w:ascii="仿宋_GB2312" w:hAnsi="仿宋_GB2312" w:eastAsia="仿宋_GB2312" w:cs="仿宋_GB2312"/>
          <w:b w:val="0"/>
          <w:sz w:val="24"/>
          <w:szCs w:val="24"/>
        </w:rPr>
      </w:pPr>
      <w:bookmarkStart w:id="27" w:name="_Toc35393635"/>
      <w:bookmarkStart w:id="28" w:name="_Toc31024"/>
      <w:bookmarkStart w:id="29" w:name="_Toc35393804"/>
      <w:r>
        <w:rPr>
          <w:rFonts w:hint="eastAsia" w:ascii="仿宋_GB2312" w:hAnsi="仿宋_GB2312" w:eastAsia="仿宋_GB2312" w:cs="仿宋_GB2312"/>
          <w:bCs w:val="0"/>
          <w:sz w:val="24"/>
          <w:szCs w:val="24"/>
        </w:rPr>
        <w:t>六、其他补充事宜</w:t>
      </w:r>
      <w:bookmarkEnd w:id="27"/>
      <w:bookmarkEnd w:id="28"/>
      <w:bookmarkEnd w:id="29"/>
    </w:p>
    <w:p>
      <w:pPr>
        <w:keepNext w:val="0"/>
        <w:keepLines w:val="0"/>
        <w:pageBreakBefore w:val="0"/>
        <w:widowControl w:val="0"/>
        <w:kinsoku/>
        <w:wordWrap/>
        <w:overflowPunct/>
        <w:topLinePunct w:val="0"/>
        <w:autoSpaceDE/>
        <w:autoSpaceDN/>
        <w:bidi w:val="0"/>
        <w:adjustRightInd/>
        <w:snapToGrid/>
        <w:spacing w:line="480" w:lineRule="exact"/>
        <w:textAlignment w:val="auto"/>
        <w:rPr>
          <w:rFonts w:ascii="仿宋_GB2312" w:hAnsi="仿宋_GB2312" w:eastAsia="仿宋_GB2312" w:cs="仿宋_GB2312"/>
          <w:kern w:val="0"/>
          <w:sz w:val="24"/>
          <w:szCs w:val="24"/>
        </w:rPr>
      </w:pPr>
      <w:r>
        <w:rPr>
          <w:rFonts w:hint="eastAsia" w:ascii="仿宋_GB2312" w:hAnsi="仿宋_GB2312" w:eastAsia="仿宋_GB2312" w:cs="仿宋_GB2312"/>
          <w:sz w:val="24"/>
          <w:szCs w:val="24"/>
        </w:rPr>
        <w:t xml:space="preserve">    本招标公告</w:t>
      </w:r>
      <w:r>
        <w:rPr>
          <w:rFonts w:hint="eastAsia" w:ascii="仿宋_GB2312" w:hAnsi="仿宋_GB2312" w:eastAsia="仿宋_GB2312" w:cs="仿宋_GB2312"/>
          <w:kern w:val="0"/>
          <w:sz w:val="24"/>
          <w:szCs w:val="24"/>
        </w:rPr>
        <w:t>在新疆政府采购网发布。</w:t>
      </w:r>
    </w:p>
    <w:p>
      <w:pPr>
        <w:pStyle w:val="2"/>
        <w:keepNext w:val="0"/>
        <w:keepLines w:val="0"/>
        <w:pageBreakBefore w:val="0"/>
        <w:widowControl w:val="0"/>
        <w:kinsoku/>
        <w:wordWrap/>
        <w:overflowPunct/>
        <w:topLinePunct w:val="0"/>
        <w:autoSpaceDE/>
        <w:autoSpaceDN/>
        <w:bidi w:val="0"/>
        <w:adjustRightInd/>
        <w:snapToGrid/>
        <w:spacing w:before="0" w:after="0" w:line="480" w:lineRule="exact"/>
        <w:textAlignment w:val="auto"/>
        <w:rPr>
          <w:rFonts w:ascii="仿宋_GB2312" w:hAnsi="仿宋_GB2312" w:eastAsia="仿宋_GB2312" w:cs="仿宋_GB2312"/>
          <w:bCs w:val="0"/>
          <w:sz w:val="24"/>
          <w:szCs w:val="24"/>
        </w:rPr>
      </w:pPr>
      <w:bookmarkStart w:id="30" w:name="_Toc35393636"/>
      <w:bookmarkStart w:id="31" w:name="_Toc35393805"/>
      <w:bookmarkStart w:id="32" w:name="_Toc28359095"/>
      <w:bookmarkStart w:id="33" w:name="_Toc28359018"/>
      <w:bookmarkStart w:id="34" w:name="_Toc10649"/>
      <w:r>
        <w:rPr>
          <w:rFonts w:hint="eastAsia" w:ascii="仿宋_GB2312" w:hAnsi="仿宋_GB2312" w:eastAsia="仿宋_GB2312" w:cs="仿宋_GB2312"/>
          <w:bCs w:val="0"/>
          <w:sz w:val="24"/>
          <w:szCs w:val="24"/>
        </w:rPr>
        <w:t>八、对本次招标提出询问，请按以下方式联系。</w:t>
      </w:r>
      <w:bookmarkEnd w:id="30"/>
      <w:bookmarkEnd w:id="31"/>
      <w:bookmarkEnd w:id="32"/>
      <w:bookmarkEnd w:id="33"/>
      <w:bookmarkEnd w:id="34"/>
    </w:p>
    <w:p>
      <w:pPr>
        <w:keepNext w:val="0"/>
        <w:keepLines w:val="0"/>
        <w:pageBreakBefore w:val="0"/>
        <w:widowControl w:val="0"/>
        <w:kinsoku/>
        <w:wordWrap/>
        <w:overflowPunct/>
        <w:topLinePunct w:val="0"/>
        <w:autoSpaceDE/>
        <w:autoSpaceDN/>
        <w:bidi w:val="0"/>
        <w:adjustRightInd/>
        <w:snapToGrid/>
        <w:spacing w:line="480" w:lineRule="exact"/>
        <w:ind w:firstLine="240" w:firstLineChars="100"/>
        <w:textAlignment w:val="auto"/>
        <w:rPr>
          <w:rFonts w:ascii="仿宋_GB2312" w:hAnsi="仿宋_GB2312" w:eastAsia="仿宋_GB2312" w:cs="仿宋_GB2312"/>
          <w:kern w:val="0"/>
          <w:sz w:val="24"/>
          <w:szCs w:val="24"/>
        </w:rPr>
      </w:pPr>
      <w:bookmarkStart w:id="35" w:name="_Toc28359019"/>
      <w:bookmarkStart w:id="36" w:name="_Toc35393637"/>
      <w:bookmarkStart w:id="37" w:name="_Toc35393806"/>
      <w:bookmarkStart w:id="38" w:name="_Toc28359096"/>
      <w:r>
        <w:rPr>
          <w:rFonts w:hint="eastAsia" w:ascii="仿宋_GB2312" w:hAnsi="仿宋_GB2312" w:eastAsia="仿宋_GB2312" w:cs="仿宋_GB2312"/>
          <w:kern w:val="0"/>
          <w:sz w:val="24"/>
          <w:szCs w:val="24"/>
        </w:rPr>
        <w:t>1、采购人信息</w:t>
      </w:r>
      <w:bookmarkEnd w:id="35"/>
      <w:bookmarkEnd w:id="36"/>
      <w:bookmarkEnd w:id="37"/>
      <w:bookmarkEnd w:id="38"/>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名    称：</w:t>
      </w:r>
      <w:r>
        <w:rPr>
          <w:rFonts w:hint="eastAsia" w:ascii="仿宋_GB2312" w:hAnsi="仿宋_GB2312" w:eastAsia="仿宋_GB2312" w:cs="仿宋_GB2312"/>
          <w:kern w:val="0"/>
          <w:sz w:val="24"/>
          <w:szCs w:val="24"/>
          <w:lang w:eastAsia="zh-CN"/>
        </w:rPr>
        <w:t>阿克苏地区第四人民医院</w:t>
      </w:r>
      <w:r>
        <w:rPr>
          <w:rFonts w:hint="eastAsia" w:ascii="仿宋_GB2312" w:hAnsi="仿宋_GB2312" w:eastAsia="仿宋_GB2312" w:cs="仿宋_GB2312"/>
          <w:kern w:val="0"/>
          <w:sz w:val="24"/>
          <w:szCs w:val="24"/>
        </w:rPr>
        <w:t>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地    址：</w:t>
      </w:r>
      <w:r>
        <w:rPr>
          <w:rFonts w:hint="eastAsia" w:ascii="仿宋_GB2312" w:hAnsi="仿宋_GB2312" w:eastAsia="仿宋_GB2312" w:cs="仿宋_GB2312"/>
          <w:kern w:val="0"/>
          <w:sz w:val="24"/>
          <w:szCs w:val="24"/>
          <w:lang w:eastAsia="zh-CN"/>
        </w:rPr>
        <w:t>阿克苏地区阿克苏市幸福路6号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eastAsia="zh-CN"/>
        </w:rPr>
        <w:t>项目联系方</w:t>
      </w:r>
      <w:r>
        <w:rPr>
          <w:rFonts w:hint="eastAsia" w:ascii="仿宋_GB2312" w:hAnsi="仿宋_GB2312" w:eastAsia="仿宋_GB2312" w:cs="仿宋_GB2312"/>
          <w:kern w:val="0"/>
          <w:sz w:val="24"/>
          <w:szCs w:val="24"/>
        </w:rPr>
        <w:t>式：</w:t>
      </w:r>
      <w:r>
        <w:rPr>
          <w:rFonts w:hint="eastAsia" w:ascii="仿宋_GB2312" w:hAnsi="仿宋_GB2312" w:eastAsia="仿宋_GB2312" w:cs="仿宋_GB2312"/>
          <w:kern w:val="0"/>
          <w:sz w:val="24"/>
          <w:szCs w:val="24"/>
          <w:lang w:val="en-US" w:eastAsia="zh-CN"/>
        </w:rPr>
        <w:t>15026389711</w:t>
      </w:r>
      <w:r>
        <w:rPr>
          <w:rFonts w:hint="eastAsia" w:ascii="仿宋_GB2312" w:hAnsi="仿宋_GB2312" w:eastAsia="仿宋_GB2312" w:cs="仿宋_GB2312"/>
          <w:kern w:val="0"/>
          <w:sz w:val="24"/>
          <w:szCs w:val="24"/>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240" w:firstLineChars="100"/>
        <w:textAlignment w:val="auto"/>
        <w:rPr>
          <w:rFonts w:ascii="仿宋_GB2312" w:hAnsi="仿宋_GB2312" w:eastAsia="仿宋_GB2312" w:cs="仿宋_GB2312"/>
          <w:kern w:val="0"/>
          <w:sz w:val="24"/>
          <w:szCs w:val="24"/>
        </w:rPr>
      </w:pPr>
      <w:bookmarkStart w:id="39" w:name="_Toc35393638"/>
      <w:bookmarkStart w:id="40" w:name="_Toc35393807"/>
      <w:bookmarkStart w:id="41" w:name="_Toc28359097"/>
      <w:bookmarkStart w:id="42" w:name="_Toc28359020"/>
      <w:r>
        <w:rPr>
          <w:rFonts w:hint="eastAsia" w:ascii="仿宋_GB2312" w:hAnsi="仿宋_GB2312" w:eastAsia="仿宋_GB2312" w:cs="仿宋_GB2312"/>
          <w:kern w:val="0"/>
          <w:sz w:val="24"/>
          <w:szCs w:val="24"/>
        </w:rPr>
        <w:t>2、采购代理机构信息</w:t>
      </w:r>
      <w:bookmarkEnd w:id="39"/>
      <w:bookmarkEnd w:id="40"/>
      <w:bookmarkEnd w:id="41"/>
      <w:bookmarkEnd w:id="42"/>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名    称：</w:t>
      </w:r>
      <w:r>
        <w:rPr>
          <w:rFonts w:hint="eastAsia" w:ascii="仿宋_GB2312" w:hAnsi="仿宋_GB2312" w:eastAsia="仿宋_GB2312" w:cs="仿宋_GB2312"/>
          <w:kern w:val="0"/>
          <w:sz w:val="24"/>
          <w:szCs w:val="24"/>
          <w:lang w:eastAsia="zh-CN"/>
        </w:rPr>
        <w:t>新疆华玫睿项目管理有限公司</w:t>
      </w:r>
      <w:r>
        <w:rPr>
          <w:rFonts w:hint="eastAsia" w:ascii="仿宋_GB2312" w:hAnsi="仿宋_GB2312" w:eastAsia="仿宋_GB2312" w:cs="仿宋_GB2312"/>
          <w:kern w:val="0"/>
          <w:sz w:val="24"/>
          <w:szCs w:val="24"/>
        </w:rPr>
        <w:t>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地　　址：</w:t>
      </w:r>
      <w:r>
        <w:rPr>
          <w:rFonts w:hint="eastAsia" w:ascii="仿宋_GB2312" w:hAnsi="仿宋_GB2312" w:eastAsia="仿宋_GB2312" w:cs="仿宋_GB2312"/>
          <w:kern w:val="0"/>
          <w:sz w:val="24"/>
          <w:szCs w:val="24"/>
          <w:lang w:val="en-US" w:eastAsia="zh-CN"/>
        </w:rPr>
        <w:t>阿克苏市南城街道南郊路6号多浪水泥厂家属院办公楼201室  </w:t>
      </w:r>
      <w:r>
        <w:rPr>
          <w:rFonts w:hint="eastAsia" w:ascii="仿宋_GB2312" w:hAnsi="仿宋_GB2312" w:eastAsia="仿宋_GB2312" w:cs="仿宋_GB2312"/>
          <w:kern w:val="0"/>
          <w:sz w:val="24"/>
          <w:szCs w:val="24"/>
        </w:rPr>
        <w:t>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项目联系方式：</w:t>
      </w:r>
      <w:r>
        <w:rPr>
          <w:rFonts w:hint="eastAsia" w:ascii="仿宋_GB2312" w:hAnsi="仿宋_GB2312" w:eastAsia="仿宋_GB2312" w:cs="仿宋_GB2312"/>
          <w:kern w:val="0"/>
          <w:sz w:val="24"/>
          <w:szCs w:val="24"/>
          <w:lang w:val="en-US" w:eastAsia="zh-CN"/>
        </w:rPr>
        <w:t>13579399515</w:t>
      </w:r>
      <w:r>
        <w:rPr>
          <w:rFonts w:hint="eastAsia" w:ascii="仿宋_GB2312" w:hAnsi="仿宋_GB2312" w:eastAsia="仿宋_GB2312" w:cs="仿宋_GB2312"/>
          <w:kern w:val="0"/>
          <w:sz w:val="24"/>
          <w:szCs w:val="24"/>
        </w:rPr>
        <w:t> </w:t>
      </w:r>
    </w:p>
    <w:p>
      <w:pPr>
        <w:keepNext w:val="0"/>
        <w:keepLines w:val="0"/>
        <w:pageBreakBefore w:val="0"/>
        <w:widowControl w:val="0"/>
        <w:kinsoku/>
        <w:wordWrap/>
        <w:overflowPunct/>
        <w:topLinePunct w:val="0"/>
        <w:autoSpaceDE/>
        <w:autoSpaceDN/>
        <w:bidi w:val="0"/>
        <w:adjustRightInd/>
        <w:snapToGrid/>
        <w:spacing w:line="480" w:lineRule="exact"/>
        <w:ind w:firstLine="240" w:firstLineChars="100"/>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3、项目联系方式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项目联系人：</w:t>
      </w:r>
      <w:r>
        <w:rPr>
          <w:rFonts w:hint="eastAsia" w:ascii="仿宋_GB2312" w:hAnsi="仿宋_GB2312" w:eastAsia="仿宋_GB2312" w:cs="仿宋_GB2312"/>
          <w:kern w:val="0"/>
          <w:sz w:val="24"/>
          <w:szCs w:val="24"/>
          <w:lang w:eastAsia="zh-CN"/>
        </w:rPr>
        <w:t>张恩慈</w:t>
      </w:r>
      <w:r>
        <w:rPr>
          <w:rFonts w:hint="eastAsia" w:ascii="仿宋_GB2312" w:hAnsi="仿宋_GB2312" w:eastAsia="仿宋_GB2312" w:cs="仿宋_GB2312"/>
          <w:kern w:val="0"/>
          <w:sz w:val="24"/>
          <w:szCs w:val="24"/>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24"/>
          <w:szCs w:val="24"/>
        </w:rPr>
        <w:t>电　　  话：</w:t>
      </w:r>
      <w:r>
        <w:rPr>
          <w:rFonts w:hint="eastAsia" w:ascii="仿宋_GB2312" w:hAnsi="仿宋_GB2312" w:eastAsia="仿宋_GB2312" w:cs="仿宋_GB2312"/>
          <w:kern w:val="0"/>
          <w:sz w:val="24"/>
          <w:szCs w:val="24"/>
          <w:lang w:val="en-US" w:eastAsia="zh-CN"/>
        </w:rPr>
        <w:t>13579399515</w:t>
      </w:r>
      <w:r>
        <w:rPr>
          <w:rFonts w:hint="eastAsia" w:ascii="仿宋_GB2312" w:hAnsi="仿宋_GB2312" w:eastAsia="仿宋_GB2312" w:cs="仿宋_GB2312"/>
          <w:kern w:val="0"/>
          <w:sz w:val="24"/>
          <w:szCs w:val="24"/>
        </w:rPr>
        <w:t xml:space="preserve">   </w:t>
      </w:r>
      <w:r>
        <w:rPr>
          <w:rFonts w:hint="eastAsia" w:ascii="仿宋_GB2312" w:hAnsi="仿宋_GB2312" w:eastAsia="仿宋_GB2312" w:cs="仿宋_GB2312"/>
          <w:kern w:val="0"/>
          <w:sz w:val="32"/>
          <w:szCs w:val="32"/>
        </w:rPr>
        <w:t xml:space="preserve">   </w:t>
      </w:r>
    </w:p>
    <w:p>
      <w:pPr>
        <w:spacing w:line="560" w:lineRule="exact"/>
        <w:ind w:firstLine="640" w:firstLineChars="200"/>
        <w:rPr>
          <w:rFonts w:ascii="仿宋_GB2312" w:hAnsi="仿宋_GB2312" w:eastAsia="仿宋_GB2312" w:cs="仿宋_GB2312"/>
          <w:kern w:val="0"/>
          <w:sz w:val="32"/>
          <w:szCs w:val="32"/>
        </w:rPr>
      </w:pPr>
    </w:p>
    <w:p>
      <w:pPr>
        <w:spacing w:line="480" w:lineRule="exact"/>
        <w:ind w:firstLine="48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8"/>
          <w:szCs w:val="28"/>
        </w:rPr>
        <w:t xml:space="preserve"> </w:t>
      </w:r>
      <w:r>
        <w:rPr>
          <w:rFonts w:hint="eastAsia" w:ascii="仿宋_GB2312" w:hAnsi="仿宋_GB2312" w:eastAsia="仿宋_GB2312" w:cs="仿宋_GB2312"/>
          <w:kern w:val="0"/>
          <w:sz w:val="32"/>
          <w:szCs w:val="32"/>
        </w:rPr>
        <w:t xml:space="preserve">  </w:t>
      </w:r>
    </w:p>
    <w:p>
      <w:pPr>
        <w:spacing w:line="560" w:lineRule="exact"/>
        <w:ind w:firstLine="640" w:firstLineChars="200"/>
        <w:rPr>
          <w:rFonts w:ascii="仿宋_GB2312" w:hAnsi="仿宋_GB2312" w:eastAsia="仿宋_GB2312" w:cs="仿宋_GB2312"/>
          <w:kern w:val="0"/>
          <w:sz w:val="32"/>
          <w:szCs w:val="32"/>
        </w:rPr>
      </w:pPr>
    </w:p>
    <w:p>
      <w:pPr>
        <w:pStyle w:val="68"/>
        <w:snapToGrid w:val="0"/>
        <w:spacing w:line="360" w:lineRule="exact"/>
        <w:jc w:val="center"/>
        <w:outlineLvl w:val="0"/>
        <w:rPr>
          <w:rFonts w:hint="eastAsia"/>
          <w:b/>
          <w:bCs/>
          <w:color w:val="auto"/>
          <w:sz w:val="32"/>
          <w:szCs w:val="32"/>
        </w:rPr>
      </w:pPr>
      <w:bookmarkStart w:id="43" w:name="_Toc30743"/>
    </w:p>
    <w:p>
      <w:pPr>
        <w:pStyle w:val="68"/>
        <w:snapToGrid w:val="0"/>
        <w:spacing w:line="360" w:lineRule="exact"/>
        <w:jc w:val="center"/>
        <w:outlineLvl w:val="0"/>
        <w:rPr>
          <w:rFonts w:hint="eastAsia"/>
          <w:b/>
          <w:bCs/>
          <w:color w:val="auto"/>
          <w:sz w:val="32"/>
          <w:szCs w:val="32"/>
        </w:rPr>
      </w:pPr>
    </w:p>
    <w:p>
      <w:pPr>
        <w:pStyle w:val="68"/>
        <w:snapToGrid w:val="0"/>
        <w:spacing w:line="360" w:lineRule="exact"/>
        <w:jc w:val="center"/>
        <w:outlineLvl w:val="0"/>
        <w:rPr>
          <w:rFonts w:hint="eastAsia"/>
          <w:b/>
          <w:bCs/>
          <w:color w:val="auto"/>
          <w:sz w:val="32"/>
          <w:szCs w:val="32"/>
        </w:rPr>
      </w:pPr>
    </w:p>
    <w:p>
      <w:pPr>
        <w:pStyle w:val="68"/>
        <w:snapToGrid w:val="0"/>
        <w:spacing w:line="360" w:lineRule="exact"/>
        <w:jc w:val="center"/>
        <w:outlineLvl w:val="0"/>
        <w:rPr>
          <w:rFonts w:hint="eastAsia"/>
          <w:b/>
          <w:bCs/>
          <w:color w:val="auto"/>
          <w:sz w:val="32"/>
          <w:szCs w:val="32"/>
        </w:rPr>
      </w:pPr>
    </w:p>
    <w:p>
      <w:pPr>
        <w:pStyle w:val="68"/>
        <w:snapToGrid w:val="0"/>
        <w:spacing w:line="360" w:lineRule="exact"/>
        <w:jc w:val="center"/>
        <w:outlineLvl w:val="0"/>
        <w:rPr>
          <w:rFonts w:hint="eastAsia"/>
          <w:b/>
          <w:bCs/>
          <w:color w:val="auto"/>
          <w:sz w:val="32"/>
          <w:szCs w:val="32"/>
        </w:rPr>
      </w:pPr>
    </w:p>
    <w:p>
      <w:pPr>
        <w:pStyle w:val="68"/>
        <w:snapToGrid w:val="0"/>
        <w:spacing w:line="360" w:lineRule="exact"/>
        <w:jc w:val="center"/>
        <w:outlineLvl w:val="0"/>
        <w:rPr>
          <w:rFonts w:hint="eastAsia"/>
          <w:b/>
          <w:bCs/>
          <w:color w:val="auto"/>
          <w:sz w:val="32"/>
          <w:szCs w:val="32"/>
        </w:rPr>
      </w:pPr>
    </w:p>
    <w:p>
      <w:pPr>
        <w:pStyle w:val="68"/>
        <w:snapToGrid w:val="0"/>
        <w:spacing w:line="360" w:lineRule="exact"/>
        <w:jc w:val="center"/>
        <w:outlineLvl w:val="0"/>
        <w:rPr>
          <w:rFonts w:hint="eastAsia"/>
          <w:b/>
          <w:bCs/>
          <w:color w:val="auto"/>
          <w:sz w:val="32"/>
          <w:szCs w:val="32"/>
        </w:rPr>
      </w:pPr>
    </w:p>
    <w:p>
      <w:pPr>
        <w:pStyle w:val="68"/>
        <w:snapToGrid w:val="0"/>
        <w:spacing w:line="360" w:lineRule="exact"/>
        <w:jc w:val="center"/>
        <w:outlineLvl w:val="0"/>
        <w:rPr>
          <w:rFonts w:hint="eastAsia"/>
          <w:b/>
          <w:bCs/>
          <w:color w:val="auto"/>
          <w:sz w:val="32"/>
          <w:szCs w:val="32"/>
        </w:rPr>
      </w:pPr>
    </w:p>
    <w:p>
      <w:pPr>
        <w:pStyle w:val="68"/>
        <w:snapToGrid w:val="0"/>
        <w:spacing w:line="360" w:lineRule="exact"/>
        <w:jc w:val="center"/>
        <w:outlineLvl w:val="0"/>
        <w:rPr>
          <w:b/>
          <w:bCs/>
          <w:color w:val="auto"/>
          <w:sz w:val="32"/>
          <w:szCs w:val="32"/>
        </w:rPr>
      </w:pPr>
      <w:r>
        <w:rPr>
          <w:rFonts w:hint="eastAsia"/>
          <w:b/>
          <w:bCs/>
          <w:color w:val="auto"/>
          <w:sz w:val="32"/>
          <w:szCs w:val="32"/>
        </w:rPr>
        <w:t>第二章  投标人须知</w:t>
      </w:r>
      <w:bookmarkEnd w:id="43"/>
    </w:p>
    <w:p>
      <w:pPr>
        <w:pStyle w:val="68"/>
        <w:snapToGrid w:val="0"/>
        <w:spacing w:line="276" w:lineRule="auto"/>
        <w:jc w:val="center"/>
        <w:outlineLvl w:val="0"/>
        <w:rPr>
          <w:rFonts w:ascii="宋体" w:hAnsi="宋体"/>
          <w:b/>
          <w:bCs/>
          <w:color w:val="auto"/>
          <w:sz w:val="28"/>
          <w:szCs w:val="28"/>
        </w:rPr>
      </w:pPr>
      <w:bookmarkStart w:id="44" w:name="_Toc16728"/>
      <w:r>
        <w:rPr>
          <w:rFonts w:hint="eastAsia" w:ascii="宋体" w:hAnsi="宋体"/>
          <w:b/>
          <w:bCs/>
          <w:color w:val="auto"/>
          <w:sz w:val="28"/>
          <w:szCs w:val="28"/>
        </w:rPr>
        <w:t>投标人须知前附表</w:t>
      </w:r>
      <w:bookmarkEnd w:id="44"/>
    </w:p>
    <w:tbl>
      <w:tblPr>
        <w:tblStyle w:val="39"/>
        <w:tblW w:w="0" w:type="auto"/>
        <w:jc w:val="center"/>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21"/>
        <w:gridCol w:w="8782"/>
      </w:tblGrid>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21" w:type="dxa"/>
            <w:vAlign w:val="center"/>
          </w:tcPr>
          <w:p>
            <w:pPr>
              <w:spacing w:line="276" w:lineRule="auto"/>
              <w:jc w:val="center"/>
              <w:rPr>
                <w:rFonts w:ascii="宋体" w:hAnsi="宋体"/>
                <w:b/>
                <w:sz w:val="24"/>
              </w:rPr>
            </w:pPr>
            <w:bookmarkStart w:id="45" w:name="_Toc811"/>
            <w:r>
              <w:rPr>
                <w:rFonts w:hint="eastAsia" w:ascii="宋体" w:hAnsi="宋体"/>
                <w:b/>
                <w:sz w:val="24"/>
              </w:rPr>
              <w:t>序号</w:t>
            </w:r>
          </w:p>
        </w:tc>
        <w:tc>
          <w:tcPr>
            <w:tcW w:w="8782" w:type="dxa"/>
            <w:vAlign w:val="center"/>
          </w:tcPr>
          <w:p>
            <w:pPr>
              <w:spacing w:line="276" w:lineRule="auto"/>
              <w:ind w:firstLine="482" w:firstLineChars="200"/>
              <w:jc w:val="center"/>
              <w:rPr>
                <w:rFonts w:ascii="宋体" w:hAnsi="宋体"/>
                <w:b/>
                <w:sz w:val="24"/>
              </w:rPr>
            </w:pPr>
            <w:r>
              <w:rPr>
                <w:rFonts w:hint="eastAsia" w:ascii="宋体" w:hAnsi="宋体"/>
                <w:b/>
                <w:sz w:val="24"/>
              </w:rPr>
              <w:t>内   容   规   定</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1</w:t>
            </w:r>
          </w:p>
        </w:tc>
        <w:tc>
          <w:tcPr>
            <w:tcW w:w="8782" w:type="dxa"/>
            <w:vAlign w:val="center"/>
          </w:tcPr>
          <w:p>
            <w:pPr>
              <w:pStyle w:val="7"/>
              <w:ind w:left="0" w:leftChars="0" w:firstLine="0" w:firstLineChars="0"/>
              <w:rPr>
                <w:rFonts w:hint="eastAsia" w:ascii="宋体" w:hAnsi="宋体"/>
                <w:b/>
                <w:sz w:val="24"/>
                <w:lang w:eastAsia="zh-CN"/>
              </w:rPr>
            </w:pPr>
            <w:r>
              <w:rPr>
                <w:rFonts w:hint="eastAsia" w:ascii="宋体" w:hAnsi="宋体"/>
                <w:b/>
                <w:sz w:val="24"/>
              </w:rPr>
              <w:t>项目名称：</w:t>
            </w:r>
            <w:r>
              <w:rPr>
                <w:rFonts w:hint="eastAsia" w:ascii="宋体" w:hAnsi="宋体"/>
                <w:b/>
                <w:sz w:val="24"/>
                <w:lang w:eastAsia="zh-CN"/>
              </w:rPr>
              <w:t>阿克苏地区第四人民医院等级医院相关医疗服务开发能力提升项目</w:t>
            </w:r>
          </w:p>
          <w:p>
            <w:pPr>
              <w:widowControl/>
              <w:spacing w:line="276" w:lineRule="auto"/>
              <w:jc w:val="left"/>
              <w:rPr>
                <w:rFonts w:hint="eastAsia" w:ascii="宋体" w:hAnsi="宋体"/>
                <w:b/>
                <w:color w:val="auto"/>
                <w:sz w:val="24"/>
                <w:lang w:val="en-US" w:eastAsia="zh-CN"/>
              </w:rPr>
            </w:pPr>
            <w:r>
              <w:rPr>
                <w:rFonts w:hint="eastAsia" w:ascii="宋体" w:hAnsi="宋体"/>
                <w:b/>
                <w:sz w:val="24"/>
              </w:rPr>
              <w:t>项目编号：</w:t>
            </w:r>
            <w:r>
              <w:rPr>
                <w:rFonts w:hint="eastAsia" w:ascii="宋体" w:hAnsi="宋体"/>
                <w:b/>
                <w:sz w:val="24"/>
                <w:lang w:eastAsia="zh-CN"/>
              </w:rPr>
              <w:t>分202</w:t>
            </w:r>
            <w:r>
              <w:rPr>
                <w:rFonts w:hint="eastAsia" w:ascii="宋体" w:hAnsi="宋体"/>
                <w:b/>
                <w:sz w:val="24"/>
                <w:lang w:val="en-US" w:eastAsia="zh-CN"/>
              </w:rPr>
              <w:t>2</w:t>
            </w:r>
            <w:r>
              <w:rPr>
                <w:rFonts w:hint="eastAsia" w:ascii="宋体" w:hAnsi="宋体"/>
                <w:b/>
                <w:sz w:val="24"/>
                <w:lang w:eastAsia="zh-CN"/>
              </w:rPr>
              <w:t>-01-</w:t>
            </w:r>
            <w:r>
              <w:rPr>
                <w:rFonts w:hint="eastAsia" w:ascii="宋体" w:hAnsi="宋体"/>
                <w:b/>
                <w:sz w:val="24"/>
                <w:lang w:val="en-US" w:eastAsia="zh-CN"/>
              </w:rPr>
              <w:t>18</w:t>
            </w:r>
          </w:p>
          <w:p>
            <w:pPr>
              <w:pStyle w:val="7"/>
              <w:ind w:left="0" w:leftChars="0" w:firstLine="0" w:firstLineChars="0"/>
              <w:rPr>
                <w:rFonts w:hint="default" w:ascii="宋体" w:hAnsi="宋体" w:eastAsia="宋体"/>
                <w:sz w:val="24"/>
                <w:lang w:val="en-US" w:eastAsia="zh-CN"/>
              </w:rPr>
            </w:pPr>
            <w:r>
              <w:rPr>
                <w:rFonts w:hint="eastAsia" w:ascii="宋体" w:hAnsi="宋体" w:cs="宋体"/>
                <w:b/>
                <w:kern w:val="0"/>
                <w:sz w:val="24"/>
              </w:rPr>
              <w:t>供货期：</w:t>
            </w:r>
            <w:r>
              <w:rPr>
                <w:rFonts w:hint="eastAsia" w:ascii="宋体" w:hAnsi="宋体"/>
                <w:sz w:val="24"/>
              </w:rPr>
              <w:t>合同签订之日起</w:t>
            </w:r>
            <w:r>
              <w:rPr>
                <w:rFonts w:hint="eastAsia" w:ascii="宋体" w:hAnsi="宋体"/>
                <w:color w:val="000000" w:themeColor="text1"/>
                <w:sz w:val="24"/>
                <w:lang w:val="en-US" w:eastAsia="zh-CN"/>
                <w14:textFill>
                  <w14:solidFill>
                    <w14:schemeClr w14:val="tx1"/>
                  </w14:solidFill>
                </w14:textFill>
              </w:rPr>
              <w:t>120</w:t>
            </w:r>
            <w:r>
              <w:rPr>
                <w:rFonts w:hint="eastAsia" w:ascii="宋体" w:hAnsi="宋体"/>
                <w:color w:val="000000" w:themeColor="text1"/>
                <w:sz w:val="24"/>
                <w14:textFill>
                  <w14:solidFill>
                    <w14:schemeClr w14:val="tx1"/>
                  </w14:solidFill>
                </w14:textFill>
              </w:rPr>
              <w:t>日历天</w:t>
            </w:r>
            <w:r>
              <w:rPr>
                <w:rFonts w:hint="eastAsia" w:ascii="宋体" w:hAnsi="宋体"/>
                <w:sz w:val="24"/>
              </w:rPr>
              <w:t>完成供货、安装、调试、培训。</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w:t>
            </w:r>
          </w:p>
        </w:tc>
        <w:tc>
          <w:tcPr>
            <w:tcW w:w="8782" w:type="dxa"/>
            <w:vAlign w:val="center"/>
          </w:tcPr>
          <w:p>
            <w:pPr>
              <w:spacing w:line="276" w:lineRule="auto"/>
              <w:rPr>
                <w:rFonts w:hint="eastAsia" w:ascii="宋体" w:hAnsi="宋体" w:eastAsia="宋体" w:cs="宋体"/>
                <w:kern w:val="1"/>
                <w:sz w:val="24"/>
                <w:lang w:eastAsia="zh-CN"/>
              </w:rPr>
            </w:pPr>
            <w:r>
              <w:rPr>
                <w:rFonts w:hint="eastAsia" w:ascii="宋体" w:hAnsi="宋体"/>
                <w:b/>
                <w:sz w:val="24"/>
              </w:rPr>
              <w:t>招标人：</w:t>
            </w:r>
            <w:r>
              <w:rPr>
                <w:rFonts w:hint="eastAsia" w:ascii="宋体" w:hAnsi="宋体"/>
                <w:b w:val="0"/>
                <w:bCs/>
                <w:sz w:val="24"/>
                <w:lang w:eastAsia="zh-CN"/>
              </w:rPr>
              <w:t>阿克苏地区第四人民医院</w:t>
            </w:r>
          </w:p>
          <w:p>
            <w:pPr>
              <w:spacing w:line="276" w:lineRule="auto"/>
              <w:rPr>
                <w:rFonts w:hint="eastAsia" w:ascii="宋体" w:hAnsi="宋体" w:cs="宋体"/>
                <w:kern w:val="1"/>
                <w:sz w:val="24"/>
                <w:lang w:eastAsia="zh-CN"/>
              </w:rPr>
            </w:pPr>
            <w:r>
              <w:rPr>
                <w:rFonts w:hint="eastAsia" w:ascii="宋体" w:hAnsi="宋体"/>
                <w:b/>
                <w:sz w:val="24"/>
              </w:rPr>
              <w:t>地址：</w:t>
            </w:r>
            <w:r>
              <w:rPr>
                <w:rFonts w:hint="eastAsia" w:ascii="宋体" w:hAnsi="宋体"/>
                <w:b w:val="0"/>
                <w:bCs/>
                <w:sz w:val="24"/>
                <w:lang w:eastAsia="zh-CN"/>
              </w:rPr>
              <w:t>阿克苏地区阿克苏市幸福路6号</w:t>
            </w:r>
          </w:p>
          <w:p>
            <w:pPr>
              <w:spacing w:line="276" w:lineRule="auto"/>
              <w:rPr>
                <w:rFonts w:hint="eastAsia" w:ascii="宋体" w:hAnsi="宋体"/>
                <w:b/>
                <w:sz w:val="24"/>
                <w:lang w:val="en-US" w:eastAsia="zh-CN"/>
              </w:rPr>
            </w:pPr>
            <w:r>
              <w:rPr>
                <w:rFonts w:hint="eastAsia" w:ascii="宋体" w:hAnsi="宋体"/>
                <w:b/>
                <w:sz w:val="24"/>
              </w:rPr>
              <w:t>联系人：</w:t>
            </w:r>
            <w:r>
              <w:rPr>
                <w:rFonts w:hint="eastAsia" w:ascii="宋体" w:hAnsi="宋体"/>
                <w:b w:val="0"/>
                <w:bCs/>
                <w:sz w:val="24"/>
                <w:lang w:val="en-US" w:eastAsia="zh-CN"/>
              </w:rPr>
              <w:t>王炳元</w:t>
            </w:r>
          </w:p>
          <w:p>
            <w:pPr>
              <w:spacing w:line="276" w:lineRule="auto"/>
              <w:rPr>
                <w:rFonts w:ascii="宋体" w:hAnsi="宋体"/>
                <w:sz w:val="24"/>
              </w:rPr>
            </w:pPr>
            <w:r>
              <w:rPr>
                <w:rFonts w:hint="eastAsia" w:ascii="宋体" w:hAnsi="宋体"/>
                <w:b/>
                <w:sz w:val="24"/>
              </w:rPr>
              <w:t>电话：</w:t>
            </w:r>
            <w:r>
              <w:rPr>
                <w:rFonts w:hint="eastAsia" w:ascii="宋体" w:hAnsi="宋体"/>
                <w:b w:val="0"/>
                <w:bCs/>
                <w:sz w:val="24"/>
                <w:lang w:val="en-US" w:eastAsia="zh-CN"/>
              </w:rPr>
              <w:t>15026389711</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3</w:t>
            </w:r>
          </w:p>
        </w:tc>
        <w:tc>
          <w:tcPr>
            <w:tcW w:w="8782" w:type="dxa"/>
            <w:vAlign w:val="center"/>
          </w:tcPr>
          <w:p>
            <w:pPr>
              <w:spacing w:line="276" w:lineRule="auto"/>
              <w:textAlignment w:val="baseline"/>
              <w:rPr>
                <w:rFonts w:hint="eastAsia" w:ascii="宋体" w:hAnsi="宋体" w:eastAsia="宋体"/>
                <w:sz w:val="24"/>
                <w:lang w:eastAsia="zh-CN"/>
              </w:rPr>
            </w:pPr>
            <w:r>
              <w:rPr>
                <w:rFonts w:hint="eastAsia" w:ascii="宋体" w:hAnsi="宋体"/>
                <w:b/>
                <w:sz w:val="24"/>
              </w:rPr>
              <w:t>招标代理机构：</w:t>
            </w:r>
            <w:r>
              <w:rPr>
                <w:rFonts w:hint="eastAsia" w:ascii="宋体" w:hAnsi="宋体"/>
                <w:sz w:val="24"/>
                <w:lang w:eastAsia="zh-CN"/>
              </w:rPr>
              <w:t>新疆华玫睿项目管理有限公司</w:t>
            </w:r>
          </w:p>
          <w:p>
            <w:pPr>
              <w:spacing w:line="276" w:lineRule="auto"/>
              <w:textAlignment w:val="baseline"/>
              <w:rPr>
                <w:rFonts w:hint="eastAsia" w:ascii="宋体" w:hAnsi="宋体"/>
                <w:sz w:val="24"/>
                <w:lang w:eastAsia="zh-CN"/>
              </w:rPr>
            </w:pPr>
            <w:r>
              <w:rPr>
                <w:rFonts w:hint="eastAsia" w:ascii="宋体" w:hAnsi="宋体"/>
                <w:b/>
                <w:sz w:val="24"/>
              </w:rPr>
              <w:t>地  址：</w:t>
            </w:r>
            <w:r>
              <w:rPr>
                <w:rFonts w:hint="eastAsia" w:ascii="宋体" w:hAnsi="宋体"/>
                <w:sz w:val="24"/>
                <w:lang w:val="en-US" w:eastAsia="zh-CN"/>
              </w:rPr>
              <w:t>阿克苏市南城街道南郊路6号多浪水泥厂家属院办公楼201室</w:t>
            </w:r>
            <w:r>
              <w:rPr>
                <w:rFonts w:hint="eastAsia" w:ascii="宋体" w:hAnsi="宋体"/>
                <w:sz w:val="24"/>
                <w:lang w:eastAsia="zh-CN"/>
              </w:rPr>
              <w:t> </w:t>
            </w:r>
          </w:p>
          <w:p>
            <w:pPr>
              <w:spacing w:line="276" w:lineRule="auto"/>
              <w:textAlignment w:val="baseline"/>
              <w:rPr>
                <w:rFonts w:hint="eastAsia" w:ascii="宋体" w:hAnsi="宋体" w:eastAsia="宋体"/>
                <w:sz w:val="24"/>
                <w:lang w:eastAsia="zh-CN"/>
              </w:rPr>
            </w:pPr>
            <w:r>
              <w:rPr>
                <w:rFonts w:hint="eastAsia" w:ascii="宋体" w:hAnsi="宋体"/>
                <w:b/>
                <w:sz w:val="24"/>
              </w:rPr>
              <w:t>联系人：</w:t>
            </w:r>
            <w:r>
              <w:rPr>
                <w:rFonts w:hint="eastAsia" w:ascii="宋体" w:hAnsi="宋体"/>
                <w:sz w:val="24"/>
                <w:lang w:eastAsia="zh-CN"/>
              </w:rPr>
              <w:t>张恩慈</w:t>
            </w:r>
          </w:p>
          <w:p>
            <w:pPr>
              <w:spacing w:line="276" w:lineRule="auto"/>
              <w:textAlignment w:val="baseline"/>
              <w:rPr>
                <w:rFonts w:hint="default" w:ascii="宋体" w:hAnsi="宋体" w:eastAsia="宋体"/>
                <w:sz w:val="24"/>
                <w:lang w:val="en-US" w:eastAsia="zh-CN"/>
              </w:rPr>
            </w:pPr>
            <w:r>
              <w:rPr>
                <w:rFonts w:hint="eastAsia" w:ascii="宋体" w:hAnsi="宋体"/>
                <w:b/>
                <w:sz w:val="24"/>
              </w:rPr>
              <w:t>联系电话：</w:t>
            </w:r>
            <w:r>
              <w:rPr>
                <w:rFonts w:hint="eastAsia" w:ascii="宋体" w:hAnsi="宋体"/>
                <w:sz w:val="24"/>
                <w:lang w:val="en-US" w:eastAsia="zh-CN"/>
              </w:rPr>
              <w:t>13579399515</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4</w:t>
            </w:r>
          </w:p>
        </w:tc>
        <w:tc>
          <w:tcPr>
            <w:tcW w:w="8782" w:type="dxa"/>
            <w:vAlign w:val="center"/>
          </w:tcPr>
          <w:p>
            <w:pPr>
              <w:spacing w:line="276" w:lineRule="auto"/>
              <w:textAlignment w:val="baseline"/>
              <w:rPr>
                <w:rFonts w:ascii="宋体" w:hAnsi="宋体"/>
                <w:b/>
                <w:sz w:val="24"/>
              </w:rPr>
            </w:pPr>
            <w:r>
              <w:rPr>
                <w:rFonts w:hint="eastAsia" w:ascii="宋体" w:hAnsi="宋体"/>
                <w:b/>
                <w:sz w:val="24"/>
              </w:rPr>
              <w:t>招标内容：</w:t>
            </w:r>
            <w:r>
              <w:rPr>
                <w:rFonts w:hint="eastAsia" w:ascii="宋体" w:hAnsi="宋体"/>
                <w:b w:val="0"/>
                <w:bCs/>
                <w:sz w:val="24"/>
                <w:lang w:eastAsia="zh-CN"/>
              </w:rPr>
              <w:t>等级医院相关医疗服务开发能力提升，详见采购文件及清单。</w:t>
            </w:r>
            <w:r>
              <w:rPr>
                <w:rFonts w:hint="eastAsia" w:ascii="宋体" w:hAnsi="宋体"/>
                <w:b/>
                <w:sz w:val="24"/>
              </w:rPr>
              <w:t> </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5</w:t>
            </w:r>
          </w:p>
        </w:tc>
        <w:tc>
          <w:tcPr>
            <w:tcW w:w="8782" w:type="dxa"/>
            <w:vAlign w:val="center"/>
          </w:tcPr>
          <w:p>
            <w:pPr>
              <w:adjustRightInd w:val="0"/>
              <w:snapToGrid w:val="0"/>
              <w:spacing w:line="276" w:lineRule="auto"/>
              <w:jc w:val="left"/>
              <w:textAlignment w:val="baseline"/>
              <w:rPr>
                <w:rFonts w:ascii="宋体" w:hAnsi="宋体" w:cs="仿宋_GB2312"/>
                <w:bCs/>
                <w:kern w:val="0"/>
                <w:sz w:val="24"/>
              </w:rPr>
            </w:pPr>
            <w:r>
              <w:rPr>
                <w:rFonts w:hint="eastAsia" w:ascii="宋体" w:hAnsi="宋体"/>
                <w:b/>
                <w:sz w:val="24"/>
              </w:rPr>
              <w:t>最高限价：</w:t>
            </w:r>
            <w:r>
              <w:rPr>
                <w:rFonts w:hint="eastAsia" w:ascii="宋体" w:hAnsi="宋体"/>
                <w:b/>
                <w:sz w:val="24"/>
                <w:lang w:val="en-US" w:eastAsia="zh-CN"/>
              </w:rPr>
              <w:t>5500000.00元，</w:t>
            </w:r>
            <w:r>
              <w:rPr>
                <w:rFonts w:hint="eastAsia" w:ascii="宋体" w:hAnsi="宋体" w:cs="仿宋_GB2312"/>
                <w:b/>
                <w:kern w:val="0"/>
                <w:sz w:val="24"/>
              </w:rPr>
              <w:t>投标报价高于</w:t>
            </w:r>
            <w:r>
              <w:rPr>
                <w:rFonts w:hint="eastAsia" w:ascii="宋体" w:hAnsi="宋体" w:cs="仿宋_GB2312"/>
                <w:b/>
                <w:kern w:val="0"/>
                <w:sz w:val="24"/>
                <w:lang w:val="en-US" w:eastAsia="zh-CN"/>
              </w:rPr>
              <w:t>各包</w:t>
            </w:r>
            <w:r>
              <w:rPr>
                <w:rFonts w:hint="eastAsia" w:ascii="宋体" w:hAnsi="宋体" w:cs="仿宋_GB2312"/>
                <w:b/>
                <w:kern w:val="0"/>
                <w:sz w:val="24"/>
              </w:rPr>
              <w:t>最高限价的视为无效标。</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6</w:t>
            </w:r>
          </w:p>
        </w:tc>
        <w:tc>
          <w:tcPr>
            <w:tcW w:w="8782" w:type="dxa"/>
            <w:vAlign w:val="center"/>
          </w:tcPr>
          <w:p>
            <w:pPr>
              <w:spacing w:line="276" w:lineRule="auto"/>
              <w:textAlignment w:val="baseline"/>
              <w:rPr>
                <w:rFonts w:ascii="宋体" w:hAnsi="宋体"/>
                <w:b/>
                <w:sz w:val="24"/>
              </w:rPr>
            </w:pPr>
            <w:r>
              <w:rPr>
                <w:rFonts w:hint="eastAsia" w:ascii="宋体" w:hAnsi="宋体"/>
                <w:b/>
                <w:sz w:val="24"/>
              </w:rPr>
              <w:t>投标人资格</w:t>
            </w:r>
            <w:r>
              <w:rPr>
                <w:rFonts w:hint="eastAsia" w:ascii="宋体" w:hAnsi="宋体"/>
                <w:b/>
                <w:kern w:val="0"/>
                <w:sz w:val="24"/>
              </w:rPr>
              <w:t>、能力、信誉及其它</w:t>
            </w:r>
            <w:r>
              <w:rPr>
                <w:rFonts w:hint="eastAsia" w:ascii="宋体" w:hAnsi="宋体"/>
                <w:b/>
                <w:sz w:val="24"/>
              </w:rPr>
              <w:t>要求：</w:t>
            </w:r>
          </w:p>
          <w:p>
            <w:pPr>
              <w:spacing w:line="276" w:lineRule="auto"/>
              <w:textAlignment w:val="baseline"/>
              <w:rPr>
                <w:rFonts w:ascii="宋体" w:hAnsi="宋体"/>
                <w:bCs/>
                <w:sz w:val="24"/>
              </w:rPr>
            </w:pPr>
            <w:r>
              <w:rPr>
                <w:rFonts w:hint="eastAsia" w:ascii="宋体" w:hAnsi="宋体"/>
                <w:bCs/>
                <w:sz w:val="24"/>
              </w:rPr>
              <w:t>1、满足《中华人民共和国政府采购法》第二十二条规定；</w:t>
            </w:r>
          </w:p>
          <w:p>
            <w:pPr>
              <w:spacing w:line="276" w:lineRule="auto"/>
              <w:textAlignment w:val="baseline"/>
              <w:rPr>
                <w:rFonts w:ascii="宋体" w:hAnsi="宋体"/>
                <w:bCs/>
                <w:sz w:val="24"/>
              </w:rPr>
            </w:pPr>
            <w:r>
              <w:rPr>
                <w:rFonts w:hint="eastAsia" w:ascii="宋体" w:hAnsi="宋体"/>
                <w:bCs/>
                <w:sz w:val="24"/>
              </w:rPr>
              <w:t>2、落实政府采购政策需满足的资格要求：</w:t>
            </w:r>
          </w:p>
          <w:p>
            <w:pPr>
              <w:spacing w:line="276" w:lineRule="auto"/>
              <w:textAlignment w:val="baseline"/>
              <w:rPr>
                <w:rFonts w:ascii="宋体" w:hAnsi="宋体"/>
                <w:bCs/>
                <w:sz w:val="24"/>
              </w:rPr>
            </w:pPr>
            <w:r>
              <w:rPr>
                <w:rFonts w:hint="eastAsia" w:ascii="宋体" w:hAnsi="宋体"/>
                <w:bCs/>
                <w:sz w:val="24"/>
              </w:rPr>
              <w:t>（1）财政部、工业和信息化部关于印发《政府采购促进中小企业发展管理办法》的通知（财库〔2020〕46号）； </w:t>
            </w:r>
          </w:p>
          <w:p>
            <w:pPr>
              <w:spacing w:line="276" w:lineRule="auto"/>
              <w:textAlignment w:val="baseline"/>
              <w:rPr>
                <w:rFonts w:ascii="宋体" w:hAnsi="宋体"/>
                <w:bCs/>
                <w:sz w:val="24"/>
              </w:rPr>
            </w:pPr>
            <w:r>
              <w:rPr>
                <w:rFonts w:hint="eastAsia" w:ascii="宋体" w:hAnsi="宋体"/>
                <w:bCs/>
                <w:sz w:val="24"/>
              </w:rPr>
              <w:t>（2）《财政部、司法部关于政府采购支持监狱企业发展有关问题的通知》（财库[2014]68号）； </w:t>
            </w:r>
          </w:p>
          <w:p>
            <w:pPr>
              <w:spacing w:line="276" w:lineRule="auto"/>
              <w:textAlignment w:val="baseline"/>
              <w:rPr>
                <w:rFonts w:ascii="宋体" w:hAnsi="宋体"/>
                <w:bCs/>
                <w:sz w:val="24"/>
              </w:rPr>
            </w:pPr>
            <w:r>
              <w:rPr>
                <w:rFonts w:hint="eastAsia" w:ascii="宋体" w:hAnsi="宋体"/>
                <w:bCs/>
                <w:sz w:val="24"/>
              </w:rPr>
              <w:t>（3）《国务院办公厅关于建立政府强制采购节能产品制度的通知》（国发办[2007]51号）； </w:t>
            </w:r>
          </w:p>
          <w:p>
            <w:pPr>
              <w:spacing w:line="276" w:lineRule="auto"/>
              <w:textAlignment w:val="baseline"/>
              <w:rPr>
                <w:rFonts w:ascii="宋体" w:hAnsi="宋体"/>
                <w:bCs/>
                <w:sz w:val="24"/>
              </w:rPr>
            </w:pPr>
            <w:r>
              <w:rPr>
                <w:rFonts w:hint="eastAsia" w:ascii="宋体" w:hAnsi="宋体"/>
                <w:bCs/>
                <w:sz w:val="24"/>
              </w:rPr>
              <w:t>（4）《财政部 民政部 中国残疾人联合会关于促进残疾人就业政府采购政策的通知》财库[2017]141号； </w:t>
            </w:r>
          </w:p>
          <w:p>
            <w:pPr>
              <w:spacing w:line="276" w:lineRule="auto"/>
              <w:textAlignment w:val="baseline"/>
              <w:rPr>
                <w:rFonts w:ascii="宋体" w:hAnsi="宋体"/>
                <w:bCs/>
                <w:sz w:val="24"/>
              </w:rPr>
            </w:pPr>
            <w:r>
              <w:rPr>
                <w:rFonts w:hint="eastAsia" w:ascii="宋体" w:hAnsi="宋体"/>
                <w:bCs/>
                <w:sz w:val="24"/>
              </w:rPr>
              <w:t>（5）《国务院办公厅关于建立政府强制采购节能产品制度的通知》（国办发〔2007〕51号），投标产品为计算机、打印机、空调、照明产品、电视机、电热水器、显示器、便器、水嘴等九大类政府强制采购的产品，必须为国家财政部、环境保护部、国家发改委等有关部门发布的《环境标志产品政府采购清单》和《节能产品政府采购清单》中的产品</w:t>
            </w:r>
          </w:p>
          <w:p>
            <w:pPr>
              <w:spacing w:line="276" w:lineRule="auto"/>
              <w:textAlignment w:val="baseline"/>
              <w:rPr>
                <w:rFonts w:hint="eastAsia" w:ascii="宋体" w:hAnsi="宋体"/>
                <w:bCs/>
                <w:sz w:val="24"/>
              </w:rPr>
            </w:pPr>
            <w:r>
              <w:rPr>
                <w:rFonts w:hint="eastAsia" w:ascii="宋体" w:hAnsi="宋体"/>
                <w:bCs/>
                <w:sz w:val="24"/>
              </w:rPr>
              <w:t>3、本项目的特定资格要求：</w:t>
            </w:r>
          </w:p>
          <w:p>
            <w:pPr>
              <w:spacing w:line="276" w:lineRule="auto"/>
              <w:textAlignment w:val="baseline"/>
              <w:rPr>
                <w:rFonts w:ascii="宋体" w:hAnsi="宋体"/>
                <w:bCs/>
                <w:sz w:val="24"/>
              </w:rPr>
            </w:pPr>
            <w:r>
              <w:rPr>
                <w:rFonts w:hint="eastAsia" w:ascii="宋体" w:hAnsi="宋体"/>
                <w:bCs/>
                <w:sz w:val="24"/>
              </w:rPr>
              <w:t>（1）具有有效经年检的三证合一的营业执照原件；</w:t>
            </w:r>
          </w:p>
          <w:p>
            <w:pPr>
              <w:spacing w:line="276" w:lineRule="auto"/>
              <w:textAlignment w:val="baseline"/>
              <w:rPr>
                <w:rFonts w:ascii="宋体" w:hAnsi="宋体"/>
                <w:bCs/>
                <w:sz w:val="24"/>
              </w:rPr>
            </w:pPr>
            <w:r>
              <w:rPr>
                <w:rFonts w:hint="eastAsia" w:ascii="宋体" w:hAnsi="宋体"/>
                <w:bCs/>
                <w:sz w:val="24"/>
              </w:rPr>
              <w:t>（2）具有近一年（2020年）的财务审计报告或成立不满足一年的提供财务报表；</w:t>
            </w:r>
          </w:p>
          <w:p>
            <w:pPr>
              <w:spacing w:line="276" w:lineRule="auto"/>
              <w:textAlignment w:val="baseline"/>
              <w:rPr>
                <w:rFonts w:ascii="宋体" w:hAnsi="宋体"/>
                <w:bCs/>
                <w:sz w:val="24"/>
              </w:rPr>
            </w:pPr>
            <w:r>
              <w:rPr>
                <w:rFonts w:hint="eastAsia" w:ascii="宋体" w:hAnsi="宋体"/>
                <w:bCs/>
                <w:sz w:val="24"/>
              </w:rPr>
              <w:t>（</w:t>
            </w:r>
            <w:r>
              <w:rPr>
                <w:rFonts w:hint="eastAsia" w:ascii="宋体" w:hAnsi="宋体"/>
                <w:bCs/>
                <w:sz w:val="24"/>
                <w:lang w:val="en-US" w:eastAsia="zh-CN"/>
              </w:rPr>
              <w:t>3</w:t>
            </w:r>
            <w:r>
              <w:rPr>
                <w:rFonts w:hint="eastAsia" w:ascii="宋体" w:hAnsi="宋体"/>
                <w:bCs/>
                <w:sz w:val="24"/>
              </w:rPr>
              <w:t>）提供近六个月完税证明和盖有社保局公章的社保缴纳证明（社保缴纳证明中含法人及委托人的社保明细）；</w:t>
            </w:r>
          </w:p>
          <w:p>
            <w:pPr>
              <w:spacing w:line="276" w:lineRule="auto"/>
              <w:textAlignment w:val="baseline"/>
              <w:rPr>
                <w:rFonts w:ascii="宋体" w:hAnsi="宋体"/>
                <w:bCs/>
                <w:sz w:val="24"/>
              </w:rPr>
            </w:pPr>
            <w:r>
              <w:rPr>
                <w:rFonts w:hint="eastAsia" w:ascii="宋体" w:hAnsi="宋体"/>
                <w:bCs/>
                <w:sz w:val="24"/>
              </w:rPr>
              <w:t>（</w:t>
            </w:r>
            <w:r>
              <w:rPr>
                <w:rFonts w:hint="eastAsia" w:ascii="宋体" w:hAnsi="宋体"/>
                <w:bCs/>
                <w:sz w:val="24"/>
                <w:lang w:val="en-US" w:eastAsia="zh-CN"/>
              </w:rPr>
              <w:t>4</w:t>
            </w:r>
            <w:r>
              <w:rPr>
                <w:rFonts w:hint="eastAsia" w:ascii="宋体" w:hAnsi="宋体"/>
                <w:bCs/>
                <w:sz w:val="24"/>
              </w:rPr>
              <w:t>）法定代表人到场需提供法定代表人身份证明及身份证原件，授权委托人到场的需提供附有法定代表人身份证明的授权委托书及被委托人身份证原件；</w:t>
            </w:r>
          </w:p>
          <w:p>
            <w:pPr>
              <w:spacing w:line="276" w:lineRule="auto"/>
              <w:textAlignment w:val="baseline"/>
              <w:rPr>
                <w:rFonts w:ascii="宋体" w:hAnsi="宋体"/>
                <w:bCs/>
                <w:sz w:val="24"/>
              </w:rPr>
            </w:pPr>
            <w:r>
              <w:rPr>
                <w:rFonts w:hint="eastAsia" w:ascii="宋体" w:hAnsi="宋体"/>
                <w:bCs/>
                <w:sz w:val="24"/>
              </w:rPr>
              <w:t>（</w:t>
            </w:r>
            <w:r>
              <w:rPr>
                <w:rFonts w:hint="eastAsia" w:ascii="宋体" w:hAnsi="宋体"/>
                <w:bCs/>
                <w:sz w:val="24"/>
                <w:lang w:val="en-US" w:eastAsia="zh-CN"/>
              </w:rPr>
              <w:t>5</w:t>
            </w:r>
            <w:r>
              <w:rPr>
                <w:rFonts w:hint="eastAsia" w:ascii="宋体" w:hAnsi="宋体"/>
                <w:bCs/>
                <w:sz w:val="24"/>
              </w:rPr>
              <w:t>）未被“信用中国”（www.creditchina.gov.cn）、中国政府采购网（www.ccgp.gov.cn）列入失信被执行人、重大税收违法案件当事人名单、政府采购严重违法失信行为记录名单的﹙供应商网上自行打印后加盖公章﹚；</w:t>
            </w:r>
          </w:p>
          <w:p>
            <w:pPr>
              <w:spacing w:line="276" w:lineRule="auto"/>
              <w:textAlignment w:val="baseline"/>
              <w:rPr>
                <w:rFonts w:hint="eastAsia" w:ascii="宋体" w:hAnsi="宋体"/>
                <w:bCs/>
                <w:sz w:val="24"/>
              </w:rPr>
            </w:pPr>
            <w:r>
              <w:rPr>
                <w:rFonts w:hint="eastAsia" w:ascii="宋体" w:hAnsi="宋体"/>
                <w:bCs/>
                <w:sz w:val="24"/>
              </w:rPr>
              <w:t xml:space="preserve">4.本项目不接受联合体参加。 </w:t>
            </w:r>
          </w:p>
          <w:p>
            <w:pPr>
              <w:spacing w:line="276" w:lineRule="auto"/>
              <w:textAlignment w:val="baseline"/>
              <w:rPr>
                <w:rFonts w:ascii="宋体" w:hAnsi="宋体"/>
                <w:b/>
                <w:sz w:val="24"/>
              </w:rPr>
            </w:pPr>
            <w:r>
              <w:rPr>
                <w:rFonts w:hint="eastAsia" w:ascii="宋体" w:hAnsi="宋体"/>
                <w:b/>
                <w:sz w:val="24"/>
                <w:szCs w:val="21"/>
              </w:rPr>
              <w:t>注：投标人提交的所有证明文件及材料必须清晰、准确、真实。</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7</w:t>
            </w:r>
          </w:p>
        </w:tc>
        <w:tc>
          <w:tcPr>
            <w:tcW w:w="8782" w:type="dxa"/>
            <w:vAlign w:val="bottom"/>
          </w:tcPr>
          <w:p>
            <w:pPr>
              <w:spacing w:line="276" w:lineRule="auto"/>
              <w:rPr>
                <w:rFonts w:ascii="宋体" w:hAnsi="宋体"/>
                <w:sz w:val="24"/>
              </w:rPr>
            </w:pPr>
            <w:r>
              <w:rPr>
                <w:rFonts w:hint="eastAsia" w:ascii="宋体" w:hAnsi="宋体"/>
                <w:b/>
                <w:bCs/>
                <w:sz w:val="24"/>
              </w:rPr>
              <w:t>资格审查方式：</w:t>
            </w:r>
            <w:r>
              <w:rPr>
                <w:rFonts w:hint="eastAsia" w:ascii="宋体" w:hAnsi="宋体"/>
                <w:sz w:val="24"/>
              </w:rPr>
              <w:t>资格后审</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8</w:t>
            </w:r>
          </w:p>
        </w:tc>
        <w:tc>
          <w:tcPr>
            <w:tcW w:w="8782" w:type="dxa"/>
            <w:vAlign w:val="bottom"/>
          </w:tcPr>
          <w:p>
            <w:pPr>
              <w:spacing w:line="276" w:lineRule="auto"/>
              <w:rPr>
                <w:rFonts w:ascii="宋体" w:hAnsi="宋体"/>
                <w:sz w:val="24"/>
              </w:rPr>
            </w:pPr>
            <w:r>
              <w:rPr>
                <w:rFonts w:hint="eastAsia" w:ascii="宋体" w:hAnsi="宋体"/>
                <w:b/>
                <w:sz w:val="24"/>
              </w:rPr>
              <w:t>投标语言：</w:t>
            </w:r>
            <w:r>
              <w:rPr>
                <w:rFonts w:hint="eastAsia" w:ascii="宋体" w:hAnsi="宋体"/>
                <w:sz w:val="24"/>
              </w:rPr>
              <w:t>中文</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9</w:t>
            </w:r>
          </w:p>
        </w:tc>
        <w:tc>
          <w:tcPr>
            <w:tcW w:w="8782" w:type="dxa"/>
            <w:vAlign w:val="bottom"/>
          </w:tcPr>
          <w:p>
            <w:pPr>
              <w:spacing w:line="276" w:lineRule="auto"/>
              <w:textAlignment w:val="baseline"/>
              <w:rPr>
                <w:rFonts w:ascii="宋体" w:hAnsi="宋体"/>
                <w:b/>
                <w:sz w:val="24"/>
              </w:rPr>
            </w:pPr>
            <w:r>
              <w:rPr>
                <w:rFonts w:hint="eastAsia" w:ascii="宋体" w:hAnsi="宋体"/>
                <w:b/>
                <w:sz w:val="24"/>
              </w:rPr>
              <w:t>投标有效期：</w:t>
            </w:r>
            <w:r>
              <w:rPr>
                <w:rFonts w:hint="eastAsia" w:ascii="宋体" w:hAnsi="宋体"/>
                <w:bCs/>
                <w:sz w:val="24"/>
              </w:rPr>
              <w:t>90</w:t>
            </w:r>
            <w:r>
              <w:rPr>
                <w:rFonts w:hint="eastAsia" w:ascii="宋体" w:hAnsi="宋体"/>
                <w:sz w:val="24"/>
              </w:rPr>
              <w:t>日历天；（从投标截止之日算起）</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10</w:t>
            </w:r>
          </w:p>
        </w:tc>
        <w:tc>
          <w:tcPr>
            <w:tcW w:w="8782" w:type="dxa"/>
            <w:vAlign w:val="bottom"/>
          </w:tcPr>
          <w:p>
            <w:pPr>
              <w:tabs>
                <w:tab w:val="left" w:pos="7665"/>
              </w:tabs>
              <w:spacing w:line="276" w:lineRule="auto"/>
              <w:rPr>
                <w:rFonts w:ascii="宋体" w:hAnsi="宋体"/>
                <w:b/>
                <w:kern w:val="0"/>
                <w:sz w:val="24"/>
              </w:rPr>
            </w:pPr>
            <w:r>
              <w:rPr>
                <w:rFonts w:hint="eastAsia" w:ascii="宋体" w:hAnsi="宋体"/>
                <w:b/>
                <w:kern w:val="0"/>
                <w:sz w:val="24"/>
              </w:rPr>
              <w:t>采购方式：</w:t>
            </w:r>
            <w:r>
              <w:rPr>
                <w:rFonts w:hint="eastAsia" w:ascii="宋体" w:hAnsi="宋体"/>
                <w:sz w:val="24"/>
              </w:rPr>
              <w:t>公开招标</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11</w:t>
            </w:r>
          </w:p>
        </w:tc>
        <w:tc>
          <w:tcPr>
            <w:tcW w:w="8782" w:type="dxa"/>
            <w:vAlign w:val="bottom"/>
          </w:tcPr>
          <w:p>
            <w:pPr>
              <w:tabs>
                <w:tab w:val="left" w:pos="7665"/>
              </w:tabs>
              <w:spacing w:line="276" w:lineRule="auto"/>
              <w:rPr>
                <w:rFonts w:ascii="宋体" w:hAnsi="宋体"/>
                <w:b/>
                <w:sz w:val="24"/>
              </w:rPr>
            </w:pPr>
            <w:r>
              <w:rPr>
                <w:rFonts w:hint="eastAsia" w:ascii="宋体" w:hAnsi="宋体"/>
                <w:b/>
                <w:kern w:val="0"/>
                <w:sz w:val="24"/>
              </w:rPr>
              <w:t>评标办法：</w:t>
            </w:r>
            <w:r>
              <w:rPr>
                <w:rFonts w:hint="eastAsia" w:ascii="宋体" w:hAnsi="宋体"/>
                <w:sz w:val="24"/>
              </w:rPr>
              <w:t>综合评分法</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12</w:t>
            </w:r>
          </w:p>
        </w:tc>
        <w:tc>
          <w:tcPr>
            <w:tcW w:w="8782" w:type="dxa"/>
            <w:vAlign w:val="bottom"/>
          </w:tcPr>
          <w:p>
            <w:pPr>
              <w:spacing w:line="276" w:lineRule="auto"/>
              <w:ind w:left="2125" w:hanging="2125" w:hangingChars="882"/>
              <w:textAlignment w:val="baseline"/>
              <w:rPr>
                <w:rFonts w:ascii="宋体" w:hAnsi="宋体"/>
                <w:b/>
                <w:kern w:val="0"/>
                <w:sz w:val="24"/>
              </w:rPr>
            </w:pPr>
            <w:r>
              <w:rPr>
                <w:rFonts w:hint="eastAsia" w:ascii="宋体" w:hAnsi="宋体"/>
                <w:b/>
                <w:kern w:val="0"/>
                <w:sz w:val="24"/>
              </w:rPr>
              <w:t>评标委员会的组建：</w:t>
            </w:r>
          </w:p>
          <w:p>
            <w:pPr>
              <w:spacing w:line="276" w:lineRule="auto"/>
              <w:ind w:left="2125" w:hanging="2125" w:hangingChars="882"/>
              <w:textAlignment w:val="baseline"/>
              <w:rPr>
                <w:rFonts w:ascii="宋体" w:hAnsi="宋体"/>
                <w:kern w:val="0"/>
                <w:sz w:val="24"/>
              </w:rPr>
            </w:pPr>
            <w:r>
              <w:rPr>
                <w:rFonts w:hint="eastAsia" w:ascii="宋体" w:hAnsi="宋体"/>
                <w:b/>
                <w:kern w:val="0"/>
                <w:sz w:val="24"/>
              </w:rPr>
              <w:t>评标委员会构成：</w:t>
            </w:r>
            <w:r>
              <w:rPr>
                <w:rFonts w:hint="eastAsia" w:ascii="宋体" w:hAnsi="宋体"/>
                <w:kern w:val="0"/>
                <w:sz w:val="24"/>
              </w:rPr>
              <w:t>评标委员会由5人及以上单数评审专家组成。</w:t>
            </w:r>
          </w:p>
          <w:p>
            <w:pPr>
              <w:spacing w:line="276" w:lineRule="auto"/>
              <w:ind w:left="2125" w:hanging="2125" w:hangingChars="882"/>
              <w:textAlignment w:val="baseline"/>
              <w:rPr>
                <w:rFonts w:ascii="宋体" w:hAnsi="宋体"/>
                <w:kern w:val="0"/>
                <w:sz w:val="24"/>
              </w:rPr>
            </w:pPr>
            <w:r>
              <w:rPr>
                <w:rFonts w:hint="eastAsia" w:ascii="宋体" w:hAnsi="宋体"/>
                <w:b/>
                <w:kern w:val="0"/>
                <w:sz w:val="24"/>
              </w:rPr>
              <w:t>评标专家确定方式：</w:t>
            </w:r>
            <w:r>
              <w:rPr>
                <w:rFonts w:hint="eastAsia" w:ascii="宋体" w:hAnsi="宋体"/>
                <w:kern w:val="0"/>
                <w:sz w:val="24"/>
              </w:rPr>
              <w:t>从政府采购评审专家库中随机抽取</w:t>
            </w:r>
          </w:p>
          <w:p>
            <w:pPr>
              <w:spacing w:line="276" w:lineRule="auto"/>
              <w:ind w:left="2125" w:hanging="2125" w:hangingChars="882"/>
              <w:textAlignment w:val="baseline"/>
              <w:rPr>
                <w:rFonts w:ascii="宋体" w:hAnsi="宋体"/>
                <w:b/>
                <w:kern w:val="0"/>
                <w:sz w:val="24"/>
              </w:rPr>
            </w:pPr>
            <w:r>
              <w:rPr>
                <w:rFonts w:ascii="宋体" w:hAnsi="宋体"/>
                <w:b/>
                <w:kern w:val="0"/>
                <w:sz w:val="24"/>
              </w:rPr>
              <w:t>监督</w:t>
            </w:r>
            <w:r>
              <w:rPr>
                <w:rFonts w:hint="eastAsia" w:ascii="宋体" w:hAnsi="宋体"/>
                <w:b/>
                <w:kern w:val="0"/>
                <w:sz w:val="24"/>
              </w:rPr>
              <w:t>单位：</w:t>
            </w:r>
            <w:r>
              <w:rPr>
                <w:rFonts w:hint="eastAsia" w:ascii="宋体" w:hAnsi="宋体"/>
                <w:kern w:val="0"/>
                <w:sz w:val="24"/>
              </w:rPr>
              <w:t>阿克苏地区政府采购管理办公室</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13</w:t>
            </w:r>
          </w:p>
        </w:tc>
        <w:tc>
          <w:tcPr>
            <w:tcW w:w="8782" w:type="dxa"/>
            <w:vAlign w:val="bottom"/>
          </w:tcPr>
          <w:p>
            <w:pPr>
              <w:spacing w:line="276" w:lineRule="auto"/>
              <w:ind w:left="2125" w:hanging="2125" w:hangingChars="882"/>
              <w:textAlignment w:val="baseline"/>
              <w:rPr>
                <w:rFonts w:ascii="宋体" w:hAnsi="宋体"/>
                <w:kern w:val="0"/>
                <w:sz w:val="24"/>
              </w:rPr>
            </w:pPr>
            <w:r>
              <w:rPr>
                <w:rFonts w:hint="eastAsia" w:ascii="宋体" w:hAnsi="宋体"/>
                <w:b/>
                <w:kern w:val="0"/>
                <w:sz w:val="24"/>
              </w:rPr>
              <w:t>是否授权评标委员会确定中标投标人：</w:t>
            </w:r>
            <w:r>
              <w:rPr>
                <w:rFonts w:hint="eastAsia" w:ascii="宋体" w:hAnsi="宋体"/>
                <w:kern w:val="0"/>
                <w:sz w:val="24"/>
              </w:rPr>
              <w:t xml:space="preserve"> </w:t>
            </w:r>
            <w:r>
              <w:rPr>
                <w:rFonts w:hint="eastAsia" w:ascii="宋体" w:hAnsi="宋体"/>
                <w:kern w:val="0"/>
                <w:sz w:val="24"/>
              </w:rPr>
              <w:fldChar w:fldCharType="begin"/>
            </w:r>
            <w:r>
              <w:rPr>
                <w:rFonts w:hint="eastAsia" w:ascii="宋体" w:hAnsi="宋体"/>
                <w:kern w:val="0"/>
                <w:sz w:val="24"/>
              </w:rPr>
              <w:instrText xml:space="preserve"> eq \o\ac(□)</w:instrText>
            </w:r>
            <w:r>
              <w:rPr>
                <w:rFonts w:hint="eastAsia" w:ascii="宋体" w:hAnsi="宋体"/>
                <w:kern w:val="0"/>
                <w:sz w:val="24"/>
              </w:rPr>
              <w:fldChar w:fldCharType="end"/>
            </w:r>
            <w:r>
              <w:rPr>
                <w:rFonts w:hint="eastAsia" w:ascii="宋体" w:hAnsi="宋体"/>
                <w:kern w:val="0"/>
                <w:sz w:val="24"/>
              </w:rPr>
              <w:t>是</w:t>
            </w:r>
          </w:p>
          <w:p>
            <w:pPr>
              <w:spacing w:line="276" w:lineRule="auto"/>
              <w:ind w:left="2153" w:leftChars="1025" w:firstLine="1735" w:firstLineChars="723"/>
              <w:textAlignment w:val="baseline"/>
              <w:rPr>
                <w:rFonts w:ascii="宋体" w:hAnsi="宋体"/>
                <w:b/>
                <w:sz w:val="24"/>
              </w:rPr>
            </w:pPr>
            <w:r>
              <w:rPr>
                <w:rFonts w:hint="eastAsia" w:ascii="宋体" w:hAnsi="宋体"/>
                <w:kern w:val="0"/>
                <w:sz w:val="24"/>
              </w:rPr>
              <w:t>☑否，推荐的成交候选人数：3 人</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14</w:t>
            </w:r>
          </w:p>
        </w:tc>
        <w:tc>
          <w:tcPr>
            <w:tcW w:w="8782" w:type="dxa"/>
            <w:vAlign w:val="bottom"/>
          </w:tcPr>
          <w:p>
            <w:pPr>
              <w:tabs>
                <w:tab w:val="left" w:pos="7665"/>
              </w:tabs>
              <w:spacing w:line="276" w:lineRule="auto"/>
              <w:rPr>
                <w:rFonts w:ascii="宋体" w:hAnsi="宋体"/>
                <w:b/>
                <w:kern w:val="0"/>
                <w:sz w:val="24"/>
              </w:rPr>
            </w:pPr>
            <w:r>
              <w:rPr>
                <w:rFonts w:ascii="宋体" w:hAnsi="宋体"/>
                <w:b/>
                <w:sz w:val="24"/>
                <w:lang w:val="zh-CN"/>
              </w:rPr>
              <w:t>考察现场、标前答疑会</w:t>
            </w:r>
            <w:r>
              <w:rPr>
                <w:rFonts w:hint="eastAsia" w:ascii="宋体" w:hAnsi="宋体"/>
                <w:b/>
                <w:kern w:val="0"/>
                <w:sz w:val="24"/>
              </w:rPr>
              <w:t>：</w:t>
            </w:r>
            <w:r>
              <w:rPr>
                <w:rFonts w:ascii="宋体" w:hAnsi="宋体"/>
                <w:sz w:val="24"/>
                <w:lang w:val="zh-CN"/>
              </w:rPr>
              <w:t>招标采购单位认为有必要，另行通知。</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15</w:t>
            </w:r>
          </w:p>
        </w:tc>
        <w:tc>
          <w:tcPr>
            <w:tcW w:w="8782" w:type="dxa"/>
            <w:vAlign w:val="bottom"/>
          </w:tcPr>
          <w:p>
            <w:pPr>
              <w:tabs>
                <w:tab w:val="left" w:pos="7665"/>
              </w:tabs>
              <w:spacing w:line="276" w:lineRule="auto"/>
              <w:rPr>
                <w:rFonts w:ascii="宋体" w:hAnsi="宋体"/>
                <w:b/>
                <w:kern w:val="0"/>
                <w:sz w:val="24"/>
              </w:rPr>
            </w:pPr>
            <w:r>
              <w:rPr>
                <w:rFonts w:ascii="宋体" w:hAnsi="宋体"/>
                <w:b/>
                <w:sz w:val="24"/>
                <w:lang w:val="zh-CN"/>
              </w:rPr>
              <w:t>投标</w:t>
            </w:r>
            <w:r>
              <w:rPr>
                <w:rFonts w:hint="eastAsia" w:ascii="宋体" w:hAnsi="宋体"/>
                <w:b/>
                <w:sz w:val="24"/>
                <w:lang w:val="zh-CN"/>
              </w:rPr>
              <w:t>投标人</w:t>
            </w:r>
            <w:r>
              <w:rPr>
                <w:rFonts w:ascii="宋体" w:hAnsi="宋体"/>
                <w:b/>
                <w:sz w:val="24"/>
                <w:lang w:val="zh-CN"/>
              </w:rPr>
              <w:t>对</w:t>
            </w:r>
            <w:r>
              <w:rPr>
                <w:rFonts w:hint="eastAsia" w:ascii="宋体" w:hAnsi="宋体"/>
                <w:b/>
                <w:sz w:val="24"/>
                <w:lang w:val="zh-CN"/>
              </w:rPr>
              <w:t>招标文件</w:t>
            </w:r>
            <w:r>
              <w:rPr>
                <w:rFonts w:ascii="宋体" w:hAnsi="宋体"/>
                <w:b/>
                <w:sz w:val="24"/>
                <w:lang w:val="zh-CN"/>
              </w:rPr>
              <w:t>提出质疑的时间</w:t>
            </w:r>
            <w:r>
              <w:rPr>
                <w:rFonts w:hint="eastAsia" w:ascii="宋体" w:hAnsi="宋体"/>
                <w:b/>
                <w:sz w:val="24"/>
                <w:lang w:val="zh-CN"/>
              </w:rPr>
              <w:t>：</w:t>
            </w:r>
            <w:r>
              <w:rPr>
                <w:rFonts w:hint="eastAsia" w:ascii="宋体" w:hAnsi="宋体"/>
                <w:sz w:val="24"/>
              </w:rPr>
              <w:t>投标人下载招标文件</w:t>
            </w:r>
            <w:r>
              <w:rPr>
                <w:rFonts w:hint="eastAsia" w:ascii="宋体" w:hAnsi="宋体"/>
                <w:sz w:val="24"/>
                <w:lang w:val="zh-CN"/>
              </w:rPr>
              <w:t>之日起7个工作日内，以书面形式向采购人、采购代理机构提出质疑。</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16</w:t>
            </w:r>
          </w:p>
        </w:tc>
        <w:tc>
          <w:tcPr>
            <w:tcW w:w="8782" w:type="dxa"/>
            <w:vAlign w:val="center"/>
          </w:tcPr>
          <w:p>
            <w:pPr>
              <w:tabs>
                <w:tab w:val="left" w:pos="7665"/>
              </w:tabs>
              <w:spacing w:line="276" w:lineRule="auto"/>
              <w:ind w:left="3542" w:hanging="3542" w:hangingChars="1470"/>
              <w:rPr>
                <w:rFonts w:ascii="宋体" w:hAnsi="宋体"/>
                <w:b/>
                <w:sz w:val="24"/>
                <w:lang w:val="zh-CN"/>
              </w:rPr>
            </w:pPr>
            <w:r>
              <w:rPr>
                <w:rFonts w:ascii="宋体" w:hAnsi="宋体"/>
                <w:b/>
                <w:sz w:val="24"/>
                <w:lang w:val="zh-CN"/>
              </w:rPr>
              <w:t>构成</w:t>
            </w:r>
            <w:r>
              <w:rPr>
                <w:rFonts w:hint="eastAsia" w:ascii="宋体" w:hAnsi="宋体"/>
                <w:b/>
                <w:sz w:val="24"/>
                <w:lang w:val="zh-CN"/>
              </w:rPr>
              <w:t>招标文件</w:t>
            </w:r>
            <w:r>
              <w:rPr>
                <w:rFonts w:ascii="宋体" w:hAnsi="宋体"/>
                <w:b/>
                <w:sz w:val="24"/>
                <w:lang w:val="zh-CN"/>
              </w:rPr>
              <w:t>的其他文件</w:t>
            </w:r>
            <w:r>
              <w:rPr>
                <w:rFonts w:hint="eastAsia" w:ascii="宋体" w:hAnsi="宋体"/>
                <w:b/>
                <w:sz w:val="24"/>
                <w:lang w:val="zh-CN"/>
              </w:rPr>
              <w:t>：</w:t>
            </w:r>
          </w:p>
          <w:p>
            <w:pPr>
              <w:tabs>
                <w:tab w:val="left" w:pos="7665"/>
              </w:tabs>
              <w:spacing w:line="276" w:lineRule="auto"/>
              <w:ind w:left="3517" w:leftChars="228" w:hanging="3038" w:hangingChars="1266"/>
              <w:rPr>
                <w:rFonts w:ascii="宋体" w:hAnsi="宋体"/>
                <w:b/>
                <w:kern w:val="0"/>
                <w:sz w:val="24"/>
              </w:rPr>
            </w:pPr>
            <w:r>
              <w:rPr>
                <w:rFonts w:hint="eastAsia" w:ascii="宋体" w:hAnsi="宋体"/>
                <w:sz w:val="24"/>
                <w:lang w:val="zh-CN"/>
              </w:rPr>
              <w:t>招标文件</w:t>
            </w:r>
            <w:r>
              <w:rPr>
                <w:rFonts w:ascii="宋体" w:hAnsi="宋体"/>
                <w:sz w:val="24"/>
                <w:lang w:val="zh-CN"/>
              </w:rPr>
              <w:t>的澄清</w:t>
            </w:r>
            <w:r>
              <w:rPr>
                <w:rFonts w:ascii="宋体" w:hAnsi="宋体"/>
                <w:sz w:val="24"/>
              </w:rPr>
              <w:t>、修改书及有关补充通知为</w:t>
            </w:r>
            <w:r>
              <w:rPr>
                <w:rFonts w:hint="eastAsia" w:ascii="宋体" w:hAnsi="宋体"/>
                <w:sz w:val="24"/>
                <w:lang w:val="zh-CN"/>
              </w:rPr>
              <w:t>招标文件</w:t>
            </w:r>
            <w:r>
              <w:rPr>
                <w:rFonts w:ascii="宋体" w:hAnsi="宋体"/>
                <w:sz w:val="24"/>
              </w:rPr>
              <w:t>的有效组成部分。</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17</w:t>
            </w:r>
          </w:p>
        </w:tc>
        <w:tc>
          <w:tcPr>
            <w:tcW w:w="8782" w:type="dxa"/>
            <w:vAlign w:val="bottom"/>
          </w:tcPr>
          <w:p>
            <w:pPr>
              <w:adjustRightInd w:val="0"/>
              <w:snapToGrid w:val="0"/>
              <w:spacing w:line="276" w:lineRule="auto"/>
              <w:rPr>
                <w:rFonts w:ascii="宋体" w:hAnsi="宋体"/>
                <w:b/>
                <w:sz w:val="24"/>
              </w:rPr>
            </w:pPr>
            <w:r>
              <w:rPr>
                <w:rFonts w:hint="eastAsia" w:ascii="宋体" w:hAnsi="宋体" w:cs="仿宋_GB2312"/>
                <w:b/>
                <w:sz w:val="24"/>
              </w:rPr>
              <w:t>报名要求</w:t>
            </w:r>
            <w:r>
              <w:rPr>
                <w:rFonts w:hint="eastAsia" w:ascii="宋体" w:hAnsi="宋体"/>
                <w:b/>
                <w:sz w:val="24"/>
              </w:rPr>
              <w:t>：</w:t>
            </w:r>
            <w:r>
              <w:rPr>
                <w:rFonts w:hint="eastAsia" w:ascii="宋体" w:hAnsi="宋体"/>
                <w:sz w:val="24"/>
              </w:rPr>
              <w:t>见公告内容。</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18</w:t>
            </w:r>
          </w:p>
        </w:tc>
        <w:tc>
          <w:tcPr>
            <w:tcW w:w="8782" w:type="dxa"/>
            <w:vAlign w:val="bottom"/>
          </w:tcPr>
          <w:p>
            <w:pPr>
              <w:tabs>
                <w:tab w:val="left" w:pos="7665"/>
              </w:tabs>
              <w:spacing w:line="276" w:lineRule="auto"/>
              <w:ind w:left="482" w:hanging="482" w:hangingChars="200"/>
              <w:rPr>
                <w:rFonts w:hint="default" w:ascii="宋体" w:hAnsi="宋体" w:eastAsia="宋体"/>
                <w:b/>
                <w:sz w:val="24"/>
                <w:lang w:val="en-US" w:eastAsia="zh-CN"/>
              </w:rPr>
            </w:pPr>
            <w:r>
              <w:rPr>
                <w:rFonts w:hint="eastAsia" w:ascii="宋体" w:hAnsi="宋体"/>
                <w:b/>
                <w:color w:val="000000" w:themeColor="text1"/>
                <w:sz w:val="24"/>
                <w14:textFill>
                  <w14:solidFill>
                    <w14:schemeClr w14:val="tx1"/>
                  </w14:solidFill>
                </w14:textFill>
              </w:rPr>
              <w:t>踏勘现场：</w:t>
            </w:r>
            <w:r>
              <w:rPr>
                <w:rFonts w:hint="eastAsia" w:ascii="宋体" w:hAnsi="宋体"/>
                <w:b w:val="0"/>
                <w:bCs/>
                <w:color w:val="000000" w:themeColor="text1"/>
                <w:sz w:val="24"/>
                <w14:textFill>
                  <w14:solidFill>
                    <w14:schemeClr w14:val="tx1"/>
                  </w14:solidFill>
                </w14:textFill>
              </w:rPr>
              <w:t>为了确保项目顺利实施，投标人在投标前应对实施现场环境进行实地踏勘，</w:t>
            </w:r>
            <w:r>
              <w:rPr>
                <w:rFonts w:hint="eastAsia" w:ascii="宋体" w:hAnsi="宋体"/>
                <w:bCs/>
                <w:color w:val="000000" w:themeColor="text1"/>
                <w:sz w:val="24"/>
                <w:lang w:eastAsia="zh-CN"/>
                <w14:textFill>
                  <w14:solidFill>
                    <w14:schemeClr w14:val="tx1"/>
                  </w14:solidFill>
                </w14:textFill>
              </w:rPr>
              <w:t>各投标人须在</w:t>
            </w:r>
            <w:r>
              <w:rPr>
                <w:rFonts w:hint="eastAsia" w:ascii="宋体" w:hAnsi="宋体"/>
                <w:bCs/>
                <w:color w:val="000000" w:themeColor="text1"/>
                <w:sz w:val="24"/>
                <w:lang w:val="en-US" w:eastAsia="zh-CN"/>
                <w14:textFill>
                  <w14:solidFill>
                    <w14:schemeClr w14:val="tx1"/>
                  </w14:solidFill>
                </w14:textFill>
              </w:rPr>
              <w:t>2022年2月19日16点00分到</w:t>
            </w:r>
            <w:r>
              <w:rPr>
                <w:rFonts w:hint="eastAsia" w:ascii="宋体" w:hAnsi="宋体"/>
                <w:b w:val="0"/>
                <w:bCs/>
                <w:color w:val="000000" w:themeColor="text1"/>
                <w:sz w:val="24"/>
                <w:lang w:eastAsia="zh-CN"/>
                <w14:textFill>
                  <w14:solidFill>
                    <w14:schemeClr w14:val="tx1"/>
                  </w14:solidFill>
                </w14:textFill>
              </w:rPr>
              <w:t>阿克苏地区第四人民医院</w:t>
            </w:r>
            <w:r>
              <w:rPr>
                <w:rFonts w:hint="eastAsia" w:ascii="宋体" w:hAnsi="宋体"/>
                <w:b w:val="0"/>
                <w:bCs/>
                <w:color w:val="000000" w:themeColor="text1"/>
                <w:sz w:val="24"/>
                <w:lang w:val="en-US" w:eastAsia="zh-CN"/>
                <w14:textFill>
                  <w14:solidFill>
                    <w14:schemeClr w14:val="tx1"/>
                  </w14:solidFill>
                </w14:textFill>
              </w:rPr>
              <w:t>参加踏勘现场、标前答疑会。</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19</w:t>
            </w:r>
          </w:p>
        </w:tc>
        <w:tc>
          <w:tcPr>
            <w:tcW w:w="8782" w:type="dxa"/>
            <w:vAlign w:val="bottom"/>
          </w:tcPr>
          <w:p>
            <w:pPr>
              <w:tabs>
                <w:tab w:val="left" w:pos="7665"/>
              </w:tabs>
              <w:spacing w:line="276" w:lineRule="auto"/>
              <w:rPr>
                <w:rFonts w:ascii="宋体" w:hAnsi="宋体"/>
                <w:b/>
                <w:sz w:val="24"/>
              </w:rPr>
            </w:pPr>
            <w:r>
              <w:rPr>
                <w:rFonts w:hint="eastAsia" w:ascii="宋体" w:hAnsi="宋体"/>
                <w:b/>
                <w:sz w:val="24"/>
              </w:rPr>
              <w:t>分包（转让）：</w:t>
            </w:r>
            <w:r>
              <w:rPr>
                <w:rFonts w:hint="eastAsia" w:ascii="宋体" w:hAnsi="宋体"/>
                <w:sz w:val="24"/>
              </w:rPr>
              <w:t>不允许。</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20</w:t>
            </w:r>
          </w:p>
        </w:tc>
        <w:tc>
          <w:tcPr>
            <w:tcW w:w="8782" w:type="dxa"/>
            <w:vAlign w:val="bottom"/>
          </w:tcPr>
          <w:p>
            <w:pPr>
              <w:tabs>
                <w:tab w:val="left" w:pos="7665"/>
              </w:tabs>
              <w:spacing w:line="276" w:lineRule="auto"/>
              <w:rPr>
                <w:rFonts w:ascii="宋体" w:hAnsi="宋体"/>
                <w:b/>
                <w:sz w:val="24"/>
              </w:rPr>
            </w:pPr>
            <w:r>
              <w:rPr>
                <w:rFonts w:hint="eastAsia" w:ascii="宋体" w:hAnsi="宋体"/>
                <w:b/>
                <w:sz w:val="24"/>
              </w:rPr>
              <w:t>联合投标：</w:t>
            </w:r>
            <w:r>
              <w:rPr>
                <w:rFonts w:hint="eastAsia" w:ascii="宋体" w:hAnsi="宋体"/>
                <w:sz w:val="24"/>
              </w:rPr>
              <w:t>本项目不接受联合体投标。</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21</w:t>
            </w:r>
          </w:p>
        </w:tc>
        <w:tc>
          <w:tcPr>
            <w:tcW w:w="8782" w:type="dxa"/>
            <w:vAlign w:val="bottom"/>
          </w:tcPr>
          <w:p>
            <w:pPr>
              <w:adjustRightInd w:val="0"/>
              <w:snapToGrid w:val="0"/>
              <w:spacing w:line="276" w:lineRule="auto"/>
              <w:textAlignment w:val="baseline"/>
              <w:rPr>
                <w:rFonts w:ascii="宋体" w:hAnsi="宋体"/>
                <w:b/>
                <w:sz w:val="24"/>
              </w:rPr>
            </w:pPr>
            <w:r>
              <w:rPr>
                <w:rFonts w:hint="eastAsia" w:ascii="宋体" w:hAnsi="宋体"/>
                <w:b/>
                <w:sz w:val="24"/>
              </w:rPr>
              <w:t>是否退还投标文件：</w:t>
            </w:r>
            <w:r>
              <w:rPr>
                <w:rFonts w:hint="eastAsia" w:ascii="宋体" w:hAnsi="宋体"/>
                <w:sz w:val="24"/>
              </w:rPr>
              <w:t>否</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22</w:t>
            </w:r>
          </w:p>
        </w:tc>
        <w:tc>
          <w:tcPr>
            <w:tcW w:w="8782" w:type="dxa"/>
            <w:vAlign w:val="center"/>
          </w:tcPr>
          <w:p>
            <w:pPr>
              <w:spacing w:line="276" w:lineRule="auto"/>
              <w:rPr>
                <w:rFonts w:ascii="宋体" w:hAnsi="宋体"/>
                <w:b/>
                <w:sz w:val="24"/>
              </w:rPr>
            </w:pPr>
            <w:r>
              <w:rPr>
                <w:rFonts w:hint="eastAsia" w:ascii="宋体" w:hAnsi="宋体"/>
                <w:b/>
                <w:sz w:val="24"/>
              </w:rPr>
              <w:t>投标保证金递交说明：</w:t>
            </w:r>
          </w:p>
          <w:p>
            <w:pPr>
              <w:numPr>
                <w:ilvl w:val="0"/>
                <w:numId w:val="2"/>
              </w:numPr>
              <w:spacing w:line="276" w:lineRule="auto"/>
              <w:ind w:firstLine="482" w:firstLineChars="200"/>
              <w:textAlignment w:val="baseline"/>
              <w:rPr>
                <w:rFonts w:ascii="宋体" w:hAnsi="宋体"/>
                <w:b/>
                <w:bCs/>
                <w:sz w:val="24"/>
              </w:rPr>
            </w:pPr>
            <w:r>
              <w:rPr>
                <w:rFonts w:hint="eastAsia" w:ascii="宋体" w:hAnsi="宋体"/>
                <w:b/>
                <w:bCs/>
                <w:sz w:val="24"/>
              </w:rPr>
              <w:t>金额：</w:t>
            </w:r>
            <w:r>
              <w:rPr>
                <w:rFonts w:hint="eastAsia" w:ascii="宋体" w:hAnsi="宋体"/>
                <w:b/>
                <w:sz w:val="24"/>
                <w:lang w:val="en-US" w:eastAsia="zh-CN"/>
              </w:rPr>
              <w:t>100000.00元</w:t>
            </w:r>
            <w:r>
              <w:rPr>
                <w:rFonts w:hint="eastAsia" w:ascii="宋体" w:hAnsi="宋体"/>
                <w:b/>
                <w:bCs/>
                <w:sz w:val="24"/>
              </w:rPr>
              <w:t xml:space="preserve">  大写：</w:t>
            </w:r>
            <w:r>
              <w:rPr>
                <w:rFonts w:hint="eastAsia" w:ascii="宋体" w:hAnsi="宋体"/>
                <w:b/>
                <w:bCs/>
                <w:sz w:val="24"/>
                <w:lang w:val="en-US" w:eastAsia="zh-CN"/>
              </w:rPr>
              <w:t>壹拾万元整</w:t>
            </w:r>
          </w:p>
          <w:p>
            <w:pPr>
              <w:numPr>
                <w:ilvl w:val="0"/>
                <w:numId w:val="2"/>
              </w:numPr>
              <w:spacing w:line="276" w:lineRule="auto"/>
              <w:ind w:firstLine="480" w:firstLineChars="200"/>
              <w:textAlignment w:val="baseline"/>
              <w:rPr>
                <w:rFonts w:ascii="宋体" w:hAnsi="宋体"/>
                <w:sz w:val="24"/>
              </w:rPr>
            </w:pPr>
            <w:r>
              <w:rPr>
                <w:rFonts w:hint="eastAsia" w:ascii="宋体" w:hAnsi="宋体"/>
                <w:sz w:val="24"/>
              </w:rPr>
              <w:t>交纳账户信息如下：</w:t>
            </w:r>
          </w:p>
          <w:p>
            <w:pPr>
              <w:spacing w:line="276" w:lineRule="auto"/>
              <w:ind w:firstLine="480" w:firstLineChars="200"/>
              <w:textAlignment w:val="baseline"/>
              <w:rPr>
                <w:rFonts w:ascii="宋体" w:hAnsi="宋体"/>
                <w:b w:val="0"/>
                <w:bCs/>
                <w:kern w:val="0"/>
                <w:sz w:val="24"/>
              </w:rPr>
            </w:pPr>
            <w:r>
              <w:rPr>
                <w:rFonts w:hint="eastAsia" w:ascii="宋体" w:hAnsi="宋体"/>
                <w:b w:val="0"/>
                <w:bCs/>
                <w:kern w:val="0"/>
                <w:sz w:val="24"/>
              </w:rPr>
              <w:t>开 户 名：新疆</w:t>
            </w:r>
            <w:r>
              <w:rPr>
                <w:rFonts w:hint="eastAsia" w:ascii="宋体" w:hAnsi="宋体"/>
                <w:b w:val="0"/>
                <w:bCs/>
                <w:kern w:val="0"/>
                <w:sz w:val="24"/>
                <w:lang w:eastAsia="zh-CN"/>
              </w:rPr>
              <w:t>华玫睿</w:t>
            </w:r>
            <w:r>
              <w:rPr>
                <w:rFonts w:hint="eastAsia" w:ascii="宋体" w:hAnsi="宋体"/>
                <w:b w:val="0"/>
                <w:bCs/>
                <w:kern w:val="0"/>
                <w:sz w:val="24"/>
              </w:rPr>
              <w:t>项目管理有限公司</w:t>
            </w:r>
          </w:p>
          <w:p>
            <w:pPr>
              <w:spacing w:line="276" w:lineRule="auto"/>
              <w:ind w:firstLine="480" w:firstLineChars="200"/>
              <w:textAlignment w:val="baseline"/>
              <w:rPr>
                <w:rFonts w:ascii="宋体" w:hAnsi="宋体"/>
                <w:b w:val="0"/>
                <w:bCs/>
                <w:kern w:val="0"/>
                <w:sz w:val="24"/>
              </w:rPr>
            </w:pPr>
            <w:r>
              <w:rPr>
                <w:rFonts w:hint="eastAsia" w:ascii="宋体" w:hAnsi="宋体"/>
                <w:b w:val="0"/>
                <w:bCs/>
                <w:kern w:val="0"/>
                <w:sz w:val="24"/>
              </w:rPr>
              <w:t>开户银行：中国银行股份有限公司阿克苏地区分行</w:t>
            </w:r>
          </w:p>
          <w:p>
            <w:pPr>
              <w:spacing w:line="276" w:lineRule="auto"/>
              <w:ind w:firstLine="480" w:firstLineChars="200"/>
              <w:textAlignment w:val="baseline"/>
              <w:rPr>
                <w:rFonts w:hint="default" w:ascii="宋体" w:hAnsi="宋体"/>
                <w:b w:val="0"/>
                <w:bCs/>
                <w:kern w:val="0"/>
                <w:sz w:val="24"/>
                <w:lang w:val="en-US" w:eastAsia="zh-CN"/>
              </w:rPr>
            </w:pPr>
            <w:r>
              <w:rPr>
                <w:rFonts w:hint="eastAsia" w:ascii="宋体" w:hAnsi="宋体"/>
                <w:b w:val="0"/>
                <w:bCs/>
                <w:kern w:val="0"/>
                <w:sz w:val="24"/>
              </w:rPr>
              <w:t>帐    号：1070 8</w:t>
            </w:r>
            <w:r>
              <w:rPr>
                <w:rFonts w:hint="eastAsia" w:ascii="宋体" w:hAnsi="宋体"/>
                <w:b w:val="0"/>
                <w:bCs/>
                <w:kern w:val="0"/>
                <w:sz w:val="24"/>
                <w:lang w:val="en-US" w:eastAsia="zh-CN"/>
              </w:rPr>
              <w:t>4469929</w:t>
            </w:r>
          </w:p>
          <w:p>
            <w:pPr>
              <w:spacing w:line="276" w:lineRule="auto"/>
              <w:ind w:firstLine="480" w:firstLineChars="200"/>
              <w:textAlignment w:val="baseline"/>
              <w:rPr>
                <w:rFonts w:ascii="宋体" w:hAnsi="宋体"/>
                <w:b w:val="0"/>
                <w:bCs/>
                <w:kern w:val="0"/>
                <w:sz w:val="24"/>
              </w:rPr>
            </w:pPr>
            <w:r>
              <w:rPr>
                <w:rFonts w:hint="eastAsia" w:ascii="宋体" w:hAnsi="宋体"/>
                <w:b w:val="0"/>
                <w:bCs/>
                <w:kern w:val="0"/>
                <w:sz w:val="24"/>
              </w:rPr>
              <w:t>3.投标保证金的交纳单位必须与投标人名称一致，投标保证金缴存方式：投标保证金应当以支票、汇票、本票或者金融机构、担保机构出具的保函等非现金形式提交。投标人未按照采购文件要求提交投标保证金的投标无效；</w:t>
            </w:r>
          </w:p>
          <w:p>
            <w:pPr>
              <w:spacing w:line="276" w:lineRule="auto"/>
              <w:ind w:firstLine="480" w:firstLineChars="200"/>
              <w:textAlignment w:val="baseline"/>
              <w:rPr>
                <w:rFonts w:ascii="宋体" w:hAnsi="宋体"/>
                <w:b w:val="0"/>
                <w:bCs/>
                <w:kern w:val="0"/>
                <w:sz w:val="24"/>
              </w:rPr>
            </w:pPr>
            <w:r>
              <w:rPr>
                <w:rFonts w:hint="eastAsia" w:ascii="宋体" w:hAnsi="宋体"/>
                <w:b w:val="0"/>
                <w:bCs/>
                <w:kern w:val="0"/>
                <w:sz w:val="24"/>
              </w:rPr>
              <w:t>4.在投标截止时间前从投标人所在地企业基本帐户以电汇或银行转账的方式，汇到指定的投标保证金帐户；</w:t>
            </w:r>
          </w:p>
          <w:p>
            <w:pPr>
              <w:spacing w:line="276" w:lineRule="auto"/>
              <w:ind w:firstLine="480" w:firstLineChars="200"/>
              <w:textAlignment w:val="baseline"/>
              <w:rPr>
                <w:rFonts w:ascii="宋体" w:hAnsi="宋体"/>
                <w:b w:val="0"/>
                <w:bCs/>
                <w:kern w:val="0"/>
                <w:sz w:val="24"/>
              </w:rPr>
            </w:pPr>
            <w:r>
              <w:rPr>
                <w:rFonts w:hint="eastAsia" w:ascii="宋体" w:hAnsi="宋体"/>
                <w:b w:val="0"/>
                <w:bCs/>
                <w:kern w:val="0"/>
                <w:sz w:val="24"/>
              </w:rPr>
              <w:t>5.联合体投标的，投标保证金由牵头人交纳。</w:t>
            </w:r>
          </w:p>
          <w:p>
            <w:pPr>
              <w:spacing w:line="276" w:lineRule="auto"/>
              <w:ind w:firstLine="480" w:firstLineChars="200"/>
              <w:textAlignment w:val="baseline"/>
              <w:rPr>
                <w:rFonts w:ascii="宋体" w:hAnsi="宋体"/>
                <w:b w:val="0"/>
                <w:bCs/>
                <w:kern w:val="0"/>
                <w:sz w:val="24"/>
              </w:rPr>
            </w:pPr>
            <w:r>
              <w:rPr>
                <w:rFonts w:hint="eastAsia" w:ascii="宋体" w:hAnsi="宋体"/>
                <w:b w:val="0"/>
                <w:bCs/>
                <w:kern w:val="0"/>
                <w:sz w:val="24"/>
              </w:rPr>
              <w:t>6.投标人在缴纳投标保证金时需备注投标项目名称及项目编号。</w:t>
            </w:r>
          </w:p>
          <w:p>
            <w:pPr>
              <w:spacing w:line="276" w:lineRule="auto"/>
              <w:ind w:firstLine="480" w:firstLineChars="200"/>
              <w:textAlignment w:val="baseline"/>
              <w:rPr>
                <w:rFonts w:ascii="宋体" w:hAnsi="宋体"/>
                <w:b w:val="0"/>
                <w:bCs/>
                <w:kern w:val="0"/>
                <w:sz w:val="24"/>
              </w:rPr>
            </w:pPr>
            <w:r>
              <w:rPr>
                <w:rFonts w:hint="eastAsia" w:ascii="宋体" w:hAnsi="宋体"/>
                <w:b w:val="0"/>
                <w:bCs/>
                <w:kern w:val="0"/>
                <w:sz w:val="24"/>
              </w:rPr>
              <w:t>7.发生以下情况的，招标方将不予退还其投标保证金，并取消其以后参与招标方所组织的政府采购活动的资格：</w:t>
            </w:r>
          </w:p>
          <w:p>
            <w:pPr>
              <w:spacing w:line="276" w:lineRule="auto"/>
              <w:ind w:firstLine="480" w:firstLineChars="200"/>
              <w:textAlignment w:val="baseline"/>
              <w:rPr>
                <w:rFonts w:ascii="宋体" w:hAnsi="宋体"/>
                <w:b w:val="0"/>
                <w:bCs/>
                <w:kern w:val="0"/>
                <w:sz w:val="24"/>
              </w:rPr>
            </w:pPr>
            <w:r>
              <w:rPr>
                <w:rFonts w:hint="eastAsia" w:ascii="宋体" w:hAnsi="宋体"/>
                <w:b w:val="0"/>
                <w:bCs/>
                <w:kern w:val="0"/>
                <w:sz w:val="24"/>
              </w:rPr>
              <w:t>①投标截至时间后开标前投标投标人撤回投标的；</w:t>
            </w:r>
          </w:p>
          <w:p>
            <w:pPr>
              <w:spacing w:line="276" w:lineRule="auto"/>
              <w:ind w:firstLine="480" w:firstLineChars="200"/>
              <w:textAlignment w:val="baseline"/>
              <w:rPr>
                <w:rFonts w:ascii="宋体" w:hAnsi="宋体"/>
                <w:b w:val="0"/>
                <w:bCs/>
                <w:kern w:val="0"/>
                <w:sz w:val="24"/>
              </w:rPr>
            </w:pPr>
            <w:r>
              <w:rPr>
                <w:rFonts w:hint="eastAsia" w:ascii="宋体" w:hAnsi="宋体"/>
                <w:b w:val="0"/>
                <w:bCs/>
                <w:kern w:val="0"/>
                <w:sz w:val="24"/>
              </w:rPr>
              <w:t>②中标后无正当理由不与招标人签订合同的；</w:t>
            </w:r>
          </w:p>
          <w:p>
            <w:pPr>
              <w:spacing w:line="276" w:lineRule="auto"/>
              <w:ind w:firstLine="480" w:firstLineChars="200"/>
              <w:textAlignment w:val="baseline"/>
              <w:rPr>
                <w:rFonts w:ascii="宋体" w:hAnsi="宋体"/>
                <w:b w:val="0"/>
                <w:bCs/>
                <w:kern w:val="0"/>
                <w:sz w:val="24"/>
              </w:rPr>
            </w:pPr>
            <w:r>
              <w:rPr>
                <w:rFonts w:hint="eastAsia" w:ascii="宋体" w:hAnsi="宋体"/>
                <w:b w:val="0"/>
                <w:bCs/>
                <w:kern w:val="0"/>
                <w:sz w:val="24"/>
              </w:rPr>
              <w:t xml:space="preserve">③将中标项目转让给他人，或者在竞标文件中未说明，且未经招标人同意，将中标项目分包给他人的； </w:t>
            </w:r>
          </w:p>
          <w:p>
            <w:pPr>
              <w:spacing w:line="276" w:lineRule="auto"/>
              <w:ind w:firstLine="480" w:firstLineChars="200"/>
              <w:textAlignment w:val="baseline"/>
              <w:rPr>
                <w:rFonts w:ascii="宋体" w:hAnsi="宋体"/>
                <w:b w:val="0"/>
                <w:bCs/>
                <w:kern w:val="0"/>
                <w:sz w:val="24"/>
              </w:rPr>
            </w:pPr>
            <w:r>
              <w:rPr>
                <w:rFonts w:hint="eastAsia" w:ascii="宋体" w:hAnsi="宋体"/>
                <w:b w:val="0"/>
                <w:bCs/>
                <w:kern w:val="0"/>
                <w:sz w:val="24"/>
              </w:rPr>
              <w:t>④拒绝或不完全履行合同义务的；</w:t>
            </w:r>
          </w:p>
          <w:p>
            <w:pPr>
              <w:spacing w:line="276" w:lineRule="auto"/>
              <w:ind w:firstLine="480" w:firstLineChars="200"/>
              <w:textAlignment w:val="baseline"/>
              <w:rPr>
                <w:rFonts w:ascii="宋体" w:hAnsi="宋体"/>
                <w:b/>
                <w:kern w:val="0"/>
                <w:sz w:val="24"/>
              </w:rPr>
            </w:pPr>
            <w:r>
              <w:rPr>
                <w:rFonts w:hint="eastAsia" w:ascii="宋体" w:hAnsi="宋体"/>
                <w:b w:val="0"/>
                <w:bCs/>
                <w:kern w:val="0"/>
                <w:sz w:val="24"/>
              </w:rPr>
              <w:t>⑤提供虚假材料谋取中标的。</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23</w:t>
            </w:r>
          </w:p>
        </w:tc>
        <w:tc>
          <w:tcPr>
            <w:tcW w:w="8782" w:type="dxa"/>
            <w:vAlign w:val="center"/>
          </w:tcPr>
          <w:p>
            <w:pPr>
              <w:adjustRightInd w:val="0"/>
              <w:snapToGrid w:val="0"/>
              <w:spacing w:line="276" w:lineRule="auto"/>
              <w:jc w:val="left"/>
              <w:textAlignment w:val="baseline"/>
              <w:rPr>
                <w:rFonts w:ascii="宋体" w:hAnsi="宋体"/>
                <w:b/>
                <w:sz w:val="24"/>
              </w:rPr>
            </w:pPr>
            <w:r>
              <w:rPr>
                <w:rFonts w:hint="eastAsia" w:ascii="宋体" w:hAnsi="宋体"/>
                <w:b/>
                <w:sz w:val="24"/>
              </w:rPr>
              <w:t>投标保证金的退付：</w:t>
            </w:r>
          </w:p>
          <w:p>
            <w:pPr>
              <w:adjustRightInd w:val="0"/>
              <w:snapToGrid w:val="0"/>
              <w:ind w:firstLine="480" w:firstLineChars="200"/>
              <w:jc w:val="left"/>
              <w:textAlignment w:val="baseline"/>
              <w:rPr>
                <w:rFonts w:ascii="宋体" w:hAnsi="宋体"/>
                <w:sz w:val="24"/>
              </w:rPr>
            </w:pPr>
            <w:r>
              <w:rPr>
                <w:rFonts w:hint="eastAsia" w:ascii="宋体" w:hAnsi="宋体"/>
                <w:sz w:val="24"/>
              </w:rPr>
              <w:t>1.未中标的投标人投标保证金在成交公告期满（公告期为1个工作日）后5个工作日内全额无息退还；</w:t>
            </w:r>
          </w:p>
          <w:p>
            <w:pPr>
              <w:adjustRightInd w:val="0"/>
              <w:snapToGrid w:val="0"/>
              <w:ind w:firstLine="480" w:firstLineChars="200"/>
              <w:jc w:val="left"/>
              <w:textAlignment w:val="baseline"/>
              <w:rPr>
                <w:rFonts w:ascii="宋体" w:hAnsi="宋体"/>
                <w:sz w:val="24"/>
              </w:rPr>
            </w:pPr>
            <w:r>
              <w:rPr>
                <w:rFonts w:hint="eastAsia" w:ascii="宋体" w:hAnsi="宋体"/>
                <w:sz w:val="24"/>
              </w:rPr>
              <w:t>2.中标的投标人投标保证金签订合同后携带合同原件到</w:t>
            </w:r>
            <w:r>
              <w:rPr>
                <w:rFonts w:hint="eastAsia" w:ascii="宋体" w:hAnsi="宋体"/>
                <w:sz w:val="24"/>
                <w:lang w:eastAsia="zh-CN"/>
              </w:rPr>
              <w:t>新疆华玫睿项目管理有限公司</w:t>
            </w:r>
            <w:r>
              <w:rPr>
                <w:rFonts w:hint="eastAsia" w:ascii="宋体" w:hAnsi="宋体"/>
                <w:sz w:val="24"/>
              </w:rPr>
              <w:t>阿克苏分公司财务处全额无息退还。</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24</w:t>
            </w:r>
          </w:p>
        </w:tc>
        <w:tc>
          <w:tcPr>
            <w:tcW w:w="8782" w:type="dxa"/>
            <w:vAlign w:val="center"/>
          </w:tcPr>
          <w:p>
            <w:pPr>
              <w:adjustRightInd w:val="0"/>
              <w:snapToGrid w:val="0"/>
              <w:spacing w:line="276" w:lineRule="auto"/>
              <w:jc w:val="left"/>
              <w:rPr>
                <w:rFonts w:hint="eastAsia" w:ascii="宋体" w:hAnsi="宋体"/>
                <w:b/>
                <w:sz w:val="24"/>
              </w:rPr>
            </w:pPr>
            <w:r>
              <w:rPr>
                <w:rFonts w:hint="eastAsia" w:ascii="宋体" w:hAnsi="宋体"/>
                <w:b/>
                <w:sz w:val="24"/>
              </w:rPr>
              <w:t>《投标文件》递交份数、时间及地点：</w:t>
            </w:r>
          </w:p>
          <w:p>
            <w:pPr>
              <w:spacing w:line="276" w:lineRule="auto"/>
              <w:ind w:firstLine="482" w:firstLineChars="200"/>
              <w:textAlignment w:val="baseline"/>
              <w:rPr>
                <w:rFonts w:ascii="宋体" w:hAnsi="宋体"/>
                <w:sz w:val="24"/>
              </w:rPr>
            </w:pPr>
            <w:r>
              <w:rPr>
                <w:rFonts w:hint="eastAsia" w:ascii="宋体" w:hAnsi="宋体"/>
                <w:b/>
                <w:sz w:val="24"/>
              </w:rPr>
              <w:t>（1）份数：</w:t>
            </w:r>
            <w:r>
              <w:rPr>
                <w:rFonts w:hint="eastAsia" w:ascii="宋体" w:hAnsi="宋体"/>
                <w:sz w:val="24"/>
              </w:rPr>
              <w:t>正本1份,副本3份，电子版3份（光盘PDF格式存储2份，U盘Word版格式存储1份，</w:t>
            </w:r>
            <w:r>
              <w:rPr>
                <w:rFonts w:ascii="宋体" w:hAnsi="宋体"/>
                <w:sz w:val="24"/>
              </w:rPr>
              <w:t>分别密封</w:t>
            </w:r>
            <w:r>
              <w:rPr>
                <w:rFonts w:hint="eastAsia" w:ascii="宋体" w:hAnsi="宋体"/>
                <w:sz w:val="24"/>
              </w:rPr>
              <w:t>），所有文件递交不退。</w:t>
            </w:r>
          </w:p>
          <w:p>
            <w:pPr>
              <w:ind w:firstLine="241" w:firstLineChars="100"/>
              <w:textAlignment w:val="baseline"/>
              <w:rPr>
                <w:rFonts w:ascii="宋体" w:hAnsi="宋体"/>
                <w:b/>
                <w:sz w:val="24"/>
              </w:rPr>
            </w:pPr>
            <w:r>
              <w:rPr>
                <w:rFonts w:hint="eastAsia" w:ascii="宋体" w:hAnsi="宋体"/>
                <w:b/>
                <w:sz w:val="24"/>
              </w:rPr>
              <w:t>特别提示：光盘PDF格式电子版《投标文件》必须</w:t>
            </w:r>
            <w:r>
              <w:rPr>
                <w:rFonts w:hint="eastAsia" w:ascii="宋体" w:hAnsi="宋体"/>
                <w:b/>
                <w:sz w:val="24"/>
                <w:lang w:val="en-US" w:eastAsia="zh-CN"/>
              </w:rPr>
              <w:t>为</w:t>
            </w:r>
            <w:r>
              <w:rPr>
                <w:rFonts w:hint="eastAsia" w:ascii="宋体" w:hAnsi="宋体"/>
                <w:b/>
                <w:sz w:val="24"/>
              </w:rPr>
              <w:t>纸质版《投标文件》</w:t>
            </w:r>
            <w:r>
              <w:rPr>
                <w:rFonts w:hint="eastAsia" w:ascii="宋体" w:hAnsi="宋体"/>
                <w:b/>
                <w:sz w:val="24"/>
                <w:lang w:val="en-US" w:eastAsia="zh-CN"/>
              </w:rPr>
              <w:t>正本</w:t>
            </w:r>
            <w:r>
              <w:rPr>
                <w:rFonts w:hint="eastAsia" w:ascii="宋体" w:hAnsi="宋体"/>
                <w:b/>
                <w:sz w:val="24"/>
              </w:rPr>
              <w:t>内容</w:t>
            </w:r>
            <w:r>
              <w:rPr>
                <w:rFonts w:hint="eastAsia" w:ascii="宋体" w:hAnsi="宋体"/>
                <w:b/>
                <w:sz w:val="24"/>
                <w:lang w:val="en-US" w:eastAsia="zh-CN"/>
              </w:rPr>
              <w:t>的扫描件</w:t>
            </w:r>
            <w:r>
              <w:rPr>
                <w:rFonts w:hint="eastAsia" w:ascii="宋体" w:hAnsi="宋体"/>
                <w:b/>
                <w:sz w:val="24"/>
              </w:rPr>
              <w:t>，否则按无效投标处理。</w:t>
            </w:r>
          </w:p>
          <w:p>
            <w:pPr>
              <w:widowControl/>
              <w:shd w:val="clear" w:color="auto" w:fill="FFFFFF"/>
              <w:spacing w:line="276" w:lineRule="auto"/>
              <w:ind w:firstLine="482" w:firstLineChars="200"/>
              <w:jc w:val="left"/>
              <w:rPr>
                <w:rFonts w:ascii="宋体" w:hAnsi="宋体"/>
                <w:sz w:val="24"/>
              </w:rPr>
            </w:pPr>
            <w:r>
              <w:rPr>
                <w:rFonts w:hint="eastAsia" w:ascii="宋体" w:hAnsi="宋体"/>
                <w:b/>
                <w:sz w:val="24"/>
              </w:rPr>
              <w:t>（2）投标文件</w:t>
            </w:r>
            <w:r>
              <w:rPr>
                <w:rFonts w:ascii="宋体" w:hAnsi="宋体"/>
                <w:b/>
                <w:sz w:val="24"/>
              </w:rPr>
              <w:t>递交截止时间</w:t>
            </w:r>
            <w:r>
              <w:rPr>
                <w:rFonts w:hint="eastAsia" w:ascii="宋体" w:hAnsi="宋体"/>
                <w:b/>
                <w:sz w:val="24"/>
              </w:rPr>
              <w:t>：202</w:t>
            </w:r>
            <w:r>
              <w:rPr>
                <w:rFonts w:hint="eastAsia" w:ascii="宋体" w:hAnsi="宋体"/>
                <w:b/>
                <w:sz w:val="24"/>
                <w:lang w:val="en-US" w:eastAsia="zh-CN"/>
              </w:rPr>
              <w:t>2</w:t>
            </w:r>
            <w:r>
              <w:rPr>
                <w:rFonts w:hint="eastAsia" w:ascii="宋体" w:hAnsi="宋体"/>
                <w:b/>
                <w:sz w:val="24"/>
              </w:rPr>
              <w:t>年</w:t>
            </w:r>
            <w:r>
              <w:rPr>
                <w:rFonts w:hint="eastAsia" w:ascii="宋体" w:hAnsi="宋体"/>
                <w:b/>
                <w:sz w:val="24"/>
                <w:lang w:val="en-US" w:eastAsia="zh-CN"/>
              </w:rPr>
              <w:t>3</w:t>
            </w:r>
            <w:r>
              <w:rPr>
                <w:rFonts w:hint="eastAsia" w:ascii="宋体" w:hAnsi="宋体"/>
                <w:b/>
                <w:sz w:val="24"/>
              </w:rPr>
              <w:t>月</w:t>
            </w:r>
            <w:r>
              <w:rPr>
                <w:rFonts w:hint="eastAsia" w:ascii="宋体" w:hAnsi="宋体"/>
                <w:b/>
                <w:sz w:val="24"/>
                <w:lang w:val="en-US" w:eastAsia="zh-CN"/>
              </w:rPr>
              <w:t>3</w:t>
            </w:r>
            <w:r>
              <w:rPr>
                <w:rFonts w:hint="eastAsia" w:ascii="宋体" w:hAnsi="宋体"/>
                <w:b/>
                <w:sz w:val="24"/>
              </w:rPr>
              <w:t>日16点</w:t>
            </w:r>
            <w:r>
              <w:rPr>
                <w:rFonts w:hint="eastAsia" w:ascii="宋体" w:hAnsi="宋体"/>
                <w:b/>
                <w:sz w:val="24"/>
                <w:lang w:val="en-US" w:eastAsia="zh-CN"/>
              </w:rPr>
              <w:t>0</w:t>
            </w:r>
            <w:r>
              <w:rPr>
                <w:rFonts w:hint="eastAsia" w:ascii="宋体" w:hAnsi="宋体"/>
                <w:b/>
                <w:sz w:val="24"/>
              </w:rPr>
              <w:t>0分</w:t>
            </w:r>
            <w:r>
              <w:rPr>
                <w:rFonts w:hint="eastAsia" w:ascii="宋体" w:hAnsi="宋体"/>
                <w:b/>
                <w:bCs/>
                <w:sz w:val="24"/>
              </w:rPr>
              <w:t>（北京时间）</w:t>
            </w:r>
          </w:p>
          <w:p>
            <w:pPr>
              <w:spacing w:line="276" w:lineRule="auto"/>
              <w:ind w:firstLine="480"/>
              <w:rPr>
                <w:rFonts w:ascii="宋体" w:hAnsi="宋体"/>
                <w:sz w:val="24"/>
              </w:rPr>
            </w:pPr>
            <w:r>
              <w:rPr>
                <w:rFonts w:hint="eastAsia" w:ascii="宋体" w:hAnsi="宋体"/>
                <w:b/>
                <w:sz w:val="24"/>
              </w:rPr>
              <w:t>（3）递交地点：阿克苏药品集散中心办公大楼（温宿县长兴街15号）一楼</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25</w:t>
            </w:r>
          </w:p>
        </w:tc>
        <w:tc>
          <w:tcPr>
            <w:tcW w:w="8782" w:type="dxa"/>
            <w:vAlign w:val="center"/>
          </w:tcPr>
          <w:p>
            <w:pPr>
              <w:adjustRightInd w:val="0"/>
              <w:snapToGrid w:val="0"/>
              <w:spacing w:line="276" w:lineRule="auto"/>
              <w:jc w:val="left"/>
              <w:rPr>
                <w:rFonts w:ascii="宋体" w:hAnsi="宋体"/>
                <w:b/>
                <w:sz w:val="24"/>
              </w:rPr>
            </w:pPr>
            <w:r>
              <w:rPr>
                <w:rFonts w:hint="eastAsia" w:ascii="宋体" w:hAnsi="宋体"/>
                <w:b/>
                <w:sz w:val="24"/>
              </w:rPr>
              <w:t>开标时间及地点：</w:t>
            </w:r>
          </w:p>
          <w:p>
            <w:pPr>
              <w:widowControl/>
              <w:shd w:val="clear" w:color="auto" w:fill="FFFFFF"/>
              <w:spacing w:line="276" w:lineRule="auto"/>
              <w:jc w:val="left"/>
              <w:rPr>
                <w:rFonts w:ascii="宋体" w:hAnsi="宋体"/>
                <w:sz w:val="24"/>
              </w:rPr>
            </w:pPr>
            <w:r>
              <w:rPr>
                <w:rFonts w:hint="eastAsia" w:ascii="宋体" w:hAnsi="宋体"/>
                <w:b/>
                <w:bCs/>
                <w:sz w:val="24"/>
              </w:rPr>
              <w:t>开标时间：</w:t>
            </w:r>
            <w:r>
              <w:rPr>
                <w:rFonts w:hint="eastAsia" w:ascii="宋体" w:hAnsi="宋体"/>
                <w:b/>
                <w:sz w:val="24"/>
              </w:rPr>
              <w:t>202</w:t>
            </w:r>
            <w:r>
              <w:rPr>
                <w:rFonts w:hint="eastAsia" w:ascii="宋体" w:hAnsi="宋体"/>
                <w:b/>
                <w:sz w:val="24"/>
                <w:lang w:val="en-US" w:eastAsia="zh-CN"/>
              </w:rPr>
              <w:t>2</w:t>
            </w:r>
            <w:r>
              <w:rPr>
                <w:rFonts w:hint="eastAsia" w:ascii="宋体" w:hAnsi="宋体"/>
                <w:b/>
                <w:sz w:val="24"/>
              </w:rPr>
              <w:t>年</w:t>
            </w:r>
            <w:r>
              <w:rPr>
                <w:rFonts w:hint="eastAsia" w:ascii="宋体" w:hAnsi="宋体"/>
                <w:b/>
                <w:sz w:val="24"/>
                <w:lang w:val="en-US" w:eastAsia="zh-CN"/>
              </w:rPr>
              <w:t>3</w:t>
            </w:r>
            <w:r>
              <w:rPr>
                <w:rFonts w:hint="eastAsia" w:ascii="宋体" w:hAnsi="宋体"/>
                <w:b/>
                <w:sz w:val="24"/>
              </w:rPr>
              <w:t>月</w:t>
            </w:r>
            <w:r>
              <w:rPr>
                <w:rFonts w:hint="eastAsia" w:ascii="宋体" w:hAnsi="宋体"/>
                <w:b/>
                <w:sz w:val="24"/>
                <w:lang w:val="en-US" w:eastAsia="zh-CN"/>
              </w:rPr>
              <w:t>3</w:t>
            </w:r>
            <w:r>
              <w:rPr>
                <w:rFonts w:hint="eastAsia" w:ascii="宋体" w:hAnsi="宋体"/>
                <w:b/>
                <w:sz w:val="24"/>
              </w:rPr>
              <w:t>日16点</w:t>
            </w:r>
            <w:r>
              <w:rPr>
                <w:rFonts w:hint="eastAsia" w:ascii="宋体" w:hAnsi="宋体"/>
                <w:b/>
                <w:sz w:val="24"/>
                <w:lang w:val="en-US" w:eastAsia="zh-CN"/>
              </w:rPr>
              <w:t>0</w:t>
            </w:r>
            <w:r>
              <w:rPr>
                <w:rFonts w:hint="eastAsia" w:ascii="宋体" w:hAnsi="宋体"/>
                <w:b/>
                <w:sz w:val="24"/>
              </w:rPr>
              <w:t>0分</w:t>
            </w:r>
            <w:r>
              <w:rPr>
                <w:rFonts w:hint="eastAsia" w:ascii="宋体" w:hAnsi="宋体"/>
                <w:b/>
                <w:bCs/>
                <w:sz w:val="24"/>
              </w:rPr>
              <w:t>（北京时间）</w:t>
            </w:r>
          </w:p>
          <w:p>
            <w:pPr>
              <w:tabs>
                <w:tab w:val="left" w:pos="400"/>
              </w:tabs>
              <w:spacing w:line="276" w:lineRule="auto"/>
              <w:textAlignment w:val="baseline"/>
              <w:rPr>
                <w:rFonts w:ascii="宋体" w:hAnsi="宋体"/>
                <w:sz w:val="24"/>
              </w:rPr>
            </w:pPr>
            <w:r>
              <w:rPr>
                <w:rFonts w:hint="eastAsia" w:ascii="宋体" w:hAnsi="宋体"/>
                <w:b/>
                <w:sz w:val="24"/>
              </w:rPr>
              <w:t>开标地点：阿克苏药品集散中心办公大楼（温宿县长兴街15号）一楼</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26</w:t>
            </w:r>
          </w:p>
        </w:tc>
        <w:tc>
          <w:tcPr>
            <w:tcW w:w="8782" w:type="dxa"/>
            <w:vAlign w:val="center"/>
          </w:tcPr>
          <w:p>
            <w:pPr>
              <w:pStyle w:val="93"/>
              <w:numPr>
                <w:ilvl w:val="0"/>
                <w:numId w:val="0"/>
              </w:numPr>
              <w:spacing w:line="276" w:lineRule="auto"/>
              <w:rPr>
                <w:sz w:val="24"/>
                <w:szCs w:val="24"/>
              </w:rPr>
            </w:pPr>
            <w:r>
              <w:rPr>
                <w:rFonts w:hint="eastAsia"/>
                <w:b/>
                <w:sz w:val="24"/>
              </w:rPr>
              <w:t>履约保证金：</w:t>
            </w:r>
            <w:r>
              <w:rPr>
                <w:rFonts w:hint="eastAsia"/>
                <w:b/>
                <w:bCs/>
                <w:sz w:val="24"/>
                <w:szCs w:val="24"/>
              </w:rPr>
              <w:t>无</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27</w:t>
            </w:r>
          </w:p>
        </w:tc>
        <w:tc>
          <w:tcPr>
            <w:tcW w:w="8782" w:type="dxa"/>
            <w:vAlign w:val="center"/>
          </w:tcPr>
          <w:p>
            <w:pPr>
              <w:adjustRightInd w:val="0"/>
              <w:snapToGrid w:val="0"/>
              <w:spacing w:line="276" w:lineRule="auto"/>
              <w:jc w:val="left"/>
              <w:rPr>
                <w:rFonts w:ascii="宋体" w:hAnsi="宋体"/>
                <w:b/>
                <w:sz w:val="24"/>
                <w:lang w:val="zh-CN"/>
              </w:rPr>
            </w:pPr>
            <w:r>
              <w:rPr>
                <w:rFonts w:hint="eastAsia" w:ascii="宋体" w:hAnsi="宋体"/>
                <w:b/>
                <w:sz w:val="24"/>
                <w:lang w:val="zh-CN"/>
              </w:rPr>
              <w:t>投标人代表出席开标会需带证件：</w:t>
            </w:r>
          </w:p>
          <w:p>
            <w:pPr>
              <w:spacing w:line="400" w:lineRule="exact"/>
              <w:ind w:firstLine="480" w:firstLineChars="200"/>
              <w:rPr>
                <w:rFonts w:hint="eastAsia" w:ascii="宋体" w:hAnsi="宋体"/>
                <w:sz w:val="24"/>
              </w:rPr>
            </w:pPr>
            <w:r>
              <w:rPr>
                <w:rFonts w:hint="eastAsia" w:ascii="宋体" w:hAnsi="宋体"/>
                <w:sz w:val="24"/>
              </w:rPr>
              <w:t>本次招投标活动邀请各投标人的法定代表人或委托代理人参加，到场的投标人代表需携带以下文件：</w:t>
            </w:r>
          </w:p>
          <w:p>
            <w:pPr>
              <w:spacing w:line="400" w:lineRule="exact"/>
              <w:ind w:firstLine="480" w:firstLineChars="200"/>
              <w:rPr>
                <w:rFonts w:ascii="宋体" w:hAnsi="宋体"/>
                <w:sz w:val="24"/>
              </w:rPr>
            </w:pPr>
            <w:r>
              <w:rPr>
                <w:rFonts w:hint="eastAsia" w:ascii="宋体" w:hAnsi="宋体"/>
                <w:sz w:val="24"/>
              </w:rPr>
              <w:t>1.具有有效经年检的三证合一的营业执照；</w:t>
            </w:r>
          </w:p>
          <w:p>
            <w:pPr>
              <w:spacing w:line="400" w:lineRule="exact"/>
              <w:ind w:firstLine="480" w:firstLineChars="200"/>
              <w:rPr>
                <w:rFonts w:ascii="宋体" w:hAnsi="宋体"/>
                <w:sz w:val="24"/>
              </w:rPr>
            </w:pPr>
            <w:r>
              <w:rPr>
                <w:rFonts w:hint="eastAsia" w:ascii="宋体" w:hAnsi="宋体"/>
                <w:sz w:val="24"/>
              </w:rPr>
              <w:t>2.法人代表或其委托代理人应携带本人身份证原件及复印件，委托代理人还应携带《法人代表授权委托书》《法定代表人身份证明》；</w:t>
            </w:r>
          </w:p>
          <w:p>
            <w:pPr>
              <w:spacing w:line="400" w:lineRule="exact"/>
              <w:ind w:firstLine="480" w:firstLineChars="200"/>
              <w:rPr>
                <w:rFonts w:ascii="宋体" w:hAnsi="宋体"/>
                <w:sz w:val="24"/>
              </w:rPr>
            </w:pPr>
            <w:r>
              <w:rPr>
                <w:rFonts w:hint="eastAsia" w:ascii="宋体" w:hAnsi="宋体"/>
                <w:sz w:val="24"/>
              </w:rPr>
              <w:t>3.具有近一年（2020年）的财务审计报告或成立不满足一年的提供财务报表；</w:t>
            </w:r>
          </w:p>
          <w:p>
            <w:pPr>
              <w:spacing w:line="400" w:lineRule="exact"/>
              <w:ind w:firstLine="480" w:firstLineChars="200"/>
              <w:rPr>
                <w:rFonts w:ascii="宋体" w:hAnsi="宋体"/>
                <w:sz w:val="24"/>
              </w:rPr>
            </w:pPr>
            <w:r>
              <w:rPr>
                <w:rFonts w:hint="eastAsia" w:ascii="宋体" w:hAnsi="宋体"/>
                <w:sz w:val="24"/>
                <w:lang w:val="en-US" w:eastAsia="zh-CN"/>
              </w:rPr>
              <w:t>4</w:t>
            </w:r>
            <w:r>
              <w:rPr>
                <w:rFonts w:hint="eastAsia" w:ascii="宋体" w:hAnsi="宋体"/>
                <w:sz w:val="24"/>
              </w:rPr>
              <w:t>.提供近六个月完税证明和盖有社保局公章的社保缴纳证明（社保缴纳证明中含法人及委托人的社保明细）；</w:t>
            </w:r>
          </w:p>
          <w:p>
            <w:pPr>
              <w:spacing w:line="400" w:lineRule="exact"/>
              <w:ind w:firstLine="480" w:firstLineChars="200"/>
              <w:rPr>
                <w:rFonts w:ascii="宋体" w:hAnsi="宋体"/>
                <w:sz w:val="24"/>
              </w:rPr>
            </w:pPr>
            <w:r>
              <w:rPr>
                <w:rFonts w:hint="eastAsia" w:ascii="宋体" w:hAnsi="宋体"/>
                <w:sz w:val="24"/>
                <w:lang w:val="en-US" w:eastAsia="zh-CN"/>
              </w:rPr>
              <w:t>5</w:t>
            </w:r>
            <w:r>
              <w:rPr>
                <w:rFonts w:hint="eastAsia" w:ascii="宋体" w:hAnsi="宋体"/>
                <w:sz w:val="24"/>
              </w:rPr>
              <w:t>.信用中国网站及中国政府采购网查询结果报告﹙投标人网上自行打印后加盖投标单位公章﹚；</w:t>
            </w:r>
          </w:p>
          <w:p>
            <w:pPr>
              <w:spacing w:line="400" w:lineRule="exact"/>
              <w:ind w:firstLine="480" w:firstLineChars="200"/>
              <w:rPr>
                <w:rFonts w:hint="eastAsia" w:ascii="宋体" w:hAnsi="宋体"/>
                <w:sz w:val="24"/>
              </w:rPr>
            </w:pPr>
            <w:r>
              <w:rPr>
                <w:rFonts w:hint="eastAsia" w:ascii="宋体" w:hAnsi="宋体"/>
                <w:sz w:val="24"/>
                <w:lang w:val="en-US" w:eastAsia="zh-CN"/>
              </w:rPr>
              <w:t>6</w:t>
            </w:r>
            <w:r>
              <w:rPr>
                <w:rFonts w:hint="eastAsia" w:ascii="宋体" w:hAnsi="宋体"/>
                <w:sz w:val="24"/>
              </w:rPr>
              <w:t>.提供投标保证金收据原件；</w:t>
            </w:r>
          </w:p>
          <w:p>
            <w:pPr>
              <w:spacing w:line="400" w:lineRule="exact"/>
              <w:ind w:firstLine="480" w:firstLineChars="200"/>
              <w:rPr>
                <w:rFonts w:ascii="宋体" w:hAnsi="宋体"/>
                <w:sz w:val="24"/>
              </w:rPr>
            </w:pPr>
            <w:r>
              <w:rPr>
                <w:rFonts w:hint="eastAsia" w:ascii="宋体" w:hAnsi="宋体"/>
                <w:sz w:val="24"/>
              </w:rPr>
              <w:t>（1）开标时，投标人必须提交上述证明材料原件及复印件1份，未提交或提交不全的视为验资不合格；</w:t>
            </w:r>
          </w:p>
          <w:p>
            <w:pPr>
              <w:spacing w:line="400" w:lineRule="exact"/>
              <w:ind w:firstLine="480" w:firstLineChars="200"/>
              <w:rPr>
                <w:rFonts w:ascii="宋体" w:hAnsi="宋体"/>
                <w:sz w:val="24"/>
              </w:rPr>
            </w:pPr>
            <w:r>
              <w:rPr>
                <w:rFonts w:hint="eastAsia" w:ascii="宋体" w:hAnsi="宋体"/>
                <w:sz w:val="24"/>
              </w:rPr>
              <w:t>（2）招标文件中所要求的相关证明资料，应当在递交投标文件截止时间前一同带入开标场地，逾期拒绝接收。</w:t>
            </w:r>
          </w:p>
          <w:p>
            <w:pPr>
              <w:spacing w:line="400" w:lineRule="exact"/>
              <w:ind w:firstLine="480" w:firstLineChars="200"/>
              <w:rPr>
                <w:rFonts w:ascii="宋体" w:hAnsi="宋体"/>
                <w:b/>
                <w:sz w:val="24"/>
              </w:rPr>
            </w:pPr>
            <w:r>
              <w:rPr>
                <w:rFonts w:hint="eastAsia" w:ascii="宋体" w:hAnsi="宋体"/>
                <w:sz w:val="24"/>
              </w:rPr>
              <w:t xml:space="preserve">（3）★以上证明材料的公证件 </w:t>
            </w:r>
            <w:r>
              <w:rPr>
                <w:rFonts w:hint="eastAsia" w:ascii="宋体" w:hAnsi="宋体"/>
                <w:sz w:val="24"/>
                <w:u w:val="single"/>
              </w:rPr>
              <w:t xml:space="preserve">不予 </w:t>
            </w:r>
            <w:r>
              <w:rPr>
                <w:rFonts w:hint="eastAsia" w:ascii="宋体" w:hAnsi="宋体"/>
                <w:sz w:val="24"/>
              </w:rPr>
              <w:t>认可。</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28</w:t>
            </w:r>
          </w:p>
        </w:tc>
        <w:tc>
          <w:tcPr>
            <w:tcW w:w="8782" w:type="dxa"/>
            <w:vAlign w:val="center"/>
          </w:tcPr>
          <w:p>
            <w:pPr>
              <w:spacing w:line="400" w:lineRule="exact"/>
              <w:rPr>
                <w:rFonts w:ascii="宋体" w:hAnsi="宋体"/>
                <w:sz w:val="24"/>
              </w:rPr>
            </w:pPr>
            <w:r>
              <w:rPr>
                <w:rFonts w:hint="eastAsia" w:ascii="宋体" w:hAnsi="宋体"/>
                <w:b/>
                <w:sz w:val="24"/>
                <w:lang w:val="zh-CN"/>
              </w:rPr>
              <w:t>中标结果公告：</w:t>
            </w:r>
            <w:r>
              <w:rPr>
                <w:rFonts w:hint="eastAsia" w:ascii="宋体" w:hAnsi="宋体"/>
                <w:sz w:val="24"/>
              </w:rPr>
              <w:t>成交结果公告在新疆政府采购网予以公告，公告期不少于1个工作日。</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29</w:t>
            </w:r>
          </w:p>
        </w:tc>
        <w:tc>
          <w:tcPr>
            <w:tcW w:w="8782" w:type="dxa"/>
            <w:vAlign w:val="center"/>
          </w:tcPr>
          <w:p>
            <w:pPr>
              <w:spacing w:line="400" w:lineRule="exact"/>
              <w:rPr>
                <w:rFonts w:ascii="宋体" w:hAnsi="宋体"/>
                <w:sz w:val="24"/>
              </w:rPr>
            </w:pPr>
            <w:r>
              <w:rPr>
                <w:rFonts w:hint="eastAsia" w:ascii="宋体" w:hAnsi="宋体"/>
                <w:b/>
                <w:sz w:val="24"/>
                <w:lang w:val="zh-CN"/>
              </w:rPr>
              <w:t>相关费用：</w:t>
            </w:r>
            <w:r>
              <w:rPr>
                <w:rFonts w:hint="eastAsia" w:ascii="宋体" w:hAnsi="宋体"/>
                <w:sz w:val="24"/>
              </w:rPr>
              <w:t>1.场地服务费：投标人在提交投标文件时，需按规定缴纳场地服务费。</w:t>
            </w:r>
          </w:p>
          <w:p>
            <w:pPr>
              <w:spacing w:line="400" w:lineRule="exact"/>
              <w:rPr>
                <w:rFonts w:ascii="宋体" w:hAnsi="宋体"/>
                <w:sz w:val="24"/>
              </w:rPr>
            </w:pPr>
            <w:r>
              <w:rPr>
                <w:rFonts w:hint="eastAsia" w:ascii="宋体" w:hAnsi="宋体"/>
                <w:sz w:val="24"/>
              </w:rPr>
              <w:t>2.代理服务费：中标投标人按《招标代理服务收费管理暂行办法》（计价格[2002]1980号）向采购代理机构交纳成交服务费</w:t>
            </w:r>
          </w:p>
          <w:p>
            <w:pPr>
              <w:spacing w:line="400" w:lineRule="exact"/>
              <w:rPr>
                <w:rFonts w:ascii="宋体" w:hAnsi="宋体"/>
                <w:b/>
                <w:sz w:val="24"/>
                <w:lang w:val="zh-CN"/>
              </w:rPr>
            </w:pPr>
            <w:r>
              <w:rPr>
                <w:rFonts w:hint="eastAsia" w:ascii="宋体" w:hAnsi="宋体"/>
                <w:sz w:val="24"/>
              </w:rPr>
              <w:t>3.中标投标人在开标完成后向公证机关交纳公证费。</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30</w:t>
            </w:r>
          </w:p>
        </w:tc>
        <w:tc>
          <w:tcPr>
            <w:tcW w:w="8782" w:type="dxa"/>
            <w:vAlign w:val="center"/>
          </w:tcPr>
          <w:p>
            <w:pPr>
              <w:spacing w:line="400" w:lineRule="exact"/>
              <w:rPr>
                <w:rFonts w:ascii="宋体" w:hAnsi="宋体"/>
                <w:b/>
                <w:sz w:val="24"/>
                <w:lang w:val="zh-CN"/>
              </w:rPr>
            </w:pPr>
            <w:r>
              <w:rPr>
                <w:rFonts w:hint="eastAsia" w:ascii="宋体" w:hAnsi="宋体"/>
                <w:b/>
                <w:sz w:val="24"/>
                <w:lang w:val="zh-CN"/>
              </w:rPr>
              <w:t>投标文件的密封及装订要求：</w:t>
            </w:r>
          </w:p>
          <w:p>
            <w:pPr>
              <w:spacing w:line="400" w:lineRule="exact"/>
              <w:rPr>
                <w:rFonts w:ascii="宋体" w:hAnsi="宋体"/>
                <w:sz w:val="24"/>
              </w:rPr>
            </w:pPr>
            <w:r>
              <w:rPr>
                <w:rFonts w:hint="eastAsia" w:ascii="宋体" w:hAnsi="宋体"/>
                <w:sz w:val="24"/>
              </w:rPr>
              <w:t>1、采用死页胶装方式装订,装订应牢固、不易拆散和换页，不得采用活页装订。</w:t>
            </w:r>
          </w:p>
          <w:p>
            <w:pPr>
              <w:spacing w:line="400" w:lineRule="exact"/>
              <w:rPr>
                <w:rFonts w:ascii="宋体" w:hAnsi="宋体"/>
                <w:sz w:val="24"/>
              </w:rPr>
            </w:pPr>
            <w:r>
              <w:rPr>
                <w:rFonts w:hint="eastAsia" w:ascii="宋体" w:hAnsi="宋体"/>
                <w:sz w:val="24"/>
              </w:rPr>
              <w:t>2、投标文件正副本装于一个档案袋中，电子版光盘、U盘单独密封，投标文件的封套上应写明项目名称、项目编号、投标人名称、地址、联系人及联系电话。投标文件外封套须加盖投标单位公章以及法定代表人签字或盖章，并应确保密封完好。</w:t>
            </w:r>
          </w:p>
        </w:tc>
      </w:tr>
    </w:tbl>
    <w:p>
      <w:pPr>
        <w:pStyle w:val="2"/>
        <w:spacing w:line="480" w:lineRule="exact"/>
        <w:jc w:val="center"/>
        <w:rPr>
          <w:rFonts w:ascii="Times New Roman" w:hAnsi="Times New Roman"/>
          <w:sz w:val="21"/>
          <w:szCs w:val="21"/>
        </w:rPr>
      </w:pPr>
      <w:r>
        <w:rPr>
          <w:rFonts w:hint="eastAsia" w:ascii="宋体" w:hAnsi="宋体"/>
        </w:rPr>
        <w:br w:type="page"/>
      </w:r>
      <w:bookmarkEnd w:id="45"/>
      <w:bookmarkStart w:id="46" w:name="_Toc17204479"/>
      <w:bookmarkStart w:id="47" w:name="_Toc9910"/>
      <w:bookmarkStart w:id="48" w:name="_Toc8301"/>
      <w:r>
        <w:rPr>
          <w:rFonts w:hint="eastAsia" w:ascii="Times New Roman" w:hAnsi="Times New Roman"/>
          <w:sz w:val="21"/>
          <w:szCs w:val="21"/>
        </w:rPr>
        <w:t>一、总则</w:t>
      </w:r>
      <w:bookmarkEnd w:id="46"/>
      <w:bookmarkEnd w:id="47"/>
    </w:p>
    <w:p>
      <w:pPr>
        <w:numPr>
          <w:ilvl w:val="0"/>
          <w:numId w:val="3"/>
        </w:numPr>
        <w:spacing w:line="480" w:lineRule="exact"/>
        <w:outlineLvl w:val="2"/>
        <w:rPr>
          <w:rFonts w:ascii="宋体" w:hAnsi="宋体" w:cs="宋体"/>
          <w:b/>
          <w:szCs w:val="21"/>
        </w:rPr>
      </w:pPr>
      <w:r>
        <w:rPr>
          <w:rFonts w:hint="eastAsia" w:ascii="宋体" w:hAnsi="宋体" w:cs="宋体"/>
          <w:b/>
          <w:szCs w:val="21"/>
        </w:rPr>
        <w:t>适用法律、法规</w:t>
      </w:r>
    </w:p>
    <w:p>
      <w:pPr>
        <w:numPr>
          <w:ilvl w:val="1"/>
          <w:numId w:val="3"/>
        </w:numPr>
        <w:spacing w:line="480" w:lineRule="exact"/>
        <w:rPr>
          <w:szCs w:val="21"/>
          <w:lang w:val="en-GB"/>
        </w:rPr>
      </w:pPr>
      <w:r>
        <w:rPr>
          <w:szCs w:val="21"/>
          <w:lang w:val="en-GB"/>
        </w:rPr>
        <w:t>本招标文件是依据</w:t>
      </w:r>
      <w:r>
        <w:rPr>
          <w:rFonts w:hint="eastAsia"/>
          <w:szCs w:val="21"/>
          <w:lang w:val="en-GB"/>
        </w:rPr>
        <w:t>《中华人民共和国政府采购法》《中华人民共和国政府采购法实施条例》《政府采购货物和服务招标投标管理办法》等</w:t>
      </w:r>
      <w:r>
        <w:rPr>
          <w:szCs w:val="21"/>
          <w:lang w:val="en-GB"/>
        </w:rPr>
        <w:t>有关法律、法规、规章和规范性文件的规定，根据本招标</w:t>
      </w:r>
      <w:r>
        <w:rPr>
          <w:rFonts w:hint="eastAsia"/>
          <w:szCs w:val="21"/>
          <w:lang w:val="en-GB"/>
        </w:rPr>
        <w:t>项目</w:t>
      </w:r>
      <w:r>
        <w:rPr>
          <w:szCs w:val="21"/>
          <w:lang w:val="en-GB"/>
        </w:rPr>
        <w:t>的特点和需要编制的。</w:t>
      </w:r>
    </w:p>
    <w:p>
      <w:pPr>
        <w:numPr>
          <w:ilvl w:val="0"/>
          <w:numId w:val="3"/>
        </w:numPr>
        <w:spacing w:line="480" w:lineRule="exact"/>
        <w:outlineLvl w:val="2"/>
        <w:rPr>
          <w:rFonts w:ascii="宋体" w:hAnsi="宋体" w:cs="宋体"/>
          <w:b/>
          <w:szCs w:val="21"/>
        </w:rPr>
      </w:pPr>
      <w:r>
        <w:rPr>
          <w:rFonts w:hint="eastAsia" w:ascii="宋体" w:hAnsi="宋体" w:cs="宋体"/>
          <w:b/>
          <w:szCs w:val="21"/>
        </w:rPr>
        <w:t>资金</w:t>
      </w:r>
    </w:p>
    <w:p>
      <w:pPr>
        <w:numPr>
          <w:ilvl w:val="1"/>
          <w:numId w:val="3"/>
        </w:numPr>
        <w:spacing w:line="480" w:lineRule="exact"/>
        <w:rPr>
          <w:rFonts w:ascii="宋体" w:hAnsi="宋体"/>
          <w:szCs w:val="21"/>
        </w:rPr>
      </w:pPr>
      <w:r>
        <w:rPr>
          <w:rFonts w:hint="eastAsia"/>
          <w:szCs w:val="21"/>
          <w:lang w:val="en-GB"/>
        </w:rPr>
        <w:t>本项目实施资金来源为</w:t>
      </w:r>
      <w:r>
        <w:rPr>
          <w:rFonts w:hint="eastAsia"/>
          <w:szCs w:val="21"/>
          <w:lang w:val="en-US" w:eastAsia="zh-CN"/>
        </w:rPr>
        <w:t>财政</w:t>
      </w:r>
      <w:r>
        <w:rPr>
          <w:rFonts w:hint="eastAsia"/>
          <w:szCs w:val="21"/>
          <w:lang w:val="en-GB"/>
        </w:rPr>
        <w:t>资金，计划用于支付本次采购后所签订的合同项下的款项。</w:t>
      </w:r>
    </w:p>
    <w:p>
      <w:pPr>
        <w:numPr>
          <w:ilvl w:val="0"/>
          <w:numId w:val="3"/>
        </w:numPr>
        <w:spacing w:line="480" w:lineRule="exact"/>
        <w:outlineLvl w:val="2"/>
        <w:rPr>
          <w:rFonts w:ascii="宋体" w:hAnsi="宋体" w:cs="宋体"/>
          <w:b/>
          <w:szCs w:val="21"/>
        </w:rPr>
      </w:pPr>
      <w:r>
        <w:rPr>
          <w:rFonts w:hint="eastAsia" w:ascii="宋体" w:hAnsi="宋体" w:cs="宋体"/>
          <w:b/>
          <w:szCs w:val="21"/>
        </w:rPr>
        <w:t>释义</w:t>
      </w:r>
    </w:p>
    <w:p>
      <w:pPr>
        <w:numPr>
          <w:ilvl w:val="1"/>
          <w:numId w:val="3"/>
        </w:numPr>
        <w:spacing w:line="480" w:lineRule="exact"/>
        <w:rPr>
          <w:rFonts w:ascii="宋体" w:hAnsi="宋体"/>
          <w:szCs w:val="21"/>
        </w:rPr>
      </w:pPr>
      <w:r>
        <w:rPr>
          <w:rFonts w:hint="eastAsia" w:hAnsi="宋体"/>
          <w:szCs w:val="21"/>
        </w:rPr>
        <w:t>“招标人、买方、甲方”指</w:t>
      </w:r>
      <w:r>
        <w:rPr>
          <w:rFonts w:hint="eastAsia" w:hAnsi="宋体"/>
          <w:szCs w:val="21"/>
          <w:lang w:eastAsia="zh-CN"/>
        </w:rPr>
        <w:t>阿克苏地区第四人民医院</w:t>
      </w:r>
      <w:r>
        <w:rPr>
          <w:rFonts w:hint="eastAsia" w:hAnsi="宋体"/>
          <w:bCs/>
          <w:szCs w:val="21"/>
        </w:rPr>
        <w:t>；</w:t>
      </w:r>
    </w:p>
    <w:p>
      <w:pPr>
        <w:numPr>
          <w:ilvl w:val="1"/>
          <w:numId w:val="3"/>
        </w:numPr>
        <w:spacing w:line="480" w:lineRule="exact"/>
        <w:rPr>
          <w:rFonts w:ascii="宋体" w:hAnsi="宋体"/>
          <w:szCs w:val="21"/>
        </w:rPr>
      </w:pPr>
      <w:r>
        <w:rPr>
          <w:rFonts w:hint="eastAsia" w:hAnsi="宋体"/>
          <w:bCs/>
          <w:szCs w:val="21"/>
        </w:rPr>
        <w:t>招标代理机构：指为本次招标项目提供招投标服务组织工作的机构，即</w:t>
      </w:r>
      <w:r>
        <w:rPr>
          <w:rFonts w:hint="eastAsia" w:hAnsi="宋体"/>
          <w:bCs/>
          <w:szCs w:val="21"/>
          <w:lang w:eastAsia="zh-CN"/>
        </w:rPr>
        <w:t>新疆华玫睿项目管理有限公司</w:t>
      </w:r>
      <w:r>
        <w:rPr>
          <w:rFonts w:hint="eastAsia" w:hAnsi="宋体"/>
          <w:bCs/>
          <w:szCs w:val="21"/>
        </w:rPr>
        <w:t>；</w:t>
      </w:r>
    </w:p>
    <w:p>
      <w:pPr>
        <w:numPr>
          <w:ilvl w:val="1"/>
          <w:numId w:val="3"/>
        </w:numPr>
        <w:spacing w:line="480" w:lineRule="exact"/>
        <w:rPr>
          <w:rFonts w:ascii="宋体" w:hAnsi="宋体"/>
          <w:szCs w:val="21"/>
        </w:rPr>
      </w:pPr>
      <w:r>
        <w:rPr>
          <w:rFonts w:hint="eastAsia" w:ascii="宋体" w:hAnsi="宋体"/>
          <w:szCs w:val="21"/>
        </w:rPr>
        <w:t>投标人：</w:t>
      </w:r>
      <w:r>
        <w:rPr>
          <w:rFonts w:hint="eastAsia" w:hAnsi="宋体"/>
          <w:szCs w:val="21"/>
        </w:rPr>
        <w:t>指按照招标文件要求投标并向招标人或招标代理机构提交投标文件的</w:t>
      </w:r>
      <w:r>
        <w:rPr>
          <w:rFonts w:hint="eastAsia" w:ascii="宋体" w:hAnsi="宋体" w:cs="仿宋"/>
          <w:szCs w:val="21"/>
        </w:rPr>
        <w:t>法人或者其它组织</w:t>
      </w:r>
      <w:r>
        <w:rPr>
          <w:rFonts w:hint="eastAsia" w:hAnsi="宋体"/>
          <w:szCs w:val="21"/>
        </w:rPr>
        <w:t>；</w:t>
      </w:r>
    </w:p>
    <w:p>
      <w:pPr>
        <w:numPr>
          <w:ilvl w:val="1"/>
          <w:numId w:val="3"/>
        </w:numPr>
        <w:spacing w:line="480" w:lineRule="exact"/>
        <w:rPr>
          <w:rFonts w:ascii="宋体" w:hAnsi="宋体"/>
          <w:szCs w:val="21"/>
        </w:rPr>
      </w:pPr>
      <w:r>
        <w:rPr>
          <w:rFonts w:hint="eastAsia" w:hAnsi="宋体"/>
          <w:szCs w:val="21"/>
        </w:rPr>
        <w:t>法人：包括企业法人、机关法人、事业单位法人和社会团体法人；</w:t>
      </w:r>
    </w:p>
    <w:p>
      <w:pPr>
        <w:numPr>
          <w:ilvl w:val="1"/>
          <w:numId w:val="3"/>
        </w:numPr>
        <w:spacing w:line="480" w:lineRule="exact"/>
        <w:rPr>
          <w:rFonts w:ascii="宋体" w:hAnsi="宋体"/>
          <w:szCs w:val="21"/>
        </w:rPr>
      </w:pPr>
      <w:r>
        <w:rPr>
          <w:rFonts w:hint="eastAsia" w:hAnsi="宋体"/>
          <w:szCs w:val="21"/>
        </w:rPr>
        <w:t>其他组织：包括合伙企业、非企业专业服务机构、个体工商户、农村承包经营户；</w:t>
      </w:r>
    </w:p>
    <w:p>
      <w:pPr>
        <w:numPr>
          <w:ilvl w:val="1"/>
          <w:numId w:val="3"/>
        </w:numPr>
        <w:spacing w:line="480" w:lineRule="exact"/>
        <w:rPr>
          <w:rFonts w:ascii="宋体" w:hAnsi="宋体"/>
          <w:szCs w:val="21"/>
        </w:rPr>
      </w:pPr>
      <w:r>
        <w:rPr>
          <w:rFonts w:hint="eastAsia" w:hAnsi="宋体"/>
          <w:szCs w:val="21"/>
        </w:rPr>
        <w:t>自然人：指《中华人民共和国民法通则》或《民法总则》规定的具有完全民事行为能力、能够承担民事责任和义务的中国公民。</w:t>
      </w:r>
    </w:p>
    <w:p>
      <w:pPr>
        <w:numPr>
          <w:ilvl w:val="1"/>
          <w:numId w:val="3"/>
        </w:numPr>
        <w:spacing w:line="480" w:lineRule="exact"/>
        <w:rPr>
          <w:rFonts w:ascii="宋体" w:hAnsi="宋体"/>
          <w:szCs w:val="21"/>
        </w:rPr>
      </w:pPr>
      <w:r>
        <w:rPr>
          <w:rFonts w:hint="eastAsia" w:ascii="宋体" w:hAnsi="宋体"/>
          <w:szCs w:val="21"/>
        </w:rPr>
        <w:t>中标人、卖方：指依法确定成交资格并授予合同的投标人；</w:t>
      </w:r>
    </w:p>
    <w:p>
      <w:pPr>
        <w:numPr>
          <w:ilvl w:val="1"/>
          <w:numId w:val="3"/>
        </w:numPr>
        <w:spacing w:line="480" w:lineRule="exact"/>
        <w:rPr>
          <w:rFonts w:ascii="宋体" w:hAnsi="宋体"/>
          <w:szCs w:val="21"/>
        </w:rPr>
      </w:pPr>
      <w:r>
        <w:rPr>
          <w:rFonts w:hint="eastAsia" w:ascii="宋体" w:hAnsi="宋体"/>
          <w:szCs w:val="21"/>
        </w:rPr>
        <w:t>货物：系指投标人按招标文件要求，向招标人提供的各种形态和种类的物品，包括原材料、设备、产品(包括软件)及相关的备品备件、工具、手册及其它技术资料和材料。</w:t>
      </w:r>
    </w:p>
    <w:p>
      <w:pPr>
        <w:numPr>
          <w:ilvl w:val="1"/>
          <w:numId w:val="3"/>
        </w:numPr>
        <w:spacing w:line="480" w:lineRule="exact"/>
        <w:rPr>
          <w:rFonts w:ascii="宋体" w:hAnsi="宋体"/>
          <w:szCs w:val="21"/>
        </w:rPr>
      </w:pPr>
      <w:r>
        <w:rPr>
          <w:rFonts w:hint="eastAsia" w:ascii="宋体" w:hAnsi="宋体"/>
          <w:szCs w:val="21"/>
        </w:rPr>
        <w:t>服务：系指招标文件规定投标人须承担的系统集成、安装、调试、技术协助、校准、培训以及其它类似的义务。</w:t>
      </w:r>
    </w:p>
    <w:p>
      <w:pPr>
        <w:numPr>
          <w:ilvl w:val="1"/>
          <w:numId w:val="3"/>
        </w:numPr>
        <w:spacing w:line="480" w:lineRule="exact"/>
        <w:rPr>
          <w:szCs w:val="21"/>
        </w:rPr>
      </w:pPr>
      <w:r>
        <w:rPr>
          <w:rFonts w:hint="eastAsia" w:hAnsi="宋体"/>
          <w:szCs w:val="21"/>
        </w:rPr>
        <w:t>偏离：是指投标文件对招标文件的偏离，即不满足、或不响应招标文件的要求。偏离分为对招标文件的实质性要求条款偏离和对招标文件的一般商务和技术条款（参数）偏离。</w:t>
      </w:r>
    </w:p>
    <w:p>
      <w:pPr>
        <w:numPr>
          <w:ilvl w:val="1"/>
          <w:numId w:val="3"/>
        </w:numPr>
        <w:spacing w:line="480" w:lineRule="exact"/>
        <w:rPr>
          <w:szCs w:val="21"/>
        </w:rPr>
      </w:pPr>
      <w:r>
        <w:rPr>
          <w:rFonts w:hint="eastAsia" w:ascii="宋体" w:hAnsi="宋体"/>
          <w:bCs/>
          <w:szCs w:val="21"/>
        </w:rPr>
        <w:t>实质性条款：除法律、法规和规章规定外，</w:t>
      </w:r>
      <w:r>
        <w:rPr>
          <w:rFonts w:hint="eastAsia" w:ascii="宋体" w:hAnsi="宋体"/>
          <w:szCs w:val="21"/>
        </w:rPr>
        <w:t>招标文件中用“拒绝”、“不接受”、“无效”、“不得”、“未响应”、“废标”等文字规定或标注“★”符号的条款为实质性要求条款，对其中任何一条的偏离，在评审时将其视为无效投标（但技术规格参数涉及到评分的情形除外）。未用上述文字规定或符号标注的条款为非实质性要求条款(即一般条款)。</w:t>
      </w:r>
    </w:p>
    <w:p>
      <w:pPr>
        <w:numPr>
          <w:ilvl w:val="1"/>
          <w:numId w:val="3"/>
        </w:numPr>
        <w:spacing w:line="480" w:lineRule="exact"/>
        <w:rPr>
          <w:rFonts w:ascii="宋体" w:hAnsi="宋体"/>
          <w:szCs w:val="21"/>
        </w:rPr>
      </w:pPr>
      <w:r>
        <w:rPr>
          <w:rFonts w:hint="eastAsia" w:ascii="宋体" w:hAnsi="宋体"/>
          <w:szCs w:val="21"/>
        </w:rPr>
        <w:t>日期、天数、时间：未有特别说明时，均为公历日（天）及北京时间。</w:t>
      </w:r>
    </w:p>
    <w:p>
      <w:pPr>
        <w:numPr>
          <w:ilvl w:val="0"/>
          <w:numId w:val="3"/>
        </w:numPr>
        <w:spacing w:line="480" w:lineRule="exact"/>
        <w:outlineLvl w:val="2"/>
        <w:rPr>
          <w:rFonts w:ascii="宋体" w:hAnsi="宋体" w:cs="宋体"/>
          <w:b/>
          <w:szCs w:val="21"/>
        </w:rPr>
      </w:pPr>
      <w:r>
        <w:rPr>
          <w:rFonts w:hint="eastAsia" w:ascii="宋体" w:hAnsi="宋体"/>
          <w:szCs w:val="21"/>
        </w:rPr>
        <w:t>★</w:t>
      </w:r>
      <w:r>
        <w:rPr>
          <w:rFonts w:hint="eastAsia" w:ascii="宋体" w:hAnsi="宋体" w:cs="宋体"/>
          <w:b/>
          <w:szCs w:val="21"/>
        </w:rPr>
        <w:t>投标人资格条件</w:t>
      </w:r>
    </w:p>
    <w:p>
      <w:pPr>
        <w:spacing w:line="600" w:lineRule="exact"/>
        <w:ind w:firstLine="420" w:firstLineChars="200"/>
        <w:rPr>
          <w:szCs w:val="21"/>
        </w:rPr>
      </w:pPr>
      <w:r>
        <w:rPr>
          <w:rFonts w:hint="eastAsia"/>
          <w:szCs w:val="21"/>
        </w:rPr>
        <w:t>详见投标人须知前附表；</w:t>
      </w:r>
    </w:p>
    <w:p>
      <w:pPr>
        <w:numPr>
          <w:ilvl w:val="1"/>
          <w:numId w:val="3"/>
        </w:numPr>
        <w:spacing w:line="480" w:lineRule="exact"/>
        <w:rPr>
          <w:szCs w:val="21"/>
        </w:rPr>
      </w:pPr>
      <w:r>
        <w:rPr>
          <w:rFonts w:hint="eastAsia"/>
          <w:szCs w:val="21"/>
        </w:rPr>
        <w:t>符合招标文件中规定的其他特定资格要求；</w:t>
      </w:r>
    </w:p>
    <w:p>
      <w:pPr>
        <w:numPr>
          <w:ilvl w:val="1"/>
          <w:numId w:val="3"/>
        </w:numPr>
        <w:spacing w:line="480" w:lineRule="exact"/>
        <w:rPr>
          <w:szCs w:val="21"/>
        </w:rPr>
      </w:pPr>
      <w:r>
        <w:rPr>
          <w:rFonts w:hint="eastAsia"/>
          <w:szCs w:val="21"/>
        </w:rPr>
        <w:t>投标人参加投标不得存在下列情形之一：</w:t>
      </w:r>
    </w:p>
    <w:p>
      <w:pPr>
        <w:spacing w:line="480" w:lineRule="exact"/>
        <w:ind w:left="567"/>
        <w:rPr>
          <w:szCs w:val="21"/>
        </w:rPr>
      </w:pPr>
      <w:r>
        <w:rPr>
          <w:rFonts w:hint="eastAsia" w:ascii="宋体" w:hAnsi="宋体"/>
          <w:szCs w:val="21"/>
        </w:rPr>
        <w:t>（1）</w:t>
      </w:r>
      <w:r>
        <w:rPr>
          <w:rFonts w:hint="eastAsia"/>
          <w:szCs w:val="21"/>
        </w:rPr>
        <w:t>与招标人或招标代理机构存在隶属关系或者其他利害关系；</w:t>
      </w:r>
    </w:p>
    <w:p>
      <w:pPr>
        <w:spacing w:line="480" w:lineRule="exact"/>
        <w:ind w:left="1050" w:leftChars="250" w:hanging="525" w:hangingChars="250"/>
        <w:rPr>
          <w:szCs w:val="21"/>
        </w:rPr>
      </w:pPr>
      <w:r>
        <w:rPr>
          <w:rFonts w:hint="eastAsia" w:ascii="宋体" w:hAnsi="宋体"/>
          <w:szCs w:val="21"/>
        </w:rPr>
        <w:t>（2）</w:t>
      </w:r>
      <w:r>
        <w:rPr>
          <w:rFonts w:hint="eastAsia"/>
          <w:szCs w:val="21"/>
        </w:rPr>
        <w:t>法定代表人或者负责人为同一人或者存在控股、管理关系的两个以上投标人，不得参加同一政府采购项目同（包段）的投标；</w:t>
      </w:r>
    </w:p>
    <w:p>
      <w:pPr>
        <w:spacing w:line="480" w:lineRule="exact"/>
        <w:ind w:left="1050" w:leftChars="250" w:hanging="525" w:hangingChars="250"/>
        <w:rPr>
          <w:szCs w:val="21"/>
        </w:rPr>
      </w:pPr>
      <w:r>
        <w:rPr>
          <w:rFonts w:hint="eastAsia"/>
          <w:szCs w:val="21"/>
        </w:rPr>
        <w:t>（3）自然人与参与本项目投标的法人或其他组织存在隶属关系或者其他利害关系。</w:t>
      </w:r>
    </w:p>
    <w:p>
      <w:pPr>
        <w:numPr>
          <w:ilvl w:val="1"/>
          <w:numId w:val="3"/>
        </w:numPr>
        <w:spacing w:line="480" w:lineRule="exact"/>
        <w:rPr>
          <w:szCs w:val="21"/>
        </w:rPr>
      </w:pPr>
      <w:r>
        <w:rPr>
          <w:rFonts w:hint="eastAsia"/>
          <w:szCs w:val="21"/>
        </w:rPr>
        <w:t>投标人领取了招标文件并非意味着完全满足了合格投标人的条件，一切均以评标委员会审核的结果为准。</w:t>
      </w:r>
    </w:p>
    <w:p>
      <w:pPr>
        <w:numPr>
          <w:ilvl w:val="1"/>
          <w:numId w:val="3"/>
        </w:numPr>
        <w:spacing w:line="480" w:lineRule="exact"/>
        <w:rPr>
          <w:szCs w:val="21"/>
        </w:rPr>
      </w:pPr>
      <w:r>
        <w:rPr>
          <w:rFonts w:hint="eastAsia"/>
          <w:szCs w:val="21"/>
        </w:rPr>
        <w:t>不接受联合体投标。</w:t>
      </w:r>
    </w:p>
    <w:p>
      <w:pPr>
        <w:numPr>
          <w:ilvl w:val="0"/>
          <w:numId w:val="3"/>
        </w:numPr>
        <w:spacing w:line="480" w:lineRule="exact"/>
        <w:outlineLvl w:val="2"/>
        <w:rPr>
          <w:rFonts w:ascii="宋体" w:hAnsi="宋体" w:cs="宋体"/>
          <w:b/>
          <w:szCs w:val="21"/>
        </w:rPr>
      </w:pPr>
      <w:r>
        <w:rPr>
          <w:rFonts w:hint="eastAsia" w:ascii="宋体" w:hAnsi="宋体" w:cs="宋体"/>
          <w:b/>
          <w:szCs w:val="21"/>
        </w:rPr>
        <w:t>授权委托</w:t>
      </w:r>
    </w:p>
    <w:p>
      <w:pPr>
        <w:numPr>
          <w:ilvl w:val="1"/>
          <w:numId w:val="3"/>
        </w:numPr>
        <w:spacing w:line="480" w:lineRule="exact"/>
        <w:rPr>
          <w:szCs w:val="21"/>
        </w:rPr>
      </w:pPr>
      <w:r>
        <w:rPr>
          <w:rFonts w:hint="eastAsia"/>
          <w:szCs w:val="21"/>
        </w:rPr>
        <w:t>投标人代表不是投标人的法定代表人或其他组织负责人，应持有授权委托书，并附法定代表人或负责人身份证明。</w:t>
      </w:r>
    </w:p>
    <w:p>
      <w:pPr>
        <w:numPr>
          <w:ilvl w:val="1"/>
          <w:numId w:val="3"/>
        </w:numPr>
        <w:spacing w:line="480" w:lineRule="exact"/>
        <w:rPr>
          <w:szCs w:val="21"/>
        </w:rPr>
      </w:pPr>
      <w:r>
        <w:rPr>
          <w:rFonts w:hint="eastAsia"/>
          <w:szCs w:val="21"/>
        </w:rPr>
        <w:t>自然人参与本项目投标时不得再委托其他自然人进行投标，且持自然人身份证明投标。</w:t>
      </w:r>
    </w:p>
    <w:p>
      <w:pPr>
        <w:numPr>
          <w:ilvl w:val="1"/>
          <w:numId w:val="3"/>
        </w:numPr>
        <w:spacing w:line="480" w:lineRule="exact"/>
        <w:rPr>
          <w:szCs w:val="21"/>
        </w:rPr>
      </w:pPr>
      <w:r>
        <w:rPr>
          <w:rFonts w:hint="eastAsia"/>
          <w:szCs w:val="21"/>
        </w:rPr>
        <w:t>法定代表人或其他组织负责人出席开标仪式或者直接办理投标相关事宜者无须提供授权委托书，但须提供法定代表人或其他组织负责人身份证明。</w:t>
      </w:r>
    </w:p>
    <w:p>
      <w:pPr>
        <w:numPr>
          <w:ilvl w:val="0"/>
          <w:numId w:val="3"/>
        </w:numPr>
        <w:spacing w:line="480" w:lineRule="exact"/>
        <w:outlineLvl w:val="2"/>
        <w:rPr>
          <w:rFonts w:ascii="宋体" w:hAnsi="宋体" w:cs="宋体"/>
          <w:b/>
          <w:szCs w:val="21"/>
        </w:rPr>
      </w:pPr>
      <w:r>
        <w:rPr>
          <w:rFonts w:hint="eastAsia" w:ascii="宋体" w:hAnsi="宋体" w:cs="宋体"/>
          <w:b/>
          <w:szCs w:val="21"/>
        </w:rPr>
        <w:t>投标费用</w:t>
      </w:r>
    </w:p>
    <w:p>
      <w:pPr>
        <w:spacing w:line="480" w:lineRule="exact"/>
        <w:ind w:left="567"/>
        <w:rPr>
          <w:szCs w:val="21"/>
        </w:rPr>
      </w:pPr>
      <w:r>
        <w:rPr>
          <w:rFonts w:hint="eastAsia"/>
          <w:szCs w:val="21"/>
        </w:rPr>
        <w:t>投标人应承担所有与准备和参加投标有关的费用。</w:t>
      </w:r>
      <w:r>
        <w:rPr>
          <w:rFonts w:hint="eastAsia" w:ascii="宋体" w:hAnsi="宋体"/>
          <w:szCs w:val="21"/>
        </w:rPr>
        <w:t>不论投标的结果如何，招标代理机构和招标人在任何情况下均无义务和责任承担这些费用。</w:t>
      </w:r>
    </w:p>
    <w:p>
      <w:pPr>
        <w:pStyle w:val="2"/>
        <w:spacing w:line="480" w:lineRule="exact"/>
        <w:jc w:val="center"/>
        <w:rPr>
          <w:sz w:val="21"/>
          <w:szCs w:val="21"/>
        </w:rPr>
      </w:pPr>
      <w:bookmarkStart w:id="49" w:name="_Toc17204480"/>
      <w:bookmarkStart w:id="50" w:name="_Toc15144"/>
      <w:bookmarkStart w:id="51" w:name="_Toc388260475"/>
      <w:r>
        <w:rPr>
          <w:rFonts w:hint="eastAsia"/>
          <w:sz w:val="21"/>
          <w:szCs w:val="21"/>
        </w:rPr>
        <w:t>二、招标文件</w:t>
      </w:r>
      <w:bookmarkEnd w:id="49"/>
      <w:bookmarkEnd w:id="50"/>
      <w:bookmarkEnd w:id="51"/>
    </w:p>
    <w:p>
      <w:pPr>
        <w:numPr>
          <w:ilvl w:val="0"/>
          <w:numId w:val="3"/>
        </w:numPr>
        <w:spacing w:line="480" w:lineRule="exact"/>
        <w:rPr>
          <w:rFonts w:ascii="宋体" w:hAnsi="宋体" w:cs="宋体"/>
          <w:b/>
          <w:szCs w:val="21"/>
        </w:rPr>
      </w:pPr>
      <w:r>
        <w:rPr>
          <w:rFonts w:hint="eastAsia" w:ascii="宋体" w:hAnsi="宋体" w:cs="宋体"/>
          <w:b/>
          <w:szCs w:val="21"/>
        </w:rPr>
        <w:t>招标文件组成</w:t>
      </w:r>
    </w:p>
    <w:p>
      <w:pPr>
        <w:numPr>
          <w:ilvl w:val="1"/>
          <w:numId w:val="3"/>
        </w:numPr>
        <w:spacing w:line="480" w:lineRule="exact"/>
        <w:rPr>
          <w:szCs w:val="21"/>
        </w:rPr>
      </w:pPr>
      <w:r>
        <w:rPr>
          <w:rFonts w:hint="eastAsia"/>
          <w:szCs w:val="21"/>
        </w:rPr>
        <w:t>招标文件共分六章，其内容如下：</w:t>
      </w:r>
    </w:p>
    <w:p>
      <w:pPr>
        <w:spacing w:line="480" w:lineRule="exact"/>
        <w:ind w:firstLine="525" w:firstLineChars="250"/>
        <w:rPr>
          <w:szCs w:val="21"/>
        </w:rPr>
      </w:pPr>
      <w:r>
        <w:rPr>
          <w:rFonts w:hint="eastAsia"/>
          <w:szCs w:val="21"/>
        </w:rPr>
        <w:t>第一章 招标公告</w:t>
      </w:r>
    </w:p>
    <w:p>
      <w:pPr>
        <w:spacing w:line="480" w:lineRule="exact"/>
        <w:ind w:firstLine="525" w:firstLineChars="250"/>
        <w:rPr>
          <w:szCs w:val="21"/>
        </w:rPr>
      </w:pPr>
      <w:r>
        <w:rPr>
          <w:rFonts w:hint="eastAsia"/>
          <w:szCs w:val="21"/>
        </w:rPr>
        <w:t>第二章 投标须知</w:t>
      </w:r>
    </w:p>
    <w:p>
      <w:pPr>
        <w:spacing w:line="480" w:lineRule="exact"/>
        <w:ind w:firstLine="525" w:firstLineChars="250"/>
        <w:rPr>
          <w:szCs w:val="21"/>
        </w:rPr>
      </w:pPr>
      <w:r>
        <w:rPr>
          <w:rFonts w:hint="eastAsia"/>
          <w:szCs w:val="21"/>
        </w:rPr>
        <w:t>第三章 评标办法</w:t>
      </w:r>
    </w:p>
    <w:p>
      <w:pPr>
        <w:spacing w:line="480" w:lineRule="exact"/>
        <w:ind w:firstLine="525" w:firstLineChars="250"/>
        <w:rPr>
          <w:szCs w:val="21"/>
        </w:rPr>
      </w:pPr>
      <w:r>
        <w:rPr>
          <w:rFonts w:hint="eastAsia"/>
          <w:szCs w:val="21"/>
        </w:rPr>
        <w:t>第四章 合同条款</w:t>
      </w:r>
    </w:p>
    <w:p>
      <w:pPr>
        <w:spacing w:line="480" w:lineRule="exact"/>
        <w:ind w:firstLine="525" w:firstLineChars="250"/>
        <w:rPr>
          <w:szCs w:val="21"/>
        </w:rPr>
      </w:pPr>
      <w:r>
        <w:rPr>
          <w:rFonts w:hint="eastAsia"/>
          <w:szCs w:val="21"/>
        </w:rPr>
        <w:t>第五章 采购需求及技术参数</w:t>
      </w:r>
    </w:p>
    <w:p>
      <w:pPr>
        <w:spacing w:line="480" w:lineRule="exact"/>
        <w:ind w:firstLine="525" w:firstLineChars="250"/>
        <w:rPr>
          <w:szCs w:val="21"/>
        </w:rPr>
      </w:pPr>
      <w:r>
        <w:rPr>
          <w:rFonts w:hint="eastAsia"/>
          <w:szCs w:val="21"/>
        </w:rPr>
        <w:t>第六章 投标文件格式</w:t>
      </w:r>
    </w:p>
    <w:p>
      <w:pPr>
        <w:numPr>
          <w:ilvl w:val="1"/>
          <w:numId w:val="3"/>
        </w:numPr>
        <w:spacing w:line="480" w:lineRule="exact"/>
        <w:rPr>
          <w:szCs w:val="21"/>
        </w:rPr>
      </w:pPr>
      <w:r>
        <w:rPr>
          <w:rFonts w:hint="eastAsia" w:ascii="宋体" w:hAnsi="宋体" w:cs="宋体"/>
          <w:szCs w:val="21"/>
        </w:rPr>
        <w:t>对招标文件所作的澄清、修改，构成招标文件的组成部分。</w:t>
      </w:r>
    </w:p>
    <w:p>
      <w:pPr>
        <w:numPr>
          <w:ilvl w:val="1"/>
          <w:numId w:val="3"/>
        </w:numPr>
        <w:spacing w:line="480" w:lineRule="exact"/>
        <w:rPr>
          <w:szCs w:val="21"/>
        </w:rPr>
      </w:pPr>
      <w:r>
        <w:rPr>
          <w:rFonts w:hint="eastAsia" w:ascii="宋体" w:hAnsi="宋体"/>
          <w:szCs w:val="21"/>
        </w:rPr>
        <w:t>投标人应仔细阅读招标文件的全部内容，按照招标文件要求编制投标文件。任何对招标文件的忽略或误解不能作为投标文件存在缺陷或瑕疵的理由，其风险由投标人自行承担。</w:t>
      </w:r>
    </w:p>
    <w:p>
      <w:pPr>
        <w:numPr>
          <w:ilvl w:val="0"/>
          <w:numId w:val="3"/>
        </w:numPr>
        <w:spacing w:line="480" w:lineRule="exact"/>
        <w:rPr>
          <w:rFonts w:ascii="宋体" w:hAnsi="宋体" w:cs="宋体"/>
          <w:b/>
          <w:szCs w:val="21"/>
        </w:rPr>
      </w:pPr>
      <w:r>
        <w:rPr>
          <w:rFonts w:hint="eastAsia" w:ascii="宋体" w:hAnsi="宋体" w:cs="宋体"/>
          <w:b/>
          <w:szCs w:val="21"/>
        </w:rPr>
        <w:t>招标文件的澄清、修改</w:t>
      </w:r>
    </w:p>
    <w:p>
      <w:pPr>
        <w:numPr>
          <w:ilvl w:val="1"/>
          <w:numId w:val="3"/>
        </w:numPr>
        <w:spacing w:line="480" w:lineRule="exact"/>
        <w:rPr>
          <w:rFonts w:ascii="宋体" w:hAnsi="宋体" w:cs="宋体"/>
          <w:szCs w:val="21"/>
        </w:rPr>
      </w:pPr>
      <w:r>
        <w:rPr>
          <w:rFonts w:hint="eastAsia" w:ascii="宋体" w:hAnsi="宋体" w:cs="宋体"/>
          <w:szCs w:val="21"/>
        </w:rPr>
        <w:t>任何要求对招标文件进行澄清的投标人，均应以书面形式通知招标代理机构。招标代理机构联系方式见“投标须知前附表”。招标代理机构对其招标公告自发布之日起七个工作日内收到的对招标文件的澄清要求，如认为有必要，将以书面形式予以答复，同时将书面答复发给每个领取招标文件的投标人</w:t>
      </w:r>
      <w:r>
        <w:rPr>
          <w:rFonts w:ascii="宋体" w:hAnsi="宋体" w:cs="宋体"/>
          <w:szCs w:val="21"/>
        </w:rPr>
        <w:t>(</w:t>
      </w:r>
      <w:r>
        <w:rPr>
          <w:rFonts w:hint="eastAsia" w:ascii="宋体" w:hAnsi="宋体" w:cs="宋体"/>
          <w:szCs w:val="21"/>
        </w:rPr>
        <w:t>答复中不包括问题的来源</w:t>
      </w:r>
      <w:r>
        <w:rPr>
          <w:rFonts w:ascii="宋体" w:hAnsi="宋体" w:cs="宋体"/>
          <w:szCs w:val="21"/>
        </w:rPr>
        <w:t>)</w:t>
      </w:r>
      <w:r>
        <w:rPr>
          <w:rFonts w:hint="eastAsia" w:ascii="宋体" w:hAnsi="宋体" w:cs="宋体"/>
          <w:szCs w:val="21"/>
        </w:rPr>
        <w:t>，否则将视为所有投标人已详细阅读招标文件并能够响应招标文件实质性要求。</w:t>
      </w:r>
    </w:p>
    <w:p>
      <w:pPr>
        <w:numPr>
          <w:ilvl w:val="1"/>
          <w:numId w:val="3"/>
        </w:numPr>
        <w:spacing w:line="480" w:lineRule="exact"/>
        <w:rPr>
          <w:rFonts w:ascii="宋体" w:hAnsi="宋体" w:cs="宋体"/>
          <w:szCs w:val="21"/>
        </w:rPr>
      </w:pPr>
      <w:r>
        <w:rPr>
          <w:rFonts w:hint="eastAsia" w:ascii="宋体" w:hAnsi="宋体" w:cs="宋体"/>
          <w:szCs w:val="21"/>
        </w:rPr>
        <w:t>投标截止期前十五（</w:t>
      </w:r>
      <w:r>
        <w:rPr>
          <w:rFonts w:ascii="宋体" w:hAnsi="宋体" w:cs="宋体"/>
          <w:szCs w:val="21"/>
        </w:rPr>
        <w:t>15</w:t>
      </w:r>
      <w:r>
        <w:rPr>
          <w:rFonts w:hint="eastAsia" w:ascii="宋体" w:hAnsi="宋体" w:cs="宋体"/>
          <w:szCs w:val="21"/>
        </w:rPr>
        <w:t>）天，无论出于何种原因，招标代理机构可主动地或在解答投标人提出的澄清问题时对招标文件进行修改，招标文件的修改书将构成招标文件的一部分。</w:t>
      </w:r>
    </w:p>
    <w:p>
      <w:pPr>
        <w:numPr>
          <w:ilvl w:val="1"/>
          <w:numId w:val="3"/>
        </w:numPr>
        <w:spacing w:line="480" w:lineRule="exact"/>
        <w:rPr>
          <w:rFonts w:ascii="宋体" w:hAnsi="宋体" w:cs="宋体"/>
          <w:szCs w:val="21"/>
        </w:rPr>
      </w:pPr>
      <w:r>
        <w:rPr>
          <w:rFonts w:hint="eastAsia" w:ascii="宋体" w:hAnsi="宋体" w:cs="宋体"/>
          <w:szCs w:val="21"/>
        </w:rPr>
        <w:t>招标文件的修改将以书面形式通知所有领取招标文件的投标人，并对其具有约束力。投标人在收到上述通知后，应立即以传真形式向招标代理机构予以确认；在规定时间内未收到回复确认的，将视为默认接受。</w:t>
      </w:r>
    </w:p>
    <w:p>
      <w:pPr>
        <w:numPr>
          <w:ilvl w:val="1"/>
          <w:numId w:val="3"/>
        </w:numPr>
        <w:spacing w:line="480" w:lineRule="exact"/>
        <w:rPr>
          <w:rFonts w:ascii="宋体" w:hAnsi="宋体" w:cs="宋体"/>
          <w:szCs w:val="21"/>
        </w:rPr>
      </w:pPr>
      <w:r>
        <w:rPr>
          <w:rFonts w:hint="eastAsia" w:ascii="宋体" w:hAnsi="宋体" w:cs="宋体"/>
          <w:szCs w:val="21"/>
        </w:rPr>
        <w:t>为使投标人准备投标时有充分时间对招标文件的修改部分进行研究，招标人可自行决定是否延长投标截止日期和推迟开标时间。</w:t>
      </w:r>
    </w:p>
    <w:p>
      <w:pPr>
        <w:numPr>
          <w:ilvl w:val="1"/>
          <w:numId w:val="3"/>
        </w:numPr>
        <w:spacing w:line="480" w:lineRule="exact"/>
        <w:rPr>
          <w:rFonts w:ascii="宋体" w:hAnsi="宋体" w:cs="宋体"/>
          <w:szCs w:val="21"/>
        </w:rPr>
      </w:pPr>
      <w:r>
        <w:rPr>
          <w:rFonts w:hint="eastAsia" w:ascii="宋体" w:hAnsi="宋体" w:cs="宋体"/>
          <w:szCs w:val="21"/>
        </w:rPr>
        <w:t>投标人投标文件内出现组价、开标阶段报价或投标文件内前后报价出现不一致，使得评审工作无法继续者，评标委员会可以要求该投标人做出书面澄清，投标人拒不履行评标委员会澄清要求的将视为无效投标；投标文件其他应予修正范围和标准以《政府采购货物和服务招标投标管理办法》第五十九条执行。</w:t>
      </w:r>
    </w:p>
    <w:p>
      <w:pPr>
        <w:pStyle w:val="2"/>
        <w:spacing w:line="480" w:lineRule="exact"/>
        <w:jc w:val="center"/>
        <w:rPr>
          <w:sz w:val="21"/>
          <w:szCs w:val="21"/>
        </w:rPr>
      </w:pPr>
      <w:bookmarkStart w:id="52" w:name="_Toc388260476"/>
      <w:bookmarkStart w:id="53" w:name="_Toc17204481"/>
      <w:bookmarkStart w:id="54" w:name="_Toc22622"/>
      <w:r>
        <w:rPr>
          <w:rFonts w:hint="eastAsia"/>
          <w:sz w:val="21"/>
          <w:szCs w:val="21"/>
        </w:rPr>
        <w:t>三、投标文件</w:t>
      </w:r>
      <w:bookmarkEnd w:id="52"/>
      <w:r>
        <w:rPr>
          <w:rFonts w:hint="eastAsia"/>
          <w:sz w:val="21"/>
          <w:szCs w:val="21"/>
        </w:rPr>
        <w:t>的组成及编制</w:t>
      </w:r>
      <w:bookmarkEnd w:id="53"/>
      <w:bookmarkEnd w:id="54"/>
    </w:p>
    <w:p>
      <w:pPr>
        <w:numPr>
          <w:ilvl w:val="0"/>
          <w:numId w:val="3"/>
        </w:numPr>
        <w:spacing w:line="480" w:lineRule="exact"/>
        <w:rPr>
          <w:rFonts w:ascii="宋体" w:hAnsi="宋体" w:cs="宋体"/>
          <w:b/>
          <w:szCs w:val="21"/>
        </w:rPr>
      </w:pPr>
      <w:r>
        <w:rPr>
          <w:rFonts w:hint="eastAsia" w:ascii="宋体" w:hAnsi="宋体" w:cs="宋体"/>
          <w:b/>
          <w:szCs w:val="21"/>
        </w:rPr>
        <w:t>投标文件的组成</w:t>
      </w:r>
    </w:p>
    <w:p>
      <w:pPr>
        <w:numPr>
          <w:ilvl w:val="1"/>
          <w:numId w:val="3"/>
        </w:numPr>
        <w:spacing w:line="480" w:lineRule="exact"/>
        <w:rPr>
          <w:rFonts w:ascii="宋体" w:hAnsi="宋体"/>
          <w:szCs w:val="21"/>
        </w:rPr>
      </w:pPr>
      <w:r>
        <w:rPr>
          <w:rFonts w:hint="eastAsia" w:ascii="宋体" w:hAnsi="宋体"/>
          <w:szCs w:val="21"/>
        </w:rPr>
        <w:t>投标文件由内容如下组成：</w:t>
      </w:r>
    </w:p>
    <w:p>
      <w:pPr>
        <w:pStyle w:val="68"/>
        <w:snapToGrid w:val="0"/>
        <w:spacing w:line="400" w:lineRule="exact"/>
        <w:ind w:firstLine="420" w:firstLineChars="200"/>
        <w:jc w:val="both"/>
        <w:outlineLvl w:val="0"/>
        <w:rPr>
          <w:rFonts w:hint="default" w:ascii="宋体" w:hAnsi="宋体" w:eastAsia="宋体"/>
          <w:bCs/>
          <w:color w:val="auto"/>
          <w:sz w:val="21"/>
          <w:szCs w:val="21"/>
          <w:lang w:val="en-US" w:eastAsia="zh-CN"/>
        </w:rPr>
      </w:pPr>
      <w:bookmarkStart w:id="55" w:name="_Toc14474"/>
      <w:r>
        <w:rPr>
          <w:rFonts w:hint="eastAsia" w:ascii="宋体" w:hAnsi="宋体"/>
          <w:bCs/>
          <w:color w:val="auto"/>
          <w:sz w:val="21"/>
          <w:szCs w:val="21"/>
          <w:lang w:val="en-US" w:eastAsia="zh-CN"/>
        </w:rPr>
        <w:t>报价文件部分：</w:t>
      </w:r>
      <w:bookmarkEnd w:id="55"/>
    </w:p>
    <w:p>
      <w:pPr>
        <w:pStyle w:val="68"/>
        <w:numPr>
          <w:ilvl w:val="0"/>
          <w:numId w:val="4"/>
        </w:numPr>
        <w:snapToGrid w:val="0"/>
        <w:spacing w:line="400" w:lineRule="exact"/>
        <w:ind w:firstLine="420" w:firstLineChars="200"/>
        <w:jc w:val="both"/>
        <w:outlineLvl w:val="0"/>
        <w:rPr>
          <w:rFonts w:ascii="宋体" w:hAnsi="宋体"/>
          <w:bCs/>
          <w:color w:val="auto"/>
          <w:sz w:val="21"/>
          <w:szCs w:val="21"/>
        </w:rPr>
      </w:pPr>
      <w:bookmarkStart w:id="56" w:name="_Toc23116"/>
      <w:bookmarkStart w:id="57" w:name="_Toc9004"/>
      <w:r>
        <w:rPr>
          <w:rFonts w:hint="eastAsia" w:ascii="宋体" w:hAnsi="宋体"/>
          <w:bCs/>
          <w:color w:val="auto"/>
          <w:sz w:val="21"/>
          <w:szCs w:val="21"/>
        </w:rPr>
        <w:t>投标函</w:t>
      </w:r>
      <w:bookmarkEnd w:id="56"/>
      <w:bookmarkEnd w:id="57"/>
    </w:p>
    <w:p>
      <w:pPr>
        <w:pStyle w:val="68"/>
        <w:numPr>
          <w:ilvl w:val="0"/>
          <w:numId w:val="4"/>
        </w:numPr>
        <w:snapToGrid w:val="0"/>
        <w:spacing w:line="400" w:lineRule="exact"/>
        <w:ind w:firstLine="420" w:firstLineChars="200"/>
        <w:jc w:val="both"/>
        <w:outlineLvl w:val="0"/>
        <w:rPr>
          <w:rFonts w:ascii="宋体" w:hAnsi="宋体"/>
          <w:bCs/>
          <w:color w:val="auto"/>
          <w:sz w:val="21"/>
          <w:szCs w:val="21"/>
        </w:rPr>
      </w:pPr>
      <w:bookmarkStart w:id="58" w:name="_Toc24022"/>
      <w:bookmarkStart w:id="59" w:name="_Toc12586"/>
      <w:r>
        <w:rPr>
          <w:rFonts w:hint="eastAsia" w:ascii="宋体" w:hAnsi="宋体"/>
          <w:bCs/>
          <w:color w:val="auto"/>
          <w:sz w:val="21"/>
          <w:szCs w:val="21"/>
        </w:rPr>
        <w:t>投标报价一览表</w:t>
      </w:r>
      <w:bookmarkEnd w:id="58"/>
      <w:bookmarkEnd w:id="59"/>
    </w:p>
    <w:p>
      <w:pPr>
        <w:pStyle w:val="68"/>
        <w:numPr>
          <w:ilvl w:val="0"/>
          <w:numId w:val="4"/>
        </w:numPr>
        <w:snapToGrid w:val="0"/>
        <w:spacing w:line="400" w:lineRule="exact"/>
        <w:ind w:firstLine="420" w:firstLineChars="200"/>
        <w:jc w:val="both"/>
        <w:outlineLvl w:val="0"/>
        <w:rPr>
          <w:rFonts w:ascii="宋体" w:hAnsi="宋体"/>
          <w:bCs/>
          <w:color w:val="auto"/>
          <w:sz w:val="21"/>
          <w:szCs w:val="21"/>
        </w:rPr>
      </w:pPr>
      <w:bookmarkStart w:id="60" w:name="_Toc3882"/>
      <w:bookmarkStart w:id="61" w:name="_Toc12114"/>
      <w:r>
        <w:rPr>
          <w:rFonts w:hint="eastAsia" w:ascii="宋体" w:hAnsi="宋体"/>
          <w:bCs/>
          <w:color w:val="auto"/>
          <w:sz w:val="21"/>
          <w:szCs w:val="21"/>
        </w:rPr>
        <w:t>报价明细表</w:t>
      </w:r>
      <w:bookmarkEnd w:id="60"/>
      <w:bookmarkEnd w:id="61"/>
    </w:p>
    <w:p>
      <w:pPr>
        <w:pStyle w:val="68"/>
        <w:numPr>
          <w:ilvl w:val="0"/>
          <w:numId w:val="0"/>
        </w:numPr>
        <w:snapToGrid w:val="0"/>
        <w:spacing w:line="400" w:lineRule="exact"/>
        <w:ind w:firstLine="420" w:firstLineChars="200"/>
        <w:jc w:val="both"/>
        <w:outlineLvl w:val="0"/>
        <w:rPr>
          <w:rFonts w:ascii="宋体" w:hAnsi="宋体"/>
          <w:bCs/>
          <w:color w:val="auto"/>
          <w:sz w:val="21"/>
          <w:szCs w:val="21"/>
        </w:rPr>
      </w:pPr>
      <w:bookmarkStart w:id="62" w:name="_Toc18176"/>
      <w:bookmarkStart w:id="63" w:name="_Toc14156"/>
      <w:r>
        <w:rPr>
          <w:rFonts w:hint="eastAsia" w:ascii="宋体" w:hAnsi="宋体"/>
          <w:bCs/>
          <w:color w:val="auto"/>
          <w:sz w:val="21"/>
          <w:szCs w:val="21"/>
        </w:rPr>
        <w:t>商务文件部分：</w:t>
      </w:r>
      <w:bookmarkEnd w:id="62"/>
      <w:bookmarkEnd w:id="63"/>
    </w:p>
    <w:p>
      <w:pPr>
        <w:pStyle w:val="68"/>
        <w:numPr>
          <w:ilvl w:val="0"/>
          <w:numId w:val="4"/>
        </w:numPr>
        <w:snapToGrid w:val="0"/>
        <w:spacing w:line="400" w:lineRule="exact"/>
        <w:ind w:firstLine="420" w:firstLineChars="200"/>
        <w:jc w:val="both"/>
        <w:outlineLvl w:val="0"/>
        <w:rPr>
          <w:rFonts w:ascii="宋体" w:hAnsi="宋体"/>
          <w:bCs/>
          <w:color w:val="auto"/>
          <w:sz w:val="21"/>
          <w:szCs w:val="21"/>
        </w:rPr>
      </w:pPr>
      <w:bookmarkStart w:id="64" w:name="_Toc14905"/>
      <w:bookmarkStart w:id="65" w:name="_Toc674"/>
      <w:r>
        <w:rPr>
          <w:rFonts w:hint="eastAsia" w:ascii="宋体" w:hAnsi="宋体"/>
          <w:bCs/>
          <w:color w:val="auto"/>
          <w:sz w:val="21"/>
          <w:szCs w:val="21"/>
        </w:rPr>
        <w:t>法定代表人身份证明</w:t>
      </w:r>
      <w:bookmarkEnd w:id="64"/>
      <w:bookmarkEnd w:id="65"/>
    </w:p>
    <w:p>
      <w:pPr>
        <w:pStyle w:val="68"/>
        <w:numPr>
          <w:ilvl w:val="0"/>
          <w:numId w:val="4"/>
        </w:numPr>
        <w:snapToGrid w:val="0"/>
        <w:spacing w:line="400" w:lineRule="exact"/>
        <w:ind w:firstLine="420" w:firstLineChars="200"/>
        <w:jc w:val="both"/>
        <w:outlineLvl w:val="0"/>
        <w:rPr>
          <w:rFonts w:ascii="宋体" w:hAnsi="宋体"/>
          <w:bCs/>
          <w:color w:val="auto"/>
          <w:sz w:val="21"/>
          <w:szCs w:val="21"/>
        </w:rPr>
      </w:pPr>
      <w:bookmarkStart w:id="66" w:name="_Toc20368"/>
      <w:bookmarkStart w:id="67" w:name="_Toc8117"/>
      <w:r>
        <w:rPr>
          <w:rFonts w:hint="eastAsia" w:ascii="宋体" w:hAnsi="宋体"/>
          <w:bCs/>
          <w:color w:val="auto"/>
          <w:sz w:val="21"/>
          <w:szCs w:val="21"/>
        </w:rPr>
        <w:t>法定代表人授权委托书</w:t>
      </w:r>
      <w:bookmarkEnd w:id="66"/>
      <w:bookmarkEnd w:id="67"/>
    </w:p>
    <w:p>
      <w:pPr>
        <w:pStyle w:val="68"/>
        <w:numPr>
          <w:ilvl w:val="0"/>
          <w:numId w:val="4"/>
        </w:numPr>
        <w:snapToGrid w:val="0"/>
        <w:spacing w:line="400" w:lineRule="exact"/>
        <w:ind w:firstLine="420" w:firstLineChars="200"/>
        <w:jc w:val="both"/>
        <w:outlineLvl w:val="0"/>
        <w:rPr>
          <w:rFonts w:ascii="宋体" w:hAnsi="宋体"/>
          <w:bCs/>
          <w:color w:val="auto"/>
          <w:sz w:val="21"/>
          <w:szCs w:val="21"/>
        </w:rPr>
      </w:pPr>
      <w:bookmarkStart w:id="68" w:name="_Toc29602"/>
      <w:bookmarkStart w:id="69" w:name="_Toc10233"/>
      <w:r>
        <w:rPr>
          <w:rFonts w:hint="eastAsia" w:ascii="宋体" w:hAnsi="宋体"/>
          <w:bCs/>
          <w:color w:val="auto"/>
          <w:sz w:val="21"/>
          <w:szCs w:val="21"/>
        </w:rPr>
        <w:t>投标人基本情况</w:t>
      </w:r>
      <w:bookmarkEnd w:id="68"/>
      <w:bookmarkEnd w:id="69"/>
    </w:p>
    <w:p>
      <w:pPr>
        <w:pStyle w:val="68"/>
        <w:numPr>
          <w:ilvl w:val="0"/>
          <w:numId w:val="4"/>
        </w:numPr>
        <w:snapToGrid w:val="0"/>
        <w:spacing w:line="400" w:lineRule="exact"/>
        <w:ind w:firstLine="400" w:firstLineChars="200"/>
        <w:jc w:val="both"/>
        <w:outlineLvl w:val="0"/>
        <w:rPr>
          <w:rFonts w:ascii="宋体" w:hAnsi="宋体"/>
          <w:bCs/>
          <w:color w:val="auto"/>
          <w:sz w:val="21"/>
          <w:szCs w:val="21"/>
        </w:rPr>
      </w:pPr>
      <w:bookmarkStart w:id="70" w:name="_Toc23349"/>
      <w:bookmarkStart w:id="71" w:name="_Toc17011"/>
      <w:r>
        <w:rPr>
          <w:rFonts w:hint="eastAsia" w:ascii="宋体" w:hAnsi="宋体" w:cs="宋体"/>
          <w:bCs/>
          <w:color w:val="auto"/>
          <w:szCs w:val="21"/>
        </w:rPr>
        <w:t>近三年已完成或在执行类似项目一览表</w:t>
      </w:r>
      <w:bookmarkEnd w:id="70"/>
      <w:bookmarkEnd w:id="71"/>
    </w:p>
    <w:p>
      <w:pPr>
        <w:pStyle w:val="68"/>
        <w:numPr>
          <w:ilvl w:val="0"/>
          <w:numId w:val="4"/>
        </w:numPr>
        <w:snapToGrid w:val="0"/>
        <w:spacing w:line="400" w:lineRule="exact"/>
        <w:ind w:firstLine="420" w:firstLineChars="200"/>
        <w:jc w:val="both"/>
        <w:outlineLvl w:val="0"/>
        <w:rPr>
          <w:rFonts w:ascii="宋体" w:hAnsi="宋体"/>
          <w:bCs/>
          <w:color w:val="auto"/>
          <w:sz w:val="21"/>
          <w:szCs w:val="21"/>
        </w:rPr>
      </w:pPr>
      <w:bookmarkStart w:id="72" w:name="_Toc10528"/>
      <w:bookmarkStart w:id="73" w:name="_Toc225"/>
      <w:r>
        <w:rPr>
          <w:rFonts w:hint="eastAsia" w:ascii="宋体" w:hAnsi="宋体"/>
          <w:bCs/>
          <w:color w:val="auto"/>
          <w:sz w:val="21"/>
          <w:szCs w:val="21"/>
        </w:rPr>
        <w:t>商务条款偏离表</w:t>
      </w:r>
      <w:bookmarkEnd w:id="72"/>
      <w:bookmarkEnd w:id="73"/>
    </w:p>
    <w:p>
      <w:pPr>
        <w:pStyle w:val="68"/>
        <w:snapToGrid w:val="0"/>
        <w:spacing w:line="400" w:lineRule="exact"/>
        <w:ind w:firstLine="420" w:firstLineChars="200"/>
        <w:jc w:val="both"/>
        <w:outlineLvl w:val="0"/>
        <w:rPr>
          <w:rFonts w:ascii="宋体" w:hAnsi="宋体"/>
          <w:bCs/>
          <w:color w:val="auto"/>
          <w:sz w:val="21"/>
          <w:szCs w:val="21"/>
        </w:rPr>
      </w:pPr>
      <w:bookmarkStart w:id="74" w:name="_Toc25445"/>
      <w:bookmarkStart w:id="75" w:name="_Toc25839"/>
      <w:r>
        <w:rPr>
          <w:rFonts w:hint="eastAsia" w:ascii="宋体" w:hAnsi="宋体"/>
          <w:bCs/>
          <w:color w:val="auto"/>
          <w:sz w:val="21"/>
          <w:szCs w:val="21"/>
        </w:rPr>
        <w:t>技术文件部分：</w:t>
      </w:r>
      <w:bookmarkEnd w:id="74"/>
      <w:bookmarkEnd w:id="75"/>
    </w:p>
    <w:p>
      <w:pPr>
        <w:pStyle w:val="68"/>
        <w:numPr>
          <w:ilvl w:val="0"/>
          <w:numId w:val="4"/>
        </w:numPr>
        <w:snapToGrid w:val="0"/>
        <w:spacing w:line="400" w:lineRule="exact"/>
        <w:ind w:firstLine="420" w:firstLineChars="200"/>
        <w:jc w:val="both"/>
        <w:outlineLvl w:val="0"/>
        <w:rPr>
          <w:rFonts w:ascii="宋体" w:hAnsi="宋体"/>
          <w:bCs/>
          <w:color w:val="auto"/>
          <w:sz w:val="21"/>
          <w:szCs w:val="21"/>
        </w:rPr>
      </w:pPr>
      <w:bookmarkStart w:id="76" w:name="_Toc16368"/>
      <w:bookmarkStart w:id="77" w:name="_Toc29369"/>
      <w:r>
        <w:rPr>
          <w:rFonts w:hint="eastAsia" w:ascii="宋体" w:hAnsi="宋体" w:cs="宋体"/>
          <w:bCs/>
          <w:color w:val="auto"/>
          <w:sz w:val="21"/>
          <w:szCs w:val="21"/>
        </w:rPr>
        <w:t>技术参数、规格偏离表</w:t>
      </w:r>
      <w:bookmarkEnd w:id="76"/>
      <w:bookmarkEnd w:id="77"/>
    </w:p>
    <w:p>
      <w:pPr>
        <w:pStyle w:val="68"/>
        <w:numPr>
          <w:ilvl w:val="0"/>
          <w:numId w:val="4"/>
        </w:numPr>
        <w:snapToGrid w:val="0"/>
        <w:spacing w:line="400" w:lineRule="exact"/>
        <w:ind w:firstLine="400" w:firstLineChars="200"/>
        <w:jc w:val="both"/>
        <w:outlineLvl w:val="0"/>
        <w:rPr>
          <w:rFonts w:ascii="宋体" w:hAnsi="宋体"/>
          <w:bCs/>
          <w:color w:val="auto"/>
          <w:sz w:val="21"/>
          <w:szCs w:val="21"/>
        </w:rPr>
      </w:pPr>
      <w:bookmarkStart w:id="78" w:name="_Toc10722"/>
      <w:bookmarkStart w:id="79" w:name="_Toc19400"/>
      <w:r>
        <w:rPr>
          <w:rFonts w:hint="eastAsia" w:ascii="宋体" w:hAnsi="宋体" w:cs="宋体"/>
          <w:bCs/>
          <w:color w:val="auto"/>
          <w:szCs w:val="21"/>
        </w:rPr>
        <w:t>供货组织情况及实施方案</w:t>
      </w:r>
      <w:bookmarkEnd w:id="78"/>
      <w:bookmarkEnd w:id="79"/>
    </w:p>
    <w:p>
      <w:pPr>
        <w:pStyle w:val="68"/>
        <w:numPr>
          <w:ilvl w:val="0"/>
          <w:numId w:val="4"/>
        </w:numPr>
        <w:snapToGrid w:val="0"/>
        <w:spacing w:line="400" w:lineRule="exact"/>
        <w:ind w:firstLine="420" w:firstLineChars="200"/>
        <w:jc w:val="both"/>
        <w:outlineLvl w:val="0"/>
        <w:rPr>
          <w:rFonts w:ascii="宋体" w:hAnsi="宋体"/>
          <w:bCs/>
          <w:color w:val="auto"/>
          <w:sz w:val="21"/>
          <w:szCs w:val="21"/>
        </w:rPr>
      </w:pPr>
      <w:bookmarkStart w:id="80" w:name="_Toc2527"/>
      <w:bookmarkStart w:id="81" w:name="_Toc10025"/>
      <w:r>
        <w:rPr>
          <w:rFonts w:hint="eastAsia" w:ascii="宋体" w:hAnsi="宋体"/>
          <w:bCs/>
          <w:color w:val="auto"/>
          <w:sz w:val="21"/>
          <w:szCs w:val="21"/>
        </w:rPr>
        <w:t>售后服务承诺书</w:t>
      </w:r>
      <w:bookmarkEnd w:id="80"/>
      <w:bookmarkEnd w:id="81"/>
    </w:p>
    <w:p>
      <w:pPr>
        <w:pStyle w:val="68"/>
        <w:numPr>
          <w:ilvl w:val="0"/>
          <w:numId w:val="4"/>
        </w:numPr>
        <w:snapToGrid w:val="0"/>
        <w:spacing w:line="400" w:lineRule="exact"/>
        <w:ind w:firstLine="400" w:firstLineChars="200"/>
        <w:jc w:val="both"/>
        <w:outlineLvl w:val="0"/>
        <w:rPr>
          <w:rFonts w:ascii="宋体" w:hAnsi="宋体"/>
          <w:bCs/>
          <w:color w:val="auto"/>
          <w:sz w:val="21"/>
          <w:szCs w:val="21"/>
        </w:rPr>
      </w:pPr>
      <w:bookmarkStart w:id="82" w:name="_Toc9308"/>
      <w:bookmarkStart w:id="83" w:name="_Toc11849"/>
      <w:r>
        <w:rPr>
          <w:rFonts w:hint="eastAsia" w:ascii="宋体" w:hAnsi="宋体" w:cs="宋体"/>
          <w:bCs/>
          <w:color w:val="auto"/>
          <w:szCs w:val="21"/>
        </w:rPr>
        <w:t>其它证明材料</w:t>
      </w:r>
      <w:bookmarkEnd w:id="82"/>
      <w:bookmarkEnd w:id="83"/>
    </w:p>
    <w:p>
      <w:pPr>
        <w:pStyle w:val="68"/>
        <w:numPr>
          <w:ilvl w:val="0"/>
          <w:numId w:val="4"/>
        </w:numPr>
        <w:snapToGrid w:val="0"/>
        <w:spacing w:line="400" w:lineRule="exact"/>
        <w:ind w:firstLine="420" w:firstLineChars="200"/>
        <w:jc w:val="both"/>
        <w:outlineLvl w:val="0"/>
        <w:rPr>
          <w:rFonts w:ascii="宋体" w:hAnsi="宋体"/>
          <w:bCs/>
          <w:color w:val="auto"/>
          <w:sz w:val="21"/>
          <w:szCs w:val="21"/>
        </w:rPr>
      </w:pPr>
      <w:bookmarkStart w:id="84" w:name="_Toc10681"/>
      <w:bookmarkStart w:id="85" w:name="_Toc9804"/>
      <w:r>
        <w:rPr>
          <w:rFonts w:hint="eastAsia" w:ascii="宋体" w:hAnsi="宋体"/>
          <w:bCs/>
          <w:color w:val="auto"/>
          <w:sz w:val="21"/>
          <w:szCs w:val="21"/>
        </w:rPr>
        <w:t>声明函</w:t>
      </w:r>
      <w:bookmarkEnd w:id="84"/>
      <w:bookmarkEnd w:id="85"/>
    </w:p>
    <w:p>
      <w:pPr>
        <w:numPr>
          <w:ilvl w:val="0"/>
          <w:numId w:val="3"/>
        </w:numPr>
        <w:spacing w:line="360" w:lineRule="exact"/>
        <w:rPr>
          <w:rFonts w:ascii="宋体" w:hAnsi="宋体" w:cs="宋体"/>
          <w:b/>
          <w:szCs w:val="21"/>
        </w:rPr>
      </w:pPr>
      <w:r>
        <w:rPr>
          <w:rFonts w:hint="eastAsia" w:ascii="宋体" w:hAnsi="宋体" w:cs="宋体"/>
          <w:b/>
          <w:szCs w:val="21"/>
        </w:rPr>
        <w:t>编制原则</w:t>
      </w:r>
    </w:p>
    <w:p>
      <w:pPr>
        <w:numPr>
          <w:ilvl w:val="1"/>
          <w:numId w:val="3"/>
        </w:numPr>
        <w:spacing w:line="480" w:lineRule="exact"/>
        <w:rPr>
          <w:rFonts w:ascii="宋体" w:hAnsi="宋体" w:cs="宋体"/>
          <w:szCs w:val="21"/>
        </w:rPr>
      </w:pPr>
      <w:r>
        <w:rPr>
          <w:rFonts w:hint="eastAsia" w:ascii="宋体" w:hAnsi="宋体" w:cs="宋体"/>
          <w:szCs w:val="21"/>
        </w:rPr>
        <w:t>投标人应在认真阅读招标文件所有内容的基础上，按照招标文件的要求编制完整的投标文件。★招标文件中对投标文件格式有要求的，应按格式逐项填写内容，不准有空项；无相应内容可填的项应填写“无”、 “没有相应指标”等明确的回答文字。投标文件中留有空项的，将被视为不完整响应的投标文件，其投标将有可能被视为无效投标。</w:t>
      </w:r>
    </w:p>
    <w:p>
      <w:pPr>
        <w:numPr>
          <w:ilvl w:val="1"/>
          <w:numId w:val="3"/>
        </w:numPr>
        <w:spacing w:line="480" w:lineRule="exact"/>
        <w:rPr>
          <w:rFonts w:ascii="宋体" w:hAnsi="宋体" w:cs="宋体"/>
          <w:szCs w:val="21"/>
        </w:rPr>
      </w:pPr>
      <w:r>
        <w:rPr>
          <w:rFonts w:hint="eastAsia" w:ascii="宋体" w:hAnsi="宋体" w:cs="宋体"/>
          <w:szCs w:val="21"/>
        </w:rPr>
        <w:t>投标人必须保证投标文件所提供的全部资料真实可靠，并接受评标委员会对其中任何资料进一步审查的要求。</w:t>
      </w:r>
    </w:p>
    <w:p>
      <w:pPr>
        <w:numPr>
          <w:ilvl w:val="1"/>
          <w:numId w:val="3"/>
        </w:numPr>
        <w:spacing w:line="480" w:lineRule="exact"/>
        <w:rPr>
          <w:rFonts w:ascii="宋体" w:hAnsi="宋体" w:cs="宋体"/>
          <w:szCs w:val="21"/>
        </w:rPr>
      </w:pPr>
      <w:r>
        <w:rPr>
          <w:rFonts w:hint="eastAsia" w:ascii="宋体" w:hAnsi="宋体" w:cs="宋体"/>
          <w:szCs w:val="21"/>
        </w:rPr>
        <w:t>投标文件须对招标文件中的内容做出实质性和完整的响应，否则其投标将被视为无效投标。</w:t>
      </w:r>
    </w:p>
    <w:p>
      <w:pPr>
        <w:numPr>
          <w:ilvl w:val="1"/>
          <w:numId w:val="3"/>
        </w:numPr>
        <w:spacing w:line="480" w:lineRule="exact"/>
        <w:rPr>
          <w:rFonts w:ascii="宋体" w:hAnsi="宋体" w:cs="宋体"/>
          <w:szCs w:val="21"/>
        </w:rPr>
      </w:pPr>
      <w:r>
        <w:rPr>
          <w:rFonts w:hint="eastAsia" w:ascii="宋体" w:hAnsi="宋体" w:cs="宋体"/>
          <w:szCs w:val="21"/>
        </w:rPr>
        <w:t>投标文件的编制及相关参数、证明材料、认证或报告等投标文件组成部分均应为简体中文版或中英文双语版否则在评审时将不予认可。</w:t>
      </w:r>
    </w:p>
    <w:p>
      <w:pPr>
        <w:numPr>
          <w:ilvl w:val="0"/>
          <w:numId w:val="3"/>
        </w:numPr>
        <w:spacing w:line="480" w:lineRule="exact"/>
        <w:rPr>
          <w:rFonts w:ascii="宋体" w:hAnsi="宋体" w:cs="宋体"/>
          <w:b/>
          <w:szCs w:val="21"/>
        </w:rPr>
      </w:pPr>
      <w:r>
        <w:rPr>
          <w:rFonts w:hint="eastAsia" w:ascii="宋体" w:hAnsi="宋体"/>
          <w:szCs w:val="21"/>
        </w:rPr>
        <w:t>★</w:t>
      </w:r>
      <w:r>
        <w:rPr>
          <w:rFonts w:hint="eastAsia" w:ascii="宋体" w:hAnsi="宋体" w:cs="宋体"/>
          <w:b/>
          <w:szCs w:val="21"/>
        </w:rPr>
        <w:t>投标文件编制要求</w:t>
      </w:r>
    </w:p>
    <w:p>
      <w:pPr>
        <w:numPr>
          <w:ilvl w:val="1"/>
          <w:numId w:val="3"/>
        </w:numPr>
        <w:spacing w:line="480" w:lineRule="exact"/>
        <w:rPr>
          <w:rFonts w:ascii="宋体" w:hAnsi="宋体"/>
          <w:szCs w:val="21"/>
        </w:rPr>
      </w:pPr>
      <w:r>
        <w:rPr>
          <w:rFonts w:hint="eastAsia" w:ascii="宋体" w:hAnsi="宋体"/>
          <w:szCs w:val="21"/>
        </w:rPr>
        <w:t>投标文件应按照“投标文件格式”的要求以</w:t>
      </w:r>
      <w:r>
        <w:rPr>
          <w:rFonts w:ascii="宋体" w:hAnsi="宋体"/>
          <w:szCs w:val="21"/>
        </w:rPr>
        <w:t>A4</w:t>
      </w:r>
      <w:r>
        <w:rPr>
          <w:rFonts w:hint="eastAsia" w:ascii="宋体" w:hAnsi="宋体"/>
          <w:szCs w:val="21"/>
        </w:rPr>
        <w:t>版面统一编制，如需采用A3版面编制的需进行折叠以保证统一以A4版面递交投标文件纸质版。</w:t>
      </w:r>
    </w:p>
    <w:p>
      <w:pPr>
        <w:numPr>
          <w:ilvl w:val="1"/>
          <w:numId w:val="3"/>
        </w:numPr>
        <w:spacing w:line="480" w:lineRule="exact"/>
        <w:rPr>
          <w:rFonts w:ascii="宋体" w:hAnsi="宋体"/>
          <w:szCs w:val="21"/>
        </w:rPr>
      </w:pPr>
      <w:r>
        <w:rPr>
          <w:rFonts w:hint="eastAsia" w:ascii="宋体" w:hAnsi="宋体"/>
          <w:szCs w:val="21"/>
        </w:rPr>
        <w:t>对于有特定格式要求的，不允许改动其内容，否则，其投标无效。</w:t>
      </w:r>
    </w:p>
    <w:p>
      <w:pPr>
        <w:numPr>
          <w:ilvl w:val="1"/>
          <w:numId w:val="3"/>
        </w:numPr>
        <w:spacing w:line="480" w:lineRule="exact"/>
        <w:rPr>
          <w:rFonts w:ascii="宋体" w:hAnsi="宋体"/>
          <w:szCs w:val="21"/>
        </w:rPr>
      </w:pPr>
      <w:r>
        <w:rPr>
          <w:rFonts w:hint="eastAsia" w:ascii="宋体" w:hAnsi="宋体"/>
          <w:szCs w:val="21"/>
        </w:rPr>
        <w:t>投标文件的制作，应使用简体中文（包括投标人对其投标文件进行支持的第三方证明文件，如审计报告、产品说明书、检验报告、评估报告等，均须采用简体中文进行编制或提交）。</w:t>
      </w:r>
    </w:p>
    <w:p>
      <w:pPr>
        <w:numPr>
          <w:ilvl w:val="1"/>
          <w:numId w:val="3"/>
        </w:numPr>
        <w:spacing w:line="480" w:lineRule="exact"/>
        <w:rPr>
          <w:rFonts w:ascii="宋体" w:hAnsi="宋体"/>
          <w:szCs w:val="21"/>
        </w:rPr>
      </w:pPr>
      <w:r>
        <w:rPr>
          <w:rFonts w:hint="eastAsia" w:ascii="宋体" w:hAnsi="宋体"/>
          <w:szCs w:val="21"/>
        </w:rPr>
        <w:t>投标文件应该用计算机打印，并加注页码，用不可拆卸的无线胶装方式整册装订牢固，任何使用塑料夹条、订书针装订或打孔装订的均按无效投标文件处理。</w:t>
      </w:r>
    </w:p>
    <w:p>
      <w:pPr>
        <w:numPr>
          <w:ilvl w:val="1"/>
          <w:numId w:val="3"/>
        </w:numPr>
        <w:spacing w:line="480" w:lineRule="exact"/>
        <w:rPr>
          <w:rFonts w:ascii="宋体" w:hAnsi="宋体"/>
          <w:szCs w:val="21"/>
        </w:rPr>
      </w:pPr>
      <w:r>
        <w:rPr>
          <w:rFonts w:hint="eastAsia" w:ascii="宋体" w:hAnsi="宋体"/>
          <w:szCs w:val="21"/>
        </w:rPr>
        <w:t>任何行间插字、涂改和增删，须由投标人法定代表人（或其他组织负责人，或自然人直接签字）或其授权委托书在旁边签字、盖章后方为有效；否则其内容将不被认可，涉及资格认定的未进行签字盖章的行间插字、涂改和增删均不予认可，并一同视为无效投标。</w:t>
      </w:r>
    </w:p>
    <w:p>
      <w:pPr>
        <w:numPr>
          <w:ilvl w:val="1"/>
          <w:numId w:val="3"/>
        </w:numPr>
        <w:spacing w:line="480" w:lineRule="exact"/>
        <w:rPr>
          <w:rFonts w:ascii="宋体" w:hAnsi="宋体"/>
          <w:szCs w:val="21"/>
        </w:rPr>
      </w:pPr>
      <w:r>
        <w:rPr>
          <w:rFonts w:hint="eastAsia" w:ascii="宋体" w:hAnsi="宋体"/>
          <w:szCs w:val="21"/>
        </w:rPr>
        <w:t>投标文件商务文件部分与技术文件部分原则上应采用一本进行装订提交；如因文本过厚无法一本装订的，投标人必须在投标文件封面连续注明“上册”、“下册”或“上册”、“中册”、“下册”。</w:t>
      </w:r>
    </w:p>
    <w:p>
      <w:pPr>
        <w:numPr>
          <w:ilvl w:val="1"/>
          <w:numId w:val="3"/>
        </w:numPr>
        <w:spacing w:line="480" w:lineRule="exact"/>
        <w:rPr>
          <w:rFonts w:hint="default" w:ascii="宋体" w:hAnsi="宋体" w:eastAsia="宋体" w:cs="Times New Roman"/>
          <w:b/>
          <w:szCs w:val="21"/>
          <w:lang w:val="en-US" w:eastAsia="zh-CN"/>
        </w:rPr>
      </w:pPr>
      <w:r>
        <w:rPr>
          <w:rFonts w:hint="eastAsia" w:ascii="宋体" w:hAnsi="宋体"/>
          <w:b/>
          <w:szCs w:val="21"/>
        </w:rPr>
        <w:t>《投标文件》应根据《招标文件》的要求编制，签署、盖章和内容应完整，如有遗漏或与《招标文件》要求不否的将被视为无效投标。</w:t>
      </w:r>
    </w:p>
    <w:p>
      <w:pPr>
        <w:numPr>
          <w:ilvl w:val="0"/>
          <w:numId w:val="3"/>
        </w:numPr>
        <w:spacing w:line="480" w:lineRule="exact"/>
        <w:rPr>
          <w:rFonts w:ascii="宋体" w:hAnsi="宋体" w:cs="宋体"/>
          <w:b/>
          <w:szCs w:val="21"/>
        </w:rPr>
      </w:pPr>
      <w:r>
        <w:rPr>
          <w:rFonts w:hint="eastAsia" w:ascii="宋体" w:hAnsi="宋体"/>
          <w:szCs w:val="21"/>
        </w:rPr>
        <w:t>★</w:t>
      </w:r>
      <w:r>
        <w:rPr>
          <w:rFonts w:hint="eastAsia" w:ascii="宋体" w:hAnsi="宋体" w:cs="宋体"/>
          <w:b/>
          <w:szCs w:val="21"/>
        </w:rPr>
        <w:t>投标报价</w:t>
      </w:r>
    </w:p>
    <w:p>
      <w:pPr>
        <w:numPr>
          <w:ilvl w:val="1"/>
          <w:numId w:val="3"/>
        </w:numPr>
        <w:spacing w:line="480" w:lineRule="exact"/>
        <w:rPr>
          <w:rFonts w:ascii="宋体" w:hAnsi="宋体"/>
          <w:szCs w:val="21"/>
        </w:rPr>
      </w:pPr>
      <w:r>
        <w:rPr>
          <w:rFonts w:hint="eastAsia" w:ascii="宋体" w:hAnsi="宋体"/>
          <w:szCs w:val="21"/>
        </w:rPr>
        <w:t>投标人应按招标文件规定的供货及服务要求、责任范围和合同条件，以人民币进行报价。</w:t>
      </w:r>
    </w:p>
    <w:p>
      <w:pPr>
        <w:numPr>
          <w:ilvl w:val="1"/>
          <w:numId w:val="3"/>
        </w:numPr>
        <w:spacing w:line="480" w:lineRule="exact"/>
        <w:rPr>
          <w:rFonts w:ascii="宋体" w:hAnsi="宋体"/>
          <w:szCs w:val="21"/>
        </w:rPr>
      </w:pPr>
      <w:r>
        <w:rPr>
          <w:rFonts w:hint="eastAsia" w:ascii="宋体" w:hAnsi="宋体"/>
          <w:szCs w:val="21"/>
        </w:rPr>
        <w:t>投标人应按投标报价一览表和分项价格表的内容和格式要求填写各项货物及服务的分项价格和总价。投标总价中不得包含招标文件要求以外的内容，否则，在评审时不予核减。投标总价中也不得缺漏招标文件所要求的内容，否则，在评审时将其视为无效投标。</w:t>
      </w:r>
    </w:p>
    <w:p>
      <w:pPr>
        <w:numPr>
          <w:ilvl w:val="1"/>
          <w:numId w:val="3"/>
        </w:numPr>
        <w:spacing w:line="480" w:lineRule="exact"/>
        <w:rPr>
          <w:rFonts w:ascii="宋体" w:hAnsi="宋体"/>
          <w:szCs w:val="21"/>
        </w:rPr>
      </w:pPr>
      <w:r>
        <w:rPr>
          <w:rFonts w:hint="eastAsia" w:hAnsi="宋体"/>
          <w:szCs w:val="21"/>
        </w:rPr>
        <w:t>投标人对每种货物及服务只允许有一个报价，不接受选择性报价，否则，在评审时将其视为无效投标。</w:t>
      </w:r>
    </w:p>
    <w:p>
      <w:pPr>
        <w:numPr>
          <w:ilvl w:val="1"/>
          <w:numId w:val="3"/>
        </w:numPr>
        <w:spacing w:line="480" w:lineRule="exact"/>
        <w:rPr>
          <w:rFonts w:hAnsi="宋体"/>
          <w:szCs w:val="21"/>
        </w:rPr>
      </w:pPr>
      <w:r>
        <w:rPr>
          <w:rFonts w:hint="eastAsia" w:hAnsi="宋体"/>
          <w:szCs w:val="21"/>
        </w:rPr>
        <w:t xml:space="preserve">投标报价范围及说明： </w:t>
      </w:r>
    </w:p>
    <w:p>
      <w:pPr>
        <w:spacing w:line="480" w:lineRule="exact"/>
        <w:ind w:left="567" w:firstLine="210" w:firstLineChars="100"/>
        <w:rPr>
          <w:rFonts w:hAnsi="宋体"/>
          <w:szCs w:val="21"/>
        </w:rPr>
      </w:pPr>
      <w:r>
        <w:rPr>
          <w:rFonts w:hint="eastAsia" w:hAnsi="宋体"/>
          <w:szCs w:val="21"/>
        </w:rPr>
        <w:t>报价：包括完成采购内容中全部服务等全过程的全部费用</w:t>
      </w:r>
      <w:r>
        <w:rPr>
          <w:rFonts w:hint="eastAsia" w:hAnsi="宋体"/>
          <w:b/>
          <w:szCs w:val="21"/>
        </w:rPr>
        <w:t>。</w:t>
      </w:r>
    </w:p>
    <w:p>
      <w:pPr>
        <w:numPr>
          <w:ilvl w:val="1"/>
          <w:numId w:val="3"/>
        </w:numPr>
        <w:spacing w:line="480" w:lineRule="exact"/>
        <w:rPr>
          <w:rFonts w:hAnsi="宋体"/>
          <w:b/>
          <w:szCs w:val="21"/>
        </w:rPr>
      </w:pPr>
      <w:r>
        <w:rPr>
          <w:rFonts w:hint="eastAsia" w:hAnsi="宋体"/>
          <w:b/>
          <w:szCs w:val="21"/>
        </w:rPr>
        <w:t>采购项目需要落实的政府采购政策：依据《中华人民共和国政府采购法》和《中华人民共和国政府采购实施条例》的有关规定，落实政府采购政策。</w:t>
      </w:r>
    </w:p>
    <w:p>
      <w:pPr>
        <w:numPr>
          <w:ilvl w:val="1"/>
          <w:numId w:val="3"/>
        </w:numPr>
        <w:spacing w:line="480" w:lineRule="exact"/>
        <w:rPr>
          <w:rFonts w:hAnsi="宋体"/>
          <w:b/>
          <w:szCs w:val="21"/>
        </w:rPr>
      </w:pPr>
      <w:r>
        <w:rPr>
          <w:rFonts w:hint="eastAsia" w:hAnsi="宋体"/>
          <w:b/>
          <w:szCs w:val="21"/>
        </w:rPr>
        <w:t>财政部、工业和信息化部关于印发《政府采购促进中小企业发展管理办法》的通知（财库〔2020〕46号）； </w:t>
      </w:r>
    </w:p>
    <w:p>
      <w:pPr>
        <w:numPr>
          <w:ilvl w:val="1"/>
          <w:numId w:val="3"/>
        </w:numPr>
        <w:spacing w:line="480" w:lineRule="exact"/>
        <w:rPr>
          <w:rFonts w:hAnsi="宋体"/>
          <w:b/>
          <w:szCs w:val="21"/>
        </w:rPr>
      </w:pPr>
      <w:r>
        <w:rPr>
          <w:rFonts w:hint="eastAsia" w:hAnsi="宋体"/>
          <w:b/>
          <w:szCs w:val="21"/>
        </w:rPr>
        <w:t>《财政部、司法部关于政府采购支持监狱企业发展有关问题的通知》（财库[2014]68号）； </w:t>
      </w:r>
    </w:p>
    <w:p>
      <w:pPr>
        <w:numPr>
          <w:ilvl w:val="1"/>
          <w:numId w:val="3"/>
        </w:numPr>
        <w:spacing w:line="480" w:lineRule="exact"/>
        <w:rPr>
          <w:rFonts w:hAnsi="宋体"/>
          <w:b/>
          <w:szCs w:val="21"/>
        </w:rPr>
      </w:pPr>
      <w:r>
        <w:rPr>
          <w:rFonts w:hint="eastAsia" w:hAnsi="宋体"/>
          <w:b/>
          <w:szCs w:val="21"/>
        </w:rPr>
        <w:t>《国务院办公厅关于建立政府强制采购节能产品制度的通知》（国发办[2007]51号）； </w:t>
      </w:r>
    </w:p>
    <w:p>
      <w:pPr>
        <w:numPr>
          <w:ilvl w:val="1"/>
          <w:numId w:val="3"/>
        </w:numPr>
        <w:spacing w:line="480" w:lineRule="exact"/>
        <w:rPr>
          <w:rFonts w:hAnsi="宋体"/>
          <w:b/>
          <w:szCs w:val="21"/>
        </w:rPr>
      </w:pPr>
      <w:r>
        <w:rPr>
          <w:rFonts w:hint="eastAsia" w:hAnsi="宋体"/>
          <w:b/>
          <w:szCs w:val="21"/>
        </w:rPr>
        <w:t>《财政部 民政部 中国残疾人联合会关于促进残疾人就业政府采购政策的通知》财库[2017]141号； </w:t>
      </w:r>
    </w:p>
    <w:p>
      <w:pPr>
        <w:numPr>
          <w:ilvl w:val="1"/>
          <w:numId w:val="3"/>
        </w:numPr>
        <w:spacing w:line="480" w:lineRule="exact"/>
        <w:rPr>
          <w:rFonts w:hAnsi="宋体"/>
          <w:b/>
          <w:szCs w:val="21"/>
        </w:rPr>
      </w:pPr>
      <w:r>
        <w:rPr>
          <w:rFonts w:hint="eastAsia" w:hAnsi="宋体"/>
          <w:b/>
          <w:szCs w:val="21"/>
        </w:rPr>
        <w:t>《国务院办公厅关于建立政府强制采购节能产品制度的通知》（国办发〔2007〕51号），投标产品为计算机、打印机、空调、照明产品、电视机、电热水器、显示器、便器、水嘴等九大类政府强制采购的产品，必须为国家财政部、环境保护部、国家发改委等有关部门发布的《环境标志产品政府采购清单》和《节能产品政府采购清单》中的产品 ；</w:t>
      </w:r>
    </w:p>
    <w:p>
      <w:pPr>
        <w:numPr>
          <w:ilvl w:val="1"/>
          <w:numId w:val="3"/>
        </w:numPr>
        <w:spacing w:line="480" w:lineRule="exact"/>
        <w:rPr>
          <w:rFonts w:hAnsi="宋体"/>
          <w:b/>
          <w:szCs w:val="21"/>
        </w:rPr>
      </w:pPr>
      <w:r>
        <w:rPr>
          <w:rFonts w:hint="eastAsia" w:hAnsi="宋体"/>
          <w:b/>
          <w:szCs w:val="21"/>
        </w:rPr>
        <w:t>对中小微企业执行（财库〔2020〕46号）文件的规定，对其价格给予一定比例扣除，其评标价为按规定比例扣除后的价格，扣除比例为其投标报价按6%扣除后的价格作为其评标价。</w:t>
      </w:r>
    </w:p>
    <w:p>
      <w:pPr>
        <w:numPr>
          <w:ilvl w:val="1"/>
          <w:numId w:val="3"/>
        </w:numPr>
        <w:spacing w:line="480" w:lineRule="exact"/>
        <w:rPr>
          <w:rFonts w:hAnsi="宋体"/>
          <w:b/>
          <w:szCs w:val="21"/>
        </w:rPr>
      </w:pPr>
      <w:r>
        <w:rPr>
          <w:rFonts w:hint="eastAsia" w:hAnsi="宋体"/>
          <w:b/>
          <w:szCs w:val="21"/>
        </w:rPr>
        <w:t>对满足财政部、民政部、中国残疾人联合会发布的《关于促进残疾人就业政府采购政策的通知》规定，本项目对残疾人福利性单位产品的价格给予6%的扣除，其评标价为按规定比例扣除后的价格，扣除比例为其投标报价按6%扣除后的价格作为其评标价。</w:t>
      </w:r>
    </w:p>
    <w:p>
      <w:pPr>
        <w:numPr>
          <w:ilvl w:val="1"/>
          <w:numId w:val="3"/>
        </w:numPr>
        <w:spacing w:line="480" w:lineRule="exact"/>
        <w:rPr>
          <w:rFonts w:hAnsi="宋体"/>
          <w:b/>
          <w:szCs w:val="21"/>
        </w:rPr>
      </w:pPr>
      <w:r>
        <w:rPr>
          <w:rFonts w:hint="eastAsia" w:hAnsi="宋体"/>
          <w:b/>
          <w:szCs w:val="21"/>
        </w:rPr>
        <w:t>对满足《政府采购促进中小企业发展暂行办法》（财库〔2020〕46号）和《财政部司法部关于政府采购支持监狱企业发展有关问题的通知》（财库（2015）68号）的规定，对满足价格扣除条件且在投标文件中提交了《投标人企业类型声明函》或者省级以上监狱管理局、戒毒管理局（含新疆生产建设兵团）出具的属于监狱企业的证明文件的投标人，其投标报价扣除6%后参与评审。</w:t>
      </w:r>
    </w:p>
    <w:p>
      <w:pPr>
        <w:numPr>
          <w:ilvl w:val="1"/>
          <w:numId w:val="3"/>
        </w:numPr>
        <w:spacing w:line="480" w:lineRule="exact"/>
        <w:rPr>
          <w:rFonts w:hAnsi="宋体"/>
          <w:b/>
          <w:szCs w:val="21"/>
        </w:rPr>
      </w:pPr>
      <w:r>
        <w:rPr>
          <w:rFonts w:hint="eastAsia" w:hAnsi="宋体"/>
          <w:b/>
          <w:szCs w:val="21"/>
        </w:rPr>
        <w:t>不符合下列要求的除外：</w:t>
      </w:r>
    </w:p>
    <w:p>
      <w:pPr>
        <w:spacing w:line="480" w:lineRule="exact"/>
        <w:ind w:left="567"/>
        <w:rPr>
          <w:rFonts w:hAnsi="宋体"/>
          <w:b/>
          <w:szCs w:val="21"/>
        </w:rPr>
      </w:pPr>
      <w:r>
        <w:rPr>
          <w:rFonts w:hint="eastAsia" w:hAnsi="宋体"/>
          <w:b/>
          <w:szCs w:val="21"/>
        </w:rPr>
        <w:t>（1）不符合招标文件规定格式要求提供声明函及证明材料的。</w:t>
      </w:r>
    </w:p>
    <w:p>
      <w:pPr>
        <w:spacing w:line="480" w:lineRule="exact"/>
        <w:ind w:left="567"/>
        <w:rPr>
          <w:rFonts w:hAnsi="宋体"/>
          <w:b/>
          <w:szCs w:val="21"/>
        </w:rPr>
      </w:pPr>
      <w:r>
        <w:rPr>
          <w:rFonts w:hint="eastAsia" w:hAnsi="宋体"/>
          <w:b/>
          <w:szCs w:val="21"/>
        </w:rPr>
        <w:t>（2）不符合（财库〔2020〕46号）文件的规定企业的产品价格不予扣除。</w:t>
      </w:r>
    </w:p>
    <w:p>
      <w:pPr>
        <w:spacing w:line="480" w:lineRule="exact"/>
        <w:ind w:left="567"/>
        <w:rPr>
          <w:rFonts w:hAnsi="宋体"/>
          <w:b/>
          <w:szCs w:val="21"/>
        </w:rPr>
      </w:pPr>
      <w:r>
        <w:rPr>
          <w:rFonts w:hint="eastAsia" w:hAnsi="宋体"/>
          <w:b/>
          <w:szCs w:val="21"/>
        </w:rPr>
        <w:t>（3）不符合招标文件规定格式要求并未提供“残疾人福利性单位声明函”声明函及证明材料的。</w:t>
      </w:r>
    </w:p>
    <w:p>
      <w:pPr>
        <w:spacing w:line="480" w:lineRule="exact"/>
        <w:ind w:left="567"/>
        <w:rPr>
          <w:rFonts w:hAnsi="宋体"/>
          <w:b/>
          <w:szCs w:val="21"/>
        </w:rPr>
      </w:pPr>
      <w:r>
        <w:rPr>
          <w:rFonts w:hint="eastAsia" w:hAnsi="宋体"/>
          <w:b/>
          <w:szCs w:val="21"/>
        </w:rPr>
        <w:t>（4）不符合财政部、民政部、中国残疾人联合会发布的《关于促进残疾人就业政府采购政策的通知》规定的不予扣除。</w:t>
      </w:r>
    </w:p>
    <w:p>
      <w:pPr>
        <w:spacing w:line="480" w:lineRule="exact"/>
        <w:ind w:firstLine="527" w:firstLineChars="250"/>
        <w:rPr>
          <w:rFonts w:hAnsi="宋体"/>
          <w:b/>
          <w:szCs w:val="21"/>
        </w:rPr>
      </w:pPr>
      <w:r>
        <w:rPr>
          <w:rFonts w:hint="eastAsia" w:hAnsi="宋体"/>
          <w:b/>
          <w:szCs w:val="21"/>
        </w:rPr>
        <w:t>（5）不符合《政府采购促进中小企业发展暂行办法》（财库〔2020〕46号）和《财政部司法部关于政府采购支持监狱企业发展有关问题的通知》（财库（2015）68号）的规定的不予扣除。</w:t>
      </w:r>
    </w:p>
    <w:p>
      <w:pPr>
        <w:spacing w:line="480" w:lineRule="exact"/>
        <w:ind w:firstLine="422" w:firstLineChars="200"/>
        <w:rPr>
          <w:rFonts w:hAnsi="宋体"/>
          <w:b/>
          <w:szCs w:val="21"/>
        </w:rPr>
      </w:pPr>
      <w:r>
        <w:rPr>
          <w:rFonts w:hint="eastAsia" w:hAnsi="宋体"/>
          <w:b/>
          <w:szCs w:val="21"/>
        </w:rPr>
        <w:t>（6）不符合《国务院办公厅关于建立政府强制采购节能产品制度的通知》--国办发[2</w:t>
      </w:r>
      <w:r>
        <w:rPr>
          <w:rFonts w:hAnsi="宋体"/>
          <w:b/>
          <w:szCs w:val="21"/>
        </w:rPr>
        <w:t>007</w:t>
      </w:r>
      <w:r>
        <w:rPr>
          <w:rFonts w:hint="eastAsia" w:hAnsi="宋体"/>
          <w:b/>
          <w:szCs w:val="21"/>
        </w:rPr>
        <w:t>]5</w:t>
      </w:r>
      <w:r>
        <w:rPr>
          <w:rFonts w:hAnsi="宋体"/>
          <w:b/>
          <w:szCs w:val="21"/>
        </w:rPr>
        <w:t>1</w:t>
      </w:r>
      <w:r>
        <w:rPr>
          <w:rFonts w:hint="eastAsia" w:hAnsi="宋体"/>
          <w:b/>
          <w:szCs w:val="21"/>
        </w:rPr>
        <w:t xml:space="preserve">号规定的不予扣除。 </w:t>
      </w:r>
    </w:p>
    <w:p>
      <w:pPr>
        <w:spacing w:line="480" w:lineRule="exact"/>
        <w:ind w:firstLine="422" w:firstLineChars="200"/>
        <w:rPr>
          <w:rFonts w:hAnsi="宋体"/>
          <w:b/>
          <w:szCs w:val="21"/>
        </w:rPr>
      </w:pPr>
      <w:r>
        <w:rPr>
          <w:rFonts w:hint="eastAsia" w:hAnsi="宋体"/>
          <w:b/>
          <w:szCs w:val="21"/>
        </w:rPr>
        <w:t>（7）不符合《国务院办公厅关于建立政府强制采购节能产品制度的通知》（国办发〔2007〕51号），投标产品为计算机、打印机、空调、照明产品、电视机、电热水器、显示器、便器、水嘴等九大类政府强制采购的产品，必须为国家财政部、环境保护部、国家发改委等有关部门发布的《环境标志产品政府采购清单》和《节能产品政府采购清单》中的产品的不予扣除。</w:t>
      </w:r>
    </w:p>
    <w:p>
      <w:pPr>
        <w:numPr>
          <w:ilvl w:val="0"/>
          <w:numId w:val="3"/>
        </w:numPr>
        <w:spacing w:line="480" w:lineRule="exact"/>
        <w:rPr>
          <w:rFonts w:ascii="宋体" w:hAnsi="宋体"/>
          <w:szCs w:val="21"/>
        </w:rPr>
      </w:pPr>
      <w:r>
        <w:rPr>
          <w:rFonts w:hint="eastAsia" w:hAnsi="宋体"/>
          <w:b/>
          <w:szCs w:val="21"/>
        </w:rPr>
        <w:t>备选方案</w:t>
      </w:r>
    </w:p>
    <w:p>
      <w:pPr>
        <w:numPr>
          <w:ilvl w:val="1"/>
          <w:numId w:val="3"/>
        </w:numPr>
        <w:spacing w:line="480" w:lineRule="exact"/>
        <w:rPr>
          <w:rFonts w:ascii="宋体" w:hAnsi="宋体"/>
          <w:szCs w:val="21"/>
        </w:rPr>
      </w:pPr>
      <w:r>
        <w:rPr>
          <w:rFonts w:hint="eastAsia" w:ascii="宋体" w:hAnsi="宋体"/>
          <w:szCs w:val="21"/>
        </w:rPr>
        <w:t>备选方案是指在本招标文件已明确的货物（设备）或服务的基本要求，如货物（设备）或服务的用途、用意、服务基本需求等；但投标人应标的货物（设备）或服务分部分项内容优于招标文件基本要求的，不在备选方案之列。</w:t>
      </w:r>
    </w:p>
    <w:p>
      <w:pPr>
        <w:numPr>
          <w:ilvl w:val="1"/>
          <w:numId w:val="3"/>
        </w:numPr>
        <w:spacing w:line="480" w:lineRule="exact"/>
        <w:rPr>
          <w:rFonts w:ascii="宋体" w:hAnsi="宋体"/>
          <w:szCs w:val="21"/>
        </w:rPr>
      </w:pPr>
      <w:r>
        <w:rPr>
          <w:rFonts w:hint="eastAsia" w:ascii="宋体" w:hAnsi="宋体"/>
          <w:szCs w:val="21"/>
        </w:rPr>
        <w:t>本采购项目不接受备选方案投标。</w:t>
      </w:r>
    </w:p>
    <w:p>
      <w:pPr>
        <w:numPr>
          <w:ilvl w:val="0"/>
          <w:numId w:val="3"/>
        </w:numPr>
        <w:spacing w:line="480" w:lineRule="exact"/>
        <w:rPr>
          <w:rFonts w:ascii="宋体" w:hAnsi="宋体"/>
          <w:b/>
          <w:szCs w:val="21"/>
        </w:rPr>
      </w:pPr>
      <w:r>
        <w:rPr>
          <w:rFonts w:hint="eastAsia" w:ascii="宋体" w:hAnsi="宋体"/>
          <w:szCs w:val="21"/>
        </w:rPr>
        <w:t>★</w:t>
      </w:r>
      <w:r>
        <w:rPr>
          <w:rFonts w:hint="eastAsia" w:ascii="宋体" w:hAnsi="宋体"/>
          <w:b/>
          <w:szCs w:val="21"/>
        </w:rPr>
        <w:t>投标人的资格证明文件</w:t>
      </w:r>
    </w:p>
    <w:p>
      <w:pPr>
        <w:spacing w:line="480" w:lineRule="exact"/>
        <w:ind w:left="567"/>
        <w:rPr>
          <w:rFonts w:ascii="宋体" w:hAnsi="宋体"/>
          <w:b/>
          <w:szCs w:val="21"/>
        </w:rPr>
      </w:pPr>
      <w:r>
        <w:rPr>
          <w:rFonts w:hint="eastAsia" w:ascii="宋体" w:hAnsi="宋体"/>
          <w:szCs w:val="21"/>
        </w:rPr>
        <w:t>投标人应提交满足资格条件要求的证明文件，该证明文件作为投标文件的一部分。</w:t>
      </w:r>
    </w:p>
    <w:p>
      <w:pPr>
        <w:numPr>
          <w:ilvl w:val="0"/>
          <w:numId w:val="3"/>
        </w:numPr>
        <w:spacing w:line="480" w:lineRule="exact"/>
        <w:rPr>
          <w:rFonts w:ascii="宋体" w:hAnsi="宋体" w:cs="宋体"/>
          <w:b/>
          <w:szCs w:val="21"/>
        </w:rPr>
      </w:pPr>
      <w:r>
        <w:rPr>
          <w:rFonts w:hint="eastAsia" w:ascii="宋体" w:hAnsi="宋体"/>
          <w:szCs w:val="21"/>
        </w:rPr>
        <w:t>★</w:t>
      </w:r>
      <w:r>
        <w:rPr>
          <w:rFonts w:hint="eastAsia" w:ascii="宋体" w:hAnsi="宋体" w:cs="宋体"/>
          <w:b/>
          <w:szCs w:val="21"/>
        </w:rPr>
        <w:t>投标保证金</w:t>
      </w:r>
    </w:p>
    <w:p>
      <w:pPr>
        <w:numPr>
          <w:ilvl w:val="1"/>
          <w:numId w:val="3"/>
        </w:numPr>
        <w:spacing w:line="480" w:lineRule="exact"/>
        <w:rPr>
          <w:szCs w:val="21"/>
        </w:rPr>
      </w:pPr>
      <w:r>
        <w:rPr>
          <w:rFonts w:hint="eastAsia" w:ascii="宋体" w:hAnsi="宋体"/>
          <w:szCs w:val="21"/>
        </w:rPr>
        <w:t>投标保证金金额及缴纳方式详见“投标须知前附表”。</w:t>
      </w:r>
    </w:p>
    <w:p>
      <w:pPr>
        <w:numPr>
          <w:ilvl w:val="1"/>
          <w:numId w:val="3"/>
        </w:numPr>
        <w:spacing w:line="480" w:lineRule="exact"/>
        <w:rPr>
          <w:rFonts w:ascii="宋体" w:hAnsi="宋体"/>
          <w:szCs w:val="21"/>
        </w:rPr>
      </w:pPr>
      <w:r>
        <w:rPr>
          <w:rFonts w:hint="eastAsia" w:ascii="宋体" w:hAnsi="宋体"/>
          <w:szCs w:val="21"/>
        </w:rPr>
        <w:t>投标人须将汇转凭证复印件装订在投标文件内，证明其具有投标资格。</w:t>
      </w:r>
    </w:p>
    <w:p>
      <w:pPr>
        <w:numPr>
          <w:ilvl w:val="1"/>
          <w:numId w:val="3"/>
        </w:numPr>
        <w:spacing w:line="480" w:lineRule="exact"/>
        <w:rPr>
          <w:rFonts w:ascii="宋体" w:hAnsi="宋体"/>
          <w:szCs w:val="21"/>
        </w:rPr>
      </w:pPr>
      <w:r>
        <w:rPr>
          <w:rFonts w:hint="eastAsia" w:ascii="宋体" w:hAnsi="宋体" w:cs="宋体"/>
          <w:kern w:val="0"/>
          <w:szCs w:val="21"/>
        </w:rPr>
        <w:t>未中标投标人的保证金应当在中标通知书发出后5个工作日内退还，中标人的保证金应当在采购合同签订后5个工作日内退还。</w:t>
      </w:r>
    </w:p>
    <w:p>
      <w:pPr>
        <w:widowControl/>
        <w:spacing w:line="480" w:lineRule="exact"/>
        <w:ind w:left="425" w:firstLine="105" w:firstLineChars="50"/>
        <w:jc w:val="left"/>
        <w:rPr>
          <w:rFonts w:ascii="宋体" w:hAnsi="宋体" w:cs="宋体"/>
          <w:kern w:val="0"/>
          <w:szCs w:val="21"/>
        </w:rPr>
      </w:pPr>
      <w:r>
        <w:rPr>
          <w:rFonts w:hint="eastAsia" w:ascii="宋体" w:hAnsi="宋体" w:cs="宋体"/>
          <w:kern w:val="0"/>
          <w:szCs w:val="21"/>
        </w:rPr>
        <w:t>有下列情形之一的，保证金不予退还：</w:t>
      </w:r>
    </w:p>
    <w:p>
      <w:pPr>
        <w:widowControl/>
        <w:spacing w:line="480" w:lineRule="exact"/>
        <w:ind w:left="425"/>
        <w:jc w:val="left"/>
        <w:rPr>
          <w:rFonts w:ascii="宋体" w:hAnsi="宋体" w:cs="宋体"/>
          <w:kern w:val="0"/>
          <w:szCs w:val="21"/>
        </w:rPr>
      </w:pPr>
      <w:r>
        <w:rPr>
          <w:rFonts w:hint="eastAsia" w:ascii="宋体" w:hAnsi="宋体" w:cs="宋体"/>
          <w:kern w:val="0"/>
          <w:szCs w:val="21"/>
        </w:rPr>
        <w:t>（1）投标人在提交投标文件截止时间后撤回投标文件的；</w:t>
      </w:r>
    </w:p>
    <w:p>
      <w:pPr>
        <w:widowControl/>
        <w:spacing w:line="480" w:lineRule="exact"/>
        <w:ind w:left="425"/>
        <w:jc w:val="left"/>
        <w:rPr>
          <w:rFonts w:ascii="宋体" w:hAnsi="宋体" w:cs="宋体"/>
          <w:kern w:val="0"/>
          <w:szCs w:val="21"/>
        </w:rPr>
      </w:pPr>
      <w:r>
        <w:rPr>
          <w:rFonts w:hint="eastAsia" w:ascii="宋体" w:hAnsi="宋体" w:cs="宋体"/>
          <w:kern w:val="0"/>
          <w:szCs w:val="21"/>
        </w:rPr>
        <w:t>（2）投标人在投标文件中提供虚假材料的；</w:t>
      </w:r>
    </w:p>
    <w:p>
      <w:pPr>
        <w:widowControl/>
        <w:spacing w:line="480" w:lineRule="exact"/>
        <w:ind w:left="425"/>
        <w:jc w:val="left"/>
        <w:rPr>
          <w:rFonts w:ascii="宋体" w:hAnsi="宋体" w:cs="宋体"/>
          <w:kern w:val="0"/>
          <w:szCs w:val="21"/>
        </w:rPr>
      </w:pPr>
      <w:r>
        <w:rPr>
          <w:rFonts w:hint="eastAsia" w:ascii="宋体" w:hAnsi="宋体" w:cs="宋体"/>
          <w:kern w:val="0"/>
          <w:szCs w:val="21"/>
        </w:rPr>
        <w:t>（3）除因不可抗力或招标文件认可的情形以外，中标人不与招标人签订合同的；</w:t>
      </w:r>
    </w:p>
    <w:p>
      <w:pPr>
        <w:widowControl/>
        <w:spacing w:line="480" w:lineRule="exact"/>
        <w:ind w:left="425"/>
        <w:jc w:val="left"/>
        <w:rPr>
          <w:rFonts w:ascii="宋体" w:hAnsi="宋体" w:cs="宋体"/>
          <w:kern w:val="0"/>
          <w:szCs w:val="21"/>
        </w:rPr>
      </w:pPr>
      <w:r>
        <w:rPr>
          <w:rFonts w:hint="eastAsia" w:ascii="宋体" w:hAnsi="宋体" w:cs="宋体"/>
          <w:kern w:val="0"/>
          <w:szCs w:val="21"/>
        </w:rPr>
        <w:t>（4）投标人与招标人、其他投标人或者招标代理机构恶意串通的；</w:t>
      </w:r>
    </w:p>
    <w:p>
      <w:pPr>
        <w:widowControl/>
        <w:spacing w:line="480" w:lineRule="exact"/>
        <w:ind w:left="425"/>
        <w:jc w:val="left"/>
        <w:rPr>
          <w:rFonts w:ascii="宋体" w:hAnsi="宋体" w:cs="宋体"/>
          <w:kern w:val="0"/>
          <w:szCs w:val="21"/>
        </w:rPr>
      </w:pPr>
      <w:r>
        <w:rPr>
          <w:rFonts w:hint="eastAsia" w:ascii="宋体" w:hAnsi="宋体" w:cs="宋体"/>
          <w:kern w:val="0"/>
          <w:szCs w:val="21"/>
        </w:rPr>
        <w:t>（5）招标文件规定的其他情形。</w:t>
      </w:r>
    </w:p>
    <w:p>
      <w:pPr>
        <w:numPr>
          <w:ilvl w:val="0"/>
          <w:numId w:val="3"/>
        </w:numPr>
        <w:spacing w:line="480" w:lineRule="exact"/>
        <w:rPr>
          <w:rFonts w:ascii="宋体" w:hAnsi="宋体"/>
          <w:b/>
          <w:szCs w:val="21"/>
        </w:rPr>
      </w:pPr>
      <w:r>
        <w:rPr>
          <w:rFonts w:hint="eastAsia" w:ascii="宋体" w:hAnsi="宋体"/>
          <w:szCs w:val="21"/>
        </w:rPr>
        <w:t>★</w:t>
      </w:r>
      <w:r>
        <w:rPr>
          <w:rFonts w:hint="eastAsia" w:ascii="宋体" w:hAnsi="宋体"/>
          <w:b/>
          <w:bCs/>
          <w:szCs w:val="21"/>
        </w:rPr>
        <w:t>投标有效期</w:t>
      </w:r>
    </w:p>
    <w:p>
      <w:pPr>
        <w:numPr>
          <w:ilvl w:val="1"/>
          <w:numId w:val="3"/>
        </w:numPr>
        <w:spacing w:line="480" w:lineRule="exact"/>
        <w:rPr>
          <w:rFonts w:ascii="宋体" w:hAnsi="宋体"/>
          <w:b/>
          <w:szCs w:val="21"/>
        </w:rPr>
      </w:pPr>
      <w:r>
        <w:rPr>
          <w:rFonts w:hint="eastAsia" w:ascii="宋体" w:hAnsi="宋体"/>
          <w:szCs w:val="21"/>
        </w:rPr>
        <w:t>投标有效期为90天，在此期间投标文件对投标人具有法律约束力，以保证招标人有足够的时间完成评审、定标以及签订合同。投标有效期</w:t>
      </w:r>
      <w:r>
        <w:rPr>
          <w:rFonts w:hint="eastAsia" w:ascii="宋体" w:hAnsi="宋体" w:cs="Arial"/>
          <w:szCs w:val="21"/>
        </w:rPr>
        <w:t>从</w:t>
      </w:r>
      <w:r>
        <w:rPr>
          <w:rFonts w:hint="eastAsia" w:ascii="宋体" w:hAnsi="宋体"/>
          <w:szCs w:val="21"/>
        </w:rPr>
        <w:t>规定的</w:t>
      </w:r>
      <w:r>
        <w:rPr>
          <w:rFonts w:hint="eastAsia" w:ascii="宋体" w:hAnsi="宋体" w:cs="Arial"/>
          <w:szCs w:val="21"/>
        </w:rPr>
        <w:t>投标文件递交截止之日起</w:t>
      </w:r>
      <w:r>
        <w:rPr>
          <w:rFonts w:hint="eastAsia" w:ascii="宋体" w:hAnsi="宋体"/>
          <w:szCs w:val="21"/>
        </w:rPr>
        <w:t>计</w:t>
      </w:r>
      <w:r>
        <w:rPr>
          <w:rFonts w:hint="eastAsia" w:ascii="宋体" w:hAnsi="宋体" w:cs="Arial"/>
          <w:szCs w:val="21"/>
        </w:rPr>
        <w:t>算。</w:t>
      </w:r>
      <w:r>
        <w:rPr>
          <w:rFonts w:hint="eastAsia" w:ascii="宋体" w:hAnsi="宋体"/>
          <w:szCs w:val="21"/>
        </w:rPr>
        <w:t>投标有效期不足的，在评审时将其视为无效投标。</w:t>
      </w:r>
    </w:p>
    <w:p>
      <w:pPr>
        <w:numPr>
          <w:ilvl w:val="1"/>
          <w:numId w:val="3"/>
        </w:numPr>
        <w:spacing w:line="480" w:lineRule="exact"/>
        <w:rPr>
          <w:rFonts w:ascii="宋体" w:hAnsi="宋体"/>
          <w:b/>
          <w:szCs w:val="21"/>
        </w:rPr>
      </w:pPr>
      <w:r>
        <w:rPr>
          <w:rFonts w:hint="eastAsia" w:ascii="宋体" w:hAnsi="宋体"/>
          <w:szCs w:val="21"/>
        </w:rPr>
        <w:t>特殊情况需延长投标有效期的，招标代理机构可于投标有效期届满之前，要求投标人同意延长有效期，招标代理机构的要求与投标人的答复均应为书面形式。投标人拒绝延长的，其投标在原投标有效期期届满后将不再有效，但有权收回其投标保证金；投标人同意延长的，应相应延长其投标保证金的有效期，但不允许修改或撤回投标文件。</w:t>
      </w:r>
    </w:p>
    <w:p>
      <w:pPr>
        <w:numPr>
          <w:ilvl w:val="0"/>
          <w:numId w:val="3"/>
        </w:numPr>
        <w:spacing w:line="480" w:lineRule="exact"/>
        <w:rPr>
          <w:rFonts w:ascii="宋体" w:hAnsi="宋体" w:cs="宋体"/>
          <w:b/>
          <w:szCs w:val="21"/>
        </w:rPr>
      </w:pPr>
      <w:r>
        <w:rPr>
          <w:rFonts w:hint="eastAsia" w:ascii="宋体" w:hAnsi="宋体"/>
          <w:szCs w:val="21"/>
        </w:rPr>
        <w:t>★</w:t>
      </w:r>
      <w:r>
        <w:rPr>
          <w:rFonts w:hint="eastAsia" w:ascii="宋体" w:hAnsi="宋体" w:cs="宋体"/>
          <w:b/>
          <w:szCs w:val="21"/>
        </w:rPr>
        <w:t>投标文件份数和签署、盖章</w:t>
      </w:r>
    </w:p>
    <w:p>
      <w:pPr>
        <w:numPr>
          <w:ilvl w:val="1"/>
          <w:numId w:val="3"/>
        </w:numPr>
        <w:spacing w:line="480" w:lineRule="exact"/>
        <w:rPr>
          <w:szCs w:val="21"/>
        </w:rPr>
      </w:pPr>
      <w:bookmarkStart w:id="86" w:name="_Toc388260477"/>
      <w:r>
        <w:rPr>
          <w:rFonts w:hint="eastAsia"/>
          <w:szCs w:val="21"/>
        </w:rPr>
        <w:t>投标人应按照投标须知前附表要求规定的数量提交投标文件正副本，每份投标文件须按照实际内容清楚地标明“正本”或“副本”字样，一旦正本和副本不符，以正本为准。</w:t>
      </w:r>
    </w:p>
    <w:p>
      <w:pPr>
        <w:numPr>
          <w:ilvl w:val="1"/>
          <w:numId w:val="3"/>
        </w:numPr>
        <w:spacing w:line="480" w:lineRule="exact"/>
        <w:rPr>
          <w:szCs w:val="21"/>
        </w:rPr>
      </w:pPr>
      <w:r>
        <w:rPr>
          <w:rFonts w:hint="eastAsia"/>
          <w:szCs w:val="21"/>
        </w:rPr>
        <w:t>投标文件中要求由投标法定代表人（或其他组负责人，或自然人）或被授权人签字的内容必须签字、盖章。</w:t>
      </w:r>
    </w:p>
    <w:p>
      <w:pPr>
        <w:numPr>
          <w:ilvl w:val="1"/>
          <w:numId w:val="3"/>
        </w:numPr>
        <w:spacing w:line="480" w:lineRule="exact"/>
        <w:rPr>
          <w:szCs w:val="21"/>
        </w:rPr>
      </w:pPr>
      <w:r>
        <w:rPr>
          <w:rFonts w:hint="eastAsia"/>
          <w:szCs w:val="21"/>
        </w:rPr>
        <w:t>本招标文件中凡涉及加盖投标人公章的指法人企业公章或其他组织公章（</w:t>
      </w:r>
      <w:r>
        <w:rPr>
          <w:rFonts w:hint="eastAsia" w:ascii="宋体" w:hAnsi="宋体"/>
          <w:szCs w:val="21"/>
        </w:rPr>
        <w:t>不得使用合同专用章、财务专用章、公司部门章、授权（投标）专用章或与投标人主体名称违背的其他印章等代替，否则，投标文件按无效投标处理</w:t>
      </w:r>
      <w:r>
        <w:rPr>
          <w:rFonts w:hint="eastAsia"/>
          <w:szCs w:val="21"/>
        </w:rPr>
        <w:t>）;自然人参与本项目投标时相关签名或盖章以自然人投标主体身份证明信息对应姓名进行签字加盖自然人印章为准。</w:t>
      </w:r>
    </w:p>
    <w:p>
      <w:pPr>
        <w:numPr>
          <w:ilvl w:val="1"/>
          <w:numId w:val="3"/>
        </w:numPr>
        <w:spacing w:line="480" w:lineRule="exact"/>
        <w:rPr>
          <w:b/>
          <w:szCs w:val="21"/>
        </w:rPr>
      </w:pPr>
      <w:r>
        <w:rPr>
          <w:rFonts w:hint="eastAsia"/>
          <w:b/>
          <w:szCs w:val="21"/>
        </w:rPr>
        <w:t>未按招标文件要求签署盖章的投标文件视为无效投标。</w:t>
      </w:r>
    </w:p>
    <w:p>
      <w:pPr>
        <w:pStyle w:val="2"/>
        <w:spacing w:line="480" w:lineRule="exact"/>
        <w:jc w:val="center"/>
        <w:rPr>
          <w:sz w:val="21"/>
          <w:szCs w:val="21"/>
        </w:rPr>
      </w:pPr>
      <w:bookmarkStart w:id="87" w:name="_Toc20112"/>
      <w:bookmarkStart w:id="88" w:name="_Toc17204482"/>
      <w:r>
        <w:rPr>
          <w:rFonts w:hint="eastAsia"/>
          <w:sz w:val="21"/>
          <w:szCs w:val="21"/>
        </w:rPr>
        <w:t>四、投标文件的密封标记和递交</w:t>
      </w:r>
      <w:bookmarkEnd w:id="86"/>
      <w:bookmarkEnd w:id="87"/>
      <w:bookmarkEnd w:id="88"/>
    </w:p>
    <w:p>
      <w:pPr>
        <w:numPr>
          <w:ilvl w:val="0"/>
          <w:numId w:val="3"/>
        </w:numPr>
        <w:spacing w:line="480" w:lineRule="exact"/>
        <w:rPr>
          <w:rFonts w:ascii="宋体" w:hAnsi="宋体" w:cs="宋体"/>
          <w:b/>
          <w:szCs w:val="21"/>
        </w:rPr>
      </w:pPr>
      <w:r>
        <w:rPr>
          <w:rFonts w:hint="eastAsia" w:ascii="宋体" w:hAnsi="宋体"/>
          <w:szCs w:val="21"/>
        </w:rPr>
        <w:t>★</w:t>
      </w:r>
      <w:r>
        <w:rPr>
          <w:rFonts w:hint="eastAsia" w:ascii="宋体" w:hAnsi="宋体" w:cs="宋体"/>
          <w:b/>
          <w:szCs w:val="21"/>
        </w:rPr>
        <w:t>投标文件的密封</w:t>
      </w:r>
    </w:p>
    <w:p>
      <w:pPr>
        <w:numPr>
          <w:ilvl w:val="1"/>
          <w:numId w:val="3"/>
        </w:numPr>
        <w:spacing w:line="480" w:lineRule="exact"/>
        <w:rPr>
          <w:szCs w:val="21"/>
        </w:rPr>
      </w:pPr>
      <w:r>
        <w:rPr>
          <w:rFonts w:hint="eastAsia"/>
          <w:b/>
          <w:szCs w:val="21"/>
        </w:rPr>
        <w:t>投标文件正副本装于一个档案袋中，电子版光盘、U盘单独密封，投标文件的封套上应写明项目名称、项目编号、投标人名称、地址、联系人及联系电话。投标文件外封套须加盖投标单位公章以及法定代表人签字或盖章，并应确保密封完好。</w:t>
      </w:r>
    </w:p>
    <w:p>
      <w:pPr>
        <w:numPr>
          <w:ilvl w:val="1"/>
          <w:numId w:val="3"/>
        </w:numPr>
        <w:spacing w:line="480" w:lineRule="exact"/>
        <w:rPr>
          <w:szCs w:val="21"/>
        </w:rPr>
      </w:pPr>
      <w:r>
        <w:rPr>
          <w:rFonts w:hint="eastAsia" w:hAnsi="宋体"/>
          <w:szCs w:val="21"/>
        </w:rPr>
        <w:t>密封包装套外部应按照下列要求：</w:t>
      </w:r>
    </w:p>
    <w:p>
      <w:pPr>
        <w:adjustRightInd w:val="0"/>
        <w:snapToGrid w:val="0"/>
        <w:spacing w:before="159" w:beforeLines="50" w:line="480" w:lineRule="exact"/>
        <w:jc w:val="left"/>
        <w:rPr>
          <w:rFonts w:ascii="宋体" w:hAnsi="宋体"/>
          <w:b/>
          <w:spacing w:val="4"/>
          <w:szCs w:val="21"/>
        </w:rPr>
      </w:pPr>
      <w:r>
        <w:rPr>
          <w:rFonts w:ascii="宋体" w:hAnsi="宋体"/>
          <w:spacing w:val="4"/>
          <w:szCs w:val="21"/>
        </w:rPr>
        <mc:AlternateContent>
          <mc:Choice Requires="wps">
            <w:drawing>
              <wp:anchor distT="0" distB="0" distL="114300" distR="114300" simplePos="0" relativeHeight="251664384" behindDoc="0" locked="0" layoutInCell="1" allowOverlap="1">
                <wp:simplePos x="0" y="0"/>
                <wp:positionH relativeFrom="column">
                  <wp:posOffset>226695</wp:posOffset>
                </wp:positionH>
                <wp:positionV relativeFrom="paragraph">
                  <wp:posOffset>399415</wp:posOffset>
                </wp:positionV>
                <wp:extent cx="5605780" cy="2451100"/>
                <wp:effectExtent l="4445" t="4445" r="15875" b="8255"/>
                <wp:wrapNone/>
                <wp:docPr id="5" name="文本框 4"/>
                <wp:cNvGraphicFramePr/>
                <a:graphic xmlns:a="http://schemas.openxmlformats.org/drawingml/2006/main">
                  <a:graphicData uri="http://schemas.microsoft.com/office/word/2010/wordprocessingShape">
                    <wps:wsp>
                      <wps:cNvSpPr txBox="1"/>
                      <wps:spPr>
                        <a:xfrm>
                          <a:off x="0" y="0"/>
                          <a:ext cx="5605780" cy="20199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80" w:lineRule="auto"/>
                              <w:ind w:left="743" w:leftChars="354"/>
                              <w:jc w:val="left"/>
                              <w:rPr>
                                <w:rFonts w:ascii="宋体" w:hAnsi="宋体" w:cs="宋体"/>
                                <w:kern w:val="0"/>
                                <w:szCs w:val="21"/>
                              </w:rPr>
                            </w:pPr>
                            <w:r>
                              <w:rPr>
                                <w:rFonts w:hint="eastAsia" w:ascii="宋体" w:hAnsi="宋体" w:cs="宋体"/>
                                <w:kern w:val="0"/>
                                <w:szCs w:val="21"/>
                              </w:rPr>
                              <w:t>项目名称：</w:t>
                            </w:r>
                          </w:p>
                          <w:p>
                            <w:pPr>
                              <w:spacing w:line="480" w:lineRule="auto"/>
                              <w:ind w:left="743" w:leftChars="354"/>
                              <w:jc w:val="left"/>
                              <w:rPr>
                                <w:rFonts w:ascii="宋体" w:hAnsi="宋体"/>
                                <w:spacing w:val="4"/>
                                <w:szCs w:val="21"/>
                              </w:rPr>
                            </w:pPr>
                            <w:r>
                              <w:rPr>
                                <w:rFonts w:hint="eastAsia" w:ascii="宋体" w:hAnsi="宋体" w:cs="宋体"/>
                                <w:kern w:val="0"/>
                                <w:szCs w:val="21"/>
                              </w:rPr>
                              <w:t>项目编号：</w:t>
                            </w:r>
                            <w:r>
                              <w:rPr>
                                <w:rFonts w:hint="eastAsia" w:ascii="宋体" w:hAnsi="宋体"/>
                                <w:szCs w:val="21"/>
                              </w:rPr>
                              <w:t xml:space="preserve"> </w:t>
                            </w:r>
                          </w:p>
                          <w:p>
                            <w:pPr>
                              <w:adjustRightInd w:val="0"/>
                              <w:snapToGrid w:val="0"/>
                              <w:spacing w:before="159" w:beforeLines="50" w:line="480" w:lineRule="auto"/>
                              <w:ind w:left="743" w:leftChars="354"/>
                              <w:jc w:val="left"/>
                              <w:rPr>
                                <w:rFonts w:ascii="宋体" w:hAnsi="宋体"/>
                                <w:spacing w:val="4"/>
                                <w:szCs w:val="21"/>
                              </w:rPr>
                            </w:pPr>
                            <w:r>
                              <w:rPr>
                                <w:rFonts w:hint="eastAsia" w:ascii="宋体" w:hAnsi="宋体"/>
                                <w:szCs w:val="21"/>
                              </w:rPr>
                              <w:t>投标人名称</w:t>
                            </w:r>
                            <w:r>
                              <w:rPr>
                                <w:rFonts w:hint="eastAsia" w:ascii="宋体" w:hAnsi="宋体"/>
                                <w:spacing w:val="4"/>
                                <w:szCs w:val="21"/>
                              </w:rPr>
                              <w:t>：</w:t>
                            </w:r>
                            <w:r>
                              <w:rPr>
                                <w:rFonts w:hint="eastAsia" w:ascii="宋体" w:hAnsi="宋体"/>
                                <w:spacing w:val="4"/>
                                <w:szCs w:val="21"/>
                                <w:u w:val="single"/>
                              </w:rPr>
                              <w:t xml:space="preserve">   （投标人全称）    </w:t>
                            </w:r>
                            <w:r>
                              <w:rPr>
                                <w:rFonts w:hint="eastAsia" w:ascii="宋体" w:hAnsi="宋体"/>
                                <w:spacing w:val="4"/>
                                <w:szCs w:val="21"/>
                              </w:rPr>
                              <w:t>（盖章）</w:t>
                            </w:r>
                          </w:p>
                          <w:p>
                            <w:pPr>
                              <w:pStyle w:val="14"/>
                              <w:rPr>
                                <w:rFonts w:ascii="宋体" w:hAnsi="宋体"/>
                                <w:spacing w:val="4"/>
                                <w:szCs w:val="21"/>
                              </w:rPr>
                            </w:pPr>
                            <w:r>
                              <w:rPr>
                                <w:rFonts w:hint="eastAsia" w:ascii="宋体" w:hAnsi="宋体"/>
                                <w:spacing w:val="4"/>
                                <w:szCs w:val="21"/>
                              </w:rPr>
                              <w:t xml:space="preserve">       地  址：</w:t>
                            </w:r>
                          </w:p>
                          <w:p>
                            <w:pPr>
                              <w:rPr>
                                <w:rFonts w:ascii="宋体" w:hAnsi="宋体"/>
                                <w:spacing w:val="4"/>
                                <w:szCs w:val="21"/>
                              </w:rPr>
                            </w:pPr>
                            <w:r>
                              <w:rPr>
                                <w:rFonts w:hint="eastAsia" w:ascii="宋体" w:hAnsi="宋体"/>
                                <w:spacing w:val="4"/>
                                <w:szCs w:val="21"/>
                              </w:rPr>
                              <w:t xml:space="preserve">       联 系 人：</w:t>
                            </w:r>
                          </w:p>
                          <w:p>
                            <w:pPr>
                              <w:pStyle w:val="14"/>
                            </w:pPr>
                            <w:r>
                              <w:rPr>
                                <w:rFonts w:hint="eastAsia" w:ascii="宋体" w:hAnsi="宋体"/>
                                <w:spacing w:val="4"/>
                                <w:szCs w:val="21"/>
                              </w:rPr>
                              <w:t xml:space="preserve">       联系电话：</w:t>
                            </w:r>
                          </w:p>
                          <w:p>
                            <w:pPr>
                              <w:adjustRightInd w:val="0"/>
                              <w:snapToGrid w:val="0"/>
                              <w:spacing w:before="159" w:beforeLines="50" w:line="480" w:lineRule="auto"/>
                              <w:ind w:left="743" w:leftChars="354"/>
                              <w:jc w:val="left"/>
                              <w:rPr>
                                <w:rFonts w:ascii="宋体" w:hAnsi="宋体"/>
                                <w:spacing w:val="4"/>
                                <w:szCs w:val="21"/>
                              </w:rPr>
                            </w:pPr>
                            <w:r>
                              <w:rPr>
                                <w:rFonts w:hint="eastAsia" w:ascii="宋体" w:hAnsi="宋体"/>
                                <w:spacing w:val="4"/>
                                <w:szCs w:val="21"/>
                              </w:rPr>
                              <w:t>在</w:t>
                            </w:r>
                            <w:r>
                              <w:rPr>
                                <w:rFonts w:hint="eastAsia" w:ascii="宋体" w:hAnsi="宋体" w:cs="仿宋"/>
                                <w:szCs w:val="21"/>
                              </w:rPr>
                              <w:t>2022年 月 日 时00分00秒</w:t>
                            </w:r>
                            <w:r>
                              <w:rPr>
                                <w:rFonts w:hint="eastAsia" w:ascii="宋体" w:hAnsi="宋体"/>
                                <w:spacing w:val="4"/>
                                <w:szCs w:val="21"/>
                              </w:rPr>
                              <w:t>之前不得开启</w:t>
                            </w:r>
                          </w:p>
                        </w:txbxContent>
                      </wps:txbx>
                      <wps:bodyPr upright="1"/>
                    </wps:wsp>
                  </a:graphicData>
                </a:graphic>
              </wp:anchor>
            </w:drawing>
          </mc:Choice>
          <mc:Fallback>
            <w:pict>
              <v:shape id="文本框 4" o:spid="_x0000_s1026" o:spt="202" type="#_x0000_t202" style="position:absolute;left:0pt;margin-left:17.85pt;margin-top:31.45pt;height:193pt;width:441.4pt;z-index:251664384;mso-width-relative:page;mso-height-relative:page;" fillcolor="#FFFFFF" filled="t" stroked="t" coordsize="21600,21600" o:gfxdata="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lk0MrZAAAACQEAAA8AAAAAAAAA&#10;AQAgAAAAIgAAAGRycy9kb3ducmV2LnhtbFBLAQIUABQAAAAIAIdO4kDsyLgnEAIAAEUEAAAOAAAA&#10;AAAAAAEAIAAAACgBAABkcnMvZTJvRG9jLnhtbFBLBQYAAAAABgAGAFkBAACqBQAAAAA=&#10;">
                <v:fill on="t" focussize="0,0"/>
                <v:stroke color="#000000" joinstyle="miter"/>
                <v:imagedata o:title=""/>
                <o:lock v:ext="edit" aspectratio="f"/>
                <v:textbox>
                  <w:txbxContent>
                    <w:p>
                      <w:pPr>
                        <w:spacing w:line="480" w:lineRule="auto"/>
                        <w:ind w:left="743" w:leftChars="354"/>
                        <w:jc w:val="left"/>
                        <w:rPr>
                          <w:rFonts w:ascii="宋体" w:hAnsi="宋体" w:cs="宋体"/>
                          <w:kern w:val="0"/>
                          <w:szCs w:val="21"/>
                        </w:rPr>
                      </w:pPr>
                      <w:r>
                        <w:rPr>
                          <w:rFonts w:hint="eastAsia" w:ascii="宋体" w:hAnsi="宋体" w:cs="宋体"/>
                          <w:kern w:val="0"/>
                          <w:szCs w:val="21"/>
                        </w:rPr>
                        <w:t>项目名称：</w:t>
                      </w:r>
                    </w:p>
                    <w:p>
                      <w:pPr>
                        <w:spacing w:line="480" w:lineRule="auto"/>
                        <w:ind w:left="743" w:leftChars="354"/>
                        <w:jc w:val="left"/>
                        <w:rPr>
                          <w:rFonts w:ascii="宋体" w:hAnsi="宋体"/>
                          <w:spacing w:val="4"/>
                          <w:szCs w:val="21"/>
                        </w:rPr>
                      </w:pPr>
                      <w:r>
                        <w:rPr>
                          <w:rFonts w:hint="eastAsia" w:ascii="宋体" w:hAnsi="宋体" w:cs="宋体"/>
                          <w:kern w:val="0"/>
                          <w:szCs w:val="21"/>
                        </w:rPr>
                        <w:t>项目编号：</w:t>
                      </w:r>
                      <w:r>
                        <w:rPr>
                          <w:rFonts w:hint="eastAsia" w:ascii="宋体" w:hAnsi="宋体"/>
                          <w:szCs w:val="21"/>
                        </w:rPr>
                        <w:t xml:space="preserve"> </w:t>
                      </w:r>
                    </w:p>
                    <w:p>
                      <w:pPr>
                        <w:adjustRightInd w:val="0"/>
                        <w:snapToGrid w:val="0"/>
                        <w:spacing w:before="159" w:beforeLines="50" w:line="480" w:lineRule="auto"/>
                        <w:ind w:left="743" w:leftChars="354"/>
                        <w:jc w:val="left"/>
                        <w:rPr>
                          <w:rFonts w:ascii="宋体" w:hAnsi="宋体"/>
                          <w:spacing w:val="4"/>
                          <w:szCs w:val="21"/>
                        </w:rPr>
                      </w:pPr>
                      <w:r>
                        <w:rPr>
                          <w:rFonts w:hint="eastAsia" w:ascii="宋体" w:hAnsi="宋体"/>
                          <w:szCs w:val="21"/>
                        </w:rPr>
                        <w:t>投标人名称</w:t>
                      </w:r>
                      <w:r>
                        <w:rPr>
                          <w:rFonts w:hint="eastAsia" w:ascii="宋体" w:hAnsi="宋体"/>
                          <w:spacing w:val="4"/>
                          <w:szCs w:val="21"/>
                        </w:rPr>
                        <w:t>：</w:t>
                      </w:r>
                      <w:r>
                        <w:rPr>
                          <w:rFonts w:hint="eastAsia" w:ascii="宋体" w:hAnsi="宋体"/>
                          <w:spacing w:val="4"/>
                          <w:szCs w:val="21"/>
                          <w:u w:val="single"/>
                        </w:rPr>
                        <w:t xml:space="preserve">   （投标人全称）    </w:t>
                      </w:r>
                      <w:r>
                        <w:rPr>
                          <w:rFonts w:hint="eastAsia" w:ascii="宋体" w:hAnsi="宋体"/>
                          <w:spacing w:val="4"/>
                          <w:szCs w:val="21"/>
                        </w:rPr>
                        <w:t>（盖章）</w:t>
                      </w:r>
                    </w:p>
                    <w:p>
                      <w:pPr>
                        <w:pStyle w:val="14"/>
                        <w:rPr>
                          <w:rFonts w:ascii="宋体" w:hAnsi="宋体"/>
                          <w:spacing w:val="4"/>
                          <w:szCs w:val="21"/>
                        </w:rPr>
                      </w:pPr>
                      <w:r>
                        <w:rPr>
                          <w:rFonts w:hint="eastAsia" w:ascii="宋体" w:hAnsi="宋体"/>
                          <w:spacing w:val="4"/>
                          <w:szCs w:val="21"/>
                        </w:rPr>
                        <w:t xml:space="preserve">       地  址：</w:t>
                      </w:r>
                    </w:p>
                    <w:p>
                      <w:pPr>
                        <w:rPr>
                          <w:rFonts w:ascii="宋体" w:hAnsi="宋体"/>
                          <w:spacing w:val="4"/>
                          <w:szCs w:val="21"/>
                        </w:rPr>
                      </w:pPr>
                      <w:r>
                        <w:rPr>
                          <w:rFonts w:hint="eastAsia" w:ascii="宋体" w:hAnsi="宋体"/>
                          <w:spacing w:val="4"/>
                          <w:szCs w:val="21"/>
                        </w:rPr>
                        <w:t xml:space="preserve">       联 系 人：</w:t>
                      </w:r>
                    </w:p>
                    <w:p>
                      <w:pPr>
                        <w:pStyle w:val="14"/>
                      </w:pPr>
                      <w:r>
                        <w:rPr>
                          <w:rFonts w:hint="eastAsia" w:ascii="宋体" w:hAnsi="宋体"/>
                          <w:spacing w:val="4"/>
                          <w:szCs w:val="21"/>
                        </w:rPr>
                        <w:t xml:space="preserve">       联系电话：</w:t>
                      </w:r>
                    </w:p>
                    <w:p>
                      <w:pPr>
                        <w:adjustRightInd w:val="0"/>
                        <w:snapToGrid w:val="0"/>
                        <w:spacing w:before="159" w:beforeLines="50" w:line="480" w:lineRule="auto"/>
                        <w:ind w:left="743" w:leftChars="354"/>
                        <w:jc w:val="left"/>
                        <w:rPr>
                          <w:rFonts w:ascii="宋体" w:hAnsi="宋体"/>
                          <w:spacing w:val="4"/>
                          <w:szCs w:val="21"/>
                        </w:rPr>
                      </w:pPr>
                      <w:r>
                        <w:rPr>
                          <w:rFonts w:hint="eastAsia" w:ascii="宋体" w:hAnsi="宋体"/>
                          <w:spacing w:val="4"/>
                          <w:szCs w:val="21"/>
                        </w:rPr>
                        <w:t>在</w:t>
                      </w:r>
                      <w:r>
                        <w:rPr>
                          <w:rFonts w:hint="eastAsia" w:ascii="宋体" w:hAnsi="宋体" w:cs="仿宋"/>
                          <w:szCs w:val="21"/>
                        </w:rPr>
                        <w:t>2022年 月 日 时00分00秒</w:t>
                      </w:r>
                      <w:r>
                        <w:rPr>
                          <w:rFonts w:hint="eastAsia" w:ascii="宋体" w:hAnsi="宋体"/>
                          <w:spacing w:val="4"/>
                          <w:szCs w:val="21"/>
                        </w:rPr>
                        <w:t>之前不得开启</w:t>
                      </w:r>
                    </w:p>
                  </w:txbxContent>
                </v:textbox>
              </v:shape>
            </w:pict>
          </mc:Fallback>
        </mc:AlternateContent>
      </w:r>
      <w:r>
        <w:rPr>
          <w:rFonts w:hint="eastAsia" w:ascii="宋体" w:hAnsi="宋体"/>
          <w:b/>
          <w:spacing w:val="4"/>
          <w:szCs w:val="21"/>
        </w:rPr>
        <w:t>样式：</w:t>
      </w:r>
    </w:p>
    <w:p>
      <w:pPr>
        <w:pStyle w:val="14"/>
        <w:rPr>
          <w:rFonts w:ascii="宋体" w:hAnsi="宋体"/>
          <w:b/>
          <w:spacing w:val="4"/>
          <w:szCs w:val="21"/>
        </w:rPr>
      </w:pPr>
    </w:p>
    <w:p>
      <w:pPr>
        <w:rPr>
          <w:rFonts w:ascii="宋体" w:hAnsi="宋体"/>
          <w:b/>
          <w:spacing w:val="4"/>
          <w:szCs w:val="21"/>
        </w:rPr>
      </w:pPr>
    </w:p>
    <w:p>
      <w:pPr>
        <w:pStyle w:val="14"/>
      </w:pPr>
    </w:p>
    <w:p/>
    <w:p/>
    <w:p>
      <w:pPr>
        <w:pStyle w:val="19"/>
        <w:bidi w:val="0"/>
      </w:pPr>
    </w:p>
    <w:p>
      <w:pPr>
        <w:pStyle w:val="19"/>
        <w:bidi w:val="0"/>
      </w:pPr>
    </w:p>
    <w:p>
      <w:pPr>
        <w:adjustRightInd w:val="0"/>
        <w:snapToGrid w:val="0"/>
        <w:spacing w:before="159" w:beforeLines="50" w:line="480" w:lineRule="exact"/>
        <w:ind w:left="1145"/>
        <w:jc w:val="left"/>
        <w:rPr>
          <w:rFonts w:ascii="宋体" w:hAnsi="宋体"/>
          <w:spacing w:val="4"/>
          <w:szCs w:val="21"/>
        </w:rPr>
      </w:pPr>
    </w:p>
    <w:p>
      <w:pPr>
        <w:adjustRightInd w:val="0"/>
        <w:snapToGrid w:val="0"/>
        <w:spacing w:before="159" w:beforeLines="50" w:line="480" w:lineRule="exact"/>
        <w:ind w:left="1145"/>
        <w:jc w:val="left"/>
        <w:rPr>
          <w:rFonts w:ascii="宋体" w:hAnsi="宋体"/>
          <w:spacing w:val="4"/>
          <w:szCs w:val="21"/>
        </w:rPr>
      </w:pPr>
    </w:p>
    <w:p>
      <w:pPr>
        <w:numPr>
          <w:ilvl w:val="1"/>
          <w:numId w:val="3"/>
        </w:numPr>
        <w:spacing w:line="480" w:lineRule="exact"/>
        <w:rPr>
          <w:rFonts w:hAnsi="宋体"/>
          <w:b/>
          <w:szCs w:val="21"/>
        </w:rPr>
      </w:pPr>
      <w:r>
        <w:rPr>
          <w:rFonts w:hint="eastAsia" w:hAnsi="宋体"/>
          <w:b/>
          <w:szCs w:val="21"/>
        </w:rPr>
        <w:t>投标人应详细阅读上述投标文件的密封要求，未按本要求18.1、18.2条要求密封、标记或未在投标截止时间前提交的投标文件招标人将按照《政府采购货物和服务招标投标管理办法》第三十三条规定，不予接收或受理，并视为无效投标。</w:t>
      </w:r>
    </w:p>
    <w:p>
      <w:pPr>
        <w:numPr>
          <w:ilvl w:val="0"/>
          <w:numId w:val="3"/>
        </w:numPr>
        <w:spacing w:line="480" w:lineRule="exact"/>
        <w:rPr>
          <w:rFonts w:ascii="宋体" w:hAnsi="宋体" w:cs="宋体"/>
          <w:b/>
          <w:szCs w:val="21"/>
        </w:rPr>
      </w:pPr>
      <w:r>
        <w:rPr>
          <w:rFonts w:hint="eastAsia" w:ascii="宋体" w:hAnsi="宋体" w:cs="宋体"/>
          <w:b/>
          <w:szCs w:val="21"/>
        </w:rPr>
        <w:t>投标文件的递交</w:t>
      </w:r>
    </w:p>
    <w:p>
      <w:pPr>
        <w:numPr>
          <w:ilvl w:val="1"/>
          <w:numId w:val="3"/>
        </w:numPr>
        <w:tabs>
          <w:tab w:val="left" w:pos="425"/>
          <w:tab w:val="clear" w:pos="567"/>
        </w:tabs>
        <w:spacing w:line="480" w:lineRule="exact"/>
        <w:rPr>
          <w:szCs w:val="21"/>
        </w:rPr>
      </w:pPr>
      <w:r>
        <w:rPr>
          <w:rFonts w:hAnsi="宋体" w:cs="Tahoma"/>
          <w:szCs w:val="21"/>
        </w:rPr>
        <w:t>投标文件由</w:t>
      </w:r>
      <w:r>
        <w:rPr>
          <w:rFonts w:hint="eastAsia" w:hAnsi="宋体" w:cs="Tahoma"/>
          <w:szCs w:val="21"/>
        </w:rPr>
        <w:t>投标人法定代表人或其</w:t>
      </w:r>
      <w:r>
        <w:rPr>
          <w:rFonts w:hAnsi="宋体" w:cs="Tahoma"/>
          <w:szCs w:val="21"/>
        </w:rPr>
        <w:t>授权</w:t>
      </w:r>
      <w:r>
        <w:rPr>
          <w:rFonts w:hint="eastAsia" w:hAnsi="宋体" w:cs="Tahoma"/>
          <w:szCs w:val="21"/>
        </w:rPr>
        <w:t>委托人</w:t>
      </w:r>
      <w:r>
        <w:rPr>
          <w:rFonts w:hAnsi="宋体" w:cs="Tahoma"/>
          <w:szCs w:val="21"/>
        </w:rPr>
        <w:t>递交并按招标代理机构要求签字确认，投标人应将投标文件按</w:t>
      </w:r>
      <w:r>
        <w:rPr>
          <w:rFonts w:hint="eastAsia" w:hAnsi="宋体" w:cs="Tahoma"/>
          <w:szCs w:val="21"/>
        </w:rPr>
        <w:t>“投标文件的密封”</w:t>
      </w:r>
      <w:r>
        <w:rPr>
          <w:rFonts w:hAnsi="宋体" w:cs="Tahoma"/>
          <w:szCs w:val="21"/>
        </w:rPr>
        <w:t>中的规定进行密封和标记后，按</w:t>
      </w:r>
      <w:r>
        <w:rPr>
          <w:rFonts w:hint="eastAsia" w:hAnsi="宋体" w:cs="Tahoma"/>
          <w:szCs w:val="21"/>
        </w:rPr>
        <w:t>投标</w:t>
      </w:r>
      <w:r>
        <w:rPr>
          <w:rFonts w:hAnsi="宋体" w:cs="Tahoma"/>
          <w:szCs w:val="21"/>
        </w:rPr>
        <w:t>须知前附表中注明的投标文件递交地点和投标截止时间前送达。</w:t>
      </w:r>
      <w:r>
        <w:rPr>
          <w:rFonts w:hint="eastAsia" w:hAnsi="宋体"/>
          <w:szCs w:val="21"/>
        </w:rPr>
        <w:t>投标人在递交投标文件时应遵照工作人员的安排有秩序地进行。</w:t>
      </w:r>
    </w:p>
    <w:p>
      <w:pPr>
        <w:numPr>
          <w:ilvl w:val="1"/>
          <w:numId w:val="3"/>
        </w:numPr>
        <w:spacing w:line="480" w:lineRule="exact"/>
        <w:rPr>
          <w:rFonts w:hAnsi="宋体" w:cs="Tahoma"/>
          <w:szCs w:val="21"/>
        </w:rPr>
      </w:pPr>
      <w:r>
        <w:rPr>
          <w:rFonts w:hint="eastAsia" w:hAnsi="宋体" w:cs="Tahoma"/>
          <w:b/>
          <w:szCs w:val="21"/>
        </w:rPr>
        <w:t>超过“投标须知前附表”规定的“投标文件递交截止时间”的投标文件将不予接收。</w:t>
      </w:r>
    </w:p>
    <w:p>
      <w:pPr>
        <w:pStyle w:val="2"/>
        <w:spacing w:line="480" w:lineRule="exact"/>
        <w:rPr>
          <w:sz w:val="21"/>
          <w:szCs w:val="21"/>
        </w:rPr>
      </w:pPr>
      <w:bookmarkStart w:id="89" w:name="_Toc388260478"/>
      <w:bookmarkStart w:id="90" w:name="_Toc26356"/>
      <w:bookmarkStart w:id="91" w:name="_Toc17204483"/>
      <w:r>
        <w:rPr>
          <w:rFonts w:hint="eastAsia"/>
          <w:sz w:val="21"/>
          <w:szCs w:val="21"/>
        </w:rPr>
        <w:t>五、开标、</w:t>
      </w:r>
      <w:bookmarkEnd w:id="89"/>
      <w:r>
        <w:rPr>
          <w:rFonts w:hint="eastAsia"/>
          <w:sz w:val="21"/>
          <w:szCs w:val="21"/>
        </w:rPr>
        <w:t>评标、定标</w:t>
      </w:r>
      <w:bookmarkEnd w:id="90"/>
      <w:bookmarkEnd w:id="91"/>
    </w:p>
    <w:p>
      <w:pPr>
        <w:numPr>
          <w:ilvl w:val="0"/>
          <w:numId w:val="3"/>
        </w:numPr>
        <w:spacing w:line="480" w:lineRule="exact"/>
        <w:rPr>
          <w:rFonts w:ascii="宋体" w:hAnsi="宋体" w:cs="宋体"/>
          <w:b/>
          <w:szCs w:val="21"/>
        </w:rPr>
      </w:pPr>
      <w:r>
        <w:rPr>
          <w:rFonts w:hint="eastAsia" w:ascii="宋体" w:hAnsi="宋体" w:cs="宋体"/>
          <w:b/>
          <w:szCs w:val="21"/>
        </w:rPr>
        <w:t>开标</w:t>
      </w:r>
    </w:p>
    <w:p>
      <w:pPr>
        <w:spacing w:line="480" w:lineRule="exact"/>
        <w:ind w:left="425"/>
        <w:rPr>
          <w:rFonts w:ascii="宋体" w:hAnsi="宋体"/>
          <w:szCs w:val="21"/>
        </w:rPr>
      </w:pPr>
      <w:r>
        <w:rPr>
          <w:rFonts w:hint="eastAsia" w:ascii="宋体" w:hAnsi="宋体"/>
          <w:szCs w:val="21"/>
        </w:rPr>
        <w:t>（1）代理机构按招标文件规定的时间、地点组织公开开标；开标大会由代理机构主持，招标人参会人员、投标人代表及有关工作人员参加，并检查其授权委托书或法人身份证明，以证明其出席；</w:t>
      </w:r>
    </w:p>
    <w:p>
      <w:pPr>
        <w:spacing w:line="480" w:lineRule="exact"/>
        <w:ind w:left="425"/>
        <w:rPr>
          <w:rFonts w:ascii="宋体" w:hAnsi="宋体"/>
          <w:szCs w:val="21"/>
        </w:rPr>
      </w:pPr>
      <w:r>
        <w:rPr>
          <w:rFonts w:hint="eastAsia" w:ascii="宋体" w:hAnsi="宋体"/>
          <w:szCs w:val="21"/>
        </w:rPr>
        <w:t>（2）开标后，由</w:t>
      </w:r>
      <w:r>
        <w:rPr>
          <w:rFonts w:hint="eastAsia" w:ascii="宋体" w:hAnsi="宋体" w:cs="宋体"/>
        </w:rPr>
        <w:t>采购代理机构委托的公证机构</w:t>
      </w:r>
      <w:r>
        <w:rPr>
          <w:rFonts w:hint="eastAsia" w:ascii="宋体" w:hAnsi="宋体"/>
          <w:szCs w:val="21"/>
        </w:rPr>
        <w:t>检查投标文件的密封情况，经投标人确认无误后，由代理机构工作人员当众拆封，以公开唱价的形式进行公布，宣布投标人名称、投标价格和招标文件中规定的需要宣布的其他内容，代理机构指定专人负责记录，由参加开标的各投标人代表和相关工作人员签字确认后并存档备案。</w:t>
      </w:r>
    </w:p>
    <w:p>
      <w:pPr>
        <w:spacing w:line="480" w:lineRule="exact"/>
        <w:ind w:left="425"/>
        <w:rPr>
          <w:rFonts w:ascii="宋体" w:hAnsi="宋体"/>
          <w:szCs w:val="21"/>
        </w:rPr>
      </w:pPr>
      <w:r>
        <w:rPr>
          <w:rFonts w:hint="eastAsia" w:ascii="宋体" w:hAnsi="宋体"/>
          <w:szCs w:val="21"/>
        </w:rPr>
        <w:t>（3）开标时，投标文件中出现下列情况，修正原则为：</w:t>
      </w:r>
    </w:p>
    <w:p>
      <w:pPr>
        <w:spacing w:line="480" w:lineRule="exact"/>
        <w:ind w:left="425"/>
        <w:rPr>
          <w:rFonts w:ascii="宋体" w:hAnsi="宋体"/>
          <w:szCs w:val="21"/>
        </w:rPr>
      </w:pPr>
      <w:r>
        <w:rPr>
          <w:rFonts w:hint="eastAsia" w:ascii="宋体" w:hAnsi="宋体"/>
          <w:szCs w:val="21"/>
        </w:rPr>
        <w:t>A、大写金额和小写金额不一致的，以大写金额为准；</w:t>
      </w:r>
    </w:p>
    <w:p>
      <w:pPr>
        <w:spacing w:line="480" w:lineRule="exact"/>
        <w:ind w:left="425"/>
        <w:rPr>
          <w:rFonts w:ascii="宋体" w:hAnsi="宋体"/>
          <w:szCs w:val="21"/>
        </w:rPr>
      </w:pPr>
      <w:r>
        <w:rPr>
          <w:rFonts w:hint="eastAsia" w:ascii="宋体" w:hAnsi="宋体"/>
          <w:szCs w:val="21"/>
        </w:rPr>
        <w:t>B、单价金额小数点或者百分比有明显错位的，以投标报价一览表的总价为准，并修改单价；</w:t>
      </w:r>
    </w:p>
    <w:p>
      <w:pPr>
        <w:spacing w:line="480" w:lineRule="exact"/>
        <w:ind w:left="425"/>
        <w:rPr>
          <w:rFonts w:ascii="宋体" w:hAnsi="宋体"/>
          <w:szCs w:val="21"/>
        </w:rPr>
      </w:pPr>
      <w:r>
        <w:rPr>
          <w:rFonts w:hint="eastAsia" w:ascii="宋体" w:hAnsi="宋体"/>
          <w:szCs w:val="21"/>
        </w:rPr>
        <w:t>C、总价金额与按单价汇总金额不一致的，以单价金额计算结果为准；</w:t>
      </w:r>
    </w:p>
    <w:p>
      <w:pPr>
        <w:spacing w:line="480" w:lineRule="exact"/>
        <w:ind w:left="425"/>
        <w:rPr>
          <w:rFonts w:ascii="宋体" w:hAnsi="宋体"/>
          <w:szCs w:val="21"/>
        </w:rPr>
      </w:pPr>
      <w:r>
        <w:rPr>
          <w:rFonts w:hint="eastAsia" w:ascii="宋体" w:hAnsi="宋体"/>
          <w:szCs w:val="21"/>
        </w:rPr>
        <w:t>D、投标文件正本与副本不一致的，以正本为准；</w:t>
      </w:r>
    </w:p>
    <w:p>
      <w:pPr>
        <w:spacing w:line="480" w:lineRule="exact"/>
        <w:ind w:left="425"/>
        <w:rPr>
          <w:rFonts w:ascii="宋体" w:hAnsi="宋体"/>
          <w:szCs w:val="21"/>
        </w:rPr>
      </w:pPr>
      <w:r>
        <w:rPr>
          <w:rFonts w:hint="eastAsia" w:ascii="宋体" w:hAnsi="宋体"/>
          <w:szCs w:val="21"/>
        </w:rPr>
        <w:t>E、多处内容交叉不符的，以评标委员会评审结果为准；</w:t>
      </w:r>
    </w:p>
    <w:p>
      <w:pPr>
        <w:spacing w:line="480" w:lineRule="exact"/>
        <w:ind w:left="425"/>
        <w:rPr>
          <w:rFonts w:ascii="宋体" w:hAnsi="宋体"/>
          <w:szCs w:val="21"/>
        </w:rPr>
      </w:pPr>
      <w:r>
        <w:rPr>
          <w:rFonts w:hint="eastAsia" w:ascii="宋体" w:hAnsi="宋体"/>
          <w:szCs w:val="21"/>
        </w:rPr>
        <w:t>F、文字与图表不符的，以文字为准。</w:t>
      </w:r>
    </w:p>
    <w:p>
      <w:pPr>
        <w:spacing w:line="480" w:lineRule="exact"/>
        <w:ind w:left="425" w:firstLine="420" w:firstLineChars="200"/>
        <w:rPr>
          <w:rFonts w:ascii="宋体" w:hAnsi="宋体"/>
          <w:szCs w:val="21"/>
        </w:rPr>
      </w:pPr>
      <w:r>
        <w:rPr>
          <w:rFonts w:hint="eastAsia" w:ascii="宋体" w:hAnsi="宋体"/>
          <w:szCs w:val="21"/>
        </w:rPr>
        <w:t>同时出现两种以上不一致的，按照前款规定的顺序修正。按上述修正错误的原则及方法调整或修正投标文件的报价和内容，投标人同意后，调整后的报价和内容对投标人起约束作用。如果投标人不接受修正后的报价和内容，则其投标无效。</w:t>
      </w:r>
    </w:p>
    <w:p>
      <w:pPr>
        <w:spacing w:line="480" w:lineRule="exact"/>
        <w:ind w:left="425"/>
        <w:rPr>
          <w:rFonts w:ascii="宋体" w:hAnsi="宋体" w:cs="宋体"/>
          <w:b/>
          <w:szCs w:val="21"/>
        </w:rPr>
      </w:pPr>
      <w:r>
        <w:rPr>
          <w:rFonts w:hint="eastAsia" w:ascii="宋体" w:hAnsi="宋体"/>
          <w:szCs w:val="21"/>
        </w:rPr>
        <w:t>（5）公开开标后，直到向中标的投标人授予合同为止，凡审查、澄清、评价和比较投标的有关资料及被授标意见等内容，评标委员会成员均不得向投标人及与评标无关的其他人透露。</w:t>
      </w:r>
    </w:p>
    <w:p>
      <w:pPr>
        <w:numPr>
          <w:ilvl w:val="0"/>
          <w:numId w:val="3"/>
        </w:numPr>
        <w:spacing w:line="480" w:lineRule="exact"/>
        <w:rPr>
          <w:rFonts w:ascii="宋体" w:hAnsi="宋体" w:cs="宋体"/>
          <w:b/>
          <w:szCs w:val="21"/>
        </w:rPr>
      </w:pPr>
      <w:r>
        <w:rPr>
          <w:rFonts w:hint="eastAsia" w:ascii="宋体" w:hAnsi="宋体" w:cs="宋体"/>
          <w:b/>
          <w:szCs w:val="21"/>
        </w:rPr>
        <w:t>评标委员会</w:t>
      </w:r>
    </w:p>
    <w:p>
      <w:pPr>
        <w:spacing w:line="480" w:lineRule="exact"/>
        <w:ind w:left="425" w:firstLine="420" w:firstLineChars="200"/>
        <w:rPr>
          <w:rFonts w:ascii="宋体" w:hAnsi="宋体"/>
          <w:szCs w:val="21"/>
        </w:rPr>
      </w:pPr>
      <w:r>
        <w:rPr>
          <w:rFonts w:hint="eastAsia" w:ascii="宋体" w:hAnsi="宋体"/>
          <w:szCs w:val="21"/>
        </w:rPr>
        <w:t>为确保评标工作公开、公平、公正，依法成立评标委员会。评标委员会由5人以上单数评审专家组成，专家名单由公证机构从政府采购评审专家库中随机抽取，评标委员会成员应当遵守并履行下列责任和义务：</w:t>
      </w:r>
    </w:p>
    <w:p>
      <w:pPr>
        <w:spacing w:line="480" w:lineRule="exact"/>
        <w:ind w:left="425"/>
        <w:rPr>
          <w:rFonts w:ascii="宋体" w:hAnsi="宋体"/>
          <w:szCs w:val="21"/>
        </w:rPr>
      </w:pPr>
      <w:r>
        <w:rPr>
          <w:rFonts w:hint="eastAsia" w:ascii="宋体" w:hAnsi="宋体"/>
          <w:szCs w:val="21"/>
        </w:rPr>
        <w:t>A、要严格遵守政府采购相关法律制度，依法履行各自职责，公正、客观、审慎地组织和参与评审工作；</w:t>
      </w:r>
    </w:p>
    <w:p>
      <w:pPr>
        <w:spacing w:line="480" w:lineRule="exact"/>
        <w:ind w:left="425"/>
        <w:rPr>
          <w:rFonts w:ascii="宋体" w:hAnsi="宋体"/>
          <w:szCs w:val="21"/>
        </w:rPr>
      </w:pPr>
      <w:r>
        <w:rPr>
          <w:rFonts w:hint="eastAsia" w:ascii="宋体" w:hAnsi="宋体"/>
          <w:szCs w:val="21"/>
        </w:rPr>
        <w:t>B、审查、评价投标文件是否符合招标文件的商务、技术等实质性要求；</w:t>
      </w:r>
    </w:p>
    <w:p>
      <w:pPr>
        <w:spacing w:line="480" w:lineRule="exact"/>
        <w:ind w:left="425"/>
        <w:rPr>
          <w:rFonts w:ascii="宋体" w:hAnsi="宋体"/>
          <w:szCs w:val="21"/>
        </w:rPr>
      </w:pPr>
      <w:r>
        <w:rPr>
          <w:rFonts w:hint="eastAsia" w:ascii="宋体" w:hAnsi="宋体"/>
          <w:szCs w:val="21"/>
        </w:rPr>
        <w:t>C、要求投标人对投标文件有关事项作出澄清或说明；</w:t>
      </w:r>
    </w:p>
    <w:p>
      <w:pPr>
        <w:spacing w:line="480" w:lineRule="exact"/>
        <w:ind w:left="425"/>
        <w:rPr>
          <w:rFonts w:ascii="宋体" w:hAnsi="宋体"/>
          <w:szCs w:val="21"/>
        </w:rPr>
      </w:pPr>
      <w:r>
        <w:rPr>
          <w:rFonts w:hint="eastAsia" w:ascii="宋体" w:hAnsi="宋体"/>
          <w:szCs w:val="21"/>
        </w:rPr>
        <w:t>D、按招标文件规定的评审方法和标准，对投标文件进行比较和评价；对投标人的客观评分项的评分应当一致；</w:t>
      </w:r>
    </w:p>
    <w:p>
      <w:pPr>
        <w:spacing w:line="480" w:lineRule="exact"/>
        <w:ind w:left="425"/>
        <w:rPr>
          <w:rFonts w:ascii="宋体" w:hAnsi="宋体"/>
          <w:szCs w:val="21"/>
        </w:rPr>
      </w:pPr>
      <w:r>
        <w:rPr>
          <w:rFonts w:hint="eastAsia" w:ascii="宋体" w:hAnsi="宋体"/>
          <w:szCs w:val="21"/>
        </w:rPr>
        <w:t>E、要依法独立评审，按照招标文件的要求和评标标准进行评标，推荐中标候选人名单，对评审意见承担个人责任；</w:t>
      </w:r>
    </w:p>
    <w:p>
      <w:pPr>
        <w:spacing w:line="480" w:lineRule="exact"/>
        <w:ind w:left="425"/>
        <w:rPr>
          <w:rFonts w:ascii="宋体" w:hAnsi="宋体"/>
          <w:szCs w:val="21"/>
        </w:rPr>
      </w:pPr>
      <w:r>
        <w:rPr>
          <w:rFonts w:hint="eastAsia" w:ascii="宋体" w:hAnsi="宋体"/>
          <w:szCs w:val="21"/>
        </w:rPr>
        <w:t>F、对需要共同认定的事项存在争议的，按照少数服从多数的原则做出结论。持不同意见的评审委员会成员应当在评审报告上签署不同意见并说明理由，否则视为同意；</w:t>
      </w:r>
      <w:r>
        <w:rPr>
          <w:rFonts w:ascii="宋体" w:hAnsi="宋体"/>
          <w:szCs w:val="21"/>
        </w:rPr>
        <w:t xml:space="preserve"> </w:t>
      </w:r>
    </w:p>
    <w:p>
      <w:pPr>
        <w:spacing w:line="480" w:lineRule="exact"/>
        <w:ind w:left="425"/>
        <w:rPr>
          <w:rFonts w:ascii="宋体" w:hAnsi="宋体"/>
          <w:szCs w:val="21"/>
        </w:rPr>
      </w:pPr>
      <w:r>
        <w:rPr>
          <w:rFonts w:hint="eastAsia" w:ascii="宋体" w:hAnsi="宋体"/>
          <w:szCs w:val="21"/>
        </w:rPr>
        <w:t>G、对评审情况以及在评审过程中获悉的国家秘密、商业秘密负有保密责任；</w:t>
      </w:r>
    </w:p>
    <w:p>
      <w:pPr>
        <w:spacing w:line="480" w:lineRule="exact"/>
        <w:ind w:left="425"/>
        <w:rPr>
          <w:rFonts w:ascii="宋体" w:hAnsi="宋体"/>
          <w:szCs w:val="21"/>
        </w:rPr>
      </w:pPr>
      <w:r>
        <w:rPr>
          <w:rFonts w:hint="eastAsia" w:ascii="宋体" w:hAnsi="宋体"/>
          <w:szCs w:val="21"/>
        </w:rPr>
        <w:t>H、向招标人、代理机构或者有关部门报告评标中发现的违法行为；</w:t>
      </w:r>
    </w:p>
    <w:p>
      <w:pPr>
        <w:spacing w:line="480" w:lineRule="exact"/>
        <w:ind w:left="425"/>
        <w:rPr>
          <w:rFonts w:ascii="宋体" w:hAnsi="宋体"/>
          <w:szCs w:val="21"/>
        </w:rPr>
      </w:pPr>
      <w:r>
        <w:rPr>
          <w:rFonts w:hint="eastAsia" w:ascii="宋体" w:hAnsi="宋体"/>
          <w:szCs w:val="21"/>
        </w:rPr>
        <w:t>I、配合招标人、代理机构答复投标人提出的质疑；</w:t>
      </w:r>
    </w:p>
    <w:p>
      <w:pPr>
        <w:spacing w:line="480" w:lineRule="exact"/>
        <w:ind w:left="425"/>
        <w:rPr>
          <w:rFonts w:ascii="宋体" w:hAnsi="宋体"/>
          <w:szCs w:val="21"/>
        </w:rPr>
      </w:pPr>
      <w:r>
        <w:rPr>
          <w:rFonts w:hint="eastAsia" w:ascii="宋体" w:hAnsi="宋体"/>
          <w:szCs w:val="21"/>
        </w:rPr>
        <w:t>J、配合处理投诉工作；</w:t>
      </w:r>
    </w:p>
    <w:p>
      <w:pPr>
        <w:spacing w:line="480" w:lineRule="exact"/>
        <w:ind w:left="425"/>
        <w:rPr>
          <w:rFonts w:ascii="宋体" w:hAnsi="宋体"/>
          <w:szCs w:val="21"/>
        </w:rPr>
      </w:pPr>
      <w:r>
        <w:rPr>
          <w:rFonts w:hint="eastAsia" w:ascii="宋体" w:hAnsi="宋体"/>
          <w:szCs w:val="21"/>
        </w:rPr>
        <w:t>招标文件及法律法律规定的其他评标委员会须履行的义务。</w:t>
      </w:r>
    </w:p>
    <w:p>
      <w:pPr>
        <w:numPr>
          <w:ilvl w:val="0"/>
          <w:numId w:val="3"/>
        </w:numPr>
        <w:spacing w:line="480" w:lineRule="exact"/>
        <w:rPr>
          <w:rFonts w:ascii="宋体" w:hAnsi="宋体" w:cs="宋体"/>
          <w:b/>
          <w:szCs w:val="21"/>
        </w:rPr>
      </w:pPr>
      <w:r>
        <w:rPr>
          <w:rFonts w:hint="eastAsia" w:ascii="宋体" w:hAnsi="宋体" w:cs="宋体"/>
          <w:b/>
          <w:szCs w:val="21"/>
        </w:rPr>
        <w:t>评审</w:t>
      </w:r>
    </w:p>
    <w:p>
      <w:pPr>
        <w:numPr>
          <w:ilvl w:val="1"/>
          <w:numId w:val="3"/>
        </w:numPr>
        <w:spacing w:line="480" w:lineRule="exact"/>
        <w:rPr>
          <w:rFonts w:hAnsi="宋体"/>
          <w:b/>
          <w:bCs/>
          <w:szCs w:val="21"/>
        </w:rPr>
      </w:pPr>
      <w:r>
        <w:rPr>
          <w:rFonts w:hint="eastAsia" w:hAnsi="宋体"/>
          <w:szCs w:val="21"/>
        </w:rPr>
        <w:t>评标委员会按照</w:t>
      </w:r>
      <w:r>
        <w:rPr>
          <w:rFonts w:hint="eastAsia" w:hAnsi="宋体"/>
          <w:bCs/>
          <w:szCs w:val="21"/>
        </w:rPr>
        <w:t xml:space="preserve"> “评标办法”</w:t>
      </w:r>
      <w:r>
        <w:rPr>
          <w:rFonts w:hint="eastAsia" w:hAnsi="宋体"/>
          <w:szCs w:val="21"/>
        </w:rPr>
        <w:t>规定的评审标准对投标文件进行评审。</w:t>
      </w:r>
    </w:p>
    <w:p>
      <w:pPr>
        <w:numPr>
          <w:ilvl w:val="0"/>
          <w:numId w:val="3"/>
        </w:numPr>
        <w:spacing w:line="480" w:lineRule="exact"/>
        <w:rPr>
          <w:b/>
          <w:szCs w:val="21"/>
        </w:rPr>
      </w:pPr>
      <w:r>
        <w:rPr>
          <w:rFonts w:hint="eastAsia"/>
          <w:b/>
          <w:szCs w:val="21"/>
        </w:rPr>
        <w:t>无效投标的情形</w:t>
      </w:r>
    </w:p>
    <w:p>
      <w:pPr>
        <w:numPr>
          <w:ilvl w:val="1"/>
          <w:numId w:val="3"/>
        </w:numPr>
        <w:spacing w:line="480" w:lineRule="exact"/>
        <w:rPr>
          <w:szCs w:val="21"/>
        </w:rPr>
      </w:pPr>
      <w:r>
        <w:rPr>
          <w:rFonts w:hint="eastAsia" w:ascii="宋体" w:hAnsi="宋体"/>
          <w:szCs w:val="21"/>
        </w:rPr>
        <w:t>投标人法定代表人（或其他组织负责人，或自然人）或授权代理人未参加开标会议的；</w:t>
      </w:r>
    </w:p>
    <w:p>
      <w:pPr>
        <w:numPr>
          <w:ilvl w:val="1"/>
          <w:numId w:val="3"/>
        </w:numPr>
        <w:spacing w:line="480" w:lineRule="exact"/>
        <w:rPr>
          <w:szCs w:val="21"/>
        </w:rPr>
      </w:pPr>
      <w:r>
        <w:rPr>
          <w:rFonts w:hint="eastAsia" w:ascii="宋体" w:hAnsi="宋体"/>
          <w:szCs w:val="21"/>
        </w:rPr>
        <w:t>投标人未按招标文件要求提供法人（（或其他组织负责人，或自然人））身份证复印件，被授权人身份证复印件和法人授权委托书等证明文件和资料的，或提供的证件不齐或无效；</w:t>
      </w:r>
    </w:p>
    <w:p>
      <w:pPr>
        <w:numPr>
          <w:ilvl w:val="1"/>
          <w:numId w:val="3"/>
        </w:numPr>
        <w:spacing w:line="480" w:lineRule="exact"/>
        <w:rPr>
          <w:szCs w:val="21"/>
        </w:rPr>
      </w:pPr>
      <w:r>
        <w:rPr>
          <w:rFonts w:hint="eastAsia"/>
          <w:kern w:val="0"/>
          <w:szCs w:val="21"/>
        </w:rPr>
        <w:t>《投标文件》</w:t>
      </w:r>
      <w:r>
        <w:rPr>
          <w:rFonts w:hint="eastAsia"/>
          <w:szCs w:val="21"/>
        </w:rPr>
        <w:t>未按照《招标文件》规定要求签署、盖章或提交的</w:t>
      </w:r>
      <w:r>
        <w:rPr>
          <w:rFonts w:hint="eastAsia"/>
          <w:kern w:val="0"/>
          <w:szCs w:val="21"/>
        </w:rPr>
        <w:t>投标文件份数不全的</w:t>
      </w:r>
      <w:r>
        <w:rPr>
          <w:rFonts w:hint="eastAsia"/>
          <w:szCs w:val="21"/>
        </w:rPr>
        <w:t>；</w:t>
      </w:r>
    </w:p>
    <w:p>
      <w:pPr>
        <w:numPr>
          <w:ilvl w:val="1"/>
          <w:numId w:val="3"/>
        </w:numPr>
        <w:spacing w:line="480" w:lineRule="exact"/>
        <w:rPr>
          <w:szCs w:val="21"/>
        </w:rPr>
      </w:pPr>
      <w:r>
        <w:rPr>
          <w:rFonts w:hint="eastAsia" w:ascii="宋体" w:hAnsi="宋体"/>
          <w:szCs w:val="21"/>
        </w:rPr>
        <w:t>投标文件未按照招标文件规定的格式填写，或者填写的内容不全，或者辨认不清产生歧义，或者涂改处未加盖投标人公章及法人或法人授权委托人的印章或签字的；</w:t>
      </w:r>
    </w:p>
    <w:p>
      <w:pPr>
        <w:numPr>
          <w:ilvl w:val="1"/>
          <w:numId w:val="3"/>
        </w:numPr>
        <w:spacing w:line="480" w:lineRule="exact"/>
        <w:rPr>
          <w:b/>
          <w:szCs w:val="21"/>
        </w:rPr>
      </w:pPr>
      <w:r>
        <w:rPr>
          <w:rFonts w:hint="eastAsia"/>
          <w:kern w:val="0"/>
          <w:szCs w:val="21"/>
        </w:rPr>
        <w:t>《投标文件》不符合</w:t>
      </w:r>
      <w:r>
        <w:rPr>
          <w:rFonts w:hint="eastAsia"/>
          <w:szCs w:val="21"/>
        </w:rPr>
        <w:t>《招标文件》</w:t>
      </w:r>
      <w:r>
        <w:rPr>
          <w:rFonts w:hint="eastAsia"/>
          <w:kern w:val="0"/>
          <w:szCs w:val="21"/>
        </w:rPr>
        <w:t>规定格式的；</w:t>
      </w:r>
    </w:p>
    <w:p>
      <w:pPr>
        <w:numPr>
          <w:ilvl w:val="1"/>
          <w:numId w:val="3"/>
        </w:numPr>
        <w:spacing w:line="480" w:lineRule="exact"/>
        <w:rPr>
          <w:szCs w:val="21"/>
        </w:rPr>
      </w:pPr>
      <w:r>
        <w:rPr>
          <w:rFonts w:hint="eastAsia"/>
          <w:szCs w:val="21"/>
        </w:rPr>
        <w:t>投标总报价超出项目采购预算的。</w:t>
      </w:r>
    </w:p>
    <w:p>
      <w:pPr>
        <w:numPr>
          <w:ilvl w:val="1"/>
          <w:numId w:val="3"/>
        </w:numPr>
        <w:spacing w:line="480" w:lineRule="exact"/>
        <w:rPr>
          <w:szCs w:val="21"/>
        </w:rPr>
      </w:pPr>
      <w:r>
        <w:rPr>
          <w:rFonts w:hint="eastAsia"/>
          <w:szCs w:val="21"/>
        </w:rPr>
        <w:t>应交未交投标保证金或不能提供有效缴纳凭证的；</w:t>
      </w:r>
    </w:p>
    <w:p>
      <w:pPr>
        <w:numPr>
          <w:ilvl w:val="1"/>
          <w:numId w:val="3"/>
        </w:numPr>
        <w:spacing w:line="480" w:lineRule="exact"/>
        <w:rPr>
          <w:szCs w:val="21"/>
        </w:rPr>
      </w:pPr>
      <w:r>
        <w:rPr>
          <w:rFonts w:hint="eastAsia"/>
          <w:szCs w:val="21"/>
        </w:rPr>
        <w:t>不具备招标文件中规定资格要求或</w:t>
      </w:r>
      <w:r>
        <w:rPr>
          <w:rFonts w:hint="eastAsia"/>
          <w:kern w:val="0"/>
          <w:szCs w:val="21"/>
        </w:rPr>
        <w:t>资格证明文件不全或是虚假的</w:t>
      </w:r>
      <w:r>
        <w:rPr>
          <w:rFonts w:hint="eastAsia"/>
          <w:szCs w:val="21"/>
        </w:rPr>
        <w:t>；</w:t>
      </w:r>
    </w:p>
    <w:p>
      <w:pPr>
        <w:numPr>
          <w:ilvl w:val="1"/>
          <w:numId w:val="3"/>
        </w:numPr>
        <w:spacing w:line="480" w:lineRule="exact"/>
        <w:rPr>
          <w:b/>
          <w:szCs w:val="21"/>
        </w:rPr>
      </w:pPr>
      <w:r>
        <w:rPr>
          <w:rFonts w:hint="eastAsia"/>
          <w:kern w:val="0"/>
          <w:szCs w:val="21"/>
        </w:rPr>
        <w:t>投标有效期不符合</w:t>
      </w:r>
      <w:r>
        <w:rPr>
          <w:rFonts w:hint="eastAsia"/>
          <w:szCs w:val="21"/>
        </w:rPr>
        <w:t>《招标文件》</w:t>
      </w:r>
      <w:r>
        <w:rPr>
          <w:rFonts w:hint="eastAsia"/>
          <w:kern w:val="0"/>
          <w:szCs w:val="21"/>
        </w:rPr>
        <w:t>要求的；</w:t>
      </w:r>
    </w:p>
    <w:p>
      <w:pPr>
        <w:numPr>
          <w:ilvl w:val="1"/>
          <w:numId w:val="3"/>
        </w:numPr>
        <w:spacing w:line="480" w:lineRule="exact"/>
        <w:rPr>
          <w:b/>
          <w:szCs w:val="21"/>
        </w:rPr>
      </w:pPr>
      <w:r>
        <w:rPr>
          <w:rFonts w:hint="eastAsia"/>
          <w:kern w:val="0"/>
          <w:szCs w:val="21"/>
        </w:rPr>
        <w:t>不能按评标委员会要求提供相应证件原件或提供的原件与投标文件复印件不一致，且存在伪造行为的；</w:t>
      </w:r>
    </w:p>
    <w:p>
      <w:pPr>
        <w:numPr>
          <w:ilvl w:val="1"/>
          <w:numId w:val="3"/>
        </w:numPr>
        <w:spacing w:line="480" w:lineRule="exact"/>
        <w:rPr>
          <w:b/>
          <w:szCs w:val="21"/>
        </w:rPr>
      </w:pPr>
      <w:r>
        <w:rPr>
          <w:rFonts w:hint="eastAsia" w:hAnsi="宋体"/>
          <w:szCs w:val="21"/>
        </w:rPr>
        <w:t>投标人的投标报价是可变动价格的，或包含了价格调整要求的，或投标报价中提供</w:t>
      </w:r>
      <w:r>
        <w:rPr>
          <w:rFonts w:hAnsi="宋体"/>
          <w:szCs w:val="21"/>
        </w:rPr>
        <w:t>两个</w:t>
      </w:r>
      <w:r>
        <w:rPr>
          <w:rFonts w:hint="eastAsia" w:hAnsi="宋体"/>
          <w:szCs w:val="21"/>
        </w:rPr>
        <w:t>（含两个）以上的</w:t>
      </w:r>
      <w:r>
        <w:rPr>
          <w:rFonts w:hAnsi="宋体"/>
          <w:szCs w:val="21"/>
        </w:rPr>
        <w:t>报价且未声明哪个</w:t>
      </w:r>
      <w:r>
        <w:rPr>
          <w:rFonts w:hint="eastAsia" w:hAnsi="宋体"/>
          <w:szCs w:val="21"/>
        </w:rPr>
        <w:t>有效</w:t>
      </w:r>
      <w:r>
        <w:rPr>
          <w:rFonts w:hAnsi="宋体"/>
          <w:szCs w:val="21"/>
        </w:rPr>
        <w:t>的</w:t>
      </w:r>
      <w:r>
        <w:rPr>
          <w:rFonts w:hint="eastAsia" w:hAnsi="宋体"/>
          <w:szCs w:val="21"/>
        </w:rPr>
        <w:t>（</w:t>
      </w:r>
      <w:r>
        <w:rPr>
          <w:rFonts w:hAnsi="宋体"/>
          <w:szCs w:val="21"/>
        </w:rPr>
        <w:t>招标文件规定提交备选投标方案的除外</w:t>
      </w:r>
      <w:r>
        <w:rPr>
          <w:rFonts w:hint="eastAsia" w:hAnsi="宋体"/>
          <w:szCs w:val="21"/>
        </w:rPr>
        <w:t>）</w:t>
      </w:r>
      <w:r>
        <w:rPr>
          <w:rFonts w:hint="eastAsia"/>
          <w:kern w:val="0"/>
          <w:szCs w:val="21"/>
        </w:rPr>
        <w:t>；</w:t>
      </w:r>
    </w:p>
    <w:p>
      <w:pPr>
        <w:numPr>
          <w:ilvl w:val="1"/>
          <w:numId w:val="3"/>
        </w:numPr>
        <w:spacing w:line="480" w:lineRule="exact"/>
        <w:rPr>
          <w:b/>
          <w:szCs w:val="21"/>
        </w:rPr>
      </w:pPr>
      <w:r>
        <w:rPr>
          <w:rFonts w:hAnsi="宋体"/>
          <w:szCs w:val="21"/>
        </w:rPr>
        <w:t>评审专家中有2/3认定投标</w:t>
      </w:r>
      <w:r>
        <w:rPr>
          <w:rFonts w:hint="eastAsia" w:hAnsi="宋体"/>
          <w:szCs w:val="21"/>
        </w:rPr>
        <w:t>人</w:t>
      </w:r>
      <w:r>
        <w:rPr>
          <w:rFonts w:hAnsi="宋体"/>
          <w:szCs w:val="21"/>
        </w:rPr>
        <w:t>投标价格有恶意报价行为的</w:t>
      </w:r>
      <w:r>
        <w:rPr>
          <w:rFonts w:hint="eastAsia"/>
          <w:kern w:val="0"/>
          <w:szCs w:val="21"/>
        </w:rPr>
        <w:t>；</w:t>
      </w:r>
    </w:p>
    <w:p>
      <w:pPr>
        <w:numPr>
          <w:ilvl w:val="1"/>
          <w:numId w:val="3"/>
        </w:numPr>
        <w:spacing w:line="480" w:lineRule="exact"/>
        <w:rPr>
          <w:b/>
          <w:szCs w:val="21"/>
        </w:rPr>
      </w:pPr>
      <w:r>
        <w:rPr>
          <w:rFonts w:hint="eastAsia"/>
          <w:kern w:val="0"/>
          <w:szCs w:val="21"/>
        </w:rPr>
        <w:t>《投标文件》含有招标人不能接受的条件或声明的；</w:t>
      </w:r>
    </w:p>
    <w:p>
      <w:pPr>
        <w:numPr>
          <w:ilvl w:val="1"/>
          <w:numId w:val="3"/>
        </w:numPr>
        <w:spacing w:line="480" w:lineRule="exact"/>
        <w:rPr>
          <w:b/>
          <w:szCs w:val="21"/>
        </w:rPr>
      </w:pPr>
      <w:r>
        <w:rPr>
          <w:rFonts w:hint="eastAsia" w:ascii="宋体" w:hAnsi="宋体"/>
          <w:szCs w:val="21"/>
        </w:rPr>
        <w:t>在评标过程中，如果投标人试图在投标审查、澄清、比较及授予合同方面向招标人施加任何影响的；</w:t>
      </w:r>
    </w:p>
    <w:p>
      <w:pPr>
        <w:numPr>
          <w:ilvl w:val="1"/>
          <w:numId w:val="3"/>
        </w:numPr>
        <w:spacing w:line="480" w:lineRule="exact"/>
        <w:rPr>
          <w:b/>
          <w:szCs w:val="21"/>
        </w:rPr>
      </w:pPr>
      <w:r>
        <w:rPr>
          <w:rFonts w:hint="eastAsia" w:ascii="宋体" w:hAnsi="宋体"/>
          <w:szCs w:val="21"/>
        </w:rPr>
        <w:t>投标人以他人名义投标、串通投标、以行贿手段谋取中标或者以弄虚作假等方式投标的；</w:t>
      </w:r>
    </w:p>
    <w:p>
      <w:pPr>
        <w:numPr>
          <w:ilvl w:val="1"/>
          <w:numId w:val="3"/>
        </w:numPr>
        <w:spacing w:line="480" w:lineRule="exact"/>
        <w:rPr>
          <w:b/>
          <w:szCs w:val="21"/>
        </w:rPr>
      </w:pPr>
      <w:r>
        <w:rPr>
          <w:rFonts w:hint="eastAsia" w:ascii="宋体" w:hAnsi="宋体"/>
          <w:szCs w:val="21"/>
        </w:rPr>
        <w:t>经核实两个或两个以上投标人的投标文件有雷同或有抄袭行为的；</w:t>
      </w:r>
    </w:p>
    <w:p>
      <w:pPr>
        <w:numPr>
          <w:ilvl w:val="1"/>
          <w:numId w:val="3"/>
        </w:numPr>
        <w:spacing w:line="480" w:lineRule="exact"/>
        <w:rPr>
          <w:b/>
          <w:szCs w:val="21"/>
        </w:rPr>
      </w:pPr>
      <w:r>
        <w:rPr>
          <w:rFonts w:hint="eastAsia" w:ascii="宋体" w:hAnsi="宋体"/>
          <w:szCs w:val="21"/>
        </w:rPr>
        <w:t>违反《中华人民共和国政府采购法》的投标；</w:t>
      </w:r>
    </w:p>
    <w:p>
      <w:pPr>
        <w:numPr>
          <w:ilvl w:val="1"/>
          <w:numId w:val="3"/>
        </w:numPr>
        <w:spacing w:line="480" w:lineRule="exact"/>
        <w:rPr>
          <w:b/>
          <w:szCs w:val="21"/>
        </w:rPr>
      </w:pPr>
      <w:r>
        <w:rPr>
          <w:rFonts w:hint="eastAsia"/>
          <w:kern w:val="0"/>
          <w:szCs w:val="21"/>
        </w:rPr>
        <w:t>招标文件中已明确无效投标的其他条款。</w:t>
      </w:r>
    </w:p>
    <w:p>
      <w:pPr>
        <w:numPr>
          <w:ilvl w:val="0"/>
          <w:numId w:val="3"/>
        </w:numPr>
        <w:spacing w:line="480" w:lineRule="exact"/>
        <w:rPr>
          <w:rFonts w:ascii="宋体" w:hAnsi="宋体" w:cs="宋体"/>
          <w:b/>
          <w:szCs w:val="21"/>
        </w:rPr>
      </w:pPr>
      <w:r>
        <w:rPr>
          <w:rFonts w:hint="eastAsia" w:ascii="宋体" w:hAnsi="宋体" w:cs="宋体"/>
          <w:b/>
          <w:szCs w:val="21"/>
        </w:rPr>
        <w:t>定标</w:t>
      </w:r>
    </w:p>
    <w:p>
      <w:pPr>
        <w:spacing w:line="480" w:lineRule="exact"/>
        <w:ind w:firstLine="422" w:firstLineChars="200"/>
        <w:rPr>
          <w:rFonts w:hint="eastAsia"/>
          <w:b/>
          <w:szCs w:val="21"/>
        </w:rPr>
      </w:pPr>
      <w:r>
        <w:rPr>
          <w:rFonts w:hint="eastAsia"/>
          <w:b/>
          <w:szCs w:val="21"/>
        </w:rPr>
        <w:t>定标及确定中标人的原则：投标文件满足招标文件全部实质性要求，且按照评审因素的量化指标评审得分最高的投标人为排名第一的中标候选人即中标人。得分相同的，选择最高报价的投标人为排名第一的中标候选人即中标人。</w:t>
      </w:r>
    </w:p>
    <w:p>
      <w:pPr>
        <w:pStyle w:val="2"/>
        <w:spacing w:line="480" w:lineRule="exact"/>
        <w:rPr>
          <w:sz w:val="21"/>
          <w:szCs w:val="21"/>
        </w:rPr>
      </w:pPr>
      <w:bookmarkStart w:id="92" w:name="_Toc22530"/>
      <w:bookmarkStart w:id="93" w:name="_Toc17204484"/>
      <w:bookmarkStart w:id="94" w:name="_Toc388260479"/>
      <w:r>
        <w:rPr>
          <w:rFonts w:hint="eastAsia"/>
          <w:sz w:val="21"/>
          <w:szCs w:val="21"/>
        </w:rPr>
        <w:t>六、质疑</w:t>
      </w:r>
      <w:bookmarkEnd w:id="92"/>
      <w:bookmarkEnd w:id="93"/>
      <w:bookmarkEnd w:id="94"/>
    </w:p>
    <w:p>
      <w:pPr>
        <w:numPr>
          <w:ilvl w:val="0"/>
          <w:numId w:val="3"/>
        </w:numPr>
        <w:adjustRightInd w:val="0"/>
        <w:snapToGrid w:val="0"/>
        <w:spacing w:before="159" w:beforeLines="50" w:line="480" w:lineRule="exact"/>
        <w:jc w:val="left"/>
        <w:rPr>
          <w:rFonts w:ascii="宋体" w:hAnsi="宋体"/>
          <w:b/>
          <w:bCs/>
          <w:szCs w:val="21"/>
        </w:rPr>
      </w:pPr>
      <w:r>
        <w:rPr>
          <w:rFonts w:hint="eastAsia" w:ascii="宋体" w:hAnsi="宋体"/>
          <w:b/>
          <w:szCs w:val="21"/>
        </w:rPr>
        <w:t>投标人</w:t>
      </w:r>
      <w:r>
        <w:rPr>
          <w:rFonts w:hint="eastAsia" w:ascii="宋体" w:hAnsi="宋体"/>
          <w:b/>
          <w:bCs/>
          <w:szCs w:val="21"/>
        </w:rPr>
        <w:t>质疑</w:t>
      </w:r>
    </w:p>
    <w:p>
      <w:pPr>
        <w:numPr>
          <w:ilvl w:val="1"/>
          <w:numId w:val="3"/>
        </w:numPr>
        <w:spacing w:line="480" w:lineRule="exact"/>
        <w:rPr>
          <w:rFonts w:ascii="宋体" w:hAnsi="宋体"/>
          <w:szCs w:val="21"/>
        </w:rPr>
      </w:pPr>
      <w:bookmarkStart w:id="95" w:name="_Toc388260480"/>
      <w:r>
        <w:rPr>
          <w:rFonts w:hint="eastAsia" w:ascii="宋体" w:hAnsi="宋体"/>
          <w:szCs w:val="21"/>
        </w:rPr>
        <w:t>投标人对政府采购活动事项有疑问的，可以向招标人或招标代理机构提出询问。招标人或招标代理机构收到质疑函后7个工作日内作出答复。本次招标投标人如对招标文件或招投标过程进行质疑，投标人须一次性提出针对同一采购程序环节的所有质疑内容，多次质疑将不予受理。</w:t>
      </w:r>
    </w:p>
    <w:p>
      <w:pPr>
        <w:numPr>
          <w:ilvl w:val="1"/>
          <w:numId w:val="3"/>
        </w:numPr>
        <w:spacing w:line="480" w:lineRule="exact"/>
        <w:rPr>
          <w:rFonts w:ascii="宋体" w:hAnsi="宋体"/>
          <w:szCs w:val="21"/>
        </w:rPr>
      </w:pPr>
      <w:r>
        <w:rPr>
          <w:rFonts w:hint="eastAsia" w:ascii="宋体" w:hAnsi="宋体"/>
          <w:szCs w:val="21"/>
        </w:rPr>
        <w:t>投标人若认为招标文件、采购过程和中标结果使自己的权益受到损害，应当在下列时间内以书面形式向招标人或招标代理机构提出：</w:t>
      </w:r>
    </w:p>
    <w:p>
      <w:pPr>
        <w:adjustRightInd w:val="0"/>
        <w:snapToGrid w:val="0"/>
        <w:spacing w:before="159" w:beforeLines="50" w:line="480" w:lineRule="exact"/>
        <w:ind w:left="425"/>
        <w:jc w:val="left"/>
        <w:rPr>
          <w:rFonts w:ascii="宋体" w:hAnsi="宋体"/>
          <w:szCs w:val="21"/>
        </w:rPr>
      </w:pPr>
      <w:r>
        <w:rPr>
          <w:rFonts w:hint="eastAsia" w:ascii="宋体" w:hAnsi="宋体"/>
          <w:szCs w:val="21"/>
        </w:rPr>
        <w:t>（1）关于招标文件的质疑，应在在获取采购文件之日起7个工作日内提出。</w:t>
      </w:r>
    </w:p>
    <w:p>
      <w:pPr>
        <w:adjustRightInd w:val="0"/>
        <w:snapToGrid w:val="0"/>
        <w:spacing w:before="159" w:beforeLines="50" w:line="480" w:lineRule="exact"/>
        <w:ind w:left="425"/>
        <w:jc w:val="left"/>
        <w:rPr>
          <w:rFonts w:ascii="宋体" w:hAnsi="宋体"/>
          <w:szCs w:val="21"/>
        </w:rPr>
      </w:pPr>
      <w:r>
        <w:rPr>
          <w:rFonts w:hint="eastAsia" w:ascii="宋体" w:hAnsi="宋体"/>
          <w:szCs w:val="21"/>
        </w:rPr>
        <w:t>（2）关于招标过程的质疑，应在招标程序环节结束之日起七个工作日内提出。</w:t>
      </w:r>
    </w:p>
    <w:p>
      <w:pPr>
        <w:adjustRightInd w:val="0"/>
        <w:snapToGrid w:val="0"/>
        <w:spacing w:before="159" w:beforeLines="50" w:line="480" w:lineRule="exact"/>
        <w:ind w:left="425"/>
        <w:jc w:val="left"/>
        <w:rPr>
          <w:rFonts w:ascii="宋体" w:hAnsi="宋体"/>
          <w:szCs w:val="21"/>
        </w:rPr>
      </w:pPr>
      <w:r>
        <w:rPr>
          <w:rFonts w:hint="eastAsia" w:ascii="宋体" w:hAnsi="宋体"/>
          <w:szCs w:val="21"/>
        </w:rPr>
        <w:t>（3）关于中标结果的质疑，应在中标结果信息发布后七个工作日内提出。</w:t>
      </w:r>
    </w:p>
    <w:p>
      <w:pPr>
        <w:numPr>
          <w:ilvl w:val="1"/>
          <w:numId w:val="3"/>
        </w:numPr>
        <w:spacing w:line="480" w:lineRule="exact"/>
        <w:rPr>
          <w:rFonts w:hAnsi="宋体"/>
          <w:szCs w:val="21"/>
        </w:rPr>
      </w:pPr>
      <w:r>
        <w:rPr>
          <w:rFonts w:hint="eastAsia" w:hAnsi="宋体"/>
          <w:szCs w:val="21"/>
        </w:rPr>
        <w:t>投标人提出质疑的，应提供质疑书原件。招标人或招标代理机构应当向质疑投标人签收回执。</w:t>
      </w:r>
    </w:p>
    <w:p>
      <w:pPr>
        <w:numPr>
          <w:ilvl w:val="1"/>
          <w:numId w:val="3"/>
        </w:numPr>
        <w:spacing w:line="480" w:lineRule="exact"/>
        <w:rPr>
          <w:rFonts w:hAnsi="宋体"/>
          <w:szCs w:val="21"/>
        </w:rPr>
      </w:pPr>
      <w:r>
        <w:rPr>
          <w:rFonts w:hint="eastAsia" w:hAnsi="宋体"/>
          <w:szCs w:val="21"/>
        </w:rPr>
        <w:t>质疑书应当包括下列内容：</w:t>
      </w:r>
    </w:p>
    <w:p>
      <w:pPr>
        <w:adjustRightInd w:val="0"/>
        <w:snapToGrid w:val="0"/>
        <w:spacing w:before="159" w:beforeLines="50" w:line="480" w:lineRule="exact"/>
        <w:ind w:left="425"/>
        <w:jc w:val="left"/>
        <w:rPr>
          <w:rFonts w:hint="eastAsia" w:ascii="宋体" w:hAnsi="宋体"/>
          <w:szCs w:val="21"/>
        </w:rPr>
      </w:pPr>
      <w:r>
        <w:rPr>
          <w:rFonts w:hint="eastAsia" w:ascii="宋体" w:hAnsi="宋体"/>
          <w:szCs w:val="21"/>
        </w:rPr>
        <w:t>（1）供应商的姓名或者名称、地址、邮编、联系人及联系电话；</w:t>
      </w:r>
    </w:p>
    <w:p>
      <w:pPr>
        <w:adjustRightInd w:val="0"/>
        <w:snapToGrid w:val="0"/>
        <w:spacing w:before="159" w:beforeLines="50" w:line="480" w:lineRule="exact"/>
        <w:ind w:left="425"/>
        <w:jc w:val="left"/>
        <w:rPr>
          <w:rFonts w:hint="eastAsia" w:ascii="宋体" w:hAnsi="宋体"/>
          <w:szCs w:val="21"/>
        </w:rPr>
      </w:pPr>
      <w:r>
        <w:rPr>
          <w:rFonts w:hint="eastAsia" w:ascii="宋体" w:hAnsi="宋体"/>
          <w:szCs w:val="21"/>
        </w:rPr>
        <w:t>（2）质疑项目的名称、编号；</w:t>
      </w:r>
    </w:p>
    <w:p>
      <w:pPr>
        <w:adjustRightInd w:val="0"/>
        <w:snapToGrid w:val="0"/>
        <w:spacing w:before="159" w:beforeLines="50" w:line="480" w:lineRule="exact"/>
        <w:ind w:left="425"/>
        <w:jc w:val="left"/>
        <w:rPr>
          <w:rFonts w:hint="eastAsia" w:ascii="宋体" w:hAnsi="宋体"/>
          <w:szCs w:val="21"/>
        </w:rPr>
      </w:pPr>
      <w:r>
        <w:rPr>
          <w:rFonts w:hint="eastAsia" w:ascii="宋体" w:hAnsi="宋体"/>
          <w:szCs w:val="21"/>
        </w:rPr>
        <w:t>　　（3）具体、明确的质疑事项和与质疑事项相关的请求；</w:t>
      </w:r>
    </w:p>
    <w:p>
      <w:pPr>
        <w:adjustRightInd w:val="0"/>
        <w:snapToGrid w:val="0"/>
        <w:spacing w:before="159" w:beforeLines="50" w:line="480" w:lineRule="exact"/>
        <w:ind w:left="425"/>
        <w:jc w:val="left"/>
        <w:rPr>
          <w:rFonts w:hint="eastAsia" w:ascii="宋体" w:hAnsi="宋体"/>
          <w:szCs w:val="21"/>
        </w:rPr>
      </w:pPr>
      <w:r>
        <w:rPr>
          <w:rFonts w:hint="eastAsia" w:ascii="宋体" w:hAnsi="宋体"/>
          <w:szCs w:val="21"/>
        </w:rPr>
        <w:t>　　（4）事实依据；</w:t>
      </w:r>
    </w:p>
    <w:p>
      <w:pPr>
        <w:adjustRightInd w:val="0"/>
        <w:snapToGrid w:val="0"/>
        <w:spacing w:before="159" w:beforeLines="50" w:line="480" w:lineRule="exact"/>
        <w:ind w:left="425"/>
        <w:jc w:val="left"/>
        <w:rPr>
          <w:rFonts w:hint="eastAsia" w:ascii="宋体" w:hAnsi="宋体"/>
          <w:szCs w:val="21"/>
        </w:rPr>
      </w:pPr>
      <w:r>
        <w:rPr>
          <w:rFonts w:hint="eastAsia" w:ascii="宋体" w:hAnsi="宋体"/>
          <w:szCs w:val="21"/>
        </w:rPr>
        <w:t>　　（5）必要的法律依据；</w:t>
      </w:r>
    </w:p>
    <w:p>
      <w:pPr>
        <w:adjustRightInd w:val="0"/>
        <w:snapToGrid w:val="0"/>
        <w:spacing w:before="159" w:beforeLines="50" w:line="480" w:lineRule="exact"/>
        <w:ind w:left="425"/>
        <w:jc w:val="left"/>
        <w:rPr>
          <w:rFonts w:hint="eastAsia" w:ascii="宋体" w:hAnsi="宋体"/>
          <w:szCs w:val="21"/>
        </w:rPr>
      </w:pPr>
      <w:r>
        <w:rPr>
          <w:rFonts w:hint="eastAsia" w:ascii="宋体" w:hAnsi="宋体"/>
          <w:szCs w:val="21"/>
        </w:rPr>
        <w:t>　　（6）提出质疑的日期。</w:t>
      </w:r>
    </w:p>
    <w:p>
      <w:pPr>
        <w:numPr>
          <w:ilvl w:val="1"/>
          <w:numId w:val="3"/>
        </w:numPr>
        <w:spacing w:line="480" w:lineRule="exact"/>
        <w:rPr>
          <w:rFonts w:hAnsi="宋体"/>
          <w:szCs w:val="21"/>
        </w:rPr>
      </w:pPr>
      <w:r>
        <w:rPr>
          <w:rFonts w:hint="eastAsia" w:ascii="宋体" w:hAnsi="宋体" w:cs="宋体"/>
          <w:szCs w:val="21"/>
        </w:rPr>
        <w:t>质疑书应当由</w:t>
      </w:r>
      <w:r>
        <w:rPr>
          <w:rFonts w:hint="eastAsia" w:hAnsi="宋体"/>
          <w:szCs w:val="21"/>
        </w:rPr>
        <w:t>投标人法定代表人</w:t>
      </w:r>
      <w:r>
        <w:rPr>
          <w:rFonts w:hint="eastAsia" w:ascii="宋体" w:hAnsi="宋体"/>
          <w:szCs w:val="21"/>
        </w:rPr>
        <w:t>（或其他组织负责人，或自然人）</w:t>
      </w:r>
      <w:r>
        <w:rPr>
          <w:rFonts w:hint="eastAsia" w:hAnsi="宋体"/>
          <w:szCs w:val="21"/>
        </w:rPr>
        <w:t>或其授权委托人签字并加盖投标人单位章，质疑书由授权委托人签字的应附投标人授权委托书（自然人除外）。</w:t>
      </w:r>
    </w:p>
    <w:p>
      <w:pPr>
        <w:numPr>
          <w:ilvl w:val="1"/>
          <w:numId w:val="3"/>
        </w:numPr>
        <w:spacing w:line="480" w:lineRule="exact"/>
        <w:rPr>
          <w:rFonts w:hAnsi="宋体"/>
          <w:szCs w:val="21"/>
        </w:rPr>
      </w:pPr>
      <w:r>
        <w:rPr>
          <w:rFonts w:hint="eastAsia" w:ascii="宋体" w:hAnsi="宋体"/>
          <w:szCs w:val="21"/>
        </w:rPr>
        <w:t>招标人或招标代理机构将在签收回执之日起七个工作日内作出书面答复，并以书面形式通知质疑投标人和其他有关的投标人。</w:t>
      </w:r>
    </w:p>
    <w:p>
      <w:pPr>
        <w:numPr>
          <w:ilvl w:val="1"/>
          <w:numId w:val="3"/>
        </w:numPr>
        <w:spacing w:line="480" w:lineRule="exact"/>
        <w:rPr>
          <w:rFonts w:hAnsi="宋体"/>
          <w:szCs w:val="21"/>
        </w:rPr>
      </w:pPr>
      <w:r>
        <w:rPr>
          <w:rFonts w:hint="eastAsia" w:ascii="宋体" w:hAnsi="宋体"/>
          <w:szCs w:val="21"/>
        </w:rPr>
        <w:t>投标人对招标人或招标代理机构的答复不满意，或招标人或招标代理机构未在规定的期限作出答复的，可在答复期满后十五个工作日内，按政府采购相关法律法规规章的规定及程序，向同级财政部门提出投诉。</w:t>
      </w:r>
    </w:p>
    <w:p>
      <w:pPr>
        <w:pStyle w:val="2"/>
        <w:spacing w:line="480" w:lineRule="exact"/>
        <w:rPr>
          <w:sz w:val="21"/>
          <w:szCs w:val="21"/>
        </w:rPr>
      </w:pPr>
      <w:bookmarkStart w:id="96" w:name="_Toc17204485"/>
      <w:bookmarkStart w:id="97" w:name="_Toc10583"/>
      <w:r>
        <w:rPr>
          <w:rFonts w:hint="eastAsia"/>
          <w:sz w:val="21"/>
          <w:szCs w:val="21"/>
        </w:rPr>
        <w:t>七、签订合同</w:t>
      </w:r>
      <w:bookmarkEnd w:id="95"/>
      <w:bookmarkEnd w:id="96"/>
      <w:bookmarkEnd w:id="97"/>
    </w:p>
    <w:p>
      <w:pPr>
        <w:numPr>
          <w:ilvl w:val="0"/>
          <w:numId w:val="3"/>
        </w:numPr>
        <w:spacing w:line="480" w:lineRule="exact"/>
        <w:rPr>
          <w:rFonts w:ascii="宋体" w:hAnsi="宋体" w:cs="宋体"/>
          <w:b/>
          <w:szCs w:val="21"/>
        </w:rPr>
      </w:pPr>
      <w:r>
        <w:rPr>
          <w:rFonts w:hint="eastAsia" w:ascii="宋体" w:hAnsi="宋体" w:cs="宋体"/>
          <w:b/>
          <w:szCs w:val="21"/>
        </w:rPr>
        <w:t>招标代理服务费</w:t>
      </w:r>
    </w:p>
    <w:p>
      <w:pPr>
        <w:numPr>
          <w:ilvl w:val="1"/>
          <w:numId w:val="3"/>
        </w:numPr>
        <w:spacing w:line="480" w:lineRule="exact"/>
        <w:ind w:left="425" w:hanging="425"/>
        <w:rPr>
          <w:rFonts w:ascii="宋体" w:hAnsi="宋体"/>
          <w:szCs w:val="21"/>
        </w:rPr>
      </w:pPr>
      <w:r>
        <w:rPr>
          <w:rFonts w:hint="eastAsia" w:ascii="宋体" w:hAnsi="宋体"/>
          <w:b/>
          <w:szCs w:val="21"/>
          <w:u w:val="single"/>
        </w:rPr>
        <w:t>招标代理服务费收取标准：投标须知前附表</w:t>
      </w:r>
      <w:r>
        <w:rPr>
          <w:rFonts w:hint="eastAsia" w:ascii="宋体" w:hAnsi="宋体"/>
          <w:szCs w:val="21"/>
          <w:u w:val="single"/>
        </w:rPr>
        <w:t>；</w:t>
      </w:r>
    </w:p>
    <w:p>
      <w:pPr>
        <w:numPr>
          <w:ilvl w:val="1"/>
          <w:numId w:val="3"/>
        </w:numPr>
        <w:spacing w:line="480" w:lineRule="exact"/>
        <w:rPr>
          <w:rFonts w:ascii="宋体" w:hAnsi="宋体"/>
          <w:szCs w:val="21"/>
        </w:rPr>
      </w:pPr>
      <w:r>
        <w:rPr>
          <w:rFonts w:hint="eastAsia" w:ascii="宋体" w:hAnsi="宋体"/>
          <w:szCs w:val="21"/>
        </w:rPr>
        <w:t>费用缴纳可采用电汇、转支（公户）的方式支付，在领取《中标通知书》前一次性支付给招标代理机构。</w:t>
      </w:r>
    </w:p>
    <w:p>
      <w:pPr>
        <w:numPr>
          <w:ilvl w:val="1"/>
          <w:numId w:val="3"/>
        </w:numPr>
        <w:spacing w:line="480" w:lineRule="exact"/>
        <w:rPr>
          <w:rFonts w:ascii="宋体" w:hAnsi="宋体"/>
          <w:b/>
          <w:szCs w:val="21"/>
          <w:u w:val="thick"/>
        </w:rPr>
      </w:pPr>
      <w:r>
        <w:rPr>
          <w:rFonts w:hint="eastAsia" w:ascii="宋体" w:hAnsi="宋体"/>
          <w:b/>
          <w:szCs w:val="21"/>
          <w:u w:val="thick"/>
        </w:rPr>
        <w:t>不支付招标代理服务费的中标人，招标代理机构不予发放《中标通知书》，造成其未按《中华人民共和国政府采购法》第四十六条规定期限签订采购合同的，将不予退还其投标保证金</w:t>
      </w:r>
      <w:r>
        <w:rPr>
          <w:rFonts w:hint="eastAsia" w:ascii="宋体" w:hAnsi="宋体"/>
          <w:b/>
          <w:szCs w:val="21"/>
        </w:rPr>
        <w:t>。</w:t>
      </w:r>
    </w:p>
    <w:p>
      <w:pPr>
        <w:numPr>
          <w:ilvl w:val="0"/>
          <w:numId w:val="3"/>
        </w:numPr>
        <w:spacing w:line="480" w:lineRule="exact"/>
        <w:rPr>
          <w:rFonts w:ascii="宋体" w:hAnsi="宋体" w:cs="宋体"/>
          <w:b/>
          <w:szCs w:val="21"/>
        </w:rPr>
      </w:pPr>
      <w:r>
        <w:rPr>
          <w:rFonts w:hint="eastAsia" w:ascii="宋体" w:hAnsi="宋体" w:cs="宋体"/>
          <w:b/>
          <w:szCs w:val="21"/>
        </w:rPr>
        <w:t>中标通知书</w:t>
      </w:r>
    </w:p>
    <w:p>
      <w:pPr>
        <w:numPr>
          <w:ilvl w:val="1"/>
          <w:numId w:val="3"/>
        </w:numPr>
        <w:spacing w:line="480" w:lineRule="exact"/>
        <w:rPr>
          <w:rFonts w:ascii="宋体" w:hAnsi="宋体"/>
          <w:szCs w:val="21"/>
        </w:rPr>
      </w:pPr>
      <w:r>
        <w:rPr>
          <w:rFonts w:hint="eastAsia" w:ascii="宋体" w:hAnsi="宋体"/>
          <w:szCs w:val="21"/>
        </w:rPr>
        <w:t>招标代理机构将电话通知中标人缴纳招标代理服务费</w:t>
      </w:r>
      <w:r>
        <w:rPr>
          <w:rFonts w:ascii="宋体" w:hAnsi="宋体"/>
          <w:szCs w:val="21"/>
        </w:rPr>
        <w:t>。</w:t>
      </w:r>
    </w:p>
    <w:p>
      <w:pPr>
        <w:numPr>
          <w:ilvl w:val="1"/>
          <w:numId w:val="3"/>
        </w:numPr>
        <w:spacing w:line="480" w:lineRule="exact"/>
        <w:rPr>
          <w:rFonts w:ascii="宋体" w:hAnsi="宋体"/>
          <w:szCs w:val="21"/>
        </w:rPr>
      </w:pPr>
      <w:r>
        <w:rPr>
          <w:rFonts w:hint="eastAsia" w:ascii="宋体" w:hAnsi="宋体"/>
          <w:szCs w:val="21"/>
        </w:rPr>
        <w:t>未按规定缴纳招标代理服务费的中标人，则视为自动放弃成交资格。</w:t>
      </w:r>
    </w:p>
    <w:p>
      <w:pPr>
        <w:numPr>
          <w:ilvl w:val="1"/>
          <w:numId w:val="3"/>
        </w:numPr>
        <w:spacing w:line="480" w:lineRule="exact"/>
        <w:rPr>
          <w:rFonts w:ascii="宋体" w:hAnsi="宋体"/>
          <w:szCs w:val="21"/>
        </w:rPr>
      </w:pPr>
      <w:r>
        <w:rPr>
          <w:rFonts w:hint="eastAsia" w:ascii="宋体" w:hAnsi="宋体"/>
          <w:szCs w:val="21"/>
        </w:rPr>
        <w:t>在规定的投标有效期内，招标代理机构将以书面形式向中标人发出《中标通知书》。</w:t>
      </w:r>
    </w:p>
    <w:p>
      <w:pPr>
        <w:numPr>
          <w:ilvl w:val="1"/>
          <w:numId w:val="3"/>
        </w:numPr>
        <w:spacing w:line="480" w:lineRule="exact"/>
        <w:rPr>
          <w:rFonts w:ascii="宋体" w:hAnsi="宋体"/>
          <w:szCs w:val="21"/>
        </w:rPr>
      </w:pPr>
      <w:r>
        <w:rPr>
          <w:rFonts w:hint="eastAsia" w:ascii="宋体" w:hAnsi="宋体"/>
          <w:szCs w:val="21"/>
        </w:rPr>
        <w:t>中标通知书对招标人和中标人具有同等法律效力。</w:t>
      </w:r>
    </w:p>
    <w:p>
      <w:pPr>
        <w:numPr>
          <w:ilvl w:val="1"/>
          <w:numId w:val="3"/>
        </w:numPr>
        <w:spacing w:line="480" w:lineRule="exact"/>
        <w:rPr>
          <w:rFonts w:ascii="宋体" w:hAnsi="宋体"/>
          <w:szCs w:val="21"/>
        </w:rPr>
      </w:pPr>
      <w:r>
        <w:rPr>
          <w:rFonts w:hint="eastAsia"/>
          <w:szCs w:val="21"/>
        </w:rPr>
        <w:t>中标通知书是中标人签订合同的依据，是合同必不可少的一个组成部分。</w:t>
      </w:r>
    </w:p>
    <w:p>
      <w:pPr>
        <w:numPr>
          <w:ilvl w:val="1"/>
          <w:numId w:val="3"/>
        </w:numPr>
        <w:spacing w:line="480" w:lineRule="exact"/>
        <w:rPr>
          <w:b/>
          <w:szCs w:val="21"/>
        </w:rPr>
      </w:pPr>
      <w:r>
        <w:rPr>
          <w:rFonts w:hint="eastAsia"/>
          <w:b/>
          <w:szCs w:val="21"/>
        </w:rPr>
        <w:t>中标人未按照招标文件要求与招标人签订采购采购合同或放弃中标资格的，按照《</w:t>
      </w:r>
      <w:r>
        <w:rPr>
          <w:b/>
          <w:szCs w:val="21"/>
        </w:rPr>
        <w:t>中华人民共和国政府采购法实施条例</w:t>
      </w:r>
      <w:r>
        <w:rPr>
          <w:rFonts w:hint="eastAsia"/>
          <w:b/>
          <w:szCs w:val="21"/>
        </w:rPr>
        <w:t>》第四十九条规定执行。</w:t>
      </w:r>
    </w:p>
    <w:p>
      <w:pPr>
        <w:numPr>
          <w:ilvl w:val="0"/>
          <w:numId w:val="3"/>
        </w:numPr>
        <w:spacing w:line="480" w:lineRule="exact"/>
        <w:rPr>
          <w:rFonts w:ascii="宋体" w:hAnsi="宋体" w:cs="宋体"/>
          <w:b/>
          <w:szCs w:val="21"/>
        </w:rPr>
      </w:pPr>
      <w:r>
        <w:rPr>
          <w:rFonts w:hint="eastAsia" w:ascii="宋体" w:hAnsi="宋体" w:cs="宋体"/>
          <w:b/>
          <w:szCs w:val="21"/>
        </w:rPr>
        <w:t>签订合同</w:t>
      </w:r>
    </w:p>
    <w:p>
      <w:pPr>
        <w:numPr>
          <w:ilvl w:val="1"/>
          <w:numId w:val="3"/>
        </w:numPr>
        <w:spacing w:line="480" w:lineRule="exact"/>
        <w:rPr>
          <w:rFonts w:ascii="宋体" w:hAnsi="宋体" w:cs="Tahoma"/>
          <w:szCs w:val="21"/>
        </w:rPr>
      </w:pPr>
      <w:r>
        <w:rPr>
          <w:rFonts w:hint="eastAsia" w:ascii="宋体" w:hAnsi="宋体" w:cs="宋体"/>
          <w:kern w:val="0"/>
          <w:szCs w:val="21"/>
        </w:rPr>
        <w:t>招标人与中标人应当在中标通知书发出之日起30日内，按照招标文件确定的合同文本以及采购标的、规格型号、采购金额、采购数量、技术和服务要求等事项签订政府采购合同。</w:t>
      </w:r>
    </w:p>
    <w:p>
      <w:pPr>
        <w:numPr>
          <w:ilvl w:val="1"/>
          <w:numId w:val="3"/>
        </w:numPr>
        <w:spacing w:line="480" w:lineRule="exact"/>
        <w:rPr>
          <w:rFonts w:ascii="宋体" w:hAnsi="宋体" w:cs="Tahoma"/>
          <w:szCs w:val="21"/>
        </w:rPr>
      </w:pPr>
      <w:r>
        <w:rPr>
          <w:rFonts w:hint="eastAsia" w:ascii="宋体" w:hAnsi="宋体" w:cs="宋体"/>
          <w:kern w:val="0"/>
          <w:szCs w:val="21"/>
        </w:rPr>
        <w:t>招标人不得向中标人提出超出招标文件以外的任何要求作为签订合同的条件，不得与中标人订立背离招标文件确定的合同文本以及采购标的、规格型号、采购金额、采购数量、技术和服务要求等实质性内容的协议。</w:t>
      </w:r>
    </w:p>
    <w:p>
      <w:pPr>
        <w:numPr>
          <w:ilvl w:val="1"/>
          <w:numId w:val="3"/>
        </w:numPr>
        <w:spacing w:line="480" w:lineRule="exact"/>
        <w:rPr>
          <w:rFonts w:ascii="宋体" w:hAnsi="宋体"/>
          <w:szCs w:val="21"/>
        </w:rPr>
      </w:pPr>
      <w:r>
        <w:rPr>
          <w:rFonts w:hint="eastAsia" w:ascii="宋体" w:hAnsi="宋体" w:cs="宋体"/>
          <w:kern w:val="0"/>
          <w:szCs w:val="21"/>
        </w:rPr>
        <w:t>除不可抗力等因素外，中标通知书发出后，招标人改变成交结果，或者中标人拒绝签订政府采购合同的，应当承担相应的法律责任。</w:t>
      </w:r>
    </w:p>
    <w:p>
      <w:pPr>
        <w:numPr>
          <w:ilvl w:val="1"/>
          <w:numId w:val="3"/>
        </w:numPr>
        <w:spacing w:line="480" w:lineRule="exact"/>
        <w:rPr>
          <w:rFonts w:ascii="宋体" w:hAnsi="宋体"/>
          <w:szCs w:val="21"/>
        </w:rPr>
      </w:pPr>
      <w:r>
        <w:rPr>
          <w:rFonts w:hint="eastAsia" w:ascii="宋体" w:hAnsi="宋体" w:cs="宋体"/>
          <w:kern w:val="0"/>
          <w:szCs w:val="21"/>
        </w:rPr>
        <w:t>中标人拒绝签订政府采购合同的，招标人可以按照</w:t>
      </w:r>
      <w:r>
        <w:rPr>
          <w:rFonts w:hint="eastAsia"/>
          <w:szCs w:val="21"/>
          <w:lang w:val="en-GB"/>
        </w:rPr>
        <w:t>《政府采购非招标招标人式管理办法》</w:t>
      </w:r>
      <w:r>
        <w:rPr>
          <w:rFonts w:hint="eastAsia" w:ascii="宋体" w:hAnsi="宋体" w:cs="宋体"/>
          <w:kern w:val="0"/>
          <w:szCs w:val="21"/>
        </w:rPr>
        <w:t>第三十六条第二款、第四十九条第二款规定的原则确定其他投标人作为中标人并签订政府采购合同，也可以重新开展采购活动。拒绝签订政府采购合同的中标人不得参加对该项目重新开展的采购活动。</w:t>
      </w:r>
    </w:p>
    <w:p>
      <w:pPr>
        <w:numPr>
          <w:ilvl w:val="1"/>
          <w:numId w:val="3"/>
        </w:numPr>
        <w:spacing w:line="480" w:lineRule="exact"/>
        <w:rPr>
          <w:rFonts w:ascii="宋体" w:hAnsi="宋体" w:cs="Tahoma"/>
          <w:szCs w:val="21"/>
        </w:rPr>
      </w:pPr>
      <w:r>
        <w:rPr>
          <w:rFonts w:ascii="宋体" w:hAnsi="宋体" w:cs="Tahoma"/>
          <w:szCs w:val="21"/>
        </w:rPr>
        <w:t>招标人或者招标代理机构应当自采购合同签订之日起七个工作日内，按照有关规定将采购合同副本报同级人民政府财政部门备案。</w:t>
      </w:r>
    </w:p>
    <w:p>
      <w:pPr>
        <w:numPr>
          <w:ilvl w:val="0"/>
          <w:numId w:val="3"/>
        </w:numPr>
        <w:spacing w:line="480" w:lineRule="exact"/>
        <w:rPr>
          <w:rFonts w:ascii="宋体" w:hAnsi="宋体" w:cs="宋体"/>
          <w:b/>
          <w:szCs w:val="21"/>
        </w:rPr>
      </w:pPr>
      <w:r>
        <w:rPr>
          <w:rFonts w:hint="eastAsia" w:ascii="宋体" w:hAnsi="宋体" w:cs="宋体"/>
          <w:b/>
          <w:szCs w:val="21"/>
        </w:rPr>
        <w:t>分包履行合同</w:t>
      </w:r>
    </w:p>
    <w:p>
      <w:pPr>
        <w:numPr>
          <w:ilvl w:val="1"/>
          <w:numId w:val="3"/>
        </w:numPr>
        <w:spacing w:line="480" w:lineRule="exact"/>
        <w:rPr>
          <w:rFonts w:ascii="宋体" w:hAnsi="宋体" w:cs="宋体"/>
          <w:b/>
          <w:szCs w:val="21"/>
        </w:rPr>
      </w:pPr>
      <w:r>
        <w:rPr>
          <w:rFonts w:hint="eastAsia" w:ascii="ˎ̥" w:hAnsi="ˎ̥"/>
          <w:szCs w:val="21"/>
        </w:rPr>
        <w:t>如招标文件同意分包，</w:t>
      </w:r>
      <w:r>
        <w:rPr>
          <w:rFonts w:ascii="ˎ̥" w:hAnsi="ˎ̥"/>
          <w:szCs w:val="21"/>
        </w:rPr>
        <w:t>经招标人同意，</w:t>
      </w:r>
      <w:r>
        <w:rPr>
          <w:rFonts w:hint="eastAsia" w:ascii="ˎ̥" w:hAnsi="ˎ̥"/>
          <w:szCs w:val="21"/>
        </w:rPr>
        <w:t>中标人</w:t>
      </w:r>
      <w:r>
        <w:rPr>
          <w:rFonts w:ascii="ˎ̥" w:hAnsi="ˎ̥"/>
          <w:szCs w:val="21"/>
        </w:rPr>
        <w:t>可以依法采取分包方式履行合同。</w:t>
      </w:r>
    </w:p>
    <w:p>
      <w:pPr>
        <w:numPr>
          <w:ilvl w:val="1"/>
          <w:numId w:val="3"/>
        </w:numPr>
        <w:spacing w:line="480" w:lineRule="exact"/>
        <w:rPr>
          <w:rFonts w:ascii="宋体" w:hAnsi="宋体" w:cs="宋体"/>
          <w:b/>
          <w:szCs w:val="21"/>
        </w:rPr>
      </w:pPr>
      <w:r>
        <w:rPr>
          <w:rFonts w:ascii="ˎ̥" w:hAnsi="ˎ̥"/>
          <w:szCs w:val="21"/>
        </w:rPr>
        <w:t>政府采购合同分包履行的，中标人就采购项目和分包项目向招标人负责，分包投标人就分包项目承担责任</w:t>
      </w:r>
      <w:r>
        <w:rPr>
          <w:rFonts w:hint="eastAsia" w:ascii="ˎ̥" w:hAnsi="ˎ̥"/>
          <w:szCs w:val="21"/>
        </w:rPr>
        <w:t>。</w:t>
      </w:r>
    </w:p>
    <w:p>
      <w:pPr>
        <w:numPr>
          <w:ilvl w:val="0"/>
          <w:numId w:val="3"/>
        </w:numPr>
        <w:spacing w:line="480" w:lineRule="exact"/>
        <w:rPr>
          <w:rFonts w:ascii="宋体" w:hAnsi="宋体" w:cs="宋体"/>
          <w:b/>
          <w:szCs w:val="21"/>
        </w:rPr>
      </w:pPr>
      <w:r>
        <w:rPr>
          <w:rFonts w:hint="eastAsia" w:ascii="宋体" w:hAnsi="宋体" w:cs="宋体"/>
          <w:b/>
          <w:szCs w:val="21"/>
        </w:rPr>
        <w:t>政府采购合同履行中合同标的的追加</w:t>
      </w:r>
    </w:p>
    <w:p>
      <w:pPr>
        <w:numPr>
          <w:ilvl w:val="1"/>
          <w:numId w:val="3"/>
        </w:numPr>
        <w:spacing w:line="480" w:lineRule="exact"/>
        <w:rPr>
          <w:rFonts w:ascii="宋体" w:hAnsi="宋体" w:cs="宋体"/>
          <w:b/>
          <w:szCs w:val="21"/>
        </w:rPr>
      </w:pPr>
      <w:r>
        <w:rPr>
          <w:rFonts w:ascii="ˎ̥" w:hAnsi="ˎ̥"/>
          <w:szCs w:val="21"/>
        </w:rPr>
        <w:t>政府采购合同履行中，招标人需追加与合同标的相同的货物、工程或者服务的，在不改变合同其他条款的前提下，可以与</w:t>
      </w:r>
      <w:r>
        <w:rPr>
          <w:rFonts w:hint="eastAsia" w:ascii="ˎ̥" w:hAnsi="ˎ̥"/>
          <w:szCs w:val="21"/>
        </w:rPr>
        <w:t>中标人</w:t>
      </w:r>
      <w:r>
        <w:rPr>
          <w:rFonts w:ascii="ˎ̥" w:hAnsi="ˎ̥"/>
          <w:szCs w:val="21"/>
        </w:rPr>
        <w:t>协商签订补充合同，但所有补充合同的采购金额不得超过原合同采购金额的百分之十。</w:t>
      </w:r>
    </w:p>
    <w:p>
      <w:pPr>
        <w:pStyle w:val="19"/>
        <w:numPr>
          <w:ilvl w:val="0"/>
          <w:numId w:val="3"/>
        </w:numPr>
        <w:adjustRightInd w:val="0"/>
        <w:snapToGrid w:val="0"/>
        <w:spacing w:before="159" w:beforeLines="50" w:line="480" w:lineRule="exact"/>
        <w:jc w:val="left"/>
        <w:rPr>
          <w:rFonts w:hAnsi="宋体"/>
          <w:b/>
          <w:bCs/>
          <w:szCs w:val="21"/>
        </w:rPr>
      </w:pPr>
      <w:r>
        <w:rPr>
          <w:rFonts w:hint="eastAsia" w:hAnsi="宋体"/>
          <w:b/>
          <w:bCs/>
          <w:szCs w:val="21"/>
        </w:rPr>
        <w:t>废标条款</w:t>
      </w:r>
    </w:p>
    <w:p>
      <w:pPr>
        <w:numPr>
          <w:ilvl w:val="1"/>
          <w:numId w:val="3"/>
        </w:numPr>
        <w:spacing w:line="480" w:lineRule="exact"/>
        <w:rPr>
          <w:rFonts w:ascii="宋体" w:hAnsi="宋体" w:cs="宋体"/>
          <w:kern w:val="0"/>
          <w:szCs w:val="21"/>
        </w:rPr>
      </w:pPr>
      <w:r>
        <w:rPr>
          <w:rFonts w:hint="eastAsia" w:ascii="宋体" w:hAnsi="宋体" w:cs="宋体"/>
          <w:kern w:val="0"/>
          <w:szCs w:val="21"/>
        </w:rPr>
        <w:t>出现下列情形之一的，招标人或者招标代理机构应当终止采购活动，发布项目终止公告并说明原因，重新开展采购活动：</w:t>
      </w:r>
    </w:p>
    <w:p>
      <w:pPr>
        <w:widowControl/>
        <w:spacing w:line="480" w:lineRule="exact"/>
        <w:ind w:left="425"/>
        <w:jc w:val="left"/>
        <w:rPr>
          <w:rFonts w:ascii="宋体" w:hAnsi="宋体" w:cs="宋体"/>
          <w:kern w:val="0"/>
          <w:szCs w:val="21"/>
        </w:rPr>
      </w:pPr>
      <w:r>
        <w:rPr>
          <w:rFonts w:hint="eastAsia" w:ascii="宋体" w:hAnsi="宋体" w:cs="宋体"/>
          <w:kern w:val="0"/>
          <w:szCs w:val="21"/>
        </w:rPr>
        <w:t>（1）因情况变化，不再符合规定的公开招标采购方式适用情形的；</w:t>
      </w:r>
    </w:p>
    <w:p>
      <w:pPr>
        <w:widowControl/>
        <w:spacing w:line="480" w:lineRule="exact"/>
        <w:ind w:left="425"/>
        <w:jc w:val="left"/>
        <w:rPr>
          <w:rFonts w:ascii="宋体" w:hAnsi="宋体" w:cs="宋体"/>
          <w:kern w:val="0"/>
          <w:szCs w:val="21"/>
        </w:rPr>
      </w:pPr>
      <w:r>
        <w:rPr>
          <w:rFonts w:hint="eastAsia" w:ascii="宋体" w:hAnsi="宋体" w:cs="宋体"/>
          <w:kern w:val="0"/>
          <w:szCs w:val="21"/>
        </w:rPr>
        <w:t>（2）出现影响采购公正的违法、违规行为的；</w:t>
      </w:r>
    </w:p>
    <w:p>
      <w:pPr>
        <w:widowControl/>
        <w:spacing w:line="480" w:lineRule="exact"/>
        <w:ind w:left="878" w:leftChars="168" w:hanging="525" w:hangingChars="250"/>
        <w:jc w:val="left"/>
        <w:rPr>
          <w:rFonts w:ascii="宋体" w:hAnsi="宋体" w:cs="宋体"/>
          <w:kern w:val="0"/>
          <w:szCs w:val="21"/>
        </w:rPr>
      </w:pPr>
      <w:r>
        <w:rPr>
          <w:rFonts w:hint="eastAsia" w:ascii="宋体" w:hAnsi="宋体" w:cs="宋体"/>
          <w:kern w:val="0"/>
          <w:szCs w:val="21"/>
        </w:rPr>
        <w:t>（3）在采购过程中符合竞争要求的投标人或者报价未超过采购预算的投标人不足3家的。</w:t>
      </w:r>
    </w:p>
    <w:p>
      <w:pPr>
        <w:widowControl/>
        <w:spacing w:line="480" w:lineRule="exact"/>
        <w:ind w:left="493" w:leftChars="235"/>
        <w:rPr>
          <w:rFonts w:ascii="宋体" w:hAnsi="宋体" w:cs="宋体"/>
          <w:kern w:val="0"/>
          <w:szCs w:val="21"/>
        </w:rPr>
      </w:pPr>
      <w:r>
        <w:rPr>
          <w:rFonts w:hint="eastAsia" w:ascii="宋体" w:hAnsi="宋体" w:cs="宋体"/>
          <w:kern w:val="0"/>
          <w:szCs w:val="21"/>
        </w:rPr>
        <w:t>有效投标人不足三家的，除采购任务取消外，可废标后重新组织采购；也可比照财政部《货物和服务招标投标管理办法》第43条规定，经政府采购管理部门同意，所有评委（监委）签字认可，书面通知投标人当场改作竞争性谈判或单一来源方式采购。</w:t>
      </w:r>
    </w:p>
    <w:p>
      <w:pPr>
        <w:pStyle w:val="19"/>
        <w:numPr>
          <w:ilvl w:val="0"/>
          <w:numId w:val="3"/>
        </w:numPr>
        <w:adjustRightInd w:val="0"/>
        <w:snapToGrid w:val="0"/>
        <w:spacing w:before="159" w:beforeLines="50" w:line="480" w:lineRule="exact"/>
        <w:jc w:val="left"/>
        <w:rPr>
          <w:rFonts w:hAnsi="宋体"/>
          <w:b/>
          <w:bCs/>
          <w:szCs w:val="21"/>
        </w:rPr>
      </w:pPr>
      <w:bookmarkStart w:id="98" w:name="_Toc267645535"/>
      <w:bookmarkStart w:id="99" w:name="_Toc446605021"/>
      <w:bookmarkStart w:id="100" w:name="_Toc429734627"/>
      <w:r>
        <w:rPr>
          <w:rFonts w:hint="eastAsia" w:hAnsi="宋体"/>
          <w:b/>
          <w:bCs/>
          <w:szCs w:val="21"/>
        </w:rPr>
        <w:t>履约保证金</w:t>
      </w:r>
      <w:bookmarkEnd w:id="98"/>
      <w:bookmarkEnd w:id="99"/>
      <w:bookmarkEnd w:id="100"/>
    </w:p>
    <w:p>
      <w:pPr>
        <w:numPr>
          <w:ilvl w:val="1"/>
          <w:numId w:val="3"/>
        </w:numPr>
        <w:spacing w:line="480" w:lineRule="exact"/>
        <w:rPr>
          <w:rFonts w:ascii="宋体" w:hAnsi="宋体"/>
          <w:b/>
          <w:bCs/>
          <w:szCs w:val="21"/>
        </w:rPr>
      </w:pPr>
      <w:r>
        <w:rPr>
          <w:rFonts w:hint="eastAsia" w:hAnsi="宋体"/>
          <w:szCs w:val="21"/>
        </w:rPr>
        <w:t>在接到中标通知书30个日历天内，中标的投标人应按合同规定向招标人提交履约保证金。</w:t>
      </w:r>
    </w:p>
    <w:p>
      <w:pPr>
        <w:numPr>
          <w:ilvl w:val="1"/>
          <w:numId w:val="3"/>
        </w:numPr>
        <w:spacing w:line="480" w:lineRule="exact"/>
        <w:rPr>
          <w:rFonts w:ascii="宋体" w:hAnsi="宋体"/>
          <w:b/>
          <w:bCs/>
          <w:szCs w:val="21"/>
        </w:rPr>
      </w:pPr>
      <w:r>
        <w:rPr>
          <w:rFonts w:hint="eastAsia" w:hAnsi="宋体"/>
          <w:szCs w:val="21"/>
        </w:rPr>
        <w:t>如果中标人的履约保证金是以银行保函的形式提供，则该银行保函应由在中国注册的银行开具。</w:t>
      </w:r>
    </w:p>
    <w:p>
      <w:pPr>
        <w:numPr>
          <w:ilvl w:val="1"/>
          <w:numId w:val="3"/>
        </w:numPr>
        <w:spacing w:line="480" w:lineRule="exact"/>
        <w:rPr>
          <w:rFonts w:ascii="宋体" w:hAnsi="宋体"/>
          <w:b/>
          <w:bCs/>
          <w:szCs w:val="21"/>
        </w:rPr>
      </w:pPr>
      <w:r>
        <w:rPr>
          <w:rFonts w:hint="eastAsia" w:hAnsi="宋体"/>
          <w:szCs w:val="21"/>
        </w:rPr>
        <w:t>如果中标人不与招标人签订合同并提交履约保证金，或者在签订合同时向招标人提出附加条件或者更改合同实质性内容的，招标人则有权没收该投标人的投标保证金，并视为其放弃中标资格；给招标人的损失超过投标保证金数额的，中标人应对超过部分予以赔偿。</w:t>
      </w:r>
    </w:p>
    <w:p>
      <w:pPr>
        <w:pStyle w:val="19"/>
        <w:numPr>
          <w:ilvl w:val="0"/>
          <w:numId w:val="3"/>
        </w:numPr>
        <w:adjustRightInd w:val="0"/>
        <w:snapToGrid w:val="0"/>
        <w:spacing w:before="159" w:beforeLines="50" w:line="480" w:lineRule="exact"/>
        <w:jc w:val="left"/>
        <w:rPr>
          <w:rFonts w:hAnsi="宋体"/>
          <w:b/>
          <w:bCs/>
          <w:szCs w:val="21"/>
        </w:rPr>
      </w:pPr>
      <w:r>
        <w:rPr>
          <w:rFonts w:hint="eastAsia" w:hAnsi="宋体"/>
          <w:b/>
          <w:bCs/>
          <w:szCs w:val="21"/>
        </w:rPr>
        <w:t>采购任务取消</w:t>
      </w:r>
    </w:p>
    <w:p>
      <w:pPr>
        <w:numPr>
          <w:ilvl w:val="1"/>
          <w:numId w:val="3"/>
        </w:numPr>
        <w:spacing w:line="480" w:lineRule="exact"/>
        <w:rPr>
          <w:rFonts w:ascii="宋体" w:hAnsi="宋体"/>
          <w:b/>
          <w:bCs/>
          <w:szCs w:val="21"/>
        </w:rPr>
      </w:pPr>
      <w:r>
        <w:rPr>
          <w:rFonts w:hint="eastAsia" w:ascii="宋体" w:hAnsi="宋体" w:cs="宋体"/>
          <w:kern w:val="0"/>
          <w:szCs w:val="21"/>
        </w:rPr>
        <w:t>在采购活动中因重大变故，采购任务取消的，招标人或者招标代理机构应当终止采购活动，通知所有参加采购活动的投标人，并将项目实施情况和采购任务取消原因报送本级财政部门。</w:t>
      </w:r>
    </w:p>
    <w:p>
      <w:pPr>
        <w:pStyle w:val="19"/>
        <w:numPr>
          <w:ilvl w:val="0"/>
          <w:numId w:val="3"/>
        </w:numPr>
        <w:adjustRightInd w:val="0"/>
        <w:snapToGrid w:val="0"/>
        <w:spacing w:before="159" w:beforeLines="50" w:line="480" w:lineRule="exact"/>
        <w:jc w:val="left"/>
        <w:rPr>
          <w:rFonts w:hAnsi="宋体"/>
          <w:b/>
          <w:bCs/>
          <w:szCs w:val="21"/>
        </w:rPr>
      </w:pPr>
      <w:r>
        <w:rPr>
          <w:rFonts w:hint="eastAsia" w:hAnsi="宋体"/>
          <w:b/>
          <w:bCs/>
          <w:szCs w:val="21"/>
        </w:rPr>
        <w:t>其他</w:t>
      </w:r>
    </w:p>
    <w:p>
      <w:pPr>
        <w:numPr>
          <w:ilvl w:val="1"/>
          <w:numId w:val="5"/>
        </w:numPr>
        <w:tabs>
          <w:tab w:val="left" w:pos="567"/>
        </w:tabs>
        <w:spacing w:line="480" w:lineRule="exact"/>
        <w:rPr>
          <w:rFonts w:ascii="宋体" w:hAnsi="宋体"/>
          <w:bCs/>
          <w:szCs w:val="21"/>
        </w:rPr>
      </w:pPr>
      <w:r>
        <w:rPr>
          <w:rFonts w:hint="eastAsia" w:ascii="宋体" w:hAnsi="宋体"/>
          <w:bCs/>
          <w:szCs w:val="21"/>
        </w:rPr>
        <w:t>本招标文件如与网上发布的招标公告、更正公告等有差异的部分，以网上发布的为准。</w:t>
      </w:r>
    </w:p>
    <w:p>
      <w:pPr>
        <w:numPr>
          <w:ilvl w:val="1"/>
          <w:numId w:val="5"/>
        </w:numPr>
        <w:tabs>
          <w:tab w:val="left" w:pos="567"/>
        </w:tabs>
        <w:spacing w:line="480" w:lineRule="exact"/>
        <w:rPr>
          <w:rFonts w:ascii="宋体" w:hAnsi="宋体"/>
          <w:bCs/>
          <w:szCs w:val="21"/>
        </w:rPr>
      </w:pPr>
      <w:r>
        <w:rPr>
          <w:rFonts w:hint="eastAsia" w:ascii="宋体" w:hAnsi="宋体"/>
          <w:bCs/>
          <w:szCs w:val="21"/>
        </w:rPr>
        <w:t>投标人成功投标并不意味着其满足投标人资格，具体评判标准以本文件和评标委员会评审为依据。</w:t>
      </w:r>
    </w:p>
    <w:p>
      <w:pPr>
        <w:widowControl/>
        <w:spacing w:line="560" w:lineRule="exact"/>
        <w:jc w:val="center"/>
        <w:outlineLvl w:val="0"/>
        <w:rPr>
          <w:b/>
          <w:bCs/>
          <w:sz w:val="32"/>
          <w:szCs w:val="32"/>
        </w:rPr>
      </w:pPr>
      <w:r>
        <w:rPr>
          <w:rFonts w:hint="eastAsia"/>
          <w:b/>
          <w:bCs/>
          <w:sz w:val="32"/>
          <w:szCs w:val="32"/>
        </w:rPr>
        <w:br w:type="page"/>
      </w:r>
      <w:bookmarkStart w:id="101" w:name="_Toc3660"/>
      <w:r>
        <w:rPr>
          <w:rFonts w:hint="eastAsia"/>
          <w:b/>
          <w:bCs/>
          <w:sz w:val="32"/>
          <w:szCs w:val="32"/>
        </w:rPr>
        <w:t>第三章  评标办法</w:t>
      </w:r>
      <w:bookmarkEnd w:id="101"/>
    </w:p>
    <w:p>
      <w:pPr>
        <w:rPr>
          <w:rFonts w:ascii="宋体" w:hAnsi="宋体" w:cs="宋体"/>
          <w:b/>
          <w:bCs/>
          <w:sz w:val="24"/>
        </w:rPr>
      </w:pPr>
      <w:r>
        <w:rPr>
          <w:rFonts w:hint="eastAsia" w:ascii="宋体" w:hAnsi="宋体" w:cs="宋体"/>
          <w:b/>
          <w:bCs/>
          <w:sz w:val="24"/>
        </w:rPr>
        <w:t>评标办法（综合评分法）正文部分</w:t>
      </w:r>
    </w:p>
    <w:p>
      <w:pPr>
        <w:spacing w:line="360" w:lineRule="auto"/>
        <w:jc w:val="left"/>
        <w:rPr>
          <w:rFonts w:ascii="宋体" w:hAnsi="宋体" w:cs="宋体"/>
          <w:b/>
          <w:bCs/>
          <w:sz w:val="24"/>
        </w:rPr>
      </w:pPr>
      <w:r>
        <w:rPr>
          <w:rFonts w:hint="eastAsia" w:ascii="宋体" w:hAnsi="宋体" w:cs="宋体"/>
          <w:b/>
          <w:bCs/>
          <w:sz w:val="24"/>
        </w:rPr>
        <w:t>（一）评标方式</w:t>
      </w:r>
    </w:p>
    <w:p>
      <w:pPr>
        <w:spacing w:line="360" w:lineRule="auto"/>
        <w:ind w:firstLine="540" w:firstLineChars="225"/>
        <w:rPr>
          <w:rFonts w:ascii="宋体" w:hAnsi="宋体" w:cs="宋体"/>
          <w:sz w:val="24"/>
        </w:rPr>
      </w:pPr>
      <w:r>
        <w:rPr>
          <w:rFonts w:hint="eastAsia" w:ascii="宋体" w:hAnsi="宋体" w:cs="宋体"/>
          <w:sz w:val="24"/>
        </w:rPr>
        <w:t>1、通过初步审查的投标人为合格的投标人。</w:t>
      </w:r>
    </w:p>
    <w:p>
      <w:pPr>
        <w:spacing w:line="360" w:lineRule="auto"/>
        <w:ind w:firstLine="540" w:firstLineChars="225"/>
        <w:rPr>
          <w:rFonts w:ascii="宋体" w:hAnsi="宋体" w:cs="宋体"/>
          <w:sz w:val="24"/>
        </w:rPr>
      </w:pPr>
      <w:r>
        <w:rPr>
          <w:rFonts w:hint="eastAsia" w:ascii="宋体" w:hAnsi="宋体" w:cs="宋体"/>
          <w:sz w:val="24"/>
        </w:rPr>
        <w:t>2、本次评标采用综合评分法。根据《中华人民共和国招投标法》、《中华人民共和国政府采购法》、《评标委员会和评标方法暂行规定》所规定的标准和补充规定等法律法规和有关实施办法。评标委员会将对各投标单位的投标文件，能否最大限度的满足招标文件中规定的各项要求和评价标准进行评审和比较。</w:t>
      </w:r>
    </w:p>
    <w:p>
      <w:pPr>
        <w:spacing w:line="360" w:lineRule="auto"/>
        <w:ind w:firstLine="540" w:firstLineChars="225"/>
        <w:rPr>
          <w:rFonts w:ascii="宋体" w:hAnsi="宋体" w:cs="宋体"/>
          <w:sz w:val="24"/>
        </w:rPr>
      </w:pPr>
      <w:r>
        <w:rPr>
          <w:rFonts w:hint="eastAsia" w:ascii="宋体" w:hAnsi="宋体" w:cs="宋体"/>
          <w:sz w:val="24"/>
        </w:rPr>
        <w:t>3、综合评分法采取百分制的量化评审；由评标委员会成员依据评审标准独立打分。</w:t>
      </w:r>
    </w:p>
    <w:p>
      <w:pPr>
        <w:spacing w:line="360" w:lineRule="auto"/>
        <w:rPr>
          <w:rFonts w:ascii="宋体" w:hAnsi="宋体" w:cs="宋体"/>
          <w:sz w:val="24"/>
        </w:rPr>
      </w:pPr>
      <w:r>
        <w:rPr>
          <w:rFonts w:hint="eastAsia" w:ascii="宋体" w:hAnsi="宋体" w:cs="宋体"/>
          <w:b/>
          <w:bCs/>
          <w:sz w:val="24"/>
        </w:rPr>
        <w:t>（二）评标计算规则</w:t>
      </w:r>
      <w:r>
        <w:rPr>
          <w:rFonts w:hint="eastAsia" w:ascii="宋体" w:hAnsi="宋体" w:cs="宋体"/>
          <w:sz w:val="24"/>
        </w:rPr>
        <w:tab/>
      </w:r>
    </w:p>
    <w:p>
      <w:pPr>
        <w:spacing w:line="360" w:lineRule="auto"/>
        <w:ind w:firstLine="480"/>
        <w:rPr>
          <w:rFonts w:ascii="宋体" w:hAnsi="宋体" w:cs="宋体"/>
          <w:sz w:val="24"/>
        </w:rPr>
      </w:pPr>
      <w:r>
        <w:rPr>
          <w:rFonts w:hint="eastAsia" w:ascii="宋体" w:hAnsi="宋体" w:cs="宋体"/>
          <w:sz w:val="24"/>
        </w:rPr>
        <w:t>投标报价得分=（评标基准价/投标报价）</w:t>
      </w:r>
      <w:r>
        <w:rPr>
          <w:rFonts w:hint="eastAsia" w:ascii="宋体" w:hAnsi="宋体" w:cs="宋体"/>
          <w:sz w:val="24"/>
          <w:lang w:val="en-US" w:eastAsia="zh-CN"/>
        </w:rPr>
        <w:t>*</w:t>
      </w:r>
      <w:r>
        <w:rPr>
          <w:rFonts w:hint="eastAsia" w:ascii="宋体" w:hAnsi="宋体" w:cs="宋体"/>
          <w:sz w:val="24"/>
        </w:rPr>
        <w:t>价格权重</w:t>
      </w:r>
      <w:r>
        <w:rPr>
          <w:rFonts w:hint="eastAsia" w:ascii="宋体" w:hAnsi="宋体" w:cs="宋体"/>
          <w:sz w:val="24"/>
          <w:lang w:val="en-US" w:eastAsia="zh-CN"/>
        </w:rPr>
        <w:t>*</w:t>
      </w:r>
      <w:r>
        <w:rPr>
          <w:rFonts w:hint="eastAsia" w:ascii="宋体" w:hAnsi="宋体" w:cs="宋体"/>
          <w:sz w:val="24"/>
        </w:rPr>
        <w:t>100</w:t>
      </w:r>
    </w:p>
    <w:p>
      <w:pPr>
        <w:spacing w:line="360" w:lineRule="auto"/>
        <w:ind w:firstLine="480"/>
        <w:rPr>
          <w:rFonts w:ascii="宋体" w:hAnsi="宋体" w:cs="宋体"/>
          <w:sz w:val="24"/>
        </w:rPr>
      </w:pPr>
      <w:r>
        <w:rPr>
          <w:rFonts w:hint="eastAsia" w:ascii="宋体" w:hAnsi="宋体" w:cs="宋体"/>
          <w:sz w:val="24"/>
        </w:rPr>
        <w:t>基准价=响应招标文件的最低投标报价</w:t>
      </w:r>
    </w:p>
    <w:p>
      <w:pPr>
        <w:pStyle w:val="75"/>
        <w:snapToGrid w:val="0"/>
        <w:spacing w:line="440" w:lineRule="exact"/>
        <w:ind w:firstLine="480" w:firstLineChars="200"/>
        <w:rPr>
          <w:b/>
          <w:bCs/>
          <w:color w:val="auto"/>
          <w:sz w:val="32"/>
          <w:szCs w:val="32"/>
        </w:rPr>
      </w:pPr>
      <w:r>
        <w:rPr>
          <w:rFonts w:hint="eastAsia" w:ascii="宋体" w:hAnsi="宋体" w:cs="宋体"/>
          <w:color w:val="auto"/>
          <w:kern w:val="2"/>
        </w:rPr>
        <w:t>评标时，评标委员会各成员应当独立对每个投标人的投标文件进行评价，并汇总每个投标人的得分，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b/>
          <w:bCs/>
          <w:color w:val="auto"/>
          <w:sz w:val="32"/>
          <w:szCs w:val="32"/>
        </w:rPr>
        <w:br w:type="page"/>
      </w:r>
    </w:p>
    <w:p>
      <w:pPr>
        <w:tabs>
          <w:tab w:val="left" w:pos="900"/>
        </w:tabs>
        <w:rPr>
          <w:rFonts w:ascii="宋体" w:hAnsi="宋体"/>
          <w:szCs w:val="21"/>
        </w:rPr>
      </w:pPr>
      <w:r>
        <w:rPr>
          <w:rFonts w:hint="eastAsia" w:ascii="宋体" w:hAnsi="宋体"/>
          <w:szCs w:val="21"/>
        </w:rPr>
        <w:t>附表一</w:t>
      </w:r>
    </w:p>
    <w:p>
      <w:pPr>
        <w:jc w:val="center"/>
        <w:outlineLvl w:val="1"/>
        <w:rPr>
          <w:rFonts w:hint="eastAsia" w:ascii="宋体" w:hAnsi="宋体" w:eastAsia="宋体" w:cs="宋体"/>
          <w:b/>
          <w:sz w:val="28"/>
          <w:szCs w:val="28"/>
          <w:lang w:eastAsia="zh-CN"/>
        </w:rPr>
      </w:pPr>
      <w:bookmarkStart w:id="102" w:name="_Toc16707"/>
      <w:bookmarkStart w:id="103" w:name="_Toc7989"/>
      <w:bookmarkStart w:id="104" w:name="_Toc13054"/>
      <w:bookmarkStart w:id="105" w:name="_Toc27399"/>
      <w:bookmarkStart w:id="106" w:name="_Toc12120"/>
      <w:bookmarkStart w:id="107" w:name="_Toc31507"/>
      <w:r>
        <w:rPr>
          <w:rFonts w:hint="eastAsia" w:ascii="宋体" w:hAnsi="宋体" w:cs="宋体"/>
          <w:b/>
          <w:sz w:val="28"/>
          <w:szCs w:val="28"/>
        </w:rPr>
        <w:t>初步评审标准</w:t>
      </w:r>
      <w:bookmarkEnd w:id="102"/>
      <w:bookmarkEnd w:id="103"/>
      <w:bookmarkEnd w:id="104"/>
      <w:bookmarkEnd w:id="105"/>
      <w:bookmarkEnd w:id="106"/>
      <w:bookmarkEnd w:id="107"/>
    </w:p>
    <w:tbl>
      <w:tblPr>
        <w:tblStyle w:val="39"/>
        <w:tblW w:w="97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4"/>
        <w:gridCol w:w="737"/>
        <w:gridCol w:w="6697"/>
        <w:gridCol w:w="740"/>
        <w:gridCol w:w="7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6" w:hRule="atLeast"/>
          <w:jc w:val="center"/>
        </w:trPr>
        <w:tc>
          <w:tcPr>
            <w:tcW w:w="834" w:type="dxa"/>
            <w:vMerge w:val="restart"/>
            <w:vAlign w:val="center"/>
          </w:tcPr>
          <w:p>
            <w:pPr>
              <w:jc w:val="center"/>
              <w:rPr>
                <w:rFonts w:ascii="宋体" w:hAnsi="宋体" w:cs="宋体"/>
                <w:b/>
                <w:szCs w:val="21"/>
              </w:rPr>
            </w:pPr>
            <w:r>
              <w:rPr>
                <w:rFonts w:hint="eastAsia" w:ascii="宋体" w:hAnsi="宋体" w:cs="宋体"/>
                <w:b/>
                <w:szCs w:val="21"/>
              </w:rPr>
              <w:t>项目</w:t>
            </w:r>
          </w:p>
        </w:tc>
        <w:tc>
          <w:tcPr>
            <w:tcW w:w="7434" w:type="dxa"/>
            <w:gridSpan w:val="2"/>
            <w:vMerge w:val="restart"/>
            <w:vAlign w:val="center"/>
          </w:tcPr>
          <w:p>
            <w:pPr>
              <w:jc w:val="center"/>
              <w:rPr>
                <w:rFonts w:ascii="宋体" w:hAnsi="宋体" w:cs="宋体"/>
                <w:b/>
                <w:szCs w:val="21"/>
              </w:rPr>
            </w:pPr>
            <w:r>
              <w:rPr>
                <w:rFonts w:hint="eastAsia" w:ascii="宋体" w:hAnsi="宋体" w:cs="宋体"/>
                <w:b/>
                <w:szCs w:val="21"/>
              </w:rPr>
              <w:t>评审内容</w:t>
            </w:r>
          </w:p>
        </w:tc>
        <w:tc>
          <w:tcPr>
            <w:tcW w:w="1492" w:type="dxa"/>
            <w:gridSpan w:val="2"/>
            <w:vAlign w:val="center"/>
          </w:tcPr>
          <w:p>
            <w:pPr>
              <w:jc w:val="center"/>
              <w:rPr>
                <w:rFonts w:ascii="宋体" w:hAnsi="宋体" w:cs="宋体"/>
                <w:b/>
                <w:szCs w:val="21"/>
              </w:rPr>
            </w:pPr>
            <w:r>
              <w:rPr>
                <w:rFonts w:hint="eastAsia" w:ascii="宋体" w:hAnsi="宋体" w:cs="宋体"/>
                <w:b/>
                <w:szCs w:val="21"/>
              </w:rPr>
              <w:t>评审</w:t>
            </w:r>
          </w:p>
          <w:p>
            <w:pPr>
              <w:jc w:val="center"/>
              <w:rPr>
                <w:rFonts w:ascii="宋体" w:hAnsi="宋体" w:cs="宋体"/>
                <w:b/>
                <w:szCs w:val="21"/>
              </w:rPr>
            </w:pPr>
            <w:r>
              <w:rPr>
                <w:rFonts w:hint="eastAsia" w:ascii="宋体" w:hAnsi="宋体" w:cs="宋体"/>
                <w:b/>
                <w:szCs w:val="21"/>
              </w:rPr>
              <w:t>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834" w:type="dxa"/>
            <w:vMerge w:val="continue"/>
            <w:vAlign w:val="center"/>
          </w:tcPr>
          <w:p>
            <w:pPr>
              <w:jc w:val="center"/>
              <w:rPr>
                <w:rFonts w:ascii="宋体" w:hAnsi="宋体" w:cs="宋体"/>
                <w:b/>
                <w:szCs w:val="21"/>
              </w:rPr>
            </w:pPr>
          </w:p>
        </w:tc>
        <w:tc>
          <w:tcPr>
            <w:tcW w:w="7434" w:type="dxa"/>
            <w:gridSpan w:val="2"/>
            <w:vMerge w:val="continue"/>
          </w:tcPr>
          <w:p>
            <w:pPr>
              <w:rPr>
                <w:rFonts w:ascii="宋体" w:hAnsi="宋体" w:cs="宋体"/>
                <w:b/>
                <w:szCs w:val="21"/>
              </w:rPr>
            </w:pPr>
          </w:p>
        </w:tc>
        <w:tc>
          <w:tcPr>
            <w:tcW w:w="740" w:type="dxa"/>
            <w:vAlign w:val="center"/>
          </w:tcPr>
          <w:p>
            <w:pPr>
              <w:jc w:val="center"/>
              <w:rPr>
                <w:rFonts w:ascii="宋体" w:hAnsi="宋体" w:cs="宋体"/>
                <w:b/>
                <w:szCs w:val="21"/>
              </w:rPr>
            </w:pPr>
            <w:r>
              <w:rPr>
                <w:rFonts w:hint="eastAsia" w:ascii="宋体" w:hAnsi="宋体" w:cs="宋体"/>
                <w:b/>
                <w:szCs w:val="21"/>
              </w:rPr>
              <w:t>是</w:t>
            </w:r>
          </w:p>
        </w:tc>
        <w:tc>
          <w:tcPr>
            <w:tcW w:w="752" w:type="dxa"/>
            <w:vAlign w:val="center"/>
          </w:tcPr>
          <w:p>
            <w:pPr>
              <w:jc w:val="center"/>
              <w:rPr>
                <w:rFonts w:ascii="宋体" w:hAnsi="宋体" w:cs="宋体"/>
                <w:b/>
                <w:szCs w:val="21"/>
              </w:rPr>
            </w:pPr>
            <w:r>
              <w:rPr>
                <w:rFonts w:hint="eastAsia" w:ascii="宋体" w:hAnsi="宋体" w:cs="宋体"/>
                <w:b/>
                <w:szCs w:val="21"/>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9" w:hRule="atLeast"/>
          <w:jc w:val="center"/>
        </w:trPr>
        <w:tc>
          <w:tcPr>
            <w:tcW w:w="834" w:type="dxa"/>
            <w:vMerge w:val="restart"/>
            <w:tcBorders>
              <w:top w:val="single" w:color="auto" w:sz="4" w:space="0"/>
            </w:tcBorders>
            <w:textDirection w:val="tbRlV"/>
            <w:vAlign w:val="center"/>
          </w:tcPr>
          <w:p>
            <w:pPr>
              <w:jc w:val="center"/>
              <w:rPr>
                <w:rFonts w:ascii="宋体" w:hAnsi="宋体" w:cs="宋体"/>
                <w:szCs w:val="21"/>
              </w:rPr>
            </w:pPr>
            <w:r>
              <w:rPr>
                <w:rFonts w:hint="eastAsia" w:ascii="宋体" w:hAnsi="宋体" w:cs="宋体"/>
                <w:szCs w:val="21"/>
              </w:rPr>
              <w:t>形式评审</w:t>
            </w:r>
          </w:p>
        </w:tc>
        <w:tc>
          <w:tcPr>
            <w:tcW w:w="737" w:type="dxa"/>
            <w:tcBorders>
              <w:top w:val="single" w:color="auto" w:sz="4" w:space="0"/>
            </w:tcBorders>
            <w:vAlign w:val="center"/>
          </w:tcPr>
          <w:p>
            <w:pPr>
              <w:jc w:val="center"/>
              <w:rPr>
                <w:rFonts w:ascii="宋体" w:hAnsi="宋体" w:cs="宋体"/>
                <w:szCs w:val="21"/>
              </w:rPr>
            </w:pPr>
            <w:r>
              <w:rPr>
                <w:rFonts w:hint="eastAsia" w:ascii="宋体" w:hAnsi="宋体" w:cs="宋体"/>
                <w:szCs w:val="21"/>
              </w:rPr>
              <w:t>1</w:t>
            </w:r>
          </w:p>
        </w:tc>
        <w:tc>
          <w:tcPr>
            <w:tcW w:w="6697" w:type="dxa"/>
            <w:vAlign w:val="center"/>
          </w:tcPr>
          <w:p>
            <w:pPr>
              <w:rPr>
                <w:rFonts w:ascii="宋体" w:hAnsi="宋体" w:cs="宋体"/>
                <w:szCs w:val="21"/>
              </w:rPr>
            </w:pPr>
            <w:r>
              <w:rPr>
                <w:rFonts w:hint="eastAsia" w:ascii="宋体" w:hAnsi="宋体" w:cs="宋体"/>
                <w:szCs w:val="21"/>
              </w:rPr>
              <w:t>投标文件没有投标单位法定代表人或其授权代表签字（章）和加盖投标单位公章的；</w:t>
            </w:r>
          </w:p>
        </w:tc>
        <w:tc>
          <w:tcPr>
            <w:tcW w:w="740" w:type="dxa"/>
          </w:tcPr>
          <w:p>
            <w:pPr>
              <w:rPr>
                <w:rFonts w:ascii="宋体" w:hAnsi="宋体" w:cs="宋体"/>
                <w:szCs w:val="21"/>
              </w:rPr>
            </w:pPr>
          </w:p>
        </w:tc>
        <w:tc>
          <w:tcPr>
            <w:tcW w:w="752" w:type="dxa"/>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2" w:hRule="atLeast"/>
          <w:jc w:val="center"/>
        </w:trPr>
        <w:tc>
          <w:tcPr>
            <w:tcW w:w="834" w:type="dxa"/>
            <w:vMerge w:val="continue"/>
            <w:textDirection w:val="tbRlV"/>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2</w:t>
            </w:r>
          </w:p>
        </w:tc>
        <w:tc>
          <w:tcPr>
            <w:tcW w:w="6697" w:type="dxa"/>
            <w:vAlign w:val="center"/>
          </w:tcPr>
          <w:p>
            <w:pPr>
              <w:rPr>
                <w:rFonts w:ascii="宋体" w:hAnsi="宋体" w:cs="宋体"/>
                <w:szCs w:val="21"/>
              </w:rPr>
            </w:pPr>
            <w:r>
              <w:rPr>
                <w:rFonts w:hint="eastAsia" w:ascii="宋体" w:hAnsi="宋体" w:cs="宋体"/>
                <w:szCs w:val="21"/>
              </w:rPr>
              <w:t>《投标文件》是否符合《招标文件》规定的格式；</w:t>
            </w:r>
          </w:p>
        </w:tc>
        <w:tc>
          <w:tcPr>
            <w:tcW w:w="740" w:type="dxa"/>
          </w:tcPr>
          <w:p>
            <w:pPr>
              <w:rPr>
                <w:rFonts w:ascii="宋体" w:hAnsi="宋体" w:cs="宋体"/>
                <w:szCs w:val="21"/>
              </w:rPr>
            </w:pPr>
          </w:p>
        </w:tc>
        <w:tc>
          <w:tcPr>
            <w:tcW w:w="752" w:type="dxa"/>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3" w:hRule="atLeast"/>
          <w:jc w:val="center"/>
        </w:trPr>
        <w:tc>
          <w:tcPr>
            <w:tcW w:w="834" w:type="dxa"/>
            <w:vMerge w:val="continue"/>
            <w:textDirection w:val="tbRlV"/>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3</w:t>
            </w:r>
          </w:p>
        </w:tc>
        <w:tc>
          <w:tcPr>
            <w:tcW w:w="6697" w:type="dxa"/>
            <w:vAlign w:val="center"/>
          </w:tcPr>
          <w:p>
            <w:pPr>
              <w:rPr>
                <w:rFonts w:ascii="宋体" w:hAnsi="宋体" w:cs="宋体"/>
                <w:szCs w:val="21"/>
              </w:rPr>
            </w:pPr>
            <w:r>
              <w:rPr>
                <w:rFonts w:hint="eastAsia" w:ascii="宋体" w:hAnsi="宋体" w:cs="宋体"/>
                <w:szCs w:val="21"/>
              </w:rPr>
              <w:t>投标文件附有招标人不能接受条件的；</w:t>
            </w:r>
          </w:p>
        </w:tc>
        <w:tc>
          <w:tcPr>
            <w:tcW w:w="740" w:type="dxa"/>
          </w:tcPr>
          <w:p>
            <w:pPr>
              <w:rPr>
                <w:rFonts w:ascii="宋体" w:hAnsi="宋体" w:cs="宋体"/>
                <w:szCs w:val="21"/>
              </w:rPr>
            </w:pPr>
          </w:p>
        </w:tc>
        <w:tc>
          <w:tcPr>
            <w:tcW w:w="752" w:type="dxa"/>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9"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4</w:t>
            </w:r>
          </w:p>
        </w:tc>
        <w:tc>
          <w:tcPr>
            <w:tcW w:w="6697" w:type="dxa"/>
            <w:vAlign w:val="center"/>
          </w:tcPr>
          <w:p>
            <w:pPr>
              <w:rPr>
                <w:rFonts w:ascii="宋体" w:hAnsi="宋体" w:cs="宋体"/>
                <w:szCs w:val="21"/>
              </w:rPr>
            </w:pPr>
            <w:r>
              <w:rPr>
                <w:rFonts w:hint="eastAsia" w:ascii="宋体" w:hAnsi="宋体" w:cs="宋体"/>
                <w:szCs w:val="21"/>
              </w:rPr>
              <w:t>不满足招标文件实质性要求的其他情形；</w:t>
            </w:r>
          </w:p>
        </w:tc>
        <w:tc>
          <w:tcPr>
            <w:tcW w:w="740" w:type="dxa"/>
          </w:tcPr>
          <w:p>
            <w:pPr>
              <w:rPr>
                <w:rFonts w:ascii="宋体" w:hAnsi="宋体" w:cs="宋体"/>
                <w:szCs w:val="21"/>
              </w:rPr>
            </w:pPr>
          </w:p>
        </w:tc>
        <w:tc>
          <w:tcPr>
            <w:tcW w:w="752" w:type="dxa"/>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atLeast"/>
          <w:jc w:val="center"/>
        </w:trPr>
        <w:tc>
          <w:tcPr>
            <w:tcW w:w="834" w:type="dxa"/>
            <w:vMerge w:val="restart"/>
            <w:vAlign w:val="center"/>
          </w:tcPr>
          <w:p>
            <w:pPr>
              <w:jc w:val="center"/>
              <w:rPr>
                <w:rFonts w:ascii="宋体" w:hAnsi="宋体" w:cs="宋体"/>
                <w:szCs w:val="21"/>
              </w:rPr>
            </w:pPr>
            <w:r>
              <w:rPr>
                <w:rFonts w:hint="eastAsia" w:ascii="宋体" w:hAnsi="宋体" w:cs="宋体"/>
                <w:szCs w:val="21"/>
              </w:rPr>
              <w:t>资</w:t>
            </w:r>
          </w:p>
          <w:p>
            <w:pPr>
              <w:jc w:val="center"/>
              <w:rPr>
                <w:rFonts w:ascii="宋体" w:hAnsi="宋体" w:cs="宋体"/>
                <w:szCs w:val="21"/>
              </w:rPr>
            </w:pPr>
            <w:r>
              <w:rPr>
                <w:rFonts w:hint="eastAsia" w:ascii="宋体" w:hAnsi="宋体" w:cs="宋体"/>
                <w:szCs w:val="21"/>
              </w:rPr>
              <w:t>格</w:t>
            </w:r>
          </w:p>
          <w:p>
            <w:pPr>
              <w:jc w:val="center"/>
              <w:rPr>
                <w:rFonts w:ascii="宋体" w:hAnsi="宋体" w:cs="宋体"/>
                <w:szCs w:val="21"/>
              </w:rPr>
            </w:pPr>
            <w:r>
              <w:rPr>
                <w:rFonts w:hint="eastAsia" w:ascii="宋体" w:hAnsi="宋体" w:cs="宋体"/>
                <w:szCs w:val="21"/>
              </w:rPr>
              <w:t>评</w:t>
            </w:r>
          </w:p>
          <w:p>
            <w:pPr>
              <w:jc w:val="center"/>
              <w:rPr>
                <w:rFonts w:ascii="宋体" w:hAnsi="宋体" w:cs="宋体"/>
                <w:szCs w:val="21"/>
              </w:rPr>
            </w:pPr>
            <w:r>
              <w:rPr>
                <w:rFonts w:hint="eastAsia" w:ascii="宋体" w:hAnsi="宋体" w:cs="宋体"/>
                <w:szCs w:val="21"/>
              </w:rPr>
              <w:t>审</w:t>
            </w:r>
          </w:p>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1</w:t>
            </w:r>
          </w:p>
        </w:tc>
        <w:tc>
          <w:tcPr>
            <w:tcW w:w="6697" w:type="dxa"/>
            <w:vAlign w:val="center"/>
          </w:tcPr>
          <w:p>
            <w:pPr>
              <w:rPr>
                <w:rFonts w:ascii="宋体" w:hAnsi="宋体" w:cs="宋体"/>
                <w:szCs w:val="21"/>
              </w:rPr>
            </w:pPr>
            <w:r>
              <w:rPr>
                <w:rFonts w:hint="eastAsia" w:ascii="宋体" w:hAnsi="宋体" w:cs="宋体"/>
                <w:szCs w:val="21"/>
              </w:rPr>
              <w:t>是否具有有效经年检的三证合一的营业执照；</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2"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2</w:t>
            </w:r>
          </w:p>
        </w:tc>
        <w:tc>
          <w:tcPr>
            <w:tcW w:w="6697" w:type="dxa"/>
            <w:vAlign w:val="center"/>
          </w:tcPr>
          <w:p>
            <w:pPr>
              <w:rPr>
                <w:rFonts w:ascii="宋体" w:hAnsi="宋体" w:cs="宋体"/>
                <w:szCs w:val="21"/>
              </w:rPr>
            </w:pPr>
            <w:r>
              <w:rPr>
                <w:rFonts w:hint="eastAsia" w:ascii="宋体" w:cs="宋体"/>
                <w:kern w:val="0"/>
                <w:szCs w:val="21"/>
              </w:rPr>
              <w:t>是否具有近一年（2020年）的财务审计报告或成立不满足一年的提供财务报表</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hint="eastAsia" w:ascii="宋体" w:hAnsi="宋体" w:eastAsia="宋体" w:cs="宋体"/>
                <w:szCs w:val="21"/>
                <w:lang w:eastAsia="zh-CN"/>
              </w:rPr>
            </w:pPr>
            <w:r>
              <w:rPr>
                <w:rFonts w:hint="eastAsia" w:ascii="宋体" w:hAnsi="宋体" w:cs="宋体"/>
                <w:szCs w:val="21"/>
                <w:lang w:val="en-US" w:eastAsia="zh-CN"/>
              </w:rPr>
              <w:t>3</w:t>
            </w:r>
          </w:p>
        </w:tc>
        <w:tc>
          <w:tcPr>
            <w:tcW w:w="6697" w:type="dxa"/>
            <w:vAlign w:val="center"/>
          </w:tcPr>
          <w:p>
            <w:pPr>
              <w:autoSpaceDE w:val="0"/>
              <w:autoSpaceDN w:val="0"/>
              <w:rPr>
                <w:rFonts w:ascii="宋体" w:hAnsi="宋体" w:cs="宋体"/>
                <w:szCs w:val="21"/>
              </w:rPr>
            </w:pPr>
            <w:r>
              <w:rPr>
                <w:rFonts w:hint="eastAsia" w:ascii="宋体" w:hAnsi="宋体" w:cs="宋体"/>
                <w:szCs w:val="21"/>
              </w:rPr>
              <w:t>是否提供近六个月完税证明和盖有社保局公章的社保缴纳证明（社保缴纳证明中含法人及委托人的社保明细）</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2"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hint="eastAsia" w:ascii="宋体" w:hAnsi="宋体" w:eastAsia="宋体" w:cs="宋体"/>
                <w:szCs w:val="21"/>
                <w:lang w:eastAsia="zh-CN"/>
              </w:rPr>
            </w:pPr>
            <w:r>
              <w:rPr>
                <w:rFonts w:hint="eastAsia" w:ascii="宋体" w:hAnsi="宋体" w:cs="宋体"/>
                <w:szCs w:val="21"/>
                <w:lang w:val="en-US" w:eastAsia="zh-CN"/>
              </w:rPr>
              <w:t>4</w:t>
            </w:r>
          </w:p>
        </w:tc>
        <w:tc>
          <w:tcPr>
            <w:tcW w:w="6697" w:type="dxa"/>
            <w:vAlign w:val="center"/>
          </w:tcPr>
          <w:p>
            <w:pPr>
              <w:autoSpaceDE w:val="0"/>
              <w:autoSpaceDN w:val="0"/>
              <w:rPr>
                <w:rFonts w:ascii="宋体" w:hAnsi="宋体" w:cs="宋体"/>
                <w:szCs w:val="21"/>
              </w:rPr>
            </w:pPr>
            <w:r>
              <w:rPr>
                <w:rFonts w:hint="eastAsia" w:ascii="宋体" w:cs="宋体"/>
                <w:kern w:val="0"/>
                <w:szCs w:val="21"/>
              </w:rPr>
              <w:t>是否提供法定代表人身份证明或法定代表人授权委托书及受托人身份证原件；</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2"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hint="eastAsia" w:ascii="宋体" w:hAnsi="宋体" w:eastAsia="宋体" w:cs="宋体"/>
                <w:szCs w:val="21"/>
                <w:lang w:eastAsia="zh-CN"/>
              </w:rPr>
            </w:pPr>
            <w:r>
              <w:rPr>
                <w:rFonts w:hint="eastAsia" w:ascii="宋体" w:hAnsi="宋体" w:cs="宋体"/>
                <w:szCs w:val="21"/>
                <w:lang w:val="en-US" w:eastAsia="zh-CN"/>
              </w:rPr>
              <w:t>5</w:t>
            </w:r>
          </w:p>
        </w:tc>
        <w:tc>
          <w:tcPr>
            <w:tcW w:w="6697" w:type="dxa"/>
            <w:vAlign w:val="center"/>
          </w:tcPr>
          <w:p>
            <w:pPr>
              <w:autoSpaceDE w:val="0"/>
              <w:autoSpaceDN w:val="0"/>
              <w:rPr>
                <w:rFonts w:ascii="宋体" w:cs="宋体"/>
                <w:kern w:val="0"/>
                <w:szCs w:val="21"/>
              </w:rPr>
            </w:pPr>
            <w:r>
              <w:rPr>
                <w:rFonts w:hint="eastAsia" w:ascii="宋体" w:cs="宋体"/>
                <w:kern w:val="0"/>
                <w:szCs w:val="21"/>
              </w:rPr>
              <w:t>是否提供“信用中国”网站和中国政府采购网的查询结果；</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2" w:hRule="atLeast"/>
          <w:jc w:val="center"/>
        </w:trPr>
        <w:tc>
          <w:tcPr>
            <w:tcW w:w="834" w:type="dxa"/>
            <w:vMerge w:val="restart"/>
            <w:vAlign w:val="center"/>
          </w:tcPr>
          <w:p>
            <w:pPr>
              <w:jc w:val="center"/>
              <w:rPr>
                <w:rFonts w:ascii="宋体" w:hAnsi="宋体" w:cs="宋体"/>
                <w:szCs w:val="21"/>
              </w:rPr>
            </w:pPr>
            <w:r>
              <w:rPr>
                <w:rFonts w:hint="eastAsia" w:ascii="宋体" w:hAnsi="宋体" w:cs="宋体"/>
                <w:szCs w:val="21"/>
              </w:rPr>
              <w:t>响应性评审</w:t>
            </w:r>
          </w:p>
        </w:tc>
        <w:tc>
          <w:tcPr>
            <w:tcW w:w="737" w:type="dxa"/>
            <w:vAlign w:val="center"/>
          </w:tcPr>
          <w:p>
            <w:pPr>
              <w:jc w:val="center"/>
              <w:rPr>
                <w:rFonts w:ascii="宋体" w:hAnsi="宋体" w:cs="宋体"/>
                <w:szCs w:val="21"/>
              </w:rPr>
            </w:pPr>
            <w:r>
              <w:rPr>
                <w:rFonts w:hint="eastAsia" w:ascii="宋体" w:hAnsi="宋体" w:cs="宋体"/>
                <w:szCs w:val="21"/>
              </w:rPr>
              <w:t>1</w:t>
            </w:r>
          </w:p>
        </w:tc>
        <w:tc>
          <w:tcPr>
            <w:tcW w:w="6697" w:type="dxa"/>
            <w:vAlign w:val="center"/>
          </w:tcPr>
          <w:p>
            <w:pPr>
              <w:autoSpaceDE w:val="0"/>
              <w:autoSpaceDN w:val="0"/>
              <w:rPr>
                <w:rFonts w:ascii="宋体" w:cs="宋体"/>
                <w:kern w:val="0"/>
                <w:szCs w:val="21"/>
              </w:rPr>
            </w:pPr>
            <w:r>
              <w:rPr>
                <w:rFonts w:hint="eastAsia" w:ascii="宋体" w:cs="宋体"/>
                <w:kern w:val="0"/>
                <w:szCs w:val="21"/>
              </w:rPr>
              <w:t>投标范围符合招标文件规定；</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2"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2</w:t>
            </w:r>
          </w:p>
        </w:tc>
        <w:tc>
          <w:tcPr>
            <w:tcW w:w="6697" w:type="dxa"/>
            <w:vAlign w:val="center"/>
          </w:tcPr>
          <w:p>
            <w:pPr>
              <w:autoSpaceDE w:val="0"/>
              <w:autoSpaceDN w:val="0"/>
              <w:rPr>
                <w:rFonts w:ascii="宋体" w:cs="宋体"/>
                <w:kern w:val="0"/>
                <w:szCs w:val="21"/>
              </w:rPr>
            </w:pPr>
            <w:r>
              <w:rPr>
                <w:rFonts w:hint="eastAsia" w:ascii="宋体" w:cs="宋体"/>
                <w:kern w:val="0"/>
                <w:szCs w:val="21"/>
              </w:rPr>
              <w:t>供货期符合招标文件规定；</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9"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3</w:t>
            </w:r>
          </w:p>
        </w:tc>
        <w:tc>
          <w:tcPr>
            <w:tcW w:w="6697" w:type="dxa"/>
            <w:vAlign w:val="center"/>
          </w:tcPr>
          <w:p>
            <w:pPr>
              <w:autoSpaceDE w:val="0"/>
              <w:autoSpaceDN w:val="0"/>
              <w:rPr>
                <w:rFonts w:ascii="宋体" w:cs="宋体"/>
                <w:kern w:val="0"/>
                <w:szCs w:val="21"/>
              </w:rPr>
            </w:pPr>
            <w:r>
              <w:rPr>
                <w:rFonts w:hint="eastAsia" w:ascii="宋体" w:cs="宋体"/>
                <w:kern w:val="0"/>
                <w:szCs w:val="21"/>
              </w:rPr>
              <w:t>投标总价超出招标文件规定的最高限价；</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4</w:t>
            </w:r>
          </w:p>
        </w:tc>
        <w:tc>
          <w:tcPr>
            <w:tcW w:w="6697" w:type="dxa"/>
            <w:vAlign w:val="center"/>
          </w:tcPr>
          <w:p>
            <w:pPr>
              <w:autoSpaceDE w:val="0"/>
              <w:autoSpaceDN w:val="0"/>
              <w:rPr>
                <w:rFonts w:ascii="宋体" w:cs="宋体"/>
                <w:kern w:val="0"/>
                <w:szCs w:val="21"/>
              </w:rPr>
            </w:pPr>
            <w:r>
              <w:rPr>
                <w:rFonts w:hint="eastAsia" w:ascii="宋体" w:cs="宋体"/>
                <w:kern w:val="0"/>
                <w:szCs w:val="21"/>
              </w:rPr>
              <w:t>投标保证金缴纳符合招标文件规定</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2"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5</w:t>
            </w:r>
          </w:p>
        </w:tc>
        <w:tc>
          <w:tcPr>
            <w:tcW w:w="6697" w:type="dxa"/>
            <w:vAlign w:val="center"/>
          </w:tcPr>
          <w:p>
            <w:pPr>
              <w:autoSpaceDE w:val="0"/>
              <w:autoSpaceDN w:val="0"/>
              <w:rPr>
                <w:rFonts w:ascii="宋体" w:cs="宋体"/>
                <w:kern w:val="0"/>
                <w:szCs w:val="21"/>
              </w:rPr>
            </w:pPr>
            <w:r>
              <w:rPr>
                <w:rFonts w:hint="eastAsia" w:ascii="宋体" w:cs="宋体"/>
                <w:kern w:val="0"/>
                <w:szCs w:val="21"/>
              </w:rPr>
              <w:t>投标有效期符合招标文件规定；</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2"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6</w:t>
            </w:r>
          </w:p>
        </w:tc>
        <w:tc>
          <w:tcPr>
            <w:tcW w:w="6697" w:type="dxa"/>
            <w:vAlign w:val="center"/>
          </w:tcPr>
          <w:p>
            <w:pPr>
              <w:autoSpaceDE w:val="0"/>
              <w:autoSpaceDN w:val="0"/>
              <w:rPr>
                <w:rFonts w:ascii="宋体" w:cs="宋体"/>
                <w:kern w:val="0"/>
                <w:szCs w:val="21"/>
              </w:rPr>
            </w:pPr>
            <w:r>
              <w:rPr>
                <w:rFonts w:hint="eastAsia" w:ascii="宋体" w:cs="宋体"/>
                <w:kern w:val="0"/>
                <w:szCs w:val="21"/>
              </w:rPr>
              <w:t>《投标文件》技术参数不满足招标文件要求或严重负偏离的；</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9" w:hRule="atLeast"/>
          <w:jc w:val="center"/>
        </w:trPr>
        <w:tc>
          <w:tcPr>
            <w:tcW w:w="834" w:type="dxa"/>
            <w:vAlign w:val="center"/>
          </w:tcPr>
          <w:p>
            <w:pPr>
              <w:jc w:val="center"/>
              <w:rPr>
                <w:rFonts w:ascii="宋体" w:hAnsi="宋体" w:cs="宋体"/>
                <w:szCs w:val="21"/>
              </w:rPr>
            </w:pPr>
          </w:p>
        </w:tc>
        <w:tc>
          <w:tcPr>
            <w:tcW w:w="8926" w:type="dxa"/>
            <w:gridSpan w:val="4"/>
            <w:vAlign w:val="center"/>
          </w:tcPr>
          <w:p>
            <w:pPr>
              <w:rPr>
                <w:rFonts w:ascii="宋体" w:hAnsi="宋体" w:cs="宋体"/>
                <w:szCs w:val="21"/>
              </w:rPr>
            </w:pPr>
            <w:r>
              <w:rPr>
                <w:rFonts w:hint="eastAsia" w:ascii="宋体" w:hAnsi="宋体" w:cs="宋体"/>
                <w:szCs w:val="21"/>
              </w:rPr>
              <w:t>结论：是否通过评审</w:t>
            </w:r>
          </w:p>
        </w:tc>
      </w:tr>
    </w:tbl>
    <w:p>
      <w:pPr>
        <w:tabs>
          <w:tab w:val="left" w:pos="900"/>
        </w:tabs>
        <w:rPr>
          <w:rFonts w:ascii="宋体" w:hAnsi="宋体"/>
          <w:szCs w:val="21"/>
        </w:rPr>
      </w:pPr>
    </w:p>
    <w:p>
      <w:pPr>
        <w:tabs>
          <w:tab w:val="left" w:pos="900"/>
        </w:tabs>
        <w:rPr>
          <w:rFonts w:ascii="宋体" w:hAnsi="宋体"/>
          <w:szCs w:val="21"/>
        </w:rPr>
      </w:pPr>
    </w:p>
    <w:p>
      <w:pPr>
        <w:bidi w:val="0"/>
      </w:pPr>
    </w:p>
    <w:p>
      <w:pPr>
        <w:pStyle w:val="7"/>
        <w:rPr>
          <w:rFonts w:ascii="宋体" w:hAnsi="宋体"/>
          <w:szCs w:val="21"/>
        </w:rPr>
      </w:pPr>
    </w:p>
    <w:p>
      <w:pPr>
        <w:pStyle w:val="7"/>
        <w:rPr>
          <w:rFonts w:ascii="宋体" w:hAnsi="宋体"/>
          <w:szCs w:val="21"/>
        </w:rPr>
      </w:pPr>
    </w:p>
    <w:p>
      <w:pPr>
        <w:bidi w:val="0"/>
        <w:rPr>
          <w:rFonts w:hint="eastAsia"/>
        </w:rPr>
      </w:pPr>
    </w:p>
    <w:p>
      <w:pPr>
        <w:tabs>
          <w:tab w:val="left" w:pos="900"/>
        </w:tabs>
        <w:rPr>
          <w:rFonts w:ascii="宋体" w:hAnsi="宋体"/>
          <w:szCs w:val="21"/>
        </w:rPr>
      </w:pPr>
      <w:r>
        <w:rPr>
          <w:rFonts w:hint="eastAsia" w:ascii="宋体" w:hAnsi="宋体"/>
          <w:szCs w:val="21"/>
        </w:rPr>
        <w:t>附表二</w:t>
      </w:r>
      <w:bookmarkStart w:id="108" w:name="_Toc10870"/>
      <w:r>
        <w:rPr>
          <w:rFonts w:hint="eastAsia" w:ascii="宋体" w:hAnsi="宋体"/>
          <w:szCs w:val="21"/>
        </w:rPr>
        <w:t xml:space="preserve">     </w:t>
      </w:r>
    </w:p>
    <w:p>
      <w:pPr>
        <w:tabs>
          <w:tab w:val="left" w:pos="900"/>
        </w:tabs>
        <w:jc w:val="center"/>
        <w:rPr>
          <w:rFonts w:hint="eastAsia" w:ascii="宋体" w:hAnsi="宋体" w:eastAsia="宋体"/>
          <w:b/>
          <w:sz w:val="24"/>
          <w:szCs w:val="24"/>
          <w:lang w:eastAsia="zh-CN"/>
        </w:rPr>
      </w:pPr>
      <w:r>
        <w:rPr>
          <w:rFonts w:hint="eastAsia" w:ascii="宋体" w:hAnsi="宋体"/>
          <w:b/>
          <w:sz w:val="24"/>
          <w:szCs w:val="24"/>
        </w:rPr>
        <w:t>详细评分标准表</w:t>
      </w:r>
    </w:p>
    <w:tbl>
      <w:tblPr>
        <w:tblStyle w:val="39"/>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7"/>
        <w:gridCol w:w="1078"/>
        <w:gridCol w:w="1595"/>
        <w:gridCol w:w="6063"/>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327" w:type="dxa"/>
            <w:vAlign w:val="center"/>
          </w:tcPr>
          <w:p>
            <w:pPr>
              <w:jc w:val="center"/>
              <w:rPr>
                <w:rFonts w:ascii="宋体" w:hAnsi="宋体"/>
                <w:b/>
                <w:sz w:val="24"/>
              </w:rPr>
            </w:pPr>
            <w:r>
              <w:rPr>
                <w:rFonts w:hint="eastAsia" w:ascii="宋体" w:hAnsi="宋体"/>
                <w:b/>
                <w:sz w:val="24"/>
              </w:rPr>
              <w:t>序号</w:t>
            </w:r>
          </w:p>
        </w:tc>
        <w:tc>
          <w:tcPr>
            <w:tcW w:w="1078" w:type="dxa"/>
            <w:tcMar>
              <w:top w:w="15" w:type="dxa"/>
              <w:left w:w="15" w:type="dxa"/>
              <w:bottom w:w="0" w:type="dxa"/>
              <w:right w:w="15" w:type="dxa"/>
            </w:tcMar>
            <w:vAlign w:val="center"/>
          </w:tcPr>
          <w:p>
            <w:pPr>
              <w:jc w:val="center"/>
              <w:rPr>
                <w:rFonts w:ascii="宋体" w:hAnsi="宋体"/>
                <w:b/>
                <w:sz w:val="24"/>
              </w:rPr>
            </w:pPr>
            <w:r>
              <w:rPr>
                <w:rFonts w:hint="eastAsia" w:ascii="宋体" w:hAnsi="宋体"/>
                <w:b/>
                <w:sz w:val="24"/>
              </w:rPr>
              <w:t>类别</w:t>
            </w:r>
          </w:p>
        </w:tc>
        <w:tc>
          <w:tcPr>
            <w:tcW w:w="1595" w:type="dxa"/>
            <w:tcMar>
              <w:top w:w="15" w:type="dxa"/>
              <w:left w:w="15" w:type="dxa"/>
              <w:bottom w:w="0" w:type="dxa"/>
              <w:right w:w="15" w:type="dxa"/>
            </w:tcMar>
            <w:vAlign w:val="center"/>
          </w:tcPr>
          <w:p>
            <w:pPr>
              <w:jc w:val="center"/>
              <w:rPr>
                <w:rFonts w:ascii="宋体" w:hAnsi="宋体"/>
                <w:b/>
                <w:sz w:val="24"/>
              </w:rPr>
            </w:pPr>
            <w:r>
              <w:rPr>
                <w:rFonts w:hint="eastAsia" w:ascii="宋体" w:hAnsi="宋体"/>
                <w:b/>
                <w:sz w:val="24"/>
              </w:rPr>
              <w:t>评审因素</w:t>
            </w:r>
          </w:p>
        </w:tc>
        <w:tc>
          <w:tcPr>
            <w:tcW w:w="6063" w:type="dxa"/>
            <w:tcMar>
              <w:top w:w="15" w:type="dxa"/>
              <w:left w:w="15" w:type="dxa"/>
              <w:bottom w:w="0" w:type="dxa"/>
              <w:right w:w="15" w:type="dxa"/>
            </w:tcMar>
            <w:vAlign w:val="center"/>
          </w:tcPr>
          <w:p>
            <w:pPr>
              <w:jc w:val="center"/>
              <w:rPr>
                <w:rFonts w:ascii="宋体" w:hAnsi="宋体"/>
                <w:b/>
                <w:sz w:val="24"/>
              </w:rPr>
            </w:pPr>
            <w:r>
              <w:rPr>
                <w:rFonts w:hint="eastAsia" w:ascii="宋体" w:hAnsi="宋体"/>
                <w:b/>
                <w:sz w:val="24"/>
              </w:rPr>
              <w:t>评分细则</w:t>
            </w:r>
          </w:p>
        </w:tc>
        <w:tc>
          <w:tcPr>
            <w:tcW w:w="791" w:type="dxa"/>
            <w:vAlign w:val="center"/>
          </w:tcPr>
          <w:p>
            <w:pPr>
              <w:jc w:val="center"/>
              <w:rPr>
                <w:rFonts w:ascii="宋体" w:hAnsi="宋体"/>
                <w:b/>
                <w:sz w:val="24"/>
              </w:rPr>
            </w:pPr>
            <w:r>
              <w:rPr>
                <w:rFonts w:hint="eastAsia" w:ascii="宋体" w:hAnsi="宋体"/>
                <w:b/>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327" w:type="dxa"/>
            <w:vAlign w:val="center"/>
          </w:tcPr>
          <w:p>
            <w:pPr>
              <w:adjustRightInd w:val="0"/>
              <w:snapToGrid w:val="0"/>
              <w:jc w:val="center"/>
              <w:rPr>
                <w:rFonts w:ascii="宋体" w:hAnsi="宋体"/>
                <w:sz w:val="24"/>
              </w:rPr>
            </w:pPr>
            <w:r>
              <w:rPr>
                <w:rFonts w:hint="eastAsia" w:ascii="宋体" w:hAnsi="宋体"/>
                <w:sz w:val="24"/>
              </w:rPr>
              <w:t>1</w:t>
            </w:r>
          </w:p>
        </w:tc>
        <w:tc>
          <w:tcPr>
            <w:tcW w:w="1078" w:type="dxa"/>
            <w:tcMar>
              <w:top w:w="15" w:type="dxa"/>
              <w:left w:w="15" w:type="dxa"/>
              <w:bottom w:w="0" w:type="dxa"/>
              <w:right w:w="15" w:type="dxa"/>
            </w:tcMar>
            <w:vAlign w:val="center"/>
          </w:tcPr>
          <w:p>
            <w:pPr>
              <w:tabs>
                <w:tab w:val="left" w:pos="540"/>
              </w:tabs>
              <w:autoSpaceDE w:val="0"/>
              <w:autoSpaceDN w:val="0"/>
              <w:adjustRightInd w:val="0"/>
              <w:snapToGrid w:val="0"/>
              <w:spacing w:line="240" w:lineRule="exact"/>
              <w:jc w:val="center"/>
              <w:rPr>
                <w:szCs w:val="21"/>
              </w:rPr>
            </w:pPr>
            <w:r>
              <w:rPr>
                <w:rFonts w:hint="eastAsia"/>
                <w:szCs w:val="21"/>
              </w:rPr>
              <w:t>价格</w:t>
            </w:r>
          </w:p>
          <w:p>
            <w:pPr>
              <w:tabs>
                <w:tab w:val="left" w:pos="540"/>
              </w:tabs>
              <w:autoSpaceDE w:val="0"/>
              <w:autoSpaceDN w:val="0"/>
              <w:adjustRightInd w:val="0"/>
              <w:snapToGrid w:val="0"/>
              <w:spacing w:line="240" w:lineRule="exact"/>
              <w:jc w:val="center"/>
              <w:rPr>
                <w:szCs w:val="21"/>
              </w:rPr>
            </w:pPr>
            <w:r>
              <w:rPr>
                <w:rFonts w:hint="eastAsia"/>
                <w:szCs w:val="21"/>
              </w:rPr>
              <w:t>30分</w:t>
            </w:r>
          </w:p>
        </w:tc>
        <w:tc>
          <w:tcPr>
            <w:tcW w:w="1595" w:type="dxa"/>
            <w:tcMar>
              <w:top w:w="15" w:type="dxa"/>
              <w:left w:w="15" w:type="dxa"/>
              <w:bottom w:w="0" w:type="dxa"/>
              <w:right w:w="15" w:type="dxa"/>
            </w:tcMar>
            <w:vAlign w:val="center"/>
          </w:tcPr>
          <w:p>
            <w:pPr>
              <w:autoSpaceDE w:val="0"/>
              <w:autoSpaceDN w:val="0"/>
              <w:adjustRightInd w:val="0"/>
              <w:snapToGrid w:val="0"/>
              <w:spacing w:line="240" w:lineRule="exact"/>
              <w:jc w:val="center"/>
              <w:rPr>
                <w:rFonts w:ascii="宋体" w:hAnsi="宋体"/>
                <w:szCs w:val="21"/>
              </w:rPr>
            </w:pPr>
            <w:r>
              <w:rPr>
                <w:rFonts w:hint="eastAsia"/>
                <w:szCs w:val="21"/>
              </w:rPr>
              <w:t>报价</w:t>
            </w:r>
            <w:r>
              <w:rPr>
                <w:rFonts w:hint="eastAsia" w:ascii="宋体" w:hAnsi="宋体"/>
                <w:szCs w:val="21"/>
              </w:rPr>
              <w:t>的合理性</w:t>
            </w:r>
          </w:p>
        </w:tc>
        <w:tc>
          <w:tcPr>
            <w:tcW w:w="6063" w:type="dxa"/>
            <w:tcMar>
              <w:top w:w="15" w:type="dxa"/>
              <w:left w:w="15" w:type="dxa"/>
              <w:bottom w:w="0" w:type="dxa"/>
              <w:right w:w="15" w:type="dxa"/>
            </w:tcMar>
            <w:vAlign w:val="center"/>
          </w:tcPr>
          <w:p>
            <w:pPr>
              <w:snapToGrid w:val="0"/>
              <w:spacing w:line="240" w:lineRule="exact"/>
              <w:rPr>
                <w:rFonts w:ascii="宋体" w:hAnsi="宋体"/>
                <w:szCs w:val="21"/>
              </w:rPr>
            </w:pPr>
            <w:r>
              <w:rPr>
                <w:rFonts w:ascii="宋体" w:hAnsi="宋体"/>
                <w:szCs w:val="21"/>
              </w:rPr>
              <w:t>投标报价得分=（评标基准价/投标报价）</w:t>
            </w:r>
            <w:r>
              <w:rPr>
                <w:rFonts w:hint="eastAsia" w:ascii="宋体" w:hAnsi="宋体"/>
                <w:szCs w:val="21"/>
                <w:lang w:val="en-US" w:eastAsia="zh-CN"/>
              </w:rPr>
              <w:t>*</w:t>
            </w:r>
            <w:r>
              <w:rPr>
                <w:rFonts w:ascii="宋体" w:hAnsi="宋体"/>
                <w:szCs w:val="21"/>
              </w:rPr>
              <w:t>价格权重</w:t>
            </w:r>
            <w:r>
              <w:rPr>
                <w:rFonts w:hint="eastAsia" w:ascii="宋体" w:hAnsi="宋体"/>
                <w:szCs w:val="21"/>
                <w:lang w:val="en-US" w:eastAsia="zh-CN"/>
              </w:rPr>
              <w:t>*</w:t>
            </w:r>
            <w:r>
              <w:rPr>
                <w:rFonts w:ascii="宋体" w:hAnsi="宋体"/>
                <w:szCs w:val="21"/>
              </w:rPr>
              <w:t>100</w:t>
            </w:r>
          </w:p>
          <w:p>
            <w:pPr>
              <w:autoSpaceDE w:val="0"/>
              <w:autoSpaceDN w:val="0"/>
              <w:adjustRightInd w:val="0"/>
              <w:snapToGrid w:val="0"/>
              <w:spacing w:line="360" w:lineRule="exact"/>
              <w:rPr>
                <w:rFonts w:ascii="宋体" w:hAnsi="宋体"/>
                <w:szCs w:val="21"/>
              </w:rPr>
            </w:pPr>
            <w:r>
              <w:rPr>
                <w:rFonts w:ascii="宋体" w:hAnsi="宋体"/>
                <w:szCs w:val="21"/>
              </w:rPr>
              <w:t>注：基准价=响应招标文件的最</w:t>
            </w:r>
            <w:r>
              <w:rPr>
                <w:rFonts w:hint="eastAsia" w:ascii="宋体" w:hAnsi="宋体"/>
                <w:szCs w:val="21"/>
              </w:rPr>
              <w:t>低</w:t>
            </w:r>
            <w:r>
              <w:rPr>
                <w:rFonts w:ascii="宋体" w:hAnsi="宋体"/>
                <w:szCs w:val="21"/>
              </w:rPr>
              <w:t xml:space="preserve">投标报价 </w:t>
            </w:r>
          </w:p>
        </w:tc>
        <w:tc>
          <w:tcPr>
            <w:tcW w:w="791" w:type="dxa"/>
            <w:vAlign w:val="center"/>
          </w:tcPr>
          <w:p>
            <w:pPr>
              <w:spacing w:line="240" w:lineRule="exact"/>
              <w:jc w:val="center"/>
              <w:rPr>
                <w:rFonts w:ascii="宋体" w:hAnsi="宋体"/>
                <w:szCs w:val="21"/>
              </w:rPr>
            </w:pPr>
            <w:r>
              <w:rPr>
                <w:rFonts w:hint="eastAsia" w:ascii="宋体" w:hAnsi="宋体"/>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327" w:type="dxa"/>
            <w:vAlign w:val="center"/>
          </w:tcPr>
          <w:p>
            <w:pPr>
              <w:adjustRightInd w:val="0"/>
              <w:snapToGrid w:val="0"/>
              <w:jc w:val="center"/>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2</w:t>
            </w:r>
          </w:p>
        </w:tc>
        <w:tc>
          <w:tcPr>
            <w:tcW w:w="1078" w:type="dxa"/>
            <w:vMerge w:val="restart"/>
            <w:tcMar>
              <w:top w:w="15" w:type="dxa"/>
              <w:left w:w="15" w:type="dxa"/>
              <w:bottom w:w="0" w:type="dxa"/>
              <w:right w:w="15" w:type="dxa"/>
            </w:tcMar>
            <w:vAlign w:val="center"/>
          </w:tcPr>
          <w:p>
            <w:pPr>
              <w:tabs>
                <w:tab w:val="left" w:pos="540"/>
              </w:tabs>
              <w:autoSpaceDE w:val="0"/>
              <w:autoSpaceDN w:val="0"/>
              <w:adjustRightInd w:val="0"/>
              <w:snapToGrid w:val="0"/>
              <w:spacing w:line="240" w:lineRule="exact"/>
              <w:jc w:val="center"/>
              <w:rPr>
                <w:rFonts w:hint="eastAsia" w:eastAsia="宋体"/>
                <w:szCs w:val="21"/>
                <w:lang w:val="en-US" w:eastAsia="zh-CN"/>
              </w:rPr>
            </w:pPr>
            <w:r>
              <w:rPr>
                <w:rFonts w:hint="eastAsia"/>
                <w:szCs w:val="21"/>
              </w:rPr>
              <w:t>商务</w:t>
            </w:r>
            <w:r>
              <w:rPr>
                <w:rFonts w:hint="eastAsia"/>
                <w:szCs w:val="21"/>
                <w:lang w:val="en-US" w:eastAsia="zh-CN"/>
              </w:rPr>
              <w:t>部分</w:t>
            </w:r>
          </w:p>
          <w:p>
            <w:pPr>
              <w:spacing w:line="240" w:lineRule="exact"/>
              <w:jc w:val="center"/>
              <w:rPr>
                <w:rFonts w:ascii="宋体" w:hAnsi="宋体" w:cs="宋体"/>
              </w:rPr>
            </w:pPr>
            <w:r>
              <w:rPr>
                <w:rFonts w:hint="eastAsia"/>
                <w:color w:val="000000" w:themeColor="text1"/>
                <w:szCs w:val="21"/>
                <w:lang w:val="en-US" w:eastAsia="zh-CN"/>
                <w14:textFill>
                  <w14:solidFill>
                    <w14:schemeClr w14:val="tx1"/>
                  </w14:solidFill>
                </w14:textFill>
              </w:rPr>
              <w:t>10</w:t>
            </w:r>
            <w:r>
              <w:rPr>
                <w:rFonts w:hint="eastAsia"/>
                <w:color w:val="000000" w:themeColor="text1"/>
                <w:szCs w:val="21"/>
                <w14:textFill>
                  <w14:solidFill>
                    <w14:schemeClr w14:val="tx1"/>
                  </w14:solidFill>
                </w14:textFill>
              </w:rPr>
              <w:t>分</w:t>
            </w:r>
          </w:p>
        </w:tc>
        <w:tc>
          <w:tcPr>
            <w:tcW w:w="1595" w:type="dxa"/>
            <w:tcMar>
              <w:top w:w="15" w:type="dxa"/>
              <w:left w:w="15" w:type="dxa"/>
              <w:bottom w:w="0" w:type="dxa"/>
              <w:right w:w="15" w:type="dxa"/>
            </w:tcMar>
            <w:vAlign w:val="center"/>
          </w:tcPr>
          <w:p>
            <w:pPr>
              <w:spacing w:line="240" w:lineRule="exact"/>
              <w:jc w:val="center"/>
              <w:rPr>
                <w:rFonts w:hint="eastAsia" w:ascii="宋体" w:hAnsi="宋体" w:eastAsia="宋体" w:cs="宋体"/>
                <w:lang w:val="en-US" w:eastAsia="zh-CN"/>
              </w:rPr>
            </w:pPr>
            <w:r>
              <w:rPr>
                <w:rFonts w:hint="eastAsia" w:ascii="宋体" w:hAnsi="宋体"/>
                <w:szCs w:val="21"/>
                <w:highlight w:val="none"/>
                <w:lang w:val="en-US" w:eastAsia="zh-CN"/>
              </w:rPr>
              <w:t>企业实力</w:t>
            </w:r>
          </w:p>
        </w:tc>
        <w:tc>
          <w:tcPr>
            <w:tcW w:w="6063" w:type="dxa"/>
            <w:tcMar>
              <w:top w:w="15" w:type="dxa"/>
              <w:left w:w="15" w:type="dxa"/>
              <w:bottom w:w="0" w:type="dxa"/>
              <w:right w:w="15" w:type="dxa"/>
            </w:tcMar>
            <w:vAlign w:val="top"/>
          </w:tcPr>
          <w:p>
            <w:pPr>
              <w:pStyle w:val="14"/>
              <w:rPr>
                <w:rFonts w:hint="eastAsia" w:eastAsia="宋体"/>
                <w:highlight w:val="none"/>
                <w:lang w:val="en-US" w:eastAsia="zh-CN"/>
              </w:rPr>
            </w:pPr>
            <w:r>
              <w:rPr>
                <w:rFonts w:hint="eastAsia"/>
                <w:highlight w:val="none"/>
                <w:lang w:val="en-US" w:eastAsia="zh-CN"/>
              </w:rPr>
              <w:t>提供</w:t>
            </w:r>
            <w:r>
              <w:rPr>
                <w:rFonts w:hint="eastAsia" w:eastAsia="宋体"/>
                <w:highlight w:val="none"/>
                <w:lang w:val="en-US" w:eastAsia="zh-CN"/>
              </w:rPr>
              <w:t>投标人</w:t>
            </w:r>
            <w:r>
              <w:rPr>
                <w:rFonts w:hint="eastAsia"/>
                <w:highlight w:val="none"/>
                <w:lang w:val="en-US" w:eastAsia="zh-CN"/>
              </w:rPr>
              <w:t>或</w:t>
            </w:r>
            <w:r>
              <w:rPr>
                <w:rFonts w:hint="eastAsia" w:eastAsia="宋体"/>
                <w:highlight w:val="none"/>
                <w:lang w:val="en-US" w:eastAsia="zh-CN"/>
              </w:rPr>
              <w:t>生产厂家</w:t>
            </w:r>
            <w:r>
              <w:rPr>
                <w:rFonts w:hint="eastAsia"/>
                <w:highlight w:val="none"/>
                <w:lang w:val="en-US" w:eastAsia="zh-CN"/>
              </w:rPr>
              <w:t>：1）医院信息管理系统软件著作权（关键词“云HIS”，并提供软件测试报告）；2）医学影像信息系统软件著作权；3）医疗信息集成平台系统</w:t>
            </w:r>
            <w:r>
              <w:rPr>
                <w:rFonts w:hint="eastAsia" w:eastAsia="宋体"/>
                <w:highlight w:val="none"/>
                <w:lang w:val="en-US" w:eastAsia="zh-CN"/>
              </w:rPr>
              <w:t>软件著作权</w:t>
            </w:r>
            <w:r>
              <w:rPr>
                <w:rFonts w:hint="eastAsia"/>
                <w:highlight w:val="none"/>
                <w:lang w:val="en-US" w:eastAsia="zh-CN"/>
              </w:rPr>
              <w:t>；4）移动医生管理系统</w:t>
            </w:r>
            <w:r>
              <w:rPr>
                <w:rFonts w:hint="eastAsia" w:eastAsia="宋体"/>
                <w:highlight w:val="none"/>
                <w:lang w:val="en-US" w:eastAsia="zh-CN"/>
              </w:rPr>
              <w:t>软件著作权</w:t>
            </w:r>
            <w:r>
              <w:rPr>
                <w:rFonts w:hint="eastAsia"/>
                <w:highlight w:val="none"/>
                <w:lang w:val="en-US" w:eastAsia="zh-CN"/>
              </w:rPr>
              <w:t>；5）移动护理管理系统软件著作权。</w:t>
            </w:r>
            <w:r>
              <w:rPr>
                <w:rFonts w:hint="eastAsia" w:eastAsia="宋体"/>
                <w:highlight w:val="none"/>
                <w:lang w:val="en-US" w:eastAsia="zh-CN"/>
              </w:rPr>
              <w:t>每提供一</w:t>
            </w:r>
            <w:r>
              <w:rPr>
                <w:rFonts w:hint="eastAsia"/>
                <w:highlight w:val="none"/>
                <w:lang w:val="en-US" w:eastAsia="zh-CN"/>
              </w:rPr>
              <w:t>项</w:t>
            </w:r>
            <w:r>
              <w:rPr>
                <w:rFonts w:hint="eastAsia" w:eastAsia="宋体"/>
                <w:highlight w:val="none"/>
                <w:lang w:val="en-US" w:eastAsia="zh-CN"/>
              </w:rPr>
              <w:t>得1分，最高得5分，须提供</w:t>
            </w:r>
            <w:r>
              <w:rPr>
                <w:rFonts w:hint="eastAsia"/>
                <w:highlight w:val="none"/>
                <w:lang w:val="en-US" w:eastAsia="zh-CN"/>
              </w:rPr>
              <w:t>原件现场备查</w:t>
            </w:r>
            <w:r>
              <w:rPr>
                <w:rFonts w:hint="eastAsia" w:eastAsia="宋体"/>
                <w:highlight w:val="none"/>
                <w:lang w:val="en-US" w:eastAsia="zh-CN"/>
              </w:rPr>
              <w:t>，否则不得分</w:t>
            </w:r>
            <w:r>
              <w:rPr>
                <w:rFonts w:hint="eastAsia"/>
                <w:highlight w:val="none"/>
                <w:lang w:val="en-US" w:eastAsia="zh-CN"/>
              </w:rPr>
              <w:t>。</w:t>
            </w:r>
          </w:p>
        </w:tc>
        <w:tc>
          <w:tcPr>
            <w:tcW w:w="791" w:type="dxa"/>
            <w:vAlign w:val="center"/>
          </w:tcPr>
          <w:p>
            <w:pPr>
              <w:spacing w:line="240" w:lineRule="exact"/>
              <w:jc w:val="center"/>
              <w:rPr>
                <w:rFonts w:hint="eastAsia" w:eastAsia="宋体"/>
                <w:lang w:val="en-US" w:eastAsia="zh-CN"/>
              </w:rPr>
            </w:pPr>
            <w:r>
              <w:rPr>
                <w:rFonts w:hint="eastAsia" w:eastAsia="宋体"/>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3" w:hRule="atLeast"/>
          <w:jc w:val="center"/>
        </w:trPr>
        <w:tc>
          <w:tcPr>
            <w:tcW w:w="327" w:type="dxa"/>
            <w:vAlign w:val="center"/>
          </w:tcPr>
          <w:p>
            <w:pPr>
              <w:adjustRightInd w:val="0"/>
              <w:snapToGrid w:val="0"/>
              <w:jc w:val="center"/>
              <w:rPr>
                <w:rFonts w:hint="eastAsia" w:ascii="宋体" w:hAnsi="宋体" w:eastAsia="宋体" w:cs="宋体"/>
                <w:b/>
                <w:color w:val="000000"/>
                <w:szCs w:val="21"/>
                <w:lang w:eastAsia="zh-CN"/>
              </w:rPr>
            </w:pPr>
            <w:r>
              <w:rPr>
                <w:rFonts w:hint="eastAsia" w:ascii="宋体" w:hAnsi="宋体" w:cs="宋体"/>
                <w:b/>
                <w:color w:val="000000"/>
                <w:szCs w:val="21"/>
                <w:lang w:val="en-US" w:eastAsia="zh-CN"/>
              </w:rPr>
              <w:t>3</w:t>
            </w:r>
          </w:p>
        </w:tc>
        <w:tc>
          <w:tcPr>
            <w:tcW w:w="1078" w:type="dxa"/>
            <w:vMerge w:val="continue"/>
            <w:tcMar>
              <w:top w:w="15" w:type="dxa"/>
              <w:left w:w="15" w:type="dxa"/>
              <w:bottom w:w="0" w:type="dxa"/>
              <w:right w:w="15" w:type="dxa"/>
            </w:tcMar>
            <w:vAlign w:val="center"/>
          </w:tcPr>
          <w:p>
            <w:pPr>
              <w:spacing w:line="240" w:lineRule="exact"/>
              <w:jc w:val="center"/>
              <w:rPr>
                <w:rFonts w:ascii="宋体" w:hAnsi="宋体" w:cs="宋体"/>
              </w:rPr>
            </w:pPr>
          </w:p>
        </w:tc>
        <w:tc>
          <w:tcPr>
            <w:tcW w:w="1595" w:type="dxa"/>
            <w:tcMar>
              <w:top w:w="15" w:type="dxa"/>
              <w:left w:w="15" w:type="dxa"/>
              <w:bottom w:w="0" w:type="dxa"/>
              <w:right w:w="15" w:type="dxa"/>
            </w:tcMar>
            <w:vAlign w:val="center"/>
          </w:tcPr>
          <w:p>
            <w:pPr>
              <w:spacing w:line="240" w:lineRule="exact"/>
              <w:jc w:val="center"/>
              <w:rPr>
                <w:rFonts w:ascii="宋体" w:hAnsi="宋体" w:cs="宋体"/>
              </w:rPr>
            </w:pPr>
            <w:r>
              <w:rPr>
                <w:rFonts w:hint="eastAsia" w:ascii="宋体" w:hAnsi="宋体" w:cs="宋体"/>
                <w:lang w:val="en-US" w:eastAsia="zh-CN"/>
              </w:rPr>
              <w:t>相关业绩</w:t>
            </w:r>
          </w:p>
        </w:tc>
        <w:tc>
          <w:tcPr>
            <w:tcW w:w="6063" w:type="dxa"/>
            <w:tcMar>
              <w:top w:w="15" w:type="dxa"/>
              <w:left w:w="15" w:type="dxa"/>
              <w:bottom w:w="0" w:type="dxa"/>
              <w:right w:w="15" w:type="dxa"/>
            </w:tcMar>
            <w:vAlign w:val="top"/>
          </w:tcPr>
          <w:p>
            <w:pPr>
              <w:pStyle w:val="14"/>
            </w:pPr>
            <w:r>
              <w:rPr>
                <w:rFonts w:hint="eastAsia"/>
                <w:lang w:val="en-US" w:eastAsia="zh-CN"/>
              </w:rPr>
              <w:t>投</w:t>
            </w:r>
            <w:r>
              <w:rPr>
                <w:rFonts w:hint="eastAsia"/>
              </w:rPr>
              <w:t>标人所投产品品牌近三年以来，具有类似业绩，提供一</w:t>
            </w:r>
            <w:r>
              <w:rPr>
                <w:rFonts w:hint="eastAsia"/>
                <w:lang w:val="en-US" w:eastAsia="zh-CN"/>
              </w:rPr>
              <w:t>项服务</w:t>
            </w:r>
            <w:r>
              <w:rPr>
                <w:rFonts w:hint="eastAsia"/>
              </w:rPr>
              <w:t>合同得</w:t>
            </w:r>
            <w:r>
              <w:rPr>
                <w:rFonts w:hint="eastAsia"/>
                <w:lang w:val="en-US" w:eastAsia="zh-CN"/>
              </w:rPr>
              <w:t>1</w:t>
            </w:r>
            <w:r>
              <w:rPr>
                <w:rFonts w:hint="eastAsia"/>
              </w:rPr>
              <w:t>分，最</w:t>
            </w:r>
            <w:r>
              <w:rPr>
                <w:rFonts w:hint="eastAsia"/>
                <w:lang w:val="en-US" w:eastAsia="zh-CN"/>
              </w:rPr>
              <w:t>高</w:t>
            </w:r>
            <w:r>
              <w:rPr>
                <w:rFonts w:hint="eastAsia"/>
              </w:rPr>
              <w:t>得</w:t>
            </w:r>
            <w:r>
              <w:rPr>
                <w:rFonts w:hint="eastAsia"/>
                <w:lang w:val="en-US" w:eastAsia="zh-CN"/>
              </w:rPr>
              <w:t>2</w:t>
            </w:r>
            <w:r>
              <w:rPr>
                <w:rFonts w:hint="eastAsia"/>
              </w:rPr>
              <w:t>分；没有不得分（</w:t>
            </w:r>
            <w:r>
              <w:rPr>
                <w:rFonts w:hint="eastAsia"/>
                <w:lang w:val="en-US" w:eastAsia="zh-CN"/>
              </w:rPr>
              <w:t>投标文件中须提供合同的扫描件应能辨识买卖双方公章、签订时间、金额、并加盖投标人公章，否则，不得分。</w:t>
            </w:r>
            <w:r>
              <w:rPr>
                <w:rFonts w:hint="eastAsia"/>
              </w:rPr>
              <w:t>）</w:t>
            </w:r>
          </w:p>
        </w:tc>
        <w:tc>
          <w:tcPr>
            <w:tcW w:w="791" w:type="dxa"/>
            <w:vAlign w:val="center"/>
          </w:tcPr>
          <w:p>
            <w:pPr>
              <w:spacing w:line="240" w:lineRule="exact"/>
              <w:jc w:val="center"/>
              <w:rPr>
                <w:rFonts w:ascii="宋体" w:hAnsi="宋体"/>
                <w:szCs w:val="21"/>
              </w:rPr>
            </w:pPr>
            <w:r>
              <w:rPr>
                <w:rFonts w:hint="eastAsia" w:ascii="宋体" w:hAnsi="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3" w:hRule="atLeast"/>
          <w:jc w:val="center"/>
        </w:trPr>
        <w:tc>
          <w:tcPr>
            <w:tcW w:w="327" w:type="dxa"/>
            <w:vAlign w:val="center"/>
          </w:tcPr>
          <w:p>
            <w:pPr>
              <w:adjustRightInd w:val="0"/>
              <w:snapToGrid w:val="0"/>
              <w:jc w:val="center"/>
              <w:rPr>
                <w:rFonts w:hint="eastAsia" w:ascii="宋体" w:hAnsi="宋体" w:eastAsia="宋体" w:cs="宋体"/>
                <w:b/>
                <w:color w:val="000000"/>
                <w:szCs w:val="21"/>
                <w:lang w:eastAsia="zh-CN"/>
              </w:rPr>
            </w:pPr>
            <w:r>
              <w:rPr>
                <w:rFonts w:hint="eastAsia" w:ascii="宋体" w:hAnsi="宋体" w:cs="宋体"/>
                <w:b/>
                <w:color w:val="000000"/>
                <w:szCs w:val="21"/>
                <w:lang w:val="en-US" w:eastAsia="zh-CN"/>
              </w:rPr>
              <w:t>4</w:t>
            </w:r>
          </w:p>
        </w:tc>
        <w:tc>
          <w:tcPr>
            <w:tcW w:w="1078" w:type="dxa"/>
            <w:vMerge w:val="continue"/>
            <w:tcMar>
              <w:top w:w="15" w:type="dxa"/>
              <w:left w:w="15" w:type="dxa"/>
              <w:bottom w:w="0" w:type="dxa"/>
              <w:right w:w="15" w:type="dxa"/>
            </w:tcMar>
            <w:vAlign w:val="center"/>
          </w:tcPr>
          <w:p>
            <w:pPr>
              <w:spacing w:line="240" w:lineRule="exact"/>
              <w:jc w:val="center"/>
              <w:rPr>
                <w:rFonts w:ascii="宋体" w:hAnsi="宋体" w:cs="宋体"/>
              </w:rPr>
            </w:pPr>
          </w:p>
        </w:tc>
        <w:tc>
          <w:tcPr>
            <w:tcW w:w="1595" w:type="dxa"/>
            <w:tcMar>
              <w:top w:w="15" w:type="dxa"/>
              <w:left w:w="15" w:type="dxa"/>
              <w:bottom w:w="0" w:type="dxa"/>
              <w:right w:w="15" w:type="dxa"/>
            </w:tcMar>
            <w:vAlign w:val="center"/>
          </w:tcPr>
          <w:p>
            <w:pPr>
              <w:spacing w:line="240" w:lineRule="exact"/>
              <w:jc w:val="center"/>
              <w:rPr>
                <w:rFonts w:ascii="宋体" w:hAnsi="宋体"/>
                <w:szCs w:val="21"/>
              </w:rPr>
            </w:pPr>
            <w:r>
              <w:rPr>
                <w:rFonts w:hint="eastAsia" w:ascii="宋体" w:hAnsi="宋体"/>
                <w:szCs w:val="21"/>
              </w:rPr>
              <w:t>投标文件制作</w:t>
            </w:r>
          </w:p>
        </w:tc>
        <w:tc>
          <w:tcPr>
            <w:tcW w:w="6063" w:type="dxa"/>
            <w:tcMar>
              <w:top w:w="15" w:type="dxa"/>
              <w:left w:w="15" w:type="dxa"/>
              <w:bottom w:w="0" w:type="dxa"/>
              <w:right w:w="15" w:type="dxa"/>
            </w:tcMar>
            <w:vAlign w:val="top"/>
          </w:tcPr>
          <w:p>
            <w:pPr>
              <w:pStyle w:val="14"/>
              <w:rPr>
                <w:rFonts w:ascii="宋体" w:hAnsi="宋体"/>
                <w:bCs/>
                <w:szCs w:val="21"/>
              </w:rPr>
            </w:pPr>
            <w:r>
              <w:rPr>
                <w:rFonts w:hint="eastAsia" w:ascii="宋体" w:hAnsi="宋体"/>
                <w:szCs w:val="21"/>
              </w:rPr>
              <w:t>投标文件制作规范，投标附件资料齐全、详实、充分，文件按要求有页码装胶；目录对应页码正确、编码清晰，排版整齐 居中、资料复印胶装整齐及索引直观准确字迹清晰、优秀得3分；良好得2分；一般得1分。（最高3分）。</w:t>
            </w:r>
          </w:p>
        </w:tc>
        <w:tc>
          <w:tcPr>
            <w:tcW w:w="791" w:type="dxa"/>
            <w:vAlign w:val="center"/>
          </w:tcPr>
          <w:p>
            <w:pPr>
              <w:spacing w:line="240" w:lineRule="exact"/>
              <w:jc w:val="center"/>
              <w:rPr>
                <w:rFonts w:ascii="宋体" w:hAnsi="宋体"/>
                <w:szCs w:val="21"/>
              </w:rPr>
            </w:pPr>
            <w:r>
              <w:rPr>
                <w:rFonts w:hint="eastAsia" w:ascii="宋体" w:hAnsi="宋体"/>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0" w:hRule="atLeast"/>
          <w:jc w:val="center"/>
        </w:trPr>
        <w:tc>
          <w:tcPr>
            <w:tcW w:w="327" w:type="dxa"/>
            <w:vAlign w:val="center"/>
          </w:tcPr>
          <w:p>
            <w:pPr>
              <w:adjustRightInd w:val="0"/>
              <w:snapToGrid w:val="0"/>
              <w:jc w:val="center"/>
              <w:rPr>
                <w:rFonts w:hint="eastAsia" w:ascii="宋体" w:hAnsi="宋体" w:eastAsia="宋体"/>
                <w:sz w:val="24"/>
                <w:lang w:eastAsia="zh-CN"/>
              </w:rPr>
            </w:pPr>
            <w:r>
              <w:rPr>
                <w:rFonts w:hint="eastAsia" w:ascii="宋体" w:hAnsi="宋体"/>
                <w:sz w:val="24"/>
                <w:lang w:val="en-US" w:eastAsia="zh-CN"/>
              </w:rPr>
              <w:t>5</w:t>
            </w:r>
          </w:p>
        </w:tc>
        <w:tc>
          <w:tcPr>
            <w:tcW w:w="1078" w:type="dxa"/>
            <w:vMerge w:val="restart"/>
            <w:tcMar>
              <w:top w:w="15" w:type="dxa"/>
              <w:left w:w="15" w:type="dxa"/>
              <w:bottom w:w="0" w:type="dxa"/>
              <w:right w:w="15" w:type="dxa"/>
            </w:tcMar>
            <w:vAlign w:val="center"/>
          </w:tcPr>
          <w:p>
            <w:pPr>
              <w:autoSpaceDE w:val="0"/>
              <w:autoSpaceDN w:val="0"/>
              <w:adjustRightInd w:val="0"/>
              <w:snapToGrid w:val="0"/>
              <w:spacing w:line="240" w:lineRule="exact"/>
              <w:jc w:val="center"/>
              <w:rPr>
                <w:rFonts w:ascii="宋体" w:hAnsi="宋体"/>
                <w:szCs w:val="21"/>
              </w:rPr>
            </w:pPr>
            <w:r>
              <w:rPr>
                <w:rFonts w:hint="eastAsia"/>
              </w:rPr>
              <w:t>技术</w:t>
            </w:r>
            <w:r>
              <w:rPr>
                <w:rFonts w:hint="eastAsia"/>
                <w:lang w:val="en-US" w:eastAsia="zh-CN"/>
              </w:rPr>
              <w:t>部分</w:t>
            </w:r>
            <w:r>
              <w:rPr>
                <w:rFonts w:hint="eastAsia"/>
                <w:color w:val="000000" w:themeColor="text1"/>
                <w:lang w:val="en-US" w:eastAsia="zh-CN"/>
                <w14:textFill>
                  <w14:solidFill>
                    <w14:schemeClr w14:val="tx1"/>
                  </w14:solidFill>
                </w14:textFill>
              </w:rPr>
              <w:t>60</w:t>
            </w:r>
            <w:r>
              <w:rPr>
                <w:rFonts w:hint="eastAsia" w:ascii="宋体" w:hAnsi="宋体"/>
                <w:color w:val="000000" w:themeColor="text1"/>
                <w:szCs w:val="21"/>
                <w14:textFill>
                  <w14:solidFill>
                    <w14:schemeClr w14:val="tx1"/>
                  </w14:solidFill>
                </w14:textFill>
              </w:rPr>
              <w:t>分</w:t>
            </w:r>
          </w:p>
        </w:tc>
        <w:tc>
          <w:tcPr>
            <w:tcW w:w="1595" w:type="dxa"/>
            <w:tcMar>
              <w:top w:w="15" w:type="dxa"/>
              <w:left w:w="15" w:type="dxa"/>
              <w:bottom w:w="0" w:type="dxa"/>
              <w:right w:w="15" w:type="dxa"/>
            </w:tcMar>
            <w:vAlign w:val="center"/>
          </w:tcPr>
          <w:p>
            <w:pPr>
              <w:spacing w:line="240" w:lineRule="exact"/>
              <w:jc w:val="center"/>
              <w:rPr>
                <w:rFonts w:ascii="宋体" w:hAnsi="宋体" w:cs="宋体"/>
              </w:rPr>
            </w:pPr>
            <w:r>
              <w:rPr>
                <w:rFonts w:hint="eastAsia" w:ascii="宋体" w:hAnsi="宋体" w:cs="宋体"/>
              </w:rPr>
              <w:t>技术参数</w:t>
            </w:r>
          </w:p>
        </w:tc>
        <w:tc>
          <w:tcPr>
            <w:tcW w:w="6063" w:type="dxa"/>
            <w:tcMar>
              <w:top w:w="15" w:type="dxa"/>
              <w:left w:w="15" w:type="dxa"/>
              <w:bottom w:w="0" w:type="dxa"/>
              <w:right w:w="15" w:type="dxa"/>
            </w:tcMar>
            <w:vAlign w:val="top"/>
          </w:tcPr>
          <w:p>
            <w:pPr>
              <w:jc w:val="left"/>
              <w:rPr>
                <w:rFonts w:hint="eastAsia" w:ascii="宋体" w:hAnsi="宋体" w:eastAsia="宋体"/>
                <w:b/>
                <w:szCs w:val="21"/>
                <w:lang w:eastAsia="zh-CN"/>
              </w:rPr>
            </w:pPr>
            <w:r>
              <w:t>投标人对招标文件中参数要求、</w:t>
            </w:r>
            <w:r>
              <w:rPr>
                <w:rFonts w:hint="eastAsia"/>
              </w:rPr>
              <w:t>技术</w:t>
            </w:r>
            <w:r>
              <w:t>指标的响应程度，即投标文件包括并满足了招标文件所要求的各项技术指标得满分</w:t>
            </w:r>
            <w:r>
              <w:rPr>
                <w:rFonts w:hint="eastAsia"/>
                <w:lang w:val="en-US" w:eastAsia="zh-CN"/>
              </w:rPr>
              <w:t>20</w:t>
            </w:r>
            <w:r>
              <w:rPr>
                <w:rFonts w:hint="eastAsia"/>
              </w:rPr>
              <w:t>分</w:t>
            </w:r>
            <w:r>
              <w:t>，</w:t>
            </w:r>
            <w:r>
              <w:rPr>
                <w:rFonts w:hint="eastAsia"/>
              </w:rPr>
              <w:t>其中</w:t>
            </w:r>
            <w:r>
              <w:t>带“</w:t>
            </w:r>
            <w:r>
              <w:rPr>
                <w:rFonts w:hint="eastAsia" w:ascii="宋体" w:hAnsi="宋体" w:cs="宋体"/>
                <w:sz w:val="18"/>
                <w:szCs w:val="18"/>
              </w:rPr>
              <w:t>★</w:t>
            </w:r>
            <w:r>
              <w:t>”的关键技术参数每有一项负偏离的扣</w:t>
            </w:r>
            <w:r>
              <w:rPr>
                <w:rFonts w:hint="eastAsia"/>
                <w:lang w:val="en-US" w:eastAsia="zh-CN"/>
              </w:rPr>
              <w:t>3</w:t>
            </w:r>
            <w:r>
              <w:t>分</w:t>
            </w:r>
            <w:r>
              <w:rPr>
                <w:rFonts w:hint="eastAsia"/>
              </w:rPr>
              <w:t>，一般参数每有一项负偏离的扣</w:t>
            </w:r>
            <w:r>
              <w:rPr>
                <w:rFonts w:hint="eastAsia"/>
                <w:lang w:val="en-US" w:eastAsia="zh-CN"/>
              </w:rPr>
              <w:t>1</w:t>
            </w:r>
            <w:r>
              <w:rPr>
                <w:rFonts w:hint="eastAsia"/>
              </w:rPr>
              <w:t>分，直至扣完。</w:t>
            </w:r>
            <w:r>
              <w:t>（</w:t>
            </w:r>
            <w:r>
              <w:rPr>
                <w:rFonts w:hint="eastAsia"/>
              </w:rPr>
              <w:t>需提供</w:t>
            </w:r>
            <w:r>
              <w:t>产品说明书、检验报告</w:t>
            </w:r>
            <w:r>
              <w:rPr>
                <w:rFonts w:hint="eastAsia"/>
              </w:rPr>
              <w:t>等</w:t>
            </w:r>
            <w:r>
              <w:t>相关的支持资料或证明文件）</w:t>
            </w:r>
            <w:r>
              <w:rPr>
                <w:rFonts w:hint="eastAsia"/>
                <w:lang w:eastAsia="zh-CN"/>
              </w:rPr>
              <w:t>。</w:t>
            </w:r>
          </w:p>
        </w:tc>
        <w:tc>
          <w:tcPr>
            <w:tcW w:w="791" w:type="dxa"/>
            <w:vAlign w:val="center"/>
          </w:tcPr>
          <w:p>
            <w:pPr>
              <w:spacing w:line="240" w:lineRule="exact"/>
              <w:jc w:val="center"/>
              <w:rPr>
                <w:rFonts w:hint="default" w:ascii="宋体" w:hAnsi="宋体"/>
                <w:szCs w:val="21"/>
                <w:lang w:val="en-US"/>
              </w:rPr>
            </w:pPr>
            <w:r>
              <w:rPr>
                <w:rFonts w:hint="eastAsia" w:ascii="宋体" w:hAnsi="宋体"/>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0" w:hRule="atLeast"/>
          <w:jc w:val="center"/>
        </w:trPr>
        <w:tc>
          <w:tcPr>
            <w:tcW w:w="327" w:type="dxa"/>
            <w:vAlign w:val="center"/>
          </w:tcPr>
          <w:p>
            <w:pPr>
              <w:adjustRightInd w:val="0"/>
              <w:snapToGrid w:val="0"/>
              <w:jc w:val="center"/>
              <w:rPr>
                <w:rFonts w:hint="eastAsia" w:ascii="宋体" w:hAnsi="宋体" w:eastAsia="宋体"/>
                <w:sz w:val="24"/>
                <w:lang w:eastAsia="zh-CN"/>
              </w:rPr>
            </w:pPr>
            <w:r>
              <w:rPr>
                <w:rFonts w:hint="eastAsia" w:ascii="宋体" w:hAnsi="宋体"/>
                <w:sz w:val="24"/>
                <w:lang w:val="en-US" w:eastAsia="zh-CN"/>
              </w:rPr>
              <w:t>6</w:t>
            </w:r>
          </w:p>
        </w:tc>
        <w:tc>
          <w:tcPr>
            <w:tcW w:w="1078" w:type="dxa"/>
            <w:vMerge w:val="continue"/>
            <w:tcMar>
              <w:top w:w="15" w:type="dxa"/>
              <w:left w:w="15" w:type="dxa"/>
              <w:bottom w:w="0" w:type="dxa"/>
              <w:right w:w="15" w:type="dxa"/>
            </w:tcMar>
            <w:vAlign w:val="center"/>
          </w:tcPr>
          <w:p>
            <w:pPr>
              <w:spacing w:line="240" w:lineRule="exact"/>
              <w:jc w:val="center"/>
              <w:rPr>
                <w:rFonts w:ascii="宋体" w:hAnsi="宋体" w:cs="宋体"/>
              </w:rPr>
            </w:pPr>
          </w:p>
        </w:tc>
        <w:tc>
          <w:tcPr>
            <w:tcW w:w="1595" w:type="dxa"/>
            <w:tcMar>
              <w:top w:w="15" w:type="dxa"/>
              <w:left w:w="15" w:type="dxa"/>
              <w:bottom w:w="0" w:type="dxa"/>
              <w:right w:w="15" w:type="dxa"/>
            </w:tcMar>
            <w:vAlign w:val="center"/>
          </w:tcPr>
          <w:p>
            <w:pPr>
              <w:spacing w:line="240" w:lineRule="exact"/>
              <w:jc w:val="center"/>
              <w:rPr>
                <w:rFonts w:ascii="宋体" w:hAnsi="宋体"/>
                <w:szCs w:val="21"/>
              </w:rPr>
            </w:pPr>
            <w:r>
              <w:rPr>
                <w:rFonts w:hint="eastAsia" w:ascii="宋体" w:hAnsi="宋体"/>
                <w:szCs w:val="21"/>
              </w:rPr>
              <w:t>实施方案</w:t>
            </w:r>
          </w:p>
        </w:tc>
        <w:tc>
          <w:tcPr>
            <w:tcW w:w="6063" w:type="dxa"/>
            <w:tcMar>
              <w:top w:w="15" w:type="dxa"/>
              <w:left w:w="15" w:type="dxa"/>
              <w:bottom w:w="0" w:type="dxa"/>
              <w:right w:w="15" w:type="dxa"/>
            </w:tcMar>
            <w:vAlign w:val="top"/>
          </w:tcPr>
          <w:p>
            <w:pPr>
              <w:jc w:val="left"/>
            </w:pPr>
            <w:r>
              <w:rPr>
                <w:rFonts w:hint="eastAsia"/>
              </w:rPr>
              <w:t>根据投标人</w:t>
            </w:r>
            <w:r>
              <w:rPr>
                <w:rFonts w:hint="eastAsia"/>
                <w:lang w:eastAsia="zh-CN"/>
              </w:rPr>
              <w:t>技术组织实施方案（包括保证交付期的工作计划组织措施、检测验收措施</w:t>
            </w:r>
            <w:r>
              <w:rPr>
                <w:rFonts w:hint="eastAsia"/>
                <w:lang w:val="en-US" w:eastAsia="zh-CN"/>
              </w:rPr>
              <w:t>等</w:t>
            </w:r>
            <w:r>
              <w:rPr>
                <w:rFonts w:hint="eastAsia"/>
                <w:lang w:eastAsia="zh-CN"/>
              </w:rPr>
              <w:t>）</w:t>
            </w:r>
            <w:r>
              <w:rPr>
                <w:rFonts w:hint="eastAsia"/>
              </w:rPr>
              <w:t>进行对比评价分三档，从方案完整性、可操作性、时效性方面综合考量。（满分</w:t>
            </w:r>
            <w:r>
              <w:rPr>
                <w:rFonts w:hint="eastAsia"/>
                <w:lang w:val="en-US" w:eastAsia="zh-CN"/>
              </w:rPr>
              <w:t>5</w:t>
            </w:r>
            <w:r>
              <w:rPr>
                <w:rFonts w:hint="eastAsia"/>
              </w:rPr>
              <w:t>分）一档：方案优（方案完整性好、可操作性强、时效性佳）得</w:t>
            </w:r>
            <w:r>
              <w:rPr>
                <w:rFonts w:hint="eastAsia"/>
                <w:lang w:val="en-US" w:eastAsia="zh-CN"/>
              </w:rPr>
              <w:t>5</w:t>
            </w:r>
            <w:r>
              <w:rPr>
                <w:rFonts w:hint="eastAsia"/>
              </w:rPr>
              <w:t>分；二档：方案良好（无缺项，但从完整性、可操作性、时效性方面考量尚有不足者为良好方案）得</w:t>
            </w:r>
            <w:r>
              <w:rPr>
                <w:rFonts w:hint="eastAsia"/>
                <w:lang w:val="en-US" w:eastAsia="zh-CN"/>
              </w:rPr>
              <w:t>3</w:t>
            </w:r>
            <w:r>
              <w:rPr>
                <w:rFonts w:hint="eastAsia"/>
              </w:rPr>
              <w:t>分：；三档：方案一般（有缺项者为一般方案）得1分。</w:t>
            </w:r>
          </w:p>
        </w:tc>
        <w:tc>
          <w:tcPr>
            <w:tcW w:w="791" w:type="dxa"/>
            <w:vAlign w:val="center"/>
          </w:tcPr>
          <w:p>
            <w:pPr>
              <w:spacing w:line="240" w:lineRule="exact"/>
              <w:jc w:val="center"/>
              <w:rPr>
                <w:rFonts w:hint="eastAsia" w:ascii="宋体" w:hAnsi="宋体" w:eastAsia="宋体"/>
                <w:sz w:val="24"/>
                <w:lang w:eastAsia="zh-CN"/>
              </w:rPr>
            </w:pPr>
            <w:r>
              <w:rPr>
                <w:rFonts w:hint="eastAsia" w:ascii="宋体" w:hAnsi="宋体"/>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27" w:type="dxa"/>
            <w:vAlign w:val="center"/>
          </w:tcPr>
          <w:p>
            <w:pPr>
              <w:adjustRightInd w:val="0"/>
              <w:snapToGrid w:val="0"/>
              <w:jc w:val="center"/>
              <w:rPr>
                <w:rFonts w:hint="eastAsia" w:ascii="宋体" w:hAnsi="宋体" w:eastAsia="宋体" w:cs="宋体"/>
                <w:b/>
                <w:color w:val="000000"/>
                <w:kern w:val="0"/>
                <w:szCs w:val="21"/>
                <w:lang w:eastAsia="zh-CN"/>
              </w:rPr>
            </w:pPr>
            <w:r>
              <w:rPr>
                <w:rFonts w:hint="eastAsia" w:ascii="宋体" w:hAnsi="宋体" w:cs="宋体"/>
                <w:b/>
                <w:color w:val="000000"/>
                <w:kern w:val="0"/>
                <w:szCs w:val="21"/>
                <w:lang w:val="en-US" w:eastAsia="zh-CN"/>
              </w:rPr>
              <w:t>7</w:t>
            </w:r>
          </w:p>
        </w:tc>
        <w:tc>
          <w:tcPr>
            <w:tcW w:w="1078" w:type="dxa"/>
            <w:vMerge w:val="continue"/>
            <w:tcMar>
              <w:top w:w="15" w:type="dxa"/>
              <w:left w:w="15" w:type="dxa"/>
              <w:bottom w:w="0" w:type="dxa"/>
              <w:right w:w="15" w:type="dxa"/>
            </w:tcMar>
            <w:vAlign w:val="center"/>
          </w:tcPr>
          <w:p>
            <w:pPr>
              <w:spacing w:line="240" w:lineRule="exact"/>
              <w:jc w:val="center"/>
            </w:pPr>
          </w:p>
        </w:tc>
        <w:tc>
          <w:tcPr>
            <w:tcW w:w="1595" w:type="dxa"/>
            <w:tcMar>
              <w:top w:w="15" w:type="dxa"/>
              <w:left w:w="15" w:type="dxa"/>
              <w:bottom w:w="0" w:type="dxa"/>
              <w:right w:w="15" w:type="dxa"/>
            </w:tcMar>
            <w:vAlign w:val="center"/>
          </w:tcPr>
          <w:p>
            <w:pPr>
              <w:spacing w:line="240" w:lineRule="exact"/>
              <w:jc w:val="center"/>
              <w:rPr>
                <w:rFonts w:ascii="宋体" w:hAnsi="宋体"/>
                <w:szCs w:val="21"/>
              </w:rPr>
            </w:pPr>
            <w:r>
              <w:rPr>
                <w:rFonts w:hint="eastAsia" w:ascii="宋体" w:hAnsi="宋体" w:cs="宋体"/>
              </w:rPr>
              <w:t>培训方案</w:t>
            </w:r>
          </w:p>
        </w:tc>
        <w:tc>
          <w:tcPr>
            <w:tcW w:w="6063" w:type="dxa"/>
            <w:tcMar>
              <w:top w:w="15" w:type="dxa"/>
              <w:left w:w="15" w:type="dxa"/>
              <w:bottom w:w="0" w:type="dxa"/>
              <w:right w:w="15" w:type="dxa"/>
            </w:tcMar>
            <w:vAlign w:val="top"/>
          </w:tcPr>
          <w:p>
            <w:pPr>
              <w:jc w:val="left"/>
            </w:pPr>
            <w:r>
              <w:rPr>
                <w:rFonts w:hint="eastAsia"/>
              </w:rPr>
              <w:t>投标人</w:t>
            </w:r>
            <w:r>
              <w:t>提供详细的培训方案，且培训方案完整，培训计划合理</w:t>
            </w:r>
            <w:r>
              <w:rPr>
                <w:rFonts w:hint="eastAsia"/>
              </w:rPr>
              <w:t>、</w:t>
            </w:r>
            <w:r>
              <w:t xml:space="preserve">内容充实，保证使用单位工作人员能熟练操作、正常维护的，得 </w:t>
            </w:r>
            <w:r>
              <w:rPr>
                <w:rFonts w:hint="eastAsia"/>
                <w:lang w:val="en-US" w:eastAsia="zh-CN"/>
              </w:rPr>
              <w:t>7</w:t>
            </w:r>
            <w:r>
              <w:t xml:space="preserve"> 分；培训方案基本完整、可实施性和专业性稍差但尚能满足项目需求的，得 3 分；培训方案不完整 、或内容不够充实、专业性和科学性较差不能满足项目需求的得 1 分。</w:t>
            </w:r>
          </w:p>
        </w:tc>
        <w:tc>
          <w:tcPr>
            <w:tcW w:w="791" w:type="dxa"/>
            <w:vAlign w:val="center"/>
          </w:tcPr>
          <w:p>
            <w:pPr>
              <w:spacing w:line="240" w:lineRule="exact"/>
              <w:jc w:val="center"/>
              <w:rPr>
                <w:rFonts w:hint="eastAsia" w:ascii="宋体" w:hAnsi="宋体" w:eastAsia="宋体"/>
                <w:szCs w:val="21"/>
                <w:lang w:eastAsia="zh-CN"/>
              </w:rPr>
            </w:pPr>
            <w:r>
              <w:rPr>
                <w:rFonts w:hint="eastAsia" w:ascii="宋体" w:hAnsi="宋体"/>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7" w:type="dxa"/>
            <w:vMerge w:val="restart"/>
            <w:vAlign w:val="center"/>
          </w:tcPr>
          <w:p>
            <w:pPr>
              <w:adjustRightInd w:val="0"/>
              <w:snapToGrid w:val="0"/>
              <w:jc w:val="center"/>
              <w:rPr>
                <w:rFonts w:hint="default" w:ascii="宋体" w:hAnsi="宋体" w:eastAsia="宋体" w:cs="宋体"/>
                <w:b/>
                <w:color w:val="000000"/>
                <w:kern w:val="0"/>
                <w:szCs w:val="21"/>
                <w:lang w:val="en-US" w:eastAsia="zh-CN"/>
              </w:rPr>
            </w:pPr>
            <w:r>
              <w:rPr>
                <w:rFonts w:hint="eastAsia" w:ascii="宋体" w:hAnsi="宋体" w:cs="宋体"/>
                <w:b/>
                <w:color w:val="000000"/>
                <w:kern w:val="0"/>
                <w:szCs w:val="21"/>
                <w:lang w:val="en-US" w:eastAsia="zh-CN"/>
              </w:rPr>
              <w:t>8</w:t>
            </w:r>
          </w:p>
        </w:tc>
        <w:tc>
          <w:tcPr>
            <w:tcW w:w="1078" w:type="dxa"/>
            <w:vMerge w:val="continue"/>
            <w:tcMar>
              <w:top w:w="15" w:type="dxa"/>
              <w:left w:w="15" w:type="dxa"/>
              <w:bottom w:w="0" w:type="dxa"/>
              <w:right w:w="15" w:type="dxa"/>
            </w:tcMar>
            <w:vAlign w:val="center"/>
          </w:tcPr>
          <w:p>
            <w:pPr>
              <w:spacing w:line="240" w:lineRule="exact"/>
              <w:jc w:val="center"/>
              <w:rPr>
                <w:rFonts w:ascii="宋体" w:hAnsi="宋体"/>
                <w:szCs w:val="21"/>
              </w:rPr>
            </w:pPr>
          </w:p>
        </w:tc>
        <w:tc>
          <w:tcPr>
            <w:tcW w:w="1595" w:type="dxa"/>
            <w:vMerge w:val="restart"/>
            <w:tcMar>
              <w:top w:w="15" w:type="dxa"/>
              <w:left w:w="15" w:type="dxa"/>
              <w:bottom w:w="0" w:type="dxa"/>
              <w:right w:w="15" w:type="dxa"/>
            </w:tcMar>
            <w:vAlign w:val="center"/>
          </w:tcPr>
          <w:p>
            <w:pPr>
              <w:spacing w:line="240" w:lineRule="exact"/>
              <w:jc w:val="center"/>
              <w:rPr>
                <w:rFonts w:hint="eastAsia" w:ascii="宋体" w:hAnsi="宋体" w:eastAsia="宋体"/>
                <w:szCs w:val="21"/>
                <w:lang w:eastAsia="zh-CN"/>
              </w:rPr>
            </w:pPr>
            <w:r>
              <w:rPr>
                <w:rFonts w:hint="eastAsia" w:ascii="宋体" w:hAnsi="宋体"/>
                <w:szCs w:val="21"/>
              </w:rPr>
              <w:t>售后</w:t>
            </w:r>
            <w:r>
              <w:rPr>
                <w:rFonts w:hint="eastAsia" w:ascii="宋体" w:hAnsi="宋体"/>
                <w:szCs w:val="21"/>
                <w:lang w:val="en-US" w:eastAsia="zh-CN"/>
              </w:rPr>
              <w:t>方案</w:t>
            </w:r>
          </w:p>
        </w:tc>
        <w:tc>
          <w:tcPr>
            <w:tcW w:w="6063" w:type="dxa"/>
            <w:tcMar>
              <w:top w:w="15" w:type="dxa"/>
              <w:left w:w="15" w:type="dxa"/>
              <w:bottom w:w="0" w:type="dxa"/>
              <w:right w:w="15" w:type="dxa"/>
            </w:tcMar>
            <w:vAlign w:val="top"/>
          </w:tcPr>
          <w:p>
            <w:pPr>
              <w:jc w:val="left"/>
            </w:pPr>
            <w:r>
              <w:rPr>
                <w:rFonts w:hint="eastAsia" w:ascii="宋体" w:hAnsi="宋体"/>
                <w:bCs/>
                <w:szCs w:val="21"/>
              </w:rPr>
              <w:t>1.投标人有明确</w:t>
            </w:r>
            <w:r>
              <w:rPr>
                <w:rFonts w:hint="eastAsia" w:ascii="宋体" w:hAnsi="宋体"/>
                <w:bCs/>
                <w:szCs w:val="21"/>
                <w:lang w:val="en-US" w:eastAsia="zh-CN"/>
              </w:rPr>
              <w:t>健全的</w:t>
            </w:r>
            <w:r>
              <w:rPr>
                <w:rFonts w:hint="eastAsia" w:ascii="宋体" w:hAnsi="宋体"/>
                <w:bCs/>
                <w:szCs w:val="21"/>
              </w:rPr>
              <w:t>售后服务体系</w:t>
            </w:r>
            <w:r>
              <w:rPr>
                <w:rFonts w:hint="eastAsia" w:ascii="宋体" w:hAnsi="宋体"/>
                <w:bCs/>
                <w:szCs w:val="21"/>
                <w:lang w:val="en-US" w:eastAsia="zh-CN"/>
              </w:rPr>
              <w:t>及售后服务人员的</w:t>
            </w:r>
            <w:r>
              <w:rPr>
                <w:rFonts w:hint="eastAsia" w:ascii="宋体" w:hAnsi="宋体"/>
                <w:bCs/>
                <w:szCs w:val="21"/>
              </w:rPr>
              <w:t>得</w:t>
            </w:r>
            <w:r>
              <w:rPr>
                <w:rFonts w:hint="eastAsia" w:ascii="宋体" w:hAnsi="宋体"/>
                <w:bCs/>
                <w:szCs w:val="21"/>
                <w:lang w:val="en-US" w:eastAsia="zh-CN"/>
              </w:rPr>
              <w:t>5</w:t>
            </w:r>
            <w:r>
              <w:rPr>
                <w:rFonts w:hint="eastAsia" w:ascii="宋体" w:hAnsi="宋体"/>
                <w:bCs/>
                <w:szCs w:val="21"/>
              </w:rPr>
              <w:t>分</w:t>
            </w:r>
            <w:r>
              <w:rPr>
                <w:rFonts w:hint="eastAsia" w:ascii="宋体" w:hAnsi="宋体"/>
                <w:bCs/>
                <w:szCs w:val="21"/>
                <w:lang w:eastAsia="zh-CN"/>
              </w:rPr>
              <w:t>；</w:t>
            </w:r>
            <w:r>
              <w:rPr>
                <w:rFonts w:hint="eastAsia" w:ascii="宋体" w:hAnsi="宋体"/>
                <w:bCs/>
                <w:szCs w:val="21"/>
                <w:lang w:val="en-US" w:eastAsia="zh-CN"/>
              </w:rPr>
              <w:t>售后服务人员或服务体系不健全的得2分，无</w:t>
            </w:r>
            <w:r>
              <w:rPr>
                <w:rFonts w:hint="eastAsia" w:ascii="宋体" w:hAnsi="宋体"/>
                <w:bCs/>
                <w:szCs w:val="21"/>
              </w:rPr>
              <w:t>明确售后服务体系</w:t>
            </w:r>
            <w:r>
              <w:rPr>
                <w:rFonts w:hint="eastAsia" w:ascii="宋体" w:hAnsi="宋体"/>
                <w:bCs/>
                <w:szCs w:val="21"/>
                <w:lang w:val="en-US" w:eastAsia="zh-CN"/>
              </w:rPr>
              <w:t>及服务人员的不得分</w:t>
            </w:r>
            <w:r>
              <w:rPr>
                <w:rFonts w:hint="eastAsia" w:ascii="宋体" w:hAnsi="宋体"/>
                <w:bCs/>
                <w:szCs w:val="21"/>
              </w:rPr>
              <w:t>。</w:t>
            </w:r>
          </w:p>
        </w:tc>
        <w:tc>
          <w:tcPr>
            <w:tcW w:w="791" w:type="dxa"/>
            <w:vAlign w:val="center"/>
          </w:tcPr>
          <w:p>
            <w:pPr>
              <w:spacing w:line="240" w:lineRule="exact"/>
              <w:jc w:val="center"/>
              <w:rPr>
                <w:rFonts w:hint="eastAsia" w:ascii="宋体" w:hAnsi="宋体" w:eastAsia="宋体"/>
                <w:sz w:val="24"/>
                <w:lang w:eastAsia="zh-CN"/>
              </w:rPr>
            </w:pPr>
            <w:r>
              <w:rPr>
                <w:rFonts w:hint="eastAsia" w:ascii="宋体" w:hAnsi="宋体"/>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5" w:hRule="atLeast"/>
          <w:jc w:val="center"/>
        </w:trPr>
        <w:tc>
          <w:tcPr>
            <w:tcW w:w="327" w:type="dxa"/>
            <w:vMerge w:val="continue"/>
            <w:vAlign w:val="center"/>
          </w:tcPr>
          <w:p>
            <w:pPr>
              <w:adjustRightInd w:val="0"/>
              <w:snapToGrid w:val="0"/>
              <w:jc w:val="center"/>
              <w:rPr>
                <w:rFonts w:ascii="宋体" w:hAnsi="宋体" w:cs="宋体"/>
                <w:b/>
                <w:color w:val="000000"/>
                <w:kern w:val="0"/>
                <w:szCs w:val="21"/>
              </w:rPr>
            </w:pPr>
          </w:p>
        </w:tc>
        <w:tc>
          <w:tcPr>
            <w:tcW w:w="1078" w:type="dxa"/>
            <w:vMerge w:val="continue"/>
            <w:tcMar>
              <w:top w:w="15" w:type="dxa"/>
              <w:left w:w="15" w:type="dxa"/>
              <w:bottom w:w="0" w:type="dxa"/>
              <w:right w:w="15" w:type="dxa"/>
            </w:tcMar>
            <w:vAlign w:val="center"/>
          </w:tcPr>
          <w:p>
            <w:pPr>
              <w:spacing w:line="240" w:lineRule="exact"/>
              <w:jc w:val="center"/>
              <w:rPr>
                <w:rFonts w:ascii="宋体" w:hAnsi="宋体"/>
                <w:szCs w:val="21"/>
              </w:rPr>
            </w:pPr>
          </w:p>
        </w:tc>
        <w:tc>
          <w:tcPr>
            <w:tcW w:w="1595" w:type="dxa"/>
            <w:vMerge w:val="continue"/>
            <w:tcMar>
              <w:top w:w="15" w:type="dxa"/>
              <w:left w:w="15" w:type="dxa"/>
              <w:bottom w:w="0" w:type="dxa"/>
              <w:right w:w="15" w:type="dxa"/>
            </w:tcMar>
            <w:vAlign w:val="center"/>
          </w:tcPr>
          <w:p>
            <w:pPr>
              <w:spacing w:line="240" w:lineRule="exact"/>
              <w:jc w:val="center"/>
              <w:rPr>
                <w:rFonts w:ascii="宋体" w:hAnsi="宋体"/>
                <w:szCs w:val="21"/>
              </w:rPr>
            </w:pPr>
          </w:p>
        </w:tc>
        <w:tc>
          <w:tcPr>
            <w:tcW w:w="6063" w:type="dxa"/>
            <w:tcMar>
              <w:top w:w="15" w:type="dxa"/>
              <w:left w:w="15" w:type="dxa"/>
              <w:bottom w:w="0" w:type="dxa"/>
              <w:right w:w="15" w:type="dxa"/>
            </w:tcMar>
            <w:vAlign w:val="top"/>
          </w:tcPr>
          <w:p>
            <w:pPr>
              <w:jc w:val="both"/>
              <w:rPr>
                <w:rFonts w:ascii="宋体" w:hAnsi="宋体"/>
                <w:bCs/>
                <w:szCs w:val="21"/>
              </w:rPr>
            </w:pPr>
            <w:r>
              <w:rPr>
                <w:rFonts w:hint="eastAsia" w:ascii="宋体" w:hAnsi="宋体"/>
                <w:bCs/>
                <w:szCs w:val="21"/>
              </w:rPr>
              <w:t>2.</w:t>
            </w:r>
            <w:r>
              <w:rPr>
                <w:rFonts w:hint="eastAsia" w:ascii="宋体" w:hAnsi="宋体"/>
                <w:bCs/>
                <w:szCs w:val="21"/>
                <w:lang w:val="en-US" w:eastAsia="zh-CN"/>
              </w:rPr>
              <w:t>方案涵盖</w:t>
            </w:r>
            <w:r>
              <w:rPr>
                <w:rFonts w:hint="eastAsia" w:ascii="宋体" w:hAnsi="宋体"/>
                <w:bCs/>
                <w:szCs w:val="21"/>
              </w:rPr>
              <w:t>售后服务的内容、响应时间、服务范围、应急处理方案等因素打分，</w:t>
            </w:r>
            <w:r>
              <w:rPr>
                <w:rFonts w:hint="eastAsia" w:ascii="宋体" w:hAnsi="宋体"/>
                <w:szCs w:val="21"/>
              </w:rPr>
              <w:t>优</w:t>
            </w:r>
            <w:r>
              <w:rPr>
                <w:rFonts w:hint="eastAsia" w:ascii="宋体" w:hAnsi="宋体"/>
                <w:szCs w:val="21"/>
                <w:lang w:val="en-US" w:eastAsia="zh-CN"/>
              </w:rPr>
              <w:t>8</w:t>
            </w:r>
            <w:r>
              <w:rPr>
                <w:rFonts w:hint="eastAsia" w:ascii="宋体" w:hAnsi="宋体"/>
                <w:szCs w:val="21"/>
              </w:rPr>
              <w:t>分；良好</w:t>
            </w:r>
            <w:r>
              <w:rPr>
                <w:rFonts w:hint="eastAsia" w:ascii="宋体" w:hAnsi="宋体"/>
                <w:szCs w:val="21"/>
                <w:lang w:val="en-US" w:eastAsia="zh-CN"/>
              </w:rPr>
              <w:t>4</w:t>
            </w:r>
            <w:r>
              <w:rPr>
                <w:rFonts w:hint="eastAsia" w:ascii="宋体" w:hAnsi="宋体"/>
                <w:szCs w:val="21"/>
              </w:rPr>
              <w:t>分；一般1分。</w:t>
            </w:r>
          </w:p>
        </w:tc>
        <w:tc>
          <w:tcPr>
            <w:tcW w:w="791" w:type="dxa"/>
            <w:vAlign w:val="center"/>
          </w:tcPr>
          <w:p>
            <w:pPr>
              <w:spacing w:line="240" w:lineRule="exact"/>
              <w:jc w:val="center"/>
              <w:rPr>
                <w:rFonts w:ascii="宋体" w:hAnsi="宋体"/>
                <w:szCs w:val="21"/>
              </w:rPr>
            </w:pPr>
            <w:r>
              <w:rPr>
                <w:rFonts w:hint="eastAsia" w:ascii="宋体" w:hAnsi="宋体"/>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5" w:hRule="atLeast"/>
          <w:jc w:val="center"/>
        </w:trPr>
        <w:tc>
          <w:tcPr>
            <w:tcW w:w="327" w:type="dxa"/>
            <w:vAlign w:val="center"/>
          </w:tcPr>
          <w:p>
            <w:pPr>
              <w:adjustRightInd w:val="0"/>
              <w:snapToGrid w:val="0"/>
              <w:jc w:val="center"/>
              <w:rPr>
                <w:rFonts w:hint="eastAsia" w:ascii="宋体" w:hAnsi="宋体" w:eastAsia="宋体" w:cs="宋体"/>
                <w:b/>
                <w:color w:val="000000"/>
                <w:kern w:val="0"/>
                <w:szCs w:val="21"/>
                <w:lang w:val="en-US" w:eastAsia="zh-CN"/>
              </w:rPr>
            </w:pPr>
            <w:r>
              <w:rPr>
                <w:rFonts w:hint="eastAsia" w:ascii="宋体" w:hAnsi="宋体" w:cs="宋体"/>
                <w:b/>
                <w:color w:val="000000"/>
                <w:kern w:val="0"/>
                <w:szCs w:val="21"/>
                <w:lang w:val="en-US" w:eastAsia="zh-CN"/>
              </w:rPr>
              <w:t>9</w:t>
            </w:r>
          </w:p>
        </w:tc>
        <w:tc>
          <w:tcPr>
            <w:tcW w:w="1078" w:type="dxa"/>
            <w:vMerge w:val="continue"/>
            <w:tcMar>
              <w:top w:w="15" w:type="dxa"/>
              <w:left w:w="15" w:type="dxa"/>
              <w:bottom w:w="0" w:type="dxa"/>
              <w:right w:w="15" w:type="dxa"/>
            </w:tcMar>
            <w:vAlign w:val="center"/>
          </w:tcPr>
          <w:p>
            <w:pPr>
              <w:spacing w:line="240" w:lineRule="exact"/>
              <w:jc w:val="center"/>
              <w:rPr>
                <w:rFonts w:ascii="宋体" w:hAnsi="宋体"/>
                <w:szCs w:val="21"/>
              </w:rPr>
            </w:pPr>
          </w:p>
        </w:tc>
        <w:tc>
          <w:tcPr>
            <w:tcW w:w="1595" w:type="dxa"/>
            <w:tcMar>
              <w:top w:w="15" w:type="dxa"/>
              <w:left w:w="15" w:type="dxa"/>
              <w:bottom w:w="0" w:type="dxa"/>
              <w:right w:w="15" w:type="dxa"/>
            </w:tcMar>
            <w:vAlign w:val="center"/>
          </w:tcPr>
          <w:p>
            <w:pPr>
              <w:spacing w:line="240" w:lineRule="exact"/>
              <w:jc w:val="center"/>
              <w:rPr>
                <w:rFonts w:hint="eastAsia" w:ascii="宋体" w:hAnsi="宋体" w:eastAsia="宋体"/>
                <w:szCs w:val="21"/>
                <w:lang w:val="en-US" w:eastAsia="zh-CN"/>
              </w:rPr>
            </w:pPr>
            <w:r>
              <w:rPr>
                <w:rFonts w:hint="eastAsia" w:ascii="宋体" w:hAnsi="宋体"/>
                <w:szCs w:val="21"/>
                <w:lang w:val="en-US" w:eastAsia="zh-CN"/>
              </w:rPr>
              <w:t>现场演示</w:t>
            </w:r>
          </w:p>
        </w:tc>
        <w:tc>
          <w:tcPr>
            <w:tcW w:w="6063" w:type="dxa"/>
            <w:tcMar>
              <w:top w:w="15" w:type="dxa"/>
              <w:left w:w="15" w:type="dxa"/>
              <w:bottom w:w="0" w:type="dxa"/>
              <w:right w:w="15" w:type="dxa"/>
            </w:tcMar>
            <w:vAlign w:val="top"/>
          </w:tcPr>
          <w:p>
            <w:pPr>
              <w:numPr>
                <w:ilvl w:val="0"/>
                <w:numId w:val="0"/>
              </w:numPr>
              <w:jc w:val="both"/>
              <w:rPr>
                <w:rFonts w:hint="default"/>
                <w:color w:val="FF0000"/>
                <w:highlight w:val="none"/>
                <w:shd w:val="clear" w:color="auto" w:fill="auto"/>
                <w:lang w:val="en-US" w:eastAsia="zh-CN"/>
              </w:rPr>
            </w:pPr>
            <w:r>
              <w:rPr>
                <w:rFonts w:hint="eastAsia"/>
                <w:color w:val="000000" w:themeColor="text1"/>
                <w:highlight w:val="none"/>
                <w:shd w:val="clear" w:color="auto" w:fill="auto"/>
                <w:lang w:val="en-US" w:eastAsia="zh-CN"/>
                <w14:textFill>
                  <w14:solidFill>
                    <w14:schemeClr w14:val="tx1"/>
                  </w14:solidFill>
                </w14:textFill>
              </w:rPr>
              <w:t>投标人演示核心产品相关程序及产品优势，演示内容围绕本次招标产品；需每项产品演示详细、具体。产品满足且优于本项目招标参数要求的得14分；能满足项目实际需求的得8分；一般得5；差不得分。</w:t>
            </w:r>
          </w:p>
          <w:p>
            <w:pPr>
              <w:pStyle w:val="4"/>
              <w:numPr>
                <w:ilvl w:val="2"/>
                <w:numId w:val="0"/>
              </w:numPr>
              <w:ind w:leftChars="0"/>
              <w:jc w:val="both"/>
              <w:rPr>
                <w:rFonts w:hint="default"/>
                <w:lang w:val="en-US" w:eastAsia="zh-CN"/>
              </w:rPr>
            </w:pPr>
            <w:r>
              <w:rPr>
                <w:rFonts w:hint="eastAsia" w:ascii="Times New Roman" w:hAnsi="Times New Roman" w:eastAsia="宋体" w:cs="Times New Roman"/>
                <w:b/>
                <w:bCs/>
                <w:kern w:val="2"/>
                <w:sz w:val="21"/>
                <w:szCs w:val="24"/>
                <w:lang w:val="en-US" w:eastAsia="zh-CN" w:bidi="ar-SA"/>
              </w:rPr>
              <w:t>演示要求： 1.演示必须为实际程序演示，不支持PPT截图演示；2.演示时间不得超过20分钟；3.自备演示设备。</w:t>
            </w:r>
          </w:p>
        </w:tc>
        <w:tc>
          <w:tcPr>
            <w:tcW w:w="791" w:type="dxa"/>
            <w:vAlign w:val="center"/>
          </w:tcPr>
          <w:p>
            <w:pPr>
              <w:spacing w:line="240" w:lineRule="exact"/>
              <w:jc w:val="center"/>
              <w:rPr>
                <w:rFonts w:hint="default" w:ascii="宋体" w:hAnsi="宋体"/>
                <w:szCs w:val="21"/>
                <w:lang w:val="en-US" w:eastAsia="zh-CN"/>
              </w:rPr>
            </w:pPr>
            <w:r>
              <w:rPr>
                <w:rFonts w:hint="eastAsia" w:ascii="宋体" w:hAnsi="宋体"/>
                <w:szCs w:val="21"/>
                <w:lang w:val="en-US" w:eastAsia="zh-CN"/>
              </w:rPr>
              <w:t>14分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7" w:hRule="atLeast"/>
          <w:jc w:val="center"/>
        </w:trPr>
        <w:tc>
          <w:tcPr>
            <w:tcW w:w="327" w:type="dxa"/>
            <w:vAlign w:val="center"/>
          </w:tcPr>
          <w:p>
            <w:pPr>
              <w:adjustRightInd w:val="0"/>
              <w:snapToGrid w:val="0"/>
              <w:jc w:val="center"/>
              <w:rPr>
                <w:rFonts w:hint="default" w:ascii="宋体" w:hAnsi="宋体" w:eastAsia="宋体" w:cs="宋体"/>
                <w:b/>
                <w:color w:val="000000"/>
                <w:kern w:val="0"/>
                <w:szCs w:val="21"/>
                <w:lang w:val="en-US" w:eastAsia="zh-CN"/>
              </w:rPr>
            </w:pPr>
            <w:r>
              <w:rPr>
                <w:rFonts w:hint="eastAsia" w:ascii="宋体" w:hAnsi="宋体" w:cs="宋体"/>
                <w:b/>
                <w:color w:val="000000"/>
                <w:kern w:val="0"/>
                <w:szCs w:val="21"/>
                <w:lang w:val="en-US" w:eastAsia="zh-CN"/>
              </w:rPr>
              <w:t>10</w:t>
            </w:r>
          </w:p>
        </w:tc>
        <w:tc>
          <w:tcPr>
            <w:tcW w:w="1078" w:type="dxa"/>
            <w:tcMar>
              <w:top w:w="15" w:type="dxa"/>
              <w:left w:w="15" w:type="dxa"/>
              <w:bottom w:w="0" w:type="dxa"/>
              <w:right w:w="15" w:type="dxa"/>
            </w:tcMar>
            <w:vAlign w:val="center"/>
          </w:tcPr>
          <w:p>
            <w:pPr>
              <w:spacing w:line="240" w:lineRule="exact"/>
              <w:jc w:val="center"/>
              <w:rPr>
                <w:rFonts w:ascii="宋体" w:hAnsi="宋体"/>
                <w:szCs w:val="21"/>
              </w:rPr>
            </w:pPr>
          </w:p>
        </w:tc>
        <w:tc>
          <w:tcPr>
            <w:tcW w:w="1595" w:type="dxa"/>
            <w:tcMar>
              <w:top w:w="15" w:type="dxa"/>
              <w:left w:w="15" w:type="dxa"/>
              <w:bottom w:w="0" w:type="dxa"/>
              <w:right w:w="15" w:type="dxa"/>
            </w:tcMar>
            <w:vAlign w:val="center"/>
          </w:tcPr>
          <w:p>
            <w:pPr>
              <w:spacing w:line="240" w:lineRule="exact"/>
              <w:jc w:val="center"/>
              <w:rPr>
                <w:rFonts w:hint="eastAsia" w:ascii="宋体" w:hAnsi="宋体"/>
                <w:szCs w:val="21"/>
                <w:lang w:val="en-US" w:eastAsia="zh-CN"/>
              </w:rPr>
            </w:pPr>
            <w:r>
              <w:rPr>
                <w:rFonts w:hint="eastAsia" w:ascii="宋体" w:hAnsi="宋体"/>
                <w:szCs w:val="21"/>
                <w:lang w:val="en-US" w:eastAsia="zh-CN"/>
              </w:rPr>
              <w:t>节能、环境标志、无线局域网产品</w:t>
            </w:r>
          </w:p>
        </w:tc>
        <w:tc>
          <w:tcPr>
            <w:tcW w:w="6063" w:type="dxa"/>
            <w:tcMar>
              <w:top w:w="15" w:type="dxa"/>
              <w:left w:w="15" w:type="dxa"/>
              <w:bottom w:w="0" w:type="dxa"/>
              <w:right w:w="15" w:type="dxa"/>
            </w:tcMar>
            <w:vAlign w:val="top"/>
          </w:tcPr>
          <w:p>
            <w:pPr>
              <w:pStyle w:val="4"/>
              <w:numPr>
                <w:ilvl w:val="2"/>
                <w:numId w:val="0"/>
              </w:numPr>
              <w:jc w:val="both"/>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t>投</w:t>
            </w:r>
            <w:r>
              <w:rPr>
                <w:rFonts w:hint="eastAsia" w:ascii="宋体" w:hAnsi="宋体" w:eastAsia="宋体" w:cs="Times New Roman"/>
                <w:bCs/>
                <w:kern w:val="2"/>
                <w:sz w:val="21"/>
                <w:szCs w:val="21"/>
                <w:lang w:val="en-US" w:eastAsia="zh-CN" w:bidi="ar-SA"/>
              </w:rPr>
              <w:t>标产品中属于政府采购优先采购范围的，则每有一项为节能产品或者环境标志产品或者无线局域网产品的得1分，非节能、非环境标志产品的、非无线局域网产品的不得分。注：1、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791" w:type="dxa"/>
            <w:vAlign w:val="center"/>
          </w:tcPr>
          <w:p>
            <w:pPr>
              <w:spacing w:line="240" w:lineRule="exact"/>
              <w:jc w:val="center"/>
              <w:rPr>
                <w:rFonts w:hint="default" w:ascii="宋体" w:hAnsi="宋体"/>
                <w:szCs w:val="21"/>
                <w:lang w:val="en-US" w:eastAsia="zh-CN"/>
              </w:rPr>
            </w:pPr>
            <w:r>
              <w:rPr>
                <w:rFonts w:hint="eastAsia" w:ascii="宋体" w:hAnsi="宋体"/>
                <w:szCs w:val="21"/>
                <w:lang w:val="en-US" w:eastAsia="zh-CN"/>
              </w:rPr>
              <w:t>1分</w:t>
            </w:r>
          </w:p>
        </w:tc>
      </w:tr>
    </w:tbl>
    <w:p>
      <w:pPr>
        <w:pStyle w:val="14"/>
      </w:pPr>
    </w:p>
    <w:bookmarkEnd w:id="108"/>
    <w:p>
      <w:pPr>
        <w:pStyle w:val="19"/>
        <w:bidi w:val="0"/>
        <w:rPr>
          <w:rFonts w:hint="eastAsia"/>
        </w:rPr>
      </w:pPr>
    </w:p>
    <w:p>
      <w:pPr>
        <w:pStyle w:val="19"/>
        <w:bidi w:val="0"/>
        <w:rPr>
          <w:rFonts w:hint="eastAsia"/>
        </w:rPr>
      </w:pPr>
    </w:p>
    <w:p>
      <w:pPr>
        <w:pStyle w:val="19"/>
        <w:bidi w:val="0"/>
        <w:rPr>
          <w:rFonts w:hint="eastAsia"/>
        </w:rPr>
      </w:pPr>
      <w:bookmarkStart w:id="109" w:name="_Toc31947"/>
    </w:p>
    <w:p>
      <w:pPr>
        <w:pStyle w:val="19"/>
        <w:bidi w:val="0"/>
        <w:rPr>
          <w:rFonts w:hint="eastAsia"/>
        </w:rPr>
      </w:pPr>
    </w:p>
    <w:p>
      <w:pPr>
        <w:pStyle w:val="19"/>
        <w:bidi w:val="0"/>
        <w:rPr>
          <w:rFonts w:hint="eastAsia"/>
        </w:rPr>
      </w:pPr>
    </w:p>
    <w:p>
      <w:pPr>
        <w:pStyle w:val="19"/>
        <w:bidi w:val="0"/>
        <w:rPr>
          <w:rFonts w:hint="eastAsia"/>
        </w:rPr>
      </w:pPr>
    </w:p>
    <w:p>
      <w:pPr>
        <w:pStyle w:val="19"/>
        <w:bidi w:val="0"/>
        <w:rPr>
          <w:rFonts w:hint="eastAsia"/>
        </w:rPr>
      </w:pPr>
    </w:p>
    <w:p>
      <w:pPr>
        <w:pStyle w:val="19"/>
        <w:bidi w:val="0"/>
        <w:rPr>
          <w:rFonts w:hint="eastAsia"/>
        </w:rPr>
      </w:pPr>
    </w:p>
    <w:p>
      <w:pPr>
        <w:pStyle w:val="19"/>
        <w:bidi w:val="0"/>
        <w:rPr>
          <w:rFonts w:hint="eastAsia"/>
        </w:rPr>
      </w:pPr>
    </w:p>
    <w:p>
      <w:pPr>
        <w:pStyle w:val="19"/>
        <w:bidi w:val="0"/>
        <w:rPr>
          <w:rFonts w:hint="eastAsia"/>
        </w:rPr>
      </w:pPr>
    </w:p>
    <w:p>
      <w:pPr>
        <w:pStyle w:val="19"/>
        <w:bidi w:val="0"/>
        <w:rPr>
          <w:rFonts w:hint="eastAsia"/>
        </w:rPr>
      </w:pPr>
    </w:p>
    <w:p>
      <w:pPr>
        <w:pStyle w:val="19"/>
        <w:bidi w:val="0"/>
        <w:rPr>
          <w:rFonts w:hint="eastAsia"/>
        </w:rPr>
      </w:pPr>
    </w:p>
    <w:p>
      <w:pPr>
        <w:pStyle w:val="19"/>
        <w:bidi w:val="0"/>
        <w:rPr>
          <w:rFonts w:hint="eastAsia"/>
        </w:rPr>
      </w:pPr>
    </w:p>
    <w:p>
      <w:pPr>
        <w:pStyle w:val="19"/>
        <w:bidi w:val="0"/>
        <w:rPr>
          <w:rFonts w:hint="eastAsia"/>
        </w:rPr>
      </w:pPr>
    </w:p>
    <w:p>
      <w:pPr>
        <w:pStyle w:val="19"/>
        <w:bidi w:val="0"/>
        <w:rPr>
          <w:rFonts w:hint="eastAsia"/>
        </w:rPr>
        <w:sectPr>
          <w:footerReference r:id="rId6" w:type="first"/>
          <w:footerReference r:id="rId5" w:type="default"/>
          <w:pgSz w:w="11906" w:h="16838"/>
          <w:pgMar w:top="1440" w:right="1803" w:bottom="1440" w:left="1803" w:header="851" w:footer="992" w:gutter="0"/>
          <w:pgNumType w:fmt="decimal"/>
          <w:cols w:space="720" w:num="1"/>
          <w:titlePg/>
          <w:docGrid w:type="lines" w:linePitch="319" w:charSpace="0"/>
        </w:sectPr>
      </w:pPr>
    </w:p>
    <w:p>
      <w:pPr>
        <w:pStyle w:val="75"/>
        <w:snapToGrid w:val="0"/>
        <w:spacing w:line="440" w:lineRule="exact"/>
        <w:jc w:val="center"/>
        <w:outlineLvl w:val="0"/>
        <w:rPr>
          <w:rFonts w:ascii="宋体" w:hAnsi="宋体" w:cs="宋体"/>
          <w:b/>
          <w:bCs/>
          <w:color w:val="auto"/>
          <w:sz w:val="32"/>
          <w:szCs w:val="32"/>
        </w:rPr>
      </w:pPr>
      <w:r>
        <w:rPr>
          <w:rFonts w:hint="eastAsia" w:ascii="宋体" w:hAnsi="宋体" w:cs="宋体"/>
          <w:b/>
          <w:bCs/>
          <w:color w:val="auto"/>
          <w:sz w:val="32"/>
          <w:szCs w:val="32"/>
        </w:rPr>
        <w:t>第四章  合同条款</w:t>
      </w:r>
      <w:bookmarkEnd w:id="48"/>
      <w:bookmarkEnd w:id="109"/>
    </w:p>
    <w:p>
      <w:pPr>
        <w:pStyle w:val="75"/>
        <w:snapToGrid w:val="0"/>
        <w:spacing w:line="440" w:lineRule="exact"/>
        <w:ind w:firstLine="560"/>
        <w:jc w:val="center"/>
        <w:rPr>
          <w:rFonts w:ascii="宋体" w:hAnsi="宋体" w:cs="宋体"/>
          <w:color w:val="auto"/>
          <w:sz w:val="21"/>
          <w:szCs w:val="21"/>
        </w:rPr>
      </w:pPr>
    </w:p>
    <w:p>
      <w:pPr>
        <w:spacing w:line="500" w:lineRule="exact"/>
        <w:ind w:firstLine="420" w:firstLineChars="200"/>
        <w:rPr>
          <w:rFonts w:ascii="宋体" w:hAnsi="宋体" w:cs="宋体"/>
          <w:szCs w:val="21"/>
        </w:rPr>
      </w:pPr>
      <w:bookmarkStart w:id="110" w:name="_Toc31739"/>
      <w:bookmarkStart w:id="111" w:name="_Toc271"/>
      <w:bookmarkStart w:id="112" w:name="_Toc422141871"/>
      <w:r>
        <w:rPr>
          <w:rFonts w:hint="eastAsia" w:ascii="宋体" w:hAnsi="宋体" w:cs="宋体"/>
          <w:szCs w:val="21"/>
        </w:rPr>
        <w:t>1.定义</w:t>
      </w:r>
      <w:bookmarkEnd w:id="110"/>
      <w:bookmarkEnd w:id="111"/>
      <w:bookmarkEnd w:id="112"/>
    </w:p>
    <w:p>
      <w:pPr>
        <w:pStyle w:val="94"/>
        <w:spacing w:line="500" w:lineRule="exact"/>
        <w:ind w:firstLine="420"/>
        <w:rPr>
          <w:rFonts w:ascii="宋体" w:hAnsi="宋体" w:eastAsia="宋体" w:cs="宋体"/>
          <w:color w:val="auto"/>
          <w:sz w:val="21"/>
          <w:szCs w:val="21"/>
        </w:rPr>
      </w:pPr>
      <w:r>
        <w:rPr>
          <w:rFonts w:hint="eastAsia" w:ascii="宋体" w:hAnsi="宋体" w:eastAsia="宋体" w:cs="宋体"/>
          <w:color w:val="auto"/>
          <w:sz w:val="21"/>
          <w:szCs w:val="21"/>
        </w:rPr>
        <w:t>本合同中的下列术语应解释为：</w:t>
      </w:r>
    </w:p>
    <w:p>
      <w:pPr>
        <w:spacing w:line="500" w:lineRule="exact"/>
        <w:ind w:firstLine="420" w:firstLineChars="200"/>
        <w:rPr>
          <w:rFonts w:ascii="宋体" w:hAnsi="宋体" w:cs="宋体"/>
          <w:szCs w:val="21"/>
        </w:rPr>
      </w:pPr>
      <w:bookmarkStart w:id="113" w:name="_Toc239656580"/>
      <w:bookmarkStart w:id="114" w:name="_Toc82324369"/>
      <w:r>
        <w:rPr>
          <w:rFonts w:hint="eastAsia" w:ascii="宋体" w:hAnsi="宋体" w:cs="宋体"/>
          <w:szCs w:val="21"/>
        </w:rPr>
        <w:t>1.1“合同”系指买卖双方签署的、合同格式中载明的买卖双方所达成的协议，包括所有的附件、附录和构成合同的其它文件。</w:t>
      </w:r>
    </w:p>
    <w:p>
      <w:pPr>
        <w:spacing w:line="500" w:lineRule="exact"/>
        <w:ind w:firstLine="420" w:firstLineChars="200"/>
        <w:rPr>
          <w:rFonts w:ascii="宋体" w:hAnsi="宋体" w:cs="宋体"/>
          <w:szCs w:val="21"/>
        </w:rPr>
      </w:pPr>
      <w:r>
        <w:rPr>
          <w:rFonts w:hint="eastAsia" w:ascii="宋体" w:hAnsi="宋体" w:cs="宋体"/>
          <w:szCs w:val="21"/>
        </w:rPr>
        <w:t>1.2“合同款”系指根据合同约定，乙方在完全履行合同义务后招标人应付给乙方的款项。</w:t>
      </w:r>
    </w:p>
    <w:p>
      <w:pPr>
        <w:spacing w:line="500" w:lineRule="exact"/>
        <w:ind w:firstLine="420" w:firstLineChars="200"/>
        <w:rPr>
          <w:rFonts w:ascii="宋体" w:hAnsi="宋体" w:cs="宋体"/>
          <w:szCs w:val="21"/>
        </w:rPr>
      </w:pPr>
      <w:r>
        <w:rPr>
          <w:rFonts w:hint="eastAsia" w:ascii="宋体" w:hAnsi="宋体" w:cs="宋体"/>
          <w:szCs w:val="21"/>
        </w:rPr>
        <w:t>1.3“人员”系指作为雇员由乙方所雇佣并被分配执行服务或其任何部分的人员。</w:t>
      </w:r>
    </w:p>
    <w:p>
      <w:pPr>
        <w:spacing w:line="500" w:lineRule="exact"/>
        <w:ind w:firstLine="420" w:firstLineChars="200"/>
        <w:rPr>
          <w:rFonts w:ascii="宋体" w:hAnsi="宋体" w:cs="宋体"/>
          <w:szCs w:val="21"/>
        </w:rPr>
      </w:pPr>
      <w:r>
        <w:rPr>
          <w:rFonts w:hint="eastAsia" w:ascii="宋体" w:hAnsi="宋体" w:cs="宋体"/>
          <w:szCs w:val="21"/>
        </w:rPr>
        <w:t>1.4“货物”系指由乙方根据合同所实施的工作。</w:t>
      </w:r>
    </w:p>
    <w:p>
      <w:pPr>
        <w:spacing w:line="500" w:lineRule="exact"/>
        <w:ind w:firstLine="420" w:firstLineChars="200"/>
        <w:rPr>
          <w:rFonts w:ascii="宋体" w:hAnsi="宋体" w:cs="宋体"/>
          <w:szCs w:val="21"/>
        </w:rPr>
      </w:pPr>
      <w:r>
        <w:rPr>
          <w:rFonts w:hint="eastAsia" w:ascii="宋体" w:hAnsi="宋体" w:cs="宋体"/>
          <w:szCs w:val="21"/>
        </w:rPr>
        <w:t>1.6“招标人”系指与成交人签署服务合同的单位（含最终用户），即买方。</w:t>
      </w:r>
    </w:p>
    <w:p>
      <w:pPr>
        <w:spacing w:line="500" w:lineRule="exact"/>
        <w:ind w:firstLine="420" w:firstLineChars="200"/>
        <w:rPr>
          <w:rFonts w:ascii="宋体" w:hAnsi="宋体" w:cs="宋体"/>
          <w:szCs w:val="21"/>
        </w:rPr>
      </w:pPr>
      <w:r>
        <w:rPr>
          <w:rFonts w:hint="eastAsia" w:ascii="宋体" w:hAnsi="宋体" w:cs="宋体"/>
          <w:szCs w:val="21"/>
        </w:rPr>
        <w:t>1.7“乙方”系指根据合同约定提供服务的中标人，即卖方。</w:t>
      </w:r>
    </w:p>
    <w:p>
      <w:pPr>
        <w:spacing w:line="500" w:lineRule="exact"/>
        <w:ind w:firstLine="420" w:firstLineChars="200"/>
        <w:rPr>
          <w:rFonts w:ascii="宋体" w:hAnsi="宋体" w:cs="宋体"/>
          <w:szCs w:val="21"/>
        </w:rPr>
      </w:pPr>
      <w:r>
        <w:rPr>
          <w:rFonts w:hint="eastAsia" w:ascii="宋体" w:hAnsi="宋体" w:cs="宋体"/>
          <w:szCs w:val="21"/>
        </w:rPr>
        <w:t>1.8“天”系指日历天数。</w:t>
      </w:r>
    </w:p>
    <w:p>
      <w:pPr>
        <w:spacing w:line="500" w:lineRule="exact"/>
        <w:ind w:firstLine="420" w:firstLineChars="200"/>
        <w:rPr>
          <w:rFonts w:ascii="宋体" w:hAnsi="宋体" w:cs="宋体"/>
          <w:szCs w:val="21"/>
        </w:rPr>
      </w:pPr>
      <w:bookmarkStart w:id="115" w:name="_Toc31521"/>
      <w:bookmarkStart w:id="116" w:name="_Toc422141872"/>
      <w:bookmarkStart w:id="117" w:name="_Toc6125"/>
      <w:r>
        <w:rPr>
          <w:rFonts w:hint="eastAsia" w:ascii="宋体" w:hAnsi="宋体" w:cs="宋体"/>
          <w:szCs w:val="21"/>
        </w:rPr>
        <w:t>2.供货内容</w:t>
      </w:r>
      <w:bookmarkEnd w:id="113"/>
      <w:bookmarkEnd w:id="114"/>
      <w:bookmarkEnd w:id="115"/>
      <w:bookmarkEnd w:id="116"/>
      <w:bookmarkEnd w:id="117"/>
    </w:p>
    <w:p>
      <w:pPr>
        <w:spacing w:line="500" w:lineRule="exact"/>
        <w:ind w:firstLine="420" w:firstLineChars="200"/>
        <w:rPr>
          <w:rFonts w:ascii="宋体" w:hAnsi="宋体" w:cs="宋体"/>
          <w:szCs w:val="21"/>
        </w:rPr>
      </w:pPr>
      <w:r>
        <w:rPr>
          <w:rFonts w:hint="eastAsia" w:ascii="宋体" w:hAnsi="宋体" w:cs="宋体"/>
          <w:szCs w:val="21"/>
        </w:rPr>
        <w:t>2.1乙方所有任务执行在不违反且不低于《招标文件》中要求的前提下，按照投标文件要求，完成招标人的供货任务，满足中标货物指标、数量要求。</w:t>
      </w:r>
    </w:p>
    <w:p>
      <w:pPr>
        <w:spacing w:line="500" w:lineRule="exact"/>
        <w:ind w:firstLine="420" w:firstLineChars="200"/>
        <w:rPr>
          <w:rFonts w:ascii="宋体" w:hAnsi="宋体" w:cs="宋体"/>
          <w:szCs w:val="21"/>
        </w:rPr>
      </w:pPr>
      <w:r>
        <w:rPr>
          <w:rFonts w:hint="eastAsia" w:ascii="宋体" w:hAnsi="宋体" w:cs="宋体"/>
          <w:szCs w:val="21"/>
        </w:rPr>
        <w:t>2.2要求乙方提供本合同所要求完成的任务，并达到相应的水平。</w:t>
      </w:r>
    </w:p>
    <w:p>
      <w:pPr>
        <w:spacing w:line="500" w:lineRule="exact"/>
        <w:ind w:firstLine="420" w:firstLineChars="200"/>
        <w:rPr>
          <w:rFonts w:ascii="宋体" w:hAnsi="宋体" w:cs="宋体"/>
          <w:szCs w:val="21"/>
        </w:rPr>
      </w:pPr>
      <w:r>
        <w:rPr>
          <w:rFonts w:hint="eastAsia" w:ascii="宋体" w:hAnsi="宋体" w:cs="宋体"/>
          <w:szCs w:val="21"/>
        </w:rPr>
        <w:t>2.3乙方按照招标人要求的时间按时完成项目各项内容并提供相应的服务，达到相应水平。</w:t>
      </w:r>
    </w:p>
    <w:p>
      <w:pPr>
        <w:spacing w:line="500" w:lineRule="exact"/>
        <w:ind w:firstLine="420" w:firstLineChars="200"/>
        <w:rPr>
          <w:rFonts w:ascii="宋体" w:hAnsi="宋体" w:cs="宋体"/>
          <w:szCs w:val="21"/>
        </w:rPr>
      </w:pPr>
      <w:bookmarkStart w:id="118" w:name="_Toc19614"/>
      <w:bookmarkStart w:id="119" w:name="_Toc422141873"/>
      <w:bookmarkStart w:id="120" w:name="_Toc4656"/>
      <w:r>
        <w:rPr>
          <w:rFonts w:hint="eastAsia" w:ascii="宋体" w:hAnsi="宋体" w:cs="宋体"/>
          <w:szCs w:val="21"/>
        </w:rPr>
        <w:t>3.供货数量、服务地点、时间及人员</w:t>
      </w:r>
      <w:bookmarkEnd w:id="118"/>
      <w:bookmarkEnd w:id="119"/>
      <w:bookmarkEnd w:id="120"/>
    </w:p>
    <w:p>
      <w:pPr>
        <w:spacing w:line="500" w:lineRule="exact"/>
        <w:ind w:firstLine="420" w:firstLineChars="200"/>
        <w:rPr>
          <w:rFonts w:ascii="宋体" w:hAnsi="宋体" w:cs="宋体"/>
          <w:szCs w:val="21"/>
        </w:rPr>
      </w:pPr>
      <w:r>
        <w:rPr>
          <w:rFonts w:hint="eastAsia" w:ascii="宋体" w:hAnsi="宋体" w:cs="宋体"/>
          <w:szCs w:val="21"/>
        </w:rPr>
        <w:t>3.1供货数量</w:t>
      </w:r>
    </w:p>
    <w:tbl>
      <w:tblPr>
        <w:tblStyle w:val="3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4"/>
        <w:gridCol w:w="1211"/>
        <w:gridCol w:w="1284"/>
        <w:gridCol w:w="1212"/>
        <w:gridCol w:w="1212"/>
        <w:gridCol w:w="1212"/>
        <w:gridCol w:w="1258"/>
        <w:gridCol w:w="11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4" w:type="dxa"/>
            <w:vAlign w:val="center"/>
          </w:tcPr>
          <w:p>
            <w:pPr>
              <w:spacing w:line="500" w:lineRule="exact"/>
              <w:jc w:val="center"/>
              <w:rPr>
                <w:rFonts w:ascii="宋体" w:hAnsi="宋体" w:cs="宋体"/>
                <w:szCs w:val="21"/>
              </w:rPr>
            </w:pPr>
            <w:r>
              <w:rPr>
                <w:rFonts w:hint="eastAsia" w:ascii="宋体" w:hAnsi="宋体" w:cs="宋体"/>
                <w:szCs w:val="21"/>
              </w:rPr>
              <w:t>序号</w:t>
            </w:r>
          </w:p>
        </w:tc>
        <w:tc>
          <w:tcPr>
            <w:tcW w:w="1211" w:type="dxa"/>
            <w:vAlign w:val="center"/>
          </w:tcPr>
          <w:p>
            <w:pPr>
              <w:spacing w:line="500" w:lineRule="exact"/>
              <w:jc w:val="center"/>
              <w:rPr>
                <w:rFonts w:ascii="宋体" w:hAnsi="宋体" w:cs="宋体"/>
                <w:szCs w:val="21"/>
              </w:rPr>
            </w:pPr>
            <w:r>
              <w:rPr>
                <w:rFonts w:hint="eastAsia" w:ascii="宋体" w:hAnsi="宋体" w:cs="宋体"/>
                <w:szCs w:val="21"/>
              </w:rPr>
              <w:t>采购内容及品名</w:t>
            </w:r>
          </w:p>
        </w:tc>
        <w:tc>
          <w:tcPr>
            <w:tcW w:w="1284" w:type="dxa"/>
            <w:vAlign w:val="center"/>
          </w:tcPr>
          <w:p>
            <w:pPr>
              <w:spacing w:line="500" w:lineRule="exact"/>
              <w:jc w:val="center"/>
              <w:rPr>
                <w:rFonts w:ascii="宋体" w:hAnsi="宋体" w:cs="宋体"/>
                <w:szCs w:val="21"/>
              </w:rPr>
            </w:pPr>
            <w:r>
              <w:rPr>
                <w:rFonts w:hint="eastAsia" w:ascii="宋体" w:hAnsi="宋体" w:cs="宋体"/>
                <w:szCs w:val="21"/>
              </w:rPr>
              <w:t>规格、型号</w:t>
            </w:r>
          </w:p>
        </w:tc>
        <w:tc>
          <w:tcPr>
            <w:tcW w:w="1212" w:type="dxa"/>
            <w:vAlign w:val="center"/>
          </w:tcPr>
          <w:p>
            <w:pPr>
              <w:spacing w:line="500" w:lineRule="exact"/>
              <w:jc w:val="center"/>
              <w:rPr>
                <w:rFonts w:ascii="宋体" w:hAnsi="宋体" w:cs="宋体"/>
                <w:szCs w:val="21"/>
              </w:rPr>
            </w:pPr>
            <w:r>
              <w:rPr>
                <w:rFonts w:hint="eastAsia" w:ascii="宋体" w:hAnsi="宋体" w:cs="宋体"/>
                <w:szCs w:val="21"/>
              </w:rPr>
              <w:t>品牌</w:t>
            </w:r>
          </w:p>
        </w:tc>
        <w:tc>
          <w:tcPr>
            <w:tcW w:w="1212" w:type="dxa"/>
            <w:vAlign w:val="center"/>
          </w:tcPr>
          <w:p>
            <w:pPr>
              <w:spacing w:line="500" w:lineRule="exact"/>
              <w:jc w:val="center"/>
              <w:rPr>
                <w:rFonts w:ascii="宋体" w:hAnsi="宋体" w:cs="宋体"/>
                <w:szCs w:val="21"/>
              </w:rPr>
            </w:pPr>
            <w:r>
              <w:rPr>
                <w:rFonts w:hint="eastAsia" w:ascii="宋体" w:hAnsi="宋体" w:cs="宋体"/>
                <w:szCs w:val="21"/>
              </w:rPr>
              <w:t>生产厂家</w:t>
            </w:r>
          </w:p>
        </w:tc>
        <w:tc>
          <w:tcPr>
            <w:tcW w:w="1212" w:type="dxa"/>
            <w:vAlign w:val="center"/>
          </w:tcPr>
          <w:p>
            <w:pPr>
              <w:spacing w:line="500" w:lineRule="exact"/>
              <w:jc w:val="center"/>
              <w:rPr>
                <w:rFonts w:ascii="宋体" w:hAnsi="宋体" w:cs="宋体"/>
                <w:szCs w:val="21"/>
              </w:rPr>
            </w:pPr>
            <w:r>
              <w:rPr>
                <w:rFonts w:hint="eastAsia" w:ascii="宋体" w:hAnsi="宋体" w:cs="宋体"/>
                <w:szCs w:val="21"/>
              </w:rPr>
              <w:t>数量</w:t>
            </w:r>
          </w:p>
        </w:tc>
        <w:tc>
          <w:tcPr>
            <w:tcW w:w="1258" w:type="dxa"/>
            <w:vAlign w:val="center"/>
          </w:tcPr>
          <w:p>
            <w:pPr>
              <w:spacing w:line="500" w:lineRule="exact"/>
              <w:jc w:val="center"/>
              <w:rPr>
                <w:rFonts w:ascii="宋体" w:hAnsi="宋体" w:cs="宋体"/>
                <w:szCs w:val="21"/>
              </w:rPr>
            </w:pPr>
            <w:r>
              <w:rPr>
                <w:rFonts w:hint="eastAsia" w:ascii="宋体" w:hAnsi="宋体" w:cs="宋体"/>
                <w:szCs w:val="21"/>
              </w:rPr>
              <w:t>单价（元）</w:t>
            </w:r>
          </w:p>
        </w:tc>
        <w:tc>
          <w:tcPr>
            <w:tcW w:w="1142" w:type="dxa"/>
            <w:vAlign w:val="center"/>
          </w:tcPr>
          <w:p>
            <w:pPr>
              <w:spacing w:line="500" w:lineRule="exact"/>
              <w:jc w:val="center"/>
              <w:rPr>
                <w:rFonts w:ascii="宋体" w:hAnsi="宋体" w:cs="宋体"/>
                <w:szCs w:val="21"/>
              </w:rPr>
            </w:pPr>
            <w:r>
              <w:rPr>
                <w:rFonts w:hint="eastAsia" w:ascii="宋体" w:hAnsi="宋体" w:cs="宋体"/>
                <w:szCs w:val="21"/>
              </w:rPr>
              <w:t>合价（元）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4" w:type="dxa"/>
          </w:tcPr>
          <w:p>
            <w:pPr>
              <w:spacing w:line="500" w:lineRule="exact"/>
              <w:rPr>
                <w:rFonts w:ascii="宋体" w:hAnsi="宋体" w:cs="宋体"/>
                <w:szCs w:val="21"/>
              </w:rPr>
            </w:pPr>
          </w:p>
        </w:tc>
        <w:tc>
          <w:tcPr>
            <w:tcW w:w="1211" w:type="dxa"/>
          </w:tcPr>
          <w:p>
            <w:pPr>
              <w:spacing w:line="500" w:lineRule="exact"/>
              <w:rPr>
                <w:rFonts w:ascii="宋体" w:hAnsi="宋体" w:cs="宋体"/>
                <w:szCs w:val="21"/>
              </w:rPr>
            </w:pPr>
          </w:p>
        </w:tc>
        <w:tc>
          <w:tcPr>
            <w:tcW w:w="1284" w:type="dxa"/>
          </w:tcPr>
          <w:p>
            <w:pPr>
              <w:spacing w:line="500" w:lineRule="exact"/>
              <w:rPr>
                <w:rFonts w:ascii="宋体" w:hAnsi="宋体" w:cs="宋体"/>
                <w:szCs w:val="21"/>
              </w:rPr>
            </w:pPr>
          </w:p>
        </w:tc>
        <w:tc>
          <w:tcPr>
            <w:tcW w:w="1212" w:type="dxa"/>
          </w:tcPr>
          <w:p>
            <w:pPr>
              <w:spacing w:line="500" w:lineRule="exact"/>
              <w:rPr>
                <w:rFonts w:ascii="宋体" w:hAnsi="宋体" w:cs="宋体"/>
                <w:szCs w:val="21"/>
              </w:rPr>
            </w:pPr>
          </w:p>
        </w:tc>
        <w:tc>
          <w:tcPr>
            <w:tcW w:w="1212" w:type="dxa"/>
          </w:tcPr>
          <w:p>
            <w:pPr>
              <w:spacing w:line="500" w:lineRule="exact"/>
              <w:rPr>
                <w:rFonts w:ascii="宋体" w:hAnsi="宋体" w:cs="宋体"/>
                <w:szCs w:val="21"/>
              </w:rPr>
            </w:pPr>
          </w:p>
        </w:tc>
        <w:tc>
          <w:tcPr>
            <w:tcW w:w="1212" w:type="dxa"/>
          </w:tcPr>
          <w:p>
            <w:pPr>
              <w:spacing w:line="500" w:lineRule="exact"/>
              <w:rPr>
                <w:rFonts w:ascii="宋体" w:hAnsi="宋体" w:cs="宋体"/>
                <w:szCs w:val="21"/>
              </w:rPr>
            </w:pPr>
          </w:p>
        </w:tc>
        <w:tc>
          <w:tcPr>
            <w:tcW w:w="1258" w:type="dxa"/>
          </w:tcPr>
          <w:p>
            <w:pPr>
              <w:spacing w:line="500" w:lineRule="exact"/>
              <w:rPr>
                <w:rFonts w:ascii="宋体" w:hAnsi="宋体" w:cs="宋体"/>
                <w:szCs w:val="21"/>
              </w:rPr>
            </w:pPr>
          </w:p>
        </w:tc>
        <w:tc>
          <w:tcPr>
            <w:tcW w:w="1142" w:type="dxa"/>
          </w:tcPr>
          <w:p>
            <w:pPr>
              <w:spacing w:line="500" w:lineRule="exact"/>
              <w:rPr>
                <w:rFonts w:ascii="宋体" w:hAnsi="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4" w:type="dxa"/>
          </w:tcPr>
          <w:p>
            <w:pPr>
              <w:spacing w:line="500" w:lineRule="exact"/>
              <w:rPr>
                <w:rFonts w:ascii="宋体" w:hAnsi="宋体" w:cs="宋体"/>
                <w:szCs w:val="21"/>
              </w:rPr>
            </w:pPr>
          </w:p>
        </w:tc>
        <w:tc>
          <w:tcPr>
            <w:tcW w:w="1211" w:type="dxa"/>
          </w:tcPr>
          <w:p>
            <w:pPr>
              <w:spacing w:line="500" w:lineRule="exact"/>
              <w:rPr>
                <w:rFonts w:ascii="宋体" w:hAnsi="宋体" w:cs="宋体"/>
                <w:szCs w:val="21"/>
              </w:rPr>
            </w:pPr>
          </w:p>
        </w:tc>
        <w:tc>
          <w:tcPr>
            <w:tcW w:w="1284" w:type="dxa"/>
          </w:tcPr>
          <w:p>
            <w:pPr>
              <w:spacing w:line="500" w:lineRule="exact"/>
              <w:rPr>
                <w:rFonts w:ascii="宋体" w:hAnsi="宋体" w:cs="宋体"/>
                <w:szCs w:val="21"/>
              </w:rPr>
            </w:pPr>
          </w:p>
        </w:tc>
        <w:tc>
          <w:tcPr>
            <w:tcW w:w="1212" w:type="dxa"/>
          </w:tcPr>
          <w:p>
            <w:pPr>
              <w:spacing w:line="500" w:lineRule="exact"/>
              <w:rPr>
                <w:rFonts w:ascii="宋体" w:hAnsi="宋体" w:cs="宋体"/>
                <w:szCs w:val="21"/>
              </w:rPr>
            </w:pPr>
          </w:p>
        </w:tc>
        <w:tc>
          <w:tcPr>
            <w:tcW w:w="1212" w:type="dxa"/>
          </w:tcPr>
          <w:p>
            <w:pPr>
              <w:spacing w:line="500" w:lineRule="exact"/>
              <w:rPr>
                <w:rFonts w:ascii="宋体" w:hAnsi="宋体" w:cs="宋体"/>
                <w:szCs w:val="21"/>
              </w:rPr>
            </w:pPr>
          </w:p>
        </w:tc>
        <w:tc>
          <w:tcPr>
            <w:tcW w:w="1212" w:type="dxa"/>
          </w:tcPr>
          <w:p>
            <w:pPr>
              <w:spacing w:line="500" w:lineRule="exact"/>
              <w:rPr>
                <w:rFonts w:ascii="宋体" w:hAnsi="宋体" w:cs="宋体"/>
                <w:szCs w:val="21"/>
              </w:rPr>
            </w:pPr>
          </w:p>
        </w:tc>
        <w:tc>
          <w:tcPr>
            <w:tcW w:w="1258" w:type="dxa"/>
          </w:tcPr>
          <w:p>
            <w:pPr>
              <w:spacing w:line="500" w:lineRule="exact"/>
              <w:rPr>
                <w:rFonts w:ascii="宋体" w:hAnsi="宋体" w:cs="宋体"/>
                <w:szCs w:val="21"/>
              </w:rPr>
            </w:pPr>
          </w:p>
        </w:tc>
        <w:tc>
          <w:tcPr>
            <w:tcW w:w="1142" w:type="dxa"/>
          </w:tcPr>
          <w:p>
            <w:pPr>
              <w:spacing w:line="500" w:lineRule="exact"/>
              <w:rPr>
                <w:rFonts w:ascii="宋体" w:hAnsi="宋体" w:cs="宋体"/>
                <w:szCs w:val="21"/>
              </w:rPr>
            </w:pPr>
          </w:p>
        </w:tc>
      </w:tr>
    </w:tbl>
    <w:p>
      <w:pPr>
        <w:spacing w:line="500" w:lineRule="exact"/>
        <w:ind w:firstLine="420" w:firstLineChars="200"/>
        <w:rPr>
          <w:rFonts w:ascii="宋体" w:hAnsi="宋体" w:cs="宋体"/>
          <w:szCs w:val="21"/>
        </w:rPr>
      </w:pPr>
      <w:r>
        <w:rPr>
          <w:rFonts w:hint="eastAsia" w:ascii="宋体" w:hAnsi="宋体" w:cs="宋体"/>
          <w:szCs w:val="21"/>
        </w:rPr>
        <w:t>3.2供货地点和时间</w:t>
      </w:r>
    </w:p>
    <w:p>
      <w:pPr>
        <w:spacing w:line="500" w:lineRule="exact"/>
        <w:ind w:firstLine="420" w:firstLineChars="200"/>
        <w:rPr>
          <w:rFonts w:ascii="宋体" w:hAnsi="宋体" w:cs="宋体"/>
          <w:szCs w:val="21"/>
        </w:rPr>
      </w:pPr>
      <w:r>
        <w:rPr>
          <w:rFonts w:hint="eastAsia" w:ascii="宋体" w:hAnsi="宋体" w:cs="宋体"/>
          <w:szCs w:val="21"/>
        </w:rPr>
        <w:t>3.2.1乙方为招标人提供的供货时间为</w:t>
      </w:r>
      <w:r>
        <w:rPr>
          <w:rFonts w:hint="eastAsia" w:ascii="宋体" w:hAnsi="宋体" w:cs="宋体"/>
          <w:szCs w:val="21"/>
          <w:u w:val="single"/>
        </w:rPr>
        <w:t xml:space="preserve">    年  月  日到    年  月  日</w:t>
      </w:r>
      <w:r>
        <w:rPr>
          <w:rFonts w:hint="eastAsia" w:ascii="宋体" w:hAnsi="宋体" w:cs="宋体"/>
          <w:szCs w:val="21"/>
        </w:rPr>
        <w:t>。</w:t>
      </w:r>
    </w:p>
    <w:p>
      <w:pPr>
        <w:spacing w:before="159" w:beforeLines="50" w:after="159" w:afterLines="50" w:line="500" w:lineRule="exact"/>
        <w:ind w:firstLine="420" w:firstLineChars="200"/>
        <w:rPr>
          <w:rFonts w:ascii="宋体" w:hAnsi="宋体"/>
          <w:b/>
          <w:szCs w:val="21"/>
        </w:rPr>
      </w:pPr>
      <w:r>
        <w:rPr>
          <w:rFonts w:hint="eastAsia" w:ascii="宋体" w:hAnsi="宋体" w:cs="宋体"/>
          <w:szCs w:val="21"/>
        </w:rPr>
        <w:t>供货地点：</w:t>
      </w:r>
      <w:r>
        <w:rPr>
          <w:rFonts w:hint="eastAsia" w:hAnsi="宋体"/>
          <w:szCs w:val="21"/>
        </w:rPr>
        <w:t>招标人指定地点。</w:t>
      </w:r>
    </w:p>
    <w:p>
      <w:pPr>
        <w:spacing w:line="500" w:lineRule="exact"/>
        <w:ind w:firstLine="420" w:firstLineChars="200"/>
        <w:rPr>
          <w:rFonts w:ascii="宋体" w:hAnsi="宋体" w:cs="宋体"/>
          <w:szCs w:val="21"/>
        </w:rPr>
      </w:pPr>
      <w:r>
        <w:rPr>
          <w:rFonts w:hint="eastAsia" w:ascii="宋体" w:hAnsi="宋体" w:cs="宋体"/>
          <w:szCs w:val="21"/>
        </w:rPr>
        <w:t>3.3指派服务人员：</w:t>
      </w:r>
      <w:r>
        <w:rPr>
          <w:rFonts w:hint="eastAsia" w:ascii="宋体" w:hAnsi="宋体" w:cs="宋体"/>
          <w:szCs w:val="21"/>
          <w:u w:val="single"/>
        </w:rPr>
        <w:t xml:space="preserve">                        </w:t>
      </w:r>
      <w:r>
        <w:rPr>
          <w:rFonts w:hint="eastAsia" w:ascii="宋体" w:hAnsi="宋体" w:cs="宋体"/>
          <w:szCs w:val="21"/>
        </w:rPr>
        <w:t>（人员配置要求必须满足项目服务要求）。</w:t>
      </w:r>
    </w:p>
    <w:p>
      <w:pPr>
        <w:spacing w:line="500" w:lineRule="exact"/>
        <w:ind w:firstLine="420" w:firstLineChars="200"/>
        <w:rPr>
          <w:rFonts w:ascii="宋体" w:hAnsi="宋体" w:cs="宋体"/>
          <w:szCs w:val="21"/>
        </w:rPr>
      </w:pPr>
      <w:r>
        <w:rPr>
          <w:rFonts w:hint="eastAsia" w:ascii="宋体" w:hAnsi="宋体" w:cs="宋体"/>
          <w:szCs w:val="21"/>
        </w:rPr>
        <w:t>3.4乙方指定服务人员姓名</w:t>
      </w:r>
      <w:r>
        <w:rPr>
          <w:rFonts w:hint="eastAsia" w:ascii="宋体" w:hAnsi="宋体" w:cs="宋体"/>
          <w:szCs w:val="21"/>
          <w:u w:val="single"/>
        </w:rPr>
        <w:t xml:space="preserve">        </w:t>
      </w:r>
      <w:r>
        <w:rPr>
          <w:rFonts w:hint="eastAsia" w:ascii="宋体" w:hAnsi="宋体" w:cs="宋体"/>
          <w:szCs w:val="21"/>
        </w:rPr>
        <w:t>联系电话：</w:t>
      </w:r>
      <w:r>
        <w:rPr>
          <w:rFonts w:hint="eastAsia" w:ascii="宋体" w:hAnsi="宋体" w:cs="宋体"/>
          <w:szCs w:val="21"/>
          <w:u w:val="single"/>
        </w:rPr>
        <w:t xml:space="preserve">                </w:t>
      </w:r>
    </w:p>
    <w:p>
      <w:pPr>
        <w:spacing w:line="500" w:lineRule="exact"/>
        <w:ind w:firstLine="420" w:firstLineChars="200"/>
        <w:rPr>
          <w:rFonts w:ascii="宋体" w:hAnsi="宋体" w:cs="宋体"/>
          <w:szCs w:val="21"/>
        </w:rPr>
      </w:pPr>
      <w:bookmarkStart w:id="121" w:name="_Toc25801"/>
      <w:bookmarkStart w:id="122" w:name="_Toc422141874"/>
      <w:bookmarkStart w:id="123" w:name="_Toc8195"/>
      <w:r>
        <w:rPr>
          <w:rFonts w:hint="eastAsia" w:ascii="宋体" w:hAnsi="宋体" w:cs="宋体"/>
          <w:szCs w:val="21"/>
        </w:rPr>
        <w:t>4.权利和义务</w:t>
      </w:r>
      <w:bookmarkEnd w:id="121"/>
      <w:bookmarkEnd w:id="122"/>
      <w:bookmarkEnd w:id="123"/>
    </w:p>
    <w:p>
      <w:pPr>
        <w:spacing w:line="500" w:lineRule="exact"/>
        <w:ind w:firstLine="422" w:firstLineChars="200"/>
        <w:rPr>
          <w:rFonts w:ascii="宋体" w:hAnsi="宋体" w:cs="宋体"/>
          <w:b/>
          <w:bCs/>
          <w:szCs w:val="21"/>
        </w:rPr>
      </w:pPr>
      <w:r>
        <w:rPr>
          <w:rFonts w:hint="eastAsia" w:ascii="宋体" w:hAnsi="宋体" w:cs="宋体"/>
          <w:b/>
          <w:bCs/>
          <w:szCs w:val="21"/>
        </w:rPr>
        <w:t>4.1招标人的权利和义务</w:t>
      </w:r>
    </w:p>
    <w:p>
      <w:pPr>
        <w:spacing w:line="500" w:lineRule="exact"/>
        <w:ind w:firstLine="420" w:firstLineChars="200"/>
        <w:rPr>
          <w:rFonts w:ascii="宋体" w:hAnsi="宋体" w:cs="宋体"/>
          <w:szCs w:val="21"/>
        </w:rPr>
      </w:pPr>
      <w:r>
        <w:rPr>
          <w:rFonts w:hint="eastAsia" w:ascii="宋体" w:hAnsi="宋体" w:cs="宋体"/>
          <w:szCs w:val="21"/>
        </w:rPr>
        <w:t>4.1.1招标人有权指派专门人员或者单位对乙方的工作进行全程监督管理。</w:t>
      </w:r>
    </w:p>
    <w:p>
      <w:pPr>
        <w:spacing w:line="500" w:lineRule="exact"/>
        <w:ind w:firstLine="420" w:firstLineChars="200"/>
        <w:rPr>
          <w:rFonts w:ascii="宋体" w:hAnsi="宋体" w:cs="宋体"/>
          <w:szCs w:val="21"/>
        </w:rPr>
      </w:pPr>
      <w:r>
        <w:rPr>
          <w:rFonts w:hint="eastAsia" w:ascii="宋体" w:hAnsi="宋体" w:cs="宋体"/>
          <w:szCs w:val="21"/>
        </w:rPr>
        <w:t>4.1.2招标人有权得到符合合同要求的所有货物及配套服务。</w:t>
      </w:r>
    </w:p>
    <w:p>
      <w:pPr>
        <w:spacing w:line="500" w:lineRule="exact"/>
        <w:ind w:firstLine="420" w:firstLineChars="200"/>
        <w:rPr>
          <w:rFonts w:ascii="宋体" w:hAnsi="宋体" w:cs="宋体"/>
          <w:szCs w:val="21"/>
        </w:rPr>
      </w:pPr>
      <w:r>
        <w:rPr>
          <w:rFonts w:hint="eastAsia" w:ascii="宋体" w:hAnsi="宋体" w:cs="宋体"/>
          <w:szCs w:val="21"/>
        </w:rPr>
        <w:t>4.1.3招标人应按合同约定向乙方支付项目合同下款项。如乙方货物或服务未达到合同要求，招标人有权拒付未达要求部分的款项。</w:t>
      </w:r>
    </w:p>
    <w:p>
      <w:pPr>
        <w:spacing w:line="500" w:lineRule="exact"/>
        <w:ind w:firstLine="420" w:firstLineChars="200"/>
        <w:rPr>
          <w:rFonts w:ascii="宋体" w:hAnsi="宋体" w:cs="宋体"/>
          <w:szCs w:val="21"/>
        </w:rPr>
      </w:pPr>
      <w:r>
        <w:rPr>
          <w:rFonts w:hint="eastAsia" w:ascii="宋体" w:hAnsi="宋体" w:cs="宋体"/>
          <w:szCs w:val="21"/>
        </w:rPr>
        <w:t>4.1.4招标人有权要求乙方提供与相关服务内容有关的相关信息</w:t>
      </w:r>
    </w:p>
    <w:p>
      <w:pPr>
        <w:spacing w:line="500" w:lineRule="exact"/>
        <w:ind w:firstLine="420" w:firstLineChars="200"/>
        <w:rPr>
          <w:rFonts w:ascii="宋体" w:hAnsi="宋体" w:cs="宋体"/>
          <w:szCs w:val="21"/>
        </w:rPr>
      </w:pPr>
      <w:r>
        <w:rPr>
          <w:rFonts w:hint="eastAsia" w:ascii="宋体" w:hAnsi="宋体" w:cs="宋体"/>
          <w:szCs w:val="21"/>
        </w:rPr>
        <w:t>4.1.5乙方完成所有协议约定内容后，招标人根据项目实施情况出具的客观公证的书面用户验收意见。</w:t>
      </w:r>
    </w:p>
    <w:p>
      <w:pPr>
        <w:spacing w:line="500" w:lineRule="exact"/>
        <w:ind w:firstLine="422" w:firstLineChars="200"/>
        <w:rPr>
          <w:rFonts w:ascii="宋体" w:hAnsi="宋体" w:cs="宋体"/>
          <w:b/>
          <w:bCs/>
          <w:szCs w:val="21"/>
        </w:rPr>
      </w:pPr>
      <w:r>
        <w:rPr>
          <w:rFonts w:hint="eastAsia" w:ascii="宋体" w:hAnsi="宋体" w:cs="宋体"/>
          <w:b/>
          <w:bCs/>
          <w:szCs w:val="21"/>
        </w:rPr>
        <w:t>4.2乙方的权利和义务</w:t>
      </w:r>
    </w:p>
    <w:p>
      <w:pPr>
        <w:spacing w:line="500" w:lineRule="exact"/>
        <w:ind w:firstLine="420" w:firstLineChars="200"/>
        <w:rPr>
          <w:rFonts w:ascii="宋体" w:hAnsi="宋体" w:cs="宋体"/>
          <w:szCs w:val="21"/>
        </w:rPr>
      </w:pPr>
      <w:r>
        <w:rPr>
          <w:rFonts w:hint="eastAsia" w:ascii="宋体" w:hAnsi="宋体" w:cs="宋体"/>
          <w:szCs w:val="21"/>
        </w:rPr>
        <w:t>4.2.1合作过程中乙方应指派专门的业务负责人负责合作事项的全程沟通及协调工作。</w:t>
      </w:r>
    </w:p>
    <w:p>
      <w:pPr>
        <w:spacing w:line="500" w:lineRule="exact"/>
        <w:ind w:firstLine="420" w:firstLineChars="200"/>
        <w:rPr>
          <w:rFonts w:ascii="宋体" w:hAnsi="宋体" w:cs="宋体"/>
          <w:szCs w:val="21"/>
        </w:rPr>
      </w:pPr>
      <w:r>
        <w:rPr>
          <w:rFonts w:hint="eastAsia" w:ascii="宋体" w:hAnsi="宋体" w:cs="宋体"/>
          <w:szCs w:val="21"/>
        </w:rPr>
        <w:t>4.2.2乙方应遵守招标人关于合作事项的各项管理规定，及时报告工作进度，在规定时间内完成相应的交货任务。</w:t>
      </w:r>
    </w:p>
    <w:p>
      <w:pPr>
        <w:spacing w:line="500" w:lineRule="exact"/>
        <w:ind w:firstLine="420" w:firstLineChars="200"/>
        <w:rPr>
          <w:rFonts w:ascii="宋体" w:hAnsi="宋体" w:cs="宋体"/>
          <w:szCs w:val="21"/>
        </w:rPr>
      </w:pPr>
      <w:r>
        <w:rPr>
          <w:rFonts w:hint="eastAsia" w:ascii="宋体" w:hAnsi="宋体" w:cs="宋体"/>
          <w:szCs w:val="21"/>
        </w:rPr>
        <w:t>4.2.3招标人在工作质量、工作进度、工作内容等方面提出意见及建议，乙方应及时响应并有效改进。</w:t>
      </w:r>
    </w:p>
    <w:p>
      <w:pPr>
        <w:spacing w:line="500" w:lineRule="exact"/>
        <w:ind w:firstLine="420" w:firstLineChars="200"/>
        <w:rPr>
          <w:rFonts w:ascii="宋体" w:hAnsi="宋体" w:cs="宋体"/>
          <w:szCs w:val="21"/>
        </w:rPr>
      </w:pPr>
      <w:r>
        <w:rPr>
          <w:rFonts w:hint="eastAsia" w:ascii="宋体" w:hAnsi="宋体" w:cs="宋体"/>
          <w:szCs w:val="21"/>
        </w:rPr>
        <w:t>4.2.4未经招标人批准，乙方不得将在本合同服务内容的任何部分分配或分包给其他任何人或公司。任何未经招标人批准的转包行为均视为违约。</w:t>
      </w:r>
    </w:p>
    <w:p>
      <w:pPr>
        <w:spacing w:line="500" w:lineRule="exact"/>
        <w:ind w:firstLine="420" w:firstLineChars="200"/>
        <w:rPr>
          <w:rFonts w:ascii="宋体" w:hAnsi="宋体" w:cs="宋体"/>
          <w:szCs w:val="21"/>
        </w:rPr>
      </w:pPr>
      <w:bookmarkStart w:id="124" w:name="_Toc5417"/>
      <w:bookmarkStart w:id="125" w:name="_Toc422141875"/>
      <w:bookmarkStart w:id="126" w:name="_Toc18963"/>
      <w:r>
        <w:rPr>
          <w:rFonts w:hint="eastAsia" w:ascii="宋体" w:hAnsi="宋体" w:cs="宋体"/>
          <w:szCs w:val="21"/>
        </w:rPr>
        <w:t>5.合同总价及支付方式</w:t>
      </w:r>
      <w:bookmarkEnd w:id="124"/>
      <w:bookmarkEnd w:id="125"/>
      <w:bookmarkEnd w:id="126"/>
    </w:p>
    <w:p>
      <w:pPr>
        <w:spacing w:line="500" w:lineRule="exact"/>
        <w:ind w:firstLine="420" w:firstLineChars="200"/>
        <w:rPr>
          <w:rFonts w:ascii="宋体" w:hAnsi="宋体" w:cs="宋体"/>
          <w:szCs w:val="21"/>
        </w:rPr>
      </w:pPr>
      <w:r>
        <w:rPr>
          <w:rFonts w:hint="eastAsia" w:ascii="宋体" w:hAnsi="宋体" w:cs="宋体"/>
          <w:szCs w:val="21"/>
        </w:rPr>
        <w:t>5.1本合同总价为￥</w:t>
      </w:r>
      <w:r>
        <w:rPr>
          <w:rFonts w:hint="eastAsia" w:ascii="宋体" w:hAnsi="宋体" w:cs="宋体"/>
          <w:szCs w:val="21"/>
          <w:u w:val="single"/>
        </w:rPr>
        <w:t>　　　　</w:t>
      </w:r>
      <w:r>
        <w:rPr>
          <w:rFonts w:hint="eastAsia" w:ascii="宋体" w:hAnsi="宋体" w:cs="宋体"/>
          <w:szCs w:val="21"/>
        </w:rPr>
        <w:t>元（大写：人民币</w:t>
      </w:r>
      <w:r>
        <w:rPr>
          <w:rFonts w:hint="eastAsia" w:ascii="宋体" w:hAnsi="宋体" w:cs="宋体"/>
          <w:szCs w:val="21"/>
          <w:u w:val="single"/>
        </w:rPr>
        <w:t>　　　　　　</w:t>
      </w:r>
      <w:r>
        <w:rPr>
          <w:rFonts w:hint="eastAsia" w:ascii="宋体" w:hAnsi="宋体" w:cs="宋体"/>
          <w:szCs w:val="21"/>
        </w:rPr>
        <w:t>）。</w:t>
      </w:r>
    </w:p>
    <w:p>
      <w:pPr>
        <w:spacing w:line="500" w:lineRule="exact"/>
        <w:ind w:firstLine="420" w:firstLineChars="200"/>
        <w:rPr>
          <w:rFonts w:ascii="宋体" w:hAnsi="宋体" w:cs="宋体"/>
          <w:spacing w:val="10"/>
          <w:szCs w:val="21"/>
        </w:rPr>
      </w:pPr>
      <w:r>
        <w:rPr>
          <w:rFonts w:hint="eastAsia" w:ascii="宋体" w:hAnsi="宋体" w:cs="宋体"/>
          <w:szCs w:val="21"/>
        </w:rPr>
        <w:t>5.2</w:t>
      </w:r>
      <w:r>
        <w:rPr>
          <w:rFonts w:hint="eastAsia" w:ascii="宋体" w:hAnsi="宋体" w:cs="宋体"/>
          <w:spacing w:val="10"/>
          <w:szCs w:val="21"/>
        </w:rPr>
        <w:t>具体付款方式如下：甲乙双方商定</w:t>
      </w:r>
    </w:p>
    <w:p>
      <w:pPr>
        <w:spacing w:line="500" w:lineRule="exact"/>
        <w:ind w:firstLine="420" w:firstLineChars="200"/>
        <w:rPr>
          <w:rFonts w:ascii="宋体" w:hAnsi="宋体" w:cs="宋体"/>
          <w:szCs w:val="21"/>
        </w:rPr>
      </w:pPr>
      <w:bookmarkStart w:id="127" w:name="_Toc23683"/>
      <w:bookmarkStart w:id="128" w:name="_Toc422141876"/>
      <w:bookmarkStart w:id="129" w:name="_Toc21953"/>
      <w:bookmarkStart w:id="130" w:name="_Toc487900351"/>
      <w:bookmarkStart w:id="131" w:name="_Toc155238625"/>
      <w:bookmarkStart w:id="132" w:name="_Toc185392194"/>
      <w:bookmarkStart w:id="133" w:name="_Toc192415696"/>
      <w:bookmarkStart w:id="134" w:name="_Toc168284712"/>
      <w:r>
        <w:rPr>
          <w:rFonts w:hint="eastAsia" w:ascii="宋体" w:hAnsi="宋体" w:cs="宋体"/>
          <w:szCs w:val="21"/>
        </w:rPr>
        <w:t>6.违约责任</w:t>
      </w:r>
      <w:bookmarkEnd w:id="127"/>
      <w:bookmarkEnd w:id="128"/>
      <w:bookmarkEnd w:id="129"/>
    </w:p>
    <w:p>
      <w:pPr>
        <w:spacing w:line="500" w:lineRule="exact"/>
        <w:ind w:firstLine="422" w:firstLineChars="200"/>
        <w:rPr>
          <w:rFonts w:ascii="宋体" w:hAnsi="宋体"/>
          <w:b/>
          <w:szCs w:val="21"/>
        </w:rPr>
      </w:pPr>
      <w:r>
        <w:rPr>
          <w:rFonts w:hint="eastAsia" w:ascii="宋体" w:hAnsi="宋体"/>
          <w:b/>
          <w:szCs w:val="21"/>
        </w:rPr>
        <w:t>6.1.1乙方交付的货物不符合《招标文件》、《投标文件》或本合同规定的，招标人有权拒收，并且乙方须按招标人支付合同总价的2%的违约金。</w:t>
      </w:r>
    </w:p>
    <w:p>
      <w:pPr>
        <w:spacing w:line="500" w:lineRule="exact"/>
        <w:ind w:firstLine="422" w:firstLineChars="200"/>
        <w:rPr>
          <w:rFonts w:ascii="宋体" w:hAnsi="宋体"/>
          <w:b/>
          <w:szCs w:val="21"/>
        </w:rPr>
      </w:pPr>
      <w:r>
        <w:rPr>
          <w:rFonts w:hint="eastAsia" w:ascii="宋体" w:hAnsi="宋体"/>
          <w:b/>
          <w:szCs w:val="21"/>
        </w:rPr>
        <w:t>6.1.2乙方未能按本合同规定的交货时间交付货物或提供服务的，从逾期之日起每日按本合同总价2%的数额向招标人支付违约金；逾期半个月以上的，招标人有权终止合同，由此造成的招标人经济损失由乙方承担。</w:t>
      </w:r>
    </w:p>
    <w:p>
      <w:pPr>
        <w:spacing w:line="500" w:lineRule="exact"/>
        <w:ind w:firstLine="422" w:firstLineChars="200"/>
        <w:rPr>
          <w:rFonts w:ascii="宋体" w:hAnsi="宋体"/>
          <w:b/>
          <w:szCs w:val="21"/>
        </w:rPr>
      </w:pPr>
      <w:r>
        <w:rPr>
          <w:rFonts w:hint="eastAsia" w:ascii="宋体" w:hAnsi="宋体"/>
          <w:b/>
          <w:szCs w:val="21"/>
        </w:rPr>
        <w:t>6.1.3招标人无正当理由拒收货物或服务时，到期拒付货物或服务款项的，招标人向乙方赔付本合同总价2%的违约金。招标人如逾期付款，则每日按本合同总价的2%向乙方偿付违约金。</w:t>
      </w:r>
    </w:p>
    <w:p>
      <w:pPr>
        <w:spacing w:line="500" w:lineRule="exact"/>
        <w:ind w:firstLine="420" w:firstLineChars="200"/>
        <w:rPr>
          <w:rFonts w:ascii="宋体" w:hAnsi="宋体" w:cs="宋体"/>
          <w:szCs w:val="21"/>
        </w:rPr>
      </w:pPr>
      <w:r>
        <w:rPr>
          <w:rFonts w:hint="eastAsia" w:ascii="宋体" w:hAnsi="宋体" w:cs="宋体"/>
          <w:szCs w:val="21"/>
        </w:rPr>
        <w:t>6.2因乙方行为违反法律规定产生引起的民事和刑事责任由乙方承担。</w:t>
      </w:r>
    </w:p>
    <w:p>
      <w:pPr>
        <w:spacing w:line="500" w:lineRule="exact"/>
        <w:ind w:firstLine="420" w:firstLineChars="200"/>
        <w:rPr>
          <w:rFonts w:ascii="宋体" w:hAnsi="宋体" w:cs="宋体"/>
          <w:szCs w:val="21"/>
        </w:rPr>
      </w:pPr>
      <w:r>
        <w:rPr>
          <w:rFonts w:hint="eastAsia" w:ascii="宋体" w:hAnsi="宋体" w:cs="宋体"/>
          <w:szCs w:val="21"/>
        </w:rPr>
        <w:t>6.3因乙方行为侵害第三方权益的，责任和相关损失由乙方承担。</w:t>
      </w:r>
    </w:p>
    <w:p>
      <w:pPr>
        <w:spacing w:line="500" w:lineRule="exact"/>
        <w:ind w:firstLine="420" w:firstLineChars="200"/>
        <w:rPr>
          <w:rFonts w:ascii="宋体" w:hAnsi="宋体" w:cs="宋体"/>
          <w:szCs w:val="21"/>
        </w:rPr>
      </w:pPr>
      <w:r>
        <w:rPr>
          <w:rFonts w:hint="eastAsia" w:ascii="宋体" w:hAnsi="宋体" w:cs="宋体"/>
          <w:szCs w:val="21"/>
        </w:rPr>
        <w:t>6.4乙方违反保密规定，全部责任由乙方承担，并需赔偿招标人由此引起的损失。</w:t>
      </w:r>
    </w:p>
    <w:p>
      <w:pPr>
        <w:spacing w:line="500" w:lineRule="exact"/>
        <w:ind w:firstLine="422" w:firstLineChars="200"/>
        <w:rPr>
          <w:rFonts w:ascii="宋体" w:hAnsi="宋体" w:cs="宋体"/>
          <w:szCs w:val="21"/>
        </w:rPr>
      </w:pPr>
      <w:r>
        <w:rPr>
          <w:rFonts w:hint="eastAsia" w:ascii="宋体" w:hAnsi="宋体"/>
          <w:b/>
          <w:szCs w:val="21"/>
        </w:rPr>
        <w:t>其他违约责任按《中华人民共和国合同法》处理。</w:t>
      </w:r>
    </w:p>
    <w:p>
      <w:pPr>
        <w:spacing w:line="500" w:lineRule="exact"/>
        <w:ind w:firstLine="420" w:firstLineChars="200"/>
        <w:rPr>
          <w:rFonts w:ascii="宋体" w:hAnsi="宋体" w:cs="宋体"/>
          <w:szCs w:val="21"/>
        </w:rPr>
      </w:pPr>
      <w:bookmarkStart w:id="135" w:name="_Toc28999"/>
      <w:bookmarkStart w:id="136" w:name="_Toc18942"/>
      <w:bookmarkStart w:id="137" w:name="_Toc422141877"/>
      <w:r>
        <w:rPr>
          <w:rFonts w:hint="eastAsia" w:ascii="宋体" w:hAnsi="宋体" w:cs="宋体"/>
          <w:szCs w:val="21"/>
        </w:rPr>
        <w:t>7.知识产权</w:t>
      </w:r>
      <w:bookmarkEnd w:id="130"/>
      <w:bookmarkEnd w:id="131"/>
      <w:bookmarkEnd w:id="135"/>
      <w:bookmarkEnd w:id="136"/>
      <w:bookmarkEnd w:id="137"/>
    </w:p>
    <w:p>
      <w:pPr>
        <w:spacing w:line="500" w:lineRule="exact"/>
        <w:ind w:firstLine="420" w:firstLineChars="200"/>
        <w:rPr>
          <w:rFonts w:ascii="宋体" w:hAnsi="宋体" w:cs="宋体"/>
          <w:szCs w:val="21"/>
        </w:rPr>
      </w:pPr>
      <w:bookmarkStart w:id="138" w:name="_Toc155238630"/>
      <w:bookmarkStart w:id="139" w:name="_Toc73975334"/>
      <w:bookmarkStart w:id="140" w:name="_Toc30567256"/>
      <w:r>
        <w:rPr>
          <w:rFonts w:hint="eastAsia" w:ascii="宋体" w:hAnsi="宋体" w:cs="宋体"/>
          <w:szCs w:val="21"/>
        </w:rPr>
        <w:t>7.1本合同实施过程中和实施结果产生所有成果的知识产权属于招标人独有，即招标人拥有独有的完全使用权和所有权。</w:t>
      </w:r>
    </w:p>
    <w:p>
      <w:pPr>
        <w:pStyle w:val="95"/>
        <w:spacing w:line="500" w:lineRule="exact"/>
        <w:ind w:left="0" w:firstLine="420" w:firstLineChars="200"/>
        <w:rPr>
          <w:rFonts w:ascii="宋体" w:hAnsi="宋体" w:eastAsia="宋体" w:cs="宋体"/>
          <w:color w:val="auto"/>
          <w:sz w:val="21"/>
          <w:szCs w:val="21"/>
        </w:rPr>
      </w:pPr>
      <w:r>
        <w:rPr>
          <w:rFonts w:hint="eastAsia" w:ascii="宋体" w:hAnsi="宋体" w:eastAsia="宋体" w:cs="宋体"/>
          <w:color w:val="auto"/>
          <w:sz w:val="21"/>
          <w:szCs w:val="21"/>
        </w:rPr>
        <w:t>7.2乙方应保证在为招标人提供任何产品、服务时，不侵犯任何第三方权益。如果任何第三方提出与乙方提供的任何产品、服务有关的侵权指控，乙方须与第三方交涉并独自承担因此发生的一切法律责任和费用。</w:t>
      </w:r>
    </w:p>
    <w:p>
      <w:pPr>
        <w:spacing w:line="500" w:lineRule="exact"/>
        <w:ind w:firstLine="420" w:firstLineChars="200"/>
        <w:rPr>
          <w:rFonts w:ascii="宋体" w:hAnsi="宋体" w:cs="宋体"/>
          <w:szCs w:val="21"/>
        </w:rPr>
      </w:pPr>
      <w:bookmarkStart w:id="141" w:name="_Toc20261"/>
      <w:bookmarkStart w:id="142" w:name="_Toc20341"/>
      <w:bookmarkStart w:id="143" w:name="_Toc422141878"/>
      <w:r>
        <w:rPr>
          <w:rFonts w:hint="eastAsia" w:ascii="宋体" w:hAnsi="宋体" w:cs="宋体"/>
          <w:szCs w:val="21"/>
        </w:rPr>
        <w:t>8.保密条款</w:t>
      </w:r>
      <w:bookmarkEnd w:id="141"/>
      <w:bookmarkEnd w:id="142"/>
      <w:bookmarkEnd w:id="143"/>
    </w:p>
    <w:p>
      <w:pPr>
        <w:spacing w:line="500" w:lineRule="exact"/>
        <w:ind w:firstLine="420" w:firstLineChars="200"/>
        <w:rPr>
          <w:rFonts w:ascii="宋体" w:hAnsi="宋体" w:cs="宋体"/>
          <w:szCs w:val="21"/>
        </w:rPr>
      </w:pPr>
      <w:r>
        <w:rPr>
          <w:rFonts w:hint="eastAsia" w:ascii="宋体" w:hAnsi="宋体" w:cs="宋体"/>
          <w:szCs w:val="21"/>
        </w:rPr>
        <w:t>8.1自合同签订之日起，乙方有责任对招标人提供的各种文件（服务内容、资料、报告）、工作业务信息、中间过程数据、结果数据进行保密，未经招标人书面批准不得提供给任何第三方。如有违反包括故意泄露、管理不善、过失等原因造成的泄露，均视为乙方未执行好保密措施，乙方应承担相应的法律责任。此保密义务不因合同的终止而免除。</w:t>
      </w:r>
    </w:p>
    <w:p>
      <w:pPr>
        <w:spacing w:line="500" w:lineRule="exact"/>
        <w:ind w:firstLine="420" w:firstLineChars="200"/>
        <w:rPr>
          <w:rFonts w:ascii="宋体" w:hAnsi="宋体" w:cs="宋体"/>
          <w:szCs w:val="21"/>
        </w:rPr>
      </w:pPr>
      <w:r>
        <w:rPr>
          <w:rFonts w:hint="eastAsia" w:ascii="宋体" w:hAnsi="宋体" w:cs="宋体"/>
          <w:szCs w:val="21"/>
        </w:rPr>
        <w:t>8.2乙方应采取有效措施对招标人提供的资料和数据实施合乎规定（该类规定包括但不限于相关的保密法律、法规、规定、通知等）的保密处理措施，并对此负责。</w:t>
      </w:r>
    </w:p>
    <w:p>
      <w:pPr>
        <w:spacing w:line="500" w:lineRule="exact"/>
        <w:ind w:firstLine="420" w:firstLineChars="200"/>
        <w:rPr>
          <w:rFonts w:ascii="宋体" w:hAnsi="宋体" w:cs="宋体"/>
          <w:szCs w:val="21"/>
        </w:rPr>
      </w:pPr>
      <w:r>
        <w:rPr>
          <w:rFonts w:hint="eastAsia" w:ascii="宋体" w:hAnsi="宋体" w:cs="宋体"/>
          <w:szCs w:val="21"/>
        </w:rPr>
        <w:t>8.3乙方有义务遵守和配合执行招标人的保密管理规定与保密措施，并在项目实施完成后，归还招标人提供的全部资料。</w:t>
      </w:r>
    </w:p>
    <w:p>
      <w:pPr>
        <w:spacing w:line="500" w:lineRule="exact"/>
        <w:ind w:firstLine="420" w:firstLineChars="200"/>
        <w:rPr>
          <w:rFonts w:ascii="宋体" w:hAnsi="宋体" w:cs="宋体"/>
          <w:szCs w:val="21"/>
        </w:rPr>
      </w:pPr>
      <w:bookmarkStart w:id="144" w:name="_Toc20060"/>
      <w:bookmarkStart w:id="145" w:name="_Toc7516"/>
      <w:bookmarkStart w:id="146" w:name="_Toc422141879"/>
      <w:r>
        <w:rPr>
          <w:rFonts w:hint="eastAsia" w:ascii="宋体" w:hAnsi="宋体" w:cs="宋体"/>
          <w:szCs w:val="21"/>
        </w:rPr>
        <w:t>9.服务质量考核条款</w:t>
      </w:r>
      <w:bookmarkEnd w:id="144"/>
      <w:bookmarkEnd w:id="145"/>
      <w:bookmarkEnd w:id="146"/>
    </w:p>
    <w:p>
      <w:pPr>
        <w:spacing w:line="500" w:lineRule="exact"/>
        <w:ind w:firstLine="420" w:firstLineChars="200"/>
        <w:rPr>
          <w:rFonts w:ascii="宋体" w:hAnsi="宋体" w:cs="宋体"/>
          <w:szCs w:val="21"/>
        </w:rPr>
      </w:pPr>
      <w:r>
        <w:rPr>
          <w:rFonts w:hint="eastAsia" w:ascii="宋体" w:hAnsi="宋体" w:cs="宋体"/>
          <w:szCs w:val="21"/>
        </w:rPr>
        <w:t>9.1招标人依据《招标文件》、《投标文件》、合同和相关的项目验收要求对乙方提供的货物进行考核验收。如果乙方没有满足项目服务质量承诺的要求，乙方除应采取补救措施外，招标人有权要求乙方给予一定的赔偿。</w:t>
      </w:r>
    </w:p>
    <w:p>
      <w:pPr>
        <w:spacing w:line="500" w:lineRule="exact"/>
        <w:ind w:firstLine="420" w:firstLineChars="200"/>
        <w:rPr>
          <w:rFonts w:ascii="宋体" w:hAnsi="宋体" w:cs="宋体"/>
          <w:szCs w:val="21"/>
        </w:rPr>
      </w:pPr>
      <w:r>
        <w:rPr>
          <w:rFonts w:hint="eastAsia" w:ascii="宋体" w:hAnsi="宋体" w:cs="宋体"/>
          <w:szCs w:val="21"/>
        </w:rPr>
        <w:t>9.2乙方定期向招标人提交书面服务工作总结报告，至少每周一次工作进度简报，直至项目供货及服务完成。</w:t>
      </w:r>
    </w:p>
    <w:p>
      <w:pPr>
        <w:spacing w:line="500" w:lineRule="exact"/>
        <w:ind w:firstLine="420" w:firstLineChars="200"/>
        <w:rPr>
          <w:rFonts w:ascii="宋体" w:hAnsi="宋体"/>
          <w:b/>
          <w:szCs w:val="21"/>
        </w:rPr>
      </w:pPr>
      <w:r>
        <w:rPr>
          <w:rFonts w:hint="eastAsia" w:ascii="宋体" w:hAnsi="宋体" w:cs="宋体"/>
          <w:szCs w:val="21"/>
        </w:rPr>
        <w:t>9.3</w:t>
      </w:r>
      <w:r>
        <w:rPr>
          <w:rFonts w:hint="eastAsia" w:ascii="宋体" w:hAnsi="宋体"/>
          <w:b/>
          <w:szCs w:val="21"/>
        </w:rPr>
        <w:t>本合同的质量保证期（简称质保期）为</w:t>
      </w:r>
      <w:r>
        <w:rPr>
          <w:rFonts w:hint="eastAsia" w:ascii="宋体" w:hAnsi="宋体"/>
          <w:b/>
          <w:szCs w:val="21"/>
          <w:u w:val="single"/>
        </w:rPr>
        <w:t xml:space="preserve">    </w:t>
      </w:r>
      <w:r>
        <w:rPr>
          <w:rFonts w:hint="eastAsia" w:ascii="宋体" w:hAnsi="宋体"/>
          <w:b/>
          <w:szCs w:val="21"/>
        </w:rPr>
        <w:t>（自全部货物安装调试完成且验收合格之日起计算），保质期内因货物质量及安装原因无法正常使用者由乙方负责包修、包换、包退。</w:t>
      </w:r>
    </w:p>
    <w:p>
      <w:pPr>
        <w:spacing w:line="500" w:lineRule="exact"/>
        <w:ind w:firstLine="422" w:firstLineChars="200"/>
        <w:rPr>
          <w:rFonts w:ascii="宋体" w:hAnsi="宋体"/>
          <w:b/>
          <w:szCs w:val="21"/>
        </w:rPr>
      </w:pPr>
      <w:r>
        <w:rPr>
          <w:rFonts w:hint="eastAsia" w:ascii="宋体" w:hAnsi="宋体"/>
          <w:b/>
          <w:szCs w:val="21"/>
        </w:rPr>
        <w:t>质保期内，如因非人为因素发现产品质量问题供货商应无条件退换。质保期相应顺延。如停用时间累积超过5天，则质保期重新计算。</w:t>
      </w:r>
    </w:p>
    <w:p>
      <w:pPr>
        <w:spacing w:line="500" w:lineRule="exact"/>
        <w:ind w:firstLine="422" w:firstLineChars="200"/>
        <w:rPr>
          <w:rFonts w:ascii="宋体" w:hAnsi="宋体"/>
          <w:b/>
          <w:szCs w:val="21"/>
        </w:rPr>
      </w:pPr>
      <w:r>
        <w:rPr>
          <w:rFonts w:hint="eastAsia" w:ascii="宋体" w:hAnsi="宋体"/>
          <w:b/>
          <w:szCs w:val="21"/>
        </w:rPr>
        <w:t>乙方承担货物安装完成后因安装不当造成的一切人员伤害、赔偿责任。</w:t>
      </w:r>
    </w:p>
    <w:p>
      <w:pPr>
        <w:spacing w:line="500" w:lineRule="exact"/>
        <w:ind w:firstLine="420" w:firstLineChars="200"/>
        <w:rPr>
          <w:rFonts w:ascii="宋体" w:hAnsi="宋体" w:cs="宋体"/>
          <w:szCs w:val="21"/>
        </w:rPr>
      </w:pPr>
      <w:r>
        <w:rPr>
          <w:rFonts w:hint="eastAsia" w:ascii="方正小标宋简体" w:eastAsia="方正小标宋简体"/>
          <w:szCs w:val="21"/>
        </w:rPr>
        <w:t>五、项目验收：</w:t>
      </w:r>
    </w:p>
    <w:p>
      <w:pPr>
        <w:spacing w:line="500" w:lineRule="exact"/>
        <w:ind w:firstLine="420" w:firstLineChars="200"/>
        <w:rPr>
          <w:rFonts w:ascii="宋体" w:hAnsi="宋体" w:cs="宋体"/>
          <w:szCs w:val="21"/>
        </w:rPr>
      </w:pPr>
      <w:bookmarkStart w:id="147" w:name="_Toc32358"/>
      <w:bookmarkStart w:id="148" w:name="_Toc422141880"/>
      <w:bookmarkStart w:id="149" w:name="_Toc19005"/>
      <w:r>
        <w:rPr>
          <w:rFonts w:hint="eastAsia" w:ascii="宋体" w:hAnsi="宋体" w:cs="宋体"/>
          <w:szCs w:val="21"/>
        </w:rPr>
        <w:t>10.不可抗力</w:t>
      </w:r>
      <w:bookmarkEnd w:id="138"/>
      <w:bookmarkEnd w:id="139"/>
      <w:bookmarkEnd w:id="140"/>
      <w:bookmarkEnd w:id="147"/>
      <w:bookmarkEnd w:id="148"/>
      <w:bookmarkEnd w:id="149"/>
    </w:p>
    <w:p>
      <w:pPr>
        <w:spacing w:line="500" w:lineRule="exact"/>
        <w:ind w:firstLine="420" w:firstLineChars="200"/>
        <w:rPr>
          <w:rFonts w:ascii="宋体" w:hAnsi="宋体" w:cs="宋体"/>
          <w:szCs w:val="21"/>
        </w:rPr>
      </w:pPr>
      <w:bookmarkStart w:id="150" w:name="_Toc155238632"/>
      <w:bookmarkStart w:id="151" w:name="_Toc133737829"/>
      <w:bookmarkStart w:id="152" w:name="_Toc133916702"/>
      <w:bookmarkStart w:id="153" w:name="_Toc133737918"/>
      <w:r>
        <w:rPr>
          <w:rFonts w:hint="eastAsia" w:ascii="宋体" w:hAnsi="宋体" w:cs="宋体"/>
          <w:szCs w:val="21"/>
        </w:rPr>
        <w:t>10.1如果双方中任何一方遭遇法律规定的不可抗力，致使合同履行受阻时，履行合同的期限应予延长，延长的期限应由双方协商确定后达成书面协议。</w:t>
      </w:r>
    </w:p>
    <w:p>
      <w:pPr>
        <w:spacing w:line="500" w:lineRule="exact"/>
        <w:ind w:firstLine="420" w:firstLineChars="200"/>
        <w:rPr>
          <w:rFonts w:ascii="宋体" w:hAnsi="宋体" w:cs="宋体"/>
          <w:szCs w:val="21"/>
        </w:rPr>
      </w:pPr>
      <w:r>
        <w:rPr>
          <w:rFonts w:hint="eastAsia" w:ascii="宋体" w:hAnsi="宋体" w:cs="宋体"/>
          <w:szCs w:val="21"/>
        </w:rPr>
        <w:t>10.2受事故影响的一方应在不可抗力的事故发生后尽快书面形式通知另一方，并在事故发生后5天内，将有关部门出具的证明文件送达另一方。</w:t>
      </w:r>
    </w:p>
    <w:p>
      <w:pPr>
        <w:spacing w:line="500" w:lineRule="exact"/>
        <w:ind w:firstLine="420" w:firstLineChars="200"/>
        <w:rPr>
          <w:rFonts w:ascii="宋体" w:hAnsi="宋体" w:cs="宋体"/>
          <w:szCs w:val="21"/>
        </w:rPr>
      </w:pPr>
      <w:r>
        <w:rPr>
          <w:rFonts w:hint="eastAsia" w:ascii="宋体" w:hAnsi="宋体" w:cs="宋体"/>
          <w:szCs w:val="21"/>
        </w:rPr>
        <w:t>10.3不可抗力使合同的某些内容需要变更时，双方应通过协商在5天内达成进一步履行合同的协议，因不可抗力致使合同不能继续履行的，合同终止。乙方提交已经完成的成果，并退还未完成部分的合同款项。</w:t>
      </w:r>
    </w:p>
    <w:p>
      <w:pPr>
        <w:spacing w:line="500" w:lineRule="exact"/>
        <w:ind w:firstLine="420" w:firstLineChars="200"/>
        <w:rPr>
          <w:rFonts w:ascii="宋体" w:hAnsi="宋体" w:cs="宋体"/>
          <w:szCs w:val="21"/>
        </w:rPr>
      </w:pPr>
      <w:bookmarkStart w:id="154" w:name="_Toc20488"/>
      <w:bookmarkStart w:id="155" w:name="_Toc6184"/>
      <w:bookmarkStart w:id="156" w:name="_Toc422141881"/>
      <w:r>
        <w:rPr>
          <w:rFonts w:hint="eastAsia" w:ascii="宋体" w:hAnsi="宋体" w:cs="宋体"/>
          <w:szCs w:val="21"/>
        </w:rPr>
        <w:t>11.合同争议的解决</w:t>
      </w:r>
      <w:bookmarkEnd w:id="150"/>
      <w:bookmarkEnd w:id="151"/>
      <w:bookmarkEnd w:id="152"/>
      <w:bookmarkEnd w:id="153"/>
      <w:bookmarkEnd w:id="154"/>
      <w:bookmarkEnd w:id="155"/>
      <w:bookmarkEnd w:id="156"/>
    </w:p>
    <w:p>
      <w:pPr>
        <w:spacing w:line="500" w:lineRule="exact"/>
        <w:ind w:firstLine="420" w:firstLineChars="200"/>
        <w:rPr>
          <w:rFonts w:ascii="宋体" w:hAnsi="宋体" w:cs="宋体"/>
          <w:szCs w:val="21"/>
        </w:rPr>
      </w:pPr>
      <w:r>
        <w:rPr>
          <w:rFonts w:hint="eastAsia" w:ascii="宋体" w:hAnsi="宋体" w:cs="宋体"/>
          <w:szCs w:val="21"/>
        </w:rPr>
        <w:t>11.1因合同履行中发生的争议，合同当事人双方可通过协商解决。协商不成的，提请招标人所在地的仲裁委员会仲裁。</w:t>
      </w:r>
    </w:p>
    <w:p>
      <w:pPr>
        <w:spacing w:line="500" w:lineRule="exact"/>
        <w:ind w:firstLine="420" w:firstLineChars="200"/>
        <w:rPr>
          <w:rFonts w:ascii="宋体" w:hAnsi="宋体" w:cs="宋体"/>
          <w:szCs w:val="21"/>
        </w:rPr>
      </w:pPr>
      <w:r>
        <w:rPr>
          <w:rFonts w:hint="eastAsia" w:ascii="宋体" w:hAnsi="宋体" w:cs="宋体"/>
          <w:szCs w:val="21"/>
        </w:rPr>
        <w:t>11.2仲裁裁决应为最终裁决，当事人一方在规定时间内不履行仲裁机构裁决的，另一方可以申请人民法院强制执行。</w:t>
      </w:r>
    </w:p>
    <w:p>
      <w:pPr>
        <w:spacing w:line="500" w:lineRule="exact"/>
        <w:ind w:firstLine="420" w:firstLineChars="200"/>
        <w:rPr>
          <w:rFonts w:ascii="宋体" w:hAnsi="宋体" w:cs="宋体"/>
          <w:szCs w:val="21"/>
        </w:rPr>
      </w:pPr>
      <w:r>
        <w:rPr>
          <w:rFonts w:hint="eastAsia" w:ascii="宋体" w:hAnsi="宋体" w:cs="宋体"/>
          <w:szCs w:val="21"/>
        </w:rPr>
        <w:t>11.3仲裁费用和诉讼费用除仲裁机构和法院另有裁决外，应由败诉方负担。</w:t>
      </w:r>
    </w:p>
    <w:p>
      <w:pPr>
        <w:spacing w:line="500" w:lineRule="exact"/>
        <w:ind w:firstLine="420" w:firstLineChars="200"/>
        <w:rPr>
          <w:rFonts w:ascii="宋体" w:hAnsi="宋体" w:cs="宋体"/>
          <w:szCs w:val="21"/>
        </w:rPr>
      </w:pPr>
      <w:r>
        <w:rPr>
          <w:rFonts w:hint="eastAsia" w:ascii="宋体" w:hAnsi="宋体" w:cs="宋体"/>
          <w:szCs w:val="21"/>
        </w:rPr>
        <w:t>11.4在仲裁期间，除正在进行仲裁的部分外，本合同其它部分应继续执行。</w:t>
      </w:r>
    </w:p>
    <w:p>
      <w:pPr>
        <w:spacing w:line="500" w:lineRule="exact"/>
        <w:ind w:firstLine="420" w:firstLineChars="200"/>
        <w:rPr>
          <w:rFonts w:ascii="宋体" w:hAnsi="宋体" w:cs="宋体"/>
          <w:szCs w:val="21"/>
        </w:rPr>
      </w:pPr>
      <w:bookmarkStart w:id="157" w:name="_Toc422141882"/>
      <w:bookmarkStart w:id="158" w:name="_Toc26831"/>
      <w:bookmarkStart w:id="159" w:name="_Toc29810"/>
      <w:r>
        <w:rPr>
          <w:rFonts w:hint="eastAsia" w:ascii="宋体" w:hAnsi="宋体" w:cs="宋体"/>
          <w:szCs w:val="21"/>
        </w:rPr>
        <w:t>12.违约解除合同</w:t>
      </w:r>
      <w:bookmarkEnd w:id="157"/>
      <w:bookmarkEnd w:id="158"/>
      <w:bookmarkEnd w:id="159"/>
    </w:p>
    <w:bookmarkEnd w:id="132"/>
    <w:bookmarkEnd w:id="133"/>
    <w:bookmarkEnd w:id="134"/>
    <w:p>
      <w:pPr>
        <w:spacing w:line="500" w:lineRule="exact"/>
        <w:ind w:firstLine="420" w:firstLineChars="200"/>
        <w:rPr>
          <w:rFonts w:ascii="宋体" w:hAnsi="宋体" w:cs="宋体"/>
          <w:szCs w:val="21"/>
        </w:rPr>
      </w:pPr>
      <w:r>
        <w:rPr>
          <w:rFonts w:hint="eastAsia" w:ascii="宋体" w:hAnsi="宋体" w:cs="宋体"/>
          <w:szCs w:val="21"/>
        </w:rPr>
        <w:t>12.1乙方未能在合同规定的期间或招标人同意延长的期间内提供全部或部分服务,或在本合同履行过程中有腐败和欺诈行为的，招标人可向乙方发出书面通知，并部分或全部终止合同。同时保留向乙方追诉的权利。“腐败行为”是指提供/给予/接受或索取任何有价值的东西来影响招标人在合同签订、履行过程中的行为；“欺诈行为”是指为了影响合同签订、履行过程，以谎报事实的方法，损害招标人的利益的行为。</w:t>
      </w:r>
    </w:p>
    <w:p>
      <w:pPr>
        <w:spacing w:line="500" w:lineRule="exact"/>
        <w:ind w:firstLine="420" w:firstLineChars="200"/>
        <w:rPr>
          <w:rFonts w:ascii="宋体" w:hAnsi="宋体" w:cs="宋体"/>
          <w:szCs w:val="21"/>
        </w:rPr>
      </w:pPr>
      <w:r>
        <w:rPr>
          <w:rFonts w:hint="eastAsia" w:ascii="宋体" w:hAnsi="宋体" w:cs="宋体"/>
          <w:szCs w:val="21"/>
        </w:rPr>
        <w:t>12.2在招标人部分或全部解除合同之后，招标人在全部或部分购买与未交付的服务类似的服务时，乙方应承担招标人购买类似服务而产生的额外支出。部分解除合同的，乙方应继续履行合同中未解除的部分。</w:t>
      </w:r>
    </w:p>
    <w:p>
      <w:pPr>
        <w:spacing w:line="500" w:lineRule="exact"/>
        <w:ind w:firstLine="420" w:firstLineChars="200"/>
        <w:rPr>
          <w:rFonts w:ascii="宋体" w:hAnsi="宋体" w:cs="宋体"/>
          <w:szCs w:val="21"/>
        </w:rPr>
      </w:pPr>
      <w:bookmarkStart w:id="160" w:name="_Toc422141883"/>
      <w:bookmarkStart w:id="161" w:name="_Toc29104"/>
      <w:bookmarkStart w:id="162" w:name="_Toc11605"/>
      <w:r>
        <w:rPr>
          <w:rFonts w:hint="eastAsia" w:ascii="宋体" w:hAnsi="宋体" w:cs="宋体"/>
          <w:szCs w:val="21"/>
        </w:rPr>
        <w:t>13.破产终止合同</w:t>
      </w:r>
      <w:bookmarkEnd w:id="160"/>
      <w:bookmarkEnd w:id="161"/>
      <w:bookmarkEnd w:id="162"/>
    </w:p>
    <w:p>
      <w:pPr>
        <w:spacing w:line="500" w:lineRule="exact"/>
        <w:ind w:firstLine="420" w:firstLineChars="200"/>
        <w:rPr>
          <w:rFonts w:ascii="宋体" w:hAnsi="宋体" w:cs="宋体"/>
          <w:szCs w:val="21"/>
        </w:rPr>
      </w:pPr>
      <w:r>
        <w:rPr>
          <w:rFonts w:hint="eastAsia" w:ascii="宋体" w:hAnsi="宋体" w:cs="宋体"/>
          <w:szCs w:val="21"/>
        </w:rPr>
        <w:t>13.1如果乙方破产或无清偿能力，招标人可在任何时候以书面形式通知乙方，提出终止合同而不给乙方补偿。该终止合同将不损害或影响招标人已经采取或将要采取的任何行动或补救措施的权利。</w:t>
      </w:r>
    </w:p>
    <w:p>
      <w:pPr>
        <w:spacing w:line="500" w:lineRule="exact"/>
        <w:ind w:firstLine="420" w:firstLineChars="200"/>
        <w:rPr>
          <w:rFonts w:ascii="宋体" w:hAnsi="宋体" w:cs="宋体"/>
          <w:szCs w:val="21"/>
        </w:rPr>
      </w:pPr>
      <w:bookmarkStart w:id="163" w:name="_Toc31258"/>
      <w:bookmarkStart w:id="164" w:name="_Toc10331"/>
      <w:bookmarkStart w:id="165" w:name="_Toc422141884"/>
      <w:r>
        <w:rPr>
          <w:rFonts w:hint="eastAsia" w:ascii="宋体" w:hAnsi="宋体" w:cs="宋体"/>
          <w:szCs w:val="21"/>
        </w:rPr>
        <w:t>14.合同修改</w:t>
      </w:r>
      <w:bookmarkEnd w:id="163"/>
      <w:bookmarkEnd w:id="164"/>
      <w:bookmarkEnd w:id="165"/>
    </w:p>
    <w:p>
      <w:pPr>
        <w:spacing w:line="500" w:lineRule="exact"/>
        <w:ind w:firstLine="420" w:firstLineChars="200"/>
        <w:rPr>
          <w:rFonts w:ascii="宋体" w:hAnsi="宋体" w:cs="宋体"/>
          <w:szCs w:val="21"/>
        </w:rPr>
      </w:pPr>
      <w:r>
        <w:rPr>
          <w:rFonts w:hint="eastAsia" w:ascii="宋体" w:hAnsi="宋体" w:cs="宋体"/>
          <w:szCs w:val="21"/>
        </w:rPr>
        <w:t>14.1招标人和乙方都不得擅自变更本合同，但合同继续履行将损害国家和社会公共利益的除外。如必须对合同条款进行改动时，当事人双方须共同签署书面文件，作为合同的补充，并报同级政府采购监督管理部门备案。</w:t>
      </w:r>
    </w:p>
    <w:p>
      <w:pPr>
        <w:spacing w:line="500" w:lineRule="exact"/>
        <w:ind w:firstLine="420" w:firstLineChars="200"/>
        <w:rPr>
          <w:rFonts w:ascii="宋体" w:hAnsi="宋体" w:cs="宋体"/>
          <w:szCs w:val="21"/>
        </w:rPr>
      </w:pPr>
      <w:bookmarkStart w:id="166" w:name="_Toc422141885"/>
      <w:bookmarkStart w:id="167" w:name="_Toc28576"/>
      <w:bookmarkStart w:id="168" w:name="_Toc19310"/>
      <w:r>
        <w:rPr>
          <w:rFonts w:hint="eastAsia" w:ascii="宋体" w:hAnsi="宋体" w:cs="宋体"/>
          <w:szCs w:val="21"/>
        </w:rPr>
        <w:t>15.通知联络</w:t>
      </w:r>
      <w:bookmarkEnd w:id="166"/>
      <w:bookmarkEnd w:id="167"/>
      <w:bookmarkEnd w:id="168"/>
    </w:p>
    <w:p>
      <w:pPr>
        <w:spacing w:line="500" w:lineRule="exact"/>
        <w:ind w:firstLine="420" w:firstLineChars="200"/>
        <w:rPr>
          <w:rFonts w:ascii="宋体" w:hAnsi="宋体" w:cs="宋体"/>
          <w:szCs w:val="21"/>
        </w:rPr>
      </w:pPr>
      <w:r>
        <w:rPr>
          <w:rFonts w:hint="eastAsia" w:ascii="宋体" w:hAnsi="宋体" w:cs="宋体"/>
          <w:szCs w:val="21"/>
        </w:rPr>
        <w:t>15.1本合同任何一方给另一方的通知，都应以书面形式发送，而另一方也应以书面形式确认并回复对方。</w:t>
      </w:r>
    </w:p>
    <w:p>
      <w:pPr>
        <w:spacing w:line="500" w:lineRule="exact"/>
        <w:ind w:firstLine="420" w:firstLineChars="200"/>
        <w:rPr>
          <w:rFonts w:ascii="宋体" w:hAnsi="宋体" w:cs="宋体"/>
          <w:szCs w:val="21"/>
        </w:rPr>
      </w:pPr>
      <w:r>
        <w:rPr>
          <w:rFonts w:hint="eastAsia" w:ascii="宋体" w:hAnsi="宋体" w:cs="宋体"/>
          <w:szCs w:val="21"/>
        </w:rPr>
        <w:t>15.2招标人和乙方需各自选派人员作为联络人，负责双方之间的日常联络工作。任何一方如需更换联络人，应以书面形式通知对方。</w:t>
      </w:r>
    </w:p>
    <w:p>
      <w:pPr>
        <w:spacing w:line="500" w:lineRule="exact"/>
        <w:ind w:firstLine="420" w:firstLineChars="200"/>
        <w:rPr>
          <w:rFonts w:ascii="宋体" w:hAnsi="宋体" w:cs="宋体"/>
          <w:szCs w:val="21"/>
        </w:rPr>
      </w:pPr>
      <w:r>
        <w:rPr>
          <w:rFonts w:hint="eastAsia" w:ascii="宋体" w:hAnsi="宋体" w:cs="宋体"/>
          <w:szCs w:val="21"/>
        </w:rPr>
        <w:t>15.3招标人同意由招标人的联络人接受乙方提供的合同项下的产品和服务，乙方同意由乙方的联络人承担本合同所规定的相关义务。</w:t>
      </w:r>
    </w:p>
    <w:p>
      <w:pPr>
        <w:spacing w:line="500" w:lineRule="exact"/>
        <w:ind w:firstLine="420" w:firstLineChars="200"/>
        <w:rPr>
          <w:rFonts w:ascii="宋体" w:hAnsi="宋体" w:cs="宋体"/>
          <w:szCs w:val="21"/>
          <w:u w:val="single"/>
        </w:rPr>
      </w:pPr>
      <w:r>
        <w:rPr>
          <w:rFonts w:hint="eastAsia" w:ascii="宋体" w:hAnsi="宋体" w:cs="宋体"/>
          <w:szCs w:val="21"/>
        </w:rPr>
        <w:t>16.甲乙双方需要约定和明确的其他事项：</w:t>
      </w:r>
      <w:r>
        <w:rPr>
          <w:rFonts w:hint="eastAsia" w:ascii="宋体" w:hAnsi="宋体" w:cs="宋体"/>
          <w:szCs w:val="21"/>
          <w:u w:val="single"/>
        </w:rPr>
        <w:t xml:space="preserve">                                                  </w:t>
      </w:r>
    </w:p>
    <w:p>
      <w:pPr>
        <w:spacing w:line="500" w:lineRule="exact"/>
        <w:ind w:firstLine="420" w:firstLineChars="200"/>
        <w:rPr>
          <w:rFonts w:ascii="宋体" w:hAnsi="宋体" w:cs="宋体"/>
          <w:szCs w:val="21"/>
          <w:u w:val="single"/>
        </w:rPr>
      </w:pPr>
      <w:r>
        <w:rPr>
          <w:rFonts w:hint="eastAsia" w:ascii="宋体" w:hAnsi="宋体" w:cs="宋体"/>
          <w:szCs w:val="21"/>
          <w:u w:val="single"/>
        </w:rPr>
        <w:t xml:space="preserve">                                                                                       </w:t>
      </w:r>
    </w:p>
    <w:p>
      <w:pPr>
        <w:spacing w:line="500" w:lineRule="exact"/>
        <w:ind w:firstLine="420" w:firstLineChars="200"/>
        <w:rPr>
          <w:rFonts w:ascii="宋体" w:hAnsi="宋体" w:cs="宋体"/>
          <w:szCs w:val="21"/>
        </w:rPr>
      </w:pPr>
      <w:r>
        <w:rPr>
          <w:rFonts w:hint="eastAsia" w:ascii="宋体" w:hAnsi="宋体" w:cs="宋体"/>
          <w:szCs w:val="21"/>
          <w:u w:val="single"/>
        </w:rPr>
        <w:t xml:space="preserve">                                                                                     。</w:t>
      </w:r>
    </w:p>
    <w:p>
      <w:pPr>
        <w:spacing w:line="500" w:lineRule="exact"/>
        <w:ind w:firstLine="420" w:firstLineChars="200"/>
        <w:rPr>
          <w:rFonts w:ascii="宋体" w:hAnsi="宋体" w:cs="宋体"/>
          <w:szCs w:val="21"/>
        </w:rPr>
      </w:pPr>
      <w:bookmarkStart w:id="169" w:name="_Toc5814"/>
      <w:bookmarkStart w:id="170" w:name="_Toc422141886"/>
      <w:bookmarkStart w:id="171" w:name="_Toc31344"/>
      <w:r>
        <w:rPr>
          <w:rFonts w:hint="eastAsia" w:ascii="宋体" w:hAnsi="宋体" w:cs="宋体"/>
          <w:szCs w:val="21"/>
        </w:rPr>
        <w:t>17.合同生效及其他</w:t>
      </w:r>
      <w:bookmarkEnd w:id="169"/>
      <w:bookmarkEnd w:id="170"/>
      <w:bookmarkEnd w:id="171"/>
    </w:p>
    <w:p>
      <w:pPr>
        <w:spacing w:line="500" w:lineRule="exact"/>
        <w:ind w:firstLine="420" w:firstLineChars="200"/>
        <w:rPr>
          <w:rFonts w:ascii="宋体" w:hAnsi="宋体" w:cs="宋体"/>
          <w:szCs w:val="21"/>
        </w:rPr>
      </w:pPr>
      <w:bookmarkStart w:id="172" w:name="_Toc133737928"/>
      <w:bookmarkStart w:id="173" w:name="_Toc133737839"/>
      <w:r>
        <w:rPr>
          <w:rFonts w:hint="eastAsia" w:ascii="宋体" w:hAnsi="宋体" w:cs="宋体"/>
          <w:szCs w:val="21"/>
        </w:rPr>
        <w:t>17.1本合同经甲乙双方及代理机构签字盖章后生效。</w:t>
      </w:r>
      <w:bookmarkEnd w:id="172"/>
      <w:bookmarkEnd w:id="173"/>
    </w:p>
    <w:p>
      <w:pPr>
        <w:spacing w:line="500" w:lineRule="exact"/>
        <w:ind w:firstLine="420" w:firstLineChars="200"/>
        <w:rPr>
          <w:rFonts w:ascii="宋体" w:hAnsi="宋体" w:cs="宋体"/>
          <w:szCs w:val="21"/>
        </w:rPr>
      </w:pPr>
      <w:r>
        <w:rPr>
          <w:rFonts w:hint="eastAsia" w:ascii="宋体" w:hAnsi="宋体" w:cs="宋体"/>
          <w:szCs w:val="21"/>
        </w:rPr>
        <w:t>17.2本合同中所带的附件，具备合同本身同样的法律效力。</w:t>
      </w:r>
    </w:p>
    <w:p>
      <w:pPr>
        <w:spacing w:line="500" w:lineRule="exact"/>
        <w:ind w:firstLine="420" w:firstLineChars="200"/>
        <w:rPr>
          <w:rFonts w:ascii="宋体" w:hAnsi="宋体" w:cs="宋体"/>
          <w:szCs w:val="21"/>
        </w:rPr>
      </w:pPr>
      <w:r>
        <w:rPr>
          <w:rFonts w:hint="eastAsia" w:ascii="宋体" w:hAnsi="宋体" w:cs="宋体"/>
          <w:szCs w:val="21"/>
        </w:rPr>
        <w:t>17.3本合同一式六份，其中，招标人叁份，乙方贰份，代理机构壹份。均具有同等法律效力。</w:t>
      </w:r>
    </w:p>
    <w:tbl>
      <w:tblPr>
        <w:tblStyle w:val="39"/>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2"/>
        <w:gridCol w:w="4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8" w:hRule="atLeast"/>
          <w:jc w:val="center"/>
        </w:trPr>
        <w:tc>
          <w:tcPr>
            <w:tcW w:w="4872" w:type="dxa"/>
            <w:tcBorders>
              <w:top w:val="single" w:color="auto" w:sz="4" w:space="0"/>
              <w:left w:val="single" w:color="auto" w:sz="4" w:space="0"/>
              <w:bottom w:val="single" w:color="auto" w:sz="4" w:space="0"/>
              <w:right w:val="single" w:color="auto" w:sz="4" w:space="0"/>
            </w:tcBorders>
            <w:vAlign w:val="center"/>
          </w:tcPr>
          <w:p>
            <w:pPr>
              <w:spacing w:line="500" w:lineRule="exact"/>
              <w:rPr>
                <w:rFonts w:ascii="宋体" w:hAnsi="宋体"/>
                <w:szCs w:val="21"/>
              </w:rPr>
            </w:pPr>
            <w:r>
              <w:rPr>
                <w:rFonts w:hint="eastAsia" w:ascii="宋体" w:hAnsi="宋体"/>
                <w:szCs w:val="21"/>
              </w:rPr>
              <w:t xml:space="preserve">招标人（公章）： </w:t>
            </w:r>
          </w:p>
          <w:p>
            <w:pPr>
              <w:spacing w:line="500" w:lineRule="exact"/>
              <w:rPr>
                <w:rFonts w:ascii="宋体" w:hAnsi="宋体"/>
                <w:szCs w:val="21"/>
              </w:rPr>
            </w:pPr>
            <w:r>
              <w:rPr>
                <w:rFonts w:hint="eastAsia" w:ascii="宋体" w:hAnsi="宋体"/>
                <w:szCs w:val="21"/>
              </w:rPr>
              <w:t xml:space="preserve">地址： </w:t>
            </w:r>
          </w:p>
          <w:p>
            <w:pPr>
              <w:spacing w:line="500" w:lineRule="exact"/>
              <w:rPr>
                <w:rFonts w:ascii="宋体" w:hAnsi="宋体"/>
                <w:szCs w:val="21"/>
              </w:rPr>
            </w:pPr>
            <w:r>
              <w:rPr>
                <w:rFonts w:hint="eastAsia" w:ascii="宋体" w:hAnsi="宋体"/>
                <w:szCs w:val="21"/>
              </w:rPr>
              <w:t xml:space="preserve">电  话:  </w:t>
            </w:r>
          </w:p>
          <w:p>
            <w:pPr>
              <w:spacing w:line="500" w:lineRule="exact"/>
              <w:rPr>
                <w:rFonts w:ascii="宋体" w:hAnsi="宋体"/>
                <w:szCs w:val="21"/>
              </w:rPr>
            </w:pPr>
            <w:r>
              <w:rPr>
                <w:rFonts w:hint="eastAsia" w:ascii="宋体" w:hAnsi="宋体"/>
                <w:szCs w:val="21"/>
              </w:rPr>
              <w:t>传</w:t>
            </w:r>
            <w:r>
              <w:rPr>
                <w:rFonts w:ascii="宋体" w:hAnsi="宋体"/>
                <w:szCs w:val="21"/>
              </w:rPr>
              <w:t> </w:t>
            </w:r>
            <w:r>
              <w:rPr>
                <w:rFonts w:hint="eastAsia" w:ascii="宋体" w:hAnsi="宋体"/>
                <w:szCs w:val="21"/>
              </w:rPr>
              <w:t>真：</w:t>
            </w:r>
            <w:r>
              <w:rPr>
                <w:rFonts w:hint="eastAsia" w:ascii="宋体" w:hAnsi="宋体"/>
              </w:rPr>
              <w:t xml:space="preserve"> </w:t>
            </w:r>
          </w:p>
          <w:p>
            <w:pPr>
              <w:spacing w:line="500" w:lineRule="exact"/>
              <w:rPr>
                <w:rFonts w:ascii="宋体" w:hAnsi="宋体"/>
                <w:szCs w:val="21"/>
              </w:rPr>
            </w:pPr>
            <w:r>
              <w:rPr>
                <w:rFonts w:hint="eastAsia" w:ascii="宋体" w:hAnsi="宋体"/>
                <w:szCs w:val="21"/>
              </w:rPr>
              <w:t xml:space="preserve">邮  编: </w:t>
            </w:r>
          </w:p>
          <w:p>
            <w:pPr>
              <w:spacing w:line="500" w:lineRule="exact"/>
              <w:rPr>
                <w:rFonts w:ascii="宋体" w:hAnsi="宋体"/>
                <w:szCs w:val="21"/>
              </w:rPr>
            </w:pPr>
          </w:p>
          <w:p>
            <w:pPr>
              <w:spacing w:line="500" w:lineRule="exact"/>
              <w:rPr>
                <w:rFonts w:ascii="宋体" w:hAnsi="宋体"/>
                <w:szCs w:val="21"/>
              </w:rPr>
            </w:pPr>
            <w:r>
              <w:rPr>
                <w:rFonts w:hint="eastAsia" w:ascii="宋体" w:hAnsi="宋体"/>
                <w:szCs w:val="21"/>
              </w:rPr>
              <w:t>法定代表人或委托代理人：</w:t>
            </w:r>
          </w:p>
          <w:p>
            <w:pPr>
              <w:spacing w:line="500" w:lineRule="exact"/>
              <w:rPr>
                <w:rFonts w:ascii="宋体" w:hAnsi="宋体"/>
                <w:szCs w:val="21"/>
              </w:rPr>
            </w:pPr>
          </w:p>
          <w:p>
            <w:pPr>
              <w:spacing w:line="500" w:lineRule="exact"/>
              <w:rPr>
                <w:rFonts w:ascii="宋体" w:hAnsi="宋体"/>
                <w:szCs w:val="21"/>
              </w:rPr>
            </w:pPr>
          </w:p>
          <w:p>
            <w:pPr>
              <w:spacing w:line="500" w:lineRule="exact"/>
              <w:rPr>
                <w:rFonts w:ascii="宋体" w:hAnsi="宋体"/>
                <w:szCs w:val="21"/>
              </w:rPr>
            </w:pPr>
            <w:r>
              <w:rPr>
                <w:rFonts w:hint="eastAsia" w:ascii="宋体" w:hAnsi="宋体"/>
                <w:szCs w:val="21"/>
              </w:rPr>
              <w:t>签字日期:       年     月     日</w:t>
            </w:r>
          </w:p>
          <w:p>
            <w:pPr>
              <w:spacing w:line="500" w:lineRule="exact"/>
              <w:rPr>
                <w:rFonts w:ascii="宋体" w:hAnsi="宋体"/>
                <w:szCs w:val="21"/>
              </w:rPr>
            </w:pPr>
            <w:r>
              <w:rPr>
                <w:rFonts w:hint="eastAsia" w:ascii="宋体" w:hAnsi="宋体"/>
                <w:szCs w:val="21"/>
              </w:rPr>
              <w:t>开户行：</w:t>
            </w:r>
          </w:p>
          <w:p>
            <w:pPr>
              <w:spacing w:line="500" w:lineRule="exact"/>
              <w:rPr>
                <w:rFonts w:ascii="宋体" w:hAnsi="宋体"/>
                <w:szCs w:val="21"/>
              </w:rPr>
            </w:pPr>
            <w:r>
              <w:rPr>
                <w:rFonts w:hint="eastAsia" w:ascii="宋体" w:hAnsi="宋体"/>
                <w:szCs w:val="21"/>
              </w:rPr>
              <w:t>账号：</w:t>
            </w:r>
          </w:p>
        </w:tc>
        <w:tc>
          <w:tcPr>
            <w:tcW w:w="4668" w:type="dxa"/>
            <w:tcBorders>
              <w:top w:val="single" w:color="auto" w:sz="4" w:space="0"/>
              <w:left w:val="single" w:color="auto" w:sz="4" w:space="0"/>
              <w:bottom w:val="single" w:color="auto" w:sz="4" w:space="0"/>
              <w:right w:val="single" w:color="auto" w:sz="4" w:space="0"/>
            </w:tcBorders>
            <w:vAlign w:val="center"/>
          </w:tcPr>
          <w:p>
            <w:pPr>
              <w:spacing w:line="500" w:lineRule="exact"/>
              <w:rPr>
                <w:rFonts w:ascii="宋体" w:hAnsi="宋体"/>
                <w:szCs w:val="21"/>
              </w:rPr>
            </w:pPr>
            <w:r>
              <w:rPr>
                <w:rFonts w:hint="eastAsia" w:ascii="宋体" w:hAnsi="宋体"/>
                <w:szCs w:val="21"/>
              </w:rPr>
              <w:t>乙方（公章）：</w:t>
            </w:r>
          </w:p>
          <w:p>
            <w:pPr>
              <w:spacing w:line="500" w:lineRule="exact"/>
              <w:rPr>
                <w:rFonts w:ascii="宋体" w:hAnsi="宋体"/>
                <w:szCs w:val="21"/>
              </w:rPr>
            </w:pPr>
            <w:r>
              <w:rPr>
                <w:rFonts w:hint="eastAsia" w:ascii="宋体" w:hAnsi="宋体"/>
                <w:szCs w:val="21"/>
              </w:rPr>
              <w:t xml:space="preserve">地址： </w:t>
            </w:r>
          </w:p>
          <w:p>
            <w:pPr>
              <w:spacing w:line="500" w:lineRule="exact"/>
              <w:rPr>
                <w:rFonts w:ascii="宋体" w:hAnsi="宋体"/>
                <w:szCs w:val="21"/>
              </w:rPr>
            </w:pPr>
            <w:r>
              <w:rPr>
                <w:rFonts w:hint="eastAsia" w:ascii="宋体" w:hAnsi="宋体"/>
                <w:szCs w:val="21"/>
              </w:rPr>
              <w:t>电话:</w:t>
            </w:r>
          </w:p>
          <w:p>
            <w:pPr>
              <w:spacing w:line="500" w:lineRule="exact"/>
              <w:rPr>
                <w:rFonts w:ascii="宋体" w:hAnsi="宋体"/>
                <w:szCs w:val="21"/>
              </w:rPr>
            </w:pPr>
            <w:r>
              <w:rPr>
                <w:rFonts w:hint="eastAsia" w:ascii="宋体" w:hAnsi="宋体"/>
                <w:szCs w:val="21"/>
              </w:rPr>
              <w:t>邮编:</w:t>
            </w:r>
          </w:p>
          <w:p>
            <w:pPr>
              <w:spacing w:line="500" w:lineRule="exact"/>
              <w:rPr>
                <w:rFonts w:ascii="宋体" w:hAnsi="宋体"/>
                <w:szCs w:val="21"/>
              </w:rPr>
            </w:pPr>
          </w:p>
          <w:p>
            <w:pPr>
              <w:spacing w:line="500" w:lineRule="exact"/>
              <w:rPr>
                <w:rFonts w:ascii="宋体" w:hAnsi="宋体"/>
                <w:szCs w:val="21"/>
              </w:rPr>
            </w:pPr>
            <w:r>
              <w:rPr>
                <w:rFonts w:hint="eastAsia" w:ascii="宋体" w:hAnsi="宋体"/>
                <w:szCs w:val="21"/>
              </w:rPr>
              <w:t>法定代表人或委托代理人：</w:t>
            </w:r>
          </w:p>
          <w:p>
            <w:pPr>
              <w:spacing w:line="500" w:lineRule="exact"/>
              <w:rPr>
                <w:rFonts w:ascii="宋体" w:hAnsi="宋体"/>
                <w:szCs w:val="21"/>
              </w:rPr>
            </w:pPr>
          </w:p>
          <w:p>
            <w:pPr>
              <w:spacing w:line="500" w:lineRule="exact"/>
              <w:rPr>
                <w:rFonts w:ascii="宋体" w:hAnsi="宋体"/>
                <w:szCs w:val="21"/>
              </w:rPr>
            </w:pPr>
          </w:p>
          <w:p>
            <w:pPr>
              <w:spacing w:line="500" w:lineRule="exact"/>
              <w:rPr>
                <w:rFonts w:ascii="宋体" w:hAnsi="宋体"/>
                <w:szCs w:val="21"/>
              </w:rPr>
            </w:pPr>
            <w:r>
              <w:rPr>
                <w:rFonts w:hint="eastAsia" w:ascii="宋体" w:hAnsi="宋体"/>
                <w:szCs w:val="21"/>
              </w:rPr>
              <w:t>签字日期:       年     月     日</w:t>
            </w:r>
          </w:p>
          <w:p>
            <w:pPr>
              <w:spacing w:line="500" w:lineRule="exact"/>
              <w:rPr>
                <w:rFonts w:ascii="宋体" w:hAnsi="宋体"/>
                <w:szCs w:val="21"/>
              </w:rPr>
            </w:pPr>
            <w:r>
              <w:rPr>
                <w:rFonts w:hint="eastAsia" w:ascii="宋体" w:hAnsi="宋体"/>
                <w:szCs w:val="21"/>
              </w:rPr>
              <w:t>开户行：</w:t>
            </w:r>
          </w:p>
          <w:p>
            <w:pPr>
              <w:spacing w:line="500" w:lineRule="exact"/>
              <w:rPr>
                <w:rFonts w:ascii="宋体" w:hAnsi="宋体"/>
                <w:szCs w:val="21"/>
              </w:rPr>
            </w:pPr>
            <w:r>
              <w:rPr>
                <w:rFonts w:hint="eastAsia" w:ascii="宋体" w:hAnsi="宋体"/>
                <w:szCs w:val="21"/>
              </w:rPr>
              <w:t>账号：</w:t>
            </w:r>
          </w:p>
        </w:tc>
      </w:tr>
    </w:tbl>
    <w:p>
      <w:pPr>
        <w:spacing w:line="500" w:lineRule="exact"/>
        <w:ind w:left="425"/>
        <w:rPr>
          <w:rFonts w:ascii="宋体" w:hAnsi="宋体"/>
          <w:b/>
          <w:sz w:val="18"/>
          <w:szCs w:val="18"/>
          <w:u w:val="single"/>
        </w:rPr>
      </w:pPr>
      <w:r>
        <w:rPr>
          <w:rFonts w:hint="eastAsia" w:ascii="宋体" w:hAnsi="宋体"/>
          <w:b/>
          <w:sz w:val="18"/>
          <w:szCs w:val="18"/>
        </w:rPr>
        <w:t>注：本合同格式仅作为参考文本，合同签订双方可根据项目的具体要求进行修订。</w:t>
      </w:r>
    </w:p>
    <w:p>
      <w:pPr>
        <w:pStyle w:val="68"/>
        <w:snapToGrid w:val="0"/>
        <w:spacing w:line="300" w:lineRule="exact"/>
        <w:jc w:val="center"/>
        <w:rPr>
          <w:b/>
          <w:bCs/>
          <w:color w:val="auto"/>
          <w:sz w:val="24"/>
        </w:rPr>
      </w:pPr>
      <w:r>
        <w:rPr>
          <w:rFonts w:hint="eastAsia"/>
          <w:b/>
          <w:bCs/>
          <w:color w:val="auto"/>
          <w:sz w:val="24"/>
        </w:rPr>
        <w:br w:type="page"/>
      </w:r>
    </w:p>
    <w:p>
      <w:pPr>
        <w:pStyle w:val="75"/>
        <w:numPr>
          <w:ilvl w:val="0"/>
          <w:numId w:val="6"/>
        </w:numPr>
        <w:snapToGrid w:val="0"/>
        <w:spacing w:line="440" w:lineRule="exact"/>
        <w:jc w:val="center"/>
        <w:outlineLvl w:val="0"/>
        <w:rPr>
          <w:rFonts w:ascii="宋体" w:hAnsi="宋体" w:cs="宋体"/>
          <w:b/>
          <w:bCs/>
          <w:color w:val="auto"/>
          <w:sz w:val="32"/>
          <w:szCs w:val="32"/>
        </w:rPr>
      </w:pPr>
      <w:bookmarkStart w:id="174" w:name="_Toc7960"/>
      <w:bookmarkStart w:id="175" w:name="_Toc756"/>
      <w:bookmarkStart w:id="176" w:name="_Toc11710"/>
      <w:r>
        <w:rPr>
          <w:rFonts w:hint="eastAsia" w:ascii="宋体" w:hAnsi="宋体" w:cs="宋体"/>
          <w:b/>
          <w:bCs/>
          <w:color w:val="auto"/>
          <w:sz w:val="32"/>
          <w:szCs w:val="32"/>
        </w:rPr>
        <w:t>采购需求</w:t>
      </w:r>
      <w:bookmarkStart w:id="177" w:name="_Toc757"/>
      <w:r>
        <w:rPr>
          <w:rFonts w:hint="eastAsia" w:ascii="宋体" w:hAnsi="宋体" w:cs="宋体"/>
          <w:b/>
          <w:bCs/>
          <w:color w:val="auto"/>
          <w:sz w:val="32"/>
          <w:szCs w:val="32"/>
        </w:rPr>
        <w:t>及技术参数</w:t>
      </w:r>
      <w:bookmarkEnd w:id="174"/>
    </w:p>
    <w:p>
      <w:pPr>
        <w:spacing w:line="360" w:lineRule="auto"/>
        <w:ind w:firstLine="562" w:firstLineChars="200"/>
        <w:rPr>
          <w:rFonts w:ascii="宋体" w:hAnsi="宋体" w:cs="宋体"/>
          <w:b/>
          <w:bCs/>
          <w:sz w:val="28"/>
          <w:szCs w:val="28"/>
        </w:rPr>
      </w:pPr>
      <w:r>
        <w:rPr>
          <w:rFonts w:hint="eastAsia" w:ascii="宋体" w:hAnsi="宋体" w:cs="宋体"/>
          <w:b/>
          <w:bCs/>
          <w:sz w:val="28"/>
          <w:szCs w:val="28"/>
        </w:rPr>
        <w:t>需求分析</w:t>
      </w:r>
    </w:p>
    <w:p>
      <w:pPr>
        <w:spacing w:line="360" w:lineRule="auto"/>
        <w:ind w:firstLine="480" w:firstLineChars="200"/>
        <w:rPr>
          <w:rFonts w:ascii="宋体" w:hAnsi="宋体"/>
          <w:sz w:val="24"/>
        </w:rPr>
      </w:pPr>
      <w:r>
        <w:rPr>
          <w:rFonts w:ascii="宋体" w:hAnsi="宋体"/>
          <w:sz w:val="24"/>
        </w:rPr>
        <w:t>在框架设计上</w:t>
      </w:r>
      <w:r>
        <w:rPr>
          <w:rFonts w:hint="eastAsia" w:ascii="宋体" w:hAnsi="宋体"/>
          <w:sz w:val="24"/>
        </w:rPr>
        <w:t>，</w:t>
      </w:r>
      <w:r>
        <w:rPr>
          <w:rFonts w:ascii="宋体" w:hAnsi="宋体"/>
          <w:sz w:val="24"/>
        </w:rPr>
        <w:t>在单一应用系统的建设和点对点业务系统互联的基础上</w:t>
      </w:r>
      <w:r>
        <w:rPr>
          <w:rFonts w:hint="eastAsia" w:ascii="宋体" w:hAnsi="宋体"/>
          <w:sz w:val="24"/>
        </w:rPr>
        <w:t>，</w:t>
      </w:r>
      <w:r>
        <w:rPr>
          <w:rFonts w:ascii="宋体" w:hAnsi="宋体"/>
          <w:sz w:val="24"/>
        </w:rPr>
        <w:t>向医院信息平台业务集成方式转变</w:t>
      </w:r>
      <w:r>
        <w:rPr>
          <w:rFonts w:hint="eastAsia" w:ascii="宋体" w:hAnsi="宋体"/>
          <w:sz w:val="24"/>
        </w:rPr>
        <w:t>，</w:t>
      </w:r>
      <w:r>
        <w:rPr>
          <w:rFonts w:ascii="宋体" w:hAnsi="宋体"/>
          <w:sz w:val="24"/>
        </w:rPr>
        <w:t>利用纵横交互的平台技术实现统筹规划</w:t>
      </w:r>
      <w:r>
        <w:rPr>
          <w:rFonts w:hint="eastAsia" w:ascii="宋体" w:hAnsi="宋体"/>
          <w:sz w:val="24"/>
        </w:rPr>
        <w:t>、</w:t>
      </w:r>
      <w:r>
        <w:rPr>
          <w:rFonts w:ascii="宋体" w:hAnsi="宋体"/>
          <w:sz w:val="24"/>
        </w:rPr>
        <w:t>资源整合和信息共享</w:t>
      </w:r>
      <w:r>
        <w:rPr>
          <w:rFonts w:hint="eastAsia" w:ascii="宋体" w:hAnsi="宋体"/>
          <w:sz w:val="24"/>
        </w:rPr>
        <w:t>，</w:t>
      </w:r>
      <w:r>
        <w:rPr>
          <w:rFonts w:ascii="宋体" w:hAnsi="宋体"/>
          <w:sz w:val="24"/>
        </w:rPr>
        <w:t>提高医院服务水平和监管能力</w:t>
      </w:r>
      <w:r>
        <w:rPr>
          <w:rFonts w:hint="eastAsia" w:ascii="宋体" w:hAnsi="宋体"/>
          <w:sz w:val="24"/>
        </w:rPr>
        <w:t>。</w:t>
      </w:r>
    </w:p>
    <w:p>
      <w:pPr>
        <w:spacing w:line="360" w:lineRule="auto"/>
        <w:ind w:firstLine="480" w:firstLineChars="200"/>
        <w:rPr>
          <w:rFonts w:ascii="宋体" w:hAnsi="宋体"/>
          <w:sz w:val="24"/>
        </w:rPr>
      </w:pPr>
      <w:r>
        <w:rPr>
          <w:rFonts w:ascii="宋体" w:hAnsi="宋体"/>
          <w:sz w:val="24"/>
        </w:rPr>
        <w:t>在业务内容上</w:t>
      </w:r>
      <w:r>
        <w:rPr>
          <w:rFonts w:hint="eastAsia" w:ascii="宋体" w:hAnsi="宋体"/>
          <w:sz w:val="24"/>
        </w:rPr>
        <w:t>，</w:t>
      </w:r>
      <w:r>
        <w:rPr>
          <w:rFonts w:ascii="宋体" w:hAnsi="宋体"/>
          <w:sz w:val="24"/>
        </w:rPr>
        <w:t>以病人为中心</w:t>
      </w:r>
      <w:r>
        <w:rPr>
          <w:rFonts w:hint="eastAsia" w:ascii="宋体" w:hAnsi="宋体"/>
          <w:sz w:val="24"/>
        </w:rPr>
        <w:t>、</w:t>
      </w:r>
      <w:r>
        <w:rPr>
          <w:rFonts w:ascii="宋体" w:hAnsi="宋体"/>
          <w:sz w:val="24"/>
        </w:rPr>
        <w:t>以医务人员为主体</w:t>
      </w:r>
      <w:r>
        <w:rPr>
          <w:rFonts w:hint="eastAsia" w:ascii="宋体" w:hAnsi="宋体"/>
          <w:sz w:val="24"/>
        </w:rPr>
        <w:t>，</w:t>
      </w:r>
      <w:r>
        <w:rPr>
          <w:rFonts w:ascii="宋体" w:hAnsi="宋体"/>
          <w:sz w:val="24"/>
        </w:rPr>
        <w:t>利用</w:t>
      </w:r>
      <w:r>
        <w:rPr>
          <w:rFonts w:hint="eastAsia" w:ascii="宋体" w:hAnsi="宋体"/>
          <w:sz w:val="24"/>
        </w:rPr>
        <w:t>I</w:t>
      </w:r>
      <w:r>
        <w:rPr>
          <w:rFonts w:ascii="宋体" w:hAnsi="宋体"/>
          <w:sz w:val="24"/>
        </w:rPr>
        <w:t>T技术促进医疗服务模式创新</w:t>
      </w:r>
      <w:r>
        <w:rPr>
          <w:rFonts w:hint="eastAsia" w:ascii="宋体" w:hAnsi="宋体"/>
          <w:sz w:val="24"/>
        </w:rPr>
        <w:t>，</w:t>
      </w:r>
      <w:r>
        <w:rPr>
          <w:rFonts w:ascii="宋体" w:hAnsi="宋体"/>
          <w:sz w:val="24"/>
        </w:rPr>
        <w:t>优化工作流程</w:t>
      </w:r>
      <w:r>
        <w:rPr>
          <w:rFonts w:hint="eastAsia" w:ascii="宋体" w:hAnsi="宋体"/>
          <w:sz w:val="24"/>
        </w:rPr>
        <w:t>，</w:t>
      </w:r>
      <w:r>
        <w:rPr>
          <w:rFonts w:ascii="宋体" w:hAnsi="宋体"/>
          <w:sz w:val="24"/>
        </w:rPr>
        <w:t>促进医院管理和机制创新</w:t>
      </w:r>
      <w:r>
        <w:rPr>
          <w:rFonts w:hint="eastAsia" w:ascii="宋体" w:hAnsi="宋体"/>
          <w:sz w:val="24"/>
        </w:rPr>
        <w:t>，</w:t>
      </w:r>
      <w:r>
        <w:rPr>
          <w:rFonts w:ascii="宋体" w:hAnsi="宋体"/>
          <w:sz w:val="24"/>
        </w:rPr>
        <w:t>全面提升全体员工的信息化应用素质和管理层的决策辅助支撑能力</w:t>
      </w:r>
      <w:r>
        <w:rPr>
          <w:rFonts w:hint="eastAsia" w:ascii="宋体" w:hAnsi="宋体"/>
          <w:sz w:val="24"/>
        </w:rPr>
        <w:t>，</w:t>
      </w:r>
      <w:r>
        <w:rPr>
          <w:rFonts w:ascii="宋体" w:hAnsi="宋体"/>
          <w:sz w:val="24"/>
        </w:rPr>
        <w:t>促进经营管理和决策更加科学</w:t>
      </w:r>
      <w:r>
        <w:rPr>
          <w:rFonts w:hint="eastAsia" w:ascii="宋体" w:hAnsi="宋体"/>
          <w:sz w:val="24"/>
        </w:rPr>
        <w:t>。</w:t>
      </w:r>
    </w:p>
    <w:p>
      <w:pPr>
        <w:spacing w:line="360" w:lineRule="auto"/>
        <w:ind w:firstLine="480" w:firstLineChars="200"/>
        <w:rPr>
          <w:rFonts w:ascii="宋体" w:hAnsi="宋体"/>
          <w:sz w:val="24"/>
        </w:rPr>
      </w:pPr>
      <w:r>
        <w:rPr>
          <w:rFonts w:ascii="宋体" w:hAnsi="宋体"/>
          <w:sz w:val="24"/>
        </w:rPr>
        <w:t>在实现路径上</w:t>
      </w:r>
      <w:r>
        <w:rPr>
          <w:rFonts w:hint="eastAsia" w:ascii="宋体" w:hAnsi="宋体"/>
          <w:sz w:val="24"/>
        </w:rPr>
        <w:t>，</w:t>
      </w:r>
      <w:r>
        <w:rPr>
          <w:rFonts w:ascii="宋体" w:hAnsi="宋体"/>
          <w:sz w:val="24"/>
        </w:rPr>
        <w:t>从追求单个系统规模相促进以电子病历为核心的临床一体化和财务为核心的运营管理一体化方向转变</w:t>
      </w:r>
      <w:r>
        <w:rPr>
          <w:rFonts w:hint="eastAsia" w:ascii="宋体" w:hAnsi="宋体"/>
          <w:sz w:val="24"/>
        </w:rPr>
        <w:t>，</w:t>
      </w:r>
      <w:r>
        <w:rPr>
          <w:rFonts w:ascii="宋体" w:hAnsi="宋体"/>
          <w:sz w:val="24"/>
        </w:rPr>
        <w:t>建立健全医院数据标准体系</w:t>
      </w:r>
      <w:r>
        <w:rPr>
          <w:rFonts w:hint="eastAsia" w:ascii="宋体" w:hAnsi="宋体"/>
          <w:sz w:val="24"/>
        </w:rPr>
        <w:t>，</w:t>
      </w:r>
      <w:r>
        <w:rPr>
          <w:rFonts w:ascii="宋体" w:hAnsi="宋体"/>
          <w:sz w:val="24"/>
        </w:rPr>
        <w:t>以促进信息资源在临床医疗和运营管理中的高效利用</w:t>
      </w:r>
      <w:r>
        <w:rPr>
          <w:rFonts w:hint="eastAsia" w:ascii="宋体" w:hAnsi="宋体"/>
          <w:sz w:val="24"/>
        </w:rPr>
        <w:t>，</w:t>
      </w:r>
      <w:r>
        <w:rPr>
          <w:rFonts w:ascii="宋体" w:hAnsi="宋体"/>
          <w:sz w:val="24"/>
        </w:rPr>
        <w:t>实现医技科室独立运行</w:t>
      </w:r>
      <w:r>
        <w:rPr>
          <w:rFonts w:hint="eastAsia" w:ascii="宋体" w:hAnsi="宋体"/>
          <w:sz w:val="24"/>
        </w:rPr>
        <w:t>，</w:t>
      </w:r>
      <w:r>
        <w:rPr>
          <w:rFonts w:ascii="宋体" w:hAnsi="宋体"/>
          <w:sz w:val="24"/>
        </w:rPr>
        <w:t>在区域范围支持实现以患者为中心的跨机构医疗信息共享和业务协同服务</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验收标准：电子病历应用水平4级，所提供的产品满足互联互通4级甲等；所提供的产品满足三级专科医院评审标准。</w:t>
      </w:r>
    </w:p>
    <w:p>
      <w:pPr>
        <w:spacing w:line="360" w:lineRule="auto"/>
        <w:ind w:firstLine="480" w:firstLineChars="200"/>
        <w:rPr>
          <w:rFonts w:ascii="宋体" w:hAnsi="宋体"/>
          <w:sz w:val="24"/>
        </w:rPr>
      </w:pPr>
      <w:r>
        <w:rPr>
          <w:rFonts w:hint="eastAsia" w:ascii="宋体" w:hAnsi="宋体"/>
          <w:sz w:val="24"/>
        </w:rPr>
        <w:t>验收合格后，质保期壹年。后续维保费不超过</w:t>
      </w:r>
      <w:r>
        <w:rPr>
          <w:rFonts w:ascii="宋体" w:hAnsi="宋体"/>
          <w:sz w:val="24"/>
        </w:rPr>
        <w:t>8%-10%</w:t>
      </w:r>
    </w:p>
    <w:bookmarkEnd w:id="177"/>
    <w:p>
      <w:pPr>
        <w:spacing w:line="240" w:lineRule="atLeast"/>
        <w:jc w:val="left"/>
        <w:rPr>
          <w:rFonts w:ascii="宋体" w:hAnsi="宋体" w:cs="宋体"/>
          <w:b/>
          <w:bCs/>
          <w:szCs w:val="21"/>
        </w:rPr>
      </w:pPr>
    </w:p>
    <w:p>
      <w:pPr>
        <w:pStyle w:val="10"/>
        <w:ind w:left="0" w:leftChars="0"/>
        <w:jc w:val="center"/>
        <w:rPr>
          <w:sz w:val="28"/>
          <w:szCs w:val="36"/>
        </w:rPr>
      </w:pPr>
      <w:r>
        <w:rPr>
          <w:rFonts w:hint="eastAsia" w:ascii="宋体" w:hAnsi="宋体" w:cs="宋体"/>
          <w:b/>
          <w:bCs/>
          <w:sz w:val="36"/>
          <w:szCs w:val="36"/>
        </w:rPr>
        <w:t>清单</w:t>
      </w:r>
    </w:p>
    <w:tbl>
      <w:tblPr>
        <w:tblStyle w:val="39"/>
        <w:tblW w:w="92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76"/>
        <w:gridCol w:w="4389"/>
        <w:gridCol w:w="1843"/>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jc w:val="center"/>
        </w:trPr>
        <w:tc>
          <w:tcPr>
            <w:tcW w:w="1276" w:type="dxa"/>
            <w:tcBorders>
              <w:bottom w:val="single" w:color="000000" w:sz="4" w:space="0"/>
            </w:tcBorders>
            <w:shd w:val="clear" w:color="auto" w:fill="D9D9D9"/>
            <w:noWrap w:val="0"/>
            <w:vAlign w:val="center"/>
          </w:tcPr>
          <w:p>
            <w:pPr>
              <w:spacing w:line="360" w:lineRule="auto"/>
              <w:jc w:val="center"/>
              <w:rPr>
                <w:rFonts w:ascii="宋体" w:hAnsi="宋体"/>
                <w:b/>
                <w:sz w:val="24"/>
              </w:rPr>
            </w:pPr>
            <w:r>
              <w:rPr>
                <w:rFonts w:ascii="宋体" w:hAnsi="宋体"/>
                <w:b/>
                <w:sz w:val="24"/>
              </w:rPr>
              <w:t>序号</w:t>
            </w:r>
          </w:p>
        </w:tc>
        <w:tc>
          <w:tcPr>
            <w:tcW w:w="4389" w:type="dxa"/>
            <w:tcBorders>
              <w:bottom w:val="single" w:color="000000" w:sz="4" w:space="0"/>
            </w:tcBorders>
            <w:shd w:val="clear" w:color="auto" w:fill="D9D9D9"/>
            <w:noWrap w:val="0"/>
            <w:vAlign w:val="center"/>
          </w:tcPr>
          <w:p>
            <w:pPr>
              <w:spacing w:line="360" w:lineRule="auto"/>
              <w:jc w:val="center"/>
              <w:rPr>
                <w:rFonts w:ascii="宋体" w:hAnsi="宋体"/>
                <w:b/>
                <w:sz w:val="24"/>
              </w:rPr>
            </w:pPr>
            <w:r>
              <w:rPr>
                <w:rFonts w:ascii="宋体" w:hAnsi="宋体"/>
                <w:b/>
                <w:sz w:val="24"/>
              </w:rPr>
              <w:t>建设内容</w:t>
            </w:r>
          </w:p>
        </w:tc>
        <w:tc>
          <w:tcPr>
            <w:tcW w:w="1843" w:type="dxa"/>
            <w:tcBorders>
              <w:bottom w:val="single" w:color="000000" w:sz="4" w:space="0"/>
            </w:tcBorders>
            <w:shd w:val="clear" w:color="auto" w:fill="D9D9D9"/>
            <w:noWrap w:val="0"/>
            <w:vAlign w:val="center"/>
          </w:tcPr>
          <w:p>
            <w:pPr>
              <w:spacing w:line="360" w:lineRule="auto"/>
              <w:jc w:val="center"/>
              <w:rPr>
                <w:rFonts w:ascii="宋体" w:hAnsi="宋体"/>
                <w:b/>
                <w:sz w:val="24"/>
              </w:rPr>
            </w:pPr>
            <w:r>
              <w:rPr>
                <w:rFonts w:ascii="宋体" w:hAnsi="宋体"/>
                <w:b/>
                <w:sz w:val="24"/>
              </w:rPr>
              <w:t>规格（套）</w:t>
            </w:r>
          </w:p>
        </w:tc>
        <w:tc>
          <w:tcPr>
            <w:tcW w:w="1701" w:type="dxa"/>
            <w:tcBorders>
              <w:bottom w:val="single" w:color="000000" w:sz="4" w:space="0"/>
            </w:tcBorders>
            <w:shd w:val="clear" w:color="auto" w:fill="D9D9D9"/>
            <w:noWrap w:val="0"/>
            <w:vAlign w:val="center"/>
          </w:tcPr>
          <w:p>
            <w:pPr>
              <w:spacing w:line="360" w:lineRule="auto"/>
              <w:jc w:val="center"/>
              <w:rPr>
                <w:rFonts w:ascii="宋体" w:hAnsi="宋体"/>
                <w:b/>
                <w:sz w:val="24"/>
              </w:rPr>
            </w:pPr>
            <w:r>
              <w:rPr>
                <w:rFonts w:ascii="宋体" w:hAnsi="宋体"/>
                <w:b/>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jc w:val="center"/>
        </w:trPr>
        <w:tc>
          <w:tcPr>
            <w:tcW w:w="1276" w:type="dxa"/>
            <w:shd w:val="clear" w:color="auto" w:fill="FFFFFF"/>
            <w:noWrap w:val="0"/>
            <w:vAlign w:val="center"/>
          </w:tcPr>
          <w:p>
            <w:pPr>
              <w:pStyle w:val="79"/>
              <w:numPr>
                <w:ilvl w:val="0"/>
                <w:numId w:val="7"/>
              </w:numPr>
              <w:spacing w:line="360" w:lineRule="auto"/>
              <w:ind w:hanging="386" w:firstLineChars="0"/>
              <w:jc w:val="center"/>
              <w:rPr>
                <w:rFonts w:ascii="宋体" w:hAnsi="宋体"/>
                <w:b/>
                <w:sz w:val="24"/>
              </w:rPr>
            </w:pPr>
          </w:p>
        </w:tc>
        <w:tc>
          <w:tcPr>
            <w:tcW w:w="4389" w:type="dxa"/>
            <w:shd w:val="clear" w:color="auto" w:fill="FFFFFF"/>
            <w:noWrap w:val="0"/>
            <w:vAlign w:val="center"/>
          </w:tcPr>
          <w:p>
            <w:pPr>
              <w:spacing w:line="360" w:lineRule="auto"/>
              <w:rPr>
                <w:rFonts w:ascii="宋体" w:hAnsi="宋体"/>
                <w:sz w:val="24"/>
              </w:rPr>
            </w:pPr>
            <w:r>
              <w:rPr>
                <w:rFonts w:ascii="宋体" w:hAnsi="宋体"/>
                <w:sz w:val="24"/>
              </w:rPr>
              <w:t>医院信息集成平台</w:t>
            </w:r>
          </w:p>
        </w:tc>
        <w:tc>
          <w:tcPr>
            <w:tcW w:w="1843" w:type="dxa"/>
            <w:shd w:val="clear" w:color="auto" w:fill="FFFFFF"/>
            <w:noWrap w:val="0"/>
            <w:vAlign w:val="center"/>
          </w:tcPr>
          <w:p>
            <w:pPr>
              <w:spacing w:line="360" w:lineRule="auto"/>
              <w:jc w:val="center"/>
              <w:rPr>
                <w:rFonts w:ascii="宋体" w:hAnsi="宋体"/>
                <w:sz w:val="24"/>
              </w:rPr>
            </w:pPr>
            <w:r>
              <w:rPr>
                <w:rFonts w:hint="eastAsia" w:ascii="宋体" w:hAnsi="宋体"/>
                <w:sz w:val="24"/>
              </w:rPr>
              <w:t>1</w:t>
            </w:r>
          </w:p>
        </w:tc>
        <w:tc>
          <w:tcPr>
            <w:tcW w:w="1701" w:type="dxa"/>
            <w:shd w:val="clear" w:color="auto" w:fill="FFFFFF"/>
            <w:noWrap w:val="0"/>
            <w:vAlign w:val="center"/>
          </w:tcPr>
          <w:p>
            <w:pPr>
              <w:jc w:val="center"/>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jc w:val="center"/>
        </w:trPr>
        <w:tc>
          <w:tcPr>
            <w:tcW w:w="1276" w:type="dxa"/>
            <w:noWrap w:val="0"/>
            <w:vAlign w:val="center"/>
          </w:tcPr>
          <w:p>
            <w:pPr>
              <w:pStyle w:val="79"/>
              <w:numPr>
                <w:ilvl w:val="0"/>
                <w:numId w:val="7"/>
              </w:numPr>
              <w:spacing w:line="360" w:lineRule="auto"/>
              <w:ind w:hanging="386" w:firstLineChars="0"/>
              <w:jc w:val="center"/>
              <w:rPr>
                <w:rFonts w:ascii="宋体" w:hAnsi="宋体"/>
                <w:b/>
                <w:sz w:val="24"/>
              </w:rPr>
            </w:pPr>
          </w:p>
        </w:tc>
        <w:tc>
          <w:tcPr>
            <w:tcW w:w="4389" w:type="dxa"/>
            <w:noWrap w:val="0"/>
            <w:vAlign w:val="center"/>
          </w:tcPr>
          <w:p>
            <w:pPr>
              <w:rPr>
                <w:rFonts w:ascii="宋体" w:hAnsi="宋体"/>
                <w:sz w:val="24"/>
              </w:rPr>
            </w:pPr>
            <w:r>
              <w:rPr>
                <w:rFonts w:hint="eastAsia" w:ascii="宋体" w:hAnsi="宋体"/>
                <w:sz w:val="24"/>
              </w:rPr>
              <w:t>云H</w:t>
            </w:r>
            <w:r>
              <w:rPr>
                <w:rFonts w:ascii="宋体" w:hAnsi="宋体"/>
                <w:sz w:val="24"/>
              </w:rPr>
              <w:t>QMS</w:t>
            </w:r>
          </w:p>
        </w:tc>
        <w:tc>
          <w:tcPr>
            <w:tcW w:w="1843" w:type="dxa"/>
            <w:noWrap w:val="0"/>
            <w:vAlign w:val="center"/>
          </w:tcPr>
          <w:p>
            <w:pPr>
              <w:spacing w:line="360" w:lineRule="auto"/>
              <w:jc w:val="center"/>
              <w:rPr>
                <w:rFonts w:ascii="宋体" w:hAnsi="宋体"/>
                <w:sz w:val="24"/>
              </w:rPr>
            </w:pPr>
            <w:r>
              <w:rPr>
                <w:rFonts w:hint="eastAsia" w:ascii="宋体" w:hAnsi="宋体"/>
                <w:sz w:val="24"/>
              </w:rPr>
              <w:t>1</w:t>
            </w:r>
          </w:p>
        </w:tc>
        <w:tc>
          <w:tcPr>
            <w:tcW w:w="1701" w:type="dxa"/>
            <w:noWrap w:val="0"/>
            <w:vAlign w:val="center"/>
          </w:tcPr>
          <w:p>
            <w:pPr>
              <w:jc w:val="center"/>
              <w:rPr>
                <w:rFonts w:ascii="宋体" w:hAnsi="宋体"/>
                <w:color w:val="FF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jc w:val="center"/>
        </w:trPr>
        <w:tc>
          <w:tcPr>
            <w:tcW w:w="1276" w:type="dxa"/>
            <w:noWrap w:val="0"/>
            <w:vAlign w:val="center"/>
          </w:tcPr>
          <w:p>
            <w:pPr>
              <w:pStyle w:val="79"/>
              <w:numPr>
                <w:ilvl w:val="0"/>
                <w:numId w:val="7"/>
              </w:numPr>
              <w:spacing w:line="360" w:lineRule="auto"/>
              <w:ind w:hanging="386" w:firstLineChars="0"/>
              <w:jc w:val="center"/>
              <w:rPr>
                <w:rFonts w:ascii="宋体" w:hAnsi="宋体"/>
                <w:b/>
                <w:sz w:val="24"/>
              </w:rPr>
            </w:pPr>
          </w:p>
        </w:tc>
        <w:tc>
          <w:tcPr>
            <w:tcW w:w="4389" w:type="dxa"/>
            <w:noWrap w:val="0"/>
            <w:vAlign w:val="center"/>
          </w:tcPr>
          <w:p>
            <w:pPr>
              <w:rPr>
                <w:rFonts w:ascii="宋体" w:hAnsi="宋体"/>
                <w:sz w:val="24"/>
              </w:rPr>
            </w:pPr>
            <w:r>
              <w:rPr>
                <w:rFonts w:ascii="宋体" w:hAnsi="宋体"/>
                <w:sz w:val="24"/>
              </w:rPr>
              <w:t>医学影像信息系统（PACS/RIS）（包含放射、超声）</w:t>
            </w:r>
          </w:p>
        </w:tc>
        <w:tc>
          <w:tcPr>
            <w:tcW w:w="1843" w:type="dxa"/>
            <w:noWrap w:val="0"/>
            <w:vAlign w:val="center"/>
          </w:tcPr>
          <w:p>
            <w:pPr>
              <w:spacing w:line="360" w:lineRule="auto"/>
              <w:jc w:val="center"/>
              <w:rPr>
                <w:rFonts w:ascii="宋体" w:hAnsi="宋体"/>
                <w:sz w:val="24"/>
              </w:rPr>
            </w:pPr>
            <w:r>
              <w:rPr>
                <w:rFonts w:hint="eastAsia" w:ascii="宋体" w:hAnsi="宋体"/>
                <w:sz w:val="24"/>
              </w:rPr>
              <w:t>1</w:t>
            </w:r>
          </w:p>
        </w:tc>
        <w:tc>
          <w:tcPr>
            <w:tcW w:w="1701" w:type="dxa"/>
            <w:noWrap w:val="0"/>
            <w:vAlign w:val="center"/>
          </w:tcPr>
          <w:p>
            <w:pPr>
              <w:jc w:val="center"/>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jc w:val="center"/>
        </w:trPr>
        <w:tc>
          <w:tcPr>
            <w:tcW w:w="1276" w:type="dxa"/>
            <w:noWrap w:val="0"/>
            <w:vAlign w:val="center"/>
          </w:tcPr>
          <w:p>
            <w:pPr>
              <w:pStyle w:val="79"/>
              <w:numPr>
                <w:ilvl w:val="0"/>
                <w:numId w:val="7"/>
              </w:numPr>
              <w:spacing w:line="360" w:lineRule="auto"/>
              <w:ind w:hanging="386" w:firstLineChars="0"/>
              <w:jc w:val="center"/>
              <w:rPr>
                <w:rFonts w:ascii="宋体" w:hAnsi="宋体"/>
                <w:b/>
                <w:sz w:val="24"/>
              </w:rPr>
            </w:pPr>
          </w:p>
        </w:tc>
        <w:tc>
          <w:tcPr>
            <w:tcW w:w="4389" w:type="dxa"/>
            <w:noWrap w:val="0"/>
            <w:vAlign w:val="center"/>
          </w:tcPr>
          <w:p>
            <w:pPr>
              <w:spacing w:line="360" w:lineRule="auto"/>
              <w:rPr>
                <w:rFonts w:ascii="宋体" w:hAnsi="宋体"/>
                <w:sz w:val="24"/>
              </w:rPr>
            </w:pPr>
            <w:r>
              <w:rPr>
                <w:rFonts w:ascii="宋体" w:hAnsi="宋体"/>
                <w:sz w:val="24"/>
              </w:rPr>
              <w:t>心电系统</w:t>
            </w:r>
          </w:p>
        </w:tc>
        <w:tc>
          <w:tcPr>
            <w:tcW w:w="1843" w:type="dxa"/>
            <w:noWrap w:val="0"/>
            <w:vAlign w:val="center"/>
          </w:tcPr>
          <w:p>
            <w:pPr>
              <w:spacing w:line="360" w:lineRule="auto"/>
              <w:jc w:val="center"/>
              <w:rPr>
                <w:rFonts w:ascii="宋体" w:hAnsi="宋体"/>
                <w:sz w:val="24"/>
              </w:rPr>
            </w:pPr>
            <w:r>
              <w:rPr>
                <w:rFonts w:hint="eastAsia" w:ascii="宋体" w:hAnsi="宋体"/>
                <w:sz w:val="24"/>
              </w:rPr>
              <w:t>1</w:t>
            </w:r>
          </w:p>
        </w:tc>
        <w:tc>
          <w:tcPr>
            <w:tcW w:w="1701" w:type="dxa"/>
            <w:noWrap w:val="0"/>
            <w:vAlign w:val="center"/>
          </w:tcPr>
          <w:p>
            <w:pPr>
              <w:jc w:val="center"/>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jc w:val="center"/>
        </w:trPr>
        <w:tc>
          <w:tcPr>
            <w:tcW w:w="1276" w:type="dxa"/>
            <w:noWrap w:val="0"/>
            <w:vAlign w:val="center"/>
          </w:tcPr>
          <w:p>
            <w:pPr>
              <w:pStyle w:val="79"/>
              <w:numPr>
                <w:ilvl w:val="0"/>
                <w:numId w:val="7"/>
              </w:numPr>
              <w:spacing w:line="360" w:lineRule="auto"/>
              <w:ind w:hanging="386" w:firstLineChars="0"/>
              <w:jc w:val="center"/>
              <w:rPr>
                <w:rFonts w:ascii="宋体" w:hAnsi="宋体"/>
                <w:b/>
                <w:sz w:val="24"/>
              </w:rPr>
            </w:pPr>
          </w:p>
        </w:tc>
        <w:tc>
          <w:tcPr>
            <w:tcW w:w="4389" w:type="dxa"/>
            <w:noWrap w:val="0"/>
            <w:vAlign w:val="center"/>
          </w:tcPr>
          <w:p>
            <w:pPr>
              <w:spacing w:line="360" w:lineRule="auto"/>
              <w:rPr>
                <w:rFonts w:ascii="宋体" w:hAnsi="宋体"/>
                <w:sz w:val="24"/>
              </w:rPr>
            </w:pPr>
            <w:r>
              <w:rPr>
                <w:rFonts w:hint="eastAsia" w:ascii="宋体" w:hAnsi="宋体"/>
                <w:sz w:val="24"/>
              </w:rPr>
              <w:t>院内感染系统</w:t>
            </w:r>
          </w:p>
        </w:tc>
        <w:tc>
          <w:tcPr>
            <w:tcW w:w="1843" w:type="dxa"/>
            <w:noWrap w:val="0"/>
            <w:vAlign w:val="center"/>
          </w:tcPr>
          <w:p>
            <w:pPr>
              <w:spacing w:line="360" w:lineRule="auto"/>
              <w:jc w:val="center"/>
              <w:rPr>
                <w:rFonts w:ascii="宋体" w:hAnsi="宋体"/>
                <w:sz w:val="24"/>
              </w:rPr>
            </w:pPr>
            <w:r>
              <w:rPr>
                <w:rFonts w:hint="eastAsia" w:ascii="宋体" w:hAnsi="宋体"/>
                <w:sz w:val="24"/>
              </w:rPr>
              <w:t>1</w:t>
            </w:r>
          </w:p>
        </w:tc>
        <w:tc>
          <w:tcPr>
            <w:tcW w:w="1701" w:type="dxa"/>
            <w:noWrap w:val="0"/>
            <w:vAlign w:val="center"/>
          </w:tcPr>
          <w:p>
            <w:pPr>
              <w:jc w:val="center"/>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jc w:val="center"/>
        </w:trPr>
        <w:tc>
          <w:tcPr>
            <w:tcW w:w="1276" w:type="dxa"/>
            <w:noWrap w:val="0"/>
            <w:vAlign w:val="center"/>
          </w:tcPr>
          <w:p>
            <w:pPr>
              <w:pStyle w:val="79"/>
              <w:numPr>
                <w:ilvl w:val="0"/>
                <w:numId w:val="7"/>
              </w:numPr>
              <w:spacing w:line="360" w:lineRule="auto"/>
              <w:ind w:hanging="386" w:firstLineChars="0"/>
              <w:jc w:val="center"/>
              <w:rPr>
                <w:rFonts w:ascii="宋体" w:hAnsi="宋体"/>
                <w:b/>
                <w:sz w:val="24"/>
              </w:rPr>
            </w:pPr>
          </w:p>
        </w:tc>
        <w:tc>
          <w:tcPr>
            <w:tcW w:w="4389" w:type="dxa"/>
            <w:noWrap w:val="0"/>
            <w:vAlign w:val="center"/>
          </w:tcPr>
          <w:p>
            <w:pPr>
              <w:spacing w:line="360" w:lineRule="auto"/>
              <w:rPr>
                <w:rFonts w:ascii="宋体" w:hAnsi="宋体"/>
                <w:sz w:val="24"/>
              </w:rPr>
            </w:pPr>
            <w:r>
              <w:rPr>
                <w:rFonts w:hint="eastAsia" w:ascii="宋体" w:hAnsi="宋体"/>
                <w:sz w:val="24"/>
              </w:rPr>
              <w:t>移动医生、护理</w:t>
            </w:r>
          </w:p>
        </w:tc>
        <w:tc>
          <w:tcPr>
            <w:tcW w:w="1843" w:type="dxa"/>
            <w:noWrap w:val="0"/>
            <w:vAlign w:val="center"/>
          </w:tcPr>
          <w:p>
            <w:pPr>
              <w:spacing w:line="360" w:lineRule="auto"/>
              <w:jc w:val="center"/>
              <w:rPr>
                <w:rFonts w:ascii="宋体" w:hAnsi="宋体"/>
                <w:sz w:val="24"/>
              </w:rPr>
            </w:pPr>
            <w:r>
              <w:rPr>
                <w:rFonts w:ascii="宋体" w:hAnsi="宋体"/>
                <w:sz w:val="24"/>
              </w:rPr>
              <w:t>1</w:t>
            </w:r>
          </w:p>
        </w:tc>
        <w:tc>
          <w:tcPr>
            <w:tcW w:w="1701" w:type="dxa"/>
            <w:noWrap w:val="0"/>
            <w:vAlign w:val="center"/>
          </w:tcPr>
          <w:p>
            <w:pPr>
              <w:jc w:val="center"/>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jc w:val="center"/>
        </w:trPr>
        <w:tc>
          <w:tcPr>
            <w:tcW w:w="1276" w:type="dxa"/>
            <w:noWrap w:val="0"/>
            <w:vAlign w:val="center"/>
          </w:tcPr>
          <w:p>
            <w:pPr>
              <w:pStyle w:val="79"/>
              <w:numPr>
                <w:ilvl w:val="0"/>
                <w:numId w:val="7"/>
              </w:numPr>
              <w:spacing w:line="360" w:lineRule="auto"/>
              <w:ind w:hanging="386" w:firstLineChars="0"/>
              <w:jc w:val="center"/>
              <w:rPr>
                <w:rFonts w:ascii="宋体" w:hAnsi="宋体"/>
                <w:b/>
                <w:sz w:val="24"/>
              </w:rPr>
            </w:pPr>
          </w:p>
        </w:tc>
        <w:tc>
          <w:tcPr>
            <w:tcW w:w="4389" w:type="dxa"/>
            <w:noWrap w:val="0"/>
            <w:vAlign w:val="center"/>
          </w:tcPr>
          <w:p>
            <w:pPr>
              <w:spacing w:line="360" w:lineRule="auto"/>
              <w:rPr>
                <w:rFonts w:ascii="宋体" w:hAnsi="宋体"/>
                <w:sz w:val="24"/>
              </w:rPr>
            </w:pPr>
            <w:r>
              <w:rPr>
                <w:rFonts w:hint="eastAsia" w:ascii="宋体" w:hAnsi="宋体"/>
                <w:sz w:val="24"/>
              </w:rPr>
              <w:t>C</w:t>
            </w:r>
            <w:r>
              <w:rPr>
                <w:rFonts w:ascii="宋体" w:hAnsi="宋体"/>
                <w:sz w:val="24"/>
              </w:rPr>
              <w:t>A</w:t>
            </w:r>
          </w:p>
        </w:tc>
        <w:tc>
          <w:tcPr>
            <w:tcW w:w="1843" w:type="dxa"/>
            <w:noWrap w:val="0"/>
            <w:vAlign w:val="center"/>
          </w:tcPr>
          <w:p>
            <w:pPr>
              <w:spacing w:line="360" w:lineRule="auto"/>
              <w:jc w:val="center"/>
              <w:rPr>
                <w:rFonts w:ascii="宋体" w:hAnsi="宋体"/>
                <w:sz w:val="24"/>
              </w:rPr>
            </w:pPr>
            <w:r>
              <w:rPr>
                <w:rFonts w:hint="eastAsia" w:ascii="宋体" w:hAnsi="宋体"/>
                <w:sz w:val="24"/>
              </w:rPr>
              <w:t>1</w:t>
            </w:r>
          </w:p>
        </w:tc>
        <w:tc>
          <w:tcPr>
            <w:tcW w:w="1701" w:type="dxa"/>
            <w:noWrap w:val="0"/>
            <w:vAlign w:val="center"/>
          </w:tcPr>
          <w:p>
            <w:pPr>
              <w:jc w:val="center"/>
              <w:rPr>
                <w:rFonts w:ascii="宋体" w:hAnsi="宋体"/>
              </w:rPr>
            </w:pPr>
          </w:p>
        </w:tc>
      </w:tr>
    </w:tbl>
    <w:p>
      <w:pPr>
        <w:pStyle w:val="14"/>
        <w:ind w:firstLine="565" w:firstLineChars="176"/>
        <w:rPr>
          <w:b/>
          <w:bCs/>
          <w:sz w:val="32"/>
          <w:szCs w:val="32"/>
        </w:rPr>
      </w:pPr>
    </w:p>
    <w:p>
      <w:pPr>
        <w:spacing w:line="480" w:lineRule="auto"/>
        <w:ind w:left="723" w:hanging="723" w:hangingChars="300"/>
        <w:rPr>
          <w:rFonts w:ascii="宋体" w:hAnsi="宋体"/>
          <w:sz w:val="24"/>
        </w:rPr>
      </w:pPr>
      <w:r>
        <w:rPr>
          <w:rFonts w:ascii="宋体" w:hAnsi="宋体"/>
          <w:b/>
          <w:sz w:val="24"/>
        </w:rPr>
        <w:t>备注：</w:t>
      </w:r>
      <w:r>
        <w:rPr>
          <w:rFonts w:hint="eastAsia" w:ascii="宋体" w:hAnsi="宋体"/>
          <w:sz w:val="24"/>
        </w:rPr>
        <w:t>交钥匙</w:t>
      </w:r>
      <w:r>
        <w:rPr>
          <w:rFonts w:ascii="宋体" w:hAnsi="宋体"/>
          <w:sz w:val="24"/>
        </w:rPr>
        <w:t>工程；</w:t>
      </w:r>
      <w:r>
        <w:rPr>
          <w:rFonts w:hint="eastAsia" w:ascii="宋体" w:hAnsi="宋体"/>
          <w:sz w:val="24"/>
        </w:rPr>
        <w:t>3个月内完成产品验收，电子病历应用水平4级</w:t>
      </w:r>
      <w:r>
        <w:rPr>
          <w:rFonts w:ascii="宋体" w:hAnsi="宋体"/>
          <w:sz w:val="24"/>
        </w:rPr>
        <w:t>评级时完成评级；包含10</w:t>
      </w:r>
      <w:r>
        <w:rPr>
          <w:rFonts w:hint="eastAsia" w:ascii="宋体" w:hAnsi="宋体"/>
          <w:sz w:val="24"/>
        </w:rPr>
        <w:t>个P</w:t>
      </w:r>
      <w:r>
        <w:rPr>
          <w:rFonts w:ascii="宋体" w:hAnsi="宋体"/>
          <w:sz w:val="24"/>
        </w:rPr>
        <w:t>DA和心电</w:t>
      </w:r>
      <w:r>
        <w:rPr>
          <w:rFonts w:hint="eastAsia" w:ascii="宋体" w:hAnsi="宋体"/>
          <w:sz w:val="24"/>
        </w:rPr>
        <w:t>P</w:t>
      </w:r>
      <w:r>
        <w:rPr>
          <w:rFonts w:ascii="宋体" w:hAnsi="宋体"/>
          <w:sz w:val="24"/>
        </w:rPr>
        <w:t>AD 9台质保期叁年，</w:t>
      </w:r>
      <w:r>
        <w:rPr>
          <w:rFonts w:hint="eastAsia" w:ascii="宋体" w:hAnsi="宋体"/>
          <w:sz w:val="24"/>
        </w:rPr>
        <w:t>6个医生查房P</w:t>
      </w:r>
      <w:r>
        <w:rPr>
          <w:rFonts w:ascii="宋体" w:hAnsi="宋体"/>
          <w:sz w:val="24"/>
        </w:rPr>
        <w:t>AD.</w:t>
      </w:r>
    </w:p>
    <w:p/>
    <w:p>
      <w:pPr>
        <w:pStyle w:val="10"/>
        <w:ind w:left="2940"/>
        <w:rPr>
          <w:rFonts w:ascii="宋体" w:hAnsi="宋体" w:cs="宋体"/>
          <w:b/>
          <w:color w:val="000000"/>
          <w:szCs w:val="18"/>
        </w:rPr>
      </w:pPr>
    </w:p>
    <w:p>
      <w:pPr>
        <w:pStyle w:val="7"/>
        <w:spacing w:line="460" w:lineRule="exact"/>
        <w:rPr>
          <w:rFonts w:ascii="华文中宋" w:hAnsi="华文中宋" w:eastAsia="华文中宋"/>
          <w:b/>
          <w:bCs/>
          <w:sz w:val="10"/>
        </w:rPr>
      </w:pPr>
    </w:p>
    <w:p>
      <w:pPr>
        <w:pStyle w:val="4"/>
        <w:tabs>
          <w:tab w:val="left" w:pos="1701"/>
        </w:tabs>
        <w:spacing w:before="10" w:line="360" w:lineRule="auto"/>
        <w:ind w:left="0" w:firstLine="0"/>
        <w:rPr>
          <w:rFonts w:hint="default" w:ascii="宋体" w:hAnsi="宋体" w:eastAsia="宋体"/>
          <w:b/>
          <w:bCs/>
        </w:rPr>
      </w:pPr>
      <w:bookmarkStart w:id="178" w:name="_Toc366168185"/>
      <w:bookmarkStart w:id="179" w:name="_Toc92822035"/>
      <w:r>
        <w:rPr>
          <w:rFonts w:ascii="宋体" w:hAnsi="宋体" w:eastAsia="宋体"/>
          <w:b/>
          <w:bCs/>
        </w:rPr>
        <w:t>一、☆医疗信息集成平台</w:t>
      </w:r>
      <w:bookmarkEnd w:id="178"/>
      <w:bookmarkEnd w:id="179"/>
    </w:p>
    <w:p>
      <w:pPr>
        <w:spacing w:line="360" w:lineRule="auto"/>
        <w:ind w:firstLine="480" w:firstLineChars="200"/>
        <w:rPr>
          <w:rFonts w:ascii="宋体" w:hAnsi="宋体"/>
          <w:sz w:val="24"/>
        </w:rPr>
      </w:pPr>
      <w:bookmarkStart w:id="180" w:name="_Toc403379031"/>
      <w:bookmarkStart w:id="181" w:name="_Toc401685674"/>
      <w:r>
        <w:rPr>
          <w:rFonts w:hint="eastAsia" w:ascii="宋体" w:hAnsi="宋体"/>
          <w:sz w:val="24"/>
        </w:rPr>
        <w:t>1.1总体要求</w:t>
      </w:r>
    </w:p>
    <w:p>
      <w:pPr>
        <w:spacing w:line="360" w:lineRule="auto"/>
        <w:ind w:firstLine="480" w:firstLineChars="200"/>
        <w:rPr>
          <w:rFonts w:ascii="宋体" w:hAnsi="宋体"/>
          <w:sz w:val="24"/>
        </w:rPr>
      </w:pPr>
      <w:r>
        <w:rPr>
          <w:rFonts w:hint="eastAsia" w:ascii="宋体" w:hAnsi="宋体"/>
          <w:sz w:val="24"/>
        </w:rPr>
        <w:t>运行平台：可安装运行于在各种主流操作系统上，并同时支持32及64位操作平台。</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1.1</w:t>
      </w:r>
      <w:r>
        <w:rPr>
          <w:rFonts w:hint="eastAsia" w:ascii="宋体" w:hAnsi="宋体"/>
          <w:sz w:val="24"/>
        </w:rPr>
        <w:t xml:space="preserve"> 操作系统支持</w:t>
      </w:r>
    </w:p>
    <w:p>
      <w:pPr>
        <w:spacing w:line="360" w:lineRule="auto"/>
        <w:ind w:firstLine="480" w:firstLineChars="200"/>
        <w:rPr>
          <w:rFonts w:ascii="宋体" w:hAnsi="宋体"/>
          <w:sz w:val="24"/>
        </w:rPr>
      </w:pPr>
      <w:r>
        <w:rPr>
          <w:rFonts w:hint="eastAsia" w:ascii="宋体" w:hAnsi="宋体"/>
          <w:sz w:val="24"/>
        </w:rPr>
        <w:t>支持跨平台操作系统部署</w:t>
      </w:r>
    </w:p>
    <w:p>
      <w:pPr>
        <w:pStyle w:val="79"/>
        <w:spacing w:line="360" w:lineRule="auto"/>
        <w:ind w:left="420" w:leftChars="200" w:firstLine="900" w:firstLineChars="500"/>
        <w:rPr>
          <w:rFonts w:ascii="宋体" w:hAnsi="宋体"/>
          <w:sz w:val="24"/>
        </w:rPr>
      </w:pPr>
      <w:r>
        <w:rPr>
          <w:rFonts w:hint="eastAsia" w:ascii="宋体" w:hAnsi="宋体" w:cs="宋体"/>
          <w:sz w:val="18"/>
          <w:szCs w:val="18"/>
        </w:rPr>
        <w:t>★</w:t>
      </w:r>
      <w:r>
        <w:rPr>
          <w:rFonts w:ascii="宋体" w:hAnsi="宋体"/>
          <w:sz w:val="24"/>
        </w:rPr>
        <w:t>微软</w:t>
      </w:r>
      <w:r>
        <w:rPr>
          <w:rFonts w:hint="eastAsia" w:ascii="宋体" w:hAnsi="宋体"/>
          <w:sz w:val="24"/>
        </w:rPr>
        <w:t>Window Server 系列</w:t>
      </w:r>
    </w:p>
    <w:p>
      <w:pPr>
        <w:pStyle w:val="79"/>
        <w:spacing w:line="360" w:lineRule="auto"/>
        <w:ind w:left="420" w:leftChars="200" w:firstLine="900" w:firstLineChars="500"/>
        <w:rPr>
          <w:rFonts w:ascii="宋体" w:hAnsi="宋体"/>
          <w:sz w:val="24"/>
        </w:rPr>
      </w:pPr>
      <w:r>
        <w:rPr>
          <w:rFonts w:hint="eastAsia" w:ascii="宋体" w:hAnsi="宋体" w:cs="宋体"/>
          <w:sz w:val="18"/>
          <w:szCs w:val="18"/>
        </w:rPr>
        <w:t>★</w:t>
      </w:r>
      <w:r>
        <w:rPr>
          <w:rFonts w:hint="eastAsia" w:ascii="宋体" w:hAnsi="宋体"/>
          <w:sz w:val="24"/>
        </w:rPr>
        <w:t>Unix系列 (如</w:t>
      </w:r>
      <w:r>
        <w:rPr>
          <w:rFonts w:ascii="宋体" w:hAnsi="宋体" w:cs="Arial"/>
          <w:color w:val="333333"/>
          <w:sz w:val="24"/>
          <w:shd w:val="clear" w:color="auto" w:fill="FFFFFF"/>
        </w:rPr>
        <w:t>RedHat</w:t>
      </w:r>
      <w:r>
        <w:rPr>
          <w:rFonts w:hint="eastAsia" w:ascii="宋体" w:hAnsi="宋体"/>
          <w:sz w:val="24"/>
        </w:rPr>
        <w:t>, CentOS等 )</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1.2</w:t>
      </w:r>
      <w:r>
        <w:rPr>
          <w:rFonts w:hint="eastAsia" w:ascii="宋体" w:hAnsi="宋体"/>
          <w:sz w:val="24"/>
        </w:rPr>
        <w:t>多数据库支持</w:t>
      </w:r>
    </w:p>
    <w:p>
      <w:pPr>
        <w:pStyle w:val="79"/>
        <w:spacing w:line="360" w:lineRule="auto"/>
        <w:ind w:left="420" w:leftChars="200" w:firstLine="900" w:firstLineChars="500"/>
        <w:rPr>
          <w:rFonts w:ascii="宋体" w:hAnsi="宋体"/>
          <w:sz w:val="24"/>
        </w:rPr>
      </w:pPr>
      <w:r>
        <w:rPr>
          <w:rFonts w:hint="eastAsia" w:ascii="宋体" w:hAnsi="宋体" w:cs="宋体"/>
          <w:sz w:val="18"/>
          <w:szCs w:val="18"/>
        </w:rPr>
        <w:t>★</w:t>
      </w:r>
      <w:r>
        <w:rPr>
          <w:rFonts w:hint="eastAsia" w:ascii="宋体" w:hAnsi="宋体"/>
          <w:sz w:val="24"/>
        </w:rPr>
        <w:t>Microsoft ® 微软SQL系列</w:t>
      </w:r>
    </w:p>
    <w:p>
      <w:pPr>
        <w:pStyle w:val="79"/>
        <w:spacing w:line="360" w:lineRule="auto"/>
        <w:ind w:left="420" w:leftChars="200" w:firstLine="900" w:firstLineChars="500"/>
        <w:rPr>
          <w:rFonts w:ascii="宋体" w:hAnsi="宋体"/>
          <w:sz w:val="24"/>
        </w:rPr>
      </w:pPr>
      <w:r>
        <w:rPr>
          <w:rFonts w:hint="eastAsia" w:ascii="宋体" w:hAnsi="宋体" w:cs="宋体"/>
          <w:sz w:val="18"/>
          <w:szCs w:val="18"/>
        </w:rPr>
        <w:t>★</w:t>
      </w:r>
      <w:r>
        <w:rPr>
          <w:rFonts w:hint="eastAsia" w:ascii="宋体" w:hAnsi="宋体"/>
          <w:sz w:val="24"/>
        </w:rPr>
        <w:t>Oracle甲骨文系列</w:t>
      </w:r>
    </w:p>
    <w:p>
      <w:pPr>
        <w:pStyle w:val="79"/>
        <w:spacing w:line="360" w:lineRule="auto"/>
        <w:ind w:left="420" w:leftChars="200" w:firstLine="900" w:firstLineChars="500"/>
        <w:rPr>
          <w:rFonts w:ascii="宋体" w:hAnsi="宋体"/>
          <w:sz w:val="24"/>
        </w:rPr>
      </w:pPr>
      <w:r>
        <w:rPr>
          <w:rFonts w:hint="eastAsia" w:ascii="宋体" w:hAnsi="宋体" w:cs="宋体"/>
          <w:sz w:val="18"/>
          <w:szCs w:val="18"/>
        </w:rPr>
        <w:t>★</w:t>
      </w:r>
      <w:r>
        <w:rPr>
          <w:rFonts w:hint="eastAsia" w:ascii="宋体" w:hAnsi="宋体"/>
          <w:sz w:val="24"/>
        </w:rPr>
        <w:t>MySQL</w:t>
      </w:r>
    </w:p>
    <w:p>
      <w:pPr>
        <w:pStyle w:val="79"/>
        <w:spacing w:line="360" w:lineRule="auto"/>
        <w:ind w:left="420" w:leftChars="200" w:firstLine="900" w:firstLineChars="500"/>
        <w:rPr>
          <w:rFonts w:ascii="宋体" w:hAnsi="宋体"/>
          <w:sz w:val="24"/>
        </w:rPr>
      </w:pPr>
      <w:r>
        <w:rPr>
          <w:rFonts w:hint="eastAsia" w:ascii="宋体" w:hAnsi="宋体" w:cs="宋体"/>
          <w:sz w:val="18"/>
          <w:szCs w:val="18"/>
        </w:rPr>
        <w:t>★</w:t>
      </w:r>
      <w:r>
        <w:rPr>
          <w:rFonts w:hint="eastAsia" w:ascii="宋体" w:hAnsi="宋体"/>
          <w:sz w:val="24"/>
        </w:rPr>
        <w:t>PostgreSQL</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1.3</w:t>
      </w:r>
      <w:r>
        <w:rPr>
          <w:rFonts w:hint="eastAsia" w:ascii="宋体" w:hAnsi="宋体"/>
          <w:sz w:val="24"/>
        </w:rPr>
        <w:t xml:space="preserve"> 全面的医疗标准支持</w:t>
      </w:r>
    </w:p>
    <w:p>
      <w:pPr>
        <w:pStyle w:val="79"/>
        <w:spacing w:line="360" w:lineRule="auto"/>
        <w:ind w:left="420" w:leftChars="200" w:firstLine="900" w:firstLineChars="500"/>
        <w:rPr>
          <w:rFonts w:ascii="宋体" w:hAnsi="宋体"/>
          <w:sz w:val="24"/>
        </w:rPr>
      </w:pPr>
      <w:r>
        <w:rPr>
          <w:rFonts w:hint="eastAsia" w:ascii="宋体" w:hAnsi="宋体" w:cs="宋体"/>
          <w:sz w:val="18"/>
          <w:szCs w:val="18"/>
        </w:rPr>
        <w:t>★</w:t>
      </w:r>
      <w:r>
        <w:rPr>
          <w:rFonts w:hint="eastAsia" w:ascii="宋体" w:hAnsi="宋体"/>
          <w:sz w:val="24"/>
        </w:rPr>
        <w:t>HL7 V2+V3</w:t>
      </w:r>
    </w:p>
    <w:p>
      <w:pPr>
        <w:pStyle w:val="79"/>
        <w:spacing w:line="360" w:lineRule="auto"/>
        <w:ind w:left="420" w:leftChars="200" w:firstLine="900" w:firstLineChars="500"/>
        <w:rPr>
          <w:rFonts w:ascii="宋体" w:hAnsi="宋体"/>
          <w:sz w:val="24"/>
        </w:rPr>
      </w:pPr>
      <w:r>
        <w:rPr>
          <w:rFonts w:hint="eastAsia" w:ascii="宋体" w:hAnsi="宋体" w:cs="宋体"/>
          <w:sz w:val="18"/>
          <w:szCs w:val="18"/>
        </w:rPr>
        <w:t>★</w:t>
      </w:r>
      <w:r>
        <w:rPr>
          <w:rFonts w:hint="eastAsia" w:ascii="宋体" w:hAnsi="宋体"/>
          <w:sz w:val="24"/>
        </w:rPr>
        <w:t>EDI/X12</w:t>
      </w:r>
    </w:p>
    <w:p>
      <w:pPr>
        <w:pStyle w:val="79"/>
        <w:spacing w:line="360" w:lineRule="auto"/>
        <w:ind w:left="420" w:leftChars="200" w:firstLine="900" w:firstLineChars="500"/>
        <w:rPr>
          <w:rFonts w:ascii="宋体" w:hAnsi="宋体"/>
          <w:sz w:val="24"/>
        </w:rPr>
      </w:pPr>
      <w:r>
        <w:rPr>
          <w:rFonts w:hint="eastAsia" w:ascii="宋体" w:hAnsi="宋体" w:cs="宋体"/>
          <w:sz w:val="18"/>
          <w:szCs w:val="18"/>
        </w:rPr>
        <w:t>★</w:t>
      </w:r>
      <w:r>
        <w:rPr>
          <w:rFonts w:hint="eastAsia" w:ascii="宋体" w:hAnsi="宋体"/>
          <w:sz w:val="24"/>
        </w:rPr>
        <w:t>XML (XSLT解析)</w:t>
      </w:r>
    </w:p>
    <w:p>
      <w:pPr>
        <w:pStyle w:val="79"/>
        <w:spacing w:line="360" w:lineRule="auto"/>
        <w:ind w:left="420" w:leftChars="200" w:firstLine="900" w:firstLineChars="500"/>
        <w:rPr>
          <w:rFonts w:ascii="宋体" w:hAnsi="宋体"/>
          <w:sz w:val="24"/>
        </w:rPr>
      </w:pPr>
      <w:r>
        <w:rPr>
          <w:rFonts w:hint="eastAsia" w:ascii="宋体" w:hAnsi="宋体" w:cs="宋体"/>
          <w:sz w:val="18"/>
          <w:szCs w:val="18"/>
        </w:rPr>
        <w:t>★</w:t>
      </w:r>
      <w:r>
        <w:rPr>
          <w:rFonts w:hint="eastAsia" w:ascii="宋体" w:hAnsi="宋体"/>
          <w:sz w:val="24"/>
        </w:rPr>
        <w:t>NCPDP</w:t>
      </w:r>
    </w:p>
    <w:p>
      <w:pPr>
        <w:pStyle w:val="79"/>
        <w:spacing w:line="360" w:lineRule="auto"/>
        <w:ind w:left="420" w:leftChars="200" w:firstLine="900" w:firstLineChars="500"/>
        <w:rPr>
          <w:rFonts w:ascii="宋体" w:hAnsi="宋体"/>
          <w:sz w:val="24"/>
        </w:rPr>
      </w:pPr>
      <w:r>
        <w:rPr>
          <w:rFonts w:hint="eastAsia" w:ascii="宋体" w:hAnsi="宋体" w:cs="宋体"/>
          <w:sz w:val="18"/>
          <w:szCs w:val="18"/>
        </w:rPr>
        <w:t>★</w:t>
      </w:r>
      <w:r>
        <w:rPr>
          <w:rFonts w:hint="eastAsia" w:ascii="宋体" w:hAnsi="宋体"/>
          <w:sz w:val="24"/>
        </w:rPr>
        <w:t>DICOM</w:t>
      </w:r>
    </w:p>
    <w:p>
      <w:pPr>
        <w:pStyle w:val="79"/>
        <w:spacing w:line="360" w:lineRule="auto"/>
        <w:ind w:left="420" w:leftChars="200" w:firstLine="900" w:firstLineChars="500"/>
        <w:rPr>
          <w:rFonts w:ascii="宋体" w:hAnsi="宋体"/>
          <w:sz w:val="24"/>
        </w:rPr>
      </w:pPr>
      <w:r>
        <w:rPr>
          <w:rFonts w:hint="eastAsia" w:ascii="宋体" w:hAnsi="宋体" w:cs="宋体"/>
          <w:sz w:val="18"/>
          <w:szCs w:val="18"/>
        </w:rPr>
        <w:t>★</w:t>
      </w:r>
      <w:r>
        <w:rPr>
          <w:rFonts w:hint="eastAsia" w:ascii="宋体" w:hAnsi="宋体"/>
          <w:sz w:val="24"/>
        </w:rPr>
        <w:t>Delimited</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1.4</w:t>
      </w:r>
      <w:r>
        <w:rPr>
          <w:rFonts w:hint="eastAsia" w:ascii="宋体" w:hAnsi="宋体"/>
          <w:sz w:val="24"/>
        </w:rPr>
        <w:t xml:space="preserve"> 强大的通信协议支持能力</w:t>
      </w:r>
    </w:p>
    <w:p>
      <w:pPr>
        <w:pStyle w:val="79"/>
        <w:spacing w:line="360" w:lineRule="auto"/>
        <w:ind w:left="420" w:leftChars="200" w:firstLine="900" w:firstLineChars="500"/>
        <w:rPr>
          <w:rFonts w:ascii="宋体" w:hAnsi="宋体"/>
          <w:sz w:val="24"/>
        </w:rPr>
      </w:pPr>
      <w:r>
        <w:rPr>
          <w:rFonts w:hint="eastAsia" w:ascii="宋体" w:hAnsi="宋体" w:cs="宋体"/>
          <w:sz w:val="18"/>
          <w:szCs w:val="18"/>
        </w:rPr>
        <w:t>★</w:t>
      </w:r>
      <w:r>
        <w:rPr>
          <w:rFonts w:hint="eastAsia" w:ascii="宋体" w:hAnsi="宋体"/>
          <w:sz w:val="24"/>
        </w:rPr>
        <w:t>TCP/LLF</w:t>
      </w:r>
    </w:p>
    <w:p>
      <w:pPr>
        <w:pStyle w:val="79"/>
        <w:spacing w:line="360" w:lineRule="auto"/>
        <w:ind w:left="420" w:leftChars="200" w:firstLine="900" w:firstLineChars="500"/>
        <w:rPr>
          <w:rFonts w:ascii="宋体" w:hAnsi="宋体"/>
          <w:sz w:val="24"/>
        </w:rPr>
      </w:pPr>
      <w:r>
        <w:rPr>
          <w:rFonts w:hint="eastAsia" w:ascii="宋体" w:hAnsi="宋体" w:cs="宋体"/>
          <w:sz w:val="18"/>
          <w:szCs w:val="18"/>
        </w:rPr>
        <w:t>★</w:t>
      </w:r>
      <w:r>
        <w:rPr>
          <w:rFonts w:ascii="宋体" w:hAnsi="宋体"/>
          <w:sz w:val="24"/>
        </w:rPr>
        <w:t>Http</w:t>
      </w:r>
    </w:p>
    <w:p>
      <w:pPr>
        <w:pStyle w:val="79"/>
        <w:spacing w:line="360" w:lineRule="auto"/>
        <w:ind w:left="420" w:leftChars="200" w:firstLine="900" w:firstLineChars="500"/>
        <w:rPr>
          <w:rFonts w:ascii="宋体" w:hAnsi="宋体"/>
          <w:sz w:val="24"/>
        </w:rPr>
      </w:pPr>
      <w:r>
        <w:rPr>
          <w:rFonts w:hint="eastAsia" w:ascii="宋体" w:hAnsi="宋体" w:cs="宋体"/>
          <w:sz w:val="18"/>
          <w:szCs w:val="18"/>
        </w:rPr>
        <w:t>★</w:t>
      </w:r>
      <w:r>
        <w:rPr>
          <w:rFonts w:hint="eastAsia" w:ascii="宋体" w:hAnsi="宋体"/>
          <w:sz w:val="24"/>
        </w:rPr>
        <w:t>JDBC (支持所有主流的应用数据库类型连接和通信如SQL Server、Oracle、MySQL 、DB2、Maria DB、MongoDB等)</w:t>
      </w:r>
    </w:p>
    <w:p>
      <w:pPr>
        <w:pStyle w:val="79"/>
        <w:spacing w:line="360" w:lineRule="auto"/>
        <w:ind w:left="420" w:leftChars="200" w:firstLine="900" w:firstLineChars="500"/>
        <w:rPr>
          <w:rFonts w:ascii="宋体" w:hAnsi="宋体"/>
          <w:sz w:val="24"/>
        </w:rPr>
      </w:pPr>
      <w:r>
        <w:rPr>
          <w:rFonts w:hint="eastAsia" w:ascii="宋体" w:hAnsi="宋体" w:cs="宋体"/>
          <w:sz w:val="18"/>
          <w:szCs w:val="18"/>
        </w:rPr>
        <w:t>★</w:t>
      </w:r>
      <w:r>
        <w:rPr>
          <w:rFonts w:hint="eastAsia" w:ascii="宋体" w:hAnsi="宋体"/>
          <w:sz w:val="24"/>
        </w:rPr>
        <w:t>FTP</w:t>
      </w:r>
    </w:p>
    <w:p>
      <w:pPr>
        <w:pStyle w:val="79"/>
        <w:spacing w:line="360" w:lineRule="auto"/>
        <w:ind w:left="420" w:leftChars="200" w:firstLine="900" w:firstLineChars="500"/>
        <w:rPr>
          <w:rFonts w:ascii="宋体" w:hAnsi="宋体"/>
          <w:sz w:val="24"/>
        </w:rPr>
      </w:pPr>
      <w:r>
        <w:rPr>
          <w:rFonts w:hint="eastAsia" w:ascii="宋体" w:hAnsi="宋体" w:cs="宋体"/>
          <w:sz w:val="18"/>
          <w:szCs w:val="18"/>
        </w:rPr>
        <w:t>★</w:t>
      </w:r>
      <w:r>
        <w:rPr>
          <w:rFonts w:hint="eastAsia" w:ascii="宋体" w:hAnsi="宋体"/>
          <w:sz w:val="24"/>
        </w:rPr>
        <w:t>SFTP</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1.5</w:t>
      </w:r>
      <w:r>
        <w:rPr>
          <w:rFonts w:hint="eastAsia" w:ascii="宋体" w:hAnsi="宋体"/>
          <w:sz w:val="24"/>
        </w:rPr>
        <w:t xml:space="preserve"> 其它功能</w:t>
      </w:r>
    </w:p>
    <w:p>
      <w:pPr>
        <w:pStyle w:val="79"/>
        <w:spacing w:line="360" w:lineRule="auto"/>
        <w:ind w:left="420" w:leftChars="200" w:firstLine="900" w:firstLineChars="500"/>
        <w:rPr>
          <w:rFonts w:ascii="宋体" w:hAnsi="宋体"/>
          <w:sz w:val="24"/>
        </w:rPr>
      </w:pPr>
      <w:r>
        <w:rPr>
          <w:rFonts w:hint="eastAsia" w:ascii="宋体" w:hAnsi="宋体" w:cs="宋体"/>
          <w:sz w:val="18"/>
          <w:szCs w:val="18"/>
        </w:rPr>
        <w:t>★</w:t>
      </w:r>
      <w:r>
        <w:rPr>
          <w:rFonts w:ascii="宋体" w:hAnsi="宋体"/>
          <w:sz w:val="24"/>
        </w:rPr>
        <w:t>运行状态及日志监测</w:t>
      </w:r>
    </w:p>
    <w:p>
      <w:pPr>
        <w:pStyle w:val="79"/>
        <w:spacing w:line="360" w:lineRule="auto"/>
        <w:ind w:left="420" w:leftChars="200" w:firstLine="900" w:firstLineChars="500"/>
        <w:rPr>
          <w:rFonts w:ascii="宋体" w:hAnsi="宋体"/>
          <w:sz w:val="24"/>
        </w:rPr>
      </w:pPr>
      <w:r>
        <w:rPr>
          <w:rFonts w:hint="eastAsia" w:ascii="宋体" w:hAnsi="宋体" w:cs="宋体"/>
          <w:sz w:val="18"/>
          <w:szCs w:val="18"/>
        </w:rPr>
        <w:t>★</w:t>
      </w:r>
      <w:r>
        <w:rPr>
          <w:rFonts w:hint="eastAsia" w:ascii="宋体" w:hAnsi="宋体"/>
          <w:sz w:val="24"/>
        </w:rPr>
        <w:t>自定义Web Service接口支持，HTTP  Lis</w:t>
      </w:r>
      <w:r>
        <w:rPr>
          <w:rFonts w:ascii="宋体" w:hAnsi="宋体"/>
          <w:sz w:val="24"/>
        </w:rPr>
        <w:t>t</w:t>
      </w:r>
      <w:r>
        <w:rPr>
          <w:rFonts w:hint="eastAsia" w:ascii="宋体" w:hAnsi="宋体"/>
          <w:sz w:val="24"/>
        </w:rPr>
        <w:t>ener</w:t>
      </w:r>
    </w:p>
    <w:p>
      <w:pPr>
        <w:pStyle w:val="79"/>
        <w:spacing w:line="360" w:lineRule="auto"/>
        <w:ind w:left="420" w:leftChars="200" w:firstLine="900" w:firstLineChars="500"/>
        <w:rPr>
          <w:rFonts w:ascii="宋体" w:hAnsi="宋体"/>
          <w:sz w:val="24"/>
        </w:rPr>
      </w:pPr>
      <w:r>
        <w:rPr>
          <w:rFonts w:hint="eastAsia" w:ascii="宋体" w:hAnsi="宋体" w:cs="宋体"/>
          <w:sz w:val="18"/>
          <w:szCs w:val="18"/>
        </w:rPr>
        <w:t>★</w:t>
      </w:r>
      <w:r>
        <w:rPr>
          <w:rFonts w:ascii="宋体" w:hAnsi="宋体"/>
          <w:sz w:val="24"/>
        </w:rPr>
        <w:t>自定义</w:t>
      </w:r>
      <w:r>
        <w:rPr>
          <w:rFonts w:hint="eastAsia" w:ascii="宋体" w:hAnsi="宋体"/>
          <w:sz w:val="24"/>
        </w:rPr>
        <w:t>JAVA外挂</w:t>
      </w:r>
      <w:r>
        <w:rPr>
          <w:rFonts w:ascii="宋体" w:hAnsi="宋体"/>
          <w:sz w:val="24"/>
        </w:rPr>
        <w:t>插件支持，对于复杂的业务数据处理流程，可以通过</w:t>
      </w:r>
      <w:r>
        <w:rPr>
          <w:rFonts w:hint="eastAsia" w:ascii="宋体" w:hAnsi="宋体"/>
          <w:sz w:val="24"/>
        </w:rPr>
        <w:t>Javascript脚本对业务数据进行处理。</w:t>
      </w:r>
    </w:p>
    <w:p>
      <w:pPr>
        <w:pStyle w:val="79"/>
        <w:spacing w:line="360" w:lineRule="auto"/>
        <w:ind w:left="420" w:leftChars="200" w:firstLine="900" w:firstLineChars="500"/>
        <w:rPr>
          <w:rFonts w:ascii="宋体" w:hAnsi="宋体"/>
          <w:sz w:val="24"/>
        </w:rPr>
      </w:pPr>
      <w:r>
        <w:rPr>
          <w:rFonts w:hint="eastAsia" w:ascii="宋体" w:hAnsi="宋体" w:cs="宋体"/>
          <w:sz w:val="18"/>
          <w:szCs w:val="18"/>
        </w:rPr>
        <w:t>★</w:t>
      </w:r>
      <w:r>
        <w:rPr>
          <w:rFonts w:hint="eastAsia" w:ascii="宋体" w:hAnsi="宋体"/>
          <w:sz w:val="24"/>
        </w:rPr>
        <w:t>自定义数据类型及数据格式转换、传输过程数据处理</w:t>
      </w:r>
    </w:p>
    <w:p>
      <w:pPr>
        <w:spacing w:line="360" w:lineRule="auto"/>
        <w:ind w:firstLine="480" w:firstLineChars="200"/>
        <w:rPr>
          <w:rFonts w:ascii="宋体" w:hAnsi="宋体"/>
          <w:sz w:val="24"/>
        </w:rPr>
      </w:pPr>
      <w:r>
        <w:rPr>
          <w:rFonts w:hint="eastAsia" w:ascii="宋体" w:hAnsi="宋体"/>
          <w:sz w:val="24"/>
        </w:rPr>
        <w:t>1.1.</w:t>
      </w:r>
      <w:r>
        <w:rPr>
          <w:rFonts w:ascii="宋体" w:hAnsi="宋体"/>
          <w:sz w:val="24"/>
        </w:rPr>
        <w:t xml:space="preserve">6 </w:t>
      </w:r>
      <w:r>
        <w:rPr>
          <w:rFonts w:hint="eastAsia" w:ascii="宋体" w:hAnsi="宋体"/>
          <w:sz w:val="24"/>
        </w:rPr>
        <w:t>界面管理：门户平台拥有管理工具可以在P</w:t>
      </w:r>
      <w:r>
        <w:rPr>
          <w:rFonts w:ascii="宋体" w:hAnsi="宋体"/>
          <w:sz w:val="24"/>
        </w:rPr>
        <w:t>C、</w:t>
      </w:r>
      <w:r>
        <w:rPr>
          <w:rFonts w:hint="eastAsia" w:ascii="宋体" w:hAnsi="宋体"/>
          <w:sz w:val="24"/>
        </w:rPr>
        <w:t>P</w:t>
      </w:r>
      <w:r>
        <w:rPr>
          <w:rFonts w:ascii="宋体" w:hAnsi="宋体"/>
          <w:sz w:val="24"/>
        </w:rPr>
        <w:t>AD、移动电脑等</w:t>
      </w:r>
      <w:r>
        <w:rPr>
          <w:rFonts w:hint="eastAsia" w:ascii="宋体" w:hAnsi="宋体"/>
          <w:sz w:val="24"/>
        </w:rPr>
        <w:t>设备上运行，可以随时监控界面（支持中文），并在必要时发送通知和警告。</w:t>
      </w:r>
    </w:p>
    <w:p>
      <w:pPr>
        <w:spacing w:line="360" w:lineRule="auto"/>
        <w:ind w:firstLine="480" w:firstLineChars="200"/>
        <w:rPr>
          <w:rFonts w:ascii="宋体" w:hAnsi="宋体"/>
          <w:sz w:val="24"/>
        </w:rPr>
      </w:pPr>
      <w:r>
        <w:rPr>
          <w:rFonts w:hint="eastAsia" w:ascii="宋体" w:hAnsi="宋体"/>
          <w:sz w:val="24"/>
        </w:rPr>
        <w:t>1.1.</w:t>
      </w:r>
      <w:r>
        <w:rPr>
          <w:rFonts w:ascii="宋体" w:hAnsi="宋体"/>
          <w:sz w:val="24"/>
        </w:rPr>
        <w:t>7</w:t>
      </w:r>
      <w:r>
        <w:rPr>
          <w:rFonts w:hint="eastAsia" w:ascii="宋体" w:hAnsi="宋体"/>
          <w:sz w:val="24"/>
        </w:rPr>
        <w:t xml:space="preserve"> 安全监控允许访问：所有错误和审查日志、故障诊断工具、系统状态信息、数据管理设置、强大的信息搜寻功能、性能监控。</w:t>
      </w:r>
    </w:p>
    <w:p>
      <w:pPr>
        <w:spacing w:line="360" w:lineRule="auto"/>
        <w:ind w:firstLine="480" w:firstLineChars="200"/>
        <w:rPr>
          <w:rFonts w:ascii="宋体" w:hAnsi="宋体"/>
          <w:sz w:val="24"/>
        </w:rPr>
      </w:pPr>
      <w:r>
        <w:rPr>
          <w:rFonts w:hint="eastAsia" w:ascii="宋体" w:hAnsi="宋体"/>
          <w:sz w:val="24"/>
        </w:rPr>
        <w:t>1.1.</w:t>
      </w:r>
      <w:r>
        <w:rPr>
          <w:rFonts w:ascii="宋体" w:hAnsi="宋体"/>
          <w:sz w:val="24"/>
        </w:rPr>
        <w:t>8</w:t>
      </w:r>
      <w:r>
        <w:rPr>
          <w:rFonts w:hint="eastAsia" w:ascii="宋体" w:hAnsi="宋体"/>
          <w:sz w:val="24"/>
        </w:rPr>
        <w:t>可扩充性和升级能力：系统建设采用零编程和面向服务设计技术，对于其可扩充性和升级能力必须有强力的支持。</w:t>
      </w:r>
    </w:p>
    <w:p>
      <w:pPr>
        <w:spacing w:line="360" w:lineRule="auto"/>
        <w:ind w:firstLine="482" w:firstLineChars="200"/>
        <w:rPr>
          <w:rFonts w:ascii="宋体" w:hAnsi="宋体"/>
          <w:b/>
          <w:bCs/>
          <w:color w:val="000000"/>
          <w:sz w:val="24"/>
        </w:rPr>
      </w:pPr>
      <w:r>
        <w:rPr>
          <w:rFonts w:hint="eastAsia" w:ascii="宋体" w:hAnsi="宋体"/>
          <w:b/>
          <w:bCs/>
          <w:color w:val="000000"/>
          <w:sz w:val="24"/>
        </w:rPr>
        <w:t>★1.1.</w:t>
      </w:r>
      <w:r>
        <w:rPr>
          <w:rFonts w:ascii="宋体" w:hAnsi="宋体"/>
          <w:b/>
          <w:bCs/>
          <w:color w:val="000000"/>
          <w:sz w:val="24"/>
        </w:rPr>
        <w:t>9</w:t>
      </w:r>
      <w:r>
        <w:rPr>
          <w:rFonts w:hint="eastAsia" w:ascii="宋体" w:hAnsi="宋体"/>
          <w:b/>
          <w:bCs/>
          <w:color w:val="000000"/>
          <w:sz w:val="24"/>
        </w:rPr>
        <w:t>产品开发技术：参与投标产品必须使用</w:t>
      </w:r>
      <w:r>
        <w:rPr>
          <w:rFonts w:ascii="宋体" w:hAnsi="宋体"/>
          <w:b/>
          <w:bCs/>
          <w:color w:val="000000"/>
          <w:sz w:val="24"/>
        </w:rPr>
        <w:t>Java</w:t>
      </w:r>
      <w:r>
        <w:rPr>
          <w:rFonts w:hint="eastAsia" w:ascii="宋体" w:hAnsi="宋体"/>
          <w:b/>
          <w:bCs/>
          <w:color w:val="000000"/>
          <w:sz w:val="24"/>
        </w:rPr>
        <w:t>开源技术开发。不能使用私有技术开发。（截图证明并加盖公章）</w:t>
      </w:r>
    </w:p>
    <w:p>
      <w:pPr>
        <w:spacing w:line="360" w:lineRule="auto"/>
        <w:ind w:firstLine="480" w:firstLineChars="200"/>
        <w:rPr>
          <w:rFonts w:ascii="宋体" w:hAnsi="宋体"/>
          <w:sz w:val="24"/>
        </w:rPr>
      </w:pPr>
      <w:r>
        <w:rPr>
          <w:rFonts w:hint="eastAsia" w:ascii="宋体" w:hAnsi="宋体"/>
          <w:sz w:val="24"/>
        </w:rPr>
        <w:t>1.1.</w:t>
      </w:r>
      <w:r>
        <w:rPr>
          <w:rFonts w:ascii="宋体" w:hAnsi="宋体"/>
          <w:sz w:val="24"/>
        </w:rPr>
        <w:t>10</w:t>
      </w:r>
      <w:r>
        <w:rPr>
          <w:rFonts w:hint="eastAsia" w:ascii="宋体" w:hAnsi="宋体"/>
          <w:sz w:val="24"/>
        </w:rPr>
        <w:t>平台中中间件附加功能模块：中间件产品可以另外附加</w:t>
      </w:r>
      <w:r>
        <w:rPr>
          <w:rFonts w:ascii="宋体" w:hAnsi="宋体"/>
          <w:sz w:val="24"/>
        </w:rPr>
        <w:t>IHE</w:t>
      </w:r>
      <w:r>
        <w:rPr>
          <w:rFonts w:hint="eastAsia" w:ascii="宋体" w:hAnsi="宋体"/>
          <w:sz w:val="24"/>
        </w:rPr>
        <w:t>功能模块，用来简化连通</w:t>
      </w:r>
      <w:r>
        <w:rPr>
          <w:rFonts w:ascii="宋体" w:hAnsi="宋体"/>
          <w:sz w:val="24"/>
        </w:rPr>
        <w:t>IHE</w:t>
      </w:r>
      <w:r>
        <w:rPr>
          <w:rFonts w:hint="eastAsia" w:ascii="宋体" w:hAnsi="宋体"/>
          <w:sz w:val="24"/>
        </w:rPr>
        <w:t>的工作。</w:t>
      </w:r>
    </w:p>
    <w:p>
      <w:pPr>
        <w:spacing w:line="360" w:lineRule="auto"/>
        <w:ind w:firstLine="480" w:firstLineChars="200"/>
        <w:rPr>
          <w:rFonts w:ascii="宋体" w:hAnsi="宋体"/>
          <w:sz w:val="24"/>
        </w:rPr>
      </w:pPr>
      <w:r>
        <w:rPr>
          <w:rFonts w:hint="eastAsia" w:ascii="宋体" w:hAnsi="宋体"/>
          <w:sz w:val="24"/>
        </w:rPr>
        <w:t>1.1.</w:t>
      </w:r>
      <w:r>
        <w:rPr>
          <w:rFonts w:ascii="宋体" w:hAnsi="宋体"/>
          <w:sz w:val="24"/>
        </w:rPr>
        <w:t>11</w:t>
      </w:r>
      <w:r>
        <w:rPr>
          <w:rFonts w:hint="eastAsia" w:ascii="宋体" w:hAnsi="宋体"/>
          <w:sz w:val="24"/>
        </w:rPr>
        <w:t>医疗信息交换标准协议服务：平台中间件需完整提供下列协议服务：消息及数据格式</w:t>
      </w:r>
      <w:r>
        <w:rPr>
          <w:rFonts w:ascii="宋体" w:hAnsi="宋体"/>
          <w:sz w:val="24"/>
        </w:rPr>
        <w:t>：HL7，XML，IHE；ASTM；DICOM</w:t>
      </w:r>
      <w:r>
        <w:rPr>
          <w:rFonts w:hint="eastAsia" w:ascii="宋体" w:hAnsi="宋体"/>
          <w:sz w:val="24"/>
        </w:rPr>
        <w:t>；网络及数据库连接协议</w:t>
      </w:r>
      <w:r>
        <w:rPr>
          <w:rFonts w:ascii="宋体" w:hAnsi="宋体"/>
          <w:sz w:val="24"/>
        </w:rPr>
        <w:t>：TCP/IP，JDBC，ODBC</w:t>
      </w:r>
      <w:r>
        <w:rPr>
          <w:rFonts w:hint="eastAsia" w:ascii="宋体" w:hAnsi="宋体"/>
          <w:sz w:val="24"/>
        </w:rPr>
        <w:t>；开发语言和网络技术</w:t>
      </w:r>
      <w:r>
        <w:rPr>
          <w:rFonts w:ascii="宋体" w:hAnsi="宋体"/>
          <w:sz w:val="24"/>
        </w:rPr>
        <w:t>：Java，HTTP，HTML，JavaScript，CSS，XSLT</w:t>
      </w:r>
      <w:r>
        <w:rPr>
          <w:rFonts w:hint="eastAsia" w:ascii="宋体" w:hAnsi="宋体"/>
          <w:sz w:val="24"/>
        </w:rPr>
        <w:t>；安全及授权协议</w:t>
      </w:r>
      <w:r>
        <w:rPr>
          <w:rFonts w:ascii="宋体" w:hAnsi="宋体"/>
          <w:sz w:val="24"/>
        </w:rPr>
        <w:t>：HTTPS，LDAP，PKI，SSL，IPSec</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1.1.</w:t>
      </w:r>
      <w:r>
        <w:rPr>
          <w:rFonts w:ascii="宋体" w:hAnsi="宋体"/>
          <w:sz w:val="24"/>
        </w:rPr>
        <w:t>12</w:t>
      </w:r>
      <w:r>
        <w:rPr>
          <w:rFonts w:hint="eastAsia" w:ascii="宋体" w:hAnsi="宋体"/>
          <w:sz w:val="24"/>
        </w:rPr>
        <w:t>信息安全：支持实现安全网关，基于证书的安全数据传输，如TLS、SSL、HTTPS等，基于X.509证书的数字签名，实现消息内容加密及审计跟踪与节点验证。</w:t>
      </w:r>
    </w:p>
    <w:p>
      <w:pPr>
        <w:spacing w:line="360" w:lineRule="auto"/>
        <w:ind w:firstLine="482" w:firstLineChars="200"/>
        <w:rPr>
          <w:rFonts w:ascii="宋体" w:hAnsi="宋体"/>
          <w:color w:val="FF0000"/>
          <w:sz w:val="24"/>
        </w:rPr>
      </w:pPr>
      <w:r>
        <w:rPr>
          <w:rFonts w:hint="eastAsia" w:ascii="宋体" w:hAnsi="宋体"/>
          <w:b/>
          <w:bCs/>
          <w:color w:val="000000"/>
          <w:sz w:val="24"/>
        </w:rPr>
        <w:t>★1.1.13端对端管理：开发、测试和部署的工具紧密集成。（截图证明并加盖公章）</w:t>
      </w:r>
    </w:p>
    <w:p>
      <w:pPr>
        <w:spacing w:line="360" w:lineRule="auto"/>
        <w:ind w:firstLine="480" w:firstLineChars="200"/>
        <w:rPr>
          <w:rFonts w:ascii="宋体" w:hAnsi="宋体"/>
          <w:sz w:val="24"/>
        </w:rPr>
      </w:pPr>
      <w:r>
        <w:rPr>
          <w:rFonts w:hint="eastAsia" w:ascii="宋体" w:hAnsi="宋体"/>
          <w:sz w:val="24"/>
        </w:rPr>
        <w:t>1.2ESB</w:t>
      </w:r>
      <w:bookmarkEnd w:id="180"/>
      <w:bookmarkEnd w:id="181"/>
      <w:r>
        <w:rPr>
          <w:rFonts w:hint="eastAsia" w:ascii="宋体" w:hAnsi="宋体"/>
          <w:sz w:val="24"/>
        </w:rPr>
        <w:t>医院服务总线</w:t>
      </w:r>
    </w:p>
    <w:p>
      <w:pPr>
        <w:spacing w:line="360" w:lineRule="auto"/>
        <w:ind w:firstLine="480" w:firstLineChars="200"/>
        <w:rPr>
          <w:rFonts w:ascii="宋体" w:hAnsi="宋体"/>
          <w:sz w:val="24"/>
        </w:rPr>
      </w:pPr>
      <w:r>
        <w:rPr>
          <w:rFonts w:hint="eastAsia" w:ascii="宋体" w:hAnsi="宋体"/>
          <w:sz w:val="24"/>
        </w:rPr>
        <w:t>医院服务总线（ESB）是一种体系结构模式，能够将消息在多种通讯协议之间路由、在多种格式之间转换，将业务服务重新组合封装成标准行为，同时具备审计跟踪和管理功能，ESB模式可以降低连接各个异构应用系统的工作量，降低相连接的应用系统之间的耦合度，从而从本质上提高了整个系统的灵活性和面对变化的响应速度，它代理服务提供者和服务消费者之间的连接，即使它们并非完全匹配，也能够使它们进行交互，此模式可以使用各种中间件技术和编程模型实现。</w:t>
      </w:r>
    </w:p>
    <w:p>
      <w:pPr>
        <w:spacing w:line="360" w:lineRule="auto"/>
        <w:ind w:firstLine="480" w:firstLineChars="200"/>
        <w:rPr>
          <w:rFonts w:ascii="宋体" w:hAnsi="宋体"/>
          <w:sz w:val="24"/>
        </w:rPr>
      </w:pPr>
      <w:r>
        <w:rPr>
          <w:rFonts w:hint="eastAsia" w:ascii="宋体" w:hAnsi="宋体"/>
          <w:sz w:val="24"/>
        </w:rPr>
        <w:t>在ESB模式中，服务交互的参与方并不直接交互，而是通过一个总线交互，该总线提供虚拟化和管理功能来实现和扩展SOA的核心定义，具备可插拔的服务协调、传输协议转换、消息格式转换和路由的能力。</w:t>
      </w:r>
    </w:p>
    <w:p>
      <w:pPr>
        <w:spacing w:line="360" w:lineRule="auto"/>
        <w:ind w:firstLine="482" w:firstLineChars="200"/>
        <w:rPr>
          <w:rFonts w:ascii="宋体" w:hAnsi="宋体"/>
          <w:b/>
          <w:bCs/>
          <w:color w:val="000000"/>
          <w:sz w:val="24"/>
        </w:rPr>
      </w:pPr>
      <w:r>
        <w:rPr>
          <w:rFonts w:hint="eastAsia" w:ascii="宋体" w:hAnsi="宋体"/>
          <w:b/>
          <w:bCs/>
          <w:color w:val="000000"/>
          <w:sz w:val="24"/>
        </w:rPr>
        <w:t>★</w:t>
      </w:r>
      <w:r>
        <w:rPr>
          <w:rFonts w:ascii="宋体" w:hAnsi="宋体"/>
          <w:b/>
          <w:bCs/>
          <w:color w:val="000000"/>
          <w:sz w:val="24"/>
        </w:rPr>
        <w:t>投标人需提供针对本项目的</w:t>
      </w:r>
      <w:r>
        <w:rPr>
          <w:rFonts w:hint="eastAsia" w:ascii="宋体" w:hAnsi="宋体"/>
          <w:b/>
          <w:bCs/>
          <w:color w:val="000000"/>
          <w:sz w:val="24"/>
        </w:rPr>
        <w:t>医院服务总线产品及解决方案。</w:t>
      </w:r>
    </w:p>
    <w:p>
      <w:pPr>
        <w:spacing w:line="360" w:lineRule="auto"/>
        <w:ind w:firstLine="480" w:firstLineChars="200"/>
        <w:rPr>
          <w:rFonts w:ascii="宋体" w:hAnsi="宋体"/>
          <w:sz w:val="24"/>
        </w:rPr>
      </w:pPr>
      <w:bookmarkStart w:id="182" w:name="_Toc401685675"/>
      <w:bookmarkStart w:id="183" w:name="_Toc403379032"/>
      <w:r>
        <w:rPr>
          <w:rFonts w:hint="eastAsia" w:ascii="宋体" w:hAnsi="宋体"/>
          <w:sz w:val="24"/>
        </w:rPr>
        <w:t>1.3集成引擎中间件</w:t>
      </w:r>
      <w:bookmarkEnd w:id="182"/>
      <w:bookmarkEnd w:id="183"/>
      <w:r>
        <w:rPr>
          <w:rFonts w:hint="eastAsia" w:ascii="宋体" w:hAnsi="宋体"/>
          <w:sz w:val="24"/>
        </w:rPr>
        <w:t>课件，</w:t>
      </w:r>
    </w:p>
    <w:p>
      <w:pPr>
        <w:spacing w:line="360" w:lineRule="auto"/>
        <w:ind w:firstLine="480" w:firstLineChars="200"/>
        <w:rPr>
          <w:rFonts w:ascii="宋体" w:hAnsi="宋体"/>
          <w:sz w:val="24"/>
        </w:rPr>
      </w:pPr>
      <w:bookmarkStart w:id="184" w:name="_Toc401685676"/>
      <w:r>
        <w:rPr>
          <w:rFonts w:hint="eastAsia" w:ascii="宋体" w:hAnsi="宋体"/>
          <w:sz w:val="24"/>
        </w:rPr>
        <w:t>1.3.1运行平台</w:t>
      </w:r>
      <w:bookmarkEnd w:id="184"/>
    </w:p>
    <w:p>
      <w:pPr>
        <w:spacing w:line="360" w:lineRule="auto"/>
        <w:ind w:firstLine="480" w:firstLineChars="200"/>
        <w:rPr>
          <w:rFonts w:ascii="宋体" w:hAnsi="宋体"/>
          <w:sz w:val="24"/>
        </w:rPr>
      </w:pPr>
      <w:r>
        <w:rPr>
          <w:rFonts w:hint="eastAsia" w:ascii="宋体" w:hAnsi="宋体"/>
          <w:sz w:val="24"/>
        </w:rPr>
        <w:t>中间件不是一个单独的概念，它是由多个部件及节点共同完成系统整合的要求。包括管理平台、监控平台和集成引擎。启动引擎会同时触发管理和监控平台，公共提供服务。而开发平台则从微软操作系统中另外起动。</w:t>
      </w:r>
    </w:p>
    <w:p>
      <w:pPr>
        <w:spacing w:line="360" w:lineRule="auto"/>
        <w:ind w:firstLine="480" w:firstLineChars="200"/>
        <w:rPr>
          <w:rFonts w:ascii="宋体" w:hAnsi="宋体"/>
          <w:sz w:val="24"/>
        </w:rPr>
      </w:pPr>
      <w:r>
        <w:rPr>
          <w:rFonts w:hint="eastAsia" w:ascii="宋体" w:hAnsi="宋体"/>
          <w:sz w:val="24"/>
        </w:rPr>
        <w:t>集成引擎支持安装运行于在各种主流操作系统上，并同时支持32及64位操作平台，包括：</w:t>
      </w:r>
    </w:p>
    <w:p>
      <w:pPr>
        <w:spacing w:line="360" w:lineRule="auto"/>
        <w:ind w:firstLine="480" w:firstLineChars="200"/>
        <w:rPr>
          <w:rFonts w:ascii="宋体" w:hAnsi="宋体"/>
          <w:sz w:val="24"/>
        </w:rPr>
      </w:pPr>
      <w:r>
        <w:rPr>
          <w:rFonts w:hint="eastAsia" w:ascii="宋体" w:hAnsi="宋体"/>
          <w:sz w:val="24"/>
        </w:rPr>
        <w:t>IBM AIX®，5.x，6.x</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HP-UX，11+（PA-RISC/Itanium）</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Linux®（x86/x64）</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Sun Solaris 9（SPARC）</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Microsoft ®Windows ® 2003 Server（x86/x64）微软2003服务器版</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Microsoft ®Windows ® 2008 Server（x86/x64）微软2008服务器版</w:t>
      </w:r>
      <w:r>
        <w:rPr>
          <w:rFonts w:ascii="宋体" w:hAnsi="宋体"/>
          <w:sz w:val="24"/>
        </w:rPr>
        <w:t>。</w:t>
      </w:r>
    </w:p>
    <w:p>
      <w:pPr>
        <w:spacing w:line="360" w:lineRule="auto"/>
        <w:ind w:firstLine="480" w:firstLineChars="200"/>
        <w:rPr>
          <w:rFonts w:ascii="宋体" w:hAnsi="宋体"/>
          <w:sz w:val="24"/>
        </w:rPr>
      </w:pPr>
      <w:bookmarkStart w:id="185" w:name="_Toc326334170"/>
      <w:bookmarkStart w:id="186" w:name="_Toc401685677"/>
      <w:bookmarkStart w:id="187" w:name="_Toc325977107"/>
      <w:r>
        <w:rPr>
          <w:rFonts w:hint="eastAsia" w:ascii="宋体" w:hAnsi="宋体"/>
          <w:sz w:val="24"/>
        </w:rPr>
        <w:t>1.3.2集成开发环境</w:t>
      </w:r>
      <w:bookmarkEnd w:id="185"/>
      <w:bookmarkEnd w:id="186"/>
      <w:bookmarkEnd w:id="187"/>
    </w:p>
    <w:p>
      <w:pPr>
        <w:spacing w:line="360" w:lineRule="auto"/>
        <w:ind w:firstLine="480" w:firstLineChars="200"/>
        <w:rPr>
          <w:rFonts w:ascii="宋体" w:hAnsi="宋体"/>
          <w:sz w:val="24"/>
        </w:rPr>
      </w:pPr>
      <w:r>
        <w:rPr>
          <w:rFonts w:hint="eastAsia" w:ascii="宋体" w:hAnsi="宋体"/>
          <w:sz w:val="24"/>
        </w:rPr>
        <w:t>可视化开发：集成开发环境应支持基于微软视窗操作系统的图形化设置及设计工具。它连接并指引引擎展开各项运行处理工作。基于微软视窗操作系统的特性使它有良好并直观的图形配置界面方便设计师对通讯点、过滤器及路由进行设置。</w:t>
      </w:r>
    </w:p>
    <w:p>
      <w:pPr>
        <w:spacing w:line="360" w:lineRule="auto"/>
        <w:ind w:firstLine="480" w:firstLineChars="200"/>
        <w:rPr>
          <w:rFonts w:ascii="宋体" w:hAnsi="宋体"/>
          <w:sz w:val="24"/>
        </w:rPr>
      </w:pPr>
      <w:r>
        <w:rPr>
          <w:rFonts w:hint="eastAsia" w:ascii="宋体" w:hAnsi="宋体"/>
          <w:sz w:val="24"/>
        </w:rPr>
        <w:t>代码开发：集成开发环境（IDE）应支持Java编程语言，提供API应用程序编程接口，可让用户自行开发基于Java编程语言的通讯点及过滤器。</w:t>
      </w:r>
    </w:p>
    <w:p>
      <w:pPr>
        <w:spacing w:line="360" w:lineRule="auto"/>
        <w:ind w:firstLine="480" w:firstLineChars="200"/>
        <w:rPr>
          <w:rFonts w:ascii="宋体" w:hAnsi="宋体"/>
          <w:sz w:val="24"/>
        </w:rPr>
      </w:pPr>
      <w:r>
        <w:rPr>
          <w:rFonts w:hint="eastAsia" w:ascii="宋体" w:hAnsi="宋体"/>
          <w:sz w:val="24"/>
        </w:rPr>
        <w:t>图形化与代码的相互转换：在集成开发环境里，基于JavaScript语言的所有通讯点及过滤器都应支持很方便地进行图形化与代码或代码与图形化的转换。特别在XML功能上，所有在图形化界面（GUI）的配置都能被准确地输出为XML格式文件，反之亦可。</w:t>
      </w:r>
    </w:p>
    <w:p>
      <w:pPr>
        <w:spacing w:line="360" w:lineRule="auto"/>
        <w:ind w:firstLine="480" w:firstLineChars="200"/>
        <w:rPr>
          <w:rFonts w:ascii="宋体" w:hAnsi="宋体"/>
          <w:sz w:val="24"/>
        </w:rPr>
      </w:pPr>
      <w:bookmarkStart w:id="188" w:name="_Toc326334171"/>
      <w:bookmarkStart w:id="189" w:name="_Toc325977108"/>
      <w:bookmarkStart w:id="190" w:name="_Toc401685678"/>
      <w:r>
        <w:rPr>
          <w:rFonts w:hint="eastAsia" w:ascii="宋体" w:hAnsi="宋体"/>
          <w:sz w:val="24"/>
        </w:rPr>
        <w:t>1.3.3登录授权控制</w:t>
      </w:r>
      <w:bookmarkEnd w:id="188"/>
      <w:bookmarkEnd w:id="189"/>
      <w:bookmarkEnd w:id="190"/>
    </w:p>
    <w:p>
      <w:pPr>
        <w:spacing w:line="360" w:lineRule="auto"/>
        <w:ind w:firstLine="480" w:firstLineChars="200"/>
        <w:rPr>
          <w:rFonts w:ascii="宋体" w:hAnsi="宋体"/>
          <w:sz w:val="24"/>
        </w:rPr>
      </w:pPr>
      <w:r>
        <w:rPr>
          <w:rFonts w:hint="eastAsia" w:ascii="宋体" w:hAnsi="宋体"/>
          <w:sz w:val="24"/>
        </w:rPr>
        <w:t>系统支持将用户名和密码都以加密形式保存在内置数据库中，当管理员或设计人员登录平台进行管理时，系统通过吻合访问控制表的方式授权登录。</w:t>
      </w:r>
    </w:p>
    <w:p>
      <w:pPr>
        <w:spacing w:line="360" w:lineRule="auto"/>
        <w:ind w:firstLine="480" w:firstLineChars="200"/>
        <w:rPr>
          <w:rFonts w:ascii="宋体" w:hAnsi="宋体"/>
          <w:sz w:val="24"/>
        </w:rPr>
      </w:pPr>
      <w:bookmarkStart w:id="191" w:name="_Toc326334177"/>
      <w:bookmarkStart w:id="192" w:name="_Toc325977114"/>
      <w:bookmarkStart w:id="193" w:name="_Toc401685679"/>
      <w:bookmarkStart w:id="194" w:name="_Toc325977110"/>
      <w:bookmarkStart w:id="195" w:name="_Toc326334173"/>
      <w:r>
        <w:rPr>
          <w:rFonts w:hint="eastAsia" w:ascii="宋体" w:hAnsi="宋体"/>
          <w:sz w:val="24"/>
        </w:rPr>
        <w:t>1.3.4信息安全</w:t>
      </w:r>
      <w:bookmarkEnd w:id="191"/>
      <w:bookmarkEnd w:id="192"/>
      <w:r>
        <w:rPr>
          <w:rFonts w:hint="eastAsia" w:ascii="宋体" w:hAnsi="宋体"/>
          <w:sz w:val="24"/>
        </w:rPr>
        <w:t>保证</w:t>
      </w:r>
      <w:bookmarkEnd w:id="193"/>
    </w:p>
    <w:p>
      <w:pPr>
        <w:spacing w:line="360" w:lineRule="auto"/>
        <w:ind w:firstLine="480" w:firstLineChars="200"/>
        <w:rPr>
          <w:rFonts w:ascii="宋体" w:hAnsi="宋体"/>
          <w:sz w:val="24"/>
        </w:rPr>
      </w:pPr>
      <w:r>
        <w:rPr>
          <w:rFonts w:hint="eastAsia" w:ascii="宋体" w:hAnsi="宋体"/>
          <w:sz w:val="24"/>
        </w:rPr>
        <w:t>为提高应用系统系统安全性需要进行一系列的加固措施，系统应支持X.509数字证书技术对平台全面的数字证书服务，完善的密码等敏感数据管理机制，能够对任何敏感的消息进行加密及审计跟踪与节点验证，同时被授权的接收端能够高效的对这些信息进行解密，包括DES、AES、SHA-1、MD5等。</w:t>
      </w:r>
    </w:p>
    <w:p>
      <w:pPr>
        <w:spacing w:line="360" w:lineRule="auto"/>
        <w:ind w:firstLine="480" w:firstLineChars="200"/>
        <w:rPr>
          <w:rFonts w:ascii="宋体" w:hAnsi="宋体"/>
          <w:sz w:val="24"/>
        </w:rPr>
      </w:pPr>
      <w:bookmarkStart w:id="196" w:name="_Toc325977112"/>
      <w:bookmarkStart w:id="197" w:name="_Toc401685680"/>
      <w:bookmarkStart w:id="198" w:name="_Toc326334175"/>
      <w:r>
        <w:rPr>
          <w:rFonts w:hint="eastAsia" w:ascii="宋体" w:hAnsi="宋体"/>
          <w:sz w:val="24"/>
        </w:rPr>
        <w:t>1.3.5数据</w:t>
      </w:r>
      <w:bookmarkEnd w:id="196"/>
      <w:bookmarkEnd w:id="197"/>
      <w:bookmarkEnd w:id="198"/>
      <w:r>
        <w:rPr>
          <w:rFonts w:hint="eastAsia" w:ascii="宋体" w:hAnsi="宋体"/>
          <w:sz w:val="24"/>
        </w:rPr>
        <w:t>标准化转换</w:t>
      </w:r>
    </w:p>
    <w:p>
      <w:pPr>
        <w:spacing w:line="360" w:lineRule="auto"/>
        <w:ind w:firstLine="480" w:firstLineChars="200"/>
        <w:rPr>
          <w:rFonts w:ascii="宋体" w:hAnsi="宋体"/>
          <w:sz w:val="24"/>
        </w:rPr>
      </w:pPr>
      <w:r>
        <w:rPr>
          <w:rFonts w:hint="eastAsia" w:ascii="宋体" w:hAnsi="宋体"/>
          <w:sz w:val="24"/>
        </w:rPr>
        <w:t>支持通过自动映射工具和拖放字段映射，使得系统与系统之间快速转换数据。同时要求在进行配置更改时不影响引擎的后台工作，这意味着后台可以不间断的处理信息，直到嵌入了最新的配置后，引擎直接按照最新命令进行信息处理。</w:t>
      </w:r>
    </w:p>
    <w:p>
      <w:pPr>
        <w:spacing w:line="360" w:lineRule="auto"/>
        <w:ind w:firstLine="480" w:firstLineChars="200"/>
        <w:rPr>
          <w:rFonts w:ascii="宋体" w:hAnsi="宋体"/>
          <w:sz w:val="24"/>
        </w:rPr>
      </w:pPr>
      <w:bookmarkStart w:id="199" w:name="_Toc401685681"/>
      <w:r>
        <w:rPr>
          <w:rFonts w:hint="eastAsia" w:ascii="宋体" w:hAnsi="宋体"/>
          <w:sz w:val="24"/>
        </w:rPr>
        <w:t>1.3.6数据</w:t>
      </w:r>
      <w:bookmarkEnd w:id="199"/>
      <w:r>
        <w:rPr>
          <w:rFonts w:hint="eastAsia" w:ascii="宋体" w:hAnsi="宋体"/>
          <w:sz w:val="24"/>
        </w:rPr>
        <w:t>交互</w:t>
      </w:r>
    </w:p>
    <w:p>
      <w:pPr>
        <w:spacing w:line="360" w:lineRule="auto"/>
        <w:ind w:firstLine="480" w:firstLineChars="200"/>
        <w:rPr>
          <w:rFonts w:ascii="宋体" w:hAnsi="宋体"/>
          <w:sz w:val="24"/>
        </w:rPr>
      </w:pPr>
      <w:r>
        <w:rPr>
          <w:rFonts w:hint="eastAsia" w:ascii="宋体" w:hAnsi="宋体"/>
          <w:sz w:val="24"/>
        </w:rPr>
        <w:t>系统对大量的协议和标准提供本地支持，从旧系统（如Z-Modem）到网络服务标准（如SOAP）以及中间的所有内容（XML、HL7、X.12、NCPDP、DICOM等）。</w:t>
      </w:r>
    </w:p>
    <w:p>
      <w:pPr>
        <w:spacing w:line="360" w:lineRule="auto"/>
        <w:ind w:firstLine="480" w:firstLineChars="200"/>
        <w:rPr>
          <w:rFonts w:ascii="宋体" w:hAnsi="宋体"/>
          <w:sz w:val="24"/>
        </w:rPr>
      </w:pPr>
      <w:bookmarkStart w:id="200" w:name="_Toc401685682"/>
      <w:r>
        <w:rPr>
          <w:rFonts w:hint="eastAsia" w:ascii="宋体" w:hAnsi="宋体"/>
          <w:sz w:val="24"/>
        </w:rPr>
        <w:t>1.3.7确保传输</w:t>
      </w:r>
      <w:bookmarkEnd w:id="200"/>
    </w:p>
    <w:p>
      <w:pPr>
        <w:spacing w:line="360" w:lineRule="auto"/>
        <w:ind w:firstLine="480" w:firstLineChars="200"/>
        <w:rPr>
          <w:rFonts w:ascii="宋体" w:hAnsi="宋体"/>
          <w:sz w:val="24"/>
        </w:rPr>
      </w:pPr>
      <w:r>
        <w:rPr>
          <w:rFonts w:hint="eastAsia" w:ascii="宋体" w:hAnsi="宋体"/>
          <w:sz w:val="24"/>
        </w:rPr>
        <w:t>医疗环境不能出现信息以及数据包的丢失，因此对于错误信息系统应支持缓存机制，确保信息及时恢复，并且具有高性能和可扩展性。</w:t>
      </w:r>
    </w:p>
    <w:p>
      <w:pPr>
        <w:spacing w:line="360" w:lineRule="auto"/>
        <w:ind w:firstLine="480" w:firstLineChars="200"/>
        <w:rPr>
          <w:rFonts w:ascii="宋体" w:hAnsi="宋体"/>
          <w:sz w:val="24"/>
        </w:rPr>
      </w:pPr>
      <w:bookmarkStart w:id="201" w:name="_Toc401685683"/>
      <w:r>
        <w:rPr>
          <w:rFonts w:hint="eastAsia" w:ascii="宋体" w:hAnsi="宋体"/>
          <w:sz w:val="24"/>
        </w:rPr>
        <w:t>1.3.8定制格式</w:t>
      </w:r>
      <w:bookmarkEnd w:id="201"/>
    </w:p>
    <w:p>
      <w:pPr>
        <w:spacing w:line="360" w:lineRule="auto"/>
        <w:ind w:firstLine="480" w:firstLineChars="200"/>
        <w:rPr>
          <w:rFonts w:ascii="宋体" w:hAnsi="宋体"/>
          <w:sz w:val="24"/>
        </w:rPr>
      </w:pPr>
      <w:r>
        <w:rPr>
          <w:rFonts w:hint="eastAsia" w:ascii="宋体" w:hAnsi="宋体"/>
          <w:sz w:val="24"/>
        </w:rPr>
        <w:t>医疗界面还暂时没有一个统一的集成标准。系统应提供强大的EDI设计软件提供专用工具对标准信息（HL7、X.12等）进行本地化修改，或者配置定制格式如逗号分隔文件格式（CSV）、不可变宽度和其他对限定有严格规定的文件格式。</w:t>
      </w:r>
    </w:p>
    <w:p>
      <w:pPr>
        <w:spacing w:line="360" w:lineRule="auto"/>
        <w:ind w:firstLine="480" w:firstLineChars="200"/>
        <w:rPr>
          <w:rFonts w:ascii="宋体" w:hAnsi="宋体"/>
          <w:sz w:val="24"/>
        </w:rPr>
      </w:pPr>
      <w:bookmarkStart w:id="202" w:name="_Toc326334172"/>
      <w:bookmarkStart w:id="203" w:name="_Toc325977109"/>
      <w:bookmarkStart w:id="204" w:name="_Toc401685684"/>
      <w:r>
        <w:rPr>
          <w:rFonts w:hint="eastAsia" w:ascii="宋体" w:hAnsi="宋体"/>
          <w:sz w:val="24"/>
        </w:rPr>
        <w:t>1.3.9接口适配器</w:t>
      </w:r>
      <w:bookmarkEnd w:id="202"/>
      <w:bookmarkEnd w:id="203"/>
      <w:bookmarkEnd w:id="204"/>
    </w:p>
    <w:p>
      <w:pPr>
        <w:spacing w:line="360" w:lineRule="auto"/>
        <w:ind w:firstLine="480" w:firstLineChars="200"/>
        <w:rPr>
          <w:rFonts w:ascii="宋体" w:hAnsi="宋体"/>
          <w:sz w:val="24"/>
        </w:rPr>
      </w:pPr>
      <w:r>
        <w:rPr>
          <w:rFonts w:hint="eastAsia" w:ascii="宋体" w:hAnsi="宋体"/>
          <w:sz w:val="24"/>
        </w:rPr>
        <w:t>接口适配器支持将各个系统通过通讯点、路由、过滤器构建连接，支持不同种类的数据库和文件系统，支持所有SQL兼容的系统和非SQL的系统，支持自动化事务、消息转换和错误恢复机制</w:t>
      </w:r>
      <w:r>
        <w:rPr>
          <w:rFonts w:ascii="宋体" w:hAnsi="宋体"/>
          <w:sz w:val="24"/>
        </w:rPr>
        <w:t>。</w:t>
      </w:r>
    </w:p>
    <w:p>
      <w:pPr>
        <w:spacing w:line="360" w:lineRule="auto"/>
        <w:ind w:firstLine="480" w:firstLineChars="200"/>
        <w:rPr>
          <w:rFonts w:ascii="宋体" w:hAnsi="宋体"/>
          <w:sz w:val="24"/>
        </w:rPr>
      </w:pPr>
      <w:bookmarkStart w:id="205" w:name="_Toc401685685"/>
      <w:r>
        <w:rPr>
          <w:rFonts w:hint="eastAsia" w:ascii="宋体" w:hAnsi="宋体"/>
          <w:sz w:val="24"/>
        </w:rPr>
        <w:t>1.3.10简化标准支持</w:t>
      </w:r>
      <w:bookmarkEnd w:id="194"/>
      <w:bookmarkEnd w:id="195"/>
      <w:bookmarkEnd w:id="205"/>
    </w:p>
    <w:p>
      <w:pPr>
        <w:spacing w:line="360" w:lineRule="auto"/>
        <w:ind w:firstLine="480" w:firstLineChars="200"/>
        <w:rPr>
          <w:rFonts w:ascii="宋体" w:hAnsi="宋体"/>
          <w:sz w:val="24"/>
        </w:rPr>
      </w:pPr>
      <w:r>
        <w:rPr>
          <w:rFonts w:hint="eastAsia" w:ascii="宋体" w:hAnsi="宋体"/>
          <w:sz w:val="24"/>
        </w:rPr>
        <w:t>目前医院上线系统由不同厂商提供，各个系统采用的架构不同、技术不同，所能提供的接口也不一样，所以进行集成时需要支持多种通讯协议和标准，系统应支持的标准协议如下：</w:t>
      </w:r>
    </w:p>
    <w:p>
      <w:pPr>
        <w:spacing w:line="360" w:lineRule="auto"/>
        <w:ind w:firstLine="480" w:firstLineChars="200"/>
        <w:rPr>
          <w:rFonts w:ascii="宋体" w:hAnsi="宋体"/>
          <w:sz w:val="24"/>
        </w:rPr>
      </w:pPr>
      <w:r>
        <w:rPr>
          <w:rFonts w:hint="eastAsia" w:ascii="宋体" w:hAnsi="宋体"/>
          <w:sz w:val="24"/>
        </w:rPr>
        <w:t>支持TCP、FTP、HTTP、网络服务等标准协议。</w:t>
      </w:r>
    </w:p>
    <w:p>
      <w:pPr>
        <w:spacing w:line="360" w:lineRule="auto"/>
        <w:ind w:firstLine="480" w:firstLineChars="200"/>
        <w:rPr>
          <w:rFonts w:ascii="宋体" w:hAnsi="宋体"/>
          <w:sz w:val="24"/>
        </w:rPr>
      </w:pPr>
      <w:r>
        <w:rPr>
          <w:rFonts w:hint="eastAsia" w:ascii="宋体" w:hAnsi="宋体"/>
          <w:sz w:val="24"/>
        </w:rPr>
        <w:t>支持HL7（版本2.X、V3）、HIPAA 4010/4010A/5010A、ASTM等</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支持临床文档架构（CDA）。</w:t>
      </w:r>
    </w:p>
    <w:p>
      <w:pPr>
        <w:spacing w:line="360" w:lineRule="auto"/>
        <w:ind w:firstLine="480" w:firstLineChars="200"/>
        <w:rPr>
          <w:rFonts w:ascii="宋体" w:hAnsi="宋体"/>
          <w:sz w:val="24"/>
        </w:rPr>
      </w:pPr>
      <w:r>
        <w:rPr>
          <w:rFonts w:hint="eastAsia" w:ascii="宋体" w:hAnsi="宋体"/>
          <w:sz w:val="24"/>
        </w:rPr>
        <w:t>支持DICOM图像格式转换及应用。</w:t>
      </w:r>
    </w:p>
    <w:p>
      <w:pPr>
        <w:spacing w:line="360" w:lineRule="auto"/>
        <w:ind w:firstLine="480" w:firstLineChars="200"/>
        <w:rPr>
          <w:rFonts w:ascii="宋体" w:hAnsi="宋体"/>
          <w:sz w:val="24"/>
        </w:rPr>
      </w:pPr>
      <w:r>
        <w:rPr>
          <w:rFonts w:hint="eastAsia" w:ascii="宋体" w:hAnsi="宋体"/>
          <w:sz w:val="24"/>
        </w:rPr>
        <w:t>支持医用信息系统集成（IHE）配置文件。</w:t>
      </w:r>
    </w:p>
    <w:p>
      <w:pPr>
        <w:spacing w:line="360" w:lineRule="auto"/>
        <w:ind w:firstLine="480" w:firstLineChars="200"/>
        <w:rPr>
          <w:rFonts w:ascii="宋体" w:hAnsi="宋体"/>
          <w:sz w:val="24"/>
        </w:rPr>
      </w:pPr>
      <w:bookmarkStart w:id="206" w:name="_Toc401685686"/>
      <w:bookmarkStart w:id="207" w:name="_Toc325977111"/>
      <w:bookmarkStart w:id="208" w:name="_Toc326334174"/>
      <w:r>
        <w:rPr>
          <w:rFonts w:hint="eastAsia" w:ascii="宋体" w:hAnsi="宋体"/>
          <w:sz w:val="24"/>
        </w:rPr>
        <w:t>1.3.11集成测试环境</w:t>
      </w:r>
      <w:bookmarkEnd w:id="206"/>
      <w:bookmarkEnd w:id="207"/>
      <w:bookmarkEnd w:id="208"/>
    </w:p>
    <w:p>
      <w:pPr>
        <w:spacing w:line="360" w:lineRule="auto"/>
        <w:ind w:firstLine="482" w:firstLineChars="200"/>
        <w:rPr>
          <w:rFonts w:ascii="宋体" w:hAnsi="宋体"/>
          <w:b/>
          <w:bCs/>
          <w:color w:val="000000"/>
          <w:sz w:val="24"/>
        </w:rPr>
      </w:pPr>
      <w:r>
        <w:rPr>
          <w:rFonts w:hint="eastAsia" w:ascii="宋体" w:hAnsi="宋体"/>
          <w:b/>
          <w:bCs/>
          <w:color w:val="000000"/>
          <w:sz w:val="24"/>
        </w:rPr>
        <w:t>★支持嵌入、嵌出式（check in/check out）的测试环境，使系统管理员能把引擎和当前集成开发环境（IDE）的配置分离开来，他们可以配置及改变集成开发环境（IDE）而不影响引擎的后台工作。</w:t>
      </w:r>
      <w:bookmarkStart w:id="209" w:name="_Toc325977115"/>
      <w:bookmarkStart w:id="210" w:name="_Toc401685687"/>
      <w:bookmarkStart w:id="211" w:name="_Toc326334178"/>
      <w:r>
        <w:rPr>
          <w:rFonts w:hint="eastAsia" w:ascii="宋体" w:hAnsi="宋体"/>
          <w:b/>
          <w:bCs/>
          <w:color w:val="000000"/>
          <w:sz w:val="24"/>
        </w:rPr>
        <w:t>（截图证明并加盖公章）</w:t>
      </w:r>
    </w:p>
    <w:p>
      <w:pPr>
        <w:spacing w:line="360" w:lineRule="auto"/>
        <w:ind w:firstLine="480" w:firstLineChars="200"/>
        <w:rPr>
          <w:rFonts w:ascii="宋体" w:hAnsi="宋体"/>
          <w:sz w:val="24"/>
        </w:rPr>
      </w:pPr>
      <w:r>
        <w:rPr>
          <w:rFonts w:hint="eastAsia" w:ascii="宋体" w:hAnsi="宋体"/>
          <w:sz w:val="24"/>
        </w:rPr>
        <w:t>1.3.12实时在线监控</w:t>
      </w:r>
      <w:bookmarkEnd w:id="209"/>
      <w:bookmarkEnd w:id="210"/>
      <w:bookmarkEnd w:id="211"/>
    </w:p>
    <w:p>
      <w:pPr>
        <w:spacing w:line="360" w:lineRule="auto"/>
        <w:ind w:firstLine="480" w:firstLineChars="200"/>
        <w:rPr>
          <w:rFonts w:ascii="宋体" w:hAnsi="宋体"/>
          <w:sz w:val="24"/>
        </w:rPr>
      </w:pPr>
      <w:r>
        <w:rPr>
          <w:rFonts w:hint="eastAsia" w:ascii="宋体" w:hAnsi="宋体"/>
          <w:sz w:val="24"/>
        </w:rPr>
        <w:t>监控平台与管理平台都支持通过web浏览器进行访问，对平台所有服务数据、消息路由情况、性能数据等进行监控，通过监控平台提供给系统管理员作为参考。</w:t>
      </w:r>
    </w:p>
    <w:p>
      <w:pPr>
        <w:spacing w:line="360" w:lineRule="auto"/>
        <w:ind w:firstLine="480" w:firstLineChars="200"/>
        <w:rPr>
          <w:rFonts w:ascii="宋体" w:hAnsi="宋体"/>
          <w:sz w:val="24"/>
        </w:rPr>
      </w:pPr>
      <w:bookmarkStart w:id="212" w:name="_Toc325977116"/>
      <w:bookmarkStart w:id="213" w:name="_Toc326334179"/>
      <w:bookmarkStart w:id="214" w:name="_Toc401685688"/>
      <w:r>
        <w:rPr>
          <w:rFonts w:hint="eastAsia" w:ascii="宋体" w:hAnsi="宋体"/>
          <w:sz w:val="24"/>
        </w:rPr>
        <w:t>1.3.13事件管理</w:t>
      </w:r>
      <w:bookmarkEnd w:id="212"/>
      <w:bookmarkEnd w:id="213"/>
      <w:r>
        <w:rPr>
          <w:rFonts w:hint="eastAsia" w:ascii="宋体" w:hAnsi="宋体"/>
          <w:sz w:val="24"/>
        </w:rPr>
        <w:t>与通知</w:t>
      </w:r>
      <w:bookmarkEnd w:id="214"/>
    </w:p>
    <w:p>
      <w:pPr>
        <w:spacing w:line="360" w:lineRule="auto"/>
        <w:ind w:firstLine="480" w:firstLineChars="200"/>
        <w:rPr>
          <w:rFonts w:ascii="宋体" w:hAnsi="宋体"/>
          <w:sz w:val="24"/>
        </w:rPr>
      </w:pPr>
      <w:r>
        <w:rPr>
          <w:rFonts w:hint="eastAsia" w:ascii="宋体" w:hAnsi="宋体"/>
          <w:sz w:val="24"/>
        </w:rPr>
        <w:t>所有平台总线的性能数据、错误队列、磁盘空间、通讯点、路由以及日志都支持通过定义通知方式展现给相关人员。通知方式支持包括电子邮件、Windows事件以及日志检索。</w:t>
      </w:r>
    </w:p>
    <w:p>
      <w:pPr>
        <w:spacing w:line="360" w:lineRule="auto"/>
        <w:ind w:firstLine="480" w:firstLineChars="200"/>
        <w:rPr>
          <w:rFonts w:ascii="宋体" w:hAnsi="宋体"/>
          <w:sz w:val="24"/>
        </w:rPr>
      </w:pPr>
      <w:bookmarkStart w:id="215" w:name="_Toc401685689"/>
      <w:bookmarkStart w:id="216" w:name="OLE_LINK16"/>
      <w:bookmarkStart w:id="217" w:name="OLE_LINK15"/>
      <w:r>
        <w:rPr>
          <w:rFonts w:hint="eastAsia" w:ascii="宋体" w:hAnsi="宋体"/>
          <w:sz w:val="24"/>
        </w:rPr>
        <w:t>1.3.14数据库集成</w:t>
      </w:r>
      <w:bookmarkEnd w:id="215"/>
    </w:p>
    <w:p>
      <w:pPr>
        <w:spacing w:line="360" w:lineRule="auto"/>
        <w:ind w:firstLine="480" w:firstLineChars="200"/>
        <w:rPr>
          <w:rFonts w:ascii="宋体" w:hAnsi="宋体"/>
          <w:sz w:val="24"/>
        </w:rPr>
      </w:pPr>
      <w:r>
        <w:rPr>
          <w:rFonts w:hint="eastAsia" w:ascii="宋体" w:hAnsi="宋体"/>
          <w:sz w:val="24"/>
        </w:rPr>
        <w:t>支持集成多种数据库，如DB2、ORACLE、SYBASE和SQL Server等，在定制数据库中提取和插入数据，允许开发多用途的定制应用程序、公共程序以及区域报告等</w:t>
      </w:r>
      <w:bookmarkEnd w:id="216"/>
      <w:bookmarkEnd w:id="217"/>
      <w:r>
        <w:rPr>
          <w:rFonts w:hint="eastAsia" w:ascii="宋体" w:hAnsi="宋体"/>
          <w:sz w:val="24"/>
        </w:rPr>
        <w:t>。</w:t>
      </w:r>
    </w:p>
    <w:p>
      <w:pPr>
        <w:pStyle w:val="79"/>
        <w:widowControl/>
        <w:numPr>
          <w:ilvl w:val="0"/>
          <w:numId w:val="8"/>
        </w:numPr>
        <w:spacing w:line="360" w:lineRule="auto"/>
        <w:ind w:firstLine="480"/>
        <w:contextualSpacing/>
        <w:rPr>
          <w:rFonts w:ascii="宋体" w:hAnsi="宋体"/>
          <w:sz w:val="24"/>
        </w:rPr>
      </w:pPr>
      <w:r>
        <w:rPr>
          <w:rFonts w:hint="eastAsia" w:ascii="宋体" w:hAnsi="宋体"/>
          <w:sz w:val="24"/>
        </w:rPr>
        <w:t>存储结构与非结构性的数据</w:t>
      </w:r>
    </w:p>
    <w:p>
      <w:pPr>
        <w:pStyle w:val="79"/>
        <w:widowControl/>
        <w:numPr>
          <w:ilvl w:val="0"/>
          <w:numId w:val="8"/>
        </w:numPr>
        <w:spacing w:line="360" w:lineRule="auto"/>
        <w:ind w:firstLine="480"/>
        <w:contextualSpacing/>
        <w:rPr>
          <w:rFonts w:ascii="宋体" w:hAnsi="宋体"/>
          <w:sz w:val="24"/>
        </w:rPr>
      </w:pPr>
      <w:r>
        <w:rPr>
          <w:rFonts w:hint="eastAsia" w:ascii="宋体" w:hAnsi="宋体"/>
          <w:sz w:val="24"/>
        </w:rPr>
        <w:t>支持</w:t>
      </w:r>
      <w:r>
        <w:rPr>
          <w:rFonts w:ascii="宋体" w:hAnsi="宋体"/>
          <w:sz w:val="24"/>
        </w:rPr>
        <w:t>IHE (Integrating the Healthcare Enterprise) XDS</w:t>
      </w:r>
    </w:p>
    <w:p>
      <w:pPr>
        <w:pStyle w:val="79"/>
        <w:widowControl/>
        <w:numPr>
          <w:ilvl w:val="0"/>
          <w:numId w:val="8"/>
        </w:numPr>
        <w:spacing w:line="360" w:lineRule="auto"/>
        <w:ind w:firstLine="480"/>
        <w:contextualSpacing/>
        <w:rPr>
          <w:rFonts w:ascii="宋体" w:hAnsi="宋体"/>
          <w:sz w:val="24"/>
        </w:rPr>
      </w:pPr>
      <w:r>
        <w:rPr>
          <w:rFonts w:hint="eastAsia" w:ascii="宋体" w:hAnsi="宋体"/>
          <w:sz w:val="24"/>
        </w:rPr>
        <w:t>参考</w:t>
      </w:r>
      <w:r>
        <w:rPr>
          <w:rFonts w:ascii="宋体" w:hAnsi="宋体"/>
          <w:sz w:val="24"/>
        </w:rPr>
        <w:t>HL7 RIM (Reference Information Model)</w:t>
      </w:r>
    </w:p>
    <w:p>
      <w:pPr>
        <w:pStyle w:val="4"/>
        <w:numPr>
          <w:ilvl w:val="0"/>
          <w:numId w:val="9"/>
        </w:numPr>
        <w:spacing w:before="10" w:line="360" w:lineRule="auto"/>
        <w:ind w:left="0" w:firstLine="0"/>
        <w:rPr>
          <w:rFonts w:hint="eastAsia" w:ascii="宋体" w:hAnsi="宋体" w:eastAsia="宋体"/>
          <w:b/>
          <w:bCs/>
          <w:lang w:val="en-US" w:eastAsia="zh-CN"/>
        </w:rPr>
      </w:pPr>
      <w:bookmarkStart w:id="218" w:name="_Toc92822039"/>
      <w:r>
        <w:rPr>
          <w:rFonts w:ascii="宋体" w:hAnsi="宋体" w:eastAsia="宋体"/>
          <w:b/>
          <w:bCs/>
        </w:rPr>
        <w:t>☆</w:t>
      </w:r>
      <w:r>
        <w:rPr>
          <w:rFonts w:hint="eastAsia" w:ascii="宋体" w:hAnsi="宋体" w:eastAsia="宋体"/>
          <w:b/>
          <w:bCs/>
          <w:lang w:eastAsia="zh-CN"/>
        </w:rPr>
        <w:t>云</w:t>
      </w:r>
      <w:r>
        <w:rPr>
          <w:rFonts w:hint="eastAsia" w:ascii="宋体" w:hAnsi="宋体" w:eastAsia="宋体"/>
          <w:b/>
          <w:bCs/>
          <w:lang w:val="en-US" w:eastAsia="zh-CN"/>
        </w:rPr>
        <w:t>HQMS</w:t>
      </w:r>
    </w:p>
    <w:p>
      <w:pPr>
        <w:spacing w:line="360" w:lineRule="auto"/>
        <w:ind w:firstLine="480" w:firstLineChars="200"/>
        <w:rPr>
          <w:rFonts w:hint="default" w:asciiTheme="minorEastAsia" w:hAnsiTheme="minorEastAsia" w:eastAsiaTheme="minorEastAsia"/>
          <w:sz w:val="24"/>
          <w:szCs w:val="24"/>
          <w:lang w:val="en-US"/>
        </w:rPr>
      </w:pPr>
      <w:r>
        <w:rPr>
          <w:rFonts w:hint="eastAsia" w:asciiTheme="minorEastAsia" w:hAnsiTheme="minorEastAsia" w:eastAsiaTheme="minorEastAsia"/>
          <w:sz w:val="24"/>
          <w:szCs w:val="24"/>
        </w:rPr>
        <w:t>完成卫生部医管司 医院质量监测系统研究中心下发的《HQMS数据对接软件开发说明书》，具体实现内容：医院软件开发人员根据接口标准和开发说明书自行设计数据信息转换程序，生成dBase III格式的dbf文件。利用数据对接测试账户和已分配的对接数据时间段和开发说明书中指定的测试机请求地址上传对接数据包，登录数据对接测试机查看数据对接报告。测试数据对接成功后可自行申请生产系统数据对接账户，申请成功后系统会自动发送账户信息邮件到本医院HQMS系统联系人邮箱中。利用邮件中指定的生产系统网址和对应的数据对接账户对数据信息转换程序中的请求地址进行修改，设置数据信息转换程序实现自动在每天规定时间段内上传数据。生产系统会自动生成相关指标，医院数据填报人员补填未自动生成的指标。</w:t>
      </w:r>
    </w:p>
    <w:p>
      <w:pPr>
        <w:rPr>
          <w:rFonts w:hint="eastAsia" w:ascii="宋体" w:hAnsi="宋体" w:eastAsia="宋体"/>
          <w:b/>
          <w:bCs/>
          <w:lang w:eastAsia="zh-CN"/>
        </w:rPr>
      </w:pPr>
      <w:r>
        <w:rPr>
          <w:rFonts w:hint="eastAsia" w:ascii="宋体" w:hAnsi="宋体" w:eastAsia="宋体"/>
          <w:b/>
          <w:bCs/>
          <w:lang w:eastAsia="zh-CN"/>
        </w:rPr>
        <w:br w:type="page"/>
      </w:r>
    </w:p>
    <w:p>
      <w:pPr>
        <w:pStyle w:val="4"/>
        <w:numPr>
          <w:numId w:val="0"/>
        </w:numPr>
        <w:spacing w:before="10" w:line="360" w:lineRule="auto"/>
        <w:ind w:leftChars="0"/>
        <w:rPr>
          <w:rFonts w:hint="default" w:ascii="宋体" w:hAnsi="宋体" w:eastAsia="宋体"/>
          <w:b/>
          <w:bCs/>
        </w:rPr>
      </w:pPr>
      <w:r>
        <w:rPr>
          <w:rFonts w:hint="eastAsia" w:ascii="宋体" w:hAnsi="宋体" w:eastAsia="宋体"/>
          <w:b/>
          <w:bCs/>
          <w:lang w:eastAsia="zh-CN"/>
        </w:rPr>
        <w:t>三</w:t>
      </w:r>
      <w:r>
        <w:rPr>
          <w:rFonts w:ascii="宋体" w:hAnsi="宋体" w:eastAsia="宋体"/>
          <w:b/>
          <w:bCs/>
        </w:rPr>
        <w:t>、☆医学影像信息系统（PACS/RIS）</w:t>
      </w:r>
      <w:bookmarkEnd w:id="218"/>
    </w:p>
    <w:p>
      <w:pPr>
        <w:pStyle w:val="7"/>
        <w:ind w:firstLine="440"/>
      </w:pPr>
    </w:p>
    <w:p>
      <w:pPr>
        <w:spacing w:line="360" w:lineRule="auto"/>
        <w:ind w:firstLine="566" w:firstLineChars="235"/>
        <w:rPr>
          <w:rFonts w:ascii="宋体" w:hAnsi="宋体"/>
          <w:b/>
          <w:bCs/>
          <w:sz w:val="24"/>
        </w:rPr>
      </w:pPr>
      <w:r>
        <w:rPr>
          <w:rFonts w:ascii="宋体" w:hAnsi="宋体"/>
          <w:b/>
          <w:bCs/>
          <w:sz w:val="24"/>
        </w:rPr>
        <w:t>系统后台服务</w:t>
      </w:r>
    </w:p>
    <w:p>
      <w:pPr>
        <w:spacing w:line="360" w:lineRule="auto"/>
        <w:ind w:firstLine="566" w:firstLineChars="235"/>
        <w:rPr>
          <w:rFonts w:ascii="宋体" w:hAnsi="宋体"/>
          <w:b/>
          <w:bCs/>
          <w:sz w:val="24"/>
        </w:rPr>
      </w:pPr>
      <w:r>
        <w:rPr>
          <w:rFonts w:ascii="宋体" w:hAnsi="宋体"/>
          <w:b/>
          <w:bCs/>
          <w:sz w:val="24"/>
        </w:rPr>
        <w:t>1.1</w:t>
      </w:r>
      <w:r>
        <w:rPr>
          <w:rFonts w:ascii="宋体" w:hAnsi="宋体"/>
          <w:b/>
          <w:bCs/>
          <w:sz w:val="24"/>
        </w:rPr>
        <w:tab/>
      </w:r>
      <w:r>
        <w:rPr>
          <w:rFonts w:ascii="宋体" w:hAnsi="宋体"/>
          <w:b/>
          <w:bCs/>
          <w:sz w:val="24"/>
        </w:rPr>
        <w:t>DICOM设备接入</w:t>
      </w:r>
    </w:p>
    <w:p>
      <w:pPr>
        <w:pStyle w:val="14"/>
        <w:spacing w:before="1" w:line="360" w:lineRule="auto"/>
        <w:ind w:left="320" w:firstLine="420"/>
        <w:rPr>
          <w:rFonts w:ascii="宋体" w:hAnsi="宋体"/>
        </w:rPr>
      </w:pPr>
      <w:r>
        <w:rPr>
          <w:rFonts w:hint="eastAsia" w:ascii="宋体" w:hAnsi="宋体"/>
        </w:rPr>
        <w:t>支持连接全院</w:t>
      </w:r>
      <w:r>
        <w:rPr>
          <w:rFonts w:ascii="宋体" w:hAnsi="宋体"/>
        </w:rPr>
        <w:t>DR、超声等所有医疗影像设备。</w:t>
      </w:r>
    </w:p>
    <w:p>
      <w:pPr>
        <w:pStyle w:val="14"/>
        <w:spacing w:before="1" w:line="360" w:lineRule="auto"/>
        <w:ind w:left="320" w:firstLine="420"/>
        <w:rPr>
          <w:rFonts w:ascii="宋体" w:hAnsi="宋体"/>
        </w:rPr>
      </w:pPr>
      <w:r>
        <w:rPr>
          <w:rFonts w:hint="eastAsia" w:ascii="宋体" w:hAnsi="宋体"/>
        </w:rPr>
        <w:t>提供</w:t>
      </w:r>
      <w:r>
        <w:rPr>
          <w:rFonts w:ascii="宋体" w:hAnsi="宋体"/>
        </w:rPr>
        <w:t>DICOM Modality Worklist SCP工作清单列表功能</w:t>
      </w:r>
    </w:p>
    <w:p>
      <w:pPr>
        <w:pStyle w:val="14"/>
        <w:spacing w:before="1" w:line="360" w:lineRule="auto"/>
        <w:ind w:left="320" w:firstLine="420"/>
        <w:rPr>
          <w:rFonts w:ascii="宋体" w:hAnsi="宋体"/>
        </w:rPr>
      </w:pPr>
      <w:r>
        <w:rPr>
          <w:rFonts w:hint="eastAsia" w:ascii="宋体" w:hAnsi="宋体"/>
        </w:rPr>
        <w:t>支持</w:t>
      </w:r>
      <w:r>
        <w:rPr>
          <w:rFonts w:ascii="宋体" w:hAnsi="宋体"/>
        </w:rPr>
        <w:t>Worklist 设备自动传递DICOM Worklist基本信息，实现英文影像主机系统病人姓名（拼音）的自动转换中文工作,避免设备端信息重复输入。</w:t>
      </w:r>
    </w:p>
    <w:p>
      <w:pPr>
        <w:pStyle w:val="14"/>
        <w:spacing w:before="1" w:line="360" w:lineRule="auto"/>
        <w:ind w:left="320" w:firstLine="420"/>
        <w:rPr>
          <w:rFonts w:ascii="宋体" w:hAnsi="宋体"/>
        </w:rPr>
      </w:pPr>
      <w:r>
        <w:rPr>
          <w:rFonts w:hint="eastAsia" w:ascii="宋体" w:hAnsi="宋体"/>
        </w:rPr>
        <w:t>支持</w:t>
      </w:r>
      <w:r>
        <w:rPr>
          <w:rFonts w:ascii="宋体" w:hAnsi="宋体"/>
        </w:rPr>
        <w:t>DICOM Q/R方式进行影像检索，允许影像设备或第三方工作站直接从影像服务器获取影像数据。</w:t>
      </w:r>
    </w:p>
    <w:p>
      <w:pPr>
        <w:spacing w:line="360" w:lineRule="auto"/>
        <w:ind w:firstLine="566" w:firstLineChars="235"/>
        <w:rPr>
          <w:rFonts w:ascii="宋体" w:hAnsi="宋体"/>
          <w:b/>
          <w:bCs/>
          <w:sz w:val="24"/>
        </w:rPr>
      </w:pPr>
      <w:r>
        <w:rPr>
          <w:rFonts w:ascii="宋体" w:hAnsi="宋体"/>
          <w:b/>
          <w:bCs/>
          <w:sz w:val="24"/>
        </w:rPr>
        <w:t>1.2</w:t>
      </w:r>
      <w:r>
        <w:rPr>
          <w:rFonts w:ascii="宋体" w:hAnsi="宋体"/>
          <w:b/>
          <w:bCs/>
          <w:sz w:val="24"/>
        </w:rPr>
        <w:tab/>
      </w:r>
      <w:r>
        <w:rPr>
          <w:rFonts w:ascii="宋体" w:hAnsi="宋体"/>
          <w:b/>
          <w:bCs/>
          <w:sz w:val="24"/>
        </w:rPr>
        <w:t>存储管理服务</w:t>
      </w:r>
    </w:p>
    <w:p>
      <w:pPr>
        <w:pStyle w:val="14"/>
        <w:spacing w:before="1" w:line="360" w:lineRule="auto"/>
        <w:ind w:left="320" w:firstLine="420"/>
        <w:rPr>
          <w:rFonts w:ascii="宋体" w:hAnsi="宋体"/>
        </w:rPr>
      </w:pPr>
      <w:r>
        <w:rPr>
          <w:rFonts w:hint="eastAsia" w:ascii="宋体" w:hAnsi="宋体"/>
        </w:rPr>
        <w:t>支持建立</w:t>
      </w:r>
      <w:r>
        <w:rPr>
          <w:rFonts w:ascii="宋体" w:hAnsi="宋体"/>
        </w:rPr>
        <w:t>PACS影像数据存储中心平台；能够管理磁盘阵列等海量数据存储；支持大任务量并发请求，支持医院日后进行新设备连接不需再升级PACS服务器软件</w:t>
      </w:r>
    </w:p>
    <w:p>
      <w:pPr>
        <w:pStyle w:val="14"/>
        <w:spacing w:before="1" w:line="360" w:lineRule="auto"/>
        <w:ind w:left="320" w:firstLine="420"/>
        <w:rPr>
          <w:rFonts w:ascii="宋体" w:hAnsi="宋体"/>
        </w:rPr>
      </w:pPr>
      <w:r>
        <w:rPr>
          <w:rFonts w:hint="eastAsia" w:ascii="宋体" w:hAnsi="宋体"/>
        </w:rPr>
        <w:t>存储图像格式为</w:t>
      </w:r>
      <w:r>
        <w:rPr>
          <w:rFonts w:ascii="宋体" w:hAnsi="宋体"/>
        </w:rPr>
        <w:t>DICOM标准，符合DICOM3.0标准；图像存储SCU/SCP，DICOM工作清单，DICOM MPPS，DICOM SOP，PATIENT/STUDY ROOT QUERY/RETRIEVE SCU/SCP；</w:t>
      </w:r>
    </w:p>
    <w:p>
      <w:pPr>
        <w:pStyle w:val="14"/>
        <w:spacing w:before="1" w:line="360" w:lineRule="auto"/>
        <w:ind w:left="320" w:firstLine="420"/>
        <w:rPr>
          <w:rFonts w:ascii="宋体" w:hAnsi="宋体"/>
        </w:rPr>
      </w:pPr>
      <w:r>
        <w:rPr>
          <w:rFonts w:hint="eastAsia" w:ascii="宋体" w:hAnsi="宋体"/>
        </w:rPr>
        <w:t>支持符合</w:t>
      </w:r>
      <w:r>
        <w:rPr>
          <w:rFonts w:ascii="宋体" w:hAnsi="宋体"/>
        </w:rPr>
        <w:t>DICOM JPEG2000国标标准压缩格式进行存储；</w:t>
      </w:r>
    </w:p>
    <w:p>
      <w:pPr>
        <w:pStyle w:val="14"/>
        <w:spacing w:before="1" w:line="360" w:lineRule="auto"/>
        <w:ind w:left="320" w:firstLine="420"/>
        <w:rPr>
          <w:rFonts w:ascii="宋体" w:hAnsi="宋体"/>
        </w:rPr>
      </w:pPr>
      <w:r>
        <w:rPr>
          <w:rFonts w:hint="eastAsia" w:ascii="宋体" w:hAnsi="宋体"/>
        </w:rPr>
        <w:t>支持影像有损压缩（</w:t>
      </w:r>
      <w:r>
        <w:rPr>
          <w:rFonts w:ascii="宋体" w:hAnsi="宋体"/>
        </w:rPr>
        <w:t>LOSSY）和无损压缩（LOSSLESS）两种常见格式；</w:t>
      </w:r>
    </w:p>
    <w:p>
      <w:pPr>
        <w:pStyle w:val="14"/>
        <w:spacing w:before="1" w:line="360" w:lineRule="auto"/>
        <w:ind w:left="320" w:firstLine="420"/>
        <w:rPr>
          <w:rFonts w:ascii="宋体" w:hAnsi="宋体"/>
        </w:rPr>
      </w:pPr>
      <w:r>
        <w:rPr>
          <w:rFonts w:hint="eastAsia" w:ascii="宋体" w:hAnsi="宋体"/>
        </w:rPr>
        <w:t>可针对各种非</w:t>
      </w:r>
      <w:r>
        <w:rPr>
          <w:rFonts w:ascii="宋体" w:hAnsi="宋体"/>
        </w:rPr>
        <w:t>DICOM标准影像，进行单帧或者多帧采集，并转换为标准DICOM格式，能够对非DICOM标准影像采集实时显示，调节图像对比度、亮度、饱和度、色度等。</w:t>
      </w:r>
    </w:p>
    <w:p>
      <w:pPr>
        <w:pStyle w:val="14"/>
        <w:spacing w:before="1" w:line="360" w:lineRule="auto"/>
        <w:ind w:left="320" w:firstLine="420"/>
        <w:rPr>
          <w:rFonts w:ascii="宋体" w:hAnsi="宋体"/>
        </w:rPr>
      </w:pPr>
      <w:r>
        <w:rPr>
          <w:rFonts w:hint="eastAsia" w:ascii="宋体" w:hAnsi="宋体"/>
        </w:rPr>
        <w:t>可直接接收所有符合</w:t>
      </w:r>
      <w:r>
        <w:rPr>
          <w:rFonts w:ascii="宋体" w:hAnsi="宋体"/>
        </w:rPr>
        <w:t>DICOM3.0标准的影像数据图像导入</w:t>
      </w:r>
    </w:p>
    <w:p>
      <w:pPr>
        <w:pStyle w:val="14"/>
        <w:spacing w:before="1" w:line="360" w:lineRule="auto"/>
        <w:ind w:left="320" w:firstLine="420"/>
        <w:rPr>
          <w:rFonts w:ascii="宋体" w:hAnsi="宋体"/>
        </w:rPr>
      </w:pPr>
      <w:r>
        <w:rPr>
          <w:rFonts w:hint="eastAsia" w:ascii="宋体" w:hAnsi="宋体"/>
        </w:rPr>
        <w:t>设备工作站及副台可以设置同</w:t>
      </w:r>
      <w:r>
        <w:rPr>
          <w:rFonts w:ascii="宋体" w:hAnsi="宋体"/>
        </w:rPr>
        <w:t>DICOM设备显示标识，方便查询及归档</w:t>
      </w:r>
    </w:p>
    <w:p>
      <w:pPr>
        <w:pStyle w:val="14"/>
        <w:spacing w:before="1" w:line="360" w:lineRule="auto"/>
        <w:ind w:left="320" w:firstLine="420"/>
        <w:rPr>
          <w:rFonts w:ascii="宋体" w:hAnsi="宋体"/>
        </w:rPr>
      </w:pPr>
      <w:r>
        <w:rPr>
          <w:rFonts w:hint="eastAsia" w:ascii="宋体" w:hAnsi="宋体"/>
        </w:rPr>
        <w:t>通过脚本语言灵活的对影像的分发、获取、存储机制进行设置；</w:t>
      </w:r>
    </w:p>
    <w:p>
      <w:pPr>
        <w:pStyle w:val="14"/>
        <w:spacing w:before="1" w:line="360" w:lineRule="auto"/>
        <w:ind w:left="320" w:firstLine="420"/>
        <w:rPr>
          <w:rFonts w:ascii="宋体" w:hAnsi="宋体"/>
        </w:rPr>
      </w:pPr>
      <w:r>
        <w:rPr>
          <w:rFonts w:hint="eastAsia" w:ascii="宋体" w:hAnsi="宋体"/>
        </w:rPr>
        <w:t>影像备份设备（</w:t>
      </w:r>
      <w:r>
        <w:rPr>
          <w:rFonts w:ascii="宋体" w:hAnsi="宋体"/>
        </w:rPr>
        <w:t>DVD、USB存储设备、磁盘阵列等）支持DICOM Storage Commitment功能与PACS系統其他单元连接,确保影像资料传送的正确与完整性。</w:t>
      </w:r>
    </w:p>
    <w:p>
      <w:pPr>
        <w:pStyle w:val="14"/>
        <w:spacing w:before="1" w:line="360" w:lineRule="auto"/>
        <w:ind w:left="320" w:firstLine="420"/>
        <w:rPr>
          <w:rFonts w:ascii="宋体" w:hAnsi="宋体"/>
        </w:rPr>
      </w:pPr>
      <w:r>
        <w:rPr>
          <w:rFonts w:hint="eastAsia" w:ascii="宋体" w:hAnsi="宋体"/>
        </w:rPr>
        <w:t>支持</w:t>
      </w:r>
      <w:r>
        <w:rPr>
          <w:rFonts w:ascii="宋体" w:hAnsi="宋体"/>
        </w:rPr>
        <w:t>DICOM Raw data、DICOM Part10、DICOM JPEG-Lossless、DICOM JPEG-Lossy等所有标准DICOM影像类型以及BMP、JPG、AVI、GIF等通用影像格式。可从超声等影像设备上采集单帧彩色或灰度影像。支持NTSC、PAL、S-Video、RGB等视频信号采集。采集时不影响设备操作。采集的影像可以存为BMP、JPG等通用格式，也可转换为DICOM格式；也可从超声等影像设备上采集动态彩色影像。采样频率最高可达到60帧/秒。采集时间长度无限制(在磁盘空间允许的</w:t>
      </w:r>
      <w:r>
        <w:rPr>
          <w:rFonts w:hint="eastAsia" w:ascii="宋体" w:hAnsi="宋体"/>
        </w:rPr>
        <w:t>范围内</w:t>
      </w:r>
      <w:r>
        <w:rPr>
          <w:rFonts w:ascii="宋体" w:hAnsi="宋体"/>
        </w:rPr>
        <w:t>)。采集的影像可以存为AVI 等通用格式，也可存为DICOM标准多帧影像格式。</w:t>
      </w:r>
    </w:p>
    <w:p>
      <w:pPr>
        <w:pStyle w:val="14"/>
        <w:spacing w:before="1" w:line="360" w:lineRule="auto"/>
        <w:ind w:left="320" w:firstLine="420"/>
        <w:rPr>
          <w:rFonts w:ascii="宋体" w:hAnsi="宋体"/>
        </w:rPr>
      </w:pPr>
      <w:r>
        <w:rPr>
          <w:rFonts w:hint="eastAsia" w:ascii="宋体" w:hAnsi="宋体"/>
        </w:rPr>
        <w:t>对</w:t>
      </w:r>
      <w:r>
        <w:rPr>
          <w:rFonts w:ascii="宋体" w:hAnsi="宋体"/>
        </w:rPr>
        <w:t>PACS系统中的设备以及站点进行综合的管理，支持在线管理方式；</w:t>
      </w:r>
    </w:p>
    <w:p>
      <w:pPr>
        <w:pStyle w:val="14"/>
        <w:spacing w:before="1" w:line="360" w:lineRule="auto"/>
        <w:ind w:left="320" w:firstLine="420"/>
        <w:rPr>
          <w:rFonts w:ascii="宋体" w:hAnsi="宋体"/>
        </w:rPr>
      </w:pPr>
      <w:r>
        <w:rPr>
          <w:rFonts w:hint="eastAsia" w:ascii="宋体" w:hAnsi="宋体"/>
        </w:rPr>
        <w:t>支持服务器集群、双机容错工作模式、并行模式；</w:t>
      </w:r>
    </w:p>
    <w:p>
      <w:pPr>
        <w:pStyle w:val="14"/>
        <w:spacing w:before="1" w:line="360" w:lineRule="auto"/>
        <w:ind w:left="320" w:firstLine="420"/>
        <w:rPr>
          <w:rFonts w:ascii="宋体" w:hAnsi="宋体"/>
        </w:rPr>
      </w:pPr>
      <w:r>
        <w:rPr>
          <w:rFonts w:hint="eastAsia" w:ascii="宋体" w:hAnsi="宋体"/>
        </w:rPr>
        <w:t>所有设备影像直接发送到服务器，不经过其他工作站中转，病人所有影像可以集中阅片；</w:t>
      </w:r>
    </w:p>
    <w:p>
      <w:pPr>
        <w:pStyle w:val="14"/>
        <w:spacing w:before="1" w:line="360" w:lineRule="auto"/>
        <w:ind w:left="320" w:firstLine="420"/>
        <w:rPr>
          <w:rFonts w:ascii="宋体" w:hAnsi="宋体"/>
        </w:rPr>
      </w:pPr>
      <w:r>
        <w:rPr>
          <w:rFonts w:hint="eastAsia" w:ascii="宋体" w:hAnsi="宋体"/>
        </w:rPr>
        <w:t>支持所有图像的数据都在线保存，定期备份。</w:t>
      </w:r>
    </w:p>
    <w:p>
      <w:pPr>
        <w:pStyle w:val="14"/>
        <w:spacing w:before="1" w:line="360" w:lineRule="auto"/>
        <w:ind w:left="320" w:firstLine="420"/>
        <w:rPr>
          <w:rFonts w:ascii="宋体" w:hAnsi="宋体"/>
        </w:rPr>
      </w:pPr>
      <w:r>
        <w:rPr>
          <w:rFonts w:hint="eastAsia" w:ascii="宋体" w:hAnsi="宋体"/>
        </w:rPr>
        <w:t>支持同時接受多个</w:t>
      </w:r>
      <w:r>
        <w:rPr>
          <w:rFonts w:ascii="宋体" w:hAnsi="宋体"/>
        </w:rPr>
        <w:t>Store SCU，提供使用者查询影像模式等。</w:t>
      </w:r>
    </w:p>
    <w:p>
      <w:pPr>
        <w:pStyle w:val="14"/>
        <w:spacing w:before="1" w:line="360" w:lineRule="auto"/>
        <w:ind w:left="320" w:firstLine="420"/>
        <w:rPr>
          <w:rFonts w:ascii="宋体" w:hAnsi="宋体"/>
        </w:rPr>
      </w:pPr>
      <w:r>
        <w:rPr>
          <w:rFonts w:hint="eastAsia" w:ascii="宋体" w:hAnsi="宋体"/>
        </w:rPr>
        <w:t>支持选择应用是否需要另存影像的设置。</w:t>
      </w:r>
    </w:p>
    <w:p>
      <w:pPr>
        <w:pStyle w:val="14"/>
        <w:spacing w:before="1" w:line="360" w:lineRule="auto"/>
        <w:ind w:left="320" w:firstLine="420"/>
        <w:rPr>
          <w:rFonts w:ascii="宋体" w:hAnsi="宋体"/>
        </w:rPr>
      </w:pPr>
      <w:r>
        <w:rPr>
          <w:rFonts w:ascii="宋体" w:hAnsi="宋体"/>
        </w:rPr>
        <w:t>DICOM sever故障时，诊断和临床应用完全不受影响，诊断工作站可以临时从影像设备直接获取影像</w:t>
      </w:r>
    </w:p>
    <w:p>
      <w:pPr>
        <w:pStyle w:val="14"/>
        <w:spacing w:before="1" w:line="360" w:lineRule="auto"/>
        <w:ind w:left="320" w:firstLine="420"/>
        <w:rPr>
          <w:rFonts w:ascii="宋体" w:hAnsi="宋体"/>
        </w:rPr>
      </w:pPr>
      <w:r>
        <w:rPr>
          <w:rFonts w:hint="eastAsia" w:ascii="宋体" w:hAnsi="宋体"/>
        </w:rPr>
        <w:t>能保证在主服务器或网络系统瘫痪时，通过配置摄片管理工作站来保持工作，系统恢复后，再将所有数据传递至服务器，并恢复正常的工作流程。</w:t>
      </w:r>
    </w:p>
    <w:p>
      <w:pPr>
        <w:pStyle w:val="14"/>
        <w:spacing w:before="1" w:line="360" w:lineRule="auto"/>
        <w:ind w:left="320" w:firstLine="420"/>
        <w:rPr>
          <w:rFonts w:ascii="宋体" w:hAnsi="宋体"/>
        </w:rPr>
      </w:pPr>
      <w:r>
        <w:rPr>
          <w:rFonts w:hint="eastAsia" w:ascii="宋体" w:hAnsi="宋体"/>
        </w:rPr>
        <w:t>支持双机热备功能，具有稳定的系统数据备份和恢复功能。提供影像数据能满足在线、近线、离线等不同的存储方式。存储系统能够自动管理不同方式之间数据的迁移和恢复，能够提供用户可配置设备的迁移策略。离线采用光盘或硬盘备份系统，可以对在线存储进行定时、增量以及全备份。可设定存储管理策略，支持自动和手动方式管理。</w:t>
      </w:r>
    </w:p>
    <w:p>
      <w:pPr>
        <w:pStyle w:val="14"/>
        <w:spacing w:before="1" w:line="360" w:lineRule="auto"/>
        <w:ind w:left="320" w:firstLine="420"/>
        <w:rPr>
          <w:rFonts w:ascii="宋体" w:hAnsi="宋体"/>
        </w:rPr>
      </w:pPr>
      <w:r>
        <w:rPr>
          <w:rFonts w:hint="eastAsia" w:ascii="宋体" w:hAnsi="宋体"/>
        </w:rPr>
        <w:t>系统支持全在线存储方式，支持影像数据的短期存储管理和长期存储管理；采用冗余存储技术和镜象存储方式；提供定时自动备份及数据迁移功能，支持自定义条件（按检查号和检查类型等）的影像数据自动备份、数据库自动进行逻辑备份和物理备份。支持手动进行影像数据备份、迁移和数据库备份。支持按数据库表进行备份。</w:t>
      </w:r>
    </w:p>
    <w:p>
      <w:pPr>
        <w:pStyle w:val="14"/>
        <w:spacing w:before="1" w:line="360" w:lineRule="auto"/>
        <w:ind w:left="320" w:firstLine="420"/>
        <w:rPr>
          <w:rFonts w:ascii="宋体" w:hAnsi="宋体"/>
        </w:rPr>
      </w:pPr>
      <w:r>
        <w:rPr>
          <w:rFonts w:hint="eastAsia" w:ascii="宋体" w:hAnsi="宋体"/>
        </w:rPr>
        <w:t>支持多种存储架构和存储介质，支持光盘塔，磁带库等近线、离线存储设备，支持多重存储体系以及数据管理方式。</w:t>
      </w:r>
    </w:p>
    <w:p>
      <w:pPr>
        <w:pStyle w:val="14"/>
        <w:spacing w:before="1" w:line="360" w:lineRule="auto"/>
        <w:ind w:left="320" w:firstLine="420"/>
        <w:rPr>
          <w:rFonts w:ascii="宋体" w:hAnsi="宋体"/>
        </w:rPr>
      </w:pPr>
      <w:r>
        <w:rPr>
          <w:rFonts w:hint="eastAsia" w:ascii="宋体" w:hAnsi="宋体"/>
        </w:rPr>
        <w:t>具有影像数据存储状态提示功能。</w:t>
      </w:r>
    </w:p>
    <w:p>
      <w:pPr>
        <w:spacing w:line="360" w:lineRule="auto"/>
        <w:ind w:firstLine="566" w:firstLineChars="235"/>
        <w:rPr>
          <w:rFonts w:ascii="宋体" w:hAnsi="宋体"/>
          <w:b/>
          <w:bCs/>
          <w:sz w:val="24"/>
        </w:rPr>
      </w:pPr>
      <w:r>
        <w:rPr>
          <w:rFonts w:ascii="宋体" w:hAnsi="宋体"/>
          <w:b/>
          <w:bCs/>
          <w:sz w:val="24"/>
        </w:rPr>
        <w:t>1.3</w:t>
      </w:r>
      <w:r>
        <w:rPr>
          <w:rFonts w:ascii="宋体" w:hAnsi="宋体"/>
          <w:b/>
          <w:bCs/>
          <w:sz w:val="24"/>
        </w:rPr>
        <w:tab/>
      </w:r>
      <w:r>
        <w:rPr>
          <w:rFonts w:ascii="宋体" w:hAnsi="宋体"/>
          <w:b/>
          <w:bCs/>
          <w:sz w:val="24"/>
        </w:rPr>
        <w:t>自动更新服务</w:t>
      </w:r>
    </w:p>
    <w:p>
      <w:pPr>
        <w:spacing w:line="360" w:lineRule="auto"/>
        <w:ind w:firstLine="564" w:firstLineChars="235"/>
        <w:rPr>
          <w:rFonts w:ascii="宋体" w:hAnsi="宋体"/>
          <w:sz w:val="24"/>
        </w:rPr>
      </w:pPr>
      <w:r>
        <w:rPr>
          <w:rFonts w:hint="eastAsia" w:ascii="宋体" w:hAnsi="宋体"/>
          <w:sz w:val="24"/>
        </w:rPr>
        <w:t>支持客户端的自动更新功能</w:t>
      </w:r>
    </w:p>
    <w:p>
      <w:pPr>
        <w:spacing w:line="360" w:lineRule="auto"/>
        <w:ind w:firstLine="566" w:firstLineChars="235"/>
        <w:rPr>
          <w:rFonts w:ascii="宋体" w:hAnsi="宋体"/>
          <w:b/>
          <w:bCs/>
          <w:sz w:val="24"/>
        </w:rPr>
      </w:pPr>
      <w:r>
        <w:rPr>
          <w:rFonts w:ascii="宋体" w:hAnsi="宋体"/>
          <w:b/>
          <w:bCs/>
          <w:sz w:val="24"/>
        </w:rPr>
        <w:t>1.4</w:t>
      </w:r>
      <w:r>
        <w:rPr>
          <w:rFonts w:ascii="宋体" w:hAnsi="宋体"/>
          <w:b/>
          <w:bCs/>
          <w:sz w:val="24"/>
        </w:rPr>
        <w:tab/>
      </w:r>
      <w:r>
        <w:rPr>
          <w:rFonts w:ascii="宋体" w:hAnsi="宋体"/>
          <w:b/>
          <w:bCs/>
          <w:sz w:val="24"/>
        </w:rPr>
        <w:t>系统监控服务</w:t>
      </w:r>
    </w:p>
    <w:p>
      <w:pPr>
        <w:pStyle w:val="14"/>
        <w:spacing w:before="1" w:line="360" w:lineRule="auto"/>
        <w:ind w:left="320" w:firstLine="420"/>
        <w:rPr>
          <w:rFonts w:ascii="宋体" w:hAnsi="宋体"/>
        </w:rPr>
      </w:pPr>
      <w:r>
        <w:rPr>
          <w:rFonts w:hint="eastAsia" w:ascii="宋体" w:hAnsi="宋体"/>
        </w:rPr>
        <w:t>提供详细的系统日志记录和管理功能，易于进行系统维护。</w:t>
      </w:r>
    </w:p>
    <w:p>
      <w:pPr>
        <w:pStyle w:val="14"/>
        <w:spacing w:before="1" w:line="360" w:lineRule="auto"/>
        <w:ind w:left="320" w:firstLine="420"/>
        <w:rPr>
          <w:rFonts w:ascii="宋体" w:hAnsi="宋体"/>
        </w:rPr>
      </w:pPr>
      <w:r>
        <w:rPr>
          <w:rFonts w:hint="eastAsia" w:ascii="宋体" w:hAnsi="宋体"/>
        </w:rPr>
        <w:t>提供服务器资源监控功能（提供系统截图）</w:t>
      </w:r>
    </w:p>
    <w:p>
      <w:pPr>
        <w:pStyle w:val="14"/>
        <w:spacing w:before="1" w:line="360" w:lineRule="auto"/>
        <w:ind w:left="320" w:firstLine="420"/>
        <w:rPr>
          <w:rFonts w:ascii="宋体" w:hAnsi="宋体"/>
        </w:rPr>
      </w:pPr>
      <w:r>
        <w:rPr>
          <w:rFonts w:hint="eastAsia" w:ascii="宋体" w:hAnsi="宋体"/>
        </w:rPr>
        <w:t>提供系统服务监控功能（提供系统截图）</w:t>
      </w:r>
    </w:p>
    <w:p>
      <w:pPr>
        <w:spacing w:line="360" w:lineRule="auto"/>
        <w:ind w:firstLine="566" w:firstLineChars="235"/>
        <w:rPr>
          <w:rFonts w:ascii="宋体" w:hAnsi="宋体"/>
          <w:b/>
          <w:bCs/>
          <w:sz w:val="24"/>
        </w:rPr>
      </w:pPr>
      <w:r>
        <w:rPr>
          <w:rFonts w:ascii="宋体" w:hAnsi="宋体"/>
          <w:b/>
          <w:bCs/>
          <w:sz w:val="24"/>
        </w:rPr>
        <w:t>1.5</w:t>
      </w:r>
      <w:r>
        <w:rPr>
          <w:rFonts w:ascii="宋体" w:hAnsi="宋体"/>
          <w:b/>
          <w:bCs/>
          <w:sz w:val="24"/>
        </w:rPr>
        <w:tab/>
      </w:r>
      <w:r>
        <w:rPr>
          <w:rFonts w:ascii="宋体" w:hAnsi="宋体"/>
          <w:b/>
          <w:bCs/>
          <w:sz w:val="24"/>
        </w:rPr>
        <w:t>RIS核心服务</w:t>
      </w:r>
    </w:p>
    <w:p>
      <w:pPr>
        <w:pStyle w:val="14"/>
        <w:spacing w:before="1" w:line="360" w:lineRule="auto"/>
        <w:ind w:left="320" w:firstLine="420"/>
        <w:rPr>
          <w:rFonts w:ascii="宋体" w:hAnsi="宋体"/>
        </w:rPr>
      </w:pPr>
      <w:r>
        <w:rPr>
          <w:rFonts w:hint="eastAsia" w:ascii="宋体" w:hAnsi="宋体"/>
        </w:rPr>
        <w:t>所投</w:t>
      </w:r>
      <w:r>
        <w:rPr>
          <w:rFonts w:ascii="宋体" w:hAnsi="宋体"/>
        </w:rPr>
        <w:t>PACS/RIS必须使用同一套数据库，实现核心级的集成。</w:t>
      </w:r>
    </w:p>
    <w:p>
      <w:pPr>
        <w:pStyle w:val="14"/>
        <w:spacing w:before="1" w:line="360" w:lineRule="auto"/>
        <w:ind w:left="320" w:firstLine="420"/>
        <w:rPr>
          <w:rFonts w:ascii="宋体" w:hAnsi="宋体"/>
        </w:rPr>
      </w:pPr>
      <w:r>
        <w:rPr>
          <w:rFonts w:hint="eastAsia" w:ascii="宋体" w:hAnsi="宋体"/>
        </w:rPr>
        <w:t>具备接收</w:t>
      </w:r>
      <w:r>
        <w:rPr>
          <w:rFonts w:ascii="宋体" w:hAnsi="宋体"/>
        </w:rPr>
        <w:t>HIS中患者挂号登记（ADT）信息功能；具备提供设备工作列表（worklist）服务的能力；具备DICOM C-STORE SCP功能，可归档设备上传图像；具备DICOM Storage commitment SCP功能，可同设备进行存储确认流程；具备DICOM query/retrieve SCP功能，提供DICOM对象查询/检索服务。</w:t>
      </w:r>
    </w:p>
    <w:p>
      <w:pPr>
        <w:pStyle w:val="14"/>
        <w:spacing w:before="1" w:line="360" w:lineRule="auto"/>
        <w:ind w:left="320" w:firstLine="420"/>
        <w:rPr>
          <w:rFonts w:ascii="宋体" w:hAnsi="宋体"/>
        </w:rPr>
      </w:pPr>
      <w:r>
        <w:rPr>
          <w:rFonts w:hint="eastAsia" w:ascii="宋体" w:hAnsi="宋体"/>
        </w:rPr>
        <w:t>可配置的影像信息核对项，保证病人影像数据的正确性和有效性。</w:t>
      </w:r>
    </w:p>
    <w:p>
      <w:pPr>
        <w:pStyle w:val="14"/>
        <w:spacing w:before="1" w:line="360" w:lineRule="auto"/>
        <w:ind w:left="320" w:firstLine="420"/>
        <w:rPr>
          <w:rFonts w:ascii="宋体" w:hAnsi="宋体"/>
        </w:rPr>
      </w:pPr>
      <w:r>
        <w:rPr>
          <w:rFonts w:hint="eastAsia" w:ascii="宋体" w:hAnsi="宋体"/>
        </w:rPr>
        <w:t>查询和获取病人影像数据，并支持显示影像的缩略图；</w:t>
      </w:r>
    </w:p>
    <w:p>
      <w:pPr>
        <w:pStyle w:val="14"/>
        <w:spacing w:before="1" w:line="360" w:lineRule="auto"/>
        <w:ind w:left="320" w:firstLine="420"/>
        <w:rPr>
          <w:rFonts w:ascii="宋体" w:hAnsi="宋体"/>
        </w:rPr>
      </w:pPr>
      <w:r>
        <w:rPr>
          <w:rFonts w:hint="eastAsia" w:ascii="宋体" w:hAnsi="宋体"/>
        </w:rPr>
        <w:t>支持补拍影像自动匹配及归档。</w:t>
      </w:r>
    </w:p>
    <w:p>
      <w:pPr>
        <w:pStyle w:val="14"/>
        <w:spacing w:before="1" w:line="360" w:lineRule="auto"/>
        <w:ind w:left="320" w:firstLine="420"/>
        <w:rPr>
          <w:rFonts w:ascii="宋体" w:hAnsi="宋体"/>
        </w:rPr>
      </w:pPr>
      <w:r>
        <w:rPr>
          <w:rFonts w:hint="eastAsia" w:ascii="宋体" w:hAnsi="宋体"/>
        </w:rPr>
        <w:t>自动匹配失败，允许手工匹配。</w:t>
      </w:r>
    </w:p>
    <w:p>
      <w:pPr>
        <w:pStyle w:val="14"/>
        <w:spacing w:before="1" w:line="360" w:lineRule="auto"/>
        <w:ind w:left="320" w:firstLine="420"/>
        <w:rPr>
          <w:rFonts w:ascii="宋体" w:hAnsi="宋体"/>
        </w:rPr>
      </w:pPr>
      <w:r>
        <w:rPr>
          <w:rFonts w:hint="eastAsia" w:ascii="宋体" w:hAnsi="宋体"/>
        </w:rPr>
        <w:t>自动将影像与</w:t>
      </w:r>
      <w:r>
        <w:rPr>
          <w:rFonts w:ascii="宋体" w:hAnsi="宋体"/>
        </w:rPr>
        <w:t>RIS系统中的数据进行匹配、统一；</w:t>
      </w:r>
    </w:p>
    <w:p>
      <w:pPr>
        <w:pStyle w:val="14"/>
        <w:spacing w:before="1" w:line="360" w:lineRule="auto"/>
        <w:ind w:left="320" w:firstLine="420"/>
        <w:rPr>
          <w:rFonts w:ascii="宋体" w:hAnsi="宋体"/>
        </w:rPr>
      </w:pPr>
      <w:r>
        <w:rPr>
          <w:rFonts w:hint="eastAsia" w:ascii="宋体" w:hAnsi="宋体"/>
        </w:rPr>
        <w:t>能定时检索符合条件的影像科室检查信息，并负责上传到影像中心。</w:t>
      </w:r>
    </w:p>
    <w:p>
      <w:pPr>
        <w:pStyle w:val="14"/>
        <w:spacing w:before="1" w:line="360" w:lineRule="auto"/>
        <w:ind w:left="320" w:firstLine="420"/>
        <w:rPr>
          <w:rFonts w:ascii="宋体" w:hAnsi="宋体"/>
        </w:rPr>
      </w:pPr>
      <w:r>
        <w:rPr>
          <w:rFonts w:hint="eastAsia" w:ascii="宋体" w:hAnsi="宋体"/>
        </w:rPr>
        <w:t>支持配置发布报告的间隔时间。</w:t>
      </w:r>
    </w:p>
    <w:p>
      <w:pPr>
        <w:pStyle w:val="14"/>
        <w:spacing w:before="1" w:line="360" w:lineRule="auto"/>
        <w:ind w:left="320" w:firstLine="420"/>
        <w:rPr>
          <w:rFonts w:ascii="宋体" w:hAnsi="宋体"/>
        </w:rPr>
      </w:pPr>
      <w:r>
        <w:rPr>
          <w:rFonts w:hint="eastAsia" w:ascii="宋体" w:hAnsi="宋体"/>
        </w:rPr>
        <w:t>支持客户端允许连接的用户与访问口令，以及连接端口的设置。</w:t>
      </w:r>
    </w:p>
    <w:p>
      <w:pPr>
        <w:pStyle w:val="14"/>
        <w:spacing w:before="1" w:line="360" w:lineRule="auto"/>
        <w:ind w:left="320" w:firstLine="420"/>
        <w:rPr>
          <w:rFonts w:ascii="宋体" w:hAnsi="宋体"/>
        </w:rPr>
      </w:pPr>
      <w:r>
        <w:rPr>
          <w:rFonts w:hint="eastAsia" w:ascii="宋体" w:hAnsi="宋体"/>
        </w:rPr>
        <w:t>有完整的影像状态日志记录系统，对图像、报告等信息及系统的修改、增加、删除和阅读均有日志记录。</w:t>
      </w:r>
    </w:p>
    <w:p>
      <w:pPr>
        <w:pStyle w:val="14"/>
        <w:spacing w:before="1" w:line="360" w:lineRule="auto"/>
        <w:ind w:left="320" w:firstLine="420"/>
        <w:rPr>
          <w:rFonts w:ascii="宋体" w:hAnsi="宋体"/>
        </w:rPr>
      </w:pPr>
      <w:r>
        <w:rPr>
          <w:rFonts w:hint="eastAsia" w:ascii="宋体" w:hAnsi="宋体"/>
        </w:rPr>
        <w:t>系统管理功能中，基本信息管理包括用户信息、部门信息、工作角色信息、设备信息、检查部位信息、检查项目信息等基本信息管理功能。</w:t>
      </w:r>
    </w:p>
    <w:p>
      <w:pPr>
        <w:pStyle w:val="14"/>
        <w:spacing w:before="1" w:line="360" w:lineRule="auto"/>
        <w:ind w:left="320" w:firstLine="420"/>
        <w:rPr>
          <w:rFonts w:ascii="宋体" w:hAnsi="宋体"/>
        </w:rPr>
      </w:pPr>
      <w:r>
        <w:rPr>
          <w:rFonts w:hint="eastAsia" w:ascii="宋体" w:hAnsi="宋体"/>
        </w:rPr>
        <w:t>具备系统用户的添加、删除、修改等，与科室人员管理的信息关联。</w:t>
      </w:r>
    </w:p>
    <w:p>
      <w:pPr>
        <w:pStyle w:val="14"/>
        <w:spacing w:before="1" w:line="360" w:lineRule="auto"/>
        <w:ind w:left="320" w:firstLine="420"/>
        <w:rPr>
          <w:rFonts w:ascii="宋体" w:hAnsi="宋体"/>
        </w:rPr>
      </w:pPr>
      <w:r>
        <w:rPr>
          <w:rFonts w:hint="eastAsia" w:ascii="宋体" w:hAnsi="宋体"/>
        </w:rPr>
        <w:t>支持通过不同级别用户各自的口令保护，包括普通用户、系统管理员的使用。</w:t>
      </w:r>
    </w:p>
    <w:p>
      <w:pPr>
        <w:pStyle w:val="14"/>
        <w:spacing w:before="1" w:line="360" w:lineRule="auto"/>
        <w:ind w:left="320" w:firstLine="420"/>
        <w:rPr>
          <w:rFonts w:ascii="宋体" w:hAnsi="宋体"/>
        </w:rPr>
      </w:pPr>
      <w:r>
        <w:rPr>
          <w:rFonts w:hint="eastAsia" w:ascii="宋体" w:hAnsi="宋体"/>
        </w:rPr>
        <w:t>支持通过系统管理员的授权，控制普通用户访问某些功能的权限。</w:t>
      </w:r>
    </w:p>
    <w:p>
      <w:pPr>
        <w:pStyle w:val="14"/>
        <w:spacing w:before="1" w:line="360" w:lineRule="auto"/>
        <w:ind w:left="320" w:firstLine="420"/>
        <w:rPr>
          <w:rFonts w:ascii="宋体" w:hAnsi="宋体"/>
        </w:rPr>
      </w:pPr>
      <w:r>
        <w:rPr>
          <w:rFonts w:hint="eastAsia" w:ascii="宋体" w:hAnsi="宋体"/>
        </w:rPr>
        <w:t>有完整的影像状态日志记录系统，对图像、报告等信息及系统的修改、增加、删除和阅读均有日志记录。</w:t>
      </w:r>
    </w:p>
    <w:p>
      <w:pPr>
        <w:spacing w:line="360" w:lineRule="auto"/>
        <w:ind w:firstLine="566" w:firstLineChars="235"/>
        <w:rPr>
          <w:rFonts w:ascii="宋体" w:hAnsi="宋体"/>
          <w:b/>
          <w:bCs/>
          <w:sz w:val="24"/>
        </w:rPr>
      </w:pPr>
      <w:r>
        <w:rPr>
          <w:rFonts w:ascii="宋体" w:hAnsi="宋体"/>
          <w:b/>
          <w:bCs/>
          <w:sz w:val="24"/>
        </w:rPr>
        <w:t>2</w:t>
      </w:r>
      <w:r>
        <w:rPr>
          <w:rFonts w:ascii="宋体" w:hAnsi="宋体"/>
          <w:b/>
          <w:bCs/>
          <w:sz w:val="24"/>
        </w:rPr>
        <w:tab/>
      </w:r>
      <w:r>
        <w:rPr>
          <w:rFonts w:ascii="宋体" w:hAnsi="宋体"/>
          <w:b/>
          <w:bCs/>
          <w:sz w:val="24"/>
        </w:rPr>
        <w:t>放射子系统</w:t>
      </w:r>
    </w:p>
    <w:p>
      <w:pPr>
        <w:spacing w:line="360" w:lineRule="auto"/>
        <w:ind w:firstLine="566" w:firstLineChars="235"/>
        <w:rPr>
          <w:rFonts w:ascii="宋体" w:hAnsi="宋体"/>
          <w:b/>
          <w:bCs/>
          <w:sz w:val="24"/>
        </w:rPr>
      </w:pPr>
      <w:r>
        <w:rPr>
          <w:rFonts w:ascii="宋体" w:hAnsi="宋体"/>
          <w:b/>
          <w:bCs/>
          <w:sz w:val="24"/>
        </w:rPr>
        <w:t>2.1</w:t>
      </w:r>
      <w:r>
        <w:rPr>
          <w:rFonts w:ascii="宋体" w:hAnsi="宋体"/>
          <w:b/>
          <w:bCs/>
          <w:sz w:val="24"/>
        </w:rPr>
        <w:tab/>
      </w:r>
      <w:r>
        <w:rPr>
          <w:rFonts w:ascii="宋体" w:hAnsi="宋体"/>
          <w:b/>
          <w:bCs/>
          <w:sz w:val="24"/>
        </w:rPr>
        <w:t>放射技师模块</w:t>
      </w:r>
    </w:p>
    <w:p>
      <w:pPr>
        <w:spacing w:line="360" w:lineRule="auto"/>
        <w:ind w:firstLine="564" w:firstLineChars="235"/>
        <w:rPr>
          <w:rFonts w:ascii="宋体" w:hAnsi="宋体"/>
          <w:sz w:val="24"/>
        </w:rPr>
      </w:pPr>
      <w:r>
        <w:rPr>
          <w:rFonts w:ascii="宋体" w:hAnsi="宋体"/>
          <w:sz w:val="24"/>
        </w:rPr>
        <w:t>在检查任务列表的基础上，提供已检查确认</w:t>
      </w:r>
    </w:p>
    <w:p>
      <w:pPr>
        <w:spacing w:line="360" w:lineRule="auto"/>
        <w:ind w:firstLine="564" w:firstLineChars="235"/>
        <w:rPr>
          <w:rFonts w:ascii="宋体" w:hAnsi="宋体"/>
          <w:sz w:val="24"/>
        </w:rPr>
      </w:pPr>
      <w:r>
        <w:rPr>
          <w:rFonts w:ascii="宋体" w:hAnsi="宋体"/>
          <w:sz w:val="24"/>
        </w:rPr>
        <w:t>支持</w:t>
      </w:r>
      <w:r>
        <w:rPr>
          <w:rFonts w:hint="eastAsia" w:ascii="宋体" w:hAnsi="宋体"/>
          <w:sz w:val="24"/>
        </w:rPr>
        <w:t>检查</w:t>
      </w:r>
      <w:r>
        <w:rPr>
          <w:rFonts w:ascii="宋体" w:hAnsi="宋体"/>
          <w:sz w:val="24"/>
        </w:rPr>
        <w:t>申请的浏览</w:t>
      </w:r>
    </w:p>
    <w:p>
      <w:pPr>
        <w:spacing w:line="360" w:lineRule="auto"/>
        <w:ind w:firstLine="564" w:firstLineChars="235"/>
        <w:rPr>
          <w:rFonts w:ascii="宋体" w:hAnsi="宋体"/>
          <w:sz w:val="24"/>
        </w:rPr>
      </w:pPr>
      <w:r>
        <w:rPr>
          <w:rFonts w:ascii="宋体" w:hAnsi="宋体"/>
          <w:sz w:val="24"/>
        </w:rPr>
        <w:t>信息确认功能：确认患者的基本信息的正确性。确认申请单的正确性。确认收费的正确性</w:t>
      </w:r>
    </w:p>
    <w:p>
      <w:pPr>
        <w:spacing w:line="360" w:lineRule="auto"/>
        <w:ind w:firstLine="564" w:firstLineChars="235"/>
        <w:rPr>
          <w:rFonts w:ascii="宋体" w:hAnsi="宋体"/>
          <w:sz w:val="24"/>
        </w:rPr>
      </w:pPr>
      <w:r>
        <w:rPr>
          <w:rFonts w:ascii="宋体" w:hAnsi="宋体"/>
          <w:sz w:val="24"/>
        </w:rPr>
        <w:t>流程确认功能：患者到检确认，检查完毕确认。对于没有MPPS的软件和MPPS实施困难的软件，提供检查完毕确认的功能，以触发下一步流程</w:t>
      </w:r>
    </w:p>
    <w:p>
      <w:pPr>
        <w:spacing w:line="360" w:lineRule="auto"/>
        <w:ind w:firstLine="564" w:firstLineChars="235"/>
        <w:rPr>
          <w:rFonts w:ascii="宋体" w:hAnsi="宋体"/>
          <w:sz w:val="24"/>
        </w:rPr>
      </w:pPr>
      <w:r>
        <w:rPr>
          <w:rFonts w:ascii="宋体" w:hAnsi="宋体"/>
          <w:sz w:val="24"/>
        </w:rPr>
        <w:t>具备叫号系统的控制功能，叫号系统能够同流程确认整合</w:t>
      </w:r>
    </w:p>
    <w:p>
      <w:pPr>
        <w:spacing w:line="360" w:lineRule="auto"/>
        <w:ind w:firstLine="564" w:firstLineChars="235"/>
        <w:rPr>
          <w:rFonts w:ascii="宋体" w:hAnsi="宋体"/>
          <w:sz w:val="24"/>
        </w:rPr>
      </w:pPr>
      <w:r>
        <w:rPr>
          <w:rFonts w:ascii="宋体" w:hAnsi="宋体"/>
          <w:sz w:val="24"/>
        </w:rPr>
        <w:t>允许未经检查登记的病人直接输入病人信息并生成诊断工作站所需的任务列表项目</w:t>
      </w:r>
    </w:p>
    <w:p>
      <w:pPr>
        <w:spacing w:line="360" w:lineRule="auto"/>
        <w:ind w:firstLine="564" w:firstLineChars="235"/>
        <w:rPr>
          <w:rFonts w:ascii="宋体" w:hAnsi="宋体"/>
          <w:sz w:val="24"/>
        </w:rPr>
      </w:pPr>
      <w:r>
        <w:rPr>
          <w:rFonts w:ascii="宋体" w:hAnsi="宋体"/>
          <w:sz w:val="24"/>
        </w:rPr>
        <w:t>胶片质量控制：可以进行加拍、补拍和重拍操作，可以对病人信息进行修改，可以对图像进行调整后归档</w:t>
      </w:r>
    </w:p>
    <w:p>
      <w:pPr>
        <w:spacing w:line="360" w:lineRule="auto"/>
        <w:ind w:firstLine="564" w:firstLineChars="235"/>
        <w:rPr>
          <w:rFonts w:ascii="宋体" w:hAnsi="宋体"/>
          <w:sz w:val="24"/>
        </w:rPr>
      </w:pPr>
      <w:r>
        <w:rPr>
          <w:rFonts w:ascii="宋体" w:hAnsi="宋体"/>
          <w:sz w:val="24"/>
        </w:rPr>
        <w:t>技师可以判断和注明该患者是否需要提示影像医师优先处理。</w:t>
      </w:r>
    </w:p>
    <w:p>
      <w:pPr>
        <w:spacing w:line="360" w:lineRule="auto"/>
        <w:ind w:firstLine="564" w:firstLineChars="235"/>
        <w:rPr>
          <w:rFonts w:ascii="宋体" w:hAnsi="宋体"/>
          <w:sz w:val="24"/>
        </w:rPr>
      </w:pPr>
      <w:r>
        <w:rPr>
          <w:rFonts w:hint="eastAsia" w:ascii="宋体" w:hAnsi="宋体"/>
          <w:sz w:val="24"/>
        </w:rPr>
        <w:t>支持打印取片凭证。</w:t>
      </w:r>
    </w:p>
    <w:p>
      <w:pPr>
        <w:spacing w:line="360" w:lineRule="auto"/>
        <w:ind w:firstLine="566" w:firstLineChars="235"/>
        <w:rPr>
          <w:rFonts w:ascii="宋体" w:hAnsi="宋体"/>
          <w:b/>
          <w:bCs/>
          <w:sz w:val="24"/>
        </w:rPr>
      </w:pPr>
      <w:r>
        <w:rPr>
          <w:rFonts w:ascii="宋体" w:hAnsi="宋体"/>
          <w:b/>
          <w:bCs/>
          <w:sz w:val="24"/>
        </w:rPr>
        <w:t>2.2</w:t>
      </w:r>
      <w:r>
        <w:rPr>
          <w:rFonts w:ascii="宋体" w:hAnsi="宋体"/>
          <w:b/>
          <w:bCs/>
          <w:sz w:val="24"/>
        </w:rPr>
        <w:tab/>
      </w:r>
      <w:r>
        <w:rPr>
          <w:rFonts w:ascii="宋体" w:hAnsi="宋体"/>
          <w:b/>
          <w:bCs/>
          <w:sz w:val="24"/>
        </w:rPr>
        <w:t>放射诊断模块</w:t>
      </w:r>
    </w:p>
    <w:p>
      <w:pPr>
        <w:spacing w:line="360" w:lineRule="auto"/>
        <w:ind w:firstLine="564" w:firstLineChars="235"/>
        <w:rPr>
          <w:rFonts w:ascii="宋体" w:hAnsi="宋体"/>
          <w:sz w:val="24"/>
        </w:rPr>
      </w:pPr>
      <w:r>
        <w:rPr>
          <w:rFonts w:ascii="宋体" w:hAnsi="宋体"/>
          <w:sz w:val="24"/>
        </w:rPr>
        <w:t>符合DICOM3.0标准，图像存储SCU/SCP，支持JPEG2000压缩DICOM影像文件。</w:t>
      </w:r>
    </w:p>
    <w:p>
      <w:pPr>
        <w:spacing w:line="360" w:lineRule="auto"/>
        <w:ind w:firstLine="564" w:firstLineChars="235"/>
        <w:rPr>
          <w:rFonts w:ascii="宋体" w:hAnsi="宋体"/>
          <w:sz w:val="24"/>
        </w:rPr>
      </w:pPr>
      <w:r>
        <w:rPr>
          <w:rFonts w:ascii="宋体" w:hAnsi="宋体"/>
          <w:sz w:val="24"/>
        </w:rPr>
        <w:t>支持DICOM Q/R SCU，支持Patient和study 级别的查询检索,并可通过此功能从标准DICOM服务器中查询并获取影像；可按照患者ID，AccessNo.,检查日期和时间和设备类型等各检索关键字来检索影像。</w:t>
      </w:r>
    </w:p>
    <w:p>
      <w:pPr>
        <w:spacing w:line="360" w:lineRule="auto"/>
        <w:ind w:firstLine="564" w:firstLineChars="235"/>
        <w:rPr>
          <w:rFonts w:ascii="宋体" w:hAnsi="宋体"/>
          <w:sz w:val="24"/>
        </w:rPr>
      </w:pPr>
      <w:r>
        <w:rPr>
          <w:rFonts w:ascii="宋体" w:hAnsi="宋体"/>
          <w:sz w:val="24"/>
        </w:rPr>
        <w:t>支持影像工作站回传影像给远端主机或远端设备工作站及服务器。</w:t>
      </w:r>
    </w:p>
    <w:p>
      <w:pPr>
        <w:spacing w:line="360" w:lineRule="auto"/>
        <w:ind w:firstLine="564" w:firstLineChars="235"/>
        <w:rPr>
          <w:rFonts w:ascii="宋体" w:hAnsi="宋体"/>
          <w:sz w:val="24"/>
        </w:rPr>
      </w:pPr>
      <w:r>
        <w:rPr>
          <w:rFonts w:ascii="宋体" w:hAnsi="宋体"/>
          <w:sz w:val="24"/>
        </w:rPr>
        <w:t>具有图像快速加载、显示、检索、报告、审核的功能，完成放射科检查诊断和报告；</w:t>
      </w:r>
    </w:p>
    <w:p>
      <w:pPr>
        <w:spacing w:line="360" w:lineRule="auto"/>
        <w:ind w:firstLine="564" w:firstLineChars="235"/>
        <w:rPr>
          <w:rFonts w:ascii="宋体" w:hAnsi="宋体"/>
          <w:sz w:val="24"/>
        </w:rPr>
      </w:pPr>
      <w:r>
        <w:rPr>
          <w:rFonts w:ascii="宋体" w:hAnsi="宋体"/>
          <w:sz w:val="24"/>
        </w:rPr>
        <w:t>支持按病人编号、病人姓名、性别、年龄、检查日期、检查号、诊断医师、申请科室、设备类型、检查部位、申请医师、报告医师、操作医师、审核医师、显示诊断结论、显示阅片状态、显示报告状态、显示审核状态等查询条件</w:t>
      </w:r>
    </w:p>
    <w:p>
      <w:pPr>
        <w:spacing w:line="360" w:lineRule="auto"/>
        <w:ind w:firstLine="564" w:firstLineChars="235"/>
        <w:rPr>
          <w:rFonts w:ascii="宋体" w:hAnsi="宋体"/>
          <w:sz w:val="24"/>
        </w:rPr>
      </w:pPr>
      <w:r>
        <w:rPr>
          <w:rFonts w:ascii="宋体" w:hAnsi="宋体"/>
          <w:sz w:val="24"/>
        </w:rPr>
        <w:t>支持各种形式的病人、报告、影像资料、临床诊断、影像诊断等查询或组合查询。</w:t>
      </w:r>
    </w:p>
    <w:p>
      <w:pPr>
        <w:spacing w:line="360" w:lineRule="auto"/>
        <w:ind w:firstLine="564" w:firstLineChars="235"/>
        <w:rPr>
          <w:rFonts w:ascii="宋体" w:hAnsi="宋体"/>
          <w:sz w:val="24"/>
        </w:rPr>
      </w:pPr>
      <w:r>
        <w:rPr>
          <w:rFonts w:ascii="宋体" w:hAnsi="宋体"/>
          <w:sz w:val="24"/>
        </w:rPr>
        <w:t>可以对报告描述、诊断结果中的词句进行模糊查询。</w:t>
      </w:r>
    </w:p>
    <w:p>
      <w:pPr>
        <w:spacing w:line="360" w:lineRule="auto"/>
        <w:ind w:firstLine="564" w:firstLineChars="235"/>
        <w:rPr>
          <w:rFonts w:ascii="宋体" w:hAnsi="宋体"/>
          <w:sz w:val="24"/>
        </w:rPr>
      </w:pPr>
      <w:r>
        <w:rPr>
          <w:rFonts w:ascii="宋体" w:hAnsi="宋体"/>
          <w:sz w:val="24"/>
        </w:rPr>
        <w:t>图像导入功能（将光盘内的DICOM图像或硬盘中其他图像导入到工作站中）</w:t>
      </w:r>
    </w:p>
    <w:p>
      <w:pPr>
        <w:spacing w:line="360" w:lineRule="auto"/>
        <w:ind w:firstLine="564" w:firstLineChars="235"/>
        <w:rPr>
          <w:rFonts w:ascii="宋体" w:hAnsi="宋体"/>
          <w:sz w:val="24"/>
        </w:rPr>
      </w:pPr>
      <w:r>
        <w:rPr>
          <w:rFonts w:ascii="宋体" w:hAnsi="宋体"/>
          <w:sz w:val="24"/>
        </w:rPr>
        <w:t>选择检查记录时可调出相关历史检查记录</w:t>
      </w:r>
    </w:p>
    <w:p>
      <w:pPr>
        <w:spacing w:line="360" w:lineRule="auto"/>
        <w:ind w:firstLine="564" w:firstLineChars="235"/>
        <w:rPr>
          <w:rFonts w:ascii="宋体" w:hAnsi="宋体"/>
          <w:sz w:val="24"/>
        </w:rPr>
      </w:pPr>
      <w:r>
        <w:rPr>
          <w:rFonts w:ascii="宋体" w:hAnsi="宋体"/>
          <w:sz w:val="24"/>
        </w:rPr>
        <w:t>支持单屏及多屏显示，支持高分辨率灰阶及彩色医用显示器显示处理；</w:t>
      </w:r>
    </w:p>
    <w:p>
      <w:pPr>
        <w:spacing w:line="360" w:lineRule="auto"/>
        <w:ind w:firstLine="564" w:firstLineChars="235"/>
        <w:rPr>
          <w:rFonts w:ascii="宋体" w:hAnsi="宋体"/>
          <w:sz w:val="24"/>
        </w:rPr>
      </w:pPr>
      <w:r>
        <w:rPr>
          <w:rFonts w:ascii="宋体" w:hAnsi="宋体"/>
          <w:sz w:val="24"/>
        </w:rPr>
        <w:t>支持权限控制影像导出功能，可以导出DICOM、JPG、BMP格式，针对多针影像或视频支持导出AVI格式。</w:t>
      </w:r>
    </w:p>
    <w:p>
      <w:pPr>
        <w:spacing w:line="360" w:lineRule="auto"/>
        <w:ind w:firstLine="564" w:firstLineChars="235"/>
        <w:rPr>
          <w:rFonts w:ascii="宋体" w:hAnsi="宋体"/>
          <w:sz w:val="24"/>
        </w:rPr>
      </w:pPr>
      <w:r>
        <w:rPr>
          <w:rFonts w:ascii="宋体" w:hAnsi="宋体"/>
          <w:sz w:val="24"/>
        </w:rPr>
        <w:t>支持权限控制序列拆分功能。</w:t>
      </w:r>
    </w:p>
    <w:p>
      <w:pPr>
        <w:spacing w:line="360" w:lineRule="auto"/>
        <w:ind w:firstLine="564" w:firstLineChars="235"/>
        <w:rPr>
          <w:rFonts w:ascii="宋体" w:hAnsi="宋体"/>
          <w:sz w:val="24"/>
        </w:rPr>
      </w:pPr>
      <w:r>
        <w:rPr>
          <w:rFonts w:ascii="宋体" w:hAnsi="宋体"/>
          <w:sz w:val="24"/>
        </w:rPr>
        <w:t>支持不同检查状态通过不同颜色提醒；</w:t>
      </w:r>
    </w:p>
    <w:p>
      <w:pPr>
        <w:spacing w:line="360" w:lineRule="auto"/>
        <w:ind w:firstLine="564" w:firstLineChars="235"/>
        <w:rPr>
          <w:rFonts w:ascii="宋体" w:hAnsi="宋体"/>
          <w:sz w:val="24"/>
        </w:rPr>
      </w:pPr>
      <w:r>
        <w:rPr>
          <w:rFonts w:ascii="宋体" w:hAnsi="宋体"/>
          <w:sz w:val="24"/>
        </w:rPr>
        <w:t>严密而灵活的报告审核制度，用户可以根据实际情况选择使用三级审核机制、二级审核机制或无级审核机制进行工作。</w:t>
      </w:r>
    </w:p>
    <w:p>
      <w:pPr>
        <w:spacing w:line="360" w:lineRule="auto"/>
        <w:ind w:firstLine="564" w:firstLineChars="235"/>
        <w:rPr>
          <w:rFonts w:ascii="宋体" w:hAnsi="宋体"/>
          <w:sz w:val="24"/>
        </w:rPr>
      </w:pPr>
      <w:r>
        <w:rPr>
          <w:rFonts w:ascii="宋体" w:hAnsi="宋体"/>
          <w:sz w:val="24"/>
        </w:rPr>
        <w:t>内置报告模板和常见词组（症状和检查所见数据字典）。采用单选和多选方式，鼠标点击便可完成病历报告书写。报告模板和常见词组可根据医生需求随时添加、修改。</w:t>
      </w:r>
    </w:p>
    <w:p>
      <w:pPr>
        <w:spacing w:line="360" w:lineRule="auto"/>
        <w:ind w:firstLine="564" w:firstLineChars="235"/>
        <w:rPr>
          <w:rFonts w:ascii="宋体" w:hAnsi="宋体"/>
          <w:sz w:val="24"/>
        </w:rPr>
      </w:pPr>
      <w:r>
        <w:rPr>
          <w:rFonts w:ascii="宋体" w:hAnsi="宋体"/>
          <w:sz w:val="24"/>
        </w:rPr>
        <w:t>报告任务自动刷新，支持任务优先级</w:t>
      </w:r>
    </w:p>
    <w:p>
      <w:pPr>
        <w:spacing w:line="360" w:lineRule="auto"/>
        <w:ind w:firstLine="564" w:firstLineChars="235"/>
        <w:rPr>
          <w:rFonts w:ascii="宋体" w:hAnsi="宋体"/>
          <w:sz w:val="24"/>
        </w:rPr>
      </w:pPr>
      <w:r>
        <w:rPr>
          <w:rFonts w:ascii="宋体" w:hAnsi="宋体"/>
          <w:sz w:val="24"/>
        </w:rPr>
        <w:t>可在无图状态下书写诊断报告</w:t>
      </w:r>
    </w:p>
    <w:p>
      <w:pPr>
        <w:spacing w:line="360" w:lineRule="auto"/>
        <w:ind w:firstLine="564" w:firstLineChars="235"/>
        <w:rPr>
          <w:rFonts w:ascii="宋体" w:hAnsi="宋体"/>
          <w:sz w:val="24"/>
        </w:rPr>
      </w:pPr>
      <w:r>
        <w:rPr>
          <w:rFonts w:ascii="宋体" w:hAnsi="宋体"/>
          <w:sz w:val="24"/>
        </w:rPr>
        <w:t>在书写报告过程中可随时调整报告单样式</w:t>
      </w:r>
    </w:p>
    <w:p>
      <w:pPr>
        <w:spacing w:line="360" w:lineRule="auto"/>
        <w:ind w:firstLine="564" w:firstLineChars="235"/>
        <w:rPr>
          <w:rFonts w:ascii="宋体" w:hAnsi="宋体"/>
          <w:sz w:val="24"/>
        </w:rPr>
      </w:pPr>
      <w:r>
        <w:rPr>
          <w:rFonts w:ascii="宋体" w:hAnsi="宋体"/>
          <w:sz w:val="24"/>
        </w:rPr>
        <w:t>当多人同时编辑同一份报告时，系统需提示该报告被锁定；</w:t>
      </w:r>
    </w:p>
    <w:p>
      <w:pPr>
        <w:spacing w:line="360" w:lineRule="auto"/>
        <w:ind w:firstLine="564" w:firstLineChars="235"/>
        <w:rPr>
          <w:rFonts w:ascii="宋体" w:hAnsi="宋体"/>
          <w:sz w:val="24"/>
        </w:rPr>
      </w:pPr>
      <w:r>
        <w:rPr>
          <w:rFonts w:ascii="宋体" w:hAnsi="宋体"/>
          <w:sz w:val="24"/>
        </w:rPr>
        <w:t>提供诊断报告自动断线保存，保证检查过程数据不被丢失。</w:t>
      </w:r>
    </w:p>
    <w:p>
      <w:pPr>
        <w:spacing w:line="360" w:lineRule="auto"/>
        <w:ind w:firstLine="564" w:firstLineChars="235"/>
        <w:rPr>
          <w:rFonts w:ascii="宋体" w:hAnsi="宋体"/>
          <w:sz w:val="24"/>
        </w:rPr>
      </w:pPr>
      <w:r>
        <w:rPr>
          <w:rFonts w:ascii="宋体" w:hAnsi="宋体"/>
          <w:sz w:val="24"/>
        </w:rPr>
        <w:t>支持报告书写、审核、修改权限的多级处理。报告打印或审核后，提供无限次修改痕迹记录。</w:t>
      </w:r>
    </w:p>
    <w:p>
      <w:pPr>
        <w:spacing w:line="360" w:lineRule="auto"/>
        <w:ind w:firstLine="480" w:firstLineChars="200"/>
        <w:rPr>
          <w:rFonts w:ascii="宋体" w:hAnsi="宋体"/>
          <w:sz w:val="24"/>
        </w:rPr>
      </w:pPr>
      <w:r>
        <w:rPr>
          <w:rFonts w:ascii="宋体" w:hAnsi="宋体"/>
          <w:sz w:val="24"/>
        </w:rPr>
        <w:t xml:space="preserve">系统提供模板，可在此基础上修改另存；并能提供专用的报告模板编辑器，让使用者可以建立全新的模板； </w:t>
      </w:r>
    </w:p>
    <w:p>
      <w:pPr>
        <w:spacing w:line="360" w:lineRule="auto"/>
        <w:ind w:firstLine="564" w:firstLineChars="235"/>
        <w:rPr>
          <w:rFonts w:ascii="宋体" w:hAnsi="宋体"/>
          <w:sz w:val="24"/>
        </w:rPr>
      </w:pPr>
      <w:r>
        <w:rPr>
          <w:rFonts w:ascii="宋体" w:hAnsi="宋体"/>
          <w:sz w:val="24"/>
        </w:rPr>
        <w:t>内置标准的专家术语库和常见词组（症状和检查所需的数据字典），供用户选用；</w:t>
      </w:r>
    </w:p>
    <w:p>
      <w:pPr>
        <w:spacing w:line="360" w:lineRule="auto"/>
        <w:ind w:firstLine="564" w:firstLineChars="235"/>
        <w:rPr>
          <w:rFonts w:ascii="宋体" w:hAnsi="宋体"/>
          <w:sz w:val="24"/>
        </w:rPr>
      </w:pPr>
      <w:r>
        <w:rPr>
          <w:rFonts w:ascii="宋体" w:hAnsi="宋体"/>
          <w:sz w:val="24"/>
        </w:rPr>
        <w:t>诊断报告文字信息可随意放大、缩小。</w:t>
      </w:r>
    </w:p>
    <w:p>
      <w:pPr>
        <w:spacing w:line="360" w:lineRule="auto"/>
        <w:ind w:firstLine="564" w:firstLineChars="235"/>
        <w:rPr>
          <w:rFonts w:ascii="宋体" w:hAnsi="宋体"/>
          <w:sz w:val="24"/>
        </w:rPr>
      </w:pPr>
      <w:r>
        <w:rPr>
          <w:rFonts w:ascii="宋体" w:hAnsi="宋体"/>
          <w:sz w:val="24"/>
        </w:rPr>
        <w:t>报告医生可方便查看患者影像、纸质扫描申请单、患者电子病例与检验结果。</w:t>
      </w:r>
    </w:p>
    <w:p>
      <w:pPr>
        <w:spacing w:line="360" w:lineRule="auto"/>
        <w:ind w:firstLine="564" w:firstLineChars="235"/>
        <w:rPr>
          <w:rFonts w:ascii="宋体" w:hAnsi="宋体"/>
          <w:sz w:val="24"/>
        </w:rPr>
      </w:pPr>
      <w:r>
        <w:rPr>
          <w:rFonts w:ascii="宋体" w:hAnsi="宋体"/>
          <w:sz w:val="24"/>
        </w:rPr>
        <w:t>支持报告回退流程</w:t>
      </w:r>
      <w:r>
        <w:rPr>
          <w:rFonts w:hint="eastAsia" w:ascii="宋体" w:hAnsi="宋体"/>
          <w:sz w:val="24"/>
        </w:rPr>
        <w:t>。</w:t>
      </w:r>
    </w:p>
    <w:p>
      <w:pPr>
        <w:spacing w:line="360" w:lineRule="auto"/>
        <w:ind w:firstLine="564" w:firstLineChars="235"/>
        <w:rPr>
          <w:rFonts w:ascii="宋体" w:hAnsi="宋体"/>
          <w:sz w:val="24"/>
        </w:rPr>
      </w:pPr>
      <w:r>
        <w:rPr>
          <w:rFonts w:ascii="宋体" w:hAnsi="宋体"/>
          <w:sz w:val="24"/>
        </w:rPr>
        <w:t>未写或未完成报告的超时提醒功能，通过颜色区分。不同报告状态的要用颜色标记。</w:t>
      </w:r>
    </w:p>
    <w:p>
      <w:pPr>
        <w:spacing w:line="360" w:lineRule="auto"/>
        <w:ind w:firstLine="564" w:firstLineChars="235"/>
        <w:rPr>
          <w:rFonts w:ascii="宋体" w:hAnsi="宋体"/>
          <w:sz w:val="24"/>
        </w:rPr>
      </w:pPr>
      <w:r>
        <w:rPr>
          <w:rFonts w:ascii="宋体" w:hAnsi="宋体"/>
          <w:sz w:val="24"/>
        </w:rPr>
        <w:t>报告状态颜色区分标记</w:t>
      </w:r>
    </w:p>
    <w:p>
      <w:pPr>
        <w:spacing w:line="360" w:lineRule="auto"/>
        <w:ind w:firstLine="564" w:firstLineChars="235"/>
        <w:rPr>
          <w:rFonts w:ascii="宋体" w:hAnsi="宋体"/>
          <w:sz w:val="24"/>
        </w:rPr>
      </w:pPr>
      <w:r>
        <w:rPr>
          <w:rFonts w:ascii="宋体" w:hAnsi="宋体"/>
          <w:sz w:val="24"/>
        </w:rPr>
        <w:t>诊断报告留痕功能：能把进入系统的病人流程及报告修改流程详尽的记录下来。（需提供系统截图）</w:t>
      </w:r>
    </w:p>
    <w:p>
      <w:pPr>
        <w:spacing w:line="360" w:lineRule="auto"/>
        <w:ind w:firstLine="566" w:firstLineChars="235"/>
        <w:rPr>
          <w:rFonts w:ascii="宋体" w:hAnsi="宋体"/>
          <w:b/>
          <w:bCs/>
          <w:color w:val="000000"/>
          <w:sz w:val="24"/>
        </w:rPr>
      </w:pPr>
      <w:r>
        <w:rPr>
          <w:rFonts w:hint="eastAsia" w:ascii="宋体" w:hAnsi="宋体"/>
          <w:b/>
          <w:bCs/>
          <w:color w:val="000000"/>
          <w:sz w:val="24"/>
        </w:rPr>
        <w:t>★</w:t>
      </w:r>
      <w:r>
        <w:rPr>
          <w:rFonts w:ascii="宋体" w:hAnsi="宋体"/>
          <w:b/>
          <w:bCs/>
          <w:color w:val="000000"/>
          <w:sz w:val="24"/>
        </w:rPr>
        <w:t>检查部位左右和报告内容左右等差错嫌疑提醒；（需提供系统截图</w:t>
      </w:r>
      <w:r>
        <w:rPr>
          <w:rFonts w:hint="eastAsia" w:ascii="宋体" w:hAnsi="宋体"/>
          <w:b/>
          <w:bCs/>
          <w:color w:val="000000"/>
          <w:sz w:val="24"/>
        </w:rPr>
        <w:t>加盖公章</w:t>
      </w:r>
      <w:r>
        <w:rPr>
          <w:rFonts w:ascii="宋体" w:hAnsi="宋体"/>
          <w:b/>
          <w:bCs/>
          <w:color w:val="000000"/>
          <w:sz w:val="24"/>
        </w:rPr>
        <w:t>）</w:t>
      </w:r>
    </w:p>
    <w:p>
      <w:pPr>
        <w:spacing w:line="360" w:lineRule="auto"/>
        <w:ind w:firstLine="566" w:firstLineChars="235"/>
        <w:rPr>
          <w:rFonts w:ascii="宋体" w:hAnsi="宋体"/>
          <w:b/>
          <w:bCs/>
          <w:color w:val="000000"/>
          <w:sz w:val="24"/>
        </w:rPr>
      </w:pPr>
      <w:r>
        <w:rPr>
          <w:rFonts w:hint="eastAsia" w:ascii="宋体" w:hAnsi="宋体"/>
          <w:b/>
          <w:bCs/>
          <w:color w:val="000000"/>
          <w:sz w:val="24"/>
        </w:rPr>
        <w:t>★</w:t>
      </w:r>
      <w:r>
        <w:rPr>
          <w:rFonts w:ascii="宋体" w:hAnsi="宋体"/>
          <w:b/>
          <w:bCs/>
          <w:color w:val="000000"/>
          <w:sz w:val="24"/>
        </w:rPr>
        <w:t>病人性别和报告内容身体部位差错嫌疑提醒；（需提供系统截图</w:t>
      </w:r>
      <w:r>
        <w:rPr>
          <w:rFonts w:hint="eastAsia" w:ascii="宋体" w:hAnsi="宋体"/>
          <w:b/>
          <w:bCs/>
          <w:color w:val="000000"/>
          <w:sz w:val="24"/>
        </w:rPr>
        <w:t>加盖公章</w:t>
      </w:r>
      <w:r>
        <w:rPr>
          <w:rFonts w:ascii="宋体" w:hAnsi="宋体"/>
          <w:b/>
          <w:bCs/>
          <w:color w:val="000000"/>
          <w:sz w:val="24"/>
        </w:rPr>
        <w:t>）</w:t>
      </w:r>
    </w:p>
    <w:p>
      <w:pPr>
        <w:spacing w:line="360" w:lineRule="auto"/>
        <w:ind w:firstLine="564" w:firstLineChars="235"/>
        <w:rPr>
          <w:rFonts w:ascii="宋体" w:hAnsi="宋体"/>
          <w:sz w:val="24"/>
        </w:rPr>
      </w:pPr>
      <w:r>
        <w:rPr>
          <w:rFonts w:ascii="宋体" w:hAnsi="宋体"/>
          <w:sz w:val="24"/>
        </w:rPr>
        <w:t xml:space="preserve">对‘所见’，‘所得’和‘内容’字段支持全文检索，支持与或的查询； </w:t>
      </w:r>
    </w:p>
    <w:p>
      <w:pPr>
        <w:spacing w:line="360" w:lineRule="auto"/>
        <w:ind w:firstLine="564" w:firstLineChars="235"/>
        <w:rPr>
          <w:rFonts w:ascii="宋体" w:hAnsi="宋体"/>
          <w:sz w:val="24"/>
        </w:rPr>
      </w:pPr>
      <w:r>
        <w:rPr>
          <w:rFonts w:hint="eastAsia" w:ascii="宋体" w:hAnsi="宋体"/>
          <w:sz w:val="24"/>
        </w:rPr>
        <w:t>可</w:t>
      </w:r>
      <w:r>
        <w:rPr>
          <w:rFonts w:ascii="宋体" w:hAnsi="宋体"/>
          <w:sz w:val="24"/>
        </w:rPr>
        <w:t>支持报告的数字签名</w:t>
      </w:r>
      <w:r>
        <w:rPr>
          <w:rFonts w:hint="eastAsia" w:ascii="宋体" w:hAnsi="宋体"/>
          <w:sz w:val="24"/>
        </w:rPr>
        <w:t>。</w:t>
      </w:r>
    </w:p>
    <w:p>
      <w:pPr>
        <w:spacing w:line="360" w:lineRule="auto"/>
        <w:ind w:firstLine="564" w:firstLineChars="235"/>
        <w:rPr>
          <w:rFonts w:ascii="宋体" w:hAnsi="宋体"/>
          <w:sz w:val="24"/>
        </w:rPr>
      </w:pPr>
      <w:r>
        <w:rPr>
          <w:rFonts w:ascii="宋体" w:hAnsi="宋体"/>
          <w:sz w:val="24"/>
        </w:rPr>
        <w:t>支持报告内容合理性的自动验证：可自定义验证规则，支持矛盾用语提示。</w:t>
      </w:r>
    </w:p>
    <w:p>
      <w:pPr>
        <w:spacing w:line="360" w:lineRule="auto"/>
        <w:ind w:firstLine="564" w:firstLineChars="235"/>
        <w:rPr>
          <w:rFonts w:ascii="宋体" w:hAnsi="宋体"/>
          <w:sz w:val="24"/>
        </w:rPr>
      </w:pPr>
      <w:r>
        <w:rPr>
          <w:rFonts w:ascii="宋体" w:hAnsi="宋体"/>
          <w:sz w:val="24"/>
        </w:rPr>
        <w:t>支持公有</w:t>
      </w:r>
      <w:r>
        <w:rPr>
          <w:rFonts w:hint="eastAsia" w:ascii="宋体" w:hAnsi="宋体"/>
          <w:sz w:val="24"/>
        </w:rPr>
        <w:t>知识库</w:t>
      </w:r>
      <w:r>
        <w:rPr>
          <w:rFonts w:ascii="宋体" w:hAnsi="宋体"/>
          <w:sz w:val="24"/>
        </w:rPr>
        <w:t>模板和私有</w:t>
      </w:r>
      <w:r>
        <w:rPr>
          <w:rFonts w:hint="eastAsia" w:ascii="宋体" w:hAnsi="宋体"/>
          <w:sz w:val="24"/>
        </w:rPr>
        <w:t>知识库</w:t>
      </w:r>
      <w:r>
        <w:rPr>
          <w:rFonts w:ascii="宋体" w:hAnsi="宋体"/>
          <w:sz w:val="24"/>
        </w:rPr>
        <w:t>模板</w:t>
      </w:r>
      <w:r>
        <w:rPr>
          <w:rFonts w:hint="eastAsia" w:ascii="宋体" w:hAnsi="宋体"/>
          <w:sz w:val="24"/>
        </w:rPr>
        <w:t>。</w:t>
      </w:r>
    </w:p>
    <w:p>
      <w:pPr>
        <w:spacing w:line="360" w:lineRule="auto"/>
        <w:ind w:firstLine="564" w:firstLineChars="235"/>
        <w:rPr>
          <w:rFonts w:ascii="宋体" w:hAnsi="宋体"/>
          <w:sz w:val="24"/>
        </w:rPr>
      </w:pPr>
      <w:r>
        <w:rPr>
          <w:rFonts w:hint="eastAsia" w:ascii="宋体" w:hAnsi="宋体"/>
          <w:sz w:val="24"/>
        </w:rPr>
        <w:t>支持</w:t>
      </w:r>
      <w:r>
        <w:rPr>
          <w:rFonts w:ascii="宋体" w:hAnsi="宋体"/>
          <w:sz w:val="24"/>
        </w:rPr>
        <w:t>多级</w:t>
      </w:r>
      <w:r>
        <w:rPr>
          <w:rFonts w:hint="eastAsia" w:ascii="宋体" w:hAnsi="宋体"/>
          <w:sz w:val="24"/>
        </w:rPr>
        <w:t>知识库</w:t>
      </w:r>
      <w:r>
        <w:rPr>
          <w:rFonts w:ascii="宋体" w:hAnsi="宋体"/>
          <w:sz w:val="24"/>
        </w:rPr>
        <w:t>模板结构</w:t>
      </w:r>
      <w:r>
        <w:rPr>
          <w:rFonts w:hint="eastAsia" w:ascii="宋体" w:hAnsi="宋体"/>
          <w:sz w:val="24"/>
        </w:rPr>
        <w:t>。</w:t>
      </w:r>
    </w:p>
    <w:p>
      <w:pPr>
        <w:spacing w:line="360" w:lineRule="auto"/>
        <w:ind w:firstLine="564" w:firstLineChars="235"/>
        <w:rPr>
          <w:rFonts w:ascii="宋体" w:hAnsi="宋体"/>
          <w:sz w:val="24"/>
        </w:rPr>
      </w:pPr>
      <w:r>
        <w:rPr>
          <w:rFonts w:ascii="宋体" w:hAnsi="宋体"/>
          <w:sz w:val="24"/>
        </w:rPr>
        <w:t>从系统专家术语库选取词条完成报告或手工编辑报告，可在报告中添加影像、设置文字颜色和字体，并可查阅相关病史进行参考对照。</w:t>
      </w:r>
    </w:p>
    <w:p>
      <w:pPr>
        <w:spacing w:line="360" w:lineRule="auto"/>
        <w:ind w:firstLine="566" w:firstLineChars="235"/>
        <w:rPr>
          <w:rFonts w:ascii="宋体" w:hAnsi="宋体"/>
          <w:b/>
          <w:bCs/>
          <w:color w:val="000000"/>
          <w:sz w:val="24"/>
        </w:rPr>
      </w:pPr>
      <w:r>
        <w:rPr>
          <w:rFonts w:hint="eastAsia" w:ascii="宋体" w:hAnsi="宋体"/>
          <w:b/>
          <w:bCs/>
          <w:color w:val="000000"/>
          <w:sz w:val="24"/>
        </w:rPr>
        <w:t>★</w:t>
      </w:r>
      <w:r>
        <w:rPr>
          <w:rFonts w:ascii="宋体" w:hAnsi="宋体"/>
          <w:b/>
          <w:bCs/>
          <w:color w:val="000000"/>
          <w:sz w:val="24"/>
        </w:rPr>
        <w:t>支持报告所见即所得编辑；所见即所得打印。（需提供系统截图</w:t>
      </w:r>
      <w:r>
        <w:rPr>
          <w:rFonts w:hint="eastAsia" w:ascii="宋体" w:hAnsi="宋体"/>
          <w:b/>
          <w:bCs/>
          <w:color w:val="000000"/>
          <w:sz w:val="24"/>
        </w:rPr>
        <w:t>加盖公章</w:t>
      </w:r>
      <w:r>
        <w:rPr>
          <w:rFonts w:ascii="宋体" w:hAnsi="宋体"/>
          <w:b/>
          <w:bCs/>
          <w:color w:val="000000"/>
          <w:sz w:val="24"/>
        </w:rPr>
        <w:t>）</w:t>
      </w:r>
    </w:p>
    <w:p>
      <w:pPr>
        <w:spacing w:line="360" w:lineRule="auto"/>
        <w:ind w:firstLine="564" w:firstLineChars="235"/>
        <w:rPr>
          <w:rFonts w:ascii="宋体" w:hAnsi="宋体"/>
          <w:sz w:val="24"/>
        </w:rPr>
      </w:pPr>
      <w:r>
        <w:rPr>
          <w:rFonts w:ascii="宋体" w:hAnsi="宋体"/>
          <w:sz w:val="24"/>
        </w:rPr>
        <w:t>支持图文混排报告</w:t>
      </w:r>
    </w:p>
    <w:p>
      <w:pPr>
        <w:spacing w:line="360" w:lineRule="auto"/>
        <w:ind w:firstLine="564" w:firstLineChars="235"/>
        <w:rPr>
          <w:rFonts w:ascii="宋体" w:hAnsi="宋体"/>
          <w:sz w:val="24"/>
        </w:rPr>
      </w:pPr>
      <w:r>
        <w:rPr>
          <w:rFonts w:ascii="宋体" w:hAnsi="宋体"/>
          <w:sz w:val="24"/>
        </w:rPr>
        <w:t>支持多页报告</w:t>
      </w:r>
    </w:p>
    <w:p>
      <w:pPr>
        <w:spacing w:line="360" w:lineRule="auto"/>
        <w:ind w:firstLine="564" w:firstLineChars="235"/>
        <w:rPr>
          <w:rFonts w:ascii="宋体" w:hAnsi="宋体"/>
          <w:sz w:val="24"/>
        </w:rPr>
      </w:pPr>
      <w:r>
        <w:rPr>
          <w:rFonts w:ascii="宋体" w:hAnsi="宋体"/>
          <w:sz w:val="24"/>
        </w:rPr>
        <w:t>诊断报告格式用户可自定义，支持条码、二维码打印。</w:t>
      </w:r>
    </w:p>
    <w:p>
      <w:pPr>
        <w:spacing w:line="360" w:lineRule="auto"/>
        <w:ind w:firstLine="566" w:firstLineChars="235"/>
        <w:rPr>
          <w:rFonts w:ascii="宋体" w:hAnsi="宋体"/>
          <w:b/>
          <w:bCs/>
          <w:color w:val="000000"/>
          <w:sz w:val="24"/>
        </w:rPr>
      </w:pPr>
      <w:r>
        <w:rPr>
          <w:rFonts w:hint="eastAsia" w:ascii="宋体" w:hAnsi="宋体"/>
          <w:b/>
          <w:bCs/>
          <w:color w:val="000000"/>
          <w:sz w:val="24"/>
        </w:rPr>
        <w:t>★</w:t>
      </w:r>
      <w:r>
        <w:rPr>
          <w:rFonts w:ascii="宋体" w:hAnsi="宋体"/>
          <w:b/>
          <w:bCs/>
          <w:color w:val="000000"/>
          <w:sz w:val="24"/>
        </w:rPr>
        <w:t>可以在报告编写时进行ACR或ICD10编码，并保存。（需提供系统截图</w:t>
      </w:r>
      <w:r>
        <w:rPr>
          <w:rFonts w:hint="eastAsia" w:ascii="宋体" w:hAnsi="宋体"/>
          <w:b/>
          <w:bCs/>
          <w:color w:val="000000"/>
          <w:sz w:val="24"/>
        </w:rPr>
        <w:t>加盖公章</w:t>
      </w:r>
      <w:r>
        <w:rPr>
          <w:rFonts w:ascii="宋体" w:hAnsi="宋体"/>
          <w:b/>
          <w:bCs/>
          <w:color w:val="000000"/>
          <w:sz w:val="24"/>
        </w:rPr>
        <w:t>）</w:t>
      </w:r>
    </w:p>
    <w:p>
      <w:pPr>
        <w:spacing w:line="360" w:lineRule="auto"/>
        <w:ind w:firstLine="480" w:firstLineChars="200"/>
        <w:rPr>
          <w:rFonts w:ascii="宋体" w:hAnsi="宋体"/>
          <w:sz w:val="24"/>
        </w:rPr>
      </w:pPr>
      <w:r>
        <w:rPr>
          <w:rFonts w:ascii="宋体" w:hAnsi="宋体"/>
          <w:sz w:val="24"/>
        </w:rPr>
        <w:t>内置报告模板和常见词组（症状和检查所见数据字典）。采用单选和多选方式，鼠标点击便可完成病历报告书写。报告模板和常见词组可根据医生需求随时添加、修改。</w:t>
      </w:r>
    </w:p>
    <w:p>
      <w:pPr>
        <w:spacing w:line="360" w:lineRule="auto"/>
        <w:ind w:firstLine="564" w:firstLineChars="235"/>
        <w:rPr>
          <w:rFonts w:ascii="宋体" w:hAnsi="宋体"/>
          <w:sz w:val="24"/>
        </w:rPr>
      </w:pPr>
      <w:r>
        <w:rPr>
          <w:rFonts w:ascii="宋体" w:hAnsi="宋体"/>
          <w:sz w:val="24"/>
        </w:rPr>
        <w:t>支持技术质控/诊断质控。</w:t>
      </w:r>
    </w:p>
    <w:p>
      <w:pPr>
        <w:spacing w:line="360" w:lineRule="auto"/>
        <w:ind w:firstLine="564" w:firstLineChars="235"/>
        <w:rPr>
          <w:rFonts w:ascii="宋体" w:hAnsi="宋体"/>
          <w:sz w:val="24"/>
        </w:rPr>
      </w:pPr>
      <w:r>
        <w:rPr>
          <w:rFonts w:ascii="宋体" w:hAnsi="宋体"/>
          <w:sz w:val="24"/>
        </w:rPr>
        <w:t>支持敏感报告标记。</w:t>
      </w:r>
    </w:p>
    <w:p>
      <w:pPr>
        <w:spacing w:line="360" w:lineRule="auto"/>
        <w:ind w:firstLine="480" w:firstLineChars="200"/>
        <w:rPr>
          <w:rFonts w:ascii="宋体" w:hAnsi="宋体"/>
          <w:sz w:val="24"/>
        </w:rPr>
      </w:pPr>
      <w:r>
        <w:rPr>
          <w:rFonts w:ascii="宋体" w:hAnsi="宋体"/>
          <w:sz w:val="24"/>
        </w:rPr>
        <w:t>可对各种典型病例、科研病例、教学病例、实验病例等收集到个人收藏夹中，可随时查询调阅，随时供医生诊断参考，或用于教学和研究。</w:t>
      </w:r>
    </w:p>
    <w:p>
      <w:pPr>
        <w:spacing w:line="360" w:lineRule="auto"/>
        <w:ind w:firstLine="480" w:firstLineChars="200"/>
        <w:rPr>
          <w:rFonts w:ascii="宋体" w:hAnsi="宋体"/>
          <w:sz w:val="24"/>
        </w:rPr>
      </w:pPr>
      <w:r>
        <w:rPr>
          <w:rFonts w:ascii="宋体" w:hAnsi="宋体"/>
          <w:sz w:val="24"/>
        </w:rPr>
        <w:t>提供编写报告所要使用的医学特殊符号，方便医院快速的编写报告。</w:t>
      </w:r>
    </w:p>
    <w:p>
      <w:pPr>
        <w:spacing w:line="360" w:lineRule="auto"/>
        <w:ind w:firstLine="480" w:firstLineChars="200"/>
        <w:rPr>
          <w:rFonts w:ascii="宋体" w:hAnsi="宋体"/>
          <w:sz w:val="24"/>
        </w:rPr>
      </w:pPr>
      <w:r>
        <w:rPr>
          <w:rFonts w:ascii="宋体" w:hAnsi="宋体"/>
          <w:sz w:val="24"/>
        </w:rPr>
        <w:t>提供自动报告分配和手动报告分配功能。</w:t>
      </w:r>
    </w:p>
    <w:p>
      <w:pPr>
        <w:spacing w:line="360" w:lineRule="auto"/>
        <w:ind w:firstLine="480" w:firstLineChars="200"/>
        <w:rPr>
          <w:rFonts w:ascii="宋体" w:hAnsi="宋体"/>
          <w:sz w:val="24"/>
        </w:rPr>
      </w:pPr>
      <w:r>
        <w:rPr>
          <w:rFonts w:hint="eastAsia" w:ascii="宋体" w:hAnsi="宋体"/>
          <w:sz w:val="24"/>
        </w:rPr>
        <w:t>可</w:t>
      </w:r>
      <w:r>
        <w:rPr>
          <w:rFonts w:ascii="宋体" w:hAnsi="宋体"/>
          <w:sz w:val="24"/>
        </w:rPr>
        <w:t>支持多种自动分配规则，如平均分配模式、多劳多得模式等等。</w:t>
      </w:r>
    </w:p>
    <w:p>
      <w:pPr>
        <w:spacing w:line="360" w:lineRule="auto"/>
        <w:ind w:firstLine="480" w:firstLineChars="200"/>
        <w:rPr>
          <w:rFonts w:ascii="宋体" w:hAnsi="宋体"/>
          <w:sz w:val="24"/>
        </w:rPr>
      </w:pPr>
      <w:r>
        <w:rPr>
          <w:rFonts w:hint="eastAsia" w:ascii="宋体" w:hAnsi="宋体"/>
          <w:sz w:val="24"/>
        </w:rPr>
        <w:t>可</w:t>
      </w:r>
      <w:r>
        <w:rPr>
          <w:rFonts w:ascii="宋体" w:hAnsi="宋体"/>
          <w:sz w:val="24"/>
        </w:rPr>
        <w:t>提供按照报告数量和报告权重分配两种统计方式。</w:t>
      </w:r>
    </w:p>
    <w:p>
      <w:pPr>
        <w:spacing w:line="360" w:lineRule="auto"/>
        <w:ind w:firstLine="480" w:firstLineChars="200"/>
        <w:rPr>
          <w:rFonts w:ascii="宋体" w:hAnsi="宋体"/>
          <w:sz w:val="24"/>
        </w:rPr>
      </w:pPr>
      <w:r>
        <w:rPr>
          <w:rFonts w:ascii="宋体" w:hAnsi="宋体"/>
          <w:sz w:val="24"/>
        </w:rPr>
        <w:t>支持根据不同的用户设置不同的报告分配比例。</w:t>
      </w:r>
    </w:p>
    <w:p>
      <w:pPr>
        <w:spacing w:line="360" w:lineRule="auto"/>
        <w:ind w:firstLine="480" w:firstLineChars="200"/>
        <w:rPr>
          <w:rFonts w:ascii="宋体" w:hAnsi="宋体"/>
          <w:sz w:val="24"/>
        </w:rPr>
      </w:pPr>
      <w:r>
        <w:rPr>
          <w:rFonts w:ascii="宋体" w:hAnsi="宋体"/>
          <w:sz w:val="24"/>
        </w:rPr>
        <w:t>能够通过电子签名方式进行登录和报告加密管理，防止报告被篡改。</w:t>
      </w:r>
    </w:p>
    <w:p>
      <w:pPr>
        <w:spacing w:line="360" w:lineRule="auto"/>
        <w:ind w:firstLine="480" w:firstLineChars="200"/>
        <w:rPr>
          <w:rFonts w:ascii="宋体" w:hAnsi="宋体"/>
          <w:sz w:val="24"/>
        </w:rPr>
      </w:pPr>
      <w:r>
        <w:rPr>
          <w:rFonts w:ascii="宋体" w:hAnsi="宋体"/>
          <w:sz w:val="24"/>
        </w:rPr>
        <w:t>支持报告的检查危机值功能，能够对危急值进行自动识别和提醒。</w:t>
      </w:r>
    </w:p>
    <w:p>
      <w:pPr>
        <w:spacing w:line="360" w:lineRule="auto"/>
        <w:ind w:firstLine="480" w:firstLineChars="200"/>
        <w:rPr>
          <w:rFonts w:ascii="宋体" w:hAnsi="宋体"/>
          <w:sz w:val="24"/>
        </w:rPr>
      </w:pPr>
      <w:r>
        <w:rPr>
          <w:rFonts w:ascii="宋体" w:hAnsi="宋体"/>
          <w:sz w:val="24"/>
        </w:rPr>
        <w:t>按照相关规范要求支持结构化的报告书写功能。</w:t>
      </w:r>
    </w:p>
    <w:p>
      <w:pPr>
        <w:spacing w:line="360" w:lineRule="auto"/>
        <w:ind w:firstLine="480" w:firstLineChars="200"/>
        <w:rPr>
          <w:rFonts w:ascii="宋体" w:hAnsi="宋体"/>
          <w:sz w:val="24"/>
        </w:rPr>
      </w:pPr>
      <w:r>
        <w:rPr>
          <w:rFonts w:ascii="宋体" w:hAnsi="宋体"/>
          <w:sz w:val="24"/>
        </w:rPr>
        <w:t>选择影像时有缩略图可查看。</w:t>
      </w:r>
    </w:p>
    <w:p>
      <w:pPr>
        <w:spacing w:line="360" w:lineRule="auto"/>
        <w:ind w:firstLine="480" w:firstLineChars="200"/>
        <w:rPr>
          <w:rFonts w:ascii="宋体" w:hAnsi="宋体"/>
          <w:sz w:val="24"/>
        </w:rPr>
      </w:pPr>
      <w:r>
        <w:rPr>
          <w:rFonts w:ascii="宋体" w:hAnsi="宋体"/>
          <w:sz w:val="24"/>
        </w:rPr>
        <w:t>旋转：进行各种翻转（左、右、水平、垂直）；</w:t>
      </w:r>
    </w:p>
    <w:p>
      <w:pPr>
        <w:spacing w:line="360" w:lineRule="auto"/>
        <w:ind w:firstLine="480" w:firstLineChars="200"/>
        <w:rPr>
          <w:rFonts w:ascii="宋体" w:hAnsi="宋体"/>
          <w:sz w:val="24"/>
        </w:rPr>
      </w:pPr>
      <w:r>
        <w:rPr>
          <w:rFonts w:ascii="宋体" w:hAnsi="宋体"/>
          <w:sz w:val="24"/>
        </w:rPr>
        <w:t>伪彩色：改变图像颜色（各种色彩）；</w:t>
      </w:r>
    </w:p>
    <w:p>
      <w:pPr>
        <w:spacing w:line="360" w:lineRule="auto"/>
        <w:ind w:firstLine="480" w:firstLineChars="200"/>
        <w:rPr>
          <w:rFonts w:ascii="宋体" w:hAnsi="宋体"/>
          <w:sz w:val="24"/>
        </w:rPr>
      </w:pPr>
      <w:r>
        <w:rPr>
          <w:rFonts w:ascii="宋体" w:hAnsi="宋体"/>
          <w:sz w:val="24"/>
        </w:rPr>
        <w:t>反色：使图像呈相反的颜色显示；</w:t>
      </w:r>
    </w:p>
    <w:p>
      <w:pPr>
        <w:spacing w:line="360" w:lineRule="auto"/>
        <w:ind w:firstLine="480" w:firstLineChars="200"/>
        <w:rPr>
          <w:rFonts w:ascii="宋体" w:hAnsi="宋体"/>
          <w:sz w:val="24"/>
        </w:rPr>
      </w:pPr>
      <w:r>
        <w:rPr>
          <w:rFonts w:ascii="宋体" w:hAnsi="宋体"/>
          <w:sz w:val="24"/>
        </w:rPr>
        <w:t>影像缩放：图像整体缩小、放大；</w:t>
      </w:r>
    </w:p>
    <w:p>
      <w:pPr>
        <w:spacing w:line="360" w:lineRule="auto"/>
        <w:ind w:firstLine="480" w:firstLineChars="200"/>
        <w:rPr>
          <w:rFonts w:ascii="宋体" w:hAnsi="宋体"/>
          <w:sz w:val="24"/>
        </w:rPr>
      </w:pPr>
      <w:r>
        <w:rPr>
          <w:rFonts w:ascii="宋体" w:hAnsi="宋体"/>
          <w:sz w:val="24"/>
        </w:rPr>
        <w:t>局部放大：放大镜功能；</w:t>
      </w:r>
    </w:p>
    <w:p>
      <w:pPr>
        <w:spacing w:line="360" w:lineRule="auto"/>
        <w:ind w:firstLine="480" w:firstLineChars="200"/>
        <w:rPr>
          <w:rFonts w:ascii="宋体" w:hAnsi="宋体"/>
          <w:sz w:val="24"/>
        </w:rPr>
      </w:pPr>
      <w:r>
        <w:rPr>
          <w:rFonts w:ascii="宋体" w:hAnsi="宋体"/>
          <w:sz w:val="24"/>
        </w:rPr>
        <w:t>图像漫游：当图像放大以后不能完全显示时，可移动画面查看任意部分；</w:t>
      </w:r>
    </w:p>
    <w:p>
      <w:pPr>
        <w:spacing w:line="360" w:lineRule="auto"/>
        <w:ind w:firstLine="480" w:firstLineChars="200"/>
        <w:rPr>
          <w:rFonts w:ascii="宋体" w:hAnsi="宋体"/>
          <w:sz w:val="24"/>
        </w:rPr>
      </w:pPr>
      <w:r>
        <w:rPr>
          <w:rFonts w:ascii="宋体" w:hAnsi="宋体"/>
          <w:sz w:val="24"/>
        </w:rPr>
        <w:t>框大小显示：图像被放大、缩小后，恢复原始大小；</w:t>
      </w:r>
    </w:p>
    <w:p>
      <w:pPr>
        <w:spacing w:line="360" w:lineRule="auto"/>
        <w:ind w:firstLine="480" w:firstLineChars="200"/>
        <w:rPr>
          <w:rFonts w:ascii="宋体" w:hAnsi="宋体"/>
          <w:sz w:val="24"/>
        </w:rPr>
      </w:pPr>
      <w:r>
        <w:rPr>
          <w:rFonts w:ascii="宋体" w:hAnsi="宋体"/>
          <w:sz w:val="24"/>
        </w:rPr>
        <w:t>动态播放：同时打开多个图像或多组序列时，连续播放图像；</w:t>
      </w:r>
    </w:p>
    <w:p>
      <w:pPr>
        <w:spacing w:line="360" w:lineRule="auto"/>
        <w:ind w:firstLine="480" w:firstLineChars="200"/>
        <w:rPr>
          <w:rFonts w:ascii="宋体" w:hAnsi="宋体"/>
          <w:sz w:val="24"/>
        </w:rPr>
      </w:pPr>
      <w:r>
        <w:rPr>
          <w:rFonts w:ascii="宋体" w:hAnsi="宋体"/>
          <w:sz w:val="24"/>
        </w:rPr>
        <w:t>线灰度图：显示一条直线下的图像灰度值和频率；</w:t>
      </w:r>
    </w:p>
    <w:p>
      <w:pPr>
        <w:spacing w:line="360" w:lineRule="auto"/>
        <w:ind w:firstLine="480" w:firstLineChars="200"/>
        <w:rPr>
          <w:rFonts w:ascii="宋体" w:hAnsi="宋体"/>
          <w:sz w:val="24"/>
        </w:rPr>
      </w:pPr>
      <w:r>
        <w:rPr>
          <w:rFonts w:ascii="宋体" w:hAnsi="宋体"/>
          <w:sz w:val="24"/>
        </w:rPr>
        <w:t>点灰度值测量：随着鼠标的移动，可以实时测量并显示图像上某个点的精确灰度值（CT图像应给出精确的CT值）；</w:t>
      </w:r>
    </w:p>
    <w:p>
      <w:pPr>
        <w:spacing w:line="360" w:lineRule="auto"/>
        <w:ind w:firstLine="480" w:firstLineChars="200"/>
        <w:rPr>
          <w:rFonts w:ascii="宋体" w:hAnsi="宋体"/>
          <w:sz w:val="24"/>
        </w:rPr>
      </w:pPr>
      <w:r>
        <w:rPr>
          <w:rFonts w:ascii="宋体" w:hAnsi="宋体"/>
          <w:sz w:val="24"/>
        </w:rPr>
        <w:t>重新加载：对图像进行了缩放、反色显示、翻转、平滑、锐化、去噪或窗宽窗位调节等操作后，可以使图像还原到操作前的状态；</w:t>
      </w:r>
    </w:p>
    <w:p>
      <w:pPr>
        <w:spacing w:line="360" w:lineRule="auto"/>
        <w:ind w:firstLine="480" w:firstLineChars="200"/>
        <w:rPr>
          <w:rFonts w:ascii="宋体" w:hAnsi="宋体"/>
          <w:sz w:val="24"/>
        </w:rPr>
      </w:pPr>
      <w:r>
        <w:rPr>
          <w:rFonts w:ascii="宋体" w:hAnsi="宋体"/>
          <w:sz w:val="24"/>
        </w:rPr>
        <w:t>标注：在影像上标注线条、箭头、各种形状及文字；各种标注、箭头等可整体移动，各热点端亦可灵活改变，改变后能实时显示相关信息；</w:t>
      </w:r>
    </w:p>
    <w:p>
      <w:pPr>
        <w:spacing w:line="360" w:lineRule="auto"/>
        <w:ind w:firstLine="480" w:firstLineChars="200"/>
        <w:rPr>
          <w:rFonts w:ascii="宋体" w:hAnsi="宋体"/>
          <w:sz w:val="24"/>
        </w:rPr>
      </w:pPr>
      <w:r>
        <w:rPr>
          <w:rFonts w:ascii="宋体" w:hAnsi="宋体"/>
          <w:sz w:val="24"/>
        </w:rPr>
        <w:t>测量：进行角度、长度、面积及灰度值测量，测量线可整体移动，两线段亦可灵活改变，改变后能实时显示相关信息；</w:t>
      </w:r>
    </w:p>
    <w:p>
      <w:pPr>
        <w:spacing w:line="360" w:lineRule="auto"/>
        <w:ind w:firstLine="480" w:firstLineChars="200"/>
        <w:rPr>
          <w:rFonts w:ascii="宋体" w:hAnsi="宋体"/>
          <w:sz w:val="24"/>
        </w:rPr>
      </w:pPr>
      <w:r>
        <w:rPr>
          <w:rFonts w:ascii="宋体" w:hAnsi="宋体"/>
          <w:sz w:val="24"/>
        </w:rPr>
        <w:t>窗宽窗位值调整：鼠标动态调节、选取感兴趣区（ROI）调节，快捷键调节（在系统中可预设）；</w:t>
      </w:r>
    </w:p>
    <w:p>
      <w:pPr>
        <w:spacing w:line="360" w:lineRule="auto"/>
        <w:ind w:firstLine="480" w:firstLineChars="200"/>
        <w:rPr>
          <w:rFonts w:ascii="宋体" w:hAnsi="宋体"/>
          <w:sz w:val="24"/>
        </w:rPr>
      </w:pPr>
      <w:r>
        <w:rPr>
          <w:rFonts w:ascii="宋体" w:hAnsi="宋体"/>
          <w:sz w:val="24"/>
        </w:rPr>
        <w:t>动态影像能连续播放，并可调整播放速度。</w:t>
      </w:r>
    </w:p>
    <w:p>
      <w:pPr>
        <w:spacing w:line="360" w:lineRule="auto"/>
        <w:ind w:firstLine="480" w:firstLineChars="200"/>
        <w:rPr>
          <w:rFonts w:ascii="宋体" w:hAnsi="宋体"/>
          <w:sz w:val="24"/>
        </w:rPr>
      </w:pPr>
      <w:r>
        <w:rPr>
          <w:rFonts w:ascii="宋体" w:hAnsi="宋体"/>
          <w:sz w:val="24"/>
        </w:rPr>
        <w:t>可于影像上直接进行测量单点数值、区域平均值。</w:t>
      </w:r>
    </w:p>
    <w:p>
      <w:pPr>
        <w:spacing w:line="360" w:lineRule="auto"/>
        <w:ind w:firstLine="482" w:firstLineChars="200"/>
        <w:rPr>
          <w:rFonts w:ascii="宋体" w:hAnsi="宋体"/>
          <w:b/>
          <w:bCs/>
          <w:color w:val="000000"/>
          <w:sz w:val="24"/>
        </w:rPr>
      </w:pPr>
      <w:r>
        <w:rPr>
          <w:rFonts w:hint="eastAsia" w:ascii="宋体" w:hAnsi="宋体"/>
          <w:b/>
          <w:bCs/>
          <w:color w:val="000000"/>
          <w:sz w:val="24"/>
        </w:rPr>
        <w:t>★</w:t>
      </w:r>
      <w:r>
        <w:rPr>
          <w:rFonts w:ascii="宋体" w:hAnsi="宋体"/>
          <w:b/>
          <w:bCs/>
          <w:color w:val="000000"/>
          <w:sz w:val="24"/>
        </w:rPr>
        <w:t>影像比较：在同一屏幕上，可同时方便地调阅一个患者或多个患者不同诊断序列、不同影像设备、不同时期、不同体位的影像进行同屏对比。（需提供系统截图加盖公章）</w:t>
      </w:r>
    </w:p>
    <w:p>
      <w:pPr>
        <w:spacing w:line="360" w:lineRule="auto"/>
        <w:ind w:firstLine="480" w:firstLineChars="200"/>
        <w:rPr>
          <w:rFonts w:ascii="宋体" w:hAnsi="宋体"/>
          <w:sz w:val="24"/>
        </w:rPr>
      </w:pPr>
      <w:r>
        <w:rPr>
          <w:rFonts w:ascii="宋体" w:hAnsi="宋体"/>
          <w:sz w:val="24"/>
        </w:rPr>
        <w:t>可同时显示多种设备的不同种类的DICOM影像。</w:t>
      </w:r>
    </w:p>
    <w:p>
      <w:pPr>
        <w:spacing w:line="360" w:lineRule="auto"/>
        <w:ind w:firstLine="480" w:firstLineChars="200"/>
        <w:rPr>
          <w:rFonts w:ascii="宋体" w:hAnsi="宋体"/>
          <w:sz w:val="24"/>
        </w:rPr>
      </w:pPr>
      <w:r>
        <w:rPr>
          <w:rFonts w:ascii="宋体" w:hAnsi="宋体"/>
          <w:sz w:val="24"/>
        </w:rPr>
        <w:t>以1X1、1X2、2X2、2X3、3X3、4X4以及自定义分格数一屏显示多幅影像。用户可以增加、删除布局格式。</w:t>
      </w:r>
    </w:p>
    <w:p>
      <w:pPr>
        <w:spacing w:line="360" w:lineRule="auto"/>
        <w:ind w:firstLine="480" w:firstLineChars="200"/>
        <w:rPr>
          <w:rFonts w:ascii="宋体" w:hAnsi="宋体"/>
          <w:sz w:val="24"/>
        </w:rPr>
      </w:pPr>
      <w:r>
        <w:rPr>
          <w:rFonts w:ascii="宋体" w:hAnsi="宋体"/>
          <w:sz w:val="24"/>
        </w:rPr>
        <w:t>支持两个以上多屏和竖屏显示器同时显示不同序列或检查的影像，支持4K显示器。</w:t>
      </w:r>
    </w:p>
    <w:p>
      <w:pPr>
        <w:spacing w:line="360" w:lineRule="auto"/>
        <w:ind w:firstLine="480" w:firstLineChars="200"/>
        <w:rPr>
          <w:rFonts w:ascii="宋体" w:hAnsi="宋体"/>
          <w:sz w:val="24"/>
        </w:rPr>
      </w:pPr>
      <w:r>
        <w:rPr>
          <w:rFonts w:ascii="宋体" w:hAnsi="宋体"/>
          <w:sz w:val="24"/>
        </w:rPr>
        <w:t>支持不同检查、多次检查、不同窗位分屏对比显示。可以左右分屏显示不同检查类型或不同时期检查的影像。也可以分屏显示同一影像的不同窗宽窗位。可以分别操作而不相互影响。</w:t>
      </w:r>
    </w:p>
    <w:p>
      <w:pPr>
        <w:spacing w:line="360" w:lineRule="auto"/>
        <w:ind w:firstLine="480" w:firstLineChars="200"/>
        <w:rPr>
          <w:rFonts w:ascii="宋体" w:hAnsi="宋体"/>
          <w:sz w:val="24"/>
        </w:rPr>
      </w:pPr>
      <w:r>
        <w:rPr>
          <w:rFonts w:ascii="宋体" w:hAnsi="宋体"/>
          <w:sz w:val="24"/>
        </w:rPr>
        <w:t>可以将多幅影像堆叠在一个分格内循环显示。播放过程中，不影响其它窗口里的图像。</w:t>
      </w:r>
    </w:p>
    <w:p>
      <w:pPr>
        <w:spacing w:line="360" w:lineRule="auto"/>
        <w:ind w:firstLine="480" w:firstLineChars="200"/>
        <w:rPr>
          <w:rFonts w:ascii="宋体" w:hAnsi="宋体"/>
          <w:sz w:val="24"/>
        </w:rPr>
      </w:pPr>
      <w:r>
        <w:rPr>
          <w:rFonts w:ascii="宋体" w:hAnsi="宋体"/>
          <w:sz w:val="24"/>
        </w:rPr>
        <w:t>系统在显示CT时，能够显示定位图像以及定位线，并可以在定位线上直接定位到对应的断层。</w:t>
      </w:r>
    </w:p>
    <w:p>
      <w:pPr>
        <w:spacing w:line="360" w:lineRule="auto"/>
        <w:ind w:firstLine="480" w:firstLineChars="200"/>
        <w:rPr>
          <w:rFonts w:ascii="宋体" w:hAnsi="宋体"/>
          <w:sz w:val="24"/>
        </w:rPr>
      </w:pPr>
      <w:r>
        <w:rPr>
          <w:rFonts w:ascii="宋体" w:hAnsi="宋体"/>
          <w:sz w:val="24"/>
        </w:rPr>
        <w:t>不同病人或同一病人不同检查在同一图像窗口的对比浏览。</w:t>
      </w:r>
    </w:p>
    <w:p>
      <w:pPr>
        <w:spacing w:line="360" w:lineRule="auto"/>
        <w:ind w:firstLine="480" w:firstLineChars="200"/>
        <w:rPr>
          <w:rFonts w:ascii="宋体" w:hAnsi="宋体"/>
          <w:sz w:val="24"/>
        </w:rPr>
      </w:pPr>
      <w:r>
        <w:rPr>
          <w:rFonts w:ascii="宋体" w:hAnsi="宋体"/>
          <w:sz w:val="24"/>
        </w:rPr>
        <w:t>支持同一部位不同次检查影像的扫描横截面自动同步对比显示，带定位线显示。</w:t>
      </w:r>
    </w:p>
    <w:p>
      <w:pPr>
        <w:spacing w:line="360" w:lineRule="auto"/>
        <w:ind w:firstLine="480" w:firstLineChars="200"/>
        <w:rPr>
          <w:rFonts w:ascii="宋体" w:hAnsi="宋体"/>
          <w:sz w:val="24"/>
        </w:rPr>
      </w:pPr>
      <w:r>
        <w:rPr>
          <w:rFonts w:ascii="宋体" w:hAnsi="宋体"/>
          <w:sz w:val="24"/>
        </w:rPr>
        <w:t>可对部分影像单独调窗。</w:t>
      </w:r>
    </w:p>
    <w:p>
      <w:pPr>
        <w:spacing w:line="360" w:lineRule="auto"/>
        <w:ind w:firstLine="480" w:firstLineChars="200"/>
        <w:rPr>
          <w:rFonts w:ascii="宋体" w:hAnsi="宋体"/>
          <w:sz w:val="24"/>
        </w:rPr>
      </w:pPr>
      <w:r>
        <w:rPr>
          <w:rFonts w:ascii="宋体" w:hAnsi="宋体"/>
          <w:sz w:val="24"/>
        </w:rPr>
        <w:t>可选择预设的常用窗宽、窗位值或使用鼠标拖拉方式连续调整窗宽、窗位。可设置某检查类别的窗宽、窗位缺省值。</w:t>
      </w:r>
    </w:p>
    <w:p>
      <w:pPr>
        <w:spacing w:line="360" w:lineRule="auto"/>
        <w:ind w:firstLine="480" w:firstLineChars="200"/>
        <w:rPr>
          <w:rFonts w:ascii="宋体" w:hAnsi="宋体"/>
          <w:sz w:val="24"/>
        </w:rPr>
      </w:pPr>
      <w:r>
        <w:rPr>
          <w:rFonts w:ascii="宋体" w:hAnsi="宋体"/>
          <w:sz w:val="24"/>
        </w:rPr>
        <w:t>支持12Bits以上专业灰度显示器。</w:t>
      </w:r>
    </w:p>
    <w:p>
      <w:pPr>
        <w:spacing w:line="360" w:lineRule="auto"/>
        <w:ind w:firstLine="564" w:firstLineChars="235"/>
        <w:rPr>
          <w:rFonts w:ascii="宋体" w:hAnsi="宋体"/>
          <w:sz w:val="24"/>
        </w:rPr>
      </w:pPr>
      <w:r>
        <w:rPr>
          <w:rFonts w:ascii="宋体" w:hAnsi="宋体"/>
          <w:sz w:val="24"/>
        </w:rPr>
        <w:t>支持调整影像的亮度、对比度的调整。</w:t>
      </w:r>
    </w:p>
    <w:p>
      <w:pPr>
        <w:spacing w:line="360" w:lineRule="auto"/>
        <w:ind w:firstLine="564" w:firstLineChars="235"/>
        <w:rPr>
          <w:rFonts w:ascii="宋体" w:hAnsi="宋体"/>
          <w:sz w:val="24"/>
        </w:rPr>
      </w:pPr>
      <w:r>
        <w:rPr>
          <w:rFonts w:ascii="宋体" w:hAnsi="宋体"/>
          <w:sz w:val="24"/>
        </w:rPr>
        <w:t>支持将原影像色彩反色显示。</w:t>
      </w:r>
    </w:p>
    <w:p>
      <w:pPr>
        <w:spacing w:line="360" w:lineRule="auto"/>
        <w:ind w:firstLine="564" w:firstLineChars="235"/>
        <w:rPr>
          <w:rFonts w:ascii="宋体" w:hAnsi="宋体"/>
          <w:sz w:val="24"/>
        </w:rPr>
      </w:pPr>
      <w:r>
        <w:rPr>
          <w:rFonts w:ascii="宋体" w:hAnsi="宋体"/>
          <w:sz w:val="24"/>
        </w:rPr>
        <w:t>可改变影像显示的Gamma曲线。在调整后可以恢复到原来的影像。</w:t>
      </w:r>
    </w:p>
    <w:p>
      <w:pPr>
        <w:spacing w:line="360" w:lineRule="auto"/>
        <w:ind w:firstLine="564" w:firstLineChars="235"/>
        <w:rPr>
          <w:rFonts w:ascii="宋体" w:hAnsi="宋体"/>
          <w:sz w:val="24"/>
        </w:rPr>
      </w:pPr>
      <w:r>
        <w:rPr>
          <w:rFonts w:ascii="宋体" w:hAnsi="宋体"/>
          <w:sz w:val="24"/>
        </w:rPr>
        <w:t>对一幅影像所做的调节，可直接应用到其它所有影像。</w:t>
      </w:r>
    </w:p>
    <w:p>
      <w:pPr>
        <w:spacing w:line="360" w:lineRule="auto"/>
        <w:ind w:firstLine="564" w:firstLineChars="235"/>
        <w:rPr>
          <w:rFonts w:ascii="宋体" w:hAnsi="宋体"/>
          <w:sz w:val="24"/>
        </w:rPr>
      </w:pPr>
      <w:r>
        <w:rPr>
          <w:rFonts w:ascii="宋体" w:hAnsi="宋体"/>
          <w:sz w:val="24"/>
        </w:rPr>
        <w:t>恢复初始值。对影像所做的缩放，移动，亮度对比度，Gamma校正，反相显示，窗宽窗位等变换，通过此功能均可一次复原。</w:t>
      </w:r>
    </w:p>
    <w:p>
      <w:pPr>
        <w:spacing w:line="360" w:lineRule="auto"/>
        <w:ind w:firstLine="564" w:firstLineChars="235"/>
        <w:rPr>
          <w:rFonts w:ascii="宋体" w:hAnsi="宋体"/>
          <w:sz w:val="24"/>
        </w:rPr>
      </w:pPr>
      <w:r>
        <w:rPr>
          <w:rFonts w:ascii="宋体" w:hAnsi="宋体"/>
          <w:sz w:val="24"/>
        </w:rPr>
        <w:t>将影像缩放到固定倍数或无级缩放。可调整放大镜窗口大小。</w:t>
      </w:r>
    </w:p>
    <w:p>
      <w:pPr>
        <w:spacing w:line="360" w:lineRule="auto"/>
        <w:ind w:firstLine="564" w:firstLineChars="235"/>
        <w:rPr>
          <w:rFonts w:ascii="宋体" w:hAnsi="宋体"/>
          <w:sz w:val="24"/>
        </w:rPr>
      </w:pPr>
      <w:r>
        <w:rPr>
          <w:rFonts w:ascii="宋体" w:hAnsi="宋体"/>
          <w:sz w:val="24"/>
        </w:rPr>
        <w:t>影像逆时针或顺时针旋转，影像绕其水平中轴或垂直中轴镜像。</w:t>
      </w:r>
    </w:p>
    <w:p>
      <w:pPr>
        <w:spacing w:line="360" w:lineRule="auto"/>
        <w:ind w:firstLine="564" w:firstLineChars="235"/>
        <w:rPr>
          <w:rFonts w:ascii="宋体" w:hAnsi="宋体"/>
          <w:sz w:val="24"/>
        </w:rPr>
      </w:pPr>
      <w:r>
        <w:rPr>
          <w:rFonts w:ascii="宋体" w:hAnsi="宋体"/>
          <w:sz w:val="24"/>
        </w:rPr>
        <w:t>当图像的大小大于显示窗口时，可移动图像，使感兴趣部分位于显示窗口内。</w:t>
      </w:r>
    </w:p>
    <w:p>
      <w:pPr>
        <w:spacing w:line="360" w:lineRule="auto"/>
        <w:ind w:firstLine="564" w:firstLineChars="235"/>
        <w:rPr>
          <w:rFonts w:ascii="宋体" w:hAnsi="宋体"/>
          <w:sz w:val="24"/>
        </w:rPr>
      </w:pPr>
      <w:r>
        <w:rPr>
          <w:rFonts w:ascii="宋体" w:hAnsi="宋体"/>
          <w:sz w:val="24"/>
        </w:rPr>
        <w:t>根据不同影像类别，在打开的图像四周或底部显示该影像相关信息(如病人姓名、性别、检查号、检查设备等)。可以显示某幅图像的所有DICOM element。</w:t>
      </w:r>
    </w:p>
    <w:p>
      <w:pPr>
        <w:spacing w:line="360" w:lineRule="auto"/>
        <w:ind w:firstLine="564" w:firstLineChars="235"/>
        <w:rPr>
          <w:rFonts w:ascii="宋体" w:hAnsi="宋体"/>
          <w:sz w:val="24"/>
        </w:rPr>
      </w:pPr>
      <w:r>
        <w:rPr>
          <w:rFonts w:ascii="宋体" w:hAnsi="宋体"/>
          <w:sz w:val="24"/>
        </w:rPr>
        <w:t>可以在相关影像上显示参考线（定位线），用来定位和识别这个影像与另一个视图中相关影像的关系；可以通过在参考影像上滚动定位线来浏览影像。</w:t>
      </w:r>
    </w:p>
    <w:p>
      <w:pPr>
        <w:spacing w:line="360" w:lineRule="auto"/>
        <w:ind w:firstLine="564" w:firstLineChars="235"/>
        <w:rPr>
          <w:rFonts w:ascii="宋体" w:hAnsi="宋体"/>
          <w:sz w:val="24"/>
        </w:rPr>
      </w:pPr>
      <w:r>
        <w:rPr>
          <w:rFonts w:ascii="宋体" w:hAnsi="宋体"/>
          <w:sz w:val="24"/>
        </w:rPr>
        <w:t>可查看某一幅影像的DICOM文件头信息。</w:t>
      </w:r>
    </w:p>
    <w:p>
      <w:pPr>
        <w:spacing w:line="360" w:lineRule="auto"/>
        <w:ind w:firstLine="564" w:firstLineChars="235"/>
        <w:rPr>
          <w:rFonts w:ascii="宋体" w:hAnsi="宋体"/>
          <w:sz w:val="24"/>
        </w:rPr>
      </w:pPr>
      <w:r>
        <w:rPr>
          <w:rFonts w:ascii="宋体" w:hAnsi="宋体"/>
          <w:sz w:val="24"/>
        </w:rPr>
        <w:t>可以测量一个CT影像上任意区域（包括手画线不规则区域）最高、最低或平均CT值。</w:t>
      </w:r>
    </w:p>
    <w:p>
      <w:pPr>
        <w:spacing w:line="360" w:lineRule="auto"/>
        <w:ind w:firstLine="564" w:firstLineChars="235"/>
        <w:rPr>
          <w:rFonts w:ascii="宋体" w:hAnsi="宋体"/>
          <w:sz w:val="24"/>
        </w:rPr>
      </w:pPr>
      <w:r>
        <w:rPr>
          <w:rFonts w:ascii="宋体" w:hAnsi="宋体"/>
          <w:sz w:val="24"/>
        </w:rPr>
        <w:t>可以在影像上注释，这些注释包括箭头、线条、平行线、垂直线、矩形、任意文字，这些注释的位置的是可以调整的。可以在同一影像上显示多个注释。注释可以分别或全部被删除。</w:t>
      </w:r>
    </w:p>
    <w:p>
      <w:pPr>
        <w:spacing w:line="360" w:lineRule="auto"/>
        <w:ind w:firstLine="566" w:firstLineChars="235"/>
        <w:rPr>
          <w:rFonts w:ascii="宋体" w:hAnsi="宋体"/>
          <w:b/>
          <w:bCs/>
          <w:color w:val="000000"/>
          <w:sz w:val="24"/>
        </w:rPr>
      </w:pPr>
      <w:r>
        <w:rPr>
          <w:rFonts w:hint="eastAsia" w:ascii="宋体" w:hAnsi="宋体"/>
          <w:b/>
          <w:bCs/>
          <w:color w:val="000000"/>
          <w:sz w:val="24"/>
        </w:rPr>
        <w:t>★</w:t>
      </w:r>
      <w:r>
        <w:rPr>
          <w:rFonts w:ascii="宋体" w:hAnsi="宋体"/>
          <w:b/>
          <w:bCs/>
          <w:color w:val="000000"/>
          <w:sz w:val="24"/>
        </w:rPr>
        <w:t>支持心胸比率测量。（需提供系统截图加盖公章）</w:t>
      </w:r>
    </w:p>
    <w:p>
      <w:pPr>
        <w:spacing w:line="360" w:lineRule="auto"/>
        <w:ind w:firstLine="566" w:firstLineChars="235"/>
        <w:rPr>
          <w:rFonts w:ascii="宋体" w:hAnsi="宋体"/>
          <w:b/>
          <w:bCs/>
          <w:color w:val="000000"/>
          <w:sz w:val="24"/>
        </w:rPr>
      </w:pPr>
      <w:r>
        <w:rPr>
          <w:rFonts w:hint="eastAsia" w:ascii="宋体" w:hAnsi="宋体"/>
          <w:b/>
          <w:bCs/>
          <w:color w:val="000000"/>
          <w:sz w:val="24"/>
        </w:rPr>
        <w:t>★</w:t>
      </w:r>
      <w:r>
        <w:rPr>
          <w:rFonts w:ascii="宋体" w:hAnsi="宋体"/>
          <w:b/>
          <w:bCs/>
          <w:color w:val="000000"/>
          <w:sz w:val="24"/>
        </w:rPr>
        <w:t>支持髋关节测量。（需提供系统截图加盖公章）</w:t>
      </w:r>
    </w:p>
    <w:p>
      <w:pPr>
        <w:spacing w:line="360" w:lineRule="auto"/>
        <w:ind w:firstLine="566" w:firstLineChars="235"/>
        <w:rPr>
          <w:rFonts w:ascii="宋体" w:hAnsi="宋体"/>
          <w:b/>
          <w:bCs/>
          <w:color w:val="000000"/>
          <w:sz w:val="24"/>
        </w:rPr>
      </w:pPr>
      <w:r>
        <w:rPr>
          <w:rFonts w:hint="eastAsia" w:ascii="宋体" w:hAnsi="宋体"/>
          <w:b/>
          <w:bCs/>
          <w:color w:val="000000"/>
          <w:sz w:val="24"/>
        </w:rPr>
        <w:t>★</w:t>
      </w:r>
      <w:r>
        <w:rPr>
          <w:rFonts w:ascii="宋体" w:hAnsi="宋体"/>
          <w:b/>
          <w:bCs/>
          <w:color w:val="000000"/>
          <w:sz w:val="24"/>
        </w:rPr>
        <w:t>支持骨盆测量。（需提供系统截图加盖公章）</w:t>
      </w:r>
    </w:p>
    <w:p>
      <w:pPr>
        <w:spacing w:line="360" w:lineRule="auto"/>
        <w:ind w:firstLine="566" w:firstLineChars="235"/>
        <w:rPr>
          <w:rFonts w:ascii="宋体" w:hAnsi="宋体"/>
          <w:b/>
          <w:bCs/>
          <w:color w:val="000000"/>
          <w:sz w:val="24"/>
        </w:rPr>
      </w:pPr>
      <w:r>
        <w:rPr>
          <w:rFonts w:hint="eastAsia" w:ascii="宋体" w:hAnsi="宋体"/>
          <w:b/>
          <w:bCs/>
          <w:color w:val="000000"/>
          <w:sz w:val="24"/>
        </w:rPr>
        <w:t>★</w:t>
      </w:r>
      <w:r>
        <w:rPr>
          <w:rFonts w:ascii="宋体" w:hAnsi="宋体"/>
          <w:b/>
          <w:bCs/>
          <w:color w:val="000000"/>
          <w:sz w:val="24"/>
        </w:rPr>
        <w:t>支持多 Cobb角测量。（需提供系统截图加盖公章）</w:t>
      </w:r>
    </w:p>
    <w:p>
      <w:pPr>
        <w:spacing w:line="360" w:lineRule="auto"/>
        <w:ind w:firstLine="482" w:firstLineChars="200"/>
        <w:rPr>
          <w:rFonts w:ascii="宋体" w:hAnsi="宋体"/>
          <w:b/>
          <w:bCs/>
          <w:color w:val="000000"/>
          <w:sz w:val="24"/>
        </w:rPr>
      </w:pPr>
      <w:r>
        <w:rPr>
          <w:rFonts w:hint="eastAsia" w:ascii="宋体" w:hAnsi="宋体"/>
          <w:b/>
          <w:bCs/>
          <w:color w:val="000000"/>
          <w:sz w:val="24"/>
        </w:rPr>
        <w:t>★</w:t>
      </w:r>
      <w:r>
        <w:rPr>
          <w:rFonts w:ascii="宋体" w:hAnsi="宋体"/>
          <w:b/>
          <w:bCs/>
          <w:color w:val="000000"/>
          <w:sz w:val="24"/>
        </w:rPr>
        <w:t>支持脊柱标记，一次标记，自动在所有序列的相关脊柱关节显示标准顺序号码。（需提供系统截图加盖公章）</w:t>
      </w:r>
    </w:p>
    <w:p>
      <w:pPr>
        <w:spacing w:line="360" w:lineRule="auto"/>
        <w:ind w:firstLine="566" w:firstLineChars="235"/>
        <w:rPr>
          <w:rFonts w:ascii="宋体" w:hAnsi="宋体"/>
          <w:color w:val="FF0000"/>
          <w:sz w:val="24"/>
        </w:rPr>
      </w:pPr>
      <w:r>
        <w:rPr>
          <w:rFonts w:hint="eastAsia" w:ascii="宋体" w:hAnsi="宋体"/>
          <w:b/>
          <w:bCs/>
          <w:color w:val="000000"/>
          <w:sz w:val="24"/>
        </w:rPr>
        <w:t>★</w:t>
      </w:r>
      <w:r>
        <w:rPr>
          <w:rFonts w:ascii="宋体" w:hAnsi="宋体"/>
          <w:b/>
          <w:bCs/>
          <w:color w:val="000000"/>
          <w:sz w:val="24"/>
        </w:rPr>
        <w:t>针对于CR、DR等普放片子提供专业的“影像图像增强”功能，可根据不同部位设置专业图像调优曲线，并支持手动及自动两种调优模式；（需提供系统截图加盖公章）</w:t>
      </w:r>
    </w:p>
    <w:p>
      <w:pPr>
        <w:spacing w:line="360" w:lineRule="auto"/>
        <w:ind w:firstLine="564" w:firstLineChars="235"/>
        <w:rPr>
          <w:rFonts w:ascii="宋体" w:hAnsi="宋体"/>
          <w:sz w:val="24"/>
        </w:rPr>
      </w:pPr>
      <w:r>
        <w:rPr>
          <w:rFonts w:ascii="宋体" w:hAnsi="宋体"/>
          <w:sz w:val="24"/>
        </w:rPr>
        <w:t>支持</w:t>
      </w:r>
      <w:r>
        <w:rPr>
          <w:rFonts w:hint="eastAsia" w:ascii="宋体" w:hAnsi="宋体"/>
          <w:sz w:val="24"/>
        </w:rPr>
        <w:t>同机</w:t>
      </w:r>
      <w:r>
        <w:rPr>
          <w:rFonts w:ascii="宋体" w:hAnsi="宋体"/>
          <w:sz w:val="24"/>
        </w:rPr>
        <w:t>CT</w:t>
      </w:r>
      <w:r>
        <w:rPr>
          <w:rFonts w:hint="eastAsia" w:ascii="宋体" w:hAnsi="宋体"/>
          <w:sz w:val="24"/>
        </w:rPr>
        <w:t>/</w:t>
      </w:r>
      <w:r>
        <w:rPr>
          <w:rFonts w:ascii="宋体" w:hAnsi="宋体"/>
          <w:sz w:val="24"/>
        </w:rPr>
        <w:t>PET图像的融合后处理</w:t>
      </w:r>
    </w:p>
    <w:p>
      <w:pPr>
        <w:spacing w:line="360" w:lineRule="auto"/>
        <w:ind w:firstLine="566" w:firstLineChars="235"/>
        <w:rPr>
          <w:rFonts w:ascii="宋体" w:hAnsi="宋体"/>
          <w:b/>
          <w:bCs/>
          <w:sz w:val="24"/>
        </w:rPr>
      </w:pPr>
      <w:r>
        <w:rPr>
          <w:rFonts w:ascii="宋体" w:hAnsi="宋体"/>
          <w:b/>
          <w:bCs/>
          <w:sz w:val="24"/>
        </w:rPr>
        <w:t>2.3</w:t>
      </w:r>
      <w:r>
        <w:rPr>
          <w:rFonts w:ascii="宋体" w:hAnsi="宋体"/>
          <w:b/>
          <w:bCs/>
          <w:sz w:val="24"/>
        </w:rPr>
        <w:tab/>
      </w:r>
      <w:r>
        <w:rPr>
          <w:rFonts w:ascii="宋体" w:hAnsi="宋体"/>
          <w:b/>
          <w:bCs/>
          <w:sz w:val="24"/>
        </w:rPr>
        <w:t>三维可视化功能</w:t>
      </w:r>
    </w:p>
    <w:p>
      <w:pPr>
        <w:spacing w:line="360" w:lineRule="auto"/>
        <w:ind w:firstLine="564" w:firstLineChars="235"/>
        <w:rPr>
          <w:rFonts w:ascii="宋体" w:hAnsi="宋体"/>
          <w:sz w:val="24"/>
        </w:rPr>
      </w:pPr>
      <w:r>
        <w:rPr>
          <w:rFonts w:ascii="宋体" w:hAnsi="宋体"/>
          <w:sz w:val="24"/>
        </w:rPr>
        <w:t>提供经过CFDA认证的PACS软件商原厂影像三维重建处理软件，可以在PACS网络内的任何一台工作站上使用，包括诊断工作站、临床工作站、院外工作站等。</w:t>
      </w:r>
    </w:p>
    <w:p>
      <w:pPr>
        <w:spacing w:line="360" w:lineRule="auto"/>
        <w:ind w:firstLine="566" w:firstLineChars="235"/>
        <w:rPr>
          <w:rFonts w:ascii="宋体" w:hAnsi="宋体"/>
          <w:b/>
          <w:bCs/>
          <w:color w:val="000000"/>
          <w:sz w:val="24"/>
        </w:rPr>
      </w:pPr>
      <w:r>
        <w:rPr>
          <w:rFonts w:hint="eastAsia" w:ascii="宋体" w:hAnsi="宋体"/>
          <w:b/>
          <w:bCs/>
          <w:color w:val="000000"/>
          <w:sz w:val="24"/>
        </w:rPr>
        <w:t>★</w:t>
      </w:r>
      <w:r>
        <w:rPr>
          <w:rFonts w:ascii="宋体" w:hAnsi="宋体"/>
          <w:b/>
          <w:bCs/>
          <w:color w:val="000000"/>
          <w:sz w:val="24"/>
        </w:rPr>
        <w:t>三维可视化模块需与PACS系统为同一厂家生产，提供三维医学影像后处理系统著作权（复印件加盖公章，著作权登记时间以项目招标公告发布之日前为准）；</w:t>
      </w:r>
    </w:p>
    <w:p>
      <w:pPr>
        <w:spacing w:line="360" w:lineRule="auto"/>
        <w:ind w:firstLine="566" w:firstLineChars="235"/>
        <w:rPr>
          <w:rFonts w:ascii="宋体" w:hAnsi="宋体"/>
          <w:b/>
          <w:bCs/>
          <w:color w:val="000000"/>
          <w:sz w:val="24"/>
        </w:rPr>
      </w:pPr>
      <w:r>
        <w:rPr>
          <w:rFonts w:hint="eastAsia" w:ascii="宋体" w:hAnsi="宋体"/>
          <w:b/>
          <w:bCs/>
          <w:color w:val="000000"/>
          <w:sz w:val="24"/>
        </w:rPr>
        <w:t>★</w:t>
      </w:r>
      <w:r>
        <w:rPr>
          <w:rFonts w:ascii="宋体" w:hAnsi="宋体"/>
          <w:b/>
          <w:bCs/>
          <w:color w:val="000000"/>
          <w:sz w:val="24"/>
        </w:rPr>
        <w:t>三维可视化系统具备国内自主知识产权，提供三维可视化软件系统著作权（复印件加盖公章，著作权登记时间以项目招标公告发布之日前为准）；</w:t>
      </w:r>
    </w:p>
    <w:p>
      <w:pPr>
        <w:spacing w:line="360" w:lineRule="auto"/>
        <w:ind w:firstLine="564" w:firstLineChars="235"/>
        <w:rPr>
          <w:rFonts w:ascii="宋体" w:hAnsi="宋体"/>
          <w:sz w:val="24"/>
        </w:rPr>
      </w:pPr>
      <w:r>
        <w:rPr>
          <w:rFonts w:ascii="宋体" w:hAnsi="宋体"/>
          <w:sz w:val="24"/>
        </w:rPr>
        <w:t>三维可视化模块在放射科任意端点均可使用，且所有端点具备科室业务高峰期同时并行运算的能力；</w:t>
      </w:r>
    </w:p>
    <w:p>
      <w:pPr>
        <w:spacing w:line="360" w:lineRule="auto"/>
        <w:ind w:firstLine="566" w:firstLineChars="235"/>
        <w:rPr>
          <w:rFonts w:ascii="宋体" w:hAnsi="宋体"/>
          <w:b/>
          <w:bCs/>
          <w:color w:val="000000"/>
          <w:sz w:val="24"/>
        </w:rPr>
      </w:pPr>
      <w:r>
        <w:rPr>
          <w:rFonts w:hint="eastAsia" w:ascii="宋体" w:hAnsi="宋体"/>
          <w:b/>
          <w:bCs/>
          <w:color w:val="000000"/>
          <w:sz w:val="24"/>
        </w:rPr>
        <w:t>★</w:t>
      </w:r>
      <w:r>
        <w:rPr>
          <w:rFonts w:ascii="宋体" w:hAnsi="宋体"/>
          <w:b/>
          <w:bCs/>
          <w:color w:val="000000"/>
          <w:sz w:val="24"/>
        </w:rPr>
        <w:t>可以对图像进行三维后处理，如MPR、CPR、VR、VE等高级三维后处理，不限制三维后处理工作站安装许可；多平面重建功能（MPR）；曲面重建功能（CPR）；容积重建（VR）；虚拟内窥镜（VE）。（提供软件截图加盖公章）</w:t>
      </w:r>
    </w:p>
    <w:p>
      <w:pPr>
        <w:spacing w:line="360" w:lineRule="auto"/>
        <w:ind w:firstLine="564" w:firstLineChars="235"/>
        <w:rPr>
          <w:rFonts w:ascii="宋体" w:hAnsi="宋体"/>
          <w:sz w:val="24"/>
        </w:rPr>
      </w:pPr>
      <w:r>
        <w:rPr>
          <w:rFonts w:ascii="宋体" w:hAnsi="宋体"/>
          <w:sz w:val="24"/>
        </w:rPr>
        <w:t>支持在一台普通的电脑或笔记本上运行高分辨率三维重建影像。</w:t>
      </w:r>
    </w:p>
    <w:p>
      <w:pPr>
        <w:spacing w:line="360" w:lineRule="auto"/>
        <w:ind w:firstLine="564" w:firstLineChars="235"/>
        <w:rPr>
          <w:rFonts w:ascii="宋体" w:hAnsi="宋体"/>
          <w:sz w:val="24"/>
        </w:rPr>
      </w:pPr>
      <w:r>
        <w:rPr>
          <w:rFonts w:ascii="宋体" w:hAnsi="宋体"/>
          <w:sz w:val="24"/>
        </w:rPr>
        <w:t>用户自定义显示协议：支持用户使用任何预定义或用户定义的渲染协议显示三维重建图像。</w:t>
      </w:r>
    </w:p>
    <w:p>
      <w:pPr>
        <w:spacing w:line="360" w:lineRule="auto"/>
        <w:ind w:firstLine="564" w:firstLineChars="235"/>
        <w:rPr>
          <w:rFonts w:ascii="宋体" w:hAnsi="宋体"/>
          <w:sz w:val="24"/>
        </w:rPr>
      </w:pPr>
      <w:r>
        <w:rPr>
          <w:rFonts w:ascii="宋体" w:hAnsi="宋体"/>
          <w:sz w:val="24"/>
        </w:rPr>
        <w:t>裁剪感兴趣容积：支持对定义的感兴趣容积使用标准的裁剪面进行裁剪。</w:t>
      </w:r>
    </w:p>
    <w:p>
      <w:pPr>
        <w:spacing w:line="360" w:lineRule="auto"/>
        <w:ind w:firstLine="566" w:firstLineChars="235"/>
        <w:rPr>
          <w:rFonts w:ascii="宋体" w:hAnsi="宋体"/>
          <w:b/>
          <w:bCs/>
          <w:color w:val="000000"/>
          <w:sz w:val="24"/>
        </w:rPr>
      </w:pPr>
      <w:r>
        <w:rPr>
          <w:rFonts w:hint="eastAsia" w:ascii="宋体" w:hAnsi="宋体"/>
          <w:b/>
          <w:bCs/>
          <w:color w:val="000000"/>
          <w:sz w:val="24"/>
        </w:rPr>
        <w:t>★</w:t>
      </w:r>
      <w:r>
        <w:rPr>
          <w:rFonts w:ascii="宋体" w:hAnsi="宋体"/>
          <w:b/>
          <w:bCs/>
          <w:color w:val="000000"/>
          <w:sz w:val="24"/>
        </w:rPr>
        <w:t>支持最大密度投影(MIP)；平均密度投影（AIP）；最小密度投影（MinIP）：支持旋转、缩放、移动功能。（需提供系统截图加盖公章）</w:t>
      </w:r>
    </w:p>
    <w:p>
      <w:pPr>
        <w:spacing w:line="360" w:lineRule="auto"/>
        <w:ind w:firstLine="566" w:firstLineChars="235"/>
        <w:rPr>
          <w:rFonts w:ascii="宋体" w:hAnsi="宋体"/>
          <w:b/>
          <w:bCs/>
          <w:color w:val="000000"/>
          <w:sz w:val="24"/>
        </w:rPr>
      </w:pPr>
      <w:r>
        <w:rPr>
          <w:rFonts w:hint="eastAsia" w:ascii="宋体" w:hAnsi="宋体"/>
          <w:b/>
          <w:bCs/>
          <w:color w:val="000000"/>
          <w:sz w:val="24"/>
        </w:rPr>
        <w:t>★</w:t>
      </w:r>
      <w:r>
        <w:rPr>
          <w:rFonts w:ascii="宋体" w:hAnsi="宋体"/>
          <w:b/>
          <w:bCs/>
          <w:color w:val="000000"/>
          <w:sz w:val="24"/>
        </w:rPr>
        <w:t>支持三维可视化阅片功能。包含阈值分割、一键去床板、鼠标拖拽调节阻光度。（需提供系统截图加盖公章）</w:t>
      </w:r>
    </w:p>
    <w:p>
      <w:pPr>
        <w:spacing w:line="360" w:lineRule="auto"/>
        <w:ind w:firstLine="480" w:firstLineChars="200"/>
        <w:rPr>
          <w:rFonts w:ascii="宋体" w:hAnsi="宋体"/>
          <w:sz w:val="24"/>
        </w:rPr>
      </w:pPr>
      <w:r>
        <w:rPr>
          <w:rFonts w:ascii="宋体" w:hAnsi="宋体"/>
          <w:sz w:val="24"/>
        </w:rPr>
        <w:t>具有多平面重建(MPR)功能：根据用户任意定义的平面轴向实时重建图像：冠状面、矢状面、斜面。</w:t>
      </w:r>
    </w:p>
    <w:p>
      <w:pPr>
        <w:spacing w:line="360" w:lineRule="auto"/>
        <w:ind w:firstLine="564" w:firstLineChars="235"/>
        <w:rPr>
          <w:rFonts w:ascii="宋体" w:hAnsi="宋体"/>
          <w:sz w:val="24"/>
        </w:rPr>
      </w:pPr>
      <w:r>
        <w:rPr>
          <w:rFonts w:ascii="宋体" w:hAnsi="宋体"/>
          <w:sz w:val="24"/>
        </w:rPr>
        <w:t>支持CPR功能，可提供CPR360度旋转显示；</w:t>
      </w:r>
    </w:p>
    <w:p>
      <w:pPr>
        <w:spacing w:line="360" w:lineRule="auto"/>
        <w:ind w:firstLine="564" w:firstLineChars="235"/>
        <w:rPr>
          <w:rFonts w:ascii="宋体" w:hAnsi="宋体"/>
          <w:sz w:val="24"/>
        </w:rPr>
      </w:pPr>
      <w:r>
        <w:rPr>
          <w:rFonts w:ascii="宋体" w:hAnsi="宋体"/>
          <w:sz w:val="24"/>
        </w:rPr>
        <w:t>支持层厚、层距的调节。</w:t>
      </w:r>
    </w:p>
    <w:p>
      <w:pPr>
        <w:spacing w:line="360" w:lineRule="auto"/>
        <w:ind w:firstLine="564" w:firstLineChars="235"/>
        <w:rPr>
          <w:rFonts w:ascii="宋体" w:hAnsi="宋体"/>
          <w:sz w:val="24"/>
        </w:rPr>
      </w:pPr>
      <w:r>
        <w:rPr>
          <w:rFonts w:ascii="宋体" w:hAnsi="宋体"/>
          <w:sz w:val="24"/>
        </w:rPr>
        <w:t>支持双斜位—允许用户同时地应用3个斜面调节观察一个容积数据，可同步旋转参照图像到任意方位。</w:t>
      </w:r>
    </w:p>
    <w:p>
      <w:pPr>
        <w:spacing w:line="360" w:lineRule="auto"/>
        <w:ind w:firstLine="566" w:firstLineChars="235"/>
        <w:rPr>
          <w:rFonts w:ascii="宋体" w:hAnsi="宋体"/>
          <w:b/>
          <w:bCs/>
          <w:sz w:val="24"/>
        </w:rPr>
      </w:pPr>
      <w:r>
        <w:rPr>
          <w:rFonts w:ascii="宋体" w:hAnsi="宋体"/>
          <w:b/>
          <w:bCs/>
          <w:sz w:val="24"/>
        </w:rPr>
        <w:t>2.5</w:t>
      </w:r>
      <w:r>
        <w:rPr>
          <w:rFonts w:ascii="宋体" w:hAnsi="宋体"/>
          <w:b/>
          <w:bCs/>
          <w:sz w:val="24"/>
        </w:rPr>
        <w:tab/>
      </w:r>
      <w:r>
        <w:rPr>
          <w:rFonts w:ascii="宋体" w:hAnsi="宋体"/>
          <w:b/>
          <w:bCs/>
          <w:sz w:val="24"/>
        </w:rPr>
        <w:t>图像拼接功能</w:t>
      </w:r>
    </w:p>
    <w:p>
      <w:pPr>
        <w:spacing w:line="360" w:lineRule="auto"/>
        <w:ind w:firstLine="566" w:firstLineChars="235"/>
        <w:rPr>
          <w:rFonts w:ascii="宋体" w:hAnsi="宋体"/>
          <w:color w:val="FF0000"/>
          <w:sz w:val="24"/>
        </w:rPr>
      </w:pPr>
      <w:r>
        <w:rPr>
          <w:rFonts w:hint="eastAsia" w:ascii="宋体" w:hAnsi="宋体"/>
          <w:b/>
          <w:bCs/>
          <w:color w:val="000000"/>
          <w:sz w:val="24"/>
        </w:rPr>
        <w:t>★</w:t>
      </w:r>
      <w:r>
        <w:rPr>
          <w:rFonts w:ascii="宋体" w:hAnsi="宋体"/>
          <w:b/>
          <w:bCs/>
          <w:color w:val="000000"/>
          <w:sz w:val="24"/>
        </w:rPr>
        <w:t>提供适用于进行全脊柱侧弯、下肢整形矫正等大视野范围的X光检查的图像拼接功能（需提供系统截图加盖公章）</w:t>
      </w:r>
    </w:p>
    <w:p>
      <w:pPr>
        <w:spacing w:line="360" w:lineRule="auto"/>
        <w:ind w:firstLine="566" w:firstLineChars="235"/>
        <w:rPr>
          <w:rFonts w:ascii="宋体" w:hAnsi="宋体"/>
          <w:b/>
          <w:bCs/>
          <w:sz w:val="24"/>
        </w:rPr>
      </w:pPr>
      <w:r>
        <w:rPr>
          <w:rFonts w:ascii="宋体" w:hAnsi="宋体"/>
          <w:b/>
          <w:bCs/>
          <w:sz w:val="24"/>
        </w:rPr>
        <w:t>2.7</w:t>
      </w:r>
      <w:r>
        <w:rPr>
          <w:rFonts w:ascii="宋体" w:hAnsi="宋体"/>
          <w:b/>
          <w:bCs/>
          <w:sz w:val="24"/>
        </w:rPr>
        <w:tab/>
      </w:r>
      <w:r>
        <w:rPr>
          <w:rFonts w:ascii="宋体" w:hAnsi="宋体"/>
          <w:b/>
          <w:bCs/>
          <w:sz w:val="24"/>
        </w:rPr>
        <w:t>胶片打印功能</w:t>
      </w:r>
    </w:p>
    <w:p>
      <w:pPr>
        <w:spacing w:line="360" w:lineRule="auto"/>
        <w:ind w:firstLine="480" w:firstLineChars="200"/>
        <w:rPr>
          <w:rFonts w:ascii="宋体" w:hAnsi="宋体"/>
          <w:sz w:val="24"/>
        </w:rPr>
      </w:pPr>
      <w:r>
        <w:rPr>
          <w:rFonts w:ascii="宋体" w:hAnsi="宋体"/>
          <w:sz w:val="24"/>
        </w:rPr>
        <w:t>提供所见即所得的DICOM打印，支持拼图打印、剪裁打印、真实尺寸打印；窗宽窗位调整、GAMMA校正、亮度对比度调整、任意角度旋转、标注和测量结果均可应用到胶片上。</w:t>
      </w:r>
    </w:p>
    <w:p>
      <w:pPr>
        <w:spacing w:line="360" w:lineRule="auto"/>
        <w:ind w:firstLine="480" w:firstLineChars="200"/>
        <w:rPr>
          <w:rFonts w:ascii="宋体" w:hAnsi="宋体"/>
          <w:sz w:val="24"/>
        </w:rPr>
      </w:pPr>
      <w:r>
        <w:rPr>
          <w:rFonts w:ascii="宋体" w:hAnsi="宋体"/>
          <w:sz w:val="24"/>
        </w:rPr>
        <w:t>胶片参数设置：尺寸类型、每种类型标注打印的位置(四角或下部)；打印机参数设置： 增加、编辑，打印机名称、IP、Called AET、Calling AET、端口等参数。</w:t>
      </w:r>
    </w:p>
    <w:p>
      <w:pPr>
        <w:spacing w:line="360" w:lineRule="auto"/>
        <w:ind w:firstLine="480" w:firstLineChars="200"/>
        <w:rPr>
          <w:rFonts w:ascii="宋体" w:hAnsi="宋体"/>
          <w:sz w:val="24"/>
        </w:rPr>
      </w:pPr>
      <w:r>
        <w:rPr>
          <w:rFonts w:ascii="宋体" w:hAnsi="宋体"/>
          <w:sz w:val="24"/>
        </w:rPr>
        <w:t>能对不同影像设备分別设定不同的胶片打印模式。</w:t>
      </w:r>
    </w:p>
    <w:p>
      <w:pPr>
        <w:spacing w:line="360" w:lineRule="auto"/>
        <w:ind w:firstLine="480" w:firstLineChars="200"/>
        <w:rPr>
          <w:rFonts w:ascii="宋体" w:hAnsi="宋体"/>
          <w:sz w:val="24"/>
        </w:rPr>
      </w:pPr>
      <w:r>
        <w:rPr>
          <w:rFonts w:ascii="宋体" w:hAnsi="宋体"/>
          <w:sz w:val="24"/>
        </w:rPr>
        <w:t>支持不规则胶片排版</w:t>
      </w:r>
    </w:p>
    <w:p>
      <w:pPr>
        <w:spacing w:line="360" w:lineRule="auto"/>
        <w:ind w:firstLine="480" w:firstLineChars="200"/>
        <w:rPr>
          <w:rFonts w:ascii="宋体" w:hAnsi="宋体"/>
          <w:sz w:val="24"/>
        </w:rPr>
      </w:pPr>
      <w:r>
        <w:rPr>
          <w:rFonts w:ascii="宋体" w:hAnsi="宋体"/>
          <w:sz w:val="24"/>
        </w:rPr>
        <w:t>支持各类DICOM激光相机，如干式/湿式。</w:t>
      </w:r>
    </w:p>
    <w:p>
      <w:pPr>
        <w:spacing w:line="360" w:lineRule="auto"/>
        <w:ind w:firstLine="480" w:firstLineChars="200"/>
        <w:rPr>
          <w:rFonts w:ascii="宋体" w:hAnsi="宋体"/>
          <w:sz w:val="24"/>
        </w:rPr>
      </w:pPr>
      <w:r>
        <w:rPr>
          <w:rFonts w:ascii="宋体" w:hAnsi="宋体"/>
          <w:sz w:val="24"/>
        </w:rPr>
        <w:t>可以将全部图像、当前序列图像、当前图像另存为DICOM或BMP格式。</w:t>
      </w:r>
    </w:p>
    <w:p>
      <w:pPr>
        <w:spacing w:line="360" w:lineRule="auto"/>
        <w:ind w:firstLine="480" w:firstLineChars="200"/>
        <w:rPr>
          <w:rFonts w:ascii="宋体" w:hAnsi="宋体"/>
          <w:sz w:val="24"/>
        </w:rPr>
      </w:pPr>
      <w:r>
        <w:rPr>
          <w:rFonts w:ascii="宋体" w:hAnsi="宋体"/>
          <w:sz w:val="24"/>
        </w:rPr>
        <w:t>对胶片打印图像提供裁剪、拼片、分页排版、品字形排列等操作，支持彩色打印。</w:t>
      </w:r>
    </w:p>
    <w:p>
      <w:pPr>
        <w:spacing w:line="360" w:lineRule="auto"/>
        <w:ind w:firstLine="480" w:firstLineChars="200"/>
        <w:rPr>
          <w:rFonts w:ascii="宋体" w:hAnsi="宋体"/>
          <w:sz w:val="24"/>
        </w:rPr>
      </w:pPr>
      <w:r>
        <w:rPr>
          <w:rFonts w:ascii="宋体" w:hAnsi="宋体"/>
          <w:sz w:val="24"/>
        </w:rPr>
        <w:t>支持三维高级影像后处理集成展示，同一影像处理平台可以调阅二维和三维处理结果。</w:t>
      </w:r>
    </w:p>
    <w:p>
      <w:pPr>
        <w:spacing w:line="360" w:lineRule="auto"/>
        <w:ind w:firstLine="480" w:firstLineChars="200"/>
        <w:rPr>
          <w:rFonts w:ascii="宋体" w:hAnsi="宋体"/>
          <w:sz w:val="24"/>
        </w:rPr>
      </w:pPr>
      <w:r>
        <w:rPr>
          <w:rFonts w:ascii="宋体" w:hAnsi="宋体"/>
          <w:sz w:val="24"/>
        </w:rPr>
        <w:t>可以将RIS信息作为页眉打印到胶片</w:t>
      </w:r>
    </w:p>
    <w:p>
      <w:pPr>
        <w:spacing w:line="360" w:lineRule="auto"/>
        <w:ind w:firstLine="480" w:firstLineChars="200"/>
        <w:rPr>
          <w:rFonts w:ascii="宋体" w:hAnsi="宋体"/>
          <w:sz w:val="24"/>
        </w:rPr>
      </w:pPr>
      <w:r>
        <w:rPr>
          <w:rFonts w:ascii="宋体" w:hAnsi="宋体"/>
          <w:sz w:val="24"/>
        </w:rPr>
        <w:t>支持多个患者在一张胶片上的排版，切割使用节省胶片。</w:t>
      </w:r>
    </w:p>
    <w:p>
      <w:pPr>
        <w:spacing w:line="360" w:lineRule="auto"/>
        <w:ind w:firstLine="566" w:firstLineChars="235"/>
        <w:rPr>
          <w:rFonts w:ascii="宋体" w:hAnsi="宋体"/>
          <w:b/>
          <w:bCs/>
          <w:sz w:val="24"/>
        </w:rPr>
      </w:pPr>
      <w:r>
        <w:rPr>
          <w:rFonts w:ascii="宋体" w:hAnsi="宋体"/>
          <w:b/>
          <w:bCs/>
          <w:sz w:val="24"/>
        </w:rPr>
        <w:t>2.8</w:t>
      </w:r>
      <w:r>
        <w:rPr>
          <w:rFonts w:ascii="宋体" w:hAnsi="宋体"/>
          <w:b/>
          <w:bCs/>
          <w:sz w:val="24"/>
        </w:rPr>
        <w:tab/>
      </w:r>
      <w:r>
        <w:rPr>
          <w:rFonts w:ascii="宋体" w:hAnsi="宋体"/>
          <w:b/>
          <w:bCs/>
          <w:sz w:val="24"/>
        </w:rPr>
        <w:t>统计报表模块</w:t>
      </w:r>
    </w:p>
    <w:p>
      <w:pPr>
        <w:spacing w:line="360" w:lineRule="auto"/>
        <w:ind w:firstLine="480" w:firstLineChars="200"/>
        <w:rPr>
          <w:rFonts w:ascii="宋体" w:hAnsi="宋体"/>
          <w:sz w:val="24"/>
        </w:rPr>
      </w:pPr>
      <w:r>
        <w:rPr>
          <w:rFonts w:ascii="宋体" w:hAnsi="宋体"/>
          <w:sz w:val="24"/>
        </w:rPr>
        <w:t>设备利用率统计。</w:t>
      </w:r>
    </w:p>
    <w:p>
      <w:pPr>
        <w:spacing w:line="360" w:lineRule="auto"/>
        <w:ind w:firstLine="480" w:firstLineChars="200"/>
        <w:rPr>
          <w:rFonts w:ascii="宋体" w:hAnsi="宋体"/>
          <w:sz w:val="24"/>
        </w:rPr>
      </w:pPr>
      <w:r>
        <w:rPr>
          <w:rFonts w:ascii="宋体" w:hAnsi="宋体"/>
          <w:sz w:val="24"/>
        </w:rPr>
        <w:t>科室每月的收入情况统计；</w:t>
      </w:r>
    </w:p>
    <w:p>
      <w:pPr>
        <w:spacing w:line="360" w:lineRule="auto"/>
        <w:ind w:firstLine="480" w:firstLineChars="200"/>
        <w:rPr>
          <w:rFonts w:ascii="宋体" w:hAnsi="宋体"/>
          <w:sz w:val="24"/>
        </w:rPr>
      </w:pPr>
      <w:r>
        <w:rPr>
          <w:rFonts w:ascii="宋体" w:hAnsi="宋体"/>
          <w:sz w:val="24"/>
        </w:rPr>
        <w:t>阳性率统计；</w:t>
      </w:r>
    </w:p>
    <w:p>
      <w:pPr>
        <w:spacing w:line="360" w:lineRule="auto"/>
        <w:ind w:firstLine="480" w:firstLineChars="200"/>
        <w:rPr>
          <w:rFonts w:ascii="宋体" w:hAnsi="宋体"/>
          <w:sz w:val="24"/>
        </w:rPr>
      </w:pPr>
      <w:r>
        <w:rPr>
          <w:rFonts w:ascii="宋体" w:hAnsi="宋体"/>
          <w:sz w:val="24"/>
        </w:rPr>
        <w:t>登记员工作量统计，检查技师工作量统计，记录员工作量统计。</w:t>
      </w:r>
    </w:p>
    <w:p>
      <w:pPr>
        <w:spacing w:line="360" w:lineRule="auto"/>
        <w:ind w:firstLine="480" w:firstLineChars="200"/>
        <w:rPr>
          <w:rFonts w:ascii="宋体" w:hAnsi="宋体"/>
          <w:sz w:val="24"/>
        </w:rPr>
      </w:pPr>
      <w:r>
        <w:rPr>
          <w:rFonts w:ascii="宋体" w:hAnsi="宋体"/>
          <w:sz w:val="24"/>
        </w:rPr>
        <w:t>报告医生（一级）、审核医生（二级）工作量统计</w:t>
      </w:r>
    </w:p>
    <w:p>
      <w:pPr>
        <w:spacing w:line="360" w:lineRule="auto"/>
        <w:ind w:firstLine="480" w:firstLineChars="200"/>
        <w:rPr>
          <w:rFonts w:ascii="宋体" w:hAnsi="宋体"/>
          <w:sz w:val="24"/>
        </w:rPr>
      </w:pPr>
      <w:r>
        <w:rPr>
          <w:rFonts w:ascii="宋体" w:hAnsi="宋体"/>
          <w:sz w:val="24"/>
        </w:rPr>
        <w:t>审核医生（二级）对报告医生（一级）修改率统计</w:t>
      </w:r>
    </w:p>
    <w:p>
      <w:pPr>
        <w:spacing w:line="360" w:lineRule="auto"/>
        <w:ind w:firstLine="480" w:firstLineChars="200"/>
        <w:rPr>
          <w:rFonts w:ascii="宋体" w:hAnsi="宋体"/>
          <w:sz w:val="24"/>
        </w:rPr>
      </w:pPr>
      <w:r>
        <w:rPr>
          <w:rFonts w:ascii="宋体" w:hAnsi="宋体"/>
          <w:sz w:val="24"/>
        </w:rPr>
        <w:t>科室每月的收入情况；</w:t>
      </w:r>
    </w:p>
    <w:p>
      <w:pPr>
        <w:spacing w:line="360" w:lineRule="auto"/>
        <w:ind w:firstLine="480" w:firstLineChars="200"/>
        <w:rPr>
          <w:rFonts w:ascii="宋体" w:hAnsi="宋体"/>
          <w:sz w:val="24"/>
        </w:rPr>
      </w:pPr>
      <w:r>
        <w:rPr>
          <w:rFonts w:ascii="宋体" w:hAnsi="宋体"/>
          <w:sz w:val="24"/>
        </w:rPr>
        <w:t>不同临床科室申请检查情况的统计；</w:t>
      </w:r>
    </w:p>
    <w:p>
      <w:pPr>
        <w:spacing w:line="360" w:lineRule="auto"/>
        <w:ind w:firstLine="480" w:firstLineChars="200"/>
        <w:rPr>
          <w:rFonts w:ascii="宋体" w:hAnsi="宋体"/>
          <w:sz w:val="24"/>
        </w:rPr>
      </w:pPr>
      <w:r>
        <w:rPr>
          <w:rFonts w:ascii="宋体" w:hAnsi="宋体"/>
          <w:sz w:val="24"/>
        </w:rPr>
        <w:t>不同时间段的统计情况；</w:t>
      </w:r>
    </w:p>
    <w:p>
      <w:pPr>
        <w:spacing w:line="360" w:lineRule="auto"/>
        <w:ind w:firstLine="480" w:firstLineChars="200"/>
        <w:rPr>
          <w:rFonts w:ascii="宋体" w:hAnsi="宋体"/>
          <w:sz w:val="24"/>
        </w:rPr>
      </w:pPr>
      <w:r>
        <w:rPr>
          <w:rFonts w:ascii="宋体" w:hAnsi="宋体"/>
          <w:sz w:val="24"/>
        </w:rPr>
        <w:t>检查项目明细统计。</w:t>
      </w:r>
    </w:p>
    <w:p>
      <w:pPr>
        <w:spacing w:line="360" w:lineRule="auto"/>
        <w:ind w:firstLine="480" w:firstLineChars="200"/>
        <w:rPr>
          <w:rFonts w:ascii="宋体" w:hAnsi="宋体"/>
          <w:sz w:val="24"/>
        </w:rPr>
      </w:pPr>
      <w:r>
        <w:rPr>
          <w:rFonts w:ascii="宋体" w:hAnsi="宋体"/>
          <w:sz w:val="24"/>
        </w:rPr>
        <w:t>统计报表打印、保存，需要时可重新提取。</w:t>
      </w:r>
    </w:p>
    <w:p>
      <w:pPr>
        <w:spacing w:line="360" w:lineRule="auto"/>
        <w:ind w:firstLine="480" w:firstLineChars="200"/>
        <w:rPr>
          <w:rFonts w:ascii="宋体" w:hAnsi="宋体"/>
          <w:sz w:val="24"/>
        </w:rPr>
      </w:pPr>
      <w:r>
        <w:rPr>
          <w:rFonts w:ascii="宋体" w:hAnsi="宋体"/>
          <w:sz w:val="24"/>
        </w:rPr>
        <w:t>支持数据导出功能，并可将查询结果导出到EXCEL格式作进一步统计打印。</w:t>
      </w:r>
    </w:p>
    <w:p>
      <w:pPr>
        <w:spacing w:line="360" w:lineRule="auto"/>
        <w:ind w:firstLine="480" w:firstLineChars="200"/>
        <w:rPr>
          <w:rFonts w:ascii="宋体" w:hAnsi="宋体"/>
          <w:sz w:val="24"/>
        </w:rPr>
      </w:pPr>
      <w:r>
        <w:rPr>
          <w:rFonts w:ascii="宋体" w:hAnsi="宋体"/>
          <w:sz w:val="24"/>
        </w:rPr>
        <w:t>支持图形统计功能；支持统计类记过以各常规图形统计显示。</w:t>
      </w:r>
    </w:p>
    <w:p>
      <w:pPr>
        <w:spacing w:line="360" w:lineRule="auto"/>
        <w:ind w:firstLine="566" w:firstLineChars="235"/>
        <w:rPr>
          <w:rFonts w:ascii="宋体" w:hAnsi="宋体"/>
          <w:b/>
          <w:bCs/>
          <w:sz w:val="24"/>
        </w:rPr>
      </w:pPr>
      <w:r>
        <w:rPr>
          <w:rFonts w:ascii="宋体" w:hAnsi="宋体"/>
          <w:b/>
          <w:bCs/>
          <w:sz w:val="24"/>
        </w:rPr>
        <w:t>3</w:t>
      </w:r>
      <w:r>
        <w:rPr>
          <w:rFonts w:ascii="宋体" w:hAnsi="宋体"/>
          <w:b/>
          <w:bCs/>
          <w:sz w:val="24"/>
        </w:rPr>
        <w:tab/>
      </w:r>
      <w:r>
        <w:rPr>
          <w:rFonts w:ascii="宋体" w:hAnsi="宋体"/>
          <w:b/>
          <w:bCs/>
          <w:sz w:val="24"/>
        </w:rPr>
        <w:t>超声子系统</w:t>
      </w:r>
    </w:p>
    <w:p>
      <w:pPr>
        <w:spacing w:line="360" w:lineRule="auto"/>
        <w:ind w:firstLine="566" w:firstLineChars="235"/>
        <w:rPr>
          <w:rFonts w:ascii="宋体" w:hAnsi="宋体"/>
          <w:b/>
          <w:bCs/>
          <w:sz w:val="24"/>
        </w:rPr>
      </w:pPr>
      <w:r>
        <w:rPr>
          <w:rFonts w:ascii="宋体" w:hAnsi="宋体"/>
          <w:b/>
          <w:bCs/>
          <w:sz w:val="24"/>
        </w:rPr>
        <w:t>3.1超声图文报告模块</w:t>
      </w:r>
    </w:p>
    <w:p>
      <w:pPr>
        <w:spacing w:line="360" w:lineRule="auto"/>
        <w:ind w:firstLine="480" w:firstLineChars="200"/>
        <w:rPr>
          <w:rFonts w:ascii="宋体" w:hAnsi="宋体"/>
          <w:sz w:val="24"/>
        </w:rPr>
      </w:pPr>
      <w:r>
        <w:rPr>
          <w:rFonts w:ascii="宋体" w:hAnsi="宋体"/>
          <w:sz w:val="24"/>
        </w:rPr>
        <w:t>支持按照患者档案号、检查号、姓名、性别、病人来源、病人检查状态、诊断医生、检查日期、检查设备等过滤条件查找符合条件的病人。</w:t>
      </w:r>
    </w:p>
    <w:p>
      <w:pPr>
        <w:spacing w:line="360" w:lineRule="auto"/>
        <w:ind w:firstLine="480" w:firstLineChars="200"/>
        <w:rPr>
          <w:rFonts w:ascii="宋体" w:hAnsi="宋体"/>
          <w:sz w:val="24"/>
        </w:rPr>
      </w:pPr>
      <w:r>
        <w:rPr>
          <w:rFonts w:ascii="宋体" w:hAnsi="宋体"/>
          <w:sz w:val="24"/>
        </w:rPr>
        <w:t>支持分诊区模式的数据管理，将分布在不同业务科室的超声/内镜检查设备规划至各自的业务科室，检查业务数据、科室人员、字典数据等分类信息都进行隔离，互不影响各自科室的业务，如：门诊超声、住院超声等。</w:t>
      </w:r>
    </w:p>
    <w:p>
      <w:pPr>
        <w:spacing w:line="360" w:lineRule="auto"/>
        <w:ind w:firstLine="480" w:firstLineChars="200"/>
        <w:rPr>
          <w:rFonts w:ascii="宋体" w:hAnsi="宋体"/>
          <w:sz w:val="24"/>
        </w:rPr>
      </w:pPr>
      <w:r>
        <w:rPr>
          <w:rFonts w:ascii="宋体" w:hAnsi="宋体"/>
          <w:sz w:val="24"/>
        </w:rPr>
        <w:t>支持关键词的模糊查询，如检查所见、检查提示中的关键词查询。</w:t>
      </w:r>
    </w:p>
    <w:p>
      <w:pPr>
        <w:spacing w:line="360" w:lineRule="auto"/>
        <w:ind w:firstLine="480" w:firstLineChars="200"/>
        <w:rPr>
          <w:rFonts w:ascii="宋体" w:hAnsi="宋体"/>
          <w:sz w:val="24"/>
        </w:rPr>
      </w:pPr>
      <w:r>
        <w:rPr>
          <w:rFonts w:ascii="宋体" w:hAnsi="宋体"/>
          <w:sz w:val="24"/>
        </w:rPr>
        <w:t>支持书写诊断报告的同时进行前台、后台采集。</w:t>
      </w:r>
    </w:p>
    <w:p>
      <w:pPr>
        <w:spacing w:line="360" w:lineRule="auto"/>
        <w:ind w:firstLine="480" w:firstLineChars="200"/>
        <w:rPr>
          <w:rFonts w:ascii="宋体" w:hAnsi="宋体"/>
          <w:sz w:val="24"/>
        </w:rPr>
      </w:pPr>
      <w:r>
        <w:rPr>
          <w:rFonts w:ascii="宋体" w:hAnsi="宋体"/>
          <w:sz w:val="24"/>
        </w:rPr>
        <w:t>支持动态录像和单帧采集，支持鼠标、键盘、外接小键盘、脚踏开关等多种采集触发方式。</w:t>
      </w:r>
    </w:p>
    <w:p>
      <w:pPr>
        <w:spacing w:line="360" w:lineRule="auto"/>
        <w:ind w:firstLine="480" w:firstLineChars="200"/>
        <w:rPr>
          <w:rFonts w:ascii="宋体" w:hAnsi="宋体"/>
          <w:sz w:val="24"/>
        </w:rPr>
      </w:pPr>
      <w:r>
        <w:rPr>
          <w:rFonts w:ascii="宋体" w:hAnsi="宋体"/>
          <w:sz w:val="24"/>
        </w:rPr>
        <w:t>支持图像导入、导出功能，支持BMP/JPG/DICOM格式。</w:t>
      </w:r>
    </w:p>
    <w:p>
      <w:pPr>
        <w:spacing w:line="360" w:lineRule="auto"/>
        <w:ind w:firstLine="480" w:firstLineChars="200"/>
        <w:rPr>
          <w:rFonts w:ascii="宋体" w:hAnsi="宋体"/>
          <w:sz w:val="24"/>
        </w:rPr>
      </w:pPr>
      <w:r>
        <w:rPr>
          <w:rFonts w:ascii="宋体" w:hAnsi="宋体"/>
          <w:sz w:val="24"/>
        </w:rPr>
        <w:t>提供诊断语句模板库，科室医生可以结合自己的习惯把诊断用语分为公有和私有</w:t>
      </w:r>
      <w:r>
        <w:rPr>
          <w:rFonts w:hint="eastAsia" w:ascii="宋体" w:hAnsi="宋体"/>
          <w:sz w:val="24"/>
        </w:rPr>
        <w:t>知识库</w:t>
      </w:r>
      <w:r>
        <w:rPr>
          <w:rFonts w:ascii="宋体" w:hAnsi="宋体"/>
          <w:sz w:val="24"/>
        </w:rPr>
        <w:t>模板。</w:t>
      </w:r>
    </w:p>
    <w:p>
      <w:pPr>
        <w:spacing w:line="360" w:lineRule="auto"/>
        <w:ind w:firstLine="480" w:firstLineChars="200"/>
        <w:rPr>
          <w:rFonts w:ascii="宋体" w:hAnsi="宋体"/>
          <w:sz w:val="24"/>
        </w:rPr>
      </w:pPr>
      <w:r>
        <w:rPr>
          <w:rFonts w:ascii="宋体" w:hAnsi="宋体"/>
          <w:sz w:val="24"/>
        </w:rPr>
        <w:t>支持图文报告打印，系统根据医生所选关键影像的数量自动选择合适的图文报告模版。</w:t>
      </w:r>
    </w:p>
    <w:p>
      <w:pPr>
        <w:spacing w:line="360" w:lineRule="auto"/>
        <w:ind w:firstLine="480" w:firstLineChars="200"/>
        <w:rPr>
          <w:rFonts w:ascii="宋体" w:hAnsi="宋体"/>
          <w:sz w:val="24"/>
        </w:rPr>
      </w:pPr>
      <w:r>
        <w:rPr>
          <w:rFonts w:ascii="宋体" w:hAnsi="宋体"/>
          <w:sz w:val="24"/>
        </w:rPr>
        <w:t>支持多页报告</w:t>
      </w:r>
      <w:r>
        <w:rPr>
          <w:rFonts w:hint="eastAsia" w:ascii="宋体" w:hAnsi="宋体"/>
          <w:sz w:val="24"/>
        </w:rPr>
        <w:t>。</w:t>
      </w:r>
    </w:p>
    <w:p>
      <w:pPr>
        <w:spacing w:line="360" w:lineRule="auto"/>
        <w:ind w:firstLine="480" w:firstLineChars="200"/>
        <w:rPr>
          <w:rFonts w:ascii="宋体" w:hAnsi="宋体"/>
          <w:sz w:val="24"/>
        </w:rPr>
      </w:pPr>
      <w:r>
        <w:rPr>
          <w:rFonts w:ascii="宋体" w:hAnsi="宋体"/>
          <w:sz w:val="24"/>
        </w:rPr>
        <w:t>支持同屏采集和编辑诊断报告，医生可以一边观看实时采集图像一边写诊断报告。</w:t>
      </w:r>
    </w:p>
    <w:p>
      <w:pPr>
        <w:spacing w:line="360" w:lineRule="auto"/>
        <w:ind w:firstLine="480" w:firstLineChars="200"/>
        <w:rPr>
          <w:rFonts w:ascii="宋体" w:hAnsi="宋体"/>
          <w:sz w:val="24"/>
        </w:rPr>
      </w:pPr>
      <w:r>
        <w:rPr>
          <w:rFonts w:ascii="宋体" w:hAnsi="宋体"/>
          <w:sz w:val="24"/>
        </w:rPr>
        <w:t>超声诊断工作站可以看到此患者的放射、超声、内镜、病理的报告和图像资料。</w:t>
      </w:r>
      <w:r>
        <w:rPr>
          <w:rFonts w:hint="eastAsia" w:ascii="宋体" w:hAnsi="宋体"/>
          <w:sz w:val="24"/>
        </w:rPr>
        <w:t>可支持浏览</w:t>
      </w:r>
      <w:r>
        <w:rPr>
          <w:rFonts w:ascii="宋体" w:hAnsi="宋体"/>
          <w:sz w:val="24"/>
        </w:rPr>
        <w:t>临床的医嘱，检验的结果等。</w:t>
      </w:r>
    </w:p>
    <w:p>
      <w:pPr>
        <w:spacing w:line="360" w:lineRule="auto"/>
        <w:ind w:firstLine="480" w:firstLineChars="200"/>
        <w:rPr>
          <w:rFonts w:ascii="宋体" w:hAnsi="宋体"/>
          <w:sz w:val="24"/>
        </w:rPr>
      </w:pPr>
      <w:r>
        <w:rPr>
          <w:rFonts w:ascii="宋体" w:hAnsi="宋体"/>
          <w:sz w:val="24"/>
        </w:rPr>
        <w:t>提供已经登记未打印报告的患者列表。</w:t>
      </w:r>
    </w:p>
    <w:p>
      <w:pPr>
        <w:spacing w:line="360" w:lineRule="auto"/>
        <w:ind w:firstLine="480" w:firstLineChars="200"/>
        <w:rPr>
          <w:rFonts w:ascii="宋体" w:hAnsi="宋体"/>
          <w:sz w:val="24"/>
        </w:rPr>
      </w:pPr>
      <w:r>
        <w:rPr>
          <w:rFonts w:ascii="宋体" w:hAnsi="宋体"/>
          <w:sz w:val="24"/>
        </w:rPr>
        <w:t>支持在报告书写页面上直接进行患者基本信息的登记，实现快速检查流程。</w:t>
      </w:r>
    </w:p>
    <w:p>
      <w:pPr>
        <w:spacing w:line="360" w:lineRule="auto"/>
        <w:ind w:firstLine="480" w:firstLineChars="200"/>
        <w:rPr>
          <w:rFonts w:ascii="宋体" w:hAnsi="宋体"/>
          <w:sz w:val="24"/>
        </w:rPr>
      </w:pPr>
      <w:r>
        <w:rPr>
          <w:rFonts w:ascii="宋体" w:hAnsi="宋体"/>
          <w:sz w:val="24"/>
        </w:rPr>
        <w:t>支持心脏、血管等需要大量测量数据的记录和计算功能。</w:t>
      </w:r>
    </w:p>
    <w:p>
      <w:pPr>
        <w:spacing w:line="360" w:lineRule="auto"/>
        <w:ind w:firstLine="480" w:firstLineChars="200"/>
        <w:rPr>
          <w:rFonts w:ascii="宋体" w:hAnsi="宋体"/>
          <w:sz w:val="24"/>
        </w:rPr>
      </w:pPr>
      <w:r>
        <w:rPr>
          <w:rFonts w:hint="eastAsia" w:ascii="宋体" w:hAnsi="宋体"/>
          <w:sz w:val="24"/>
        </w:rPr>
        <w:t>可支持</w:t>
      </w:r>
      <w:r>
        <w:rPr>
          <w:rFonts w:ascii="宋体" w:hAnsi="宋体"/>
          <w:sz w:val="24"/>
        </w:rPr>
        <w:t>医生只能修改自己的检查报告，不能修改其他医生的检查报告。</w:t>
      </w:r>
    </w:p>
    <w:p>
      <w:pPr>
        <w:spacing w:line="360" w:lineRule="auto"/>
        <w:ind w:firstLine="480" w:firstLineChars="200"/>
        <w:rPr>
          <w:rFonts w:ascii="宋体" w:hAnsi="宋体"/>
          <w:sz w:val="24"/>
        </w:rPr>
      </w:pPr>
      <w:r>
        <w:rPr>
          <w:rFonts w:hint="eastAsia" w:ascii="宋体" w:hAnsi="宋体"/>
          <w:sz w:val="24"/>
        </w:rPr>
        <w:t>可支持</w:t>
      </w:r>
      <w:r>
        <w:rPr>
          <w:rFonts w:ascii="宋体" w:hAnsi="宋体"/>
          <w:sz w:val="24"/>
        </w:rPr>
        <w:t>诊断报告打印后过了病历锁定时间则不能修改。</w:t>
      </w:r>
    </w:p>
    <w:p>
      <w:pPr>
        <w:spacing w:line="360" w:lineRule="auto"/>
        <w:ind w:firstLine="480" w:firstLineChars="200"/>
        <w:rPr>
          <w:rFonts w:ascii="宋体" w:hAnsi="宋体"/>
          <w:sz w:val="24"/>
        </w:rPr>
      </w:pPr>
      <w:r>
        <w:rPr>
          <w:rFonts w:ascii="宋体" w:hAnsi="宋体"/>
          <w:sz w:val="24"/>
        </w:rPr>
        <w:t>支持动静态采集，采集图像数量不受限制。</w:t>
      </w:r>
    </w:p>
    <w:p>
      <w:pPr>
        <w:spacing w:line="360" w:lineRule="auto"/>
        <w:ind w:firstLine="480" w:firstLineChars="200"/>
        <w:rPr>
          <w:rFonts w:ascii="宋体" w:hAnsi="宋体"/>
          <w:sz w:val="24"/>
        </w:rPr>
      </w:pPr>
      <w:r>
        <w:rPr>
          <w:rFonts w:ascii="宋体" w:hAnsi="宋体"/>
          <w:sz w:val="24"/>
        </w:rPr>
        <w:t>先采集图像到本地硬盘缓存目录，大大加快采集速度。</w:t>
      </w:r>
    </w:p>
    <w:p>
      <w:pPr>
        <w:spacing w:line="360" w:lineRule="auto"/>
        <w:ind w:firstLine="480" w:firstLineChars="200"/>
        <w:rPr>
          <w:rFonts w:ascii="宋体" w:hAnsi="宋体"/>
          <w:sz w:val="24"/>
        </w:rPr>
      </w:pPr>
      <w:r>
        <w:rPr>
          <w:rFonts w:ascii="宋体" w:hAnsi="宋体"/>
          <w:sz w:val="24"/>
        </w:rPr>
        <w:t>支持无限次异步采集功能，可有效减少等待时间，提高工作效率。</w:t>
      </w:r>
    </w:p>
    <w:p>
      <w:pPr>
        <w:spacing w:line="360" w:lineRule="auto"/>
        <w:ind w:firstLine="482" w:firstLineChars="200"/>
        <w:rPr>
          <w:rFonts w:ascii="宋体" w:hAnsi="宋体"/>
          <w:b/>
          <w:bCs/>
          <w:color w:val="000000"/>
          <w:sz w:val="24"/>
        </w:rPr>
      </w:pPr>
      <w:r>
        <w:rPr>
          <w:rFonts w:hint="eastAsia" w:ascii="宋体" w:hAnsi="宋体"/>
          <w:b/>
          <w:bCs/>
          <w:color w:val="000000"/>
          <w:sz w:val="24"/>
        </w:rPr>
        <w:t>★</w:t>
      </w:r>
      <w:r>
        <w:rPr>
          <w:rFonts w:ascii="宋体" w:hAnsi="宋体"/>
          <w:b/>
          <w:bCs/>
          <w:color w:val="000000"/>
          <w:sz w:val="24"/>
        </w:rPr>
        <w:t>支持非正常关闭工作站后图像找回功能；（需提供系统截图加盖公章）</w:t>
      </w:r>
    </w:p>
    <w:p>
      <w:pPr>
        <w:spacing w:line="360" w:lineRule="auto"/>
        <w:ind w:firstLine="480" w:firstLineChars="200"/>
        <w:rPr>
          <w:rFonts w:ascii="宋体" w:hAnsi="宋体"/>
          <w:sz w:val="24"/>
        </w:rPr>
      </w:pPr>
      <w:r>
        <w:rPr>
          <w:rFonts w:ascii="宋体" w:hAnsi="宋体"/>
          <w:sz w:val="24"/>
        </w:rPr>
        <w:t>全面丰富的超声知识库，丰富的典型病历协助医生快捷准确地出具诊断报告书。</w:t>
      </w:r>
    </w:p>
    <w:p>
      <w:pPr>
        <w:spacing w:line="360" w:lineRule="auto"/>
        <w:ind w:firstLine="480" w:firstLineChars="200"/>
        <w:rPr>
          <w:rFonts w:ascii="宋体" w:hAnsi="宋体"/>
          <w:sz w:val="24"/>
        </w:rPr>
      </w:pPr>
      <w:r>
        <w:rPr>
          <w:rFonts w:ascii="宋体" w:hAnsi="宋体"/>
          <w:sz w:val="24"/>
        </w:rPr>
        <w:t>可以对脏器、疾病分类、典型病历等进行快速维护修改，可编辑自定义典型病例和术语。</w:t>
      </w:r>
    </w:p>
    <w:p>
      <w:pPr>
        <w:spacing w:line="360" w:lineRule="auto"/>
        <w:ind w:firstLine="564" w:firstLineChars="235"/>
        <w:rPr>
          <w:rFonts w:ascii="宋体" w:hAnsi="宋体"/>
          <w:sz w:val="24"/>
        </w:rPr>
      </w:pPr>
      <w:r>
        <w:rPr>
          <w:rFonts w:ascii="宋体" w:hAnsi="宋体"/>
          <w:sz w:val="24"/>
        </w:rPr>
        <w:t>可添加个人知识库。该知识库的内容其他医生不能查阅。</w:t>
      </w:r>
    </w:p>
    <w:p>
      <w:pPr>
        <w:spacing w:line="360" w:lineRule="auto"/>
        <w:ind w:firstLine="564" w:firstLineChars="235"/>
        <w:rPr>
          <w:rFonts w:ascii="宋体" w:hAnsi="宋体"/>
          <w:sz w:val="24"/>
        </w:rPr>
      </w:pPr>
      <w:r>
        <w:rPr>
          <w:rFonts w:hint="eastAsia" w:ascii="宋体" w:hAnsi="宋体"/>
          <w:sz w:val="24"/>
        </w:rPr>
        <w:t>可支持</w:t>
      </w:r>
      <w:r>
        <w:rPr>
          <w:rFonts w:ascii="宋体" w:hAnsi="宋体"/>
          <w:sz w:val="24"/>
        </w:rPr>
        <w:t>打印图像的数量、字数、页数没有限制；</w:t>
      </w:r>
    </w:p>
    <w:p>
      <w:pPr>
        <w:spacing w:line="360" w:lineRule="auto"/>
        <w:ind w:firstLine="564" w:firstLineChars="235"/>
        <w:rPr>
          <w:rFonts w:ascii="宋体" w:hAnsi="宋体"/>
          <w:sz w:val="24"/>
        </w:rPr>
      </w:pPr>
      <w:r>
        <w:rPr>
          <w:rFonts w:hint="eastAsia" w:ascii="宋体" w:hAnsi="宋体"/>
          <w:sz w:val="24"/>
        </w:rPr>
        <w:t>可支持</w:t>
      </w:r>
      <w:r>
        <w:rPr>
          <w:rFonts w:ascii="宋体" w:hAnsi="宋体"/>
          <w:sz w:val="24"/>
        </w:rPr>
        <w:t>切换诊断医生及记录员。</w:t>
      </w:r>
    </w:p>
    <w:p>
      <w:pPr>
        <w:spacing w:line="360" w:lineRule="auto"/>
        <w:ind w:firstLine="564" w:firstLineChars="235"/>
        <w:rPr>
          <w:rFonts w:ascii="宋体" w:hAnsi="宋体"/>
          <w:sz w:val="24"/>
        </w:rPr>
      </w:pPr>
      <w:r>
        <w:rPr>
          <w:rFonts w:ascii="宋体" w:hAnsi="宋体"/>
          <w:sz w:val="24"/>
        </w:rPr>
        <w:t>视频接入：通过视频数据线连接影像设备，能够将影像设备的各种制式的视频信号接入，进行编码处理。</w:t>
      </w:r>
    </w:p>
    <w:p>
      <w:pPr>
        <w:spacing w:line="360" w:lineRule="auto"/>
        <w:ind w:firstLine="564" w:firstLineChars="235"/>
        <w:rPr>
          <w:rFonts w:ascii="宋体" w:hAnsi="宋体"/>
          <w:sz w:val="24"/>
        </w:rPr>
      </w:pPr>
      <w:r>
        <w:rPr>
          <w:rFonts w:ascii="宋体" w:hAnsi="宋体"/>
          <w:sz w:val="24"/>
        </w:rPr>
        <w:t>支持动态切换采集源。</w:t>
      </w:r>
    </w:p>
    <w:p>
      <w:pPr>
        <w:spacing w:line="360" w:lineRule="auto"/>
        <w:ind w:firstLine="564" w:firstLineChars="235"/>
        <w:rPr>
          <w:rFonts w:ascii="宋体" w:hAnsi="宋体"/>
          <w:sz w:val="24"/>
        </w:rPr>
      </w:pPr>
      <w:r>
        <w:rPr>
          <w:rFonts w:hint="eastAsia" w:ascii="宋体" w:hAnsi="宋体"/>
          <w:sz w:val="24"/>
        </w:rPr>
        <w:t>支持多采集源。</w:t>
      </w:r>
    </w:p>
    <w:p>
      <w:pPr>
        <w:spacing w:line="360" w:lineRule="auto"/>
        <w:ind w:firstLine="564" w:firstLineChars="235"/>
        <w:rPr>
          <w:rFonts w:ascii="宋体" w:hAnsi="宋体"/>
          <w:sz w:val="24"/>
        </w:rPr>
      </w:pPr>
      <w:r>
        <w:rPr>
          <w:rFonts w:ascii="宋体" w:hAnsi="宋体"/>
          <w:sz w:val="24"/>
        </w:rPr>
        <w:t>视频接入格式：DVI、HDMI：最大支持1920×1200@60Hz</w:t>
      </w:r>
    </w:p>
    <w:p>
      <w:pPr>
        <w:spacing w:line="360" w:lineRule="auto"/>
        <w:ind w:firstLine="564" w:firstLineChars="235"/>
        <w:rPr>
          <w:rFonts w:ascii="宋体" w:hAnsi="宋体"/>
          <w:sz w:val="24"/>
        </w:rPr>
      </w:pPr>
      <w:r>
        <w:rPr>
          <w:rFonts w:ascii="宋体" w:hAnsi="宋体"/>
          <w:sz w:val="24"/>
        </w:rPr>
        <w:t>VGA:高清信号、标准信号、非标信号</w:t>
      </w:r>
    </w:p>
    <w:p>
      <w:pPr>
        <w:spacing w:line="360" w:lineRule="auto"/>
        <w:ind w:firstLine="564" w:firstLineChars="235"/>
        <w:rPr>
          <w:rFonts w:ascii="宋体" w:hAnsi="宋体"/>
          <w:sz w:val="24"/>
        </w:rPr>
      </w:pPr>
      <w:r>
        <w:rPr>
          <w:rFonts w:ascii="宋体" w:hAnsi="宋体"/>
          <w:sz w:val="24"/>
        </w:rPr>
        <w:t>YPbPr、HD-SDI：最大支持1920×1200@60Hz</w:t>
      </w:r>
    </w:p>
    <w:p>
      <w:pPr>
        <w:spacing w:line="360" w:lineRule="auto"/>
        <w:ind w:firstLine="564" w:firstLineChars="235"/>
        <w:rPr>
          <w:rFonts w:ascii="宋体" w:hAnsi="宋体"/>
          <w:sz w:val="24"/>
        </w:rPr>
      </w:pPr>
      <w:r>
        <w:rPr>
          <w:rFonts w:ascii="宋体" w:hAnsi="宋体"/>
          <w:sz w:val="24"/>
        </w:rPr>
        <w:t>CVBS、 Y/C ：PAL制式、N制式等</w:t>
      </w:r>
    </w:p>
    <w:p>
      <w:pPr>
        <w:spacing w:line="360" w:lineRule="auto"/>
        <w:ind w:firstLine="564" w:firstLineChars="235"/>
        <w:rPr>
          <w:rFonts w:ascii="宋体" w:hAnsi="宋体"/>
          <w:sz w:val="24"/>
        </w:rPr>
      </w:pPr>
      <w:r>
        <w:rPr>
          <w:rFonts w:ascii="宋体" w:hAnsi="宋体"/>
          <w:sz w:val="24"/>
        </w:rPr>
        <w:t>视频录像：支持高清录像存储，录像时间仅受</w:t>
      </w:r>
      <w:r>
        <w:rPr>
          <w:rFonts w:hint="eastAsia" w:ascii="宋体" w:hAnsi="宋体"/>
          <w:sz w:val="24"/>
        </w:rPr>
        <w:t>存储</w:t>
      </w:r>
      <w:r>
        <w:rPr>
          <w:rFonts w:ascii="宋体" w:hAnsi="宋体"/>
          <w:sz w:val="24"/>
        </w:rPr>
        <w:t>容量限制。</w:t>
      </w:r>
    </w:p>
    <w:p>
      <w:pPr>
        <w:spacing w:line="360" w:lineRule="auto"/>
        <w:ind w:firstLine="564" w:firstLineChars="235"/>
        <w:rPr>
          <w:rFonts w:ascii="宋体" w:hAnsi="宋体"/>
          <w:sz w:val="24"/>
        </w:rPr>
      </w:pPr>
      <w:r>
        <w:rPr>
          <w:rFonts w:ascii="宋体" w:hAnsi="宋体"/>
          <w:sz w:val="24"/>
        </w:rPr>
        <w:t>系统提供对图像的移动、翻转、镜像、放大、缩小等图像显示处理工具，提供角度、直线、箭头、圆、矩形、多边形、手绘线和文字等批注工具</w:t>
      </w:r>
      <w:r>
        <w:rPr>
          <w:rFonts w:hint="eastAsia" w:ascii="宋体" w:hAnsi="宋体"/>
          <w:sz w:val="24"/>
        </w:rPr>
        <w:t>。</w:t>
      </w:r>
    </w:p>
    <w:p>
      <w:pPr>
        <w:spacing w:line="360" w:lineRule="auto"/>
        <w:ind w:firstLine="564" w:firstLineChars="235"/>
        <w:rPr>
          <w:rFonts w:ascii="宋体" w:hAnsi="宋体"/>
          <w:sz w:val="24"/>
        </w:rPr>
      </w:pPr>
      <w:r>
        <w:rPr>
          <w:rFonts w:hint="eastAsia" w:ascii="宋体" w:hAnsi="宋体"/>
          <w:sz w:val="24"/>
        </w:rPr>
        <w:t>支持接收DICOM图像。</w:t>
      </w:r>
    </w:p>
    <w:p>
      <w:pPr>
        <w:spacing w:line="360" w:lineRule="auto"/>
        <w:ind w:firstLine="566" w:firstLineChars="235"/>
        <w:rPr>
          <w:rFonts w:ascii="宋体" w:hAnsi="宋体"/>
          <w:b/>
          <w:bCs/>
          <w:sz w:val="24"/>
        </w:rPr>
      </w:pPr>
      <w:r>
        <w:rPr>
          <w:rFonts w:ascii="宋体" w:hAnsi="宋体"/>
          <w:b/>
          <w:bCs/>
          <w:sz w:val="24"/>
        </w:rPr>
        <w:t>3.2 统计报表模块</w:t>
      </w:r>
    </w:p>
    <w:p>
      <w:pPr>
        <w:spacing w:line="360" w:lineRule="auto"/>
        <w:ind w:firstLine="564" w:firstLineChars="235"/>
        <w:rPr>
          <w:rFonts w:ascii="宋体" w:hAnsi="宋体"/>
          <w:sz w:val="24"/>
        </w:rPr>
      </w:pPr>
      <w:r>
        <w:rPr>
          <w:rFonts w:ascii="宋体" w:hAnsi="宋体"/>
          <w:sz w:val="24"/>
        </w:rPr>
        <w:t>阳性率统计；</w:t>
      </w:r>
    </w:p>
    <w:p>
      <w:pPr>
        <w:spacing w:line="360" w:lineRule="auto"/>
        <w:ind w:firstLine="564" w:firstLineChars="235"/>
        <w:rPr>
          <w:rFonts w:ascii="宋体" w:hAnsi="宋体"/>
          <w:sz w:val="24"/>
        </w:rPr>
      </w:pPr>
      <w:r>
        <w:rPr>
          <w:rFonts w:ascii="宋体" w:hAnsi="宋体"/>
          <w:sz w:val="24"/>
        </w:rPr>
        <w:t>工作量统计</w:t>
      </w:r>
    </w:p>
    <w:p>
      <w:pPr>
        <w:spacing w:line="360" w:lineRule="auto"/>
        <w:ind w:firstLine="564" w:firstLineChars="235"/>
        <w:rPr>
          <w:rFonts w:ascii="宋体" w:hAnsi="宋体"/>
          <w:sz w:val="24"/>
        </w:rPr>
      </w:pPr>
      <w:r>
        <w:rPr>
          <w:rFonts w:ascii="宋体" w:hAnsi="宋体"/>
          <w:sz w:val="24"/>
        </w:rPr>
        <w:t>科室每月的收入情况；</w:t>
      </w:r>
    </w:p>
    <w:p>
      <w:pPr>
        <w:spacing w:line="360" w:lineRule="auto"/>
        <w:ind w:firstLine="564" w:firstLineChars="235"/>
        <w:rPr>
          <w:rFonts w:ascii="宋体" w:hAnsi="宋体"/>
          <w:sz w:val="24"/>
        </w:rPr>
      </w:pPr>
      <w:r>
        <w:rPr>
          <w:rFonts w:ascii="宋体" w:hAnsi="宋体"/>
          <w:sz w:val="24"/>
        </w:rPr>
        <w:t>不同临床科室申请检查情况的统计；</w:t>
      </w:r>
    </w:p>
    <w:p>
      <w:pPr>
        <w:spacing w:line="360" w:lineRule="auto"/>
        <w:ind w:firstLine="564" w:firstLineChars="235"/>
        <w:rPr>
          <w:rFonts w:ascii="宋体" w:hAnsi="宋体"/>
          <w:sz w:val="24"/>
        </w:rPr>
      </w:pPr>
      <w:r>
        <w:rPr>
          <w:rFonts w:ascii="宋体" w:hAnsi="宋体"/>
          <w:sz w:val="24"/>
        </w:rPr>
        <w:t>不同时间段的统计情况；</w:t>
      </w:r>
    </w:p>
    <w:p>
      <w:pPr>
        <w:spacing w:line="360" w:lineRule="auto"/>
        <w:ind w:firstLine="564" w:firstLineChars="235"/>
        <w:rPr>
          <w:rFonts w:ascii="宋体" w:hAnsi="宋体"/>
          <w:sz w:val="24"/>
        </w:rPr>
      </w:pPr>
      <w:r>
        <w:rPr>
          <w:rFonts w:ascii="宋体" w:hAnsi="宋体"/>
          <w:sz w:val="24"/>
        </w:rPr>
        <w:t>检查项目明细统计。</w:t>
      </w:r>
    </w:p>
    <w:p>
      <w:pPr>
        <w:spacing w:line="360" w:lineRule="auto"/>
        <w:ind w:firstLine="564" w:firstLineChars="235"/>
        <w:rPr>
          <w:rFonts w:ascii="宋体" w:hAnsi="宋体"/>
          <w:sz w:val="24"/>
        </w:rPr>
      </w:pPr>
      <w:r>
        <w:rPr>
          <w:rFonts w:ascii="宋体" w:hAnsi="宋体"/>
          <w:sz w:val="24"/>
        </w:rPr>
        <w:t>支持数据导出功能，并可将查询结果导出到EXCEL格式作进一步统计打印。</w:t>
      </w:r>
    </w:p>
    <w:p>
      <w:pPr>
        <w:spacing w:line="360" w:lineRule="auto"/>
        <w:ind w:firstLine="564" w:firstLineChars="235"/>
        <w:rPr>
          <w:rFonts w:ascii="宋体" w:hAnsi="宋体"/>
          <w:sz w:val="24"/>
        </w:rPr>
      </w:pPr>
      <w:r>
        <w:rPr>
          <w:rFonts w:ascii="宋体" w:hAnsi="宋体"/>
          <w:sz w:val="24"/>
        </w:rPr>
        <w:t>支持图形统计功能；支持统计类记过以各常规图形统计显示。</w:t>
      </w:r>
    </w:p>
    <w:p>
      <w:pPr>
        <w:pStyle w:val="4"/>
        <w:spacing w:before="10" w:line="360" w:lineRule="auto"/>
        <w:ind w:left="0" w:firstLine="0"/>
        <w:rPr>
          <w:rFonts w:hint="default" w:ascii="宋体" w:hAnsi="宋体" w:eastAsia="宋体"/>
          <w:b/>
          <w:bCs/>
        </w:rPr>
      </w:pPr>
      <w:bookmarkStart w:id="219" w:name="3.2.3院内影像平台中心建设"/>
      <w:bookmarkEnd w:id="219"/>
      <w:bookmarkStart w:id="220" w:name="3.2.11.2病理取材系统"/>
      <w:bookmarkEnd w:id="220"/>
      <w:bookmarkStart w:id="221" w:name="3.2.1核心服务系统"/>
      <w:bookmarkEnd w:id="221"/>
      <w:bookmarkStart w:id="222" w:name="_bookmark48"/>
      <w:bookmarkEnd w:id="222"/>
      <w:bookmarkStart w:id="223" w:name="3.2.2存储服务系统"/>
      <w:bookmarkEnd w:id="223"/>
      <w:bookmarkStart w:id="224" w:name="_bookmark49"/>
      <w:bookmarkEnd w:id="224"/>
      <w:bookmarkStart w:id="225" w:name="_bookmark39"/>
      <w:bookmarkEnd w:id="225"/>
      <w:bookmarkStart w:id="226" w:name="3.2.11.5病理归档系统"/>
      <w:bookmarkEnd w:id="226"/>
      <w:bookmarkStart w:id="227" w:name="_bookmark47"/>
      <w:bookmarkEnd w:id="227"/>
      <w:bookmarkStart w:id="228" w:name="_bookmark40"/>
      <w:bookmarkEnd w:id="228"/>
      <w:bookmarkStart w:id="229" w:name="3.2.10.3既往相关检查关联"/>
      <w:bookmarkEnd w:id="229"/>
      <w:bookmarkStart w:id="230" w:name="3.2.10.2内镜图文报告系统"/>
      <w:bookmarkEnd w:id="230"/>
      <w:bookmarkStart w:id="231" w:name="3.2.12心电系统"/>
      <w:bookmarkEnd w:id="231"/>
      <w:bookmarkStart w:id="232" w:name="3.2.11病理系统"/>
      <w:bookmarkEnd w:id="232"/>
      <w:bookmarkStart w:id="233" w:name="3.2.11.4病理诊断系统"/>
      <w:bookmarkEnd w:id="233"/>
      <w:bookmarkStart w:id="234" w:name="3.2.10内镜系统"/>
      <w:bookmarkEnd w:id="234"/>
      <w:bookmarkStart w:id="235" w:name="3.2.10.4内镜科室管理及统计系统"/>
      <w:bookmarkEnd w:id="235"/>
      <w:bookmarkStart w:id="236" w:name="_bookmark38"/>
      <w:bookmarkEnd w:id="236"/>
      <w:bookmarkStart w:id="237" w:name="3.2.11.3病理制片系统"/>
      <w:bookmarkEnd w:id="237"/>
      <w:bookmarkStart w:id="238" w:name="3.2.11.6既往相关检查关联"/>
      <w:bookmarkEnd w:id="238"/>
      <w:bookmarkStart w:id="239" w:name="_Toc92822040"/>
      <w:r>
        <w:rPr>
          <w:rFonts w:hint="eastAsia" w:ascii="宋体" w:hAnsi="宋体" w:eastAsia="宋体"/>
          <w:b/>
          <w:bCs/>
          <w:lang w:eastAsia="zh-CN"/>
        </w:rPr>
        <w:t>四</w:t>
      </w:r>
      <w:r>
        <w:rPr>
          <w:rFonts w:ascii="宋体" w:hAnsi="宋体" w:eastAsia="宋体"/>
          <w:b/>
          <w:bCs/>
        </w:rPr>
        <w:t>、☆心电</w:t>
      </w:r>
      <w:bookmarkStart w:id="240" w:name="3.2.12.1心电工作流程图"/>
      <w:bookmarkEnd w:id="240"/>
      <w:r>
        <w:rPr>
          <w:rFonts w:ascii="宋体" w:hAnsi="宋体" w:eastAsia="宋体"/>
          <w:b/>
          <w:bCs/>
        </w:rPr>
        <w:t>系统</w:t>
      </w:r>
      <w:bookmarkEnd w:id="239"/>
    </w:p>
    <w:p>
      <w:pPr>
        <w:pStyle w:val="7"/>
        <w:numPr>
          <w:ilvl w:val="0"/>
          <w:numId w:val="10"/>
        </w:numPr>
        <w:spacing w:line="360" w:lineRule="auto"/>
        <w:ind w:left="540" w:leftChars="257" w:firstLine="480"/>
        <w:rPr>
          <w:rFonts w:ascii="宋体" w:hAnsi="宋体"/>
          <w:sz w:val="24"/>
          <w:szCs w:val="24"/>
        </w:rPr>
      </w:pPr>
      <w:bookmarkStart w:id="241" w:name="3.2.12.2预约登记"/>
      <w:bookmarkEnd w:id="241"/>
      <w:r>
        <w:rPr>
          <w:rFonts w:hint="eastAsia" w:ascii="宋体" w:hAnsi="宋体"/>
          <w:sz w:val="24"/>
          <w:szCs w:val="24"/>
        </w:rPr>
        <w:t>技术参数</w:t>
      </w:r>
    </w:p>
    <w:p>
      <w:pPr>
        <w:pStyle w:val="7"/>
        <w:numPr>
          <w:ilvl w:val="1"/>
          <w:numId w:val="10"/>
        </w:numPr>
        <w:spacing w:line="360" w:lineRule="auto"/>
        <w:ind w:left="540" w:leftChars="257" w:firstLine="480"/>
        <w:rPr>
          <w:rFonts w:ascii="宋体" w:hAnsi="宋体"/>
          <w:sz w:val="24"/>
          <w:szCs w:val="24"/>
        </w:rPr>
      </w:pPr>
      <w:r>
        <w:rPr>
          <w:rFonts w:hint="eastAsia" w:ascii="宋体" w:hAnsi="宋体"/>
          <w:sz w:val="24"/>
          <w:szCs w:val="24"/>
        </w:rPr>
        <w:t>系统软硬件配置清单</w:t>
      </w:r>
    </w:p>
    <w:tbl>
      <w:tblPr>
        <w:tblStyle w:val="39"/>
        <w:tblW w:w="0" w:type="auto"/>
        <w:tblInd w:w="60" w:type="dxa"/>
        <w:tblLayout w:type="fixed"/>
        <w:tblCellMar>
          <w:top w:w="0" w:type="dxa"/>
          <w:left w:w="0" w:type="dxa"/>
          <w:bottom w:w="0" w:type="dxa"/>
          <w:right w:w="0" w:type="dxa"/>
        </w:tblCellMar>
      </w:tblPr>
      <w:tblGrid>
        <w:gridCol w:w="669"/>
        <w:gridCol w:w="2088"/>
        <w:gridCol w:w="3088"/>
        <w:gridCol w:w="721"/>
        <w:gridCol w:w="647"/>
        <w:gridCol w:w="2220"/>
      </w:tblGrid>
      <w:tr>
        <w:tblPrEx>
          <w:tblCellMar>
            <w:top w:w="0" w:type="dxa"/>
            <w:left w:w="0" w:type="dxa"/>
            <w:bottom w:w="0" w:type="dxa"/>
            <w:right w:w="0" w:type="dxa"/>
          </w:tblCellMar>
        </w:tblPrEx>
        <w:trPr>
          <w:trHeight w:val="330" w:hRule="atLeast"/>
        </w:trPr>
        <w:tc>
          <w:tcPr>
            <w:tcW w:w="669" w:type="dxa"/>
            <w:tcBorders>
              <w:top w:val="single" w:color="000000" w:sz="4" w:space="0"/>
              <w:left w:val="single" w:color="000000" w:sz="4" w:space="0"/>
              <w:bottom w:val="single" w:color="000000" w:sz="4" w:space="0"/>
              <w:right w:val="single" w:color="000000" w:sz="4" w:space="0"/>
            </w:tcBorders>
            <w:shd w:val="clear" w:color="auto" w:fill="D8D8D8"/>
            <w:noWrap/>
            <w:tcMar>
              <w:top w:w="15" w:type="dxa"/>
              <w:left w:w="15" w:type="dxa"/>
              <w:right w:w="15" w:type="dxa"/>
            </w:tcMar>
            <w:vAlign w:val="center"/>
          </w:tcPr>
          <w:p>
            <w:pPr>
              <w:pStyle w:val="7"/>
              <w:ind w:firstLine="0"/>
              <w:jc w:val="center"/>
              <w:rPr>
                <w:rFonts w:ascii="宋体" w:hAnsi="宋体"/>
                <w:b/>
                <w:bCs/>
                <w:sz w:val="24"/>
                <w:szCs w:val="24"/>
              </w:rPr>
            </w:pPr>
            <w:r>
              <w:rPr>
                <w:rFonts w:hint="eastAsia" w:ascii="宋体" w:hAnsi="宋体"/>
                <w:b/>
                <w:bCs/>
                <w:sz w:val="24"/>
                <w:szCs w:val="24"/>
              </w:rPr>
              <w:t>序号</w:t>
            </w:r>
          </w:p>
        </w:tc>
        <w:tc>
          <w:tcPr>
            <w:tcW w:w="2088" w:type="dxa"/>
            <w:tcBorders>
              <w:top w:val="single" w:color="000000" w:sz="4" w:space="0"/>
              <w:left w:val="single" w:color="000000" w:sz="4" w:space="0"/>
              <w:bottom w:val="single" w:color="000000" w:sz="4" w:space="0"/>
              <w:right w:val="single" w:color="000000" w:sz="4" w:space="0"/>
            </w:tcBorders>
            <w:shd w:val="clear" w:color="auto" w:fill="D8D8D8"/>
            <w:noWrap/>
            <w:tcMar>
              <w:top w:w="15" w:type="dxa"/>
              <w:left w:w="15" w:type="dxa"/>
              <w:right w:w="15" w:type="dxa"/>
            </w:tcMar>
            <w:vAlign w:val="center"/>
          </w:tcPr>
          <w:p>
            <w:pPr>
              <w:pStyle w:val="7"/>
              <w:ind w:firstLine="0"/>
              <w:jc w:val="center"/>
              <w:rPr>
                <w:rFonts w:ascii="宋体" w:hAnsi="宋体"/>
                <w:b/>
                <w:bCs/>
                <w:sz w:val="24"/>
                <w:szCs w:val="24"/>
              </w:rPr>
            </w:pPr>
            <w:r>
              <w:rPr>
                <w:rFonts w:hint="eastAsia" w:ascii="宋体" w:hAnsi="宋体"/>
                <w:b/>
                <w:bCs/>
                <w:sz w:val="24"/>
                <w:szCs w:val="24"/>
              </w:rPr>
              <w:t>项目</w:t>
            </w:r>
          </w:p>
        </w:tc>
        <w:tc>
          <w:tcPr>
            <w:tcW w:w="3088" w:type="dxa"/>
            <w:tcBorders>
              <w:top w:val="single" w:color="000000" w:sz="4" w:space="0"/>
              <w:left w:val="single" w:color="000000" w:sz="4" w:space="0"/>
              <w:bottom w:val="single" w:color="000000" w:sz="4" w:space="0"/>
              <w:right w:val="single" w:color="000000" w:sz="4" w:space="0"/>
            </w:tcBorders>
            <w:shd w:val="clear" w:color="auto" w:fill="D8D8D8"/>
            <w:noWrap/>
            <w:tcMar>
              <w:top w:w="15" w:type="dxa"/>
              <w:left w:w="15" w:type="dxa"/>
              <w:right w:w="15" w:type="dxa"/>
            </w:tcMar>
            <w:vAlign w:val="center"/>
          </w:tcPr>
          <w:p>
            <w:pPr>
              <w:pStyle w:val="7"/>
              <w:ind w:firstLine="0"/>
              <w:jc w:val="center"/>
              <w:rPr>
                <w:rFonts w:ascii="宋体" w:hAnsi="宋体"/>
                <w:b/>
                <w:bCs/>
                <w:sz w:val="24"/>
                <w:szCs w:val="24"/>
              </w:rPr>
            </w:pPr>
            <w:r>
              <w:rPr>
                <w:rFonts w:hint="eastAsia" w:ascii="宋体" w:hAnsi="宋体"/>
                <w:b/>
                <w:bCs/>
                <w:sz w:val="24"/>
                <w:szCs w:val="24"/>
              </w:rPr>
              <w:t>模块</w:t>
            </w:r>
          </w:p>
        </w:tc>
        <w:tc>
          <w:tcPr>
            <w:tcW w:w="721" w:type="dxa"/>
            <w:tcBorders>
              <w:top w:val="single" w:color="000000" w:sz="4" w:space="0"/>
              <w:left w:val="single" w:color="000000" w:sz="4" w:space="0"/>
              <w:bottom w:val="single" w:color="000000" w:sz="4" w:space="0"/>
              <w:right w:val="single" w:color="000000" w:sz="4" w:space="0"/>
            </w:tcBorders>
            <w:shd w:val="clear" w:color="auto" w:fill="D8D8D8"/>
            <w:noWrap/>
            <w:tcMar>
              <w:top w:w="15" w:type="dxa"/>
              <w:left w:w="15" w:type="dxa"/>
              <w:right w:w="15" w:type="dxa"/>
            </w:tcMar>
            <w:vAlign w:val="center"/>
          </w:tcPr>
          <w:p>
            <w:pPr>
              <w:pStyle w:val="7"/>
              <w:ind w:firstLine="0"/>
              <w:jc w:val="center"/>
              <w:rPr>
                <w:rFonts w:ascii="宋体" w:hAnsi="宋体"/>
                <w:b/>
                <w:bCs/>
                <w:sz w:val="24"/>
                <w:szCs w:val="24"/>
              </w:rPr>
            </w:pPr>
            <w:r>
              <w:rPr>
                <w:rFonts w:hint="eastAsia" w:ascii="宋体" w:hAnsi="宋体"/>
                <w:b/>
                <w:bCs/>
                <w:sz w:val="24"/>
                <w:szCs w:val="24"/>
              </w:rPr>
              <w:t>单位</w:t>
            </w:r>
          </w:p>
        </w:tc>
        <w:tc>
          <w:tcPr>
            <w:tcW w:w="647" w:type="dxa"/>
            <w:tcBorders>
              <w:top w:val="single" w:color="000000" w:sz="4" w:space="0"/>
              <w:left w:val="single" w:color="000000" w:sz="4" w:space="0"/>
              <w:bottom w:val="single" w:color="000000" w:sz="4" w:space="0"/>
              <w:right w:val="single" w:color="000000" w:sz="4" w:space="0"/>
            </w:tcBorders>
            <w:shd w:val="clear" w:color="auto" w:fill="D8D8D8"/>
            <w:noWrap/>
            <w:tcMar>
              <w:top w:w="15" w:type="dxa"/>
              <w:left w:w="15" w:type="dxa"/>
              <w:right w:w="15" w:type="dxa"/>
            </w:tcMar>
            <w:vAlign w:val="center"/>
          </w:tcPr>
          <w:p>
            <w:pPr>
              <w:pStyle w:val="7"/>
              <w:ind w:firstLine="0"/>
              <w:jc w:val="center"/>
              <w:rPr>
                <w:rFonts w:ascii="宋体" w:hAnsi="宋体"/>
                <w:b/>
                <w:bCs/>
                <w:sz w:val="24"/>
                <w:szCs w:val="24"/>
              </w:rPr>
            </w:pPr>
            <w:r>
              <w:rPr>
                <w:rFonts w:hint="eastAsia" w:ascii="宋体" w:hAnsi="宋体"/>
                <w:b/>
                <w:bCs/>
                <w:sz w:val="24"/>
                <w:szCs w:val="24"/>
              </w:rPr>
              <w:t>数量</w:t>
            </w:r>
          </w:p>
        </w:tc>
        <w:tc>
          <w:tcPr>
            <w:tcW w:w="2220" w:type="dxa"/>
            <w:tcBorders>
              <w:top w:val="single" w:color="000000" w:sz="4" w:space="0"/>
              <w:left w:val="single" w:color="000000" w:sz="4" w:space="0"/>
              <w:bottom w:val="single" w:color="000000" w:sz="4" w:space="0"/>
              <w:right w:val="single" w:color="000000" w:sz="4" w:space="0"/>
            </w:tcBorders>
            <w:shd w:val="clear" w:color="auto" w:fill="D8D8D8"/>
            <w:noWrap/>
            <w:tcMar>
              <w:top w:w="15" w:type="dxa"/>
              <w:left w:w="15" w:type="dxa"/>
              <w:right w:w="15" w:type="dxa"/>
            </w:tcMar>
            <w:vAlign w:val="center"/>
          </w:tcPr>
          <w:p>
            <w:pPr>
              <w:pStyle w:val="7"/>
              <w:ind w:firstLine="0"/>
              <w:jc w:val="center"/>
              <w:rPr>
                <w:rFonts w:ascii="宋体" w:hAnsi="宋体"/>
                <w:b/>
                <w:bCs/>
                <w:sz w:val="24"/>
                <w:szCs w:val="24"/>
              </w:rPr>
            </w:pPr>
            <w:r>
              <w:rPr>
                <w:rFonts w:hint="eastAsia" w:ascii="宋体" w:hAnsi="宋体"/>
                <w:b/>
                <w:bCs/>
                <w:sz w:val="24"/>
                <w:szCs w:val="24"/>
              </w:rPr>
              <w:t>备注</w:t>
            </w:r>
          </w:p>
        </w:tc>
      </w:tr>
      <w:tr>
        <w:tblPrEx>
          <w:tblCellMar>
            <w:top w:w="0" w:type="dxa"/>
            <w:left w:w="0" w:type="dxa"/>
            <w:bottom w:w="0" w:type="dxa"/>
            <w:right w:w="0" w:type="dxa"/>
          </w:tblCellMar>
        </w:tblPrEx>
        <w:trPr>
          <w:trHeight w:val="330" w:hRule="atLeast"/>
        </w:trPr>
        <w:tc>
          <w:tcPr>
            <w:tcW w:w="9433"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left="540" w:leftChars="257" w:firstLine="480"/>
              <w:rPr>
                <w:rFonts w:ascii="宋体" w:hAnsi="宋体"/>
                <w:sz w:val="24"/>
                <w:szCs w:val="24"/>
              </w:rPr>
            </w:pPr>
            <w:r>
              <w:rPr>
                <w:rFonts w:hint="eastAsia" w:ascii="宋体" w:hAnsi="宋体"/>
                <w:sz w:val="24"/>
                <w:szCs w:val="24"/>
              </w:rPr>
              <w:t>心电信息管理系统软件配置</w:t>
            </w:r>
          </w:p>
        </w:tc>
      </w:tr>
      <w:tr>
        <w:tblPrEx>
          <w:tblCellMar>
            <w:top w:w="0" w:type="dxa"/>
            <w:left w:w="0" w:type="dxa"/>
            <w:bottom w:w="0" w:type="dxa"/>
            <w:right w:w="0" w:type="dxa"/>
          </w:tblCellMar>
        </w:tblPrEx>
        <w:trPr>
          <w:trHeight w:val="312"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1</w:t>
            </w:r>
          </w:p>
        </w:tc>
        <w:tc>
          <w:tcPr>
            <w:tcW w:w="2088"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系统服务模块</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Chars="175"/>
              <w:rPr>
                <w:rFonts w:ascii="宋体" w:hAnsi="宋体"/>
                <w:sz w:val="24"/>
                <w:szCs w:val="24"/>
              </w:rPr>
            </w:pPr>
            <w:r>
              <w:rPr>
                <w:rFonts w:hint="eastAsia" w:ascii="宋体" w:hAnsi="宋体"/>
                <w:sz w:val="24"/>
                <w:szCs w:val="24"/>
              </w:rPr>
              <w:t>数据库服务模块</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套</w:t>
            </w: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1</w:t>
            </w:r>
          </w:p>
        </w:tc>
        <w:tc>
          <w:tcPr>
            <w:tcW w:w="22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p>
        </w:tc>
      </w:tr>
      <w:tr>
        <w:tblPrEx>
          <w:tblCellMar>
            <w:top w:w="0" w:type="dxa"/>
            <w:left w:w="0" w:type="dxa"/>
            <w:bottom w:w="0" w:type="dxa"/>
            <w:right w:w="0" w:type="dxa"/>
          </w:tblCellMar>
        </w:tblPrEx>
        <w:trPr>
          <w:trHeight w:val="330"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2</w:t>
            </w:r>
          </w:p>
        </w:tc>
        <w:tc>
          <w:tcPr>
            <w:tcW w:w="2088"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7"/>
              <w:ind w:left="540" w:leftChars="257" w:firstLine="480"/>
              <w:rPr>
                <w:rFonts w:ascii="宋体" w:hAnsi="宋体"/>
                <w:sz w:val="24"/>
                <w:szCs w:val="24"/>
              </w:rPr>
            </w:pP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Chars="175"/>
              <w:rPr>
                <w:rFonts w:ascii="宋体" w:hAnsi="宋体"/>
                <w:sz w:val="24"/>
                <w:szCs w:val="24"/>
              </w:rPr>
            </w:pPr>
            <w:r>
              <w:rPr>
                <w:rFonts w:hint="eastAsia" w:ascii="宋体" w:hAnsi="宋体"/>
                <w:sz w:val="24"/>
                <w:szCs w:val="24"/>
              </w:rPr>
              <w:t>存储管理器模块</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套</w:t>
            </w: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1</w:t>
            </w:r>
          </w:p>
        </w:tc>
        <w:tc>
          <w:tcPr>
            <w:tcW w:w="22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left="540" w:leftChars="257" w:firstLine="480"/>
              <w:rPr>
                <w:rFonts w:ascii="宋体" w:hAnsi="宋体"/>
                <w:sz w:val="24"/>
                <w:szCs w:val="24"/>
              </w:rPr>
            </w:pPr>
          </w:p>
        </w:tc>
      </w:tr>
      <w:tr>
        <w:tblPrEx>
          <w:tblCellMar>
            <w:top w:w="0" w:type="dxa"/>
            <w:left w:w="0" w:type="dxa"/>
            <w:bottom w:w="0" w:type="dxa"/>
            <w:right w:w="0" w:type="dxa"/>
          </w:tblCellMar>
        </w:tblPrEx>
        <w:trPr>
          <w:trHeight w:val="190"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3</w:t>
            </w:r>
          </w:p>
        </w:tc>
        <w:tc>
          <w:tcPr>
            <w:tcW w:w="2088"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7"/>
              <w:ind w:left="540" w:leftChars="257" w:firstLine="480"/>
              <w:rPr>
                <w:rFonts w:ascii="宋体" w:hAnsi="宋体"/>
                <w:sz w:val="24"/>
                <w:szCs w:val="24"/>
              </w:rPr>
            </w:pP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Chars="175"/>
              <w:rPr>
                <w:rFonts w:ascii="宋体" w:hAnsi="宋体"/>
                <w:sz w:val="24"/>
                <w:szCs w:val="24"/>
              </w:rPr>
            </w:pPr>
            <w:r>
              <w:rPr>
                <w:rFonts w:hint="eastAsia" w:ascii="宋体" w:hAnsi="宋体"/>
                <w:sz w:val="24"/>
                <w:szCs w:val="24"/>
              </w:rPr>
              <w:t>DICOM服务模块</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套</w:t>
            </w: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1</w:t>
            </w:r>
          </w:p>
        </w:tc>
        <w:tc>
          <w:tcPr>
            <w:tcW w:w="22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left="540" w:leftChars="257" w:firstLine="480"/>
              <w:rPr>
                <w:rFonts w:ascii="宋体" w:hAnsi="宋体"/>
                <w:sz w:val="24"/>
                <w:szCs w:val="24"/>
              </w:rPr>
            </w:pPr>
          </w:p>
        </w:tc>
      </w:tr>
      <w:tr>
        <w:trPr>
          <w:trHeight w:val="130"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4</w:t>
            </w:r>
          </w:p>
        </w:tc>
        <w:tc>
          <w:tcPr>
            <w:tcW w:w="2088"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7"/>
              <w:ind w:left="540" w:leftChars="257" w:firstLine="480"/>
              <w:rPr>
                <w:rFonts w:ascii="宋体" w:hAnsi="宋体"/>
                <w:sz w:val="24"/>
                <w:szCs w:val="24"/>
              </w:rPr>
            </w:pP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Chars="175"/>
              <w:rPr>
                <w:rFonts w:ascii="宋体" w:hAnsi="宋体"/>
                <w:sz w:val="24"/>
                <w:szCs w:val="24"/>
              </w:rPr>
            </w:pPr>
            <w:r>
              <w:rPr>
                <w:rFonts w:hint="eastAsia" w:ascii="宋体" w:hAnsi="宋体"/>
                <w:sz w:val="24"/>
                <w:szCs w:val="24"/>
              </w:rPr>
              <w:t>临床WEB浏览模块</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套</w:t>
            </w: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1</w:t>
            </w:r>
          </w:p>
        </w:tc>
        <w:tc>
          <w:tcPr>
            <w:tcW w:w="22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left="540" w:leftChars="257" w:firstLine="480"/>
              <w:rPr>
                <w:rFonts w:ascii="宋体" w:hAnsi="宋体"/>
                <w:sz w:val="24"/>
                <w:szCs w:val="24"/>
              </w:rPr>
            </w:pPr>
          </w:p>
        </w:tc>
      </w:tr>
      <w:tr>
        <w:tblPrEx>
          <w:tblCellMar>
            <w:top w:w="0" w:type="dxa"/>
            <w:left w:w="0" w:type="dxa"/>
            <w:bottom w:w="0" w:type="dxa"/>
            <w:right w:w="0" w:type="dxa"/>
          </w:tblCellMar>
        </w:tblPrEx>
        <w:trPr>
          <w:trHeight w:val="90"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1</w:t>
            </w:r>
          </w:p>
        </w:tc>
        <w:tc>
          <w:tcPr>
            <w:tcW w:w="2088"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系统接口模块</w:t>
            </w: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Chars="175"/>
              <w:rPr>
                <w:rFonts w:ascii="宋体" w:hAnsi="宋体"/>
                <w:sz w:val="24"/>
                <w:szCs w:val="24"/>
              </w:rPr>
            </w:pPr>
            <w:r>
              <w:rPr>
                <w:rFonts w:hint="eastAsia" w:ascii="宋体" w:hAnsi="宋体"/>
                <w:sz w:val="24"/>
                <w:szCs w:val="24"/>
              </w:rPr>
              <w:t>HIS接口</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套</w:t>
            </w: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1</w:t>
            </w:r>
          </w:p>
        </w:tc>
        <w:tc>
          <w:tcPr>
            <w:tcW w:w="22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left="540" w:leftChars="257" w:firstLine="480"/>
              <w:rPr>
                <w:rFonts w:ascii="宋体" w:hAnsi="宋体"/>
                <w:sz w:val="24"/>
                <w:szCs w:val="24"/>
              </w:rPr>
            </w:pPr>
          </w:p>
        </w:tc>
      </w:tr>
      <w:tr>
        <w:tblPrEx>
          <w:tblCellMar>
            <w:top w:w="0" w:type="dxa"/>
            <w:left w:w="0" w:type="dxa"/>
            <w:bottom w:w="0" w:type="dxa"/>
            <w:right w:w="0" w:type="dxa"/>
          </w:tblCellMar>
        </w:tblPrEx>
        <w:trPr>
          <w:trHeight w:val="110"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2</w:t>
            </w:r>
          </w:p>
        </w:tc>
        <w:tc>
          <w:tcPr>
            <w:tcW w:w="208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p>
        </w:tc>
        <w:tc>
          <w:tcPr>
            <w:tcW w:w="30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Chars="175"/>
              <w:rPr>
                <w:rFonts w:ascii="宋体" w:hAnsi="宋体"/>
                <w:sz w:val="24"/>
                <w:szCs w:val="24"/>
              </w:rPr>
            </w:pPr>
            <w:r>
              <w:rPr>
                <w:rFonts w:hint="eastAsia" w:ascii="宋体" w:hAnsi="宋体"/>
                <w:sz w:val="24"/>
                <w:szCs w:val="24"/>
              </w:rPr>
              <w:t>CA认证接口</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套</w:t>
            </w: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1</w:t>
            </w:r>
          </w:p>
        </w:tc>
        <w:tc>
          <w:tcPr>
            <w:tcW w:w="22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left="540" w:leftChars="257" w:firstLine="480"/>
              <w:rPr>
                <w:rFonts w:ascii="宋体" w:hAnsi="宋体"/>
                <w:sz w:val="24"/>
                <w:szCs w:val="24"/>
              </w:rPr>
            </w:pPr>
          </w:p>
        </w:tc>
      </w:tr>
      <w:tr>
        <w:trPr>
          <w:trHeight w:val="330" w:hRule="atLeast"/>
        </w:trPr>
        <w:tc>
          <w:tcPr>
            <w:tcW w:w="66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1</w:t>
            </w:r>
          </w:p>
        </w:tc>
        <w:tc>
          <w:tcPr>
            <w:tcW w:w="2088"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诊断流程应用</w:t>
            </w:r>
          </w:p>
        </w:tc>
        <w:tc>
          <w:tcPr>
            <w:tcW w:w="308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7"/>
              <w:ind w:firstLineChars="175"/>
              <w:rPr>
                <w:rFonts w:ascii="宋体" w:hAnsi="宋体"/>
                <w:sz w:val="24"/>
                <w:szCs w:val="24"/>
              </w:rPr>
            </w:pPr>
            <w:r>
              <w:rPr>
                <w:rFonts w:hint="eastAsia" w:ascii="宋体" w:hAnsi="宋体"/>
                <w:sz w:val="24"/>
                <w:szCs w:val="24"/>
              </w:rPr>
              <w:t>三合一报告端</w:t>
            </w:r>
          </w:p>
        </w:tc>
        <w:tc>
          <w:tcPr>
            <w:tcW w:w="72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套</w:t>
            </w:r>
          </w:p>
        </w:tc>
        <w:tc>
          <w:tcPr>
            <w:tcW w:w="64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1</w:t>
            </w:r>
          </w:p>
        </w:tc>
        <w:tc>
          <w:tcPr>
            <w:tcW w:w="222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7"/>
              <w:ind w:left="540" w:leftChars="257" w:firstLine="480"/>
              <w:rPr>
                <w:rFonts w:ascii="宋体" w:hAnsi="宋体"/>
                <w:sz w:val="24"/>
                <w:szCs w:val="24"/>
              </w:rPr>
            </w:pPr>
          </w:p>
        </w:tc>
      </w:tr>
      <w:tr>
        <w:tblPrEx>
          <w:tblCellMar>
            <w:top w:w="0" w:type="dxa"/>
            <w:left w:w="0" w:type="dxa"/>
            <w:bottom w:w="0" w:type="dxa"/>
            <w:right w:w="0" w:type="dxa"/>
          </w:tblCellMar>
        </w:tblPrEx>
        <w:trPr>
          <w:trHeight w:val="330" w:hRule="atLeast"/>
        </w:trPr>
        <w:tc>
          <w:tcPr>
            <w:tcW w:w="66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2</w:t>
            </w:r>
          </w:p>
        </w:tc>
        <w:tc>
          <w:tcPr>
            <w:tcW w:w="2088"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7"/>
              <w:ind w:left="540" w:leftChars="257" w:firstLine="480"/>
              <w:rPr>
                <w:rFonts w:ascii="宋体" w:hAnsi="宋体"/>
                <w:sz w:val="24"/>
                <w:szCs w:val="24"/>
              </w:rPr>
            </w:pPr>
          </w:p>
        </w:tc>
        <w:tc>
          <w:tcPr>
            <w:tcW w:w="308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7"/>
              <w:ind w:firstLineChars="175"/>
              <w:rPr>
                <w:rFonts w:ascii="宋体" w:hAnsi="宋体"/>
                <w:sz w:val="24"/>
                <w:szCs w:val="24"/>
              </w:rPr>
            </w:pPr>
            <w:r>
              <w:rPr>
                <w:rFonts w:hint="eastAsia" w:ascii="宋体" w:hAnsi="宋体"/>
                <w:sz w:val="24"/>
                <w:szCs w:val="24"/>
              </w:rPr>
              <w:t>主任统计管理客户端</w:t>
            </w:r>
          </w:p>
        </w:tc>
        <w:tc>
          <w:tcPr>
            <w:tcW w:w="72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套</w:t>
            </w:r>
          </w:p>
        </w:tc>
        <w:tc>
          <w:tcPr>
            <w:tcW w:w="64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1</w:t>
            </w:r>
          </w:p>
        </w:tc>
        <w:tc>
          <w:tcPr>
            <w:tcW w:w="222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Style w:val="7"/>
              <w:ind w:left="540" w:leftChars="257" w:firstLine="480"/>
              <w:rPr>
                <w:rFonts w:ascii="宋体" w:hAnsi="宋体"/>
                <w:sz w:val="24"/>
                <w:szCs w:val="24"/>
              </w:rPr>
            </w:pPr>
          </w:p>
        </w:tc>
      </w:tr>
      <w:tr>
        <w:tblPrEx>
          <w:tblCellMar>
            <w:top w:w="0" w:type="dxa"/>
            <w:left w:w="0" w:type="dxa"/>
            <w:bottom w:w="0" w:type="dxa"/>
            <w:right w:w="0" w:type="dxa"/>
          </w:tblCellMar>
        </w:tblPrEx>
        <w:trPr>
          <w:trHeight w:val="330" w:hRule="atLeast"/>
        </w:trPr>
        <w:tc>
          <w:tcPr>
            <w:tcW w:w="669" w:type="dxa"/>
            <w:tcBorders>
              <w:top w:val="single" w:color="auto" w:sz="4" w:space="0"/>
              <w:left w:val="single" w:color="000000" w:sz="4" w:space="0"/>
              <w:bottom w:val="single" w:color="000000" w:sz="4" w:space="0"/>
              <w:right w:val="single" w:color="000000" w:sz="4" w:space="0"/>
            </w:tcBorders>
            <w:shd w:val="clear" w:color="auto" w:fill="D8D8D8"/>
            <w:noWrap/>
            <w:tcMar>
              <w:top w:w="15" w:type="dxa"/>
              <w:left w:w="15" w:type="dxa"/>
              <w:right w:w="15" w:type="dxa"/>
            </w:tcMar>
            <w:vAlign w:val="center"/>
          </w:tcPr>
          <w:p>
            <w:pPr>
              <w:pStyle w:val="7"/>
              <w:ind w:firstLine="0"/>
              <w:jc w:val="center"/>
              <w:rPr>
                <w:rFonts w:ascii="宋体" w:hAnsi="宋体"/>
                <w:b/>
                <w:bCs/>
                <w:sz w:val="24"/>
                <w:szCs w:val="24"/>
              </w:rPr>
            </w:pPr>
            <w:r>
              <w:rPr>
                <w:rFonts w:hint="eastAsia" w:ascii="宋体" w:hAnsi="宋体"/>
                <w:b/>
                <w:bCs/>
                <w:sz w:val="24"/>
                <w:szCs w:val="24"/>
              </w:rPr>
              <w:t>序号</w:t>
            </w:r>
          </w:p>
        </w:tc>
        <w:tc>
          <w:tcPr>
            <w:tcW w:w="5176" w:type="dxa"/>
            <w:gridSpan w:val="2"/>
            <w:tcBorders>
              <w:top w:val="single" w:color="auto" w:sz="4" w:space="0"/>
              <w:left w:val="single" w:color="000000" w:sz="4" w:space="0"/>
              <w:bottom w:val="single" w:color="000000" w:sz="4" w:space="0"/>
              <w:right w:val="single" w:color="000000" w:sz="4" w:space="0"/>
            </w:tcBorders>
            <w:shd w:val="clear" w:color="auto" w:fill="D8D8D8"/>
            <w:noWrap/>
            <w:tcMar>
              <w:top w:w="15" w:type="dxa"/>
              <w:left w:w="15" w:type="dxa"/>
              <w:right w:w="15" w:type="dxa"/>
            </w:tcMar>
            <w:vAlign w:val="center"/>
          </w:tcPr>
          <w:p>
            <w:pPr>
              <w:pStyle w:val="7"/>
              <w:ind w:firstLine="0"/>
              <w:jc w:val="center"/>
              <w:rPr>
                <w:rFonts w:ascii="宋体" w:hAnsi="宋体"/>
                <w:b/>
                <w:bCs/>
                <w:sz w:val="24"/>
                <w:szCs w:val="24"/>
              </w:rPr>
            </w:pPr>
            <w:r>
              <w:rPr>
                <w:rFonts w:hint="eastAsia" w:ascii="宋体" w:hAnsi="宋体"/>
                <w:b/>
                <w:bCs/>
                <w:sz w:val="24"/>
                <w:szCs w:val="24"/>
              </w:rPr>
              <w:t>项目</w:t>
            </w:r>
          </w:p>
        </w:tc>
        <w:tc>
          <w:tcPr>
            <w:tcW w:w="721" w:type="dxa"/>
            <w:tcBorders>
              <w:top w:val="single" w:color="auto" w:sz="4" w:space="0"/>
              <w:left w:val="single" w:color="000000" w:sz="4" w:space="0"/>
              <w:bottom w:val="single" w:color="000000" w:sz="4" w:space="0"/>
              <w:right w:val="single" w:color="000000" w:sz="4" w:space="0"/>
            </w:tcBorders>
            <w:shd w:val="clear" w:color="auto" w:fill="D8D8D8"/>
            <w:noWrap/>
            <w:tcMar>
              <w:top w:w="15" w:type="dxa"/>
              <w:left w:w="15" w:type="dxa"/>
              <w:right w:w="15" w:type="dxa"/>
            </w:tcMar>
            <w:vAlign w:val="center"/>
          </w:tcPr>
          <w:p>
            <w:pPr>
              <w:pStyle w:val="7"/>
              <w:ind w:firstLine="0"/>
              <w:jc w:val="center"/>
              <w:rPr>
                <w:rFonts w:ascii="宋体" w:hAnsi="宋体"/>
                <w:b/>
                <w:bCs/>
                <w:sz w:val="24"/>
                <w:szCs w:val="24"/>
              </w:rPr>
            </w:pPr>
            <w:r>
              <w:rPr>
                <w:rFonts w:hint="eastAsia" w:ascii="宋体" w:hAnsi="宋体"/>
                <w:b/>
                <w:bCs/>
                <w:sz w:val="24"/>
                <w:szCs w:val="24"/>
              </w:rPr>
              <w:t>单位</w:t>
            </w:r>
          </w:p>
        </w:tc>
        <w:tc>
          <w:tcPr>
            <w:tcW w:w="647" w:type="dxa"/>
            <w:tcBorders>
              <w:top w:val="single" w:color="auto" w:sz="4" w:space="0"/>
              <w:left w:val="single" w:color="000000" w:sz="4" w:space="0"/>
              <w:bottom w:val="single" w:color="000000" w:sz="4" w:space="0"/>
              <w:right w:val="single" w:color="000000" w:sz="4" w:space="0"/>
            </w:tcBorders>
            <w:shd w:val="clear" w:color="auto" w:fill="D8D8D8"/>
            <w:noWrap/>
            <w:tcMar>
              <w:top w:w="15" w:type="dxa"/>
              <w:left w:w="15" w:type="dxa"/>
              <w:right w:w="15" w:type="dxa"/>
            </w:tcMar>
            <w:vAlign w:val="center"/>
          </w:tcPr>
          <w:p>
            <w:pPr>
              <w:pStyle w:val="7"/>
              <w:ind w:firstLine="0"/>
              <w:jc w:val="center"/>
              <w:rPr>
                <w:rFonts w:ascii="宋体" w:hAnsi="宋体"/>
                <w:b/>
                <w:bCs/>
                <w:sz w:val="24"/>
                <w:szCs w:val="24"/>
              </w:rPr>
            </w:pPr>
            <w:r>
              <w:rPr>
                <w:rFonts w:hint="eastAsia" w:ascii="宋体" w:hAnsi="宋体"/>
                <w:b/>
                <w:bCs/>
                <w:sz w:val="24"/>
                <w:szCs w:val="24"/>
              </w:rPr>
              <w:t>数量</w:t>
            </w:r>
          </w:p>
        </w:tc>
        <w:tc>
          <w:tcPr>
            <w:tcW w:w="2220" w:type="dxa"/>
            <w:tcBorders>
              <w:top w:val="single" w:color="auto" w:sz="4" w:space="0"/>
              <w:left w:val="single" w:color="000000" w:sz="4" w:space="0"/>
              <w:bottom w:val="single" w:color="000000" w:sz="4" w:space="0"/>
              <w:right w:val="single" w:color="000000" w:sz="4" w:space="0"/>
            </w:tcBorders>
            <w:shd w:val="clear" w:color="auto" w:fill="D8D8D8"/>
            <w:noWrap/>
            <w:tcMar>
              <w:top w:w="15" w:type="dxa"/>
              <w:left w:w="15" w:type="dxa"/>
              <w:right w:w="15" w:type="dxa"/>
            </w:tcMar>
            <w:vAlign w:val="center"/>
          </w:tcPr>
          <w:p>
            <w:pPr>
              <w:pStyle w:val="7"/>
              <w:ind w:firstLine="0"/>
              <w:jc w:val="center"/>
              <w:rPr>
                <w:rFonts w:ascii="宋体" w:hAnsi="宋体"/>
                <w:b/>
                <w:bCs/>
                <w:sz w:val="24"/>
                <w:szCs w:val="24"/>
              </w:rPr>
            </w:pPr>
          </w:p>
        </w:tc>
      </w:tr>
      <w:tr>
        <w:tblPrEx>
          <w:tblCellMar>
            <w:top w:w="0" w:type="dxa"/>
            <w:left w:w="0" w:type="dxa"/>
            <w:bottom w:w="0" w:type="dxa"/>
            <w:right w:w="0" w:type="dxa"/>
          </w:tblCellMar>
        </w:tblPrEx>
        <w:trPr>
          <w:trHeight w:val="330" w:hRule="atLeast"/>
        </w:trPr>
        <w:tc>
          <w:tcPr>
            <w:tcW w:w="9433" w:type="dxa"/>
            <w:gridSpan w:val="6"/>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pStyle w:val="7"/>
              <w:ind w:left="540" w:leftChars="257" w:firstLine="480"/>
              <w:rPr>
                <w:rFonts w:ascii="宋体" w:hAnsi="宋体"/>
                <w:sz w:val="24"/>
                <w:szCs w:val="24"/>
              </w:rPr>
            </w:pPr>
            <w:r>
              <w:rPr>
                <w:rFonts w:hint="eastAsia" w:ascii="宋体" w:hAnsi="宋体"/>
                <w:sz w:val="24"/>
                <w:szCs w:val="24"/>
              </w:rPr>
              <w:t>心电信息管理系统硬件配置</w:t>
            </w:r>
          </w:p>
        </w:tc>
      </w:tr>
      <w:tr>
        <w:tblPrEx>
          <w:tblCellMar>
            <w:top w:w="0" w:type="dxa"/>
            <w:left w:w="0" w:type="dxa"/>
            <w:bottom w:w="0" w:type="dxa"/>
            <w:right w:w="0" w:type="dxa"/>
          </w:tblCellMar>
        </w:tblPrEx>
        <w:trPr>
          <w:trHeight w:val="415" w:hRule="atLeast"/>
        </w:trPr>
        <w:tc>
          <w:tcPr>
            <w:tcW w:w="669" w:type="dxa"/>
            <w:tcBorders>
              <w:top w:val="single" w:color="auto"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1</w:t>
            </w:r>
          </w:p>
        </w:tc>
        <w:tc>
          <w:tcPr>
            <w:tcW w:w="5176" w:type="dxa"/>
            <w:gridSpan w:val="2"/>
            <w:tcBorders>
              <w:top w:val="single" w:color="auto"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pStyle w:val="7"/>
              <w:ind w:left="540" w:leftChars="257" w:firstLine="480"/>
              <w:rPr>
                <w:rFonts w:ascii="宋体" w:hAnsi="宋体"/>
                <w:sz w:val="24"/>
                <w:szCs w:val="24"/>
              </w:rPr>
            </w:pPr>
            <w:r>
              <w:rPr>
                <w:rFonts w:hint="eastAsia" w:ascii="宋体" w:hAnsi="宋体"/>
                <w:sz w:val="24"/>
                <w:szCs w:val="24"/>
              </w:rPr>
              <w:t>移动心电采集设备</w:t>
            </w:r>
          </w:p>
        </w:tc>
        <w:tc>
          <w:tcPr>
            <w:tcW w:w="721"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套</w:t>
            </w:r>
          </w:p>
        </w:tc>
        <w:tc>
          <w:tcPr>
            <w:tcW w:w="647"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6</w:t>
            </w:r>
          </w:p>
        </w:tc>
        <w:tc>
          <w:tcPr>
            <w:tcW w:w="2220" w:type="dxa"/>
            <w:tcBorders>
              <w:top w:val="single" w:color="auto"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pStyle w:val="7"/>
              <w:ind w:left="540" w:leftChars="257" w:firstLine="480"/>
              <w:rPr>
                <w:rFonts w:ascii="宋体" w:hAnsi="宋体"/>
                <w:sz w:val="24"/>
                <w:szCs w:val="24"/>
              </w:rPr>
            </w:pPr>
          </w:p>
        </w:tc>
      </w:tr>
      <w:tr>
        <w:tblPrEx>
          <w:tblCellMar>
            <w:top w:w="0" w:type="dxa"/>
            <w:left w:w="0" w:type="dxa"/>
            <w:bottom w:w="0" w:type="dxa"/>
            <w:right w:w="0" w:type="dxa"/>
          </w:tblCellMar>
        </w:tblPrEx>
        <w:trPr>
          <w:trHeight w:val="460" w:hRule="atLeast"/>
        </w:trPr>
        <w:tc>
          <w:tcPr>
            <w:tcW w:w="669" w:type="dxa"/>
            <w:tcBorders>
              <w:top w:val="single" w:color="auto"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2</w:t>
            </w:r>
          </w:p>
        </w:tc>
        <w:tc>
          <w:tcPr>
            <w:tcW w:w="5176" w:type="dxa"/>
            <w:gridSpan w:val="2"/>
            <w:tcBorders>
              <w:top w:val="single" w:color="auto"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pStyle w:val="7"/>
              <w:ind w:left="540" w:leftChars="257" w:firstLine="480"/>
              <w:rPr>
                <w:rFonts w:ascii="宋体" w:hAnsi="宋体"/>
                <w:sz w:val="24"/>
                <w:szCs w:val="24"/>
              </w:rPr>
            </w:pPr>
            <w:r>
              <w:rPr>
                <w:rFonts w:hint="eastAsia" w:ascii="宋体" w:hAnsi="宋体"/>
                <w:sz w:val="24"/>
                <w:szCs w:val="24"/>
              </w:rPr>
              <w:t>静息心电采集设备</w:t>
            </w:r>
          </w:p>
        </w:tc>
        <w:tc>
          <w:tcPr>
            <w:tcW w:w="721"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套</w:t>
            </w:r>
          </w:p>
        </w:tc>
        <w:tc>
          <w:tcPr>
            <w:tcW w:w="647"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1</w:t>
            </w:r>
          </w:p>
        </w:tc>
        <w:tc>
          <w:tcPr>
            <w:tcW w:w="2220" w:type="dxa"/>
            <w:tcBorders>
              <w:top w:val="single" w:color="auto"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pStyle w:val="7"/>
              <w:ind w:left="540" w:leftChars="257" w:firstLine="480"/>
              <w:rPr>
                <w:rFonts w:ascii="宋体" w:hAnsi="宋体"/>
                <w:sz w:val="24"/>
                <w:szCs w:val="24"/>
              </w:rPr>
            </w:pPr>
          </w:p>
        </w:tc>
      </w:tr>
      <w:tr>
        <w:tblPrEx>
          <w:tblCellMar>
            <w:top w:w="0" w:type="dxa"/>
            <w:left w:w="0" w:type="dxa"/>
            <w:bottom w:w="0" w:type="dxa"/>
            <w:right w:w="0" w:type="dxa"/>
          </w:tblCellMar>
        </w:tblPrEx>
        <w:trPr>
          <w:trHeight w:val="490" w:hRule="atLeast"/>
        </w:trPr>
        <w:tc>
          <w:tcPr>
            <w:tcW w:w="669" w:type="dxa"/>
            <w:tcBorders>
              <w:top w:val="single" w:color="auto"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3</w:t>
            </w:r>
          </w:p>
        </w:tc>
        <w:tc>
          <w:tcPr>
            <w:tcW w:w="5176" w:type="dxa"/>
            <w:gridSpan w:val="2"/>
            <w:tcBorders>
              <w:top w:val="single" w:color="auto"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pStyle w:val="7"/>
              <w:ind w:left="540" w:leftChars="257" w:firstLine="480"/>
              <w:rPr>
                <w:rFonts w:ascii="宋体" w:hAnsi="宋体"/>
                <w:sz w:val="24"/>
                <w:szCs w:val="24"/>
              </w:rPr>
            </w:pPr>
            <w:r>
              <w:rPr>
                <w:rFonts w:hint="eastAsia" w:ascii="宋体" w:hAnsi="宋体"/>
                <w:sz w:val="24"/>
                <w:szCs w:val="24"/>
              </w:rPr>
              <w:t>三合一诊断设备</w:t>
            </w:r>
          </w:p>
        </w:tc>
        <w:tc>
          <w:tcPr>
            <w:tcW w:w="721"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套</w:t>
            </w:r>
          </w:p>
        </w:tc>
        <w:tc>
          <w:tcPr>
            <w:tcW w:w="647"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
              <w:ind w:firstLine="0"/>
              <w:jc w:val="center"/>
              <w:rPr>
                <w:rFonts w:ascii="宋体" w:hAnsi="宋体"/>
                <w:sz w:val="24"/>
                <w:szCs w:val="24"/>
              </w:rPr>
            </w:pPr>
            <w:r>
              <w:rPr>
                <w:rFonts w:hint="eastAsia" w:ascii="宋体" w:hAnsi="宋体"/>
                <w:sz w:val="24"/>
                <w:szCs w:val="24"/>
              </w:rPr>
              <w:t>1</w:t>
            </w:r>
          </w:p>
        </w:tc>
        <w:tc>
          <w:tcPr>
            <w:tcW w:w="2220" w:type="dxa"/>
            <w:tcBorders>
              <w:top w:val="single" w:color="auto"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pStyle w:val="7"/>
              <w:ind w:left="540" w:leftChars="257" w:firstLine="480"/>
              <w:rPr>
                <w:rFonts w:ascii="宋体" w:hAnsi="宋体"/>
                <w:sz w:val="24"/>
                <w:szCs w:val="24"/>
              </w:rPr>
            </w:pPr>
          </w:p>
        </w:tc>
      </w:tr>
    </w:tbl>
    <w:p>
      <w:pPr>
        <w:pStyle w:val="7"/>
        <w:numPr>
          <w:ilvl w:val="1"/>
          <w:numId w:val="10"/>
        </w:numPr>
        <w:spacing w:line="360" w:lineRule="auto"/>
        <w:ind w:left="540" w:leftChars="257" w:firstLine="480"/>
        <w:rPr>
          <w:rFonts w:ascii="宋体" w:hAnsi="宋体"/>
          <w:sz w:val="24"/>
          <w:szCs w:val="24"/>
        </w:rPr>
      </w:pPr>
      <w:r>
        <w:rPr>
          <w:rFonts w:hint="eastAsia" w:ascii="宋体" w:hAnsi="宋体"/>
          <w:sz w:val="24"/>
          <w:szCs w:val="24"/>
        </w:rPr>
        <w:t>系统软硬件技术参数</w:t>
      </w:r>
    </w:p>
    <w:p>
      <w:pPr>
        <w:pStyle w:val="7"/>
        <w:numPr>
          <w:ilvl w:val="2"/>
          <w:numId w:val="10"/>
        </w:numPr>
        <w:spacing w:line="360" w:lineRule="auto"/>
        <w:ind w:left="540" w:leftChars="257" w:firstLine="482"/>
        <w:rPr>
          <w:rFonts w:ascii="宋体" w:hAnsi="宋体"/>
          <w:b/>
          <w:bCs/>
          <w:sz w:val="24"/>
          <w:szCs w:val="24"/>
        </w:rPr>
      </w:pPr>
      <w:r>
        <w:rPr>
          <w:rFonts w:hint="eastAsia" w:ascii="宋体" w:hAnsi="宋体"/>
          <w:b/>
          <w:bCs/>
          <w:sz w:val="24"/>
          <w:szCs w:val="24"/>
        </w:rPr>
        <w:t>系统服务模块</w:t>
      </w:r>
    </w:p>
    <w:p>
      <w:pPr>
        <w:pStyle w:val="7"/>
        <w:numPr>
          <w:ilvl w:val="3"/>
          <w:numId w:val="10"/>
        </w:numPr>
        <w:spacing w:line="360" w:lineRule="auto"/>
        <w:ind w:left="540" w:leftChars="257" w:firstLine="480"/>
        <w:rPr>
          <w:rFonts w:ascii="宋体" w:hAnsi="宋体"/>
          <w:sz w:val="24"/>
          <w:szCs w:val="24"/>
        </w:rPr>
      </w:pPr>
      <w:r>
        <w:rPr>
          <w:rFonts w:hint="eastAsia" w:ascii="宋体" w:hAnsi="宋体"/>
          <w:sz w:val="24"/>
          <w:szCs w:val="24"/>
        </w:rPr>
        <w:t>数据库服务模块</w:t>
      </w:r>
    </w:p>
    <w:p>
      <w:pPr>
        <w:pStyle w:val="7"/>
        <w:numPr>
          <w:ilvl w:val="0"/>
          <w:numId w:val="11"/>
        </w:numPr>
        <w:spacing w:line="360" w:lineRule="auto"/>
        <w:ind w:left="540" w:leftChars="257" w:firstLine="480"/>
        <w:rPr>
          <w:rFonts w:ascii="宋体" w:hAnsi="宋体"/>
          <w:sz w:val="24"/>
          <w:szCs w:val="24"/>
        </w:rPr>
      </w:pPr>
      <w:r>
        <w:rPr>
          <w:rFonts w:hint="eastAsia" w:ascii="宋体" w:hAnsi="宋体"/>
          <w:sz w:val="24"/>
          <w:szCs w:val="24"/>
        </w:rPr>
        <w:t>支持SQLserver、Oracle等大型数据库，有安全、可靠的数据存储、备份方案，有近线、离线数据调阅方案，实现数据的网络存储及应急状态的数据本地存储。具有开放性，支持异种数据库的访问，包括实现对文件数据和桌面数据库的访问、实现对大型异种数据库的访问、实现和高级语言互连的能力等，具有支持并行操作所需的技术，包括多服务器协同技术、事务处理的完整性控制技术。</w:t>
      </w:r>
    </w:p>
    <w:p>
      <w:pPr>
        <w:pStyle w:val="7"/>
        <w:numPr>
          <w:ilvl w:val="0"/>
          <w:numId w:val="11"/>
        </w:numPr>
        <w:spacing w:line="360" w:lineRule="auto"/>
        <w:ind w:left="540" w:leftChars="257" w:firstLine="480"/>
        <w:rPr>
          <w:rFonts w:ascii="宋体" w:hAnsi="宋体"/>
          <w:sz w:val="24"/>
          <w:szCs w:val="24"/>
        </w:rPr>
      </w:pPr>
      <w:r>
        <w:rPr>
          <w:rFonts w:hint="eastAsia" w:ascii="宋体" w:hAnsi="宋体"/>
          <w:sz w:val="24"/>
          <w:szCs w:val="24"/>
        </w:rPr>
        <w:t>服务器软件支持集群设计；支持数据库多种方式备份；支持数据库管理功能，支持数据记录查询与检索；按需更新数据库管理系统中的数据；接受医生申请，按权限提供所储存心电图波形数据及相关信息。</w:t>
      </w:r>
    </w:p>
    <w:p>
      <w:pPr>
        <w:pStyle w:val="7"/>
        <w:numPr>
          <w:ilvl w:val="3"/>
          <w:numId w:val="10"/>
        </w:numPr>
        <w:spacing w:line="360" w:lineRule="auto"/>
        <w:ind w:left="540" w:leftChars="257" w:firstLine="480"/>
        <w:rPr>
          <w:rFonts w:ascii="宋体" w:hAnsi="宋体"/>
          <w:sz w:val="24"/>
          <w:szCs w:val="24"/>
        </w:rPr>
      </w:pPr>
      <w:r>
        <w:rPr>
          <w:rFonts w:hint="eastAsia" w:ascii="宋体" w:hAnsi="宋体"/>
          <w:sz w:val="24"/>
          <w:szCs w:val="24"/>
        </w:rPr>
        <w:t>存储管理器模块</w:t>
      </w:r>
    </w:p>
    <w:p>
      <w:pPr>
        <w:pStyle w:val="7"/>
        <w:numPr>
          <w:ilvl w:val="0"/>
          <w:numId w:val="12"/>
        </w:numPr>
        <w:spacing w:line="360" w:lineRule="auto"/>
        <w:ind w:left="540" w:leftChars="257" w:firstLine="480"/>
        <w:rPr>
          <w:rFonts w:ascii="宋体" w:hAnsi="宋体"/>
          <w:b/>
          <w:bCs/>
          <w:color w:val="000000"/>
          <w:sz w:val="24"/>
          <w:szCs w:val="24"/>
        </w:rPr>
      </w:pPr>
      <w:r>
        <w:rPr>
          <w:rFonts w:hint="eastAsia" w:ascii="宋体" w:hAnsi="宋体"/>
          <w:b/>
          <w:bCs/>
          <w:color w:val="000000"/>
          <w:sz w:val="24"/>
          <w:szCs w:val="24"/>
        </w:rPr>
        <w:t>★支持医院心电图数据进行数字化集中存储及管理，可对心电数据进行查找、统计、测量。要求提供含有集中存储及管理、查找、统计、测量等词语的医疗器械注册证复印件并圈出对应内容证明。</w:t>
      </w:r>
    </w:p>
    <w:p>
      <w:pPr>
        <w:pStyle w:val="7"/>
        <w:numPr>
          <w:ilvl w:val="0"/>
          <w:numId w:val="12"/>
        </w:numPr>
        <w:spacing w:line="360" w:lineRule="auto"/>
        <w:ind w:left="540" w:leftChars="257" w:firstLine="480"/>
        <w:rPr>
          <w:rFonts w:ascii="宋体" w:hAnsi="宋体"/>
          <w:b/>
          <w:bCs/>
          <w:color w:val="000000"/>
          <w:sz w:val="24"/>
          <w:szCs w:val="24"/>
        </w:rPr>
      </w:pPr>
      <w:r>
        <w:rPr>
          <w:rFonts w:hint="eastAsia" w:ascii="宋体" w:hAnsi="宋体"/>
          <w:b/>
          <w:bCs/>
          <w:color w:val="000000"/>
          <w:sz w:val="24"/>
          <w:szCs w:val="24"/>
        </w:rPr>
        <w:t>★产品适用于接收具有DICOM或XML传输协议的心电图机、具有数字输出的动态心电图、运动平板心电图电生理检查设备的数据，对数据进行处理和存储，并可与医院信息管理系统进行整合，通过网络发布报告。要求提供含有DICOM或XML传输协议，动态心电图、运动平板心电图网络发布报告等词语的医疗器械注册证或其附件的复印件并圈出对应内容证明。</w:t>
      </w:r>
    </w:p>
    <w:p>
      <w:pPr>
        <w:pStyle w:val="7"/>
        <w:numPr>
          <w:ilvl w:val="3"/>
          <w:numId w:val="10"/>
        </w:numPr>
        <w:spacing w:line="360" w:lineRule="auto"/>
        <w:ind w:left="540" w:leftChars="257" w:firstLine="480"/>
        <w:rPr>
          <w:rFonts w:ascii="宋体" w:hAnsi="宋体"/>
          <w:sz w:val="24"/>
          <w:szCs w:val="24"/>
        </w:rPr>
      </w:pPr>
      <w:r>
        <w:rPr>
          <w:rFonts w:hint="eastAsia" w:ascii="宋体" w:hAnsi="宋体"/>
          <w:sz w:val="24"/>
          <w:szCs w:val="24"/>
        </w:rPr>
        <w:t>DICOM服务模块</w:t>
      </w:r>
    </w:p>
    <w:p>
      <w:pPr>
        <w:pStyle w:val="7"/>
        <w:numPr>
          <w:ilvl w:val="0"/>
          <w:numId w:val="13"/>
        </w:numPr>
        <w:spacing w:line="360" w:lineRule="auto"/>
        <w:ind w:left="540" w:leftChars="257" w:firstLine="480"/>
        <w:rPr>
          <w:rFonts w:ascii="宋体" w:hAnsi="宋体"/>
          <w:b/>
          <w:bCs/>
          <w:color w:val="000000"/>
          <w:sz w:val="24"/>
          <w:szCs w:val="24"/>
        </w:rPr>
      </w:pPr>
      <w:r>
        <w:rPr>
          <w:rFonts w:hint="eastAsia" w:ascii="宋体" w:hAnsi="宋体"/>
          <w:b/>
          <w:bCs/>
          <w:color w:val="000000"/>
          <w:sz w:val="24"/>
          <w:szCs w:val="24"/>
        </w:rPr>
        <w:t>★系统应具备DICOM WORKLIST功能：支持同符合HL7标准的医院信息系统连接；支持同非标准的医院信息系统连接。要求提供含有DICOM WORKLIST功能词语，并圈出对应功能描述内容的医疗器械注册证或其附件的复印件证明。</w:t>
      </w:r>
    </w:p>
    <w:p>
      <w:pPr>
        <w:pStyle w:val="7"/>
        <w:numPr>
          <w:ilvl w:val="3"/>
          <w:numId w:val="10"/>
        </w:numPr>
        <w:spacing w:line="360" w:lineRule="auto"/>
        <w:ind w:left="540" w:leftChars="257" w:firstLine="480"/>
        <w:rPr>
          <w:rFonts w:ascii="宋体" w:hAnsi="宋体"/>
          <w:sz w:val="24"/>
          <w:szCs w:val="24"/>
        </w:rPr>
      </w:pPr>
      <w:r>
        <w:rPr>
          <w:rFonts w:hint="eastAsia" w:ascii="宋体" w:hAnsi="宋体"/>
          <w:sz w:val="24"/>
          <w:szCs w:val="24"/>
        </w:rPr>
        <w:t>心电实时监测服务模块</w:t>
      </w:r>
    </w:p>
    <w:p>
      <w:pPr>
        <w:pStyle w:val="7"/>
        <w:numPr>
          <w:ilvl w:val="0"/>
          <w:numId w:val="14"/>
        </w:numPr>
        <w:spacing w:line="360" w:lineRule="auto"/>
        <w:ind w:left="540" w:leftChars="257" w:firstLine="480"/>
        <w:rPr>
          <w:rFonts w:ascii="宋体" w:hAnsi="宋体"/>
          <w:sz w:val="24"/>
          <w:szCs w:val="24"/>
        </w:rPr>
      </w:pPr>
      <w:r>
        <w:rPr>
          <w:rFonts w:hint="eastAsia" w:ascii="宋体" w:hAnsi="宋体"/>
          <w:sz w:val="24"/>
          <w:szCs w:val="24"/>
        </w:rPr>
        <w:t>支持接收由心电数据采集端发送的心电实时监测数据并进行存储归档，为数据实时调阅提供支持；</w:t>
      </w:r>
    </w:p>
    <w:p>
      <w:pPr>
        <w:pStyle w:val="7"/>
        <w:numPr>
          <w:ilvl w:val="0"/>
          <w:numId w:val="14"/>
        </w:numPr>
        <w:spacing w:line="360" w:lineRule="auto"/>
        <w:ind w:left="540" w:leftChars="257" w:firstLine="480"/>
        <w:rPr>
          <w:rFonts w:ascii="宋体" w:hAnsi="宋体"/>
          <w:sz w:val="24"/>
          <w:szCs w:val="24"/>
        </w:rPr>
      </w:pPr>
      <w:r>
        <w:rPr>
          <w:rFonts w:hint="eastAsia" w:ascii="宋体" w:hAnsi="宋体"/>
          <w:sz w:val="24"/>
          <w:szCs w:val="24"/>
        </w:rPr>
        <w:t>具备心电监测危急值预警服务功能，内置经国内权威心电专家共识的危急值标准参数，可根据需求进行危急值标准自定义设置。</w:t>
      </w:r>
    </w:p>
    <w:p>
      <w:pPr>
        <w:pStyle w:val="7"/>
        <w:numPr>
          <w:ilvl w:val="3"/>
          <w:numId w:val="10"/>
        </w:numPr>
        <w:spacing w:line="360" w:lineRule="auto"/>
        <w:ind w:left="540" w:leftChars="257" w:firstLine="480"/>
        <w:rPr>
          <w:rFonts w:ascii="宋体" w:hAnsi="宋体"/>
          <w:sz w:val="24"/>
          <w:szCs w:val="24"/>
        </w:rPr>
      </w:pPr>
      <w:r>
        <w:rPr>
          <w:rFonts w:hint="eastAsia" w:ascii="宋体" w:hAnsi="宋体"/>
          <w:sz w:val="24"/>
          <w:szCs w:val="24"/>
        </w:rPr>
        <w:t>临床WEB浏览模块</w:t>
      </w:r>
    </w:p>
    <w:p>
      <w:pPr>
        <w:pStyle w:val="7"/>
        <w:numPr>
          <w:ilvl w:val="0"/>
          <w:numId w:val="15"/>
        </w:numPr>
        <w:spacing w:line="360" w:lineRule="auto"/>
        <w:ind w:left="540" w:leftChars="257" w:firstLine="480"/>
        <w:rPr>
          <w:rFonts w:ascii="宋体" w:hAnsi="宋体"/>
          <w:sz w:val="24"/>
          <w:szCs w:val="24"/>
        </w:rPr>
      </w:pPr>
      <w:r>
        <w:rPr>
          <w:rFonts w:hint="eastAsia" w:ascii="宋体" w:hAnsi="宋体"/>
          <w:sz w:val="24"/>
          <w:szCs w:val="24"/>
        </w:rPr>
        <w:t>支持嵌入门诊医生站、住院电子病历系统；</w:t>
      </w:r>
    </w:p>
    <w:p>
      <w:pPr>
        <w:pStyle w:val="7"/>
        <w:numPr>
          <w:ilvl w:val="0"/>
          <w:numId w:val="15"/>
        </w:numPr>
        <w:spacing w:line="360" w:lineRule="auto"/>
        <w:ind w:left="540" w:leftChars="257" w:firstLine="480"/>
        <w:rPr>
          <w:rFonts w:ascii="宋体" w:hAnsi="宋体"/>
          <w:sz w:val="24"/>
          <w:szCs w:val="24"/>
        </w:rPr>
      </w:pPr>
      <w:r>
        <w:rPr>
          <w:rFonts w:hint="eastAsia" w:ascii="宋体" w:hAnsi="宋体"/>
          <w:sz w:val="24"/>
          <w:szCs w:val="24"/>
        </w:rPr>
        <w:t>当心电图专业医生确认检查报告后，在医院的医生工作站上就可以浏览到具有查看权限的心电图结论，心电波形和打印带网格的心电图报告；</w:t>
      </w:r>
    </w:p>
    <w:p>
      <w:pPr>
        <w:pStyle w:val="7"/>
        <w:numPr>
          <w:ilvl w:val="0"/>
          <w:numId w:val="15"/>
        </w:numPr>
        <w:spacing w:line="360" w:lineRule="auto"/>
        <w:ind w:left="540" w:leftChars="257" w:firstLine="480"/>
        <w:rPr>
          <w:rFonts w:ascii="宋体" w:hAnsi="宋体"/>
          <w:sz w:val="24"/>
          <w:szCs w:val="24"/>
        </w:rPr>
      </w:pPr>
      <w:r>
        <w:rPr>
          <w:rFonts w:hint="eastAsia" w:ascii="宋体" w:hAnsi="宋体"/>
          <w:sz w:val="24"/>
          <w:szCs w:val="24"/>
        </w:rPr>
        <w:t>WEB浏览无需安装控件，可以查看原始数据，调整走纸和增益；</w:t>
      </w:r>
    </w:p>
    <w:p>
      <w:pPr>
        <w:pStyle w:val="7"/>
        <w:numPr>
          <w:ilvl w:val="0"/>
          <w:numId w:val="15"/>
        </w:numPr>
        <w:spacing w:line="360" w:lineRule="auto"/>
        <w:ind w:left="540" w:leftChars="257" w:firstLine="480"/>
        <w:rPr>
          <w:rFonts w:ascii="宋体" w:hAnsi="宋体"/>
          <w:sz w:val="24"/>
          <w:szCs w:val="24"/>
        </w:rPr>
      </w:pPr>
      <w:r>
        <w:rPr>
          <w:rFonts w:hint="eastAsia" w:ascii="宋体" w:hAnsi="宋体"/>
          <w:sz w:val="24"/>
          <w:szCs w:val="24"/>
        </w:rPr>
        <w:t>支持查看动态血压等其他电生理检查报告；</w:t>
      </w:r>
    </w:p>
    <w:p>
      <w:pPr>
        <w:pStyle w:val="7"/>
        <w:numPr>
          <w:ilvl w:val="0"/>
          <w:numId w:val="15"/>
        </w:numPr>
        <w:spacing w:line="360" w:lineRule="auto"/>
        <w:ind w:left="540" w:leftChars="257" w:firstLine="480"/>
        <w:rPr>
          <w:rFonts w:ascii="宋体" w:hAnsi="宋体"/>
          <w:b/>
          <w:bCs/>
          <w:color w:val="000000"/>
          <w:sz w:val="24"/>
          <w:szCs w:val="24"/>
        </w:rPr>
      </w:pPr>
      <w:r>
        <w:rPr>
          <w:rFonts w:hint="eastAsia" w:ascii="宋体" w:hAnsi="宋体"/>
          <w:b/>
          <w:bCs/>
          <w:color w:val="000000"/>
          <w:sz w:val="24"/>
          <w:szCs w:val="24"/>
        </w:rPr>
        <w:t>★以上功能为医院心电信息化建设重点功能，为实现临床的报告查询与共享，要求提供临床WEB发布管理系统计算机软件著作权登记证书的复印件证明。</w:t>
      </w:r>
    </w:p>
    <w:p>
      <w:pPr>
        <w:pStyle w:val="7"/>
        <w:numPr>
          <w:ilvl w:val="3"/>
          <w:numId w:val="10"/>
        </w:numPr>
        <w:spacing w:line="360" w:lineRule="auto"/>
        <w:ind w:left="540" w:leftChars="257" w:firstLine="480"/>
        <w:rPr>
          <w:rFonts w:ascii="宋体" w:hAnsi="宋体"/>
          <w:sz w:val="24"/>
          <w:szCs w:val="24"/>
        </w:rPr>
      </w:pPr>
      <w:r>
        <w:rPr>
          <w:rFonts w:hint="eastAsia" w:ascii="宋体" w:hAnsi="宋体"/>
          <w:sz w:val="24"/>
          <w:szCs w:val="24"/>
        </w:rPr>
        <w:t>危急值提醒与反馈模块</w:t>
      </w:r>
    </w:p>
    <w:p>
      <w:pPr>
        <w:pStyle w:val="7"/>
        <w:numPr>
          <w:ilvl w:val="0"/>
          <w:numId w:val="16"/>
        </w:numPr>
        <w:spacing w:line="360" w:lineRule="auto"/>
        <w:ind w:left="540" w:leftChars="257" w:firstLine="480"/>
        <w:rPr>
          <w:rFonts w:ascii="宋体" w:hAnsi="宋体"/>
          <w:b/>
          <w:bCs/>
          <w:color w:val="000000"/>
          <w:sz w:val="24"/>
          <w:szCs w:val="24"/>
        </w:rPr>
      </w:pPr>
      <w:r>
        <w:rPr>
          <w:rFonts w:hint="eastAsia" w:ascii="宋体" w:hAnsi="宋体"/>
          <w:b/>
          <w:bCs/>
          <w:color w:val="000000"/>
          <w:sz w:val="24"/>
          <w:szCs w:val="24"/>
        </w:rPr>
        <w:t>★支持后台自动分析，对于系统已经判断出存在危险情况的病人标明危急，即时在心诊断客户端发出提醒，以特殊颜色显示在病例列表上方。（要求提供实际软件界面截图）</w:t>
      </w:r>
    </w:p>
    <w:p>
      <w:pPr>
        <w:pStyle w:val="7"/>
        <w:numPr>
          <w:ilvl w:val="0"/>
          <w:numId w:val="16"/>
        </w:numPr>
        <w:spacing w:line="360" w:lineRule="auto"/>
        <w:ind w:left="540" w:leftChars="257" w:firstLine="480"/>
        <w:rPr>
          <w:rFonts w:ascii="宋体" w:hAnsi="宋体"/>
          <w:sz w:val="24"/>
          <w:szCs w:val="24"/>
        </w:rPr>
      </w:pPr>
      <w:r>
        <w:rPr>
          <w:rFonts w:hint="eastAsia" w:ascii="宋体" w:hAnsi="宋体"/>
          <w:sz w:val="24"/>
          <w:szCs w:val="24"/>
        </w:rPr>
        <w:t>对于心电诊断客户端已确诊危急病人，通过系统配置，将相应病人检查信息、检查结论自动发送至病房医生工作站或护士工作站，有相应弹窗、声音提示，从而提醒医护人员进行相关危急处理。</w:t>
      </w:r>
    </w:p>
    <w:p>
      <w:pPr>
        <w:pStyle w:val="7"/>
        <w:numPr>
          <w:ilvl w:val="0"/>
          <w:numId w:val="16"/>
        </w:numPr>
        <w:spacing w:line="360" w:lineRule="auto"/>
        <w:ind w:left="540" w:leftChars="257" w:firstLine="480"/>
        <w:rPr>
          <w:rFonts w:ascii="宋体" w:hAnsi="宋体"/>
          <w:sz w:val="24"/>
          <w:szCs w:val="24"/>
        </w:rPr>
      </w:pPr>
      <w:r>
        <w:rPr>
          <w:rFonts w:hint="eastAsia" w:ascii="宋体" w:hAnsi="宋体"/>
          <w:sz w:val="24"/>
          <w:szCs w:val="24"/>
        </w:rPr>
        <w:t>能提供标准的危急值接口给CDR或者院内统一的危急值管理平台。</w:t>
      </w:r>
    </w:p>
    <w:p>
      <w:pPr>
        <w:pStyle w:val="7"/>
        <w:numPr>
          <w:ilvl w:val="3"/>
          <w:numId w:val="10"/>
        </w:numPr>
        <w:spacing w:line="360" w:lineRule="auto"/>
        <w:ind w:left="540" w:leftChars="257" w:firstLine="480"/>
        <w:rPr>
          <w:rFonts w:ascii="宋体" w:hAnsi="宋体"/>
          <w:sz w:val="24"/>
          <w:szCs w:val="24"/>
        </w:rPr>
      </w:pPr>
      <w:r>
        <w:rPr>
          <w:rFonts w:hint="eastAsia" w:ascii="宋体" w:hAnsi="宋体"/>
          <w:sz w:val="24"/>
          <w:szCs w:val="24"/>
        </w:rPr>
        <w:t>备份归档管理模块</w:t>
      </w:r>
    </w:p>
    <w:p>
      <w:pPr>
        <w:pStyle w:val="7"/>
        <w:numPr>
          <w:ilvl w:val="0"/>
          <w:numId w:val="17"/>
        </w:numPr>
        <w:spacing w:line="360" w:lineRule="auto"/>
        <w:ind w:left="540" w:leftChars="257" w:firstLine="480"/>
        <w:rPr>
          <w:rFonts w:ascii="宋体" w:hAnsi="宋体"/>
          <w:sz w:val="24"/>
          <w:szCs w:val="24"/>
        </w:rPr>
      </w:pPr>
      <w:r>
        <w:rPr>
          <w:rFonts w:ascii="宋体" w:hAnsi="宋体"/>
          <w:sz w:val="24"/>
          <w:szCs w:val="24"/>
        </w:rPr>
        <w:t>系统的设计、应用与数据使用应安全、可靠、准确、可信、可用、完整。系统与数据的安全应符合国家有关法律和规定。保护患者信息隐私。保障信息传输完整性、系统数据传输和存储的保密性。</w:t>
      </w:r>
    </w:p>
    <w:p>
      <w:pPr>
        <w:pStyle w:val="7"/>
        <w:numPr>
          <w:ilvl w:val="0"/>
          <w:numId w:val="17"/>
        </w:numPr>
        <w:spacing w:line="360" w:lineRule="auto"/>
        <w:ind w:left="540" w:leftChars="257" w:firstLine="480"/>
        <w:rPr>
          <w:rFonts w:ascii="宋体" w:hAnsi="宋体"/>
          <w:sz w:val="24"/>
          <w:szCs w:val="24"/>
        </w:rPr>
      </w:pPr>
      <w:r>
        <w:rPr>
          <w:rFonts w:ascii="宋体" w:hAnsi="宋体"/>
          <w:sz w:val="24"/>
          <w:szCs w:val="24"/>
        </w:rPr>
        <w:t>系统安全访问功能要求</w:t>
      </w:r>
      <w:r>
        <w:rPr>
          <w:rFonts w:hint="eastAsia" w:ascii="宋体" w:hAnsi="宋体"/>
          <w:sz w:val="24"/>
          <w:szCs w:val="24"/>
        </w:rPr>
        <w:t>：</w:t>
      </w:r>
      <w:r>
        <w:rPr>
          <w:rFonts w:ascii="宋体" w:hAnsi="宋体"/>
          <w:sz w:val="24"/>
          <w:szCs w:val="24"/>
        </w:rPr>
        <w:t>应具有严格的身份认证和访问控制功能，杜绝因各种非法访问对系统的安全性造成严重的损坏。系统具有完备的信息安全保障体系，能对登录用户的身份进行认证，并跟踪用户的操作。</w:t>
      </w:r>
    </w:p>
    <w:p>
      <w:pPr>
        <w:pStyle w:val="7"/>
        <w:numPr>
          <w:ilvl w:val="0"/>
          <w:numId w:val="17"/>
        </w:numPr>
        <w:spacing w:line="360" w:lineRule="auto"/>
        <w:ind w:left="540" w:leftChars="257" w:firstLine="480"/>
        <w:rPr>
          <w:rFonts w:ascii="宋体" w:hAnsi="宋体"/>
          <w:sz w:val="24"/>
          <w:szCs w:val="24"/>
        </w:rPr>
      </w:pPr>
      <w:r>
        <w:rPr>
          <w:rFonts w:ascii="宋体" w:hAnsi="宋体"/>
          <w:sz w:val="24"/>
          <w:szCs w:val="24"/>
        </w:rPr>
        <w:t>提供对存储的数据进行定期备份及归档管理，保障医疗数据存储的连续性及稳定性。</w:t>
      </w:r>
      <w:r>
        <w:rPr>
          <w:rFonts w:hint="eastAsia" w:ascii="宋体" w:hAnsi="宋体"/>
          <w:sz w:val="24"/>
          <w:szCs w:val="24"/>
        </w:rPr>
        <w:t>为保证此功能的实际应用，</w:t>
      </w:r>
      <w:r>
        <w:rPr>
          <w:rFonts w:ascii="宋体" w:hAnsi="宋体"/>
          <w:sz w:val="24"/>
          <w:szCs w:val="24"/>
        </w:rPr>
        <w:t>要求提供数据备份归档管理系统计算机软件著作权登记证书</w:t>
      </w:r>
      <w:r>
        <w:rPr>
          <w:rFonts w:hint="eastAsia" w:ascii="宋体" w:hAnsi="宋体"/>
          <w:sz w:val="24"/>
          <w:szCs w:val="24"/>
        </w:rPr>
        <w:t>的复印件证明</w:t>
      </w:r>
      <w:r>
        <w:rPr>
          <w:rFonts w:ascii="宋体" w:hAnsi="宋体"/>
          <w:sz w:val="24"/>
          <w:szCs w:val="24"/>
        </w:rPr>
        <w:t>。</w:t>
      </w:r>
    </w:p>
    <w:p>
      <w:pPr>
        <w:pStyle w:val="7"/>
        <w:numPr>
          <w:ilvl w:val="2"/>
          <w:numId w:val="10"/>
        </w:numPr>
        <w:spacing w:line="360" w:lineRule="auto"/>
        <w:ind w:left="540" w:leftChars="257" w:firstLine="482"/>
        <w:rPr>
          <w:rFonts w:ascii="宋体" w:hAnsi="宋体"/>
          <w:b/>
          <w:bCs/>
          <w:sz w:val="24"/>
          <w:szCs w:val="24"/>
        </w:rPr>
      </w:pPr>
      <w:r>
        <w:rPr>
          <w:rFonts w:hint="eastAsia" w:ascii="宋体" w:hAnsi="宋体"/>
          <w:b/>
          <w:bCs/>
          <w:sz w:val="24"/>
          <w:szCs w:val="24"/>
        </w:rPr>
        <w:t>系统接口模块</w:t>
      </w:r>
    </w:p>
    <w:p>
      <w:pPr>
        <w:pStyle w:val="7"/>
        <w:spacing w:line="360" w:lineRule="auto"/>
        <w:ind w:left="540" w:leftChars="257" w:firstLine="480"/>
        <w:rPr>
          <w:rFonts w:ascii="宋体" w:hAnsi="宋体"/>
          <w:sz w:val="24"/>
          <w:szCs w:val="24"/>
        </w:rPr>
      </w:pPr>
      <w:r>
        <w:rPr>
          <w:rFonts w:hint="eastAsia" w:ascii="宋体" w:hAnsi="宋体"/>
          <w:sz w:val="24"/>
          <w:szCs w:val="24"/>
        </w:rPr>
        <w:t>系统对接方式支持：存储过程、中间视图、WebService、HISDLL、以及支持HL7协议的点对点推送信息等几种方式。</w:t>
      </w:r>
    </w:p>
    <w:p>
      <w:pPr>
        <w:pStyle w:val="7"/>
        <w:numPr>
          <w:ilvl w:val="3"/>
          <w:numId w:val="10"/>
        </w:numPr>
        <w:spacing w:line="360" w:lineRule="auto"/>
        <w:ind w:left="540" w:leftChars="257" w:firstLine="480"/>
        <w:rPr>
          <w:rFonts w:ascii="宋体" w:hAnsi="宋体"/>
          <w:sz w:val="24"/>
          <w:szCs w:val="24"/>
        </w:rPr>
      </w:pPr>
      <w:r>
        <w:rPr>
          <w:rFonts w:hint="eastAsia" w:ascii="宋体" w:hAnsi="宋体"/>
          <w:sz w:val="24"/>
          <w:szCs w:val="24"/>
        </w:rPr>
        <w:t>HIS接口</w:t>
      </w:r>
    </w:p>
    <w:p>
      <w:pPr>
        <w:pStyle w:val="7"/>
        <w:numPr>
          <w:ilvl w:val="0"/>
          <w:numId w:val="18"/>
        </w:numPr>
        <w:spacing w:line="360" w:lineRule="auto"/>
        <w:ind w:left="540" w:leftChars="257" w:firstLine="480"/>
        <w:rPr>
          <w:rFonts w:ascii="宋体" w:hAnsi="宋体"/>
          <w:sz w:val="24"/>
          <w:szCs w:val="24"/>
        </w:rPr>
      </w:pPr>
      <w:r>
        <w:rPr>
          <w:rFonts w:hint="eastAsia" w:ascii="宋体" w:hAnsi="宋体"/>
          <w:sz w:val="24"/>
          <w:szCs w:val="24"/>
        </w:rPr>
        <w:t>支持与HIS系统集成，实现从HIS当中获取患者资料；</w:t>
      </w:r>
    </w:p>
    <w:p>
      <w:pPr>
        <w:pStyle w:val="7"/>
        <w:numPr>
          <w:ilvl w:val="0"/>
          <w:numId w:val="18"/>
        </w:numPr>
        <w:spacing w:line="360" w:lineRule="auto"/>
        <w:ind w:left="540" w:leftChars="257" w:firstLine="480"/>
        <w:rPr>
          <w:rFonts w:ascii="宋体" w:hAnsi="宋体"/>
          <w:sz w:val="24"/>
          <w:szCs w:val="24"/>
        </w:rPr>
      </w:pPr>
      <w:r>
        <w:rPr>
          <w:rFonts w:hint="eastAsia" w:ascii="宋体" w:hAnsi="宋体"/>
          <w:sz w:val="24"/>
          <w:szCs w:val="24"/>
        </w:rPr>
        <w:t>支持通过接口自动将生成的图像数据回传到HIS系统，支持检查数据集中存储、集中发布、预览以及临床调阅，实现系统互联互通。</w:t>
      </w:r>
    </w:p>
    <w:p>
      <w:pPr>
        <w:pStyle w:val="7"/>
        <w:numPr>
          <w:ilvl w:val="3"/>
          <w:numId w:val="10"/>
        </w:numPr>
        <w:spacing w:line="360" w:lineRule="auto"/>
        <w:ind w:left="540" w:leftChars="257" w:firstLine="480"/>
        <w:rPr>
          <w:rFonts w:ascii="宋体" w:hAnsi="宋体"/>
          <w:sz w:val="24"/>
          <w:szCs w:val="24"/>
        </w:rPr>
      </w:pPr>
      <w:r>
        <w:rPr>
          <w:rFonts w:hint="eastAsia" w:ascii="宋体" w:hAnsi="宋体"/>
          <w:sz w:val="24"/>
          <w:szCs w:val="24"/>
        </w:rPr>
        <w:t>PACS接口</w:t>
      </w:r>
    </w:p>
    <w:p>
      <w:pPr>
        <w:pStyle w:val="7"/>
        <w:numPr>
          <w:ilvl w:val="0"/>
          <w:numId w:val="19"/>
        </w:numPr>
        <w:spacing w:line="360" w:lineRule="auto"/>
        <w:ind w:left="540" w:leftChars="257" w:firstLine="480"/>
        <w:rPr>
          <w:rFonts w:ascii="宋体" w:hAnsi="宋体"/>
          <w:sz w:val="24"/>
          <w:szCs w:val="24"/>
        </w:rPr>
      </w:pPr>
      <w:r>
        <w:rPr>
          <w:rFonts w:hint="eastAsia" w:ascii="宋体" w:hAnsi="宋体"/>
          <w:sz w:val="24"/>
          <w:szCs w:val="24"/>
        </w:rPr>
        <w:t>系统支持将心电图、动态血压和其他电生理检查结果传输至PACS系统，完成数据对接。</w:t>
      </w:r>
    </w:p>
    <w:p>
      <w:pPr>
        <w:pStyle w:val="7"/>
        <w:numPr>
          <w:ilvl w:val="3"/>
          <w:numId w:val="10"/>
        </w:numPr>
        <w:spacing w:line="360" w:lineRule="auto"/>
        <w:ind w:left="540" w:leftChars="257" w:firstLine="480"/>
        <w:rPr>
          <w:rFonts w:ascii="宋体" w:hAnsi="宋体"/>
          <w:sz w:val="24"/>
          <w:szCs w:val="24"/>
        </w:rPr>
      </w:pPr>
      <w:r>
        <w:rPr>
          <w:rFonts w:hint="eastAsia" w:ascii="宋体" w:hAnsi="宋体"/>
          <w:sz w:val="24"/>
          <w:szCs w:val="24"/>
        </w:rPr>
        <w:t>电子病历接口</w:t>
      </w:r>
    </w:p>
    <w:p>
      <w:pPr>
        <w:pStyle w:val="7"/>
        <w:numPr>
          <w:ilvl w:val="0"/>
          <w:numId w:val="20"/>
        </w:numPr>
        <w:spacing w:line="360" w:lineRule="auto"/>
        <w:ind w:left="540" w:leftChars="257" w:firstLine="480"/>
        <w:rPr>
          <w:rFonts w:ascii="宋体" w:hAnsi="宋体"/>
          <w:sz w:val="24"/>
          <w:szCs w:val="24"/>
        </w:rPr>
      </w:pPr>
      <w:r>
        <w:rPr>
          <w:rFonts w:hint="eastAsia" w:ascii="宋体" w:hAnsi="宋体"/>
          <w:sz w:val="24"/>
          <w:szCs w:val="24"/>
        </w:rPr>
        <w:t>系统支持将心电图、动态血压和其他电生理检查结果传输至PACS系统，完成数据对接。</w:t>
      </w:r>
    </w:p>
    <w:p>
      <w:pPr>
        <w:pStyle w:val="7"/>
        <w:numPr>
          <w:ilvl w:val="3"/>
          <w:numId w:val="10"/>
        </w:numPr>
        <w:spacing w:line="360" w:lineRule="auto"/>
        <w:ind w:left="540" w:leftChars="257" w:firstLine="480"/>
        <w:rPr>
          <w:rFonts w:ascii="宋体" w:hAnsi="宋体"/>
          <w:sz w:val="24"/>
          <w:szCs w:val="24"/>
        </w:rPr>
      </w:pPr>
      <w:r>
        <w:rPr>
          <w:rFonts w:hint="eastAsia" w:ascii="宋体" w:hAnsi="宋体"/>
          <w:sz w:val="24"/>
          <w:szCs w:val="24"/>
        </w:rPr>
        <w:t>CA认证接口</w:t>
      </w:r>
    </w:p>
    <w:p>
      <w:pPr>
        <w:pStyle w:val="7"/>
        <w:numPr>
          <w:ilvl w:val="0"/>
          <w:numId w:val="21"/>
        </w:numPr>
        <w:spacing w:line="360" w:lineRule="auto"/>
        <w:ind w:left="540" w:leftChars="257" w:firstLine="480"/>
        <w:rPr>
          <w:rFonts w:ascii="宋体" w:hAnsi="宋体"/>
          <w:sz w:val="24"/>
          <w:szCs w:val="24"/>
        </w:rPr>
      </w:pPr>
      <w:r>
        <w:rPr>
          <w:rFonts w:hint="eastAsia" w:ascii="宋体" w:hAnsi="宋体"/>
          <w:sz w:val="24"/>
          <w:szCs w:val="24"/>
        </w:rPr>
        <w:t>系统支持与数字CA系统进行对接，保证心电图、动态血压和其他电生理检查报告的电子签名有效性。</w:t>
      </w:r>
    </w:p>
    <w:p>
      <w:pPr>
        <w:pStyle w:val="7"/>
        <w:numPr>
          <w:ilvl w:val="3"/>
          <w:numId w:val="10"/>
        </w:numPr>
        <w:spacing w:line="360" w:lineRule="auto"/>
        <w:ind w:left="540" w:leftChars="257" w:firstLine="480"/>
        <w:rPr>
          <w:rFonts w:ascii="宋体" w:hAnsi="宋体"/>
          <w:sz w:val="24"/>
          <w:szCs w:val="24"/>
        </w:rPr>
      </w:pPr>
      <w:r>
        <w:rPr>
          <w:rFonts w:hint="eastAsia" w:ascii="宋体" w:hAnsi="宋体"/>
          <w:sz w:val="24"/>
          <w:szCs w:val="24"/>
        </w:rPr>
        <w:t>集成平台接口</w:t>
      </w:r>
    </w:p>
    <w:p>
      <w:pPr>
        <w:pStyle w:val="7"/>
        <w:numPr>
          <w:ilvl w:val="0"/>
          <w:numId w:val="22"/>
        </w:numPr>
        <w:spacing w:line="360" w:lineRule="auto"/>
        <w:ind w:left="540" w:leftChars="257" w:firstLine="480"/>
        <w:rPr>
          <w:rFonts w:ascii="宋体" w:hAnsi="宋体"/>
          <w:sz w:val="24"/>
          <w:szCs w:val="24"/>
        </w:rPr>
      </w:pPr>
      <w:r>
        <w:rPr>
          <w:rFonts w:hint="eastAsia" w:ascii="宋体" w:hAnsi="宋体"/>
          <w:sz w:val="24"/>
          <w:szCs w:val="24"/>
        </w:rPr>
        <w:t>系统可与医院现有集成平台进行对接，提供集成平台所需的检查状态、检查结论、检查报告等相关信息。</w:t>
      </w:r>
    </w:p>
    <w:p>
      <w:pPr>
        <w:pStyle w:val="7"/>
        <w:numPr>
          <w:ilvl w:val="3"/>
          <w:numId w:val="10"/>
        </w:numPr>
        <w:spacing w:line="360" w:lineRule="auto"/>
        <w:ind w:left="540" w:leftChars="257" w:firstLine="480"/>
        <w:rPr>
          <w:rFonts w:ascii="宋体" w:hAnsi="宋体"/>
          <w:sz w:val="24"/>
          <w:szCs w:val="24"/>
        </w:rPr>
      </w:pPr>
      <w:r>
        <w:rPr>
          <w:rFonts w:hint="eastAsia" w:ascii="宋体" w:hAnsi="宋体"/>
          <w:sz w:val="24"/>
          <w:szCs w:val="24"/>
        </w:rPr>
        <w:t>读卡器集成接口</w:t>
      </w:r>
    </w:p>
    <w:p>
      <w:pPr>
        <w:pStyle w:val="7"/>
        <w:numPr>
          <w:ilvl w:val="0"/>
          <w:numId w:val="23"/>
        </w:numPr>
        <w:spacing w:line="360" w:lineRule="auto"/>
        <w:ind w:left="540" w:leftChars="257" w:firstLine="480"/>
        <w:rPr>
          <w:rFonts w:ascii="宋体" w:hAnsi="宋体"/>
          <w:sz w:val="24"/>
          <w:szCs w:val="24"/>
        </w:rPr>
      </w:pPr>
      <w:r>
        <w:rPr>
          <w:rFonts w:hint="eastAsia" w:ascii="宋体" w:hAnsi="宋体"/>
          <w:sz w:val="24"/>
          <w:szCs w:val="24"/>
        </w:rPr>
        <w:t>系统可与医院现使用的读卡器进行集成，实现刷卡获取待检查患者信息，提高系统软件使用便利性。</w:t>
      </w:r>
    </w:p>
    <w:p>
      <w:pPr>
        <w:pStyle w:val="7"/>
        <w:numPr>
          <w:ilvl w:val="2"/>
          <w:numId w:val="10"/>
        </w:numPr>
        <w:spacing w:line="360" w:lineRule="auto"/>
        <w:ind w:left="540" w:leftChars="257" w:firstLine="482"/>
        <w:rPr>
          <w:rFonts w:ascii="宋体" w:hAnsi="宋体"/>
          <w:b/>
          <w:bCs/>
          <w:sz w:val="24"/>
          <w:szCs w:val="24"/>
        </w:rPr>
      </w:pPr>
      <w:r>
        <w:rPr>
          <w:rFonts w:hint="eastAsia" w:ascii="宋体" w:hAnsi="宋体"/>
          <w:b/>
          <w:bCs/>
          <w:sz w:val="24"/>
          <w:szCs w:val="24"/>
        </w:rPr>
        <w:t>诊断流程应用</w:t>
      </w:r>
    </w:p>
    <w:p>
      <w:pPr>
        <w:pStyle w:val="7"/>
        <w:numPr>
          <w:ilvl w:val="3"/>
          <w:numId w:val="10"/>
        </w:numPr>
        <w:spacing w:line="360" w:lineRule="auto"/>
        <w:ind w:left="540" w:leftChars="257" w:firstLine="480"/>
        <w:rPr>
          <w:rFonts w:ascii="宋体" w:hAnsi="宋体"/>
          <w:sz w:val="24"/>
          <w:szCs w:val="24"/>
        </w:rPr>
      </w:pPr>
      <w:r>
        <w:rPr>
          <w:rFonts w:hint="eastAsia" w:ascii="宋体" w:hAnsi="宋体"/>
          <w:sz w:val="24"/>
          <w:szCs w:val="24"/>
        </w:rPr>
        <w:t>三合一报告端</w:t>
      </w:r>
    </w:p>
    <w:p>
      <w:pPr>
        <w:pStyle w:val="7"/>
        <w:numPr>
          <w:ilvl w:val="0"/>
          <w:numId w:val="24"/>
        </w:numPr>
        <w:spacing w:line="360" w:lineRule="auto"/>
        <w:ind w:left="540" w:leftChars="257" w:firstLine="480"/>
        <w:rPr>
          <w:rFonts w:ascii="宋体" w:hAnsi="宋体"/>
          <w:sz w:val="24"/>
          <w:szCs w:val="24"/>
        </w:rPr>
      </w:pPr>
      <w:r>
        <w:rPr>
          <w:rFonts w:hint="eastAsia" w:ascii="宋体" w:hAnsi="宋体"/>
          <w:sz w:val="24"/>
          <w:szCs w:val="24"/>
        </w:rPr>
        <w:t>支持将静息心电、动态血压三种不同类型的检查项目融合到一套报告客户端中使用；</w:t>
      </w:r>
    </w:p>
    <w:p>
      <w:pPr>
        <w:pStyle w:val="7"/>
        <w:numPr>
          <w:ilvl w:val="0"/>
          <w:numId w:val="24"/>
        </w:numPr>
        <w:spacing w:line="360" w:lineRule="auto"/>
        <w:ind w:left="540" w:leftChars="257" w:firstLine="480"/>
        <w:rPr>
          <w:rFonts w:ascii="宋体" w:hAnsi="宋体"/>
          <w:sz w:val="24"/>
          <w:szCs w:val="24"/>
        </w:rPr>
      </w:pPr>
      <w:r>
        <w:rPr>
          <w:rFonts w:hint="eastAsia" w:ascii="宋体" w:hAnsi="宋体"/>
          <w:sz w:val="24"/>
          <w:szCs w:val="24"/>
        </w:rPr>
        <w:t>支持同一患者列表显示静息心电、动态血压三种不同检查类型的病例，方便医生进查看及检索查询；</w:t>
      </w:r>
    </w:p>
    <w:p>
      <w:pPr>
        <w:pStyle w:val="7"/>
        <w:numPr>
          <w:ilvl w:val="0"/>
          <w:numId w:val="24"/>
        </w:numPr>
        <w:spacing w:line="360" w:lineRule="auto"/>
        <w:ind w:left="540" w:leftChars="257" w:firstLine="480"/>
        <w:rPr>
          <w:rFonts w:ascii="宋体" w:hAnsi="宋体"/>
          <w:sz w:val="24"/>
          <w:szCs w:val="24"/>
        </w:rPr>
      </w:pPr>
      <w:r>
        <w:rPr>
          <w:rFonts w:hint="eastAsia" w:ascii="宋体" w:hAnsi="宋体"/>
          <w:sz w:val="24"/>
          <w:szCs w:val="24"/>
        </w:rPr>
        <w:t>支持双击不同检查项目的病例进入相应的原始数据分析界面，使用静息心电、动态血压分析工具进行报告分析与编辑；</w:t>
      </w:r>
    </w:p>
    <w:p>
      <w:pPr>
        <w:pStyle w:val="7"/>
        <w:numPr>
          <w:ilvl w:val="0"/>
          <w:numId w:val="24"/>
        </w:numPr>
        <w:spacing w:line="360" w:lineRule="auto"/>
        <w:ind w:left="540" w:leftChars="257" w:firstLine="480"/>
        <w:rPr>
          <w:rFonts w:ascii="宋体" w:hAnsi="宋体"/>
          <w:b/>
          <w:bCs/>
          <w:color w:val="000000"/>
          <w:sz w:val="24"/>
          <w:szCs w:val="24"/>
        </w:rPr>
      </w:pPr>
      <w:r>
        <w:rPr>
          <w:rFonts w:hint="eastAsia" w:ascii="宋体" w:hAnsi="宋体"/>
          <w:b/>
          <w:bCs/>
          <w:color w:val="000000"/>
          <w:sz w:val="24"/>
          <w:szCs w:val="24"/>
        </w:rPr>
        <w:t>★以上功能为三合一诊断中心建设的重点功能，为保证功能的实际应用，要求提供静息动态心电血压综合分析系统计算机软件著作权登记证书的复印件证明。</w:t>
      </w:r>
    </w:p>
    <w:p>
      <w:pPr>
        <w:pStyle w:val="7"/>
        <w:spacing w:line="360" w:lineRule="auto"/>
        <w:ind w:left="540" w:leftChars="257" w:firstLine="482"/>
        <w:rPr>
          <w:rFonts w:ascii="宋体" w:hAnsi="宋体"/>
          <w:bCs/>
          <w:sz w:val="24"/>
          <w:szCs w:val="24"/>
        </w:rPr>
      </w:pPr>
      <w:r>
        <w:rPr>
          <w:rFonts w:hint="eastAsia" w:ascii="宋体" w:hAnsi="宋体"/>
          <w:b/>
          <w:bCs/>
          <w:sz w:val="24"/>
          <w:szCs w:val="24"/>
        </w:rPr>
        <w:t>4.2.3.3.1 静息心电分析软件</w:t>
      </w:r>
    </w:p>
    <w:p>
      <w:pPr>
        <w:pStyle w:val="7"/>
        <w:numPr>
          <w:ilvl w:val="0"/>
          <w:numId w:val="25"/>
        </w:numPr>
        <w:spacing w:line="360" w:lineRule="auto"/>
        <w:ind w:left="540" w:leftChars="257" w:firstLine="480"/>
        <w:rPr>
          <w:rFonts w:ascii="宋体" w:hAnsi="宋体"/>
          <w:b/>
          <w:color w:val="000000"/>
          <w:sz w:val="24"/>
          <w:szCs w:val="24"/>
        </w:rPr>
      </w:pPr>
      <w:r>
        <w:rPr>
          <w:rFonts w:hint="eastAsia" w:ascii="宋体" w:hAnsi="宋体"/>
          <w:b/>
          <w:color w:val="000000"/>
          <w:sz w:val="24"/>
          <w:szCs w:val="24"/>
        </w:rPr>
        <w:t>★系统适用于医疗机构描记和分析ECG（常规心电图）、等，为临床医生诊断心脏疾病提供依据。要求提供含有ECG（常规心电图）等词语的医疗器械注册证或其附件证明。</w:t>
      </w:r>
    </w:p>
    <w:p>
      <w:pPr>
        <w:pStyle w:val="7"/>
        <w:numPr>
          <w:ilvl w:val="0"/>
          <w:numId w:val="25"/>
        </w:numPr>
        <w:spacing w:line="360" w:lineRule="auto"/>
        <w:ind w:left="540" w:leftChars="257" w:firstLine="480"/>
        <w:rPr>
          <w:rFonts w:ascii="宋体" w:hAnsi="宋体"/>
          <w:bCs/>
          <w:sz w:val="24"/>
          <w:szCs w:val="24"/>
        </w:rPr>
      </w:pPr>
      <w:r>
        <w:rPr>
          <w:rFonts w:hint="eastAsia" w:ascii="宋体" w:hAnsi="宋体"/>
          <w:bCs/>
          <w:sz w:val="24"/>
          <w:szCs w:val="24"/>
        </w:rPr>
        <w:t>系统自动分析的算法具有成人、儿童年龄异化分析、性别差异化分析；</w:t>
      </w:r>
    </w:p>
    <w:p>
      <w:pPr>
        <w:pStyle w:val="7"/>
        <w:numPr>
          <w:ilvl w:val="0"/>
          <w:numId w:val="25"/>
        </w:numPr>
        <w:spacing w:line="360" w:lineRule="auto"/>
        <w:ind w:left="540" w:leftChars="257" w:firstLine="480"/>
        <w:rPr>
          <w:rFonts w:ascii="宋体" w:hAnsi="宋体"/>
          <w:b/>
          <w:color w:val="000000"/>
          <w:sz w:val="24"/>
          <w:szCs w:val="24"/>
        </w:rPr>
      </w:pPr>
      <w:r>
        <w:rPr>
          <w:rFonts w:hint="eastAsia" w:ascii="宋体" w:hAnsi="宋体"/>
          <w:b/>
          <w:color w:val="000000"/>
          <w:sz w:val="24"/>
          <w:szCs w:val="24"/>
        </w:rPr>
        <w:t>★平行尺功能：等距标尺可对间期倍数快速测量；对于波形重叠的心电图，支持重新排列以方便测量分析，测量精度达毫秒/微伏级。要求提供软件截图及现场对此功能进行演示。</w:t>
      </w:r>
    </w:p>
    <w:p>
      <w:pPr>
        <w:pStyle w:val="7"/>
        <w:numPr>
          <w:ilvl w:val="0"/>
          <w:numId w:val="25"/>
        </w:numPr>
        <w:spacing w:line="360" w:lineRule="auto"/>
        <w:ind w:left="540" w:leftChars="257" w:firstLine="480"/>
        <w:rPr>
          <w:rFonts w:ascii="宋体" w:hAnsi="宋体"/>
          <w:bCs/>
          <w:sz w:val="24"/>
          <w:szCs w:val="24"/>
        </w:rPr>
      </w:pPr>
      <w:r>
        <w:rPr>
          <w:rFonts w:hint="eastAsia" w:ascii="宋体" w:hAnsi="宋体"/>
          <w:bCs/>
          <w:sz w:val="24"/>
          <w:szCs w:val="24"/>
        </w:rPr>
        <w:t>同屏对比功能：患者历史检查数据同屏对比功能，可便于观察患者术前、术后心电图的变化情况；支持对比的显示格式有12导联同屏，3导联同屏，指定导联同屏同步对比等形式；</w:t>
      </w:r>
    </w:p>
    <w:p>
      <w:pPr>
        <w:pStyle w:val="7"/>
        <w:numPr>
          <w:ilvl w:val="0"/>
          <w:numId w:val="25"/>
        </w:numPr>
        <w:spacing w:line="360" w:lineRule="auto"/>
        <w:ind w:left="540" w:leftChars="257" w:firstLine="480"/>
        <w:rPr>
          <w:rFonts w:ascii="宋体" w:hAnsi="宋体"/>
          <w:bCs/>
          <w:sz w:val="24"/>
          <w:szCs w:val="24"/>
        </w:rPr>
      </w:pPr>
      <w:r>
        <w:rPr>
          <w:rFonts w:hint="eastAsia" w:ascii="宋体" w:hAnsi="宋体"/>
          <w:bCs/>
          <w:sz w:val="24"/>
          <w:szCs w:val="24"/>
        </w:rPr>
        <w:t>具备导联纠错功能：在肢体导联接反或胸导联接错的情况下，可以通过软件直接修正，无需重复采集；</w:t>
      </w:r>
    </w:p>
    <w:p>
      <w:pPr>
        <w:pStyle w:val="7"/>
        <w:numPr>
          <w:ilvl w:val="0"/>
          <w:numId w:val="25"/>
        </w:numPr>
        <w:spacing w:line="360" w:lineRule="auto"/>
        <w:ind w:left="540" w:leftChars="257" w:firstLine="480"/>
        <w:rPr>
          <w:rFonts w:ascii="宋体" w:hAnsi="宋体"/>
          <w:bCs/>
          <w:sz w:val="24"/>
          <w:szCs w:val="24"/>
        </w:rPr>
      </w:pPr>
      <w:r>
        <w:rPr>
          <w:rFonts w:hint="eastAsia" w:ascii="宋体" w:hAnsi="宋体"/>
          <w:bCs/>
          <w:sz w:val="24"/>
          <w:szCs w:val="24"/>
        </w:rPr>
        <w:t>心拍放大分析功能：支持任意心搏单击放大分析，可对每个P、Q、T测量点进行手动微调，使测量结果更加精准；每个单击放大QRS波群测量参数不少于30种，并且支持12导波形叠加对比；</w:t>
      </w:r>
    </w:p>
    <w:p>
      <w:pPr>
        <w:pStyle w:val="7"/>
        <w:numPr>
          <w:ilvl w:val="0"/>
          <w:numId w:val="25"/>
        </w:numPr>
        <w:spacing w:line="360" w:lineRule="auto"/>
        <w:ind w:left="540" w:leftChars="257" w:firstLine="480"/>
        <w:rPr>
          <w:rFonts w:ascii="宋体" w:hAnsi="宋体"/>
          <w:bCs/>
          <w:sz w:val="24"/>
          <w:szCs w:val="24"/>
        </w:rPr>
      </w:pPr>
      <w:r>
        <w:rPr>
          <w:rFonts w:hint="eastAsia" w:ascii="宋体" w:hAnsi="宋体"/>
          <w:bCs/>
          <w:sz w:val="24"/>
          <w:szCs w:val="24"/>
        </w:rPr>
        <w:t>支持阿托品、心得安试验检查模式，且具有专业报告模板；</w:t>
      </w:r>
    </w:p>
    <w:p>
      <w:pPr>
        <w:pStyle w:val="7"/>
        <w:numPr>
          <w:ilvl w:val="0"/>
          <w:numId w:val="25"/>
        </w:numPr>
        <w:spacing w:line="360" w:lineRule="auto"/>
        <w:ind w:left="540" w:leftChars="257" w:firstLine="480"/>
        <w:rPr>
          <w:rFonts w:ascii="宋体" w:hAnsi="宋体"/>
          <w:bCs/>
          <w:sz w:val="24"/>
          <w:szCs w:val="24"/>
        </w:rPr>
      </w:pPr>
      <w:r>
        <w:rPr>
          <w:rFonts w:hint="eastAsia" w:ascii="宋体" w:hAnsi="宋体"/>
          <w:bCs/>
          <w:sz w:val="24"/>
          <w:szCs w:val="24"/>
        </w:rPr>
        <w:t>具备长时间心电图采集功能：可连续采集120分钟以上心电图，并分析；</w:t>
      </w:r>
    </w:p>
    <w:p>
      <w:pPr>
        <w:pStyle w:val="7"/>
        <w:numPr>
          <w:ilvl w:val="0"/>
          <w:numId w:val="25"/>
        </w:numPr>
        <w:spacing w:line="360" w:lineRule="auto"/>
        <w:ind w:left="540" w:leftChars="257" w:firstLine="480"/>
        <w:rPr>
          <w:rFonts w:ascii="宋体" w:hAnsi="宋体"/>
          <w:bCs/>
          <w:sz w:val="24"/>
          <w:szCs w:val="24"/>
        </w:rPr>
      </w:pPr>
      <w:r>
        <w:rPr>
          <w:rFonts w:hint="eastAsia" w:ascii="宋体" w:hAnsi="宋体"/>
          <w:bCs/>
          <w:sz w:val="24"/>
          <w:szCs w:val="24"/>
        </w:rPr>
        <w:t>提供丰富的测量分析工具：多种电子测量尺、平行尺、波形微调、波形定标、多种波形显示方式、波形放大等；</w:t>
      </w:r>
    </w:p>
    <w:p>
      <w:pPr>
        <w:pStyle w:val="7"/>
        <w:numPr>
          <w:ilvl w:val="0"/>
          <w:numId w:val="25"/>
        </w:numPr>
        <w:spacing w:line="360" w:lineRule="auto"/>
        <w:ind w:left="540" w:leftChars="257" w:firstLine="287" w:firstLineChars="119"/>
        <w:rPr>
          <w:rFonts w:ascii="宋体" w:hAnsi="宋体"/>
          <w:b/>
          <w:sz w:val="24"/>
          <w:szCs w:val="24"/>
        </w:rPr>
      </w:pPr>
      <w:r>
        <w:rPr>
          <w:rFonts w:hint="eastAsia" w:ascii="宋体" w:hAnsi="宋体"/>
          <w:b/>
          <w:sz w:val="24"/>
          <w:szCs w:val="24"/>
        </w:rPr>
        <w:t>★心脏示意图功能：可针对不同心电图诊断结论，提供对应病变位置心脏示意图，结临床医生及患者提供病变部位参考；（为保证此功能的实际应用，要求提供带有心脏示意图的心电图报告及现场演示此功能）</w:t>
      </w:r>
    </w:p>
    <w:p>
      <w:pPr>
        <w:pStyle w:val="7"/>
        <w:numPr>
          <w:ilvl w:val="0"/>
          <w:numId w:val="25"/>
        </w:numPr>
        <w:spacing w:line="360" w:lineRule="auto"/>
        <w:ind w:left="540" w:leftChars="257" w:firstLine="285" w:firstLineChars="119"/>
        <w:rPr>
          <w:rFonts w:ascii="宋体" w:hAnsi="宋体"/>
          <w:bCs/>
          <w:sz w:val="24"/>
          <w:szCs w:val="24"/>
        </w:rPr>
      </w:pPr>
      <w:r>
        <w:rPr>
          <w:rFonts w:hint="eastAsia" w:ascii="宋体" w:hAnsi="宋体"/>
          <w:bCs/>
          <w:sz w:val="24"/>
          <w:szCs w:val="24"/>
        </w:rPr>
        <w:t>具备心电事件功能；</w:t>
      </w:r>
    </w:p>
    <w:p>
      <w:pPr>
        <w:pStyle w:val="7"/>
        <w:spacing w:line="360" w:lineRule="auto"/>
        <w:ind w:left="540" w:leftChars="257" w:firstLine="482"/>
        <w:rPr>
          <w:rFonts w:ascii="宋体" w:hAnsi="宋体"/>
          <w:b/>
          <w:bCs/>
          <w:sz w:val="24"/>
          <w:szCs w:val="24"/>
        </w:rPr>
      </w:pPr>
      <w:r>
        <w:rPr>
          <w:rFonts w:hint="eastAsia" w:ascii="宋体" w:hAnsi="宋体"/>
          <w:b/>
          <w:bCs/>
          <w:sz w:val="24"/>
          <w:szCs w:val="24"/>
        </w:rPr>
        <w:t>4.2.3.3.3 动态血压分析软件</w:t>
      </w:r>
    </w:p>
    <w:p>
      <w:pPr>
        <w:pStyle w:val="7"/>
        <w:numPr>
          <w:ilvl w:val="0"/>
          <w:numId w:val="26"/>
        </w:numPr>
        <w:spacing w:line="360" w:lineRule="auto"/>
        <w:ind w:left="540" w:leftChars="257" w:firstLine="480"/>
        <w:rPr>
          <w:rFonts w:ascii="宋体" w:hAnsi="宋体"/>
          <w:sz w:val="24"/>
          <w:szCs w:val="24"/>
        </w:rPr>
      </w:pPr>
      <w:r>
        <w:rPr>
          <w:rFonts w:hint="eastAsia" w:ascii="宋体" w:hAnsi="宋体"/>
          <w:sz w:val="24"/>
          <w:szCs w:val="24"/>
        </w:rPr>
        <w:t>测量模式支持自动测量模式：手动间隔、自动间隔、自动表测量(测量间隔和测量频率自定义设置）</w:t>
      </w:r>
    </w:p>
    <w:p>
      <w:pPr>
        <w:pStyle w:val="7"/>
        <w:numPr>
          <w:ilvl w:val="0"/>
          <w:numId w:val="26"/>
        </w:numPr>
        <w:spacing w:line="360" w:lineRule="auto"/>
        <w:ind w:left="540" w:leftChars="257" w:firstLine="480"/>
        <w:rPr>
          <w:rFonts w:ascii="宋体" w:hAnsi="宋体"/>
          <w:sz w:val="24"/>
          <w:szCs w:val="24"/>
        </w:rPr>
      </w:pPr>
      <w:r>
        <w:rPr>
          <w:rFonts w:hint="eastAsia" w:ascii="宋体" w:hAnsi="宋体"/>
          <w:sz w:val="24"/>
          <w:szCs w:val="24"/>
        </w:rPr>
        <w:t>支持自动补测、手动插入测量。</w:t>
      </w:r>
    </w:p>
    <w:p>
      <w:pPr>
        <w:pStyle w:val="7"/>
        <w:numPr>
          <w:ilvl w:val="0"/>
          <w:numId w:val="26"/>
        </w:numPr>
        <w:spacing w:line="360" w:lineRule="auto"/>
        <w:ind w:left="540" w:leftChars="257" w:firstLine="480"/>
        <w:rPr>
          <w:rFonts w:ascii="宋体" w:hAnsi="宋体"/>
          <w:sz w:val="24"/>
          <w:szCs w:val="24"/>
        </w:rPr>
      </w:pPr>
      <w:r>
        <w:rPr>
          <w:rFonts w:hint="eastAsia" w:ascii="宋体" w:hAnsi="宋体"/>
          <w:sz w:val="24"/>
          <w:szCs w:val="24"/>
        </w:rPr>
        <w:t>支持动态血压数据列表、柱状图、饼状图、趋势图、关联图、K线图等动态血压数据分析工具。</w:t>
      </w:r>
    </w:p>
    <w:p>
      <w:pPr>
        <w:pStyle w:val="7"/>
        <w:numPr>
          <w:ilvl w:val="0"/>
          <w:numId w:val="26"/>
        </w:numPr>
        <w:spacing w:line="360" w:lineRule="auto"/>
        <w:ind w:left="540" w:leftChars="257" w:firstLine="480"/>
        <w:rPr>
          <w:rFonts w:ascii="宋体" w:hAnsi="宋体"/>
          <w:sz w:val="24"/>
          <w:szCs w:val="24"/>
        </w:rPr>
      </w:pPr>
      <w:r>
        <w:rPr>
          <w:rFonts w:hint="eastAsia" w:ascii="宋体" w:hAnsi="宋体"/>
          <w:sz w:val="24"/>
          <w:szCs w:val="24"/>
        </w:rPr>
        <w:t>支持所见即所得的动态血压报告打印预览，可配置的动态血压报告打印模板、打印内容。</w:t>
      </w:r>
    </w:p>
    <w:p>
      <w:pPr>
        <w:pStyle w:val="7"/>
        <w:numPr>
          <w:ilvl w:val="3"/>
          <w:numId w:val="10"/>
        </w:numPr>
        <w:spacing w:line="360" w:lineRule="auto"/>
        <w:ind w:left="540" w:leftChars="257" w:firstLine="480"/>
        <w:rPr>
          <w:rFonts w:ascii="宋体" w:hAnsi="宋体"/>
          <w:sz w:val="24"/>
          <w:szCs w:val="24"/>
        </w:rPr>
      </w:pPr>
      <w:r>
        <w:rPr>
          <w:rFonts w:hint="eastAsia" w:ascii="宋体" w:hAnsi="宋体"/>
          <w:sz w:val="24"/>
          <w:szCs w:val="24"/>
        </w:rPr>
        <w:t>心电实时监测客户端</w:t>
      </w:r>
    </w:p>
    <w:p>
      <w:pPr>
        <w:pStyle w:val="7"/>
        <w:numPr>
          <w:ilvl w:val="0"/>
          <w:numId w:val="27"/>
        </w:numPr>
        <w:spacing w:line="360" w:lineRule="auto"/>
        <w:ind w:left="540" w:leftChars="257" w:firstLine="480"/>
        <w:rPr>
          <w:rFonts w:ascii="宋体" w:hAnsi="宋体"/>
          <w:sz w:val="24"/>
          <w:szCs w:val="24"/>
        </w:rPr>
      </w:pPr>
      <w:r>
        <w:rPr>
          <w:rFonts w:hint="eastAsia" w:ascii="宋体" w:hAnsi="宋体"/>
          <w:sz w:val="24"/>
          <w:szCs w:val="24"/>
        </w:rPr>
        <w:t>支持心电波形数据实时监测显示功能，可同屏显示多人监测数据，显示模式可进行自定义调整，一屏可支持2×3、3×3、7×7等多种方式；</w:t>
      </w:r>
    </w:p>
    <w:p>
      <w:pPr>
        <w:pStyle w:val="7"/>
        <w:numPr>
          <w:ilvl w:val="0"/>
          <w:numId w:val="27"/>
        </w:numPr>
        <w:spacing w:line="360" w:lineRule="auto"/>
        <w:ind w:left="540" w:leftChars="257" w:firstLine="480"/>
        <w:rPr>
          <w:rFonts w:ascii="宋体" w:hAnsi="宋体"/>
          <w:sz w:val="24"/>
          <w:szCs w:val="24"/>
        </w:rPr>
      </w:pPr>
      <w:r>
        <w:rPr>
          <w:rFonts w:hint="eastAsia" w:ascii="宋体" w:hAnsi="宋体"/>
          <w:sz w:val="24"/>
          <w:szCs w:val="24"/>
        </w:rPr>
        <w:t>具备心电监测危急值预警功能，内置经国内权威心电专家共识的危急值标准参数，可根据需求进行危急值标准自定义设置。可显示危急值状态，进行文字和声音报警提醒。</w:t>
      </w:r>
    </w:p>
    <w:p>
      <w:pPr>
        <w:pStyle w:val="7"/>
        <w:numPr>
          <w:ilvl w:val="0"/>
          <w:numId w:val="27"/>
        </w:numPr>
        <w:spacing w:line="360" w:lineRule="auto"/>
        <w:ind w:left="540" w:leftChars="257" w:firstLine="480"/>
        <w:rPr>
          <w:rFonts w:ascii="宋体" w:hAnsi="宋体"/>
          <w:sz w:val="24"/>
          <w:szCs w:val="24"/>
        </w:rPr>
      </w:pPr>
      <w:r>
        <w:rPr>
          <w:rFonts w:hint="eastAsia" w:ascii="宋体" w:hAnsi="宋体"/>
          <w:sz w:val="24"/>
          <w:szCs w:val="24"/>
        </w:rPr>
        <w:t>支持多屏幕监测显示扩展，及分页显示监测数据功能；</w:t>
      </w:r>
    </w:p>
    <w:p>
      <w:pPr>
        <w:pStyle w:val="7"/>
        <w:numPr>
          <w:ilvl w:val="0"/>
          <w:numId w:val="27"/>
        </w:numPr>
        <w:spacing w:line="360" w:lineRule="auto"/>
        <w:ind w:left="540" w:leftChars="257" w:firstLine="480"/>
        <w:rPr>
          <w:rFonts w:ascii="宋体" w:hAnsi="宋体"/>
          <w:sz w:val="24"/>
          <w:szCs w:val="24"/>
        </w:rPr>
      </w:pPr>
      <w:r>
        <w:rPr>
          <w:rFonts w:hint="eastAsia" w:ascii="宋体" w:hAnsi="宋体"/>
          <w:sz w:val="24"/>
          <w:szCs w:val="24"/>
        </w:rPr>
        <w:t>监测界面默认支持患者信息显示、3导联心电波形显示、心率显示和预警信息显示。显示导联可根据需求进行调整，双击单个监测监测可对当前患者进行12导联同步显示；</w:t>
      </w:r>
    </w:p>
    <w:p>
      <w:pPr>
        <w:pStyle w:val="7"/>
        <w:numPr>
          <w:ilvl w:val="0"/>
          <w:numId w:val="27"/>
        </w:numPr>
        <w:spacing w:line="360" w:lineRule="auto"/>
        <w:ind w:left="540" w:leftChars="257" w:firstLine="480"/>
        <w:rPr>
          <w:rFonts w:ascii="宋体" w:hAnsi="宋体"/>
          <w:b/>
          <w:bCs/>
          <w:color w:val="000000"/>
          <w:sz w:val="24"/>
          <w:szCs w:val="24"/>
        </w:rPr>
      </w:pPr>
      <w:r>
        <w:rPr>
          <w:rFonts w:hint="eastAsia" w:ascii="宋体" w:hAnsi="宋体"/>
          <w:b/>
          <w:bCs/>
          <w:color w:val="000000"/>
          <w:sz w:val="24"/>
          <w:szCs w:val="24"/>
        </w:rPr>
        <w:t>★支持低延时的心电波形数据实时传输功能，要求实时传输响应时间不超过5秒；</w:t>
      </w:r>
    </w:p>
    <w:p>
      <w:pPr>
        <w:pStyle w:val="7"/>
        <w:numPr>
          <w:ilvl w:val="0"/>
          <w:numId w:val="27"/>
        </w:numPr>
        <w:spacing w:line="360" w:lineRule="auto"/>
        <w:ind w:left="540" w:leftChars="257" w:firstLine="480"/>
        <w:rPr>
          <w:rFonts w:ascii="宋体" w:hAnsi="宋体"/>
          <w:sz w:val="24"/>
          <w:szCs w:val="24"/>
        </w:rPr>
      </w:pPr>
      <w:r>
        <w:rPr>
          <w:rFonts w:hint="eastAsia" w:ascii="宋体" w:hAnsi="宋体"/>
          <w:sz w:val="24"/>
          <w:szCs w:val="24"/>
        </w:rPr>
        <w:t>支持监测状态显示、监测信号强度显示和监测设备电量显示功能；</w:t>
      </w:r>
    </w:p>
    <w:p>
      <w:pPr>
        <w:pStyle w:val="7"/>
        <w:numPr>
          <w:ilvl w:val="0"/>
          <w:numId w:val="27"/>
        </w:numPr>
        <w:spacing w:line="360" w:lineRule="auto"/>
        <w:ind w:left="540" w:leftChars="257" w:firstLine="480"/>
        <w:rPr>
          <w:rFonts w:ascii="宋体" w:hAnsi="宋体"/>
          <w:b/>
          <w:bCs/>
          <w:color w:val="000000"/>
          <w:sz w:val="24"/>
          <w:szCs w:val="24"/>
        </w:rPr>
      </w:pPr>
      <w:r>
        <w:rPr>
          <w:rFonts w:hint="eastAsia" w:ascii="宋体" w:hAnsi="宋体"/>
          <w:b/>
          <w:bCs/>
          <w:color w:val="000000"/>
          <w:sz w:val="24"/>
          <w:szCs w:val="24"/>
        </w:rPr>
        <w:t>★支持患者隐私保护功能，可根据需求对显示患者信息进行隐藏与调整；</w:t>
      </w:r>
    </w:p>
    <w:p>
      <w:pPr>
        <w:pStyle w:val="7"/>
        <w:numPr>
          <w:ilvl w:val="0"/>
          <w:numId w:val="27"/>
        </w:numPr>
        <w:spacing w:line="360" w:lineRule="auto"/>
        <w:ind w:left="540" w:leftChars="257" w:firstLine="480"/>
        <w:rPr>
          <w:rFonts w:ascii="宋体" w:hAnsi="宋体"/>
          <w:sz w:val="24"/>
          <w:szCs w:val="24"/>
        </w:rPr>
      </w:pPr>
      <w:r>
        <w:rPr>
          <w:rFonts w:hint="eastAsia" w:ascii="宋体" w:hAnsi="宋体"/>
          <w:sz w:val="24"/>
          <w:szCs w:val="24"/>
        </w:rPr>
        <w:t>支持波形回放功能，在监测时可对任意时段的12导联心电波形进行回放查看；</w:t>
      </w:r>
    </w:p>
    <w:p>
      <w:pPr>
        <w:pStyle w:val="7"/>
        <w:numPr>
          <w:ilvl w:val="0"/>
          <w:numId w:val="27"/>
        </w:numPr>
        <w:spacing w:line="360" w:lineRule="auto"/>
        <w:ind w:left="540" w:leftChars="257" w:firstLine="480"/>
        <w:rPr>
          <w:rFonts w:ascii="宋体" w:hAnsi="宋体"/>
          <w:sz w:val="24"/>
          <w:szCs w:val="24"/>
        </w:rPr>
      </w:pPr>
      <w:r>
        <w:rPr>
          <w:rFonts w:hint="eastAsia" w:ascii="宋体" w:hAnsi="宋体"/>
          <w:sz w:val="24"/>
          <w:szCs w:val="24"/>
        </w:rPr>
        <w:t>支持自动记录心律失常事件功能，软件可自动分析心律失常事件并记录发生时间；</w:t>
      </w:r>
    </w:p>
    <w:p>
      <w:pPr>
        <w:pStyle w:val="7"/>
        <w:numPr>
          <w:ilvl w:val="0"/>
          <w:numId w:val="27"/>
        </w:numPr>
        <w:spacing w:line="360" w:lineRule="auto"/>
        <w:ind w:left="540" w:leftChars="257" w:firstLine="285" w:firstLineChars="119"/>
        <w:rPr>
          <w:rFonts w:ascii="宋体" w:hAnsi="宋体"/>
          <w:sz w:val="24"/>
          <w:szCs w:val="24"/>
        </w:rPr>
      </w:pPr>
      <w:r>
        <w:rPr>
          <w:rFonts w:hint="eastAsia" w:ascii="宋体" w:hAnsi="宋体"/>
          <w:sz w:val="24"/>
          <w:szCs w:val="24"/>
        </w:rPr>
        <w:t>支持自定义心律失常事件功能，使用者可自定义设置任意时段的波形为心律失常事件并记录发生时间。</w:t>
      </w:r>
    </w:p>
    <w:p>
      <w:pPr>
        <w:pStyle w:val="7"/>
        <w:numPr>
          <w:ilvl w:val="3"/>
          <w:numId w:val="10"/>
        </w:numPr>
        <w:spacing w:line="360" w:lineRule="auto"/>
        <w:ind w:left="540" w:leftChars="257" w:firstLine="480"/>
        <w:rPr>
          <w:rFonts w:ascii="宋体" w:hAnsi="宋体"/>
          <w:sz w:val="24"/>
          <w:szCs w:val="24"/>
        </w:rPr>
      </w:pPr>
      <w:r>
        <w:rPr>
          <w:rFonts w:hint="eastAsia" w:ascii="宋体" w:hAnsi="宋体"/>
          <w:sz w:val="24"/>
          <w:szCs w:val="24"/>
        </w:rPr>
        <w:t>病例收藏系统</w:t>
      </w:r>
    </w:p>
    <w:p>
      <w:pPr>
        <w:pStyle w:val="7"/>
        <w:numPr>
          <w:ilvl w:val="0"/>
          <w:numId w:val="28"/>
        </w:numPr>
        <w:spacing w:line="360" w:lineRule="auto"/>
        <w:ind w:left="540" w:leftChars="257" w:firstLine="480"/>
        <w:rPr>
          <w:rFonts w:ascii="宋体" w:hAnsi="宋体"/>
          <w:sz w:val="24"/>
          <w:szCs w:val="24"/>
        </w:rPr>
      </w:pPr>
      <w:r>
        <w:rPr>
          <w:rFonts w:hint="eastAsia" w:ascii="宋体" w:hAnsi="宋体"/>
          <w:sz w:val="24"/>
          <w:szCs w:val="24"/>
        </w:rPr>
        <w:t>支持典型病例收藏功能；</w:t>
      </w:r>
    </w:p>
    <w:p>
      <w:pPr>
        <w:pStyle w:val="7"/>
        <w:numPr>
          <w:ilvl w:val="0"/>
          <w:numId w:val="28"/>
        </w:numPr>
        <w:spacing w:line="360" w:lineRule="auto"/>
        <w:ind w:left="540" w:leftChars="257" w:firstLine="480"/>
        <w:rPr>
          <w:rFonts w:ascii="宋体" w:hAnsi="宋体"/>
          <w:sz w:val="24"/>
          <w:szCs w:val="24"/>
        </w:rPr>
      </w:pPr>
      <w:r>
        <w:rPr>
          <w:rFonts w:hint="eastAsia" w:ascii="宋体" w:hAnsi="宋体"/>
          <w:sz w:val="24"/>
          <w:szCs w:val="24"/>
        </w:rPr>
        <w:t>支持个人收藏及公共收藏两种方式。个人收藏仅病例的收藏者有权限进行查看，公共收藏所有用户均有权限进行查看；</w:t>
      </w:r>
    </w:p>
    <w:p>
      <w:pPr>
        <w:pStyle w:val="7"/>
        <w:numPr>
          <w:ilvl w:val="0"/>
          <w:numId w:val="28"/>
        </w:numPr>
        <w:spacing w:line="360" w:lineRule="auto"/>
        <w:ind w:left="540" w:leftChars="257" w:firstLine="480"/>
        <w:rPr>
          <w:rFonts w:ascii="宋体" w:hAnsi="宋体"/>
          <w:sz w:val="24"/>
          <w:szCs w:val="24"/>
        </w:rPr>
      </w:pPr>
      <w:r>
        <w:rPr>
          <w:rFonts w:hint="eastAsia" w:ascii="宋体" w:hAnsi="宋体"/>
          <w:sz w:val="24"/>
          <w:szCs w:val="24"/>
        </w:rPr>
        <w:t>可对典型病例进行分类收藏，分类条件可根据使用者需求进行自定义编辑；</w:t>
      </w:r>
    </w:p>
    <w:p>
      <w:pPr>
        <w:pStyle w:val="7"/>
        <w:numPr>
          <w:ilvl w:val="0"/>
          <w:numId w:val="28"/>
        </w:numPr>
        <w:spacing w:line="360" w:lineRule="auto"/>
        <w:ind w:left="540" w:leftChars="257" w:firstLine="480"/>
        <w:rPr>
          <w:rFonts w:ascii="宋体" w:hAnsi="宋体"/>
          <w:sz w:val="24"/>
          <w:szCs w:val="24"/>
        </w:rPr>
      </w:pPr>
      <w:r>
        <w:rPr>
          <w:rFonts w:hint="eastAsia" w:ascii="宋体" w:hAnsi="宋体"/>
          <w:sz w:val="24"/>
          <w:szCs w:val="24"/>
        </w:rPr>
        <w:t>支持所收藏的典型病例导出功能，方便科研论文编辑、教学使用；</w:t>
      </w:r>
    </w:p>
    <w:p>
      <w:pPr>
        <w:pStyle w:val="7"/>
        <w:numPr>
          <w:ilvl w:val="0"/>
          <w:numId w:val="28"/>
        </w:numPr>
        <w:spacing w:line="360" w:lineRule="auto"/>
        <w:ind w:left="540" w:leftChars="257" w:firstLine="480"/>
        <w:rPr>
          <w:rFonts w:ascii="宋体" w:hAnsi="宋体"/>
          <w:b/>
          <w:bCs/>
          <w:color w:val="000000"/>
          <w:sz w:val="24"/>
          <w:szCs w:val="24"/>
        </w:rPr>
      </w:pPr>
      <w:r>
        <w:rPr>
          <w:rFonts w:hint="eastAsia" w:ascii="宋体" w:hAnsi="宋体"/>
          <w:b/>
          <w:bCs/>
          <w:color w:val="000000"/>
          <w:sz w:val="24"/>
          <w:szCs w:val="24"/>
        </w:rPr>
        <w:t>★以上功能为使用重点功能，为保证此功能的实际应用，要求提供典型库收藏管理系统计算机软件著作权登记证书的复印件证明。</w:t>
      </w:r>
    </w:p>
    <w:p>
      <w:pPr>
        <w:pStyle w:val="7"/>
        <w:numPr>
          <w:ilvl w:val="3"/>
          <w:numId w:val="10"/>
        </w:numPr>
        <w:spacing w:line="360" w:lineRule="auto"/>
        <w:ind w:left="540" w:leftChars="257" w:firstLine="480"/>
        <w:rPr>
          <w:rFonts w:ascii="宋体" w:hAnsi="宋体"/>
          <w:sz w:val="24"/>
          <w:szCs w:val="24"/>
        </w:rPr>
      </w:pPr>
      <w:r>
        <w:rPr>
          <w:rFonts w:hint="eastAsia" w:ascii="宋体" w:hAnsi="宋体"/>
          <w:sz w:val="24"/>
          <w:szCs w:val="24"/>
        </w:rPr>
        <w:t>主任统计管理客户端</w:t>
      </w:r>
    </w:p>
    <w:p>
      <w:pPr>
        <w:pStyle w:val="7"/>
        <w:numPr>
          <w:ilvl w:val="0"/>
          <w:numId w:val="29"/>
        </w:numPr>
        <w:spacing w:line="360" w:lineRule="auto"/>
        <w:ind w:left="540" w:leftChars="257" w:firstLine="480"/>
        <w:rPr>
          <w:rFonts w:ascii="宋体" w:hAnsi="宋体"/>
          <w:sz w:val="24"/>
          <w:szCs w:val="24"/>
        </w:rPr>
      </w:pPr>
      <w:r>
        <w:rPr>
          <w:rFonts w:hint="eastAsia" w:ascii="宋体" w:hAnsi="宋体"/>
          <w:sz w:val="24"/>
          <w:szCs w:val="24"/>
        </w:rPr>
        <w:t>提供可自由定制的数据统计模块，所有的字段信息都可作为统计条件，并组合使用；根据需要可进行工作量、科研、教学统计。</w:t>
      </w:r>
    </w:p>
    <w:p>
      <w:pPr>
        <w:pStyle w:val="7"/>
        <w:numPr>
          <w:ilvl w:val="0"/>
          <w:numId w:val="29"/>
        </w:numPr>
        <w:spacing w:line="360" w:lineRule="auto"/>
        <w:ind w:left="540" w:leftChars="257" w:firstLine="480"/>
        <w:rPr>
          <w:rFonts w:ascii="宋体" w:hAnsi="宋体"/>
          <w:sz w:val="24"/>
          <w:szCs w:val="24"/>
        </w:rPr>
      </w:pPr>
      <w:r>
        <w:rPr>
          <w:rFonts w:hint="eastAsia" w:ascii="宋体" w:hAnsi="宋体"/>
          <w:sz w:val="24"/>
          <w:szCs w:val="24"/>
        </w:rPr>
        <w:t>阳性率统计：统计指定时间段内，各个检查项目的检查人次，阳性人次数，阳性率；可按检查项目汇总阳性率。</w:t>
      </w:r>
    </w:p>
    <w:p>
      <w:pPr>
        <w:pStyle w:val="7"/>
        <w:numPr>
          <w:ilvl w:val="0"/>
          <w:numId w:val="29"/>
        </w:numPr>
        <w:spacing w:line="360" w:lineRule="auto"/>
        <w:ind w:left="540" w:leftChars="257" w:firstLine="480"/>
        <w:rPr>
          <w:rFonts w:ascii="宋体" w:hAnsi="宋体"/>
          <w:sz w:val="24"/>
          <w:szCs w:val="24"/>
        </w:rPr>
      </w:pPr>
      <w:r>
        <w:rPr>
          <w:rFonts w:hint="eastAsia" w:ascii="宋体" w:hAnsi="宋体"/>
          <w:sz w:val="24"/>
          <w:szCs w:val="24"/>
        </w:rPr>
        <w:t>工作量统计：统计指定时间段内，人员的登记，检查，报告工作量。其中检查和报告的工作量可根据检查项目分类统计和汇总。</w:t>
      </w:r>
    </w:p>
    <w:p>
      <w:pPr>
        <w:pStyle w:val="7"/>
        <w:numPr>
          <w:ilvl w:val="0"/>
          <w:numId w:val="29"/>
        </w:numPr>
        <w:spacing w:line="360" w:lineRule="auto"/>
        <w:ind w:left="540" w:leftChars="257" w:firstLine="480"/>
        <w:rPr>
          <w:rFonts w:ascii="宋体" w:hAnsi="宋体"/>
          <w:sz w:val="24"/>
          <w:szCs w:val="24"/>
        </w:rPr>
      </w:pPr>
      <w:r>
        <w:rPr>
          <w:rFonts w:hint="eastAsia" w:ascii="宋体" w:hAnsi="宋体"/>
          <w:sz w:val="24"/>
          <w:szCs w:val="24"/>
        </w:rPr>
        <w:t>检查项目统计：统计指定时间段内，各个检查项目的检查人次。按检查项目汇总。</w:t>
      </w:r>
    </w:p>
    <w:p>
      <w:pPr>
        <w:pStyle w:val="7"/>
        <w:numPr>
          <w:ilvl w:val="0"/>
          <w:numId w:val="29"/>
        </w:numPr>
        <w:spacing w:line="360" w:lineRule="auto"/>
        <w:ind w:left="540" w:leftChars="257" w:firstLine="480"/>
        <w:rPr>
          <w:rFonts w:ascii="宋体" w:hAnsi="宋体"/>
          <w:sz w:val="24"/>
          <w:szCs w:val="24"/>
        </w:rPr>
      </w:pPr>
      <w:r>
        <w:rPr>
          <w:rFonts w:hint="eastAsia" w:ascii="宋体" w:hAnsi="宋体"/>
          <w:sz w:val="24"/>
          <w:szCs w:val="24"/>
        </w:rPr>
        <w:t>疾病统计：统计指定时间段内，各种疾病经由检查项目的检出数和汇总数。全部疾病的汇总数。</w:t>
      </w:r>
    </w:p>
    <w:p>
      <w:pPr>
        <w:pStyle w:val="7"/>
        <w:numPr>
          <w:ilvl w:val="0"/>
          <w:numId w:val="29"/>
        </w:numPr>
        <w:spacing w:line="360" w:lineRule="auto"/>
        <w:ind w:left="540" w:leftChars="257" w:firstLine="480"/>
        <w:rPr>
          <w:rFonts w:ascii="宋体" w:hAnsi="宋体"/>
          <w:sz w:val="24"/>
          <w:szCs w:val="24"/>
        </w:rPr>
      </w:pPr>
      <w:r>
        <w:rPr>
          <w:rFonts w:hint="eastAsia" w:ascii="宋体" w:hAnsi="宋体"/>
          <w:sz w:val="24"/>
          <w:szCs w:val="24"/>
        </w:rPr>
        <w:t>统计结果可显示统计列表、统计数量、统计报表、统计图表，并可直接打印输出。统计结果可导出成EXCEL或TXT文件。综合查询统计，可任意组合统计条件，统计查询条件可以按照各种逻辑运算结果组合。</w:t>
      </w:r>
    </w:p>
    <w:p>
      <w:pPr>
        <w:pStyle w:val="7"/>
        <w:numPr>
          <w:ilvl w:val="0"/>
          <w:numId w:val="29"/>
        </w:numPr>
        <w:spacing w:line="360" w:lineRule="auto"/>
        <w:ind w:left="540" w:leftChars="257" w:firstLine="480"/>
        <w:rPr>
          <w:rFonts w:ascii="宋体" w:hAnsi="宋体"/>
          <w:sz w:val="24"/>
          <w:szCs w:val="24"/>
        </w:rPr>
      </w:pPr>
      <w:r>
        <w:rPr>
          <w:rFonts w:hint="eastAsia" w:ascii="宋体" w:hAnsi="宋体"/>
          <w:sz w:val="24"/>
          <w:szCs w:val="24"/>
        </w:rPr>
        <w:t>提供科室用户管理功能，可对系统用户进行增加、修改、删除功能；支持密码设定与修改功能；</w:t>
      </w:r>
    </w:p>
    <w:p>
      <w:pPr>
        <w:pStyle w:val="7"/>
        <w:numPr>
          <w:ilvl w:val="0"/>
          <w:numId w:val="29"/>
        </w:numPr>
        <w:spacing w:line="360" w:lineRule="auto"/>
        <w:ind w:left="540" w:leftChars="257" w:firstLine="480"/>
        <w:rPr>
          <w:rFonts w:ascii="宋体" w:hAnsi="宋体"/>
          <w:sz w:val="24"/>
          <w:szCs w:val="24"/>
        </w:rPr>
      </w:pPr>
      <w:r>
        <w:rPr>
          <w:rFonts w:hint="eastAsia" w:ascii="宋体" w:hAnsi="宋体"/>
          <w:sz w:val="24"/>
          <w:szCs w:val="24"/>
        </w:rPr>
        <w:t>支持医生、护士、技师等用户的角色权限管理，工作量统计等。</w:t>
      </w:r>
    </w:p>
    <w:p>
      <w:pPr>
        <w:pStyle w:val="7"/>
        <w:numPr>
          <w:ilvl w:val="0"/>
          <w:numId w:val="29"/>
        </w:numPr>
        <w:spacing w:line="360" w:lineRule="auto"/>
        <w:ind w:left="540" w:leftChars="257" w:firstLine="480"/>
        <w:rPr>
          <w:rFonts w:ascii="宋体" w:hAnsi="宋体"/>
          <w:sz w:val="24"/>
          <w:szCs w:val="24"/>
        </w:rPr>
      </w:pPr>
      <w:r>
        <w:rPr>
          <w:rFonts w:hint="eastAsia" w:ascii="宋体" w:hAnsi="宋体"/>
          <w:sz w:val="24"/>
          <w:szCs w:val="24"/>
        </w:rPr>
        <w:t>支持集中的用户及权限管理程序，通过系统管理员为用户授权，不同权限管理不同的内容；支持用户分组机制，用于简化用户授权。</w:t>
      </w:r>
    </w:p>
    <w:p>
      <w:pPr>
        <w:pStyle w:val="7"/>
        <w:numPr>
          <w:ilvl w:val="0"/>
          <w:numId w:val="29"/>
        </w:numPr>
        <w:spacing w:line="360" w:lineRule="auto"/>
        <w:ind w:left="540" w:leftChars="257" w:firstLine="480"/>
        <w:rPr>
          <w:rFonts w:ascii="宋体" w:hAnsi="宋体"/>
          <w:sz w:val="24"/>
          <w:szCs w:val="24"/>
        </w:rPr>
      </w:pPr>
      <w:r>
        <w:rPr>
          <w:rFonts w:hint="eastAsia" w:ascii="宋体" w:hAnsi="宋体"/>
          <w:sz w:val="24"/>
          <w:szCs w:val="24"/>
        </w:rPr>
        <w:t>提供用户访问日志功能，对访问过的数据以及特殊的操作进行记录，并提供记录查看和检索手段。</w:t>
      </w:r>
    </w:p>
    <w:p>
      <w:pPr>
        <w:pStyle w:val="7"/>
        <w:numPr>
          <w:ilvl w:val="2"/>
          <w:numId w:val="10"/>
        </w:numPr>
        <w:spacing w:line="360" w:lineRule="auto"/>
        <w:ind w:left="540" w:leftChars="257" w:firstLine="482"/>
        <w:rPr>
          <w:rFonts w:ascii="宋体" w:hAnsi="宋体"/>
          <w:b/>
          <w:bCs/>
          <w:sz w:val="24"/>
          <w:szCs w:val="24"/>
        </w:rPr>
      </w:pPr>
      <w:r>
        <w:rPr>
          <w:rFonts w:hint="eastAsia" w:ascii="宋体" w:hAnsi="宋体"/>
          <w:b/>
          <w:bCs/>
          <w:sz w:val="24"/>
          <w:szCs w:val="24"/>
        </w:rPr>
        <w:t>移动应用客户端</w:t>
      </w:r>
    </w:p>
    <w:p>
      <w:pPr>
        <w:pStyle w:val="7"/>
        <w:numPr>
          <w:ilvl w:val="3"/>
          <w:numId w:val="10"/>
        </w:numPr>
        <w:spacing w:line="360" w:lineRule="auto"/>
        <w:ind w:left="540" w:leftChars="257" w:firstLine="480"/>
        <w:rPr>
          <w:rFonts w:ascii="宋体" w:hAnsi="宋体"/>
          <w:sz w:val="24"/>
          <w:szCs w:val="24"/>
        </w:rPr>
      </w:pPr>
      <w:r>
        <w:rPr>
          <w:rFonts w:hint="eastAsia" w:ascii="宋体" w:hAnsi="宋体"/>
          <w:sz w:val="24"/>
          <w:szCs w:val="24"/>
        </w:rPr>
        <w:t>移动心电报告应用</w:t>
      </w:r>
    </w:p>
    <w:p>
      <w:pPr>
        <w:pStyle w:val="7"/>
        <w:numPr>
          <w:ilvl w:val="0"/>
          <w:numId w:val="30"/>
        </w:numPr>
        <w:spacing w:line="360" w:lineRule="auto"/>
        <w:ind w:left="540" w:leftChars="257" w:firstLine="480"/>
        <w:rPr>
          <w:rFonts w:ascii="宋体" w:hAnsi="宋体"/>
          <w:sz w:val="24"/>
          <w:szCs w:val="24"/>
        </w:rPr>
      </w:pPr>
      <w:r>
        <w:rPr>
          <w:rFonts w:hint="eastAsia" w:ascii="宋体" w:hAnsi="宋体"/>
          <w:sz w:val="24"/>
          <w:szCs w:val="24"/>
        </w:rPr>
        <w:t>支持手机、平板电脑等智能移动终端分析心电报告功能；</w:t>
      </w:r>
    </w:p>
    <w:p>
      <w:pPr>
        <w:pStyle w:val="7"/>
        <w:numPr>
          <w:ilvl w:val="0"/>
          <w:numId w:val="30"/>
        </w:numPr>
        <w:spacing w:line="360" w:lineRule="auto"/>
        <w:ind w:left="540" w:leftChars="257" w:firstLine="480"/>
        <w:rPr>
          <w:rFonts w:ascii="宋体" w:hAnsi="宋体"/>
          <w:sz w:val="24"/>
          <w:szCs w:val="24"/>
        </w:rPr>
      </w:pPr>
      <w:r>
        <w:rPr>
          <w:rFonts w:hint="eastAsia" w:ascii="宋体" w:hAnsi="宋体"/>
          <w:sz w:val="24"/>
          <w:szCs w:val="24"/>
        </w:rPr>
        <w:t>支持患者列表显示患者信息、报告状态，支持心电波形显示模式调整、波形放大、走纸增益调整、电子标尺测量等心电图分析功能；</w:t>
      </w:r>
    </w:p>
    <w:p>
      <w:pPr>
        <w:pStyle w:val="7"/>
        <w:numPr>
          <w:ilvl w:val="0"/>
          <w:numId w:val="30"/>
        </w:numPr>
        <w:spacing w:line="360" w:lineRule="auto"/>
        <w:ind w:left="540" w:leftChars="257" w:firstLine="480"/>
        <w:rPr>
          <w:rFonts w:ascii="宋体" w:hAnsi="宋体"/>
          <w:sz w:val="24"/>
          <w:szCs w:val="24"/>
        </w:rPr>
      </w:pPr>
      <w:r>
        <w:rPr>
          <w:rFonts w:hint="eastAsia" w:ascii="宋体" w:hAnsi="宋体"/>
          <w:sz w:val="24"/>
          <w:szCs w:val="24"/>
        </w:rPr>
        <w:t>支持使用报告助手快速编辑心电图报告功能，报告助手内容可根据需求进行自定义编辑；</w:t>
      </w:r>
    </w:p>
    <w:p>
      <w:pPr>
        <w:pStyle w:val="7"/>
        <w:numPr>
          <w:ilvl w:val="0"/>
          <w:numId w:val="30"/>
        </w:numPr>
        <w:spacing w:line="360" w:lineRule="auto"/>
        <w:ind w:left="540" w:leftChars="257" w:firstLine="480"/>
        <w:rPr>
          <w:rFonts w:ascii="宋体" w:hAnsi="宋体"/>
          <w:sz w:val="24"/>
          <w:szCs w:val="24"/>
        </w:rPr>
      </w:pPr>
      <w:r>
        <w:rPr>
          <w:rFonts w:hint="eastAsia" w:ascii="宋体" w:hAnsi="宋体"/>
          <w:sz w:val="24"/>
          <w:szCs w:val="24"/>
        </w:rPr>
        <w:t>报告结果可与客户端实时同步。</w:t>
      </w:r>
    </w:p>
    <w:p>
      <w:pPr>
        <w:pStyle w:val="7"/>
        <w:numPr>
          <w:ilvl w:val="3"/>
          <w:numId w:val="10"/>
        </w:numPr>
        <w:spacing w:line="360" w:lineRule="auto"/>
        <w:ind w:left="540" w:leftChars="257" w:firstLine="480"/>
        <w:rPr>
          <w:rFonts w:ascii="宋体" w:hAnsi="宋体"/>
          <w:sz w:val="24"/>
          <w:szCs w:val="24"/>
        </w:rPr>
      </w:pPr>
      <w:r>
        <w:rPr>
          <w:rFonts w:hint="eastAsia" w:ascii="宋体" w:hAnsi="宋体"/>
          <w:sz w:val="24"/>
          <w:szCs w:val="24"/>
        </w:rPr>
        <w:t>移动心电实时监测应用</w:t>
      </w:r>
    </w:p>
    <w:p>
      <w:pPr>
        <w:pStyle w:val="7"/>
        <w:numPr>
          <w:ilvl w:val="0"/>
          <w:numId w:val="31"/>
        </w:numPr>
        <w:spacing w:line="360" w:lineRule="auto"/>
        <w:ind w:left="540" w:leftChars="257" w:firstLine="480"/>
        <w:rPr>
          <w:rFonts w:ascii="宋体" w:hAnsi="宋体"/>
          <w:sz w:val="24"/>
          <w:szCs w:val="24"/>
        </w:rPr>
      </w:pPr>
      <w:r>
        <w:rPr>
          <w:rFonts w:hint="eastAsia" w:ascii="宋体" w:hAnsi="宋体"/>
          <w:sz w:val="24"/>
          <w:szCs w:val="24"/>
        </w:rPr>
        <w:t>支持Android系统或IOS系统的手机、平板电脑等智能移动终端实时监测心电波形功能；</w:t>
      </w:r>
    </w:p>
    <w:p>
      <w:pPr>
        <w:pStyle w:val="7"/>
        <w:numPr>
          <w:ilvl w:val="0"/>
          <w:numId w:val="31"/>
        </w:numPr>
        <w:spacing w:line="360" w:lineRule="auto"/>
        <w:ind w:left="540" w:leftChars="257" w:firstLine="480"/>
        <w:rPr>
          <w:rFonts w:ascii="宋体" w:hAnsi="宋体"/>
          <w:sz w:val="24"/>
          <w:szCs w:val="24"/>
        </w:rPr>
      </w:pPr>
      <w:r>
        <w:rPr>
          <w:rFonts w:hint="eastAsia" w:ascii="宋体" w:hAnsi="宋体"/>
          <w:sz w:val="24"/>
          <w:szCs w:val="24"/>
        </w:rPr>
        <w:t>支持显示患者信息、监测状态，支持波形显示导联、显示模式调整；</w:t>
      </w:r>
    </w:p>
    <w:p>
      <w:pPr>
        <w:pStyle w:val="7"/>
        <w:numPr>
          <w:ilvl w:val="0"/>
          <w:numId w:val="31"/>
        </w:numPr>
        <w:spacing w:line="360" w:lineRule="auto"/>
        <w:ind w:left="540" w:leftChars="257" w:firstLine="480"/>
        <w:rPr>
          <w:rFonts w:ascii="宋体" w:hAnsi="宋体"/>
          <w:sz w:val="24"/>
          <w:szCs w:val="24"/>
        </w:rPr>
      </w:pPr>
      <w:r>
        <w:rPr>
          <w:rFonts w:hint="eastAsia" w:ascii="宋体" w:hAnsi="宋体"/>
          <w:sz w:val="24"/>
          <w:szCs w:val="24"/>
        </w:rPr>
        <w:t>支持危急值监测预警功能，预警条件与心电实时监测客户端保持一致；</w:t>
      </w:r>
    </w:p>
    <w:p>
      <w:pPr>
        <w:pStyle w:val="7"/>
        <w:numPr>
          <w:ilvl w:val="0"/>
          <w:numId w:val="31"/>
        </w:numPr>
        <w:spacing w:line="360" w:lineRule="auto"/>
        <w:ind w:left="540" w:leftChars="257" w:firstLine="480"/>
        <w:rPr>
          <w:rFonts w:ascii="宋体" w:hAnsi="宋体"/>
          <w:sz w:val="24"/>
          <w:szCs w:val="24"/>
        </w:rPr>
      </w:pPr>
      <w:r>
        <w:rPr>
          <w:rFonts w:hint="eastAsia" w:ascii="宋体" w:hAnsi="宋体"/>
          <w:sz w:val="24"/>
          <w:szCs w:val="24"/>
        </w:rPr>
        <w:t>支持波形回放功能，可选监测时段对心电波形进行标记，方便监测结束后进行分析。</w:t>
      </w:r>
    </w:p>
    <w:p>
      <w:pPr>
        <w:pStyle w:val="7"/>
        <w:numPr>
          <w:ilvl w:val="2"/>
          <w:numId w:val="10"/>
        </w:numPr>
        <w:spacing w:line="360" w:lineRule="auto"/>
        <w:ind w:left="540" w:leftChars="257" w:firstLine="482"/>
        <w:rPr>
          <w:rFonts w:ascii="宋体" w:hAnsi="宋体"/>
          <w:b/>
          <w:bCs/>
          <w:color w:val="000000"/>
          <w:sz w:val="24"/>
          <w:szCs w:val="24"/>
        </w:rPr>
      </w:pPr>
      <w:r>
        <w:rPr>
          <w:rFonts w:hint="eastAsia" w:ascii="宋体" w:hAnsi="宋体"/>
          <w:b/>
          <w:bCs/>
          <w:color w:val="000000"/>
          <w:sz w:val="24"/>
          <w:szCs w:val="24"/>
        </w:rPr>
        <w:t>☆心电硬件设备技术参数</w:t>
      </w:r>
    </w:p>
    <w:p>
      <w:pPr>
        <w:pStyle w:val="7"/>
        <w:numPr>
          <w:ilvl w:val="3"/>
          <w:numId w:val="10"/>
        </w:numPr>
        <w:spacing w:line="360" w:lineRule="auto"/>
        <w:ind w:left="540" w:leftChars="257" w:firstLine="480"/>
        <w:rPr>
          <w:rFonts w:ascii="宋体" w:hAnsi="宋体"/>
          <w:sz w:val="24"/>
          <w:szCs w:val="24"/>
        </w:rPr>
      </w:pPr>
      <w:r>
        <w:rPr>
          <w:rFonts w:ascii="宋体" w:hAnsi="宋体"/>
          <w:sz w:val="24"/>
          <w:szCs w:val="24"/>
        </w:rPr>
        <w:t>移动心电采集设备</w:t>
      </w:r>
    </w:p>
    <w:p>
      <w:pPr>
        <w:pStyle w:val="7"/>
        <w:spacing w:line="360" w:lineRule="auto"/>
        <w:ind w:left="540" w:leftChars="257" w:firstLine="482"/>
        <w:rPr>
          <w:rFonts w:ascii="宋体" w:hAnsi="宋体"/>
          <w:b/>
          <w:sz w:val="24"/>
          <w:szCs w:val="24"/>
        </w:rPr>
      </w:pPr>
      <w:r>
        <w:rPr>
          <w:rFonts w:hint="eastAsia" w:ascii="宋体" w:hAnsi="宋体"/>
          <w:b/>
          <w:sz w:val="24"/>
          <w:szCs w:val="24"/>
        </w:rPr>
        <w:t>4.2.5.1.1 主要功能参数</w:t>
      </w:r>
    </w:p>
    <w:p>
      <w:pPr>
        <w:pStyle w:val="7"/>
        <w:numPr>
          <w:ilvl w:val="0"/>
          <w:numId w:val="32"/>
        </w:numPr>
        <w:spacing w:line="360" w:lineRule="auto"/>
        <w:ind w:left="540" w:leftChars="257" w:firstLine="287" w:firstLineChars="119"/>
        <w:rPr>
          <w:rFonts w:ascii="宋体" w:hAnsi="宋体"/>
          <w:b/>
          <w:color w:val="000000"/>
          <w:sz w:val="24"/>
          <w:szCs w:val="24"/>
        </w:rPr>
      </w:pPr>
      <w:r>
        <w:rPr>
          <w:rFonts w:hint="eastAsia" w:ascii="宋体" w:hAnsi="宋体"/>
          <w:b/>
          <w:color w:val="000000"/>
          <w:sz w:val="24"/>
          <w:szCs w:val="24"/>
        </w:rPr>
        <w:t>★设备小巧轻便,主机重量＜1kg，标配可移动台车，采集设备可适应手持和移动台车等多场景应用方式，便于出诊、床旁的心电图采集。为保证功能的实际应用，要求提供手持心电分析系统计算机软件著作权登记证书的复印件证明。</w:t>
      </w:r>
    </w:p>
    <w:p>
      <w:pPr>
        <w:pStyle w:val="7"/>
        <w:numPr>
          <w:ilvl w:val="0"/>
          <w:numId w:val="32"/>
        </w:numPr>
        <w:spacing w:line="360" w:lineRule="auto"/>
        <w:ind w:left="540" w:leftChars="257" w:firstLine="285" w:firstLineChars="119"/>
        <w:rPr>
          <w:rFonts w:ascii="宋体" w:hAnsi="宋体"/>
          <w:bCs/>
          <w:sz w:val="24"/>
          <w:szCs w:val="24"/>
        </w:rPr>
      </w:pPr>
      <w:r>
        <w:rPr>
          <w:rFonts w:hint="eastAsia" w:ascii="宋体" w:hAnsi="宋体"/>
          <w:bCs/>
          <w:sz w:val="24"/>
          <w:szCs w:val="24"/>
        </w:rPr>
        <w:t>具备WORKLIST功能，可从HIS一键提取待检查患者详细信息，减少手工录入；</w:t>
      </w:r>
    </w:p>
    <w:p>
      <w:pPr>
        <w:pStyle w:val="7"/>
        <w:numPr>
          <w:ilvl w:val="0"/>
          <w:numId w:val="32"/>
        </w:numPr>
        <w:spacing w:line="360" w:lineRule="auto"/>
        <w:ind w:left="540" w:leftChars="257" w:firstLine="285" w:firstLineChars="119"/>
        <w:rPr>
          <w:rFonts w:ascii="宋体" w:hAnsi="宋体"/>
          <w:bCs/>
          <w:sz w:val="24"/>
          <w:szCs w:val="24"/>
        </w:rPr>
      </w:pPr>
      <w:r>
        <w:rPr>
          <w:rFonts w:hint="eastAsia" w:ascii="宋体" w:hAnsi="宋体"/>
          <w:bCs/>
          <w:sz w:val="24"/>
          <w:szCs w:val="24"/>
        </w:rPr>
        <w:t>具备大于120分钟心电图记录功能，可用于发现偶发的心律失常，或对持续性心律失常、心肌缺血等情况进行监测；</w:t>
      </w:r>
    </w:p>
    <w:p>
      <w:pPr>
        <w:pStyle w:val="7"/>
        <w:numPr>
          <w:ilvl w:val="0"/>
          <w:numId w:val="32"/>
        </w:numPr>
        <w:spacing w:line="360" w:lineRule="auto"/>
        <w:ind w:left="540" w:leftChars="257" w:firstLine="285" w:firstLineChars="119"/>
        <w:rPr>
          <w:rFonts w:ascii="宋体" w:hAnsi="宋体"/>
          <w:bCs/>
          <w:sz w:val="24"/>
          <w:szCs w:val="24"/>
        </w:rPr>
      </w:pPr>
      <w:r>
        <w:rPr>
          <w:rFonts w:hint="eastAsia" w:ascii="宋体" w:hAnsi="宋体"/>
          <w:bCs/>
          <w:sz w:val="24"/>
          <w:szCs w:val="24"/>
        </w:rPr>
        <w:t>支持心电图采集数据上传功能，在心电图采集完成后，可通过波形回放查看采集质量，确认后可上传至心电会诊中心，可设置自动上传或手动上传模式；</w:t>
      </w:r>
    </w:p>
    <w:p>
      <w:pPr>
        <w:pStyle w:val="7"/>
        <w:numPr>
          <w:ilvl w:val="0"/>
          <w:numId w:val="32"/>
        </w:numPr>
        <w:spacing w:line="360" w:lineRule="auto"/>
        <w:ind w:left="540" w:leftChars="257" w:firstLine="285" w:firstLineChars="119"/>
        <w:rPr>
          <w:rFonts w:ascii="宋体" w:hAnsi="宋体"/>
          <w:bCs/>
          <w:sz w:val="24"/>
          <w:szCs w:val="24"/>
        </w:rPr>
      </w:pPr>
      <w:r>
        <w:rPr>
          <w:rFonts w:hint="eastAsia" w:ascii="宋体" w:hAnsi="宋体"/>
          <w:bCs/>
          <w:sz w:val="24"/>
          <w:szCs w:val="24"/>
        </w:rPr>
        <w:t>支持心电图报告结论同步功能，在会诊中心诊断完成后，诊断结论可实时同步至本机；</w:t>
      </w:r>
    </w:p>
    <w:p>
      <w:pPr>
        <w:pStyle w:val="7"/>
        <w:numPr>
          <w:ilvl w:val="0"/>
          <w:numId w:val="32"/>
        </w:numPr>
        <w:spacing w:line="360" w:lineRule="auto"/>
        <w:ind w:left="540" w:leftChars="257" w:firstLine="285" w:firstLineChars="119"/>
        <w:rPr>
          <w:rFonts w:ascii="宋体" w:hAnsi="宋体"/>
          <w:bCs/>
          <w:sz w:val="24"/>
          <w:szCs w:val="24"/>
        </w:rPr>
      </w:pPr>
      <w:r>
        <w:rPr>
          <w:rFonts w:hint="eastAsia" w:ascii="宋体" w:hAnsi="宋体"/>
          <w:bCs/>
          <w:sz w:val="24"/>
          <w:szCs w:val="24"/>
        </w:rPr>
        <w:t>显示屏≥9英寸，屏幕亮度可调，支持背景网格显示，支持多点触控操作；</w:t>
      </w:r>
    </w:p>
    <w:p>
      <w:pPr>
        <w:pStyle w:val="7"/>
        <w:numPr>
          <w:ilvl w:val="0"/>
          <w:numId w:val="32"/>
        </w:numPr>
        <w:spacing w:line="360" w:lineRule="auto"/>
        <w:ind w:left="540" w:leftChars="257" w:firstLine="287" w:firstLineChars="119"/>
        <w:rPr>
          <w:rFonts w:ascii="宋体" w:hAnsi="宋体"/>
          <w:b/>
          <w:color w:val="000000"/>
          <w:sz w:val="24"/>
          <w:szCs w:val="24"/>
        </w:rPr>
      </w:pPr>
      <w:r>
        <w:rPr>
          <w:rFonts w:hint="eastAsia" w:ascii="宋体" w:hAnsi="宋体"/>
          <w:b/>
          <w:color w:val="000000"/>
          <w:sz w:val="24"/>
          <w:szCs w:val="24"/>
        </w:rPr>
        <w:t>★心电采集放大器支持蓝牙移动网络技术，方便临床使用，要求提供含有通过蓝牙进行数据传输词语的医疗器械注册证或其附件的复印件并圈出对应内容证明。</w:t>
      </w:r>
    </w:p>
    <w:p>
      <w:pPr>
        <w:pStyle w:val="7"/>
        <w:numPr>
          <w:ilvl w:val="0"/>
          <w:numId w:val="32"/>
        </w:numPr>
        <w:spacing w:line="360" w:lineRule="auto"/>
        <w:ind w:left="540" w:leftChars="257" w:firstLine="287" w:firstLineChars="119"/>
        <w:rPr>
          <w:rFonts w:ascii="宋体" w:hAnsi="宋体"/>
          <w:b/>
          <w:color w:val="000000"/>
          <w:sz w:val="24"/>
          <w:szCs w:val="24"/>
        </w:rPr>
      </w:pPr>
      <w:r>
        <w:rPr>
          <w:rFonts w:hint="eastAsia" w:ascii="宋体" w:hAnsi="宋体"/>
          <w:b/>
          <w:color w:val="000000"/>
          <w:sz w:val="24"/>
          <w:szCs w:val="24"/>
        </w:rPr>
        <w:t>★支持外置心电采集放大器与主机之间采用蓝牙方式连接，以适应多种复杂心电图采集场景，不接受心电采集模块内置的方式，要求提供产品彩页证明。</w:t>
      </w:r>
    </w:p>
    <w:p>
      <w:pPr>
        <w:pStyle w:val="7"/>
        <w:numPr>
          <w:ilvl w:val="0"/>
          <w:numId w:val="32"/>
        </w:numPr>
        <w:spacing w:line="360" w:lineRule="auto"/>
        <w:ind w:left="540" w:leftChars="257" w:firstLine="287" w:firstLineChars="119"/>
        <w:rPr>
          <w:rFonts w:ascii="宋体" w:hAnsi="宋体"/>
          <w:b/>
          <w:color w:val="000000"/>
          <w:sz w:val="24"/>
          <w:szCs w:val="24"/>
        </w:rPr>
      </w:pPr>
      <w:r>
        <w:rPr>
          <w:rFonts w:hint="eastAsia" w:ascii="宋体" w:hAnsi="宋体"/>
          <w:b/>
          <w:color w:val="000000"/>
          <w:sz w:val="24"/>
          <w:szCs w:val="24"/>
        </w:rPr>
        <w:t>★支持心电采集放大器蓝牙模块可拆卸操作，方便在使用时可随时更换，要求提供产品检验报告照片页证明。</w:t>
      </w:r>
    </w:p>
    <w:p>
      <w:pPr>
        <w:pStyle w:val="7"/>
        <w:numPr>
          <w:ilvl w:val="0"/>
          <w:numId w:val="32"/>
        </w:numPr>
        <w:spacing w:line="360" w:lineRule="auto"/>
        <w:ind w:left="540" w:leftChars="257" w:firstLine="287" w:firstLineChars="119"/>
        <w:rPr>
          <w:rFonts w:ascii="宋体" w:hAnsi="宋体"/>
          <w:b/>
          <w:color w:val="000000"/>
          <w:sz w:val="24"/>
          <w:szCs w:val="24"/>
        </w:rPr>
      </w:pPr>
      <w:r>
        <w:rPr>
          <w:rFonts w:hint="eastAsia" w:ascii="宋体" w:hAnsi="宋体"/>
          <w:b/>
          <w:color w:val="000000"/>
          <w:sz w:val="24"/>
          <w:szCs w:val="24"/>
        </w:rPr>
        <w:t>★支持描记和分析12导联同步心电图，要求提供含有描记和分析12导联同步心电图的医疗器械注册证复印件并圈出对应内容证明。</w:t>
      </w:r>
    </w:p>
    <w:p>
      <w:pPr>
        <w:pStyle w:val="7"/>
        <w:numPr>
          <w:ilvl w:val="0"/>
          <w:numId w:val="32"/>
        </w:numPr>
        <w:spacing w:line="360" w:lineRule="auto"/>
        <w:ind w:left="540" w:leftChars="257" w:firstLine="287" w:firstLineChars="119"/>
        <w:rPr>
          <w:rFonts w:ascii="宋体" w:hAnsi="宋体"/>
          <w:b/>
          <w:color w:val="000000"/>
          <w:sz w:val="24"/>
          <w:szCs w:val="24"/>
        </w:rPr>
      </w:pPr>
      <w:r>
        <w:rPr>
          <w:rFonts w:hint="eastAsia" w:ascii="宋体" w:hAnsi="宋体"/>
          <w:b/>
          <w:color w:val="000000"/>
          <w:sz w:val="24"/>
          <w:szCs w:val="24"/>
        </w:rPr>
        <w:t>★支持描记和分析15导联同步心电图，要求提供含有描记和分析15导联同步心电图的医疗器械注册证复印件并圈出对应内容证明。</w:t>
      </w:r>
    </w:p>
    <w:p>
      <w:pPr>
        <w:pStyle w:val="7"/>
        <w:numPr>
          <w:ilvl w:val="0"/>
          <w:numId w:val="32"/>
        </w:numPr>
        <w:spacing w:line="360" w:lineRule="auto"/>
        <w:ind w:left="540" w:leftChars="257" w:firstLine="287" w:firstLineChars="119"/>
        <w:rPr>
          <w:rFonts w:ascii="宋体" w:hAnsi="宋体"/>
          <w:b/>
          <w:color w:val="000000"/>
          <w:sz w:val="24"/>
          <w:szCs w:val="24"/>
        </w:rPr>
      </w:pPr>
      <w:r>
        <w:rPr>
          <w:rFonts w:hint="eastAsia" w:ascii="宋体" w:hAnsi="宋体"/>
          <w:b/>
          <w:color w:val="000000"/>
          <w:sz w:val="24"/>
          <w:szCs w:val="24"/>
        </w:rPr>
        <w:t>★支持描记和分析16导联同步心电图，要求提供含有描记和分析16导联同步心电图的医疗器械注册证复印件并圈出对应内容证明。</w:t>
      </w:r>
    </w:p>
    <w:p>
      <w:pPr>
        <w:pStyle w:val="7"/>
        <w:numPr>
          <w:ilvl w:val="0"/>
          <w:numId w:val="32"/>
        </w:numPr>
        <w:spacing w:line="360" w:lineRule="auto"/>
        <w:ind w:left="540" w:leftChars="257" w:firstLine="287" w:firstLineChars="119"/>
        <w:rPr>
          <w:rFonts w:ascii="宋体" w:hAnsi="宋体"/>
          <w:b/>
          <w:color w:val="000000"/>
          <w:sz w:val="24"/>
          <w:szCs w:val="24"/>
        </w:rPr>
      </w:pPr>
      <w:r>
        <w:rPr>
          <w:rFonts w:hint="eastAsia" w:ascii="宋体" w:hAnsi="宋体"/>
          <w:b/>
          <w:color w:val="000000"/>
          <w:sz w:val="24"/>
          <w:szCs w:val="24"/>
        </w:rPr>
        <w:t>★支持描记和分析18导联同步心电图，要求提供含有描记和分析18导联同步心电图的医疗器械注册证复印件并圈出对应内容证明。</w:t>
      </w:r>
    </w:p>
    <w:p>
      <w:pPr>
        <w:pStyle w:val="7"/>
        <w:numPr>
          <w:ilvl w:val="0"/>
          <w:numId w:val="32"/>
        </w:numPr>
        <w:spacing w:line="360" w:lineRule="auto"/>
        <w:ind w:left="540" w:leftChars="257" w:firstLine="287" w:firstLineChars="119"/>
        <w:rPr>
          <w:rFonts w:ascii="宋体" w:hAnsi="宋体"/>
          <w:b/>
          <w:color w:val="000000"/>
          <w:sz w:val="24"/>
          <w:szCs w:val="24"/>
        </w:rPr>
      </w:pPr>
      <w:r>
        <w:rPr>
          <w:rFonts w:hint="eastAsia" w:ascii="宋体" w:hAnsi="宋体"/>
          <w:b/>
          <w:color w:val="000000"/>
          <w:sz w:val="24"/>
          <w:szCs w:val="24"/>
        </w:rPr>
        <w:t>★支持描记和分析空间向量心电图，要求提供含有描记和分析空间向量心电图的医疗器械注册证复印件并圈出对应内容证明。</w:t>
      </w:r>
    </w:p>
    <w:p>
      <w:pPr>
        <w:pStyle w:val="7"/>
        <w:numPr>
          <w:ilvl w:val="0"/>
          <w:numId w:val="32"/>
        </w:numPr>
        <w:spacing w:line="360" w:lineRule="auto"/>
        <w:ind w:left="540" w:leftChars="257" w:firstLine="287" w:firstLineChars="119"/>
        <w:rPr>
          <w:rFonts w:ascii="宋体" w:hAnsi="宋体"/>
          <w:b/>
          <w:color w:val="000000"/>
          <w:sz w:val="24"/>
          <w:szCs w:val="24"/>
        </w:rPr>
      </w:pPr>
      <w:r>
        <w:rPr>
          <w:rFonts w:hint="eastAsia" w:ascii="宋体" w:hAnsi="宋体"/>
          <w:b/>
          <w:color w:val="000000"/>
          <w:sz w:val="24"/>
          <w:szCs w:val="24"/>
        </w:rPr>
        <w:t>★支持描记和分析时间向量心电图，要求提供含有描记和分析时间向量心电图的医疗器械注册证复印件并圈出对应内容证明。</w:t>
      </w:r>
    </w:p>
    <w:p>
      <w:pPr>
        <w:pStyle w:val="7"/>
        <w:numPr>
          <w:ilvl w:val="0"/>
          <w:numId w:val="32"/>
        </w:numPr>
        <w:spacing w:line="360" w:lineRule="auto"/>
        <w:ind w:left="540" w:leftChars="257" w:firstLine="287" w:firstLineChars="119"/>
        <w:rPr>
          <w:rFonts w:ascii="宋体" w:hAnsi="宋体"/>
          <w:b/>
          <w:color w:val="000000"/>
          <w:sz w:val="24"/>
          <w:szCs w:val="24"/>
        </w:rPr>
      </w:pPr>
      <w:r>
        <w:rPr>
          <w:rFonts w:hint="eastAsia" w:ascii="宋体" w:hAnsi="宋体"/>
          <w:b/>
          <w:color w:val="000000"/>
          <w:sz w:val="24"/>
          <w:szCs w:val="24"/>
        </w:rPr>
        <w:t>★支持心室晚电位分析功能，要求提供含有心室晚电位功能的医疗器械注册证复印件并圈出对应内容证明。</w:t>
      </w:r>
    </w:p>
    <w:p>
      <w:pPr>
        <w:pStyle w:val="7"/>
        <w:numPr>
          <w:ilvl w:val="0"/>
          <w:numId w:val="32"/>
        </w:numPr>
        <w:spacing w:line="360" w:lineRule="auto"/>
        <w:ind w:left="540" w:leftChars="257" w:firstLine="287" w:firstLineChars="119"/>
        <w:rPr>
          <w:rFonts w:ascii="宋体" w:hAnsi="宋体"/>
          <w:b/>
          <w:color w:val="000000"/>
          <w:sz w:val="24"/>
          <w:szCs w:val="24"/>
        </w:rPr>
      </w:pPr>
      <w:r>
        <w:rPr>
          <w:rFonts w:hint="eastAsia" w:ascii="宋体" w:hAnsi="宋体"/>
          <w:b/>
          <w:color w:val="000000"/>
          <w:sz w:val="24"/>
          <w:szCs w:val="24"/>
        </w:rPr>
        <w:t>★支持心率变异性分析功能，要求提供含有心率变异性分析功能的医疗器械注册证复印件并圈出对应内容证明。</w:t>
      </w:r>
    </w:p>
    <w:p>
      <w:pPr>
        <w:pStyle w:val="7"/>
        <w:numPr>
          <w:ilvl w:val="0"/>
          <w:numId w:val="32"/>
        </w:numPr>
        <w:spacing w:line="360" w:lineRule="auto"/>
        <w:ind w:left="540" w:leftChars="257" w:firstLine="285" w:firstLineChars="119"/>
        <w:rPr>
          <w:rFonts w:ascii="宋体" w:hAnsi="宋体"/>
          <w:bCs/>
          <w:sz w:val="24"/>
          <w:szCs w:val="24"/>
        </w:rPr>
      </w:pPr>
      <w:r>
        <w:rPr>
          <w:rFonts w:hint="eastAsia" w:ascii="宋体" w:hAnsi="宋体"/>
          <w:bCs/>
          <w:sz w:val="24"/>
          <w:szCs w:val="24"/>
        </w:rPr>
        <w:t>支持快速心电功能，适用于急诊及紧急情况下，快速完成心电图的采集；</w:t>
      </w:r>
    </w:p>
    <w:p>
      <w:pPr>
        <w:pStyle w:val="7"/>
        <w:numPr>
          <w:ilvl w:val="0"/>
          <w:numId w:val="32"/>
        </w:numPr>
        <w:spacing w:line="360" w:lineRule="auto"/>
        <w:ind w:left="540" w:leftChars="257" w:firstLine="285" w:firstLineChars="119"/>
        <w:rPr>
          <w:rFonts w:ascii="宋体" w:hAnsi="宋体"/>
          <w:bCs/>
          <w:sz w:val="24"/>
          <w:szCs w:val="24"/>
        </w:rPr>
      </w:pPr>
      <w:r>
        <w:rPr>
          <w:rFonts w:hint="eastAsia" w:ascii="宋体" w:hAnsi="宋体"/>
          <w:bCs/>
          <w:sz w:val="24"/>
          <w:szCs w:val="24"/>
        </w:rPr>
        <w:t>具备波形预采功能，可用于捕捉偶发、一过性的心律失常事件，预采集时间可进行设置；</w:t>
      </w:r>
    </w:p>
    <w:p>
      <w:pPr>
        <w:pStyle w:val="7"/>
        <w:numPr>
          <w:ilvl w:val="0"/>
          <w:numId w:val="32"/>
        </w:numPr>
        <w:spacing w:line="360" w:lineRule="auto"/>
        <w:ind w:left="540" w:leftChars="257" w:firstLine="287" w:firstLineChars="119"/>
        <w:rPr>
          <w:rFonts w:ascii="宋体" w:hAnsi="宋体"/>
          <w:b/>
          <w:color w:val="000000"/>
          <w:sz w:val="24"/>
          <w:szCs w:val="24"/>
        </w:rPr>
      </w:pPr>
      <w:r>
        <w:rPr>
          <w:rFonts w:hint="eastAsia" w:ascii="宋体" w:hAnsi="宋体"/>
          <w:b/>
          <w:color w:val="000000"/>
          <w:sz w:val="24"/>
          <w:szCs w:val="24"/>
        </w:rPr>
        <w:t>★具备心电波形重采集功能，无需再次输入患者信息，即可快速完成波形的重新采集。</w:t>
      </w:r>
    </w:p>
    <w:p>
      <w:pPr>
        <w:pStyle w:val="7"/>
        <w:numPr>
          <w:ilvl w:val="0"/>
          <w:numId w:val="32"/>
        </w:numPr>
        <w:spacing w:line="360" w:lineRule="auto"/>
        <w:ind w:left="540" w:leftChars="257" w:firstLine="287" w:firstLineChars="119"/>
        <w:rPr>
          <w:rFonts w:ascii="宋体" w:hAnsi="宋体"/>
          <w:b/>
          <w:color w:val="000000"/>
          <w:sz w:val="24"/>
          <w:szCs w:val="24"/>
        </w:rPr>
      </w:pPr>
      <w:r>
        <w:rPr>
          <w:rFonts w:hint="eastAsia" w:ascii="宋体" w:hAnsi="宋体"/>
          <w:b/>
          <w:color w:val="000000"/>
          <w:sz w:val="24"/>
          <w:szCs w:val="24"/>
        </w:rPr>
        <w:t>★具备心电加做模式，在完成标准12导心电采集后，可加做右胸与后壁心电采集。</w:t>
      </w:r>
    </w:p>
    <w:p>
      <w:pPr>
        <w:pStyle w:val="7"/>
        <w:numPr>
          <w:ilvl w:val="0"/>
          <w:numId w:val="32"/>
        </w:numPr>
        <w:spacing w:line="360" w:lineRule="auto"/>
        <w:ind w:left="540" w:leftChars="257" w:firstLine="287" w:firstLineChars="119"/>
        <w:rPr>
          <w:rFonts w:ascii="宋体" w:hAnsi="宋体"/>
          <w:b/>
          <w:color w:val="000000"/>
          <w:sz w:val="24"/>
          <w:szCs w:val="24"/>
        </w:rPr>
      </w:pPr>
      <w:r>
        <w:rPr>
          <w:rFonts w:hint="eastAsia" w:ascii="宋体" w:hAnsi="宋体"/>
          <w:b/>
          <w:color w:val="000000"/>
          <w:sz w:val="24"/>
          <w:szCs w:val="24"/>
        </w:rPr>
        <w:t>★支持系统在线自动更新功能，便于系统升级维护；要求提供自动更新软件界面截图证明。</w:t>
      </w:r>
    </w:p>
    <w:p>
      <w:pPr>
        <w:pStyle w:val="7"/>
        <w:spacing w:line="360" w:lineRule="auto"/>
        <w:ind w:left="540" w:leftChars="257" w:firstLine="482"/>
        <w:rPr>
          <w:rFonts w:ascii="宋体" w:hAnsi="宋体"/>
          <w:b/>
          <w:sz w:val="24"/>
          <w:szCs w:val="24"/>
        </w:rPr>
      </w:pPr>
      <w:r>
        <w:rPr>
          <w:rFonts w:hint="eastAsia" w:ascii="宋体" w:hAnsi="宋体"/>
          <w:b/>
          <w:sz w:val="24"/>
          <w:szCs w:val="24"/>
        </w:rPr>
        <w:t>4.2.5.1.2 主要技术指标</w:t>
      </w:r>
    </w:p>
    <w:p>
      <w:pPr>
        <w:pStyle w:val="7"/>
        <w:numPr>
          <w:ilvl w:val="0"/>
          <w:numId w:val="33"/>
        </w:numPr>
        <w:spacing w:line="360" w:lineRule="auto"/>
        <w:ind w:left="540" w:leftChars="257" w:firstLine="285" w:firstLineChars="119"/>
        <w:rPr>
          <w:rFonts w:ascii="宋体" w:hAnsi="宋体"/>
          <w:bCs/>
          <w:sz w:val="24"/>
          <w:szCs w:val="24"/>
        </w:rPr>
      </w:pPr>
      <w:r>
        <w:rPr>
          <w:rFonts w:hint="eastAsia" w:ascii="宋体" w:hAnsi="宋体"/>
          <w:bCs/>
          <w:sz w:val="24"/>
          <w:szCs w:val="24"/>
        </w:rPr>
        <w:t>输入阻抗：≥5MΩ</w:t>
      </w:r>
    </w:p>
    <w:p>
      <w:pPr>
        <w:pStyle w:val="7"/>
        <w:numPr>
          <w:ilvl w:val="0"/>
          <w:numId w:val="33"/>
        </w:numPr>
        <w:spacing w:line="360" w:lineRule="auto"/>
        <w:ind w:left="540" w:leftChars="257" w:firstLine="285" w:firstLineChars="119"/>
        <w:rPr>
          <w:rFonts w:ascii="宋体" w:hAnsi="宋体"/>
          <w:bCs/>
          <w:sz w:val="24"/>
          <w:szCs w:val="24"/>
        </w:rPr>
      </w:pPr>
      <w:r>
        <w:rPr>
          <w:rFonts w:hint="eastAsia" w:ascii="宋体" w:hAnsi="宋体"/>
          <w:bCs/>
          <w:sz w:val="24"/>
          <w:szCs w:val="24"/>
        </w:rPr>
        <w:t>输入回路电流：≤0.1μA</w:t>
      </w:r>
    </w:p>
    <w:p>
      <w:pPr>
        <w:pStyle w:val="7"/>
        <w:numPr>
          <w:ilvl w:val="0"/>
          <w:numId w:val="33"/>
        </w:numPr>
        <w:spacing w:line="360" w:lineRule="auto"/>
        <w:ind w:left="540" w:leftChars="257" w:firstLine="285" w:firstLineChars="119"/>
        <w:rPr>
          <w:rFonts w:ascii="宋体" w:hAnsi="宋体"/>
          <w:bCs/>
          <w:sz w:val="24"/>
          <w:szCs w:val="24"/>
        </w:rPr>
      </w:pPr>
      <w:r>
        <w:rPr>
          <w:rFonts w:hint="eastAsia" w:ascii="宋体" w:hAnsi="宋体"/>
          <w:bCs/>
          <w:sz w:val="24"/>
          <w:szCs w:val="24"/>
        </w:rPr>
        <w:t>噪声：≤15μVp-p</w:t>
      </w:r>
    </w:p>
    <w:p>
      <w:pPr>
        <w:pStyle w:val="7"/>
        <w:numPr>
          <w:ilvl w:val="0"/>
          <w:numId w:val="33"/>
        </w:numPr>
        <w:spacing w:line="360" w:lineRule="auto"/>
        <w:ind w:left="540" w:leftChars="257" w:firstLine="285" w:firstLineChars="119"/>
        <w:rPr>
          <w:rFonts w:ascii="宋体" w:hAnsi="宋体"/>
          <w:bCs/>
          <w:sz w:val="24"/>
          <w:szCs w:val="24"/>
        </w:rPr>
      </w:pPr>
      <w:r>
        <w:rPr>
          <w:rFonts w:hint="eastAsia" w:ascii="宋体" w:hAnsi="宋体"/>
          <w:bCs/>
          <w:sz w:val="24"/>
          <w:szCs w:val="24"/>
        </w:rPr>
        <w:t>共模抑制比：≥89dB</w:t>
      </w:r>
    </w:p>
    <w:p>
      <w:pPr>
        <w:pStyle w:val="7"/>
        <w:numPr>
          <w:ilvl w:val="0"/>
          <w:numId w:val="33"/>
        </w:numPr>
        <w:spacing w:line="360" w:lineRule="auto"/>
        <w:ind w:left="540" w:leftChars="257" w:firstLine="285" w:firstLineChars="119"/>
        <w:rPr>
          <w:rFonts w:ascii="宋体" w:hAnsi="宋体"/>
          <w:bCs/>
          <w:sz w:val="24"/>
          <w:szCs w:val="24"/>
        </w:rPr>
      </w:pPr>
      <w:r>
        <w:rPr>
          <w:rFonts w:hint="eastAsia" w:ascii="宋体" w:hAnsi="宋体"/>
          <w:bCs/>
          <w:sz w:val="24"/>
          <w:szCs w:val="24"/>
        </w:rPr>
        <w:t>时间常数：≥3.2s</w:t>
      </w:r>
    </w:p>
    <w:p>
      <w:pPr>
        <w:pStyle w:val="7"/>
        <w:numPr>
          <w:ilvl w:val="0"/>
          <w:numId w:val="33"/>
        </w:numPr>
        <w:spacing w:line="360" w:lineRule="auto"/>
        <w:ind w:left="540" w:leftChars="257" w:firstLine="285" w:firstLineChars="119"/>
        <w:rPr>
          <w:rFonts w:ascii="宋体" w:hAnsi="宋体"/>
          <w:bCs/>
          <w:sz w:val="24"/>
          <w:szCs w:val="24"/>
        </w:rPr>
      </w:pPr>
      <w:r>
        <w:rPr>
          <w:rFonts w:hint="eastAsia" w:ascii="宋体" w:hAnsi="宋体"/>
          <w:bCs/>
          <w:sz w:val="24"/>
          <w:szCs w:val="24"/>
        </w:rPr>
        <w:t>耐极化电压：在±300mV直流极化电压下，灵敏度变化不超过5%</w:t>
      </w:r>
    </w:p>
    <w:p>
      <w:pPr>
        <w:pStyle w:val="7"/>
        <w:numPr>
          <w:ilvl w:val="0"/>
          <w:numId w:val="33"/>
        </w:numPr>
        <w:spacing w:line="360" w:lineRule="auto"/>
        <w:ind w:left="540" w:leftChars="257" w:firstLine="285" w:firstLineChars="119"/>
        <w:rPr>
          <w:rFonts w:ascii="宋体" w:hAnsi="宋体"/>
          <w:bCs/>
          <w:sz w:val="24"/>
          <w:szCs w:val="24"/>
        </w:rPr>
      </w:pPr>
      <w:r>
        <w:rPr>
          <w:rFonts w:hint="eastAsia" w:ascii="宋体" w:hAnsi="宋体"/>
          <w:bCs/>
          <w:sz w:val="24"/>
          <w:szCs w:val="24"/>
        </w:rPr>
        <w:t>A/D转换：24bit</w:t>
      </w:r>
    </w:p>
    <w:p>
      <w:pPr>
        <w:pStyle w:val="7"/>
        <w:numPr>
          <w:ilvl w:val="0"/>
          <w:numId w:val="33"/>
        </w:numPr>
        <w:spacing w:line="360" w:lineRule="auto"/>
        <w:ind w:left="540" w:leftChars="257" w:firstLine="285" w:firstLineChars="119"/>
        <w:rPr>
          <w:rFonts w:ascii="宋体" w:hAnsi="宋体"/>
          <w:bCs/>
          <w:sz w:val="24"/>
          <w:szCs w:val="24"/>
        </w:rPr>
      </w:pPr>
      <w:r>
        <w:rPr>
          <w:rFonts w:hint="eastAsia" w:ascii="宋体" w:hAnsi="宋体"/>
          <w:bCs/>
          <w:sz w:val="24"/>
          <w:szCs w:val="24"/>
        </w:rPr>
        <w:t>定标电压：1mV±5%</w:t>
      </w:r>
    </w:p>
    <w:p>
      <w:pPr>
        <w:pStyle w:val="7"/>
        <w:numPr>
          <w:ilvl w:val="0"/>
          <w:numId w:val="33"/>
        </w:numPr>
        <w:spacing w:line="360" w:lineRule="auto"/>
        <w:ind w:left="540" w:leftChars="257" w:firstLine="285" w:firstLineChars="119"/>
        <w:rPr>
          <w:rFonts w:ascii="宋体" w:hAnsi="宋体"/>
          <w:bCs/>
          <w:sz w:val="24"/>
          <w:szCs w:val="24"/>
        </w:rPr>
      </w:pPr>
      <w:r>
        <w:rPr>
          <w:rFonts w:hint="eastAsia" w:ascii="宋体" w:hAnsi="宋体"/>
          <w:bCs/>
          <w:sz w:val="24"/>
          <w:szCs w:val="24"/>
        </w:rPr>
        <w:t>标准灵敏度：10mm/mV+5%</w:t>
      </w:r>
    </w:p>
    <w:p>
      <w:pPr>
        <w:pStyle w:val="7"/>
        <w:numPr>
          <w:ilvl w:val="0"/>
          <w:numId w:val="33"/>
        </w:numPr>
        <w:spacing w:line="360" w:lineRule="auto"/>
        <w:ind w:left="540" w:leftChars="257" w:firstLine="285" w:firstLineChars="119"/>
        <w:rPr>
          <w:rFonts w:ascii="宋体" w:hAnsi="宋体"/>
          <w:bCs/>
          <w:sz w:val="24"/>
          <w:szCs w:val="24"/>
        </w:rPr>
      </w:pPr>
      <w:r>
        <w:rPr>
          <w:rFonts w:hint="eastAsia" w:ascii="宋体" w:hAnsi="宋体"/>
          <w:bCs/>
          <w:sz w:val="24"/>
          <w:szCs w:val="24"/>
        </w:rPr>
        <w:t>灵敏度转换误差：由10mm/mV转换为5 mm/mV、20mm/mV时，转换误差不大于+5%</w:t>
      </w:r>
    </w:p>
    <w:p>
      <w:pPr>
        <w:pStyle w:val="7"/>
        <w:numPr>
          <w:ilvl w:val="0"/>
          <w:numId w:val="33"/>
        </w:numPr>
        <w:spacing w:line="360" w:lineRule="auto"/>
        <w:ind w:left="540" w:leftChars="257" w:firstLine="285" w:firstLineChars="119"/>
        <w:rPr>
          <w:rFonts w:ascii="宋体" w:hAnsi="宋体"/>
          <w:bCs/>
          <w:sz w:val="24"/>
          <w:szCs w:val="24"/>
        </w:rPr>
      </w:pPr>
      <w:r>
        <w:rPr>
          <w:rFonts w:hint="eastAsia" w:ascii="宋体" w:hAnsi="宋体"/>
          <w:bCs/>
          <w:sz w:val="24"/>
          <w:szCs w:val="24"/>
        </w:rPr>
        <w:t>走纸速度：在25mm/s和50mm/s纸速时,误差不超过+5%</w:t>
      </w:r>
    </w:p>
    <w:p>
      <w:pPr>
        <w:pStyle w:val="7"/>
        <w:numPr>
          <w:ilvl w:val="0"/>
          <w:numId w:val="33"/>
        </w:numPr>
        <w:spacing w:line="360" w:lineRule="auto"/>
        <w:ind w:left="540" w:leftChars="257" w:firstLine="285" w:firstLineChars="119"/>
        <w:rPr>
          <w:rFonts w:ascii="宋体" w:hAnsi="宋体"/>
          <w:bCs/>
          <w:sz w:val="24"/>
          <w:szCs w:val="24"/>
        </w:rPr>
      </w:pPr>
      <w:r>
        <w:rPr>
          <w:rFonts w:hint="eastAsia" w:ascii="宋体" w:hAnsi="宋体"/>
          <w:bCs/>
          <w:sz w:val="24"/>
          <w:szCs w:val="24"/>
        </w:rPr>
        <w:t>抗干扰滤波：具有交流滤波、肌电滤波、基线滤波</w:t>
      </w:r>
    </w:p>
    <w:p>
      <w:pPr>
        <w:pStyle w:val="7"/>
        <w:numPr>
          <w:ilvl w:val="0"/>
          <w:numId w:val="33"/>
        </w:numPr>
        <w:spacing w:line="360" w:lineRule="auto"/>
        <w:ind w:left="540" w:leftChars="257" w:firstLine="285" w:firstLineChars="119"/>
        <w:rPr>
          <w:rFonts w:ascii="宋体" w:hAnsi="宋体"/>
          <w:bCs/>
          <w:sz w:val="24"/>
          <w:szCs w:val="24"/>
        </w:rPr>
      </w:pPr>
      <w:r>
        <w:rPr>
          <w:rFonts w:hint="eastAsia" w:ascii="宋体" w:hAnsi="宋体"/>
          <w:bCs/>
          <w:sz w:val="24"/>
          <w:szCs w:val="24"/>
        </w:rPr>
        <w:t>工频干扰抑制器：抑制比不小于20dB</w:t>
      </w:r>
    </w:p>
    <w:p>
      <w:pPr>
        <w:pStyle w:val="7"/>
        <w:numPr>
          <w:ilvl w:val="3"/>
          <w:numId w:val="10"/>
        </w:numPr>
        <w:spacing w:line="360" w:lineRule="auto"/>
        <w:ind w:left="540" w:leftChars="257" w:firstLine="480"/>
        <w:rPr>
          <w:rFonts w:ascii="宋体" w:hAnsi="宋体"/>
          <w:sz w:val="24"/>
          <w:szCs w:val="24"/>
        </w:rPr>
      </w:pPr>
      <w:r>
        <w:rPr>
          <w:rFonts w:hint="eastAsia" w:ascii="宋体" w:hAnsi="宋体"/>
          <w:sz w:val="24"/>
          <w:szCs w:val="24"/>
        </w:rPr>
        <w:t>静息</w:t>
      </w:r>
      <w:r>
        <w:rPr>
          <w:rFonts w:ascii="宋体" w:hAnsi="宋体"/>
          <w:sz w:val="24"/>
          <w:szCs w:val="24"/>
        </w:rPr>
        <w:t>心电采集设备</w:t>
      </w:r>
    </w:p>
    <w:p>
      <w:pPr>
        <w:pStyle w:val="7"/>
        <w:numPr>
          <w:ilvl w:val="0"/>
          <w:numId w:val="34"/>
        </w:numPr>
        <w:spacing w:line="360" w:lineRule="auto"/>
        <w:ind w:left="540" w:leftChars="257" w:firstLine="480"/>
        <w:rPr>
          <w:rFonts w:ascii="宋体" w:hAnsi="宋体"/>
          <w:sz w:val="24"/>
          <w:szCs w:val="24"/>
        </w:rPr>
      </w:pPr>
      <w:r>
        <w:rPr>
          <w:rFonts w:hint="eastAsia" w:ascii="宋体" w:hAnsi="宋体"/>
          <w:sz w:val="24"/>
          <w:szCs w:val="24"/>
        </w:rPr>
        <w:t>ECG输入： 12导同步采集、同屏显示</w:t>
      </w:r>
    </w:p>
    <w:p>
      <w:pPr>
        <w:pStyle w:val="7"/>
        <w:numPr>
          <w:ilvl w:val="0"/>
          <w:numId w:val="34"/>
        </w:numPr>
        <w:spacing w:line="360" w:lineRule="auto"/>
        <w:ind w:left="540" w:leftChars="257" w:firstLine="480"/>
        <w:rPr>
          <w:rFonts w:ascii="宋体" w:hAnsi="宋体"/>
          <w:sz w:val="24"/>
          <w:szCs w:val="24"/>
        </w:rPr>
      </w:pPr>
      <w:r>
        <w:rPr>
          <w:rFonts w:hint="eastAsia" w:ascii="宋体" w:hAnsi="宋体"/>
          <w:sz w:val="24"/>
          <w:szCs w:val="24"/>
        </w:rPr>
        <w:t>输入阻抗：≥5MΩ</w:t>
      </w:r>
    </w:p>
    <w:p>
      <w:pPr>
        <w:pStyle w:val="7"/>
        <w:numPr>
          <w:ilvl w:val="0"/>
          <w:numId w:val="34"/>
        </w:numPr>
        <w:spacing w:line="360" w:lineRule="auto"/>
        <w:ind w:left="540" w:leftChars="257" w:firstLine="480"/>
        <w:rPr>
          <w:rFonts w:ascii="宋体" w:hAnsi="宋体"/>
          <w:sz w:val="24"/>
          <w:szCs w:val="24"/>
        </w:rPr>
      </w:pPr>
      <w:r>
        <w:rPr>
          <w:rFonts w:hint="eastAsia" w:ascii="宋体" w:hAnsi="宋体"/>
          <w:sz w:val="24"/>
          <w:szCs w:val="24"/>
        </w:rPr>
        <w:t>输入回路电流：≤0.1μA</w:t>
      </w:r>
    </w:p>
    <w:p>
      <w:pPr>
        <w:pStyle w:val="7"/>
        <w:numPr>
          <w:ilvl w:val="0"/>
          <w:numId w:val="34"/>
        </w:numPr>
        <w:spacing w:line="360" w:lineRule="auto"/>
        <w:ind w:left="540" w:leftChars="257" w:firstLine="480"/>
        <w:rPr>
          <w:rFonts w:ascii="宋体" w:hAnsi="宋体"/>
          <w:sz w:val="24"/>
          <w:szCs w:val="24"/>
        </w:rPr>
      </w:pPr>
      <w:r>
        <w:rPr>
          <w:rFonts w:hint="eastAsia" w:ascii="宋体" w:hAnsi="宋体"/>
          <w:sz w:val="24"/>
          <w:szCs w:val="24"/>
        </w:rPr>
        <w:t>噪声：≤15μVp-p</w:t>
      </w:r>
    </w:p>
    <w:p>
      <w:pPr>
        <w:pStyle w:val="7"/>
        <w:numPr>
          <w:ilvl w:val="0"/>
          <w:numId w:val="34"/>
        </w:numPr>
        <w:spacing w:line="360" w:lineRule="auto"/>
        <w:ind w:left="540" w:leftChars="257" w:firstLine="480"/>
        <w:rPr>
          <w:rFonts w:ascii="宋体" w:hAnsi="宋体"/>
          <w:sz w:val="24"/>
          <w:szCs w:val="24"/>
        </w:rPr>
      </w:pPr>
      <w:r>
        <w:rPr>
          <w:rFonts w:hint="eastAsia" w:ascii="宋体" w:hAnsi="宋体"/>
          <w:sz w:val="24"/>
          <w:szCs w:val="24"/>
        </w:rPr>
        <w:t>共模抑制比：≥89dB</w:t>
      </w:r>
    </w:p>
    <w:p>
      <w:pPr>
        <w:pStyle w:val="7"/>
        <w:numPr>
          <w:ilvl w:val="0"/>
          <w:numId w:val="34"/>
        </w:numPr>
        <w:spacing w:line="360" w:lineRule="auto"/>
        <w:ind w:left="540" w:leftChars="257" w:firstLine="480"/>
        <w:rPr>
          <w:rFonts w:ascii="宋体" w:hAnsi="宋体"/>
          <w:sz w:val="24"/>
          <w:szCs w:val="24"/>
        </w:rPr>
      </w:pPr>
      <w:r>
        <w:rPr>
          <w:rFonts w:hint="eastAsia" w:ascii="宋体" w:hAnsi="宋体"/>
          <w:sz w:val="24"/>
          <w:szCs w:val="24"/>
        </w:rPr>
        <w:t>时间常数：≥3.2s</w:t>
      </w:r>
    </w:p>
    <w:p>
      <w:pPr>
        <w:pStyle w:val="7"/>
        <w:numPr>
          <w:ilvl w:val="0"/>
          <w:numId w:val="34"/>
        </w:numPr>
        <w:spacing w:line="360" w:lineRule="auto"/>
        <w:ind w:left="540" w:leftChars="257" w:firstLine="480"/>
        <w:rPr>
          <w:rFonts w:ascii="宋体" w:hAnsi="宋体"/>
          <w:sz w:val="24"/>
          <w:szCs w:val="24"/>
        </w:rPr>
      </w:pPr>
      <w:r>
        <w:rPr>
          <w:rFonts w:hint="eastAsia" w:ascii="宋体" w:hAnsi="宋体"/>
          <w:sz w:val="24"/>
          <w:szCs w:val="24"/>
        </w:rPr>
        <w:t>耐极化电压：在±300mV直流极化电压下，灵敏度变化不超过±5%</w:t>
      </w:r>
    </w:p>
    <w:p>
      <w:pPr>
        <w:pStyle w:val="7"/>
        <w:numPr>
          <w:ilvl w:val="0"/>
          <w:numId w:val="34"/>
        </w:numPr>
        <w:spacing w:line="360" w:lineRule="auto"/>
        <w:ind w:left="540" w:leftChars="257" w:firstLine="480"/>
        <w:rPr>
          <w:rFonts w:ascii="宋体" w:hAnsi="宋体"/>
          <w:sz w:val="24"/>
          <w:szCs w:val="24"/>
        </w:rPr>
      </w:pPr>
      <w:r>
        <w:rPr>
          <w:rFonts w:hint="eastAsia" w:ascii="宋体" w:hAnsi="宋体"/>
          <w:sz w:val="24"/>
          <w:szCs w:val="24"/>
        </w:rPr>
        <w:t>A/D转换：24bit</w:t>
      </w:r>
    </w:p>
    <w:p>
      <w:pPr>
        <w:pStyle w:val="7"/>
        <w:numPr>
          <w:ilvl w:val="0"/>
          <w:numId w:val="34"/>
        </w:numPr>
        <w:spacing w:line="360" w:lineRule="auto"/>
        <w:ind w:left="540" w:leftChars="257" w:firstLine="480"/>
        <w:rPr>
          <w:rFonts w:ascii="宋体" w:hAnsi="宋体"/>
          <w:sz w:val="24"/>
          <w:szCs w:val="24"/>
        </w:rPr>
      </w:pPr>
      <w:r>
        <w:rPr>
          <w:rFonts w:hint="eastAsia" w:ascii="宋体" w:hAnsi="宋体"/>
          <w:sz w:val="24"/>
          <w:szCs w:val="24"/>
        </w:rPr>
        <w:t>定标电压：1mV±5%</w:t>
      </w:r>
    </w:p>
    <w:p>
      <w:pPr>
        <w:pStyle w:val="7"/>
        <w:numPr>
          <w:ilvl w:val="0"/>
          <w:numId w:val="34"/>
        </w:numPr>
        <w:spacing w:line="360" w:lineRule="auto"/>
        <w:ind w:left="540" w:leftChars="257" w:firstLine="285" w:firstLineChars="119"/>
        <w:rPr>
          <w:rFonts w:ascii="宋体" w:hAnsi="宋体"/>
          <w:sz w:val="24"/>
          <w:szCs w:val="24"/>
        </w:rPr>
      </w:pPr>
      <w:r>
        <w:rPr>
          <w:rFonts w:hint="eastAsia" w:ascii="宋体" w:hAnsi="宋体"/>
          <w:sz w:val="24"/>
          <w:szCs w:val="24"/>
        </w:rPr>
        <w:t>标准灵敏度：10mm/mV+5%</w:t>
      </w:r>
    </w:p>
    <w:p>
      <w:pPr>
        <w:pStyle w:val="7"/>
        <w:numPr>
          <w:ilvl w:val="0"/>
          <w:numId w:val="34"/>
        </w:numPr>
        <w:spacing w:line="360" w:lineRule="auto"/>
        <w:ind w:left="540" w:leftChars="257" w:firstLine="285" w:firstLineChars="119"/>
        <w:rPr>
          <w:rFonts w:ascii="宋体" w:hAnsi="宋体"/>
          <w:sz w:val="24"/>
          <w:szCs w:val="24"/>
        </w:rPr>
      </w:pPr>
      <w:r>
        <w:rPr>
          <w:rFonts w:hint="eastAsia" w:ascii="宋体" w:hAnsi="宋体"/>
          <w:sz w:val="24"/>
          <w:szCs w:val="24"/>
        </w:rPr>
        <w:t>灵敏度转换误差：由10mm/mV转换为5 mm/mV、20mm/mV时，转换误差不大于±5%</w:t>
      </w:r>
    </w:p>
    <w:p>
      <w:pPr>
        <w:pStyle w:val="7"/>
        <w:numPr>
          <w:ilvl w:val="0"/>
          <w:numId w:val="34"/>
        </w:numPr>
        <w:spacing w:line="360" w:lineRule="auto"/>
        <w:ind w:left="540" w:leftChars="257" w:firstLine="285" w:firstLineChars="119"/>
        <w:rPr>
          <w:rFonts w:ascii="宋体" w:hAnsi="宋体"/>
          <w:sz w:val="24"/>
          <w:szCs w:val="24"/>
        </w:rPr>
      </w:pPr>
      <w:r>
        <w:rPr>
          <w:rFonts w:hint="eastAsia" w:ascii="宋体" w:hAnsi="宋体"/>
          <w:sz w:val="24"/>
          <w:szCs w:val="24"/>
        </w:rPr>
        <w:t>走纸速度：在25mm/s和50mm/s纸速时,误差不超过±5%</w:t>
      </w:r>
    </w:p>
    <w:p>
      <w:pPr>
        <w:pStyle w:val="7"/>
        <w:numPr>
          <w:ilvl w:val="0"/>
          <w:numId w:val="34"/>
        </w:numPr>
        <w:spacing w:line="360" w:lineRule="auto"/>
        <w:ind w:left="540" w:leftChars="257" w:firstLine="285" w:firstLineChars="119"/>
        <w:rPr>
          <w:rFonts w:ascii="宋体" w:hAnsi="宋体"/>
          <w:sz w:val="24"/>
          <w:szCs w:val="24"/>
        </w:rPr>
      </w:pPr>
      <w:r>
        <w:rPr>
          <w:rFonts w:hint="eastAsia" w:ascii="宋体" w:hAnsi="宋体"/>
          <w:sz w:val="24"/>
          <w:szCs w:val="24"/>
        </w:rPr>
        <w:t>抗干扰滤波：具有交流滤波、肌电滤波、基线滤波</w:t>
      </w:r>
    </w:p>
    <w:p>
      <w:pPr>
        <w:pStyle w:val="7"/>
        <w:numPr>
          <w:ilvl w:val="0"/>
          <w:numId w:val="34"/>
        </w:numPr>
        <w:spacing w:line="360" w:lineRule="auto"/>
        <w:ind w:left="540" w:leftChars="257" w:firstLine="285" w:firstLineChars="119"/>
        <w:rPr>
          <w:rFonts w:ascii="宋体" w:hAnsi="宋体"/>
          <w:sz w:val="24"/>
          <w:szCs w:val="24"/>
        </w:rPr>
      </w:pPr>
      <w:r>
        <w:rPr>
          <w:rFonts w:hint="eastAsia" w:ascii="宋体" w:hAnsi="宋体"/>
          <w:sz w:val="24"/>
          <w:szCs w:val="24"/>
        </w:rPr>
        <w:t>工频干扰抑制器：抑制比不小于20dB</w:t>
      </w:r>
    </w:p>
    <w:p>
      <w:pPr>
        <w:pStyle w:val="7"/>
        <w:numPr>
          <w:ilvl w:val="0"/>
          <w:numId w:val="34"/>
        </w:numPr>
        <w:spacing w:line="360" w:lineRule="auto"/>
        <w:ind w:left="540" w:leftChars="257" w:firstLine="285" w:firstLineChars="119"/>
        <w:rPr>
          <w:rFonts w:ascii="宋体" w:hAnsi="宋体"/>
          <w:sz w:val="24"/>
          <w:szCs w:val="24"/>
        </w:rPr>
      </w:pPr>
      <w:r>
        <w:rPr>
          <w:rFonts w:hint="eastAsia" w:ascii="宋体" w:hAnsi="宋体"/>
          <w:sz w:val="24"/>
          <w:szCs w:val="24"/>
        </w:rPr>
        <w:t>采集模式：12导同步采集，支持兼容15导采集模式；</w:t>
      </w:r>
    </w:p>
    <w:p>
      <w:pPr>
        <w:pStyle w:val="7"/>
        <w:numPr>
          <w:ilvl w:val="0"/>
          <w:numId w:val="34"/>
        </w:numPr>
        <w:spacing w:line="360" w:lineRule="auto"/>
        <w:ind w:left="540" w:leftChars="257" w:firstLine="285" w:firstLineChars="119"/>
        <w:rPr>
          <w:rFonts w:ascii="宋体" w:hAnsi="宋体"/>
          <w:sz w:val="24"/>
          <w:szCs w:val="24"/>
        </w:rPr>
      </w:pPr>
      <w:r>
        <w:rPr>
          <w:rFonts w:hint="eastAsia" w:ascii="宋体" w:hAnsi="宋体"/>
          <w:sz w:val="24"/>
          <w:szCs w:val="24"/>
        </w:rPr>
        <w:t>导联模式：Wilson导联、Frank导联模式；</w:t>
      </w:r>
    </w:p>
    <w:p>
      <w:pPr>
        <w:pStyle w:val="7"/>
        <w:numPr>
          <w:ilvl w:val="0"/>
          <w:numId w:val="34"/>
        </w:numPr>
        <w:spacing w:line="360" w:lineRule="auto"/>
        <w:ind w:left="540" w:leftChars="257" w:firstLine="285" w:firstLineChars="119"/>
        <w:rPr>
          <w:rFonts w:ascii="宋体" w:hAnsi="宋体"/>
          <w:sz w:val="24"/>
          <w:szCs w:val="24"/>
        </w:rPr>
      </w:pPr>
      <w:r>
        <w:rPr>
          <w:rFonts w:hint="eastAsia" w:ascii="宋体" w:hAnsi="宋体"/>
          <w:sz w:val="24"/>
          <w:szCs w:val="24"/>
        </w:rPr>
        <w:t>显示模式： 12导：12x1、6x2、3x4+1、3x4+2、3x4+3，15导：15x1、5x3+1、6x3+1、5x3+3、3x5+3；</w:t>
      </w:r>
    </w:p>
    <w:p>
      <w:pPr>
        <w:pStyle w:val="7"/>
        <w:numPr>
          <w:ilvl w:val="0"/>
          <w:numId w:val="34"/>
        </w:numPr>
        <w:spacing w:line="360" w:lineRule="auto"/>
        <w:ind w:left="540" w:leftChars="257" w:firstLine="285" w:firstLineChars="119"/>
        <w:rPr>
          <w:rFonts w:ascii="宋体" w:hAnsi="宋体"/>
          <w:sz w:val="24"/>
          <w:szCs w:val="24"/>
        </w:rPr>
      </w:pPr>
      <w:r>
        <w:rPr>
          <w:rFonts w:hint="eastAsia" w:ascii="宋体" w:hAnsi="宋体"/>
          <w:sz w:val="24"/>
          <w:szCs w:val="24"/>
        </w:rPr>
        <w:t>灵敏度选择：2.5 mm/mv、5 mm/mv、10 mm/mv、20 mm/mv；</w:t>
      </w:r>
    </w:p>
    <w:p>
      <w:pPr>
        <w:pStyle w:val="7"/>
        <w:numPr>
          <w:ilvl w:val="0"/>
          <w:numId w:val="34"/>
        </w:numPr>
        <w:spacing w:line="360" w:lineRule="auto"/>
        <w:ind w:left="540" w:leftChars="257" w:firstLine="285" w:firstLineChars="119"/>
        <w:rPr>
          <w:rFonts w:ascii="宋体" w:hAnsi="宋体"/>
          <w:sz w:val="24"/>
          <w:szCs w:val="24"/>
        </w:rPr>
      </w:pPr>
      <w:r>
        <w:rPr>
          <w:rFonts w:hint="eastAsia" w:ascii="宋体" w:hAnsi="宋体"/>
          <w:sz w:val="24"/>
          <w:szCs w:val="24"/>
        </w:rPr>
        <w:t>走纸速度：12.5mm/s、25mm/s 、50mm/s；</w:t>
      </w:r>
    </w:p>
    <w:p>
      <w:pPr>
        <w:pStyle w:val="7"/>
        <w:numPr>
          <w:ilvl w:val="0"/>
          <w:numId w:val="34"/>
        </w:numPr>
        <w:spacing w:line="360" w:lineRule="auto"/>
        <w:ind w:left="540" w:leftChars="257" w:firstLine="285" w:firstLineChars="119"/>
        <w:rPr>
          <w:rFonts w:ascii="宋体" w:hAnsi="宋体"/>
          <w:sz w:val="24"/>
          <w:szCs w:val="24"/>
        </w:rPr>
      </w:pPr>
      <w:r>
        <w:rPr>
          <w:rFonts w:hint="eastAsia" w:ascii="宋体" w:hAnsi="宋体"/>
          <w:sz w:val="24"/>
          <w:szCs w:val="24"/>
        </w:rPr>
        <w:t>支持快速心电采集功能，适用于急诊及紧急情况下，快速完成心电图的采集；</w:t>
      </w:r>
    </w:p>
    <w:p>
      <w:pPr>
        <w:pStyle w:val="7"/>
        <w:numPr>
          <w:ilvl w:val="0"/>
          <w:numId w:val="34"/>
        </w:numPr>
        <w:spacing w:line="360" w:lineRule="auto"/>
        <w:ind w:left="540" w:leftChars="257" w:firstLine="285" w:firstLineChars="119"/>
        <w:rPr>
          <w:rFonts w:ascii="宋体" w:hAnsi="宋体"/>
          <w:sz w:val="24"/>
          <w:szCs w:val="24"/>
        </w:rPr>
      </w:pPr>
      <w:r>
        <w:rPr>
          <w:rFonts w:hint="eastAsia" w:ascii="宋体" w:hAnsi="宋体"/>
          <w:sz w:val="24"/>
          <w:szCs w:val="24"/>
        </w:rPr>
        <w:t>具备波形预采功能，可用于捕捉偶发、一过性的心律失常事件，预采集时间可设置；</w:t>
      </w:r>
    </w:p>
    <w:p>
      <w:pPr>
        <w:pStyle w:val="7"/>
        <w:numPr>
          <w:ilvl w:val="0"/>
          <w:numId w:val="34"/>
        </w:numPr>
        <w:spacing w:line="360" w:lineRule="auto"/>
        <w:ind w:left="540" w:leftChars="257" w:firstLine="287" w:firstLineChars="119"/>
        <w:rPr>
          <w:rFonts w:ascii="宋体" w:hAnsi="宋体"/>
          <w:b/>
          <w:bCs/>
          <w:color w:val="000000"/>
          <w:sz w:val="24"/>
          <w:szCs w:val="24"/>
        </w:rPr>
      </w:pPr>
      <w:r>
        <w:rPr>
          <w:rFonts w:hint="eastAsia" w:ascii="宋体" w:hAnsi="宋体"/>
          <w:b/>
          <w:bCs/>
          <w:color w:val="000000"/>
          <w:sz w:val="24"/>
          <w:szCs w:val="24"/>
        </w:rPr>
        <w:t>★支持12导心电+心向量同步采集技术：在传统12导心电导联线基础之上增加4根导联线，使得一次电极安放就可以同时支持WILLSON与FRANK两种导联，新增的四个导联线连接在正中、后背、颈部、右侧腋下位置。从而实现一次检查，直接采集到12导心电图与心电向量的准确数据。</w:t>
      </w:r>
    </w:p>
    <w:p>
      <w:pPr>
        <w:pStyle w:val="7"/>
        <w:ind w:firstLine="440"/>
      </w:pPr>
    </w:p>
    <w:p>
      <w:pPr>
        <w:pStyle w:val="4"/>
        <w:spacing w:before="10" w:line="360" w:lineRule="auto"/>
        <w:ind w:left="0" w:firstLine="0"/>
        <w:rPr>
          <w:rFonts w:ascii="宋体" w:hAnsi="宋体" w:eastAsia="宋体"/>
          <w:b/>
          <w:bCs/>
        </w:rPr>
      </w:pPr>
      <w:bookmarkStart w:id="242" w:name="_bookmark53"/>
      <w:bookmarkEnd w:id="242"/>
      <w:bookmarkStart w:id="243" w:name="3.2.14移动端WEB阅片"/>
      <w:bookmarkEnd w:id="243"/>
      <w:bookmarkStart w:id="244" w:name="3.3实验室管理信息系统(LIS)"/>
      <w:bookmarkEnd w:id="244"/>
      <w:bookmarkStart w:id="245" w:name="_bookmark52"/>
      <w:bookmarkEnd w:id="245"/>
      <w:bookmarkStart w:id="246" w:name="_bookmark51"/>
      <w:bookmarkEnd w:id="246"/>
      <w:bookmarkStart w:id="247" w:name="3.3.1条码管理"/>
      <w:bookmarkEnd w:id="247"/>
      <w:bookmarkStart w:id="248" w:name="_Toc92822042"/>
    </w:p>
    <w:p>
      <w:pPr>
        <w:pStyle w:val="4"/>
        <w:spacing w:before="10" w:line="360" w:lineRule="auto"/>
        <w:ind w:left="0" w:firstLine="0"/>
        <w:rPr>
          <w:rFonts w:hint="default" w:ascii="宋体" w:hAnsi="宋体" w:eastAsia="宋体"/>
          <w:b/>
          <w:bCs/>
        </w:rPr>
      </w:pPr>
      <w:r>
        <w:rPr>
          <w:rFonts w:hint="eastAsia" w:ascii="宋体" w:hAnsi="宋体" w:eastAsia="宋体"/>
          <w:b/>
          <w:bCs/>
          <w:lang w:eastAsia="zh-CN"/>
        </w:rPr>
        <w:t>五</w:t>
      </w:r>
      <w:r>
        <w:rPr>
          <w:rFonts w:ascii="宋体" w:hAnsi="宋体" w:eastAsia="宋体"/>
          <w:b/>
          <w:bCs/>
        </w:rPr>
        <w:t>、☆院感系统</w:t>
      </w:r>
      <w:bookmarkEnd w:id="248"/>
    </w:p>
    <w:tbl>
      <w:tblPr>
        <w:tblStyle w:val="39"/>
        <w:tblW w:w="4999"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54"/>
        <w:gridCol w:w="1102"/>
        <w:gridCol w:w="665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vMerge w:val="restart"/>
            <w:noWrap w:val="0"/>
            <w:vAlign w:val="center"/>
          </w:tcPr>
          <w:p>
            <w:pPr>
              <w:rPr>
                <w:rFonts w:ascii="宋体" w:hAnsi="宋体" w:cs="宋体"/>
              </w:rPr>
            </w:pPr>
            <w:r>
              <w:rPr>
                <w:rFonts w:hint="eastAsia" w:ascii="宋体" w:hAnsi="宋体" w:cs="宋体"/>
              </w:rPr>
              <w:t>序号</w:t>
            </w:r>
          </w:p>
        </w:tc>
        <w:tc>
          <w:tcPr>
            <w:tcW w:w="4557" w:type="pct"/>
            <w:gridSpan w:val="2"/>
            <w:noWrap w:val="0"/>
            <w:vAlign w:val="center"/>
          </w:tcPr>
          <w:p>
            <w:pPr>
              <w:jc w:val="center"/>
              <w:rPr>
                <w:rFonts w:ascii="宋体" w:hAnsi="宋体" w:cs="宋体"/>
              </w:rPr>
            </w:pPr>
            <w:r>
              <w:rPr>
                <w:rFonts w:hint="eastAsia" w:ascii="宋体" w:hAnsi="宋体" w:cs="宋体"/>
              </w:rPr>
              <w:t>名称及规格技术要求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vMerge w:val="continue"/>
            <w:noWrap w:val="0"/>
            <w:vAlign w:val="center"/>
          </w:tcPr>
          <w:p>
            <w:pPr>
              <w:rPr>
                <w:rFonts w:ascii="宋体" w:hAnsi="宋体" w:cs="宋体"/>
              </w:rPr>
            </w:pPr>
          </w:p>
        </w:tc>
        <w:tc>
          <w:tcPr>
            <w:tcW w:w="647" w:type="pct"/>
            <w:noWrap w:val="0"/>
            <w:vAlign w:val="center"/>
          </w:tcPr>
          <w:p>
            <w:pPr>
              <w:jc w:val="center"/>
              <w:rPr>
                <w:rFonts w:ascii="宋体" w:hAnsi="宋体" w:cs="宋体"/>
              </w:rPr>
            </w:pPr>
            <w:r>
              <w:rPr>
                <w:rFonts w:hint="eastAsia" w:ascii="宋体" w:hAnsi="宋体" w:cs="宋体"/>
              </w:rPr>
              <w:t>功能</w:t>
            </w:r>
          </w:p>
        </w:tc>
        <w:tc>
          <w:tcPr>
            <w:tcW w:w="3910" w:type="pct"/>
            <w:noWrap w:val="0"/>
            <w:vAlign w:val="center"/>
          </w:tcPr>
          <w:p>
            <w:pPr>
              <w:jc w:val="center"/>
              <w:rPr>
                <w:rFonts w:ascii="宋体" w:hAnsi="宋体" w:cs="宋体"/>
              </w:rPr>
            </w:pPr>
            <w:r>
              <w:rPr>
                <w:rFonts w:hint="eastAsia" w:ascii="宋体" w:hAnsi="宋体" w:cs="宋体"/>
              </w:rPr>
              <w:t>说明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noWrap w:val="0"/>
            <w:vAlign w:val="center"/>
          </w:tcPr>
          <w:p>
            <w:pPr>
              <w:pStyle w:val="110"/>
              <w:numPr>
                <w:ilvl w:val="0"/>
                <w:numId w:val="35"/>
              </w:numPr>
              <w:ind w:firstLineChars="0"/>
              <w:rPr>
                <w:rFonts w:ascii="宋体" w:hAnsi="宋体" w:cs="宋体"/>
              </w:rPr>
            </w:pPr>
          </w:p>
        </w:tc>
        <w:tc>
          <w:tcPr>
            <w:tcW w:w="647" w:type="pct"/>
            <w:noWrap w:val="0"/>
            <w:vAlign w:val="center"/>
          </w:tcPr>
          <w:p>
            <w:pPr>
              <w:rPr>
                <w:rFonts w:ascii="宋体" w:hAnsi="宋体" w:cs="宋体"/>
              </w:rPr>
            </w:pPr>
            <w:r>
              <w:rPr>
                <w:rFonts w:hint="eastAsia" w:ascii="宋体" w:hAnsi="宋体" w:cs="宋体"/>
              </w:rPr>
              <w:t>数据访问中间件</w:t>
            </w:r>
          </w:p>
        </w:tc>
        <w:tc>
          <w:tcPr>
            <w:tcW w:w="3910" w:type="pct"/>
            <w:noWrap w:val="0"/>
            <w:vAlign w:val="center"/>
          </w:tcPr>
          <w:p>
            <w:pPr>
              <w:rPr>
                <w:rFonts w:ascii="宋体" w:hAnsi="宋体" w:cs="宋体"/>
              </w:rPr>
            </w:pPr>
            <w:r>
              <w:rPr>
                <w:rFonts w:hint="eastAsia" w:ascii="宋体" w:hAnsi="宋体" w:cs="宋体"/>
              </w:rPr>
              <w:t>自动加载HIS、LIS、RIS等与院感相关的系统数据，如：患者基本情况、转科、诊断、床位、体温、细菌培养、常规检查、治疗方式、抗菌药物等。</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noWrap w:val="0"/>
            <w:vAlign w:val="center"/>
          </w:tcPr>
          <w:p>
            <w:pPr>
              <w:pStyle w:val="110"/>
              <w:numPr>
                <w:ilvl w:val="0"/>
                <w:numId w:val="35"/>
              </w:numPr>
              <w:ind w:firstLineChars="0"/>
              <w:rPr>
                <w:rFonts w:ascii="宋体" w:hAnsi="宋体" w:cs="宋体"/>
              </w:rPr>
            </w:pPr>
          </w:p>
        </w:tc>
        <w:tc>
          <w:tcPr>
            <w:tcW w:w="647" w:type="pct"/>
            <w:noWrap w:val="0"/>
            <w:vAlign w:val="center"/>
          </w:tcPr>
          <w:p>
            <w:pPr>
              <w:rPr>
                <w:rFonts w:ascii="宋体" w:hAnsi="宋体" w:cs="宋体"/>
              </w:rPr>
            </w:pPr>
            <w:r>
              <w:rPr>
                <w:rFonts w:hint="eastAsia" w:ascii="宋体" w:hAnsi="宋体" w:cs="宋体"/>
              </w:rPr>
              <w:t>病例预警</w:t>
            </w:r>
          </w:p>
        </w:tc>
        <w:tc>
          <w:tcPr>
            <w:tcW w:w="3910" w:type="pct"/>
            <w:noWrap w:val="0"/>
            <w:vAlign w:val="center"/>
          </w:tcPr>
          <w:p>
            <w:pPr>
              <w:rPr>
                <w:rFonts w:ascii="宋体" w:hAnsi="宋体" w:cs="宋体"/>
              </w:rPr>
            </w:pPr>
            <w:r>
              <w:rPr>
                <w:rFonts w:hint="eastAsia" w:ascii="宋体" w:hAnsi="宋体" w:cs="宋体"/>
              </w:rPr>
              <w:t>通过数据访问中间件，每天自动抓取HIS,RIS,LIS等系统中感染相关临床数据，综合分析患者感染相关临床数据，自动生成疑似感染病例预警，自动生成疑似感染部位，展现新发的疑似感染病例情况，分病区展示疑似感染病例，展现所有患者入院以来的感染变化情况，未处理的疑似病例始终处于待处理任务列表中，自动区分院内院外感染情况，自动提醒多重耐药菌，自动展现三大管使用情况，支持临床医生医院感染上报。</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noWrap w:val="0"/>
            <w:vAlign w:val="center"/>
          </w:tcPr>
          <w:p>
            <w:pPr>
              <w:pStyle w:val="110"/>
              <w:numPr>
                <w:ilvl w:val="0"/>
                <w:numId w:val="35"/>
              </w:numPr>
              <w:ind w:firstLineChars="0"/>
              <w:rPr>
                <w:rFonts w:ascii="宋体" w:hAnsi="宋体" w:cs="宋体"/>
              </w:rPr>
            </w:pPr>
          </w:p>
        </w:tc>
        <w:tc>
          <w:tcPr>
            <w:tcW w:w="647" w:type="pct"/>
            <w:noWrap w:val="0"/>
            <w:vAlign w:val="center"/>
          </w:tcPr>
          <w:p>
            <w:pPr>
              <w:rPr>
                <w:rFonts w:ascii="宋体" w:hAnsi="宋体" w:cs="宋体"/>
              </w:rPr>
            </w:pPr>
            <w:r>
              <w:rPr>
                <w:rFonts w:hint="eastAsia" w:ascii="宋体" w:hAnsi="宋体" w:cs="宋体"/>
              </w:rPr>
              <w:t>智能诊断</w:t>
            </w:r>
          </w:p>
        </w:tc>
        <w:tc>
          <w:tcPr>
            <w:tcW w:w="3910" w:type="pct"/>
            <w:noWrap w:val="0"/>
            <w:vAlign w:val="center"/>
          </w:tcPr>
          <w:p>
            <w:pPr>
              <w:pStyle w:val="110"/>
              <w:numPr>
                <w:ilvl w:val="0"/>
                <w:numId w:val="36"/>
              </w:numPr>
              <w:ind w:firstLineChars="0"/>
              <w:rPr>
                <w:rFonts w:ascii="宋体" w:hAnsi="宋体" w:cs="宋体"/>
              </w:rPr>
            </w:pPr>
            <w:r>
              <w:rPr>
                <w:rFonts w:hint="eastAsia" w:ascii="宋体" w:hAnsi="宋体" w:cs="宋体"/>
              </w:rPr>
              <w:t>根据医院感染诊断标准分析患者各类数据，生成病例预警供专职人员判断。</w:t>
            </w:r>
          </w:p>
          <w:p>
            <w:pPr>
              <w:pStyle w:val="110"/>
              <w:numPr>
                <w:ilvl w:val="0"/>
                <w:numId w:val="36"/>
              </w:numPr>
              <w:ind w:firstLineChars="0"/>
              <w:rPr>
                <w:rFonts w:ascii="宋体" w:hAnsi="宋体" w:cs="宋体"/>
              </w:rPr>
            </w:pPr>
            <w:r>
              <w:rPr>
                <w:rFonts w:hint="eastAsia" w:ascii="宋体" w:hAnsi="宋体" w:cs="宋体"/>
              </w:rPr>
              <w:t>疑似病例的发现必须不依赖于临床医生的手工上报、自动生成疑似感染部位</w:t>
            </w:r>
          </w:p>
          <w:p>
            <w:pPr>
              <w:pStyle w:val="110"/>
              <w:numPr>
                <w:ilvl w:val="0"/>
                <w:numId w:val="36"/>
              </w:numPr>
              <w:ind w:firstLineChars="0"/>
              <w:rPr>
                <w:rFonts w:ascii="宋体" w:hAnsi="宋体" w:cs="宋体"/>
              </w:rPr>
            </w:pPr>
            <w:r>
              <w:rPr>
                <w:rFonts w:hint="eastAsia" w:ascii="宋体" w:hAnsi="宋体" w:cs="宋体"/>
              </w:rPr>
              <w:t>展现所有患者入院以来的感染变化情况\自动区分院内院外感染情况</w:t>
            </w:r>
          </w:p>
          <w:p>
            <w:pPr>
              <w:pStyle w:val="110"/>
              <w:numPr>
                <w:ilvl w:val="0"/>
                <w:numId w:val="36"/>
              </w:numPr>
              <w:ind w:firstLineChars="0"/>
              <w:rPr>
                <w:rFonts w:ascii="宋体" w:hAnsi="宋体" w:cs="宋体"/>
              </w:rPr>
            </w:pPr>
            <w:r>
              <w:rPr>
                <w:rFonts w:hint="eastAsia" w:ascii="宋体" w:hAnsi="宋体" w:cs="宋体"/>
              </w:rPr>
              <w:t>自动提醒多重耐药菌，自动展现三大管使用情况</w:t>
            </w:r>
          </w:p>
          <w:p>
            <w:pPr>
              <w:pStyle w:val="110"/>
              <w:numPr>
                <w:ilvl w:val="0"/>
                <w:numId w:val="36"/>
              </w:numPr>
              <w:ind w:firstLineChars="0"/>
              <w:rPr>
                <w:rFonts w:ascii="宋体" w:hAnsi="宋体" w:cs="宋体"/>
              </w:rPr>
            </w:pPr>
            <w:r>
              <w:rPr>
                <w:rFonts w:hint="eastAsia" w:ascii="宋体" w:hAnsi="宋体" w:cs="宋体"/>
              </w:rPr>
              <w:t>提供疑似感染患者辅助诊断信息，包括检出菌的次数、菌检出情况、发热天数、血常规次数、血常规检查异常次数、插管使用情况</w:t>
            </w:r>
          </w:p>
          <w:p>
            <w:pPr>
              <w:pStyle w:val="110"/>
              <w:numPr>
                <w:ilvl w:val="0"/>
                <w:numId w:val="36"/>
              </w:numPr>
              <w:ind w:firstLineChars="0"/>
              <w:rPr>
                <w:rFonts w:ascii="宋体" w:hAnsi="宋体" w:cs="宋体"/>
              </w:rPr>
            </w:pPr>
            <w:r>
              <w:rPr>
                <w:rFonts w:hint="eastAsia" w:ascii="宋体" w:hAnsi="宋体" w:cs="宋体"/>
              </w:rPr>
              <w:t>提供感染要素时序图，图形化展现患者入院以来病情变化情况</w:t>
            </w:r>
          </w:p>
          <w:p>
            <w:pPr>
              <w:pStyle w:val="110"/>
              <w:numPr>
                <w:ilvl w:val="0"/>
                <w:numId w:val="36"/>
              </w:numPr>
              <w:ind w:firstLineChars="0"/>
              <w:rPr>
                <w:rFonts w:ascii="宋体" w:hAnsi="宋体" w:cs="宋体"/>
              </w:rPr>
            </w:pPr>
            <w:r>
              <w:rPr>
                <w:rFonts w:hint="eastAsia" w:ascii="宋体" w:hAnsi="宋体" w:cs="宋体"/>
              </w:rPr>
              <w:t>提供患者菌培养、常规检查、插管相关，抗菌药物使用以及体温等原始数据。</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noWrap w:val="0"/>
            <w:vAlign w:val="center"/>
          </w:tcPr>
          <w:p>
            <w:pPr>
              <w:pStyle w:val="110"/>
              <w:numPr>
                <w:ilvl w:val="0"/>
                <w:numId w:val="35"/>
              </w:numPr>
              <w:ind w:firstLineChars="0"/>
              <w:rPr>
                <w:rFonts w:ascii="宋体" w:hAnsi="宋体" w:cs="宋体"/>
              </w:rPr>
            </w:pPr>
          </w:p>
        </w:tc>
        <w:tc>
          <w:tcPr>
            <w:tcW w:w="647" w:type="pct"/>
            <w:noWrap w:val="0"/>
            <w:vAlign w:val="center"/>
          </w:tcPr>
          <w:p>
            <w:pPr>
              <w:rPr>
                <w:rFonts w:ascii="宋体" w:hAnsi="宋体" w:cs="宋体"/>
              </w:rPr>
            </w:pPr>
            <w:r>
              <w:rPr>
                <w:rFonts w:hint="eastAsia" w:ascii="宋体" w:hAnsi="宋体" w:cs="宋体"/>
              </w:rPr>
              <w:t>临床科室预警</w:t>
            </w:r>
          </w:p>
        </w:tc>
        <w:tc>
          <w:tcPr>
            <w:tcW w:w="3910" w:type="pct"/>
            <w:noWrap w:val="0"/>
            <w:vAlign w:val="center"/>
          </w:tcPr>
          <w:p>
            <w:pPr>
              <w:pStyle w:val="110"/>
              <w:numPr>
                <w:ilvl w:val="0"/>
                <w:numId w:val="37"/>
              </w:numPr>
              <w:ind w:firstLineChars="0"/>
              <w:rPr>
                <w:rFonts w:ascii="宋体" w:hAnsi="宋体" w:cs="宋体"/>
              </w:rPr>
            </w:pPr>
            <w:r>
              <w:rPr>
                <w:rFonts w:hint="eastAsia" w:ascii="宋体" w:hAnsi="宋体" w:cs="宋体"/>
              </w:rPr>
              <w:t>对各科室患者进行分析，生成各科室医院感染的暴发流行情况，提供给医院感染专职人员及时干预。</w:t>
            </w:r>
          </w:p>
          <w:p>
            <w:pPr>
              <w:pStyle w:val="110"/>
              <w:numPr>
                <w:ilvl w:val="0"/>
                <w:numId w:val="37"/>
              </w:numPr>
              <w:ind w:firstLineChars="0"/>
              <w:rPr>
                <w:rFonts w:ascii="宋体" w:hAnsi="宋体" w:cs="宋体"/>
              </w:rPr>
            </w:pPr>
            <w:r>
              <w:rPr>
                <w:rFonts w:hint="eastAsia" w:ascii="宋体" w:hAnsi="宋体" w:cs="宋体"/>
              </w:rPr>
              <w:t>为每个病区的现患情况提供趋势分析,可导出医院感染现患率趋势分析数据,对医院感染现患率预警提供回溯功能,提供每个病区现患人员名单,提供每个病区住院人员名单,可以根据现患率对各病区进行排序,提供高危因素预警。</w:t>
            </w:r>
          </w:p>
          <w:p>
            <w:pPr>
              <w:pStyle w:val="110"/>
              <w:numPr>
                <w:ilvl w:val="0"/>
                <w:numId w:val="37"/>
              </w:numPr>
              <w:ind w:firstLineChars="0"/>
              <w:rPr>
                <w:rFonts w:ascii="宋体" w:hAnsi="宋体" w:cs="宋体"/>
              </w:rPr>
            </w:pPr>
            <w:r>
              <w:rPr>
                <w:rFonts w:hint="eastAsia" w:ascii="宋体" w:hAnsi="宋体" w:cs="宋体"/>
              </w:rPr>
              <w:t>自动监测所有病区的现患，发热，腹泻，三大管使用，重点菌检出等情况\对各病区现患情况分别设定基线阈值，对于超出阈值的病区自动预警</w:t>
            </w:r>
          </w:p>
          <w:p>
            <w:pPr>
              <w:pStyle w:val="110"/>
              <w:numPr>
                <w:ilvl w:val="0"/>
                <w:numId w:val="37"/>
              </w:numPr>
              <w:ind w:firstLineChars="0"/>
              <w:rPr>
                <w:rFonts w:ascii="宋体" w:hAnsi="宋体" w:cs="宋体"/>
              </w:rPr>
            </w:pPr>
            <w:r>
              <w:rPr>
                <w:rFonts w:hint="eastAsia" w:ascii="宋体" w:hAnsi="宋体" w:cs="宋体"/>
              </w:rPr>
              <w:t>为每个病区的现患，发热，腹泻，三大管使用，重点菌检出情况提供趋势分析</w:t>
            </w:r>
          </w:p>
          <w:p>
            <w:pPr>
              <w:pStyle w:val="110"/>
              <w:numPr>
                <w:ilvl w:val="0"/>
                <w:numId w:val="37"/>
              </w:numPr>
              <w:ind w:firstLineChars="0"/>
              <w:rPr>
                <w:rFonts w:ascii="宋体" w:hAnsi="宋体" w:cs="宋体"/>
              </w:rPr>
            </w:pPr>
            <w:r>
              <w:rPr>
                <w:rFonts w:hint="eastAsia" w:ascii="宋体" w:hAnsi="宋体" w:cs="宋体"/>
              </w:rPr>
              <w:t>提供各病区感染患者，发热患者，腹泻患者，使用三大管患者，重点菌检出患者名单</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noWrap w:val="0"/>
            <w:vAlign w:val="center"/>
          </w:tcPr>
          <w:p>
            <w:pPr>
              <w:pStyle w:val="110"/>
              <w:numPr>
                <w:ilvl w:val="0"/>
                <w:numId w:val="35"/>
              </w:numPr>
              <w:ind w:firstLineChars="0"/>
              <w:rPr>
                <w:rFonts w:ascii="宋体" w:hAnsi="宋体" w:cs="宋体"/>
              </w:rPr>
            </w:pPr>
          </w:p>
        </w:tc>
        <w:tc>
          <w:tcPr>
            <w:tcW w:w="647" w:type="pct"/>
            <w:noWrap w:val="0"/>
            <w:vAlign w:val="center"/>
          </w:tcPr>
          <w:p>
            <w:pPr>
              <w:rPr>
                <w:rFonts w:ascii="宋体" w:hAnsi="宋体" w:cs="宋体"/>
              </w:rPr>
            </w:pPr>
            <w:r>
              <w:rPr>
                <w:rFonts w:hint="eastAsia" w:ascii="宋体" w:hAnsi="宋体" w:cs="宋体"/>
              </w:rPr>
              <w:t>院感科预警</w:t>
            </w:r>
          </w:p>
        </w:tc>
        <w:tc>
          <w:tcPr>
            <w:tcW w:w="3910" w:type="pct"/>
            <w:noWrap w:val="0"/>
            <w:vAlign w:val="center"/>
          </w:tcPr>
          <w:p>
            <w:pPr>
              <w:pStyle w:val="110"/>
              <w:numPr>
                <w:ilvl w:val="0"/>
                <w:numId w:val="38"/>
              </w:numPr>
              <w:ind w:firstLineChars="0"/>
              <w:rPr>
                <w:rFonts w:ascii="宋体" w:hAnsi="宋体" w:cs="宋体"/>
              </w:rPr>
            </w:pPr>
            <w:r>
              <w:rPr>
                <w:rFonts w:hint="eastAsia" w:ascii="宋体" w:hAnsi="宋体" w:cs="宋体"/>
              </w:rPr>
              <w:t>院感科可以看到全院病人感染相关情况，如：体温、抗菌药物使用级别、耐药菌、侵入性操作等</w:t>
            </w:r>
          </w:p>
          <w:p>
            <w:pPr>
              <w:pStyle w:val="110"/>
              <w:numPr>
                <w:ilvl w:val="0"/>
                <w:numId w:val="38"/>
              </w:numPr>
              <w:ind w:firstLineChars="0"/>
              <w:rPr>
                <w:rFonts w:ascii="宋体" w:hAnsi="宋体" w:cs="宋体"/>
              </w:rPr>
            </w:pPr>
            <w:r>
              <w:rPr>
                <w:rFonts w:hint="eastAsia" w:ascii="宋体" w:hAnsi="宋体" w:cs="宋体"/>
              </w:rPr>
              <w:t>院感科可以看到全院暴发现状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noWrap w:val="0"/>
            <w:vAlign w:val="center"/>
          </w:tcPr>
          <w:p>
            <w:pPr>
              <w:pStyle w:val="110"/>
              <w:numPr>
                <w:ilvl w:val="0"/>
                <w:numId w:val="35"/>
              </w:numPr>
              <w:ind w:firstLineChars="0"/>
              <w:rPr>
                <w:rFonts w:ascii="宋体" w:hAnsi="宋体" w:cs="宋体"/>
              </w:rPr>
            </w:pPr>
          </w:p>
        </w:tc>
        <w:tc>
          <w:tcPr>
            <w:tcW w:w="647" w:type="pct"/>
            <w:noWrap w:val="0"/>
            <w:vAlign w:val="center"/>
          </w:tcPr>
          <w:p>
            <w:pPr>
              <w:rPr>
                <w:rFonts w:ascii="宋体" w:hAnsi="宋体" w:cs="宋体"/>
              </w:rPr>
            </w:pPr>
            <w:r>
              <w:rPr>
                <w:rFonts w:hint="eastAsia" w:ascii="宋体" w:hAnsi="宋体" w:cs="宋体"/>
              </w:rPr>
              <w:t>抗菌药物监测</w:t>
            </w:r>
          </w:p>
        </w:tc>
        <w:tc>
          <w:tcPr>
            <w:tcW w:w="3910" w:type="pct"/>
            <w:noWrap w:val="0"/>
            <w:vAlign w:val="center"/>
          </w:tcPr>
          <w:p>
            <w:pPr>
              <w:rPr>
                <w:rFonts w:ascii="宋体" w:hAnsi="宋体" w:cs="宋体"/>
              </w:rPr>
            </w:pPr>
            <w:r>
              <w:rPr>
                <w:rFonts w:hint="eastAsia" w:ascii="宋体" w:hAnsi="宋体" w:cs="宋体"/>
              </w:rPr>
              <w:t>根据国家最新要求进行出院患者口径和住院患者口径分别进行抗菌药物监测，根据卫生部《抗菌药物专项治理方案》，监测以下指标：科室、出院人数、平均住院日、抗菌药物使用人数、抗菌药物使用率、送检人数、送检率、使用抗菌药物未送检医生名单、使用特殊使用类抗菌药物未送检的医生名单、多联使用抗菌药物未送检医生名单。中级职称使用特殊使用类抗菌药物医生名单、初级职称使用限制使用类、特殊使用类抗菌药物医生名单。</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noWrap w:val="0"/>
            <w:vAlign w:val="center"/>
          </w:tcPr>
          <w:p>
            <w:pPr>
              <w:pStyle w:val="110"/>
              <w:numPr>
                <w:ilvl w:val="0"/>
                <w:numId w:val="35"/>
              </w:numPr>
              <w:ind w:firstLineChars="0"/>
              <w:rPr>
                <w:rFonts w:ascii="宋体" w:hAnsi="宋体" w:cs="宋体"/>
              </w:rPr>
            </w:pPr>
          </w:p>
        </w:tc>
        <w:tc>
          <w:tcPr>
            <w:tcW w:w="647" w:type="pct"/>
            <w:noWrap w:val="0"/>
            <w:vAlign w:val="center"/>
          </w:tcPr>
          <w:p>
            <w:pPr>
              <w:rPr>
                <w:rFonts w:ascii="宋体" w:hAnsi="宋体" w:cs="宋体"/>
              </w:rPr>
            </w:pPr>
            <w:r>
              <w:rPr>
                <w:rFonts w:hint="eastAsia" w:ascii="宋体" w:hAnsi="宋体" w:cs="宋体"/>
              </w:rPr>
              <w:t>耐药菌监测</w:t>
            </w:r>
          </w:p>
        </w:tc>
        <w:tc>
          <w:tcPr>
            <w:tcW w:w="3910" w:type="pct"/>
            <w:noWrap w:val="0"/>
            <w:vAlign w:val="center"/>
          </w:tcPr>
          <w:p>
            <w:pPr>
              <w:pStyle w:val="110"/>
              <w:numPr>
                <w:ilvl w:val="0"/>
                <w:numId w:val="39"/>
              </w:numPr>
              <w:ind w:firstLineChars="0"/>
              <w:rPr>
                <w:rFonts w:ascii="宋体" w:hAnsi="宋体" w:cs="宋体"/>
              </w:rPr>
            </w:pPr>
            <w:r>
              <w:rPr>
                <w:rFonts w:hint="eastAsia" w:ascii="宋体" w:hAnsi="宋体" w:cs="宋体"/>
              </w:rPr>
              <w:t>卫生部多重耐药菌监测规范要求，监测微生物室各病原体检出情况，重点包括：MRSA、VRE、耐碳青霉烯类肠杆菌、多重耐药鲍曼不动杆菌、多重耐药铜绿假单胞菌等。</w:t>
            </w:r>
          </w:p>
          <w:p>
            <w:pPr>
              <w:pStyle w:val="110"/>
              <w:numPr>
                <w:ilvl w:val="0"/>
                <w:numId w:val="39"/>
              </w:numPr>
              <w:ind w:firstLineChars="0"/>
              <w:rPr>
                <w:rFonts w:ascii="宋体" w:hAnsi="宋体" w:cs="宋体"/>
              </w:rPr>
            </w:pPr>
            <w:r>
              <w:rPr>
                <w:rFonts w:hint="eastAsia" w:ascii="宋体" w:hAnsi="宋体" w:cs="宋体"/>
              </w:rPr>
              <w:t>自动生成送检阳性率（按科室以及标本分布）统计，检出菌（按科室以及标本分布）统计，重点菌构成统计，ESBL统计，多重耐药性分析，药敏分析，药敏结果统计，菌检出趋势分析，耐药性趋势分析。所有数据支持源数据追溯查询。</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noWrap w:val="0"/>
            <w:vAlign w:val="center"/>
          </w:tcPr>
          <w:p>
            <w:pPr>
              <w:pStyle w:val="110"/>
              <w:numPr>
                <w:ilvl w:val="0"/>
                <w:numId w:val="35"/>
              </w:numPr>
              <w:ind w:firstLineChars="0"/>
              <w:rPr>
                <w:rFonts w:ascii="宋体" w:hAnsi="宋体" w:cs="宋体"/>
              </w:rPr>
            </w:pPr>
          </w:p>
        </w:tc>
        <w:tc>
          <w:tcPr>
            <w:tcW w:w="647" w:type="pct"/>
            <w:noWrap w:val="0"/>
            <w:vAlign w:val="center"/>
          </w:tcPr>
          <w:p>
            <w:pPr>
              <w:rPr>
                <w:rFonts w:ascii="宋体" w:hAnsi="宋体" w:cs="宋体"/>
              </w:rPr>
            </w:pPr>
            <w:r>
              <w:rPr>
                <w:rFonts w:hint="eastAsia" w:ascii="宋体" w:hAnsi="宋体" w:cs="宋体"/>
              </w:rPr>
              <w:t>感染专职人员与临床医务人员沟通平台</w:t>
            </w:r>
          </w:p>
        </w:tc>
        <w:tc>
          <w:tcPr>
            <w:tcW w:w="3910" w:type="pct"/>
            <w:noWrap w:val="0"/>
            <w:vAlign w:val="center"/>
          </w:tcPr>
          <w:p>
            <w:pPr>
              <w:pStyle w:val="110"/>
              <w:numPr>
                <w:ilvl w:val="0"/>
                <w:numId w:val="40"/>
              </w:numPr>
              <w:ind w:firstLineChars="0"/>
              <w:rPr>
                <w:rFonts w:ascii="宋体" w:hAnsi="宋体" w:cs="宋体"/>
              </w:rPr>
            </w:pPr>
            <w:r>
              <w:rPr>
                <w:rFonts w:hint="eastAsia" w:ascii="宋体" w:hAnsi="宋体" w:cs="宋体"/>
              </w:rPr>
              <w:t>个性化自主设定SOP预案，提供未读消息提醒功能，消息内容模糊查询功能，专职人员干预预案管理功能，提供医院感染学习平台，感染学习知识访问量统计功能。自动生成感染部位、多耐药干预信息。</w:t>
            </w:r>
          </w:p>
          <w:p>
            <w:pPr>
              <w:pStyle w:val="110"/>
              <w:numPr>
                <w:ilvl w:val="0"/>
                <w:numId w:val="40"/>
              </w:numPr>
              <w:ind w:firstLineChars="0"/>
              <w:rPr>
                <w:rFonts w:ascii="宋体" w:hAnsi="宋体" w:cs="宋体"/>
              </w:rPr>
            </w:pPr>
            <w:r>
              <w:rPr>
                <w:rFonts w:hint="eastAsia" w:ascii="宋体" w:hAnsi="宋体" w:cs="宋体"/>
              </w:rPr>
              <w:t>提供院感科专职人员与临床医生交流平台、提供未读消息提醒功能</w:t>
            </w:r>
          </w:p>
          <w:p>
            <w:pPr>
              <w:pStyle w:val="110"/>
              <w:numPr>
                <w:ilvl w:val="0"/>
                <w:numId w:val="40"/>
              </w:numPr>
              <w:ind w:firstLineChars="0"/>
              <w:rPr>
                <w:rFonts w:ascii="宋体" w:hAnsi="宋体" w:cs="宋体"/>
              </w:rPr>
            </w:pPr>
            <w:r>
              <w:rPr>
                <w:rFonts w:hint="eastAsia" w:ascii="宋体" w:hAnsi="宋体" w:cs="宋体"/>
              </w:rPr>
              <w:t>提供专职人员干预预感管理功能，相关SOP编辑，便于使用</w:t>
            </w:r>
          </w:p>
          <w:p>
            <w:pPr>
              <w:pStyle w:val="110"/>
              <w:numPr>
                <w:ilvl w:val="0"/>
                <w:numId w:val="40"/>
              </w:numPr>
              <w:ind w:firstLineChars="0"/>
              <w:rPr>
                <w:rFonts w:ascii="宋体" w:hAnsi="宋体" w:cs="宋体"/>
              </w:rPr>
            </w:pPr>
            <w:r>
              <w:rPr>
                <w:rFonts w:hint="eastAsia" w:ascii="宋体" w:hAnsi="宋体" w:cs="宋体"/>
              </w:rPr>
              <w:t>提供学习平台，院感科可以上传文件或者编辑文字供他人下载学习</w:t>
            </w:r>
          </w:p>
          <w:p>
            <w:pPr>
              <w:pStyle w:val="110"/>
              <w:numPr>
                <w:ilvl w:val="0"/>
                <w:numId w:val="40"/>
              </w:numPr>
              <w:ind w:firstLineChars="0"/>
              <w:rPr>
                <w:rFonts w:ascii="宋体" w:hAnsi="宋体" w:cs="宋体"/>
              </w:rPr>
            </w:pPr>
            <w:r>
              <w:rPr>
                <w:rFonts w:hint="eastAsia" w:ascii="宋体" w:hAnsi="宋体" w:cs="宋体"/>
              </w:rPr>
              <w:t>临床医生客户端，临床医生通过客户端上报院感病例，可以查看管辖范围内患者的院感数据，及数据统计分析，方便了解患者感染情况和科室感染趋势分析。</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noWrap w:val="0"/>
            <w:vAlign w:val="center"/>
          </w:tcPr>
          <w:p>
            <w:pPr>
              <w:pStyle w:val="110"/>
              <w:numPr>
                <w:ilvl w:val="0"/>
                <w:numId w:val="35"/>
              </w:numPr>
              <w:ind w:firstLineChars="0"/>
              <w:rPr>
                <w:rFonts w:ascii="宋体" w:hAnsi="宋体" w:cs="宋体"/>
              </w:rPr>
            </w:pPr>
          </w:p>
        </w:tc>
        <w:tc>
          <w:tcPr>
            <w:tcW w:w="647" w:type="pct"/>
            <w:noWrap w:val="0"/>
            <w:vAlign w:val="center"/>
          </w:tcPr>
          <w:p>
            <w:pPr>
              <w:rPr>
                <w:rFonts w:ascii="宋体" w:hAnsi="宋体" w:cs="宋体"/>
              </w:rPr>
            </w:pPr>
            <w:r>
              <w:rPr>
                <w:rFonts w:hint="eastAsia" w:ascii="宋体" w:hAnsi="宋体" w:cs="宋体"/>
              </w:rPr>
              <w:t>感染上报与交流</w:t>
            </w:r>
          </w:p>
        </w:tc>
        <w:tc>
          <w:tcPr>
            <w:tcW w:w="3910" w:type="pct"/>
            <w:noWrap w:val="0"/>
            <w:vAlign w:val="center"/>
          </w:tcPr>
          <w:p>
            <w:pPr>
              <w:pStyle w:val="110"/>
              <w:numPr>
                <w:ilvl w:val="0"/>
                <w:numId w:val="41"/>
              </w:numPr>
              <w:ind w:firstLineChars="0"/>
              <w:rPr>
                <w:rFonts w:ascii="宋体" w:hAnsi="宋体" w:cs="宋体"/>
              </w:rPr>
            </w:pPr>
            <w:r>
              <w:rPr>
                <w:rFonts w:hint="eastAsia" w:ascii="宋体" w:hAnsi="宋体" w:cs="宋体"/>
              </w:rPr>
              <w:t>临床医生根据患者临床症状或病原学诊断主动向感染管理科报告患者的感染情况；医生也可就患者感染情况与感染管理专职人员进行交流。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noWrap w:val="0"/>
            <w:vAlign w:val="center"/>
          </w:tcPr>
          <w:p>
            <w:pPr>
              <w:pStyle w:val="110"/>
              <w:numPr>
                <w:ilvl w:val="0"/>
                <w:numId w:val="35"/>
              </w:numPr>
              <w:ind w:firstLineChars="0"/>
              <w:rPr>
                <w:rFonts w:ascii="宋体" w:hAnsi="宋体" w:cs="宋体"/>
              </w:rPr>
            </w:pPr>
          </w:p>
        </w:tc>
        <w:tc>
          <w:tcPr>
            <w:tcW w:w="647" w:type="pct"/>
            <w:noWrap w:val="0"/>
            <w:vAlign w:val="center"/>
          </w:tcPr>
          <w:p>
            <w:pPr>
              <w:rPr>
                <w:rFonts w:ascii="宋体" w:hAnsi="宋体" w:cs="宋体"/>
              </w:rPr>
            </w:pPr>
            <w:r>
              <w:rPr>
                <w:rFonts w:hint="eastAsia" w:ascii="宋体" w:hAnsi="宋体" w:cs="宋体"/>
              </w:rPr>
              <w:t>病例展示</w:t>
            </w:r>
          </w:p>
        </w:tc>
        <w:tc>
          <w:tcPr>
            <w:tcW w:w="3910" w:type="pct"/>
            <w:noWrap w:val="0"/>
            <w:vAlign w:val="center"/>
          </w:tcPr>
          <w:p>
            <w:pPr>
              <w:pStyle w:val="110"/>
              <w:ind w:left="420" w:firstLine="0" w:firstLineChars="0"/>
              <w:rPr>
                <w:rFonts w:ascii="宋体" w:hAnsi="宋体" w:cs="宋体"/>
              </w:rPr>
            </w:pPr>
            <w:r>
              <w:rPr>
                <w:rFonts w:hint="eastAsia" w:ascii="宋体" w:hAnsi="宋体" w:cs="宋体"/>
              </w:rPr>
              <w:t>无需搜索、快捷访问患者详细信息，信息包括患者的入院、出院诊断，病程记录，患者三大管使用情况，发热情况及发热值，血常规、尿常规、其他常规异常情况，送检培养情况及细菌检出情况，手术基本信息，使用抗菌药物情况，入院以来转科记录。</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noWrap w:val="0"/>
            <w:vAlign w:val="center"/>
          </w:tcPr>
          <w:p>
            <w:pPr>
              <w:pStyle w:val="110"/>
              <w:numPr>
                <w:ilvl w:val="0"/>
                <w:numId w:val="35"/>
              </w:numPr>
              <w:ind w:firstLineChars="0"/>
              <w:rPr>
                <w:rFonts w:ascii="宋体" w:hAnsi="宋体" w:cs="宋体"/>
              </w:rPr>
            </w:pPr>
          </w:p>
        </w:tc>
        <w:tc>
          <w:tcPr>
            <w:tcW w:w="647" w:type="pct"/>
            <w:noWrap w:val="0"/>
            <w:vAlign w:val="center"/>
          </w:tcPr>
          <w:p>
            <w:pPr>
              <w:rPr>
                <w:rFonts w:ascii="宋体" w:hAnsi="宋体" w:cs="宋体"/>
              </w:rPr>
            </w:pPr>
            <w:r>
              <w:rPr>
                <w:rFonts w:hint="eastAsia" w:ascii="宋体" w:hAnsi="宋体" w:cs="宋体"/>
              </w:rPr>
              <w:t>科室展示</w:t>
            </w:r>
          </w:p>
        </w:tc>
        <w:tc>
          <w:tcPr>
            <w:tcW w:w="3910" w:type="pct"/>
            <w:noWrap w:val="0"/>
            <w:vAlign w:val="center"/>
          </w:tcPr>
          <w:p>
            <w:pPr>
              <w:pStyle w:val="110"/>
              <w:ind w:left="420" w:firstLine="0" w:firstLineChars="0"/>
              <w:rPr>
                <w:rFonts w:ascii="宋体" w:hAnsi="宋体" w:cs="宋体"/>
              </w:rPr>
            </w:pPr>
            <w:r>
              <w:rPr>
                <w:rFonts w:hint="eastAsia" w:ascii="宋体" w:hAnsi="宋体" w:cs="宋体"/>
              </w:rPr>
              <w:t>提供各个病区的时空分布图，提供一段时间内病区住院患者的感染信息，提供病区的医院感染监测日志与月报表，提供病区日况数据。</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noWrap w:val="0"/>
            <w:vAlign w:val="center"/>
          </w:tcPr>
          <w:p>
            <w:pPr>
              <w:pStyle w:val="110"/>
              <w:numPr>
                <w:ilvl w:val="0"/>
                <w:numId w:val="35"/>
              </w:numPr>
              <w:ind w:firstLineChars="0"/>
              <w:rPr>
                <w:rFonts w:ascii="宋体" w:hAnsi="宋体" w:cs="宋体"/>
              </w:rPr>
            </w:pPr>
          </w:p>
        </w:tc>
        <w:tc>
          <w:tcPr>
            <w:tcW w:w="647" w:type="pct"/>
            <w:noWrap w:val="0"/>
            <w:vAlign w:val="center"/>
          </w:tcPr>
          <w:p>
            <w:pPr>
              <w:rPr>
                <w:rFonts w:ascii="宋体" w:hAnsi="宋体" w:cs="宋体"/>
              </w:rPr>
            </w:pPr>
            <w:r>
              <w:rPr>
                <w:rFonts w:hint="eastAsia" w:ascii="宋体" w:hAnsi="宋体" w:cs="宋体"/>
              </w:rPr>
              <w:t>病例搜索</w:t>
            </w:r>
          </w:p>
        </w:tc>
        <w:tc>
          <w:tcPr>
            <w:tcW w:w="3910" w:type="pct"/>
            <w:noWrap w:val="0"/>
            <w:vAlign w:val="center"/>
          </w:tcPr>
          <w:p>
            <w:pPr>
              <w:pStyle w:val="110"/>
              <w:numPr>
                <w:ilvl w:val="0"/>
                <w:numId w:val="42"/>
              </w:numPr>
              <w:ind w:firstLineChars="0"/>
              <w:rPr>
                <w:rFonts w:ascii="宋体" w:hAnsi="宋体" w:cs="宋体"/>
              </w:rPr>
            </w:pPr>
            <w:r>
              <w:rPr>
                <w:rFonts w:hint="eastAsia" w:ascii="宋体" w:hAnsi="宋体" w:cs="宋体"/>
              </w:rPr>
              <w:t>展示病例详细信息，便于专职人员诊断；提供重点病例跟踪。</w:t>
            </w:r>
          </w:p>
          <w:p>
            <w:pPr>
              <w:pStyle w:val="110"/>
              <w:numPr>
                <w:ilvl w:val="0"/>
                <w:numId w:val="42"/>
              </w:numPr>
              <w:ind w:firstLineChars="0"/>
              <w:rPr>
                <w:rFonts w:ascii="宋体" w:hAnsi="宋体" w:cs="宋体"/>
              </w:rPr>
            </w:pPr>
            <w:r>
              <w:rPr>
                <w:rFonts w:hint="eastAsia" w:ascii="宋体" w:hAnsi="宋体" w:cs="宋体"/>
              </w:rPr>
              <w:t>提供浏览病例收藏夹功能、提供最近访问患者列表</w:t>
            </w:r>
          </w:p>
          <w:p>
            <w:pPr>
              <w:pStyle w:val="110"/>
              <w:numPr>
                <w:ilvl w:val="0"/>
                <w:numId w:val="42"/>
              </w:numPr>
              <w:ind w:firstLineChars="0"/>
              <w:rPr>
                <w:rFonts w:ascii="宋体" w:hAnsi="宋体" w:cs="宋体"/>
              </w:rPr>
            </w:pPr>
            <w:r>
              <w:rPr>
                <w:rFonts w:hint="eastAsia" w:ascii="宋体" w:hAnsi="宋体" w:cs="宋体"/>
              </w:rPr>
              <w:t>支持导出病例数据和病例情况表</w:t>
            </w:r>
          </w:p>
          <w:p>
            <w:pPr>
              <w:pStyle w:val="110"/>
              <w:numPr>
                <w:ilvl w:val="0"/>
                <w:numId w:val="42"/>
              </w:numPr>
              <w:ind w:firstLineChars="0"/>
              <w:rPr>
                <w:rFonts w:ascii="宋体" w:hAnsi="宋体" w:cs="宋体"/>
              </w:rPr>
            </w:pPr>
            <w:r>
              <w:rPr>
                <w:rFonts w:hint="eastAsia" w:ascii="宋体" w:hAnsi="宋体" w:cs="宋体"/>
              </w:rPr>
              <w:t>提供患者ID、患者姓名模糊查询</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noWrap w:val="0"/>
            <w:vAlign w:val="center"/>
          </w:tcPr>
          <w:p>
            <w:pPr>
              <w:pStyle w:val="110"/>
              <w:numPr>
                <w:ilvl w:val="0"/>
                <w:numId w:val="35"/>
              </w:numPr>
              <w:ind w:firstLineChars="0"/>
              <w:rPr>
                <w:rFonts w:ascii="宋体" w:hAnsi="宋体" w:cs="宋体"/>
              </w:rPr>
            </w:pPr>
          </w:p>
        </w:tc>
        <w:tc>
          <w:tcPr>
            <w:tcW w:w="647" w:type="pct"/>
            <w:noWrap w:val="0"/>
            <w:vAlign w:val="center"/>
          </w:tcPr>
          <w:p>
            <w:pPr>
              <w:rPr>
                <w:rFonts w:ascii="宋体" w:hAnsi="宋体" w:cs="宋体"/>
              </w:rPr>
            </w:pPr>
            <w:r>
              <w:rPr>
                <w:rFonts w:hint="eastAsia" w:ascii="宋体" w:hAnsi="宋体" w:cs="宋体"/>
              </w:rPr>
              <w:t>统计分析</w:t>
            </w:r>
          </w:p>
        </w:tc>
        <w:tc>
          <w:tcPr>
            <w:tcW w:w="3910" w:type="pct"/>
            <w:noWrap w:val="0"/>
            <w:vAlign w:val="center"/>
          </w:tcPr>
          <w:p>
            <w:pPr>
              <w:pStyle w:val="110"/>
              <w:numPr>
                <w:ilvl w:val="0"/>
                <w:numId w:val="43"/>
              </w:numPr>
              <w:ind w:firstLineChars="0"/>
              <w:rPr>
                <w:rFonts w:ascii="宋体" w:hAnsi="宋体" w:cs="宋体"/>
              </w:rPr>
            </w:pPr>
            <w:r>
              <w:rPr>
                <w:rFonts w:hint="eastAsia" w:ascii="宋体" w:hAnsi="宋体" w:cs="宋体"/>
              </w:rPr>
              <w:t>根据专职人员诊断数据及患者感染数据能够自动生成统计表格。包括：现患率调查，现患率趋势分析，出院患者感染统计，出院患者感染率趋势分析，住院患者感染统计，住院患者感染率趋势分析等。可以根据院内感染情况，分析出院内感染的趋势图，方便感染科专职医生和管理人员时刻观察本院感染率、院内感染情况、临床漏报、迟报情况等。</w:t>
            </w:r>
          </w:p>
          <w:p>
            <w:pPr>
              <w:pStyle w:val="110"/>
              <w:widowControl/>
              <w:numPr>
                <w:ilvl w:val="0"/>
                <w:numId w:val="43"/>
              </w:numPr>
              <w:ind w:firstLineChars="0"/>
              <w:rPr>
                <w:rFonts w:ascii="宋体" w:hAnsi="宋体" w:cs="宋体"/>
              </w:rPr>
            </w:pPr>
            <w:r>
              <w:rPr>
                <w:rFonts w:hint="eastAsia" w:ascii="宋体" w:hAnsi="宋体" w:cs="宋体"/>
              </w:rPr>
              <w:t>系统统要求提供国家2015最新要求指标：医院感染发病（例次）率、医院感染现患（例次）率、医院感染病例漏报率、多重耐药菌感染发生率、多重耐药菌感染检出率、住院患者抗菌药物使用率、抗菌药物治疗前病原学送检率、血管导管相关血流感染发病率、呼吸机相关肺炎发病率、导尿管相关泌尿道感染发病率、手卫生依从率调查、多重耐药菌感染例次千日发生率、多重耐药菌定值例次千日发生率</w:t>
            </w:r>
          </w:p>
          <w:p>
            <w:pPr>
              <w:pStyle w:val="110"/>
              <w:widowControl/>
              <w:numPr>
                <w:ilvl w:val="0"/>
                <w:numId w:val="43"/>
              </w:numPr>
              <w:ind w:firstLineChars="0"/>
              <w:rPr>
                <w:rFonts w:ascii="宋体" w:hAnsi="宋体" w:cs="宋体"/>
              </w:rPr>
            </w:pPr>
            <w:r>
              <w:rPr>
                <w:rFonts w:hint="eastAsia" w:ascii="宋体" w:hAnsi="宋体" w:cs="宋体"/>
              </w:rPr>
              <w:t>系统可以提高任意时间段内全院及各科室的指标数据，应提供各项指标对应的分母、分子的“钻取”功能，即点击分母、分子的数值可浏览该数值对应的原始数据列表。所有数据都支持数据源展出。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noWrap w:val="0"/>
            <w:vAlign w:val="center"/>
          </w:tcPr>
          <w:p>
            <w:pPr>
              <w:pStyle w:val="110"/>
              <w:numPr>
                <w:ilvl w:val="0"/>
                <w:numId w:val="35"/>
              </w:numPr>
              <w:ind w:firstLineChars="0"/>
              <w:rPr>
                <w:rFonts w:ascii="宋体" w:hAnsi="宋体" w:cs="宋体"/>
              </w:rPr>
            </w:pPr>
          </w:p>
        </w:tc>
        <w:tc>
          <w:tcPr>
            <w:tcW w:w="647" w:type="pct"/>
            <w:noWrap w:val="0"/>
            <w:vAlign w:val="center"/>
          </w:tcPr>
          <w:p>
            <w:pPr>
              <w:rPr>
                <w:rFonts w:ascii="宋体" w:hAnsi="宋体" w:cs="宋体"/>
              </w:rPr>
            </w:pPr>
            <w:r>
              <w:rPr>
                <w:rFonts w:hint="eastAsia" w:ascii="宋体" w:hAnsi="宋体" w:cs="宋体"/>
              </w:rPr>
              <w:t>数据上报</w:t>
            </w:r>
          </w:p>
        </w:tc>
        <w:tc>
          <w:tcPr>
            <w:tcW w:w="3910" w:type="pct"/>
            <w:noWrap w:val="0"/>
            <w:vAlign w:val="center"/>
          </w:tcPr>
          <w:p>
            <w:pPr>
              <w:pStyle w:val="110"/>
              <w:numPr>
                <w:ilvl w:val="0"/>
                <w:numId w:val="44"/>
              </w:numPr>
              <w:ind w:firstLineChars="0"/>
              <w:rPr>
                <w:rFonts w:ascii="宋体" w:hAnsi="宋体" w:cs="宋体"/>
              </w:rPr>
            </w:pPr>
            <w:r>
              <w:rPr>
                <w:rFonts w:hint="eastAsia" w:ascii="宋体" w:hAnsi="宋体" w:cs="宋体"/>
              </w:rPr>
              <w:t>能够实现卫计委最新过程数据上报要求；</w:t>
            </w:r>
          </w:p>
          <w:p>
            <w:pPr>
              <w:pStyle w:val="110"/>
              <w:numPr>
                <w:ilvl w:val="0"/>
                <w:numId w:val="44"/>
              </w:numPr>
              <w:ind w:firstLineChars="0"/>
              <w:rPr>
                <w:rFonts w:ascii="宋体" w:hAnsi="宋体" w:cs="宋体"/>
              </w:rPr>
            </w:pPr>
            <w:r>
              <w:rPr>
                <w:rFonts w:hint="eastAsia" w:ascii="宋体" w:hAnsi="宋体" w:cs="宋体"/>
              </w:rPr>
              <w:t>能够实现与省过程数据监测质控平台无缝对接</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noWrap w:val="0"/>
            <w:vAlign w:val="center"/>
          </w:tcPr>
          <w:p>
            <w:pPr>
              <w:pStyle w:val="110"/>
              <w:numPr>
                <w:ilvl w:val="0"/>
                <w:numId w:val="35"/>
              </w:numPr>
              <w:ind w:firstLineChars="0"/>
              <w:rPr>
                <w:rFonts w:ascii="宋体" w:hAnsi="宋体" w:cs="宋体"/>
              </w:rPr>
            </w:pPr>
          </w:p>
        </w:tc>
        <w:tc>
          <w:tcPr>
            <w:tcW w:w="647" w:type="pct"/>
            <w:noWrap w:val="0"/>
            <w:vAlign w:val="center"/>
          </w:tcPr>
          <w:p>
            <w:pPr>
              <w:rPr>
                <w:rFonts w:ascii="宋体" w:hAnsi="宋体" w:cs="宋体"/>
              </w:rPr>
            </w:pPr>
            <w:r>
              <w:rPr>
                <w:rFonts w:hint="eastAsia" w:ascii="宋体" w:hAnsi="宋体" w:cs="宋体"/>
              </w:rPr>
              <w:t>数据共享</w:t>
            </w:r>
          </w:p>
        </w:tc>
        <w:tc>
          <w:tcPr>
            <w:tcW w:w="3910" w:type="pct"/>
            <w:noWrap w:val="0"/>
            <w:vAlign w:val="center"/>
          </w:tcPr>
          <w:p>
            <w:pPr>
              <w:pStyle w:val="110"/>
              <w:numPr>
                <w:ilvl w:val="0"/>
                <w:numId w:val="45"/>
              </w:numPr>
              <w:ind w:firstLineChars="0"/>
              <w:rPr>
                <w:rFonts w:ascii="宋体" w:hAnsi="宋体" w:cs="宋体"/>
              </w:rPr>
            </w:pPr>
            <w:r>
              <w:rPr>
                <w:rFonts w:hint="eastAsia" w:ascii="宋体" w:hAnsi="宋体" w:cs="宋体"/>
              </w:rPr>
              <w:t>在医院范围内将医务部、感染管理科、检验科、临床科室等感染监测相关科室组建成一个医院感染监测网，实现全院范围内的数据共享和通讯，能及时、准确、客观地反映医院感染动态信息。</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noWrap w:val="0"/>
            <w:vAlign w:val="center"/>
          </w:tcPr>
          <w:p>
            <w:pPr>
              <w:pStyle w:val="110"/>
              <w:numPr>
                <w:ilvl w:val="0"/>
                <w:numId w:val="35"/>
              </w:numPr>
              <w:ind w:firstLineChars="0"/>
              <w:rPr>
                <w:rFonts w:ascii="宋体" w:hAnsi="宋体" w:cs="宋体"/>
              </w:rPr>
            </w:pPr>
          </w:p>
        </w:tc>
        <w:tc>
          <w:tcPr>
            <w:tcW w:w="647" w:type="pct"/>
            <w:noWrap w:val="0"/>
            <w:vAlign w:val="center"/>
          </w:tcPr>
          <w:p>
            <w:pPr>
              <w:rPr>
                <w:rFonts w:ascii="宋体" w:hAnsi="宋体" w:cs="宋体"/>
              </w:rPr>
            </w:pPr>
            <w:r>
              <w:rPr>
                <w:rFonts w:hint="eastAsia" w:ascii="宋体" w:hAnsi="宋体" w:cs="宋体"/>
              </w:rPr>
              <w:t>自报病例与反馈</w:t>
            </w:r>
          </w:p>
        </w:tc>
        <w:tc>
          <w:tcPr>
            <w:tcW w:w="3910" w:type="pct"/>
            <w:noWrap w:val="0"/>
            <w:vAlign w:val="center"/>
          </w:tcPr>
          <w:p>
            <w:pPr>
              <w:pStyle w:val="110"/>
              <w:numPr>
                <w:ilvl w:val="0"/>
                <w:numId w:val="46"/>
              </w:numPr>
              <w:ind w:firstLineChars="0"/>
              <w:rPr>
                <w:rFonts w:ascii="宋体" w:hAnsi="宋体" w:cs="宋体"/>
              </w:rPr>
            </w:pPr>
            <w:r>
              <w:rPr>
                <w:rFonts w:hint="eastAsia" w:ascii="宋体" w:hAnsi="宋体" w:cs="宋体"/>
              </w:rPr>
              <w:t>根据临床医生上报病例感染情况，医院感染专职人员可以确认、排除。</w:t>
            </w:r>
          </w:p>
          <w:p>
            <w:pPr>
              <w:pStyle w:val="110"/>
              <w:numPr>
                <w:ilvl w:val="0"/>
                <w:numId w:val="46"/>
              </w:numPr>
              <w:ind w:firstLineChars="0"/>
              <w:rPr>
                <w:rFonts w:ascii="宋体" w:hAnsi="宋体" w:cs="宋体"/>
              </w:rPr>
            </w:pPr>
            <w:r>
              <w:rPr>
                <w:rFonts w:hint="eastAsia" w:ascii="宋体" w:hAnsi="宋体" w:cs="宋体"/>
              </w:rPr>
              <w:t>临床医生上报病例可以及时提醒专职人员。</w:t>
            </w:r>
          </w:p>
          <w:p>
            <w:pPr>
              <w:pStyle w:val="110"/>
              <w:numPr>
                <w:ilvl w:val="0"/>
                <w:numId w:val="46"/>
              </w:numPr>
              <w:ind w:firstLineChars="0"/>
              <w:rPr>
                <w:rFonts w:ascii="宋体" w:hAnsi="宋体" w:cs="宋体"/>
              </w:rPr>
            </w:pPr>
            <w:r>
              <w:rPr>
                <w:rFonts w:hint="eastAsia" w:ascii="宋体" w:hAnsi="宋体" w:cs="宋体"/>
              </w:rPr>
              <w:t>根据医院诊断情况和医生上报情况可以统计漏报率。</w:t>
            </w:r>
          </w:p>
          <w:p>
            <w:pPr>
              <w:pStyle w:val="110"/>
              <w:numPr>
                <w:ilvl w:val="0"/>
                <w:numId w:val="46"/>
              </w:numPr>
              <w:ind w:firstLineChars="0"/>
              <w:rPr>
                <w:rFonts w:ascii="宋体" w:hAnsi="宋体" w:cs="宋体"/>
              </w:rPr>
            </w:pPr>
            <w:r>
              <w:rPr>
                <w:rFonts w:hint="eastAsia" w:ascii="宋体" w:hAnsi="宋体" w:cs="宋体"/>
              </w:rPr>
              <w:t>专职人员可以积极反馈医生提出的问题。</w:t>
            </w:r>
          </w:p>
          <w:p>
            <w:pPr>
              <w:pStyle w:val="110"/>
              <w:numPr>
                <w:ilvl w:val="0"/>
                <w:numId w:val="46"/>
              </w:numPr>
              <w:ind w:firstLineChars="0"/>
              <w:rPr>
                <w:rFonts w:ascii="宋体" w:hAnsi="宋体" w:cs="宋体"/>
              </w:rPr>
            </w:pPr>
            <w:r>
              <w:rPr>
                <w:rFonts w:hint="eastAsia" w:ascii="宋体" w:hAnsi="宋体" w:cs="宋体"/>
              </w:rPr>
              <w:t>专职人员可以发送敦促送检、隔离防护等措施。</w:t>
            </w:r>
          </w:p>
          <w:p>
            <w:pPr>
              <w:pStyle w:val="110"/>
              <w:numPr>
                <w:ilvl w:val="0"/>
                <w:numId w:val="46"/>
              </w:numPr>
              <w:ind w:firstLineChars="0"/>
              <w:rPr>
                <w:rFonts w:ascii="宋体" w:hAnsi="宋体" w:cs="宋体"/>
              </w:rPr>
            </w:pPr>
            <w:r>
              <w:rPr>
                <w:rFonts w:hint="eastAsia" w:ascii="宋体" w:hAnsi="宋体" w:cs="宋体"/>
              </w:rPr>
              <w:t>对于有疑问的患者，专职人员可以持续关注。</w:t>
            </w:r>
          </w:p>
        </w:tc>
      </w:tr>
    </w:tbl>
    <w:p>
      <w:pPr>
        <w:pStyle w:val="7"/>
        <w:ind w:firstLine="440"/>
      </w:pPr>
    </w:p>
    <w:p>
      <w:pPr>
        <w:pStyle w:val="7"/>
        <w:ind w:firstLine="440"/>
      </w:pPr>
    </w:p>
    <w:p>
      <w:pPr>
        <w:pStyle w:val="4"/>
        <w:numPr>
          <w:ilvl w:val="0"/>
          <w:numId w:val="47"/>
        </w:numPr>
        <w:tabs>
          <w:tab w:val="left" w:pos="1701"/>
        </w:tabs>
        <w:spacing w:before="10" w:line="360" w:lineRule="auto"/>
        <w:ind w:left="0" w:firstLine="0"/>
        <w:rPr>
          <w:rFonts w:hint="eastAsia" w:ascii="宋体" w:hAnsi="宋体" w:eastAsia="宋体"/>
          <w:b/>
          <w:bCs/>
          <w:lang w:eastAsia="zh-CN"/>
        </w:rPr>
      </w:pPr>
      <w:bookmarkStart w:id="249" w:name="_Toc92822043"/>
      <w:r>
        <w:rPr>
          <w:rFonts w:ascii="宋体" w:hAnsi="宋体" w:eastAsia="宋体"/>
          <w:b/>
          <w:bCs/>
        </w:rPr>
        <w:t>☆</w:t>
      </w:r>
      <w:r>
        <w:rPr>
          <w:rFonts w:hint="eastAsia" w:ascii="宋体" w:hAnsi="宋体" w:eastAsia="宋体"/>
          <w:b/>
          <w:bCs/>
          <w:lang w:eastAsia="zh-CN"/>
        </w:rPr>
        <w:t>移动医生、护理</w:t>
      </w:r>
    </w:p>
    <w:p>
      <w:pPr>
        <w:pStyle w:val="4"/>
        <w:numPr>
          <w:ilvl w:val="2"/>
          <w:numId w:val="0"/>
        </w:numPr>
        <w:ind w:left="480" w:leftChars="0"/>
        <w:rPr>
          <w:rFonts w:hint="eastAsia" w:ascii="宋体" w:hAnsi="宋体" w:cs="宋体"/>
          <w:lang w:val="en-US" w:eastAsia="zh-CN"/>
        </w:rPr>
      </w:pPr>
      <w:r>
        <w:rPr>
          <w:rFonts w:hint="eastAsia" w:ascii="宋体" w:hAnsi="宋体" w:cs="宋体"/>
          <w:lang w:val="en-US" w:eastAsia="zh-CN"/>
        </w:rPr>
        <w:t>移动医生工作站</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在住院无线查房系统平台的基础上，医生凭借移动终端可以随时在患者床旁进行医嘱处理、患者病历浏览、检验检查报告调阅、护理文书调阅、日常业务审批、申请单管理、信息查询等临床医疗服务工作。</w:t>
      </w:r>
    </w:p>
    <w:p>
      <w:pPr>
        <w:pStyle w:val="4"/>
        <w:numPr>
          <w:ilvl w:val="2"/>
          <w:numId w:val="0"/>
        </w:numPr>
        <w:ind w:left="480" w:leftChars="0"/>
        <w:rPr>
          <w:rFonts w:hint="eastAsia" w:ascii="宋体" w:hAnsi="宋体" w:cs="宋体"/>
          <w:lang w:val="en-US" w:eastAsia="zh-CN"/>
        </w:rPr>
      </w:pPr>
      <w:bookmarkStart w:id="250" w:name="_Toc366168196"/>
      <w:r>
        <w:rPr>
          <w:rFonts w:hint="eastAsia" w:ascii="宋体" w:hAnsi="宋体" w:cs="宋体"/>
          <w:lang w:val="en-US" w:eastAsia="zh-CN"/>
        </w:rPr>
        <w:t>移动护士工作站</w:t>
      </w:r>
      <w:bookmarkEnd w:id="250"/>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在住院移动护理平台基础上，采用无线PDA移动终端，快速完成体温、脉搏、呼吸及各种出入量、引流量的护理计入工作，自动生成体温表、脉搏表、呼吸表，节省描图时间，提高护理质量。</w:t>
      </w:r>
    </w:p>
    <w:p>
      <w:pPr>
        <w:pStyle w:val="4"/>
        <w:numPr>
          <w:numId w:val="0"/>
        </w:numPr>
        <w:tabs>
          <w:tab w:val="left" w:pos="1701"/>
        </w:tabs>
        <w:spacing w:before="10" w:line="360" w:lineRule="auto"/>
        <w:ind w:leftChars="0"/>
        <w:rPr>
          <w:rFonts w:hint="default" w:ascii="宋体" w:hAnsi="宋体" w:eastAsia="宋体"/>
          <w:b/>
          <w:bCs/>
        </w:rPr>
      </w:pPr>
      <w:r>
        <w:rPr>
          <w:rFonts w:hint="eastAsia" w:ascii="宋体" w:hAnsi="宋体" w:eastAsia="宋体"/>
          <w:b/>
          <w:bCs/>
          <w:lang w:eastAsia="zh-CN"/>
        </w:rPr>
        <w:t>六</w:t>
      </w:r>
      <w:r>
        <w:rPr>
          <w:rFonts w:ascii="宋体" w:hAnsi="宋体" w:eastAsia="宋体"/>
          <w:b/>
          <w:bCs/>
        </w:rPr>
        <w:t>、☆数字认证证书(电子证书)</w:t>
      </w:r>
      <w:bookmarkEnd w:id="249"/>
    </w:p>
    <w:p>
      <w:pPr>
        <w:pStyle w:val="79"/>
        <w:numPr>
          <w:ilvl w:val="0"/>
          <w:numId w:val="48"/>
        </w:numPr>
        <w:tabs>
          <w:tab w:val="left" w:pos="1040"/>
        </w:tabs>
        <w:spacing w:before="160" w:line="360" w:lineRule="auto"/>
        <w:ind w:right="-72" w:firstLine="480"/>
        <w:rPr>
          <w:rFonts w:ascii="宋体" w:hAnsi="宋体"/>
          <w:sz w:val="24"/>
        </w:rPr>
      </w:pPr>
      <w:r>
        <w:rPr>
          <w:rFonts w:hint="eastAsia" w:ascii="宋体" w:hAnsi="宋体"/>
          <w:sz w:val="24"/>
        </w:rPr>
        <w:t>1、数字签名验证服务器</w:t>
      </w:r>
    </w:p>
    <w:tbl>
      <w:tblPr>
        <w:tblStyle w:val="39"/>
        <w:tblW w:w="89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8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noWrap w:val="0"/>
            <w:vAlign w:val="bottom"/>
          </w:tcPr>
          <w:p>
            <w:pPr>
              <w:adjustRightInd w:val="0"/>
              <w:snapToGrid w:val="0"/>
              <w:spacing w:line="360" w:lineRule="auto"/>
              <w:jc w:val="center"/>
              <w:rPr>
                <w:rFonts w:ascii="宋体" w:hAnsi="宋体"/>
                <w:b/>
                <w:sz w:val="24"/>
              </w:rPr>
            </w:pPr>
            <w:r>
              <w:rPr>
                <w:rFonts w:hint="eastAsia" w:ascii="宋体" w:hAnsi="宋体"/>
                <w:b/>
                <w:sz w:val="24"/>
              </w:rPr>
              <w:t>序号</w:t>
            </w:r>
          </w:p>
        </w:tc>
        <w:tc>
          <w:tcPr>
            <w:tcW w:w="8163" w:type="dxa"/>
            <w:noWrap w:val="0"/>
            <w:vAlign w:val="bottom"/>
          </w:tcPr>
          <w:p>
            <w:pPr>
              <w:adjustRightInd w:val="0"/>
              <w:snapToGrid w:val="0"/>
              <w:spacing w:line="360" w:lineRule="auto"/>
              <w:jc w:val="center"/>
              <w:rPr>
                <w:rFonts w:ascii="宋体" w:hAnsi="宋体"/>
                <w:b/>
                <w:sz w:val="24"/>
              </w:rPr>
            </w:pPr>
            <w:r>
              <w:rPr>
                <w:rFonts w:hint="eastAsia" w:ascii="宋体" w:hAnsi="宋体"/>
                <w:b/>
                <w:sz w:val="24"/>
              </w:rPr>
              <w:t>功能指标要求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788" w:type="dxa"/>
            <w:noWrap w:val="0"/>
            <w:vAlign w:val="bottom"/>
          </w:tcPr>
          <w:p>
            <w:pPr>
              <w:spacing w:line="360" w:lineRule="auto"/>
              <w:jc w:val="center"/>
              <w:rPr>
                <w:rFonts w:ascii="宋体" w:hAnsi="宋体"/>
                <w:sz w:val="24"/>
              </w:rPr>
            </w:pPr>
            <w:r>
              <w:rPr>
                <w:rFonts w:hint="eastAsia" w:ascii="宋体" w:hAnsi="宋体"/>
                <w:sz w:val="24"/>
              </w:rPr>
              <w:t>1</w:t>
            </w:r>
          </w:p>
        </w:tc>
        <w:tc>
          <w:tcPr>
            <w:tcW w:w="8163" w:type="dxa"/>
            <w:noWrap w:val="0"/>
            <w:vAlign w:val="bottom"/>
          </w:tcPr>
          <w:p>
            <w:pPr>
              <w:spacing w:line="360" w:lineRule="auto"/>
              <w:rPr>
                <w:rFonts w:ascii="宋体" w:hAnsi="宋体"/>
                <w:sz w:val="24"/>
              </w:rPr>
            </w:pPr>
            <w:r>
              <w:rPr>
                <w:rFonts w:hint="eastAsia" w:ascii="宋体" w:hAnsi="宋体"/>
                <w:sz w:val="24"/>
              </w:rPr>
              <w:t>实现基于数字证书的身份认证，支持不同CA的证书验证，提供CRL/OCSP等多种方式的证书有效性验证。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noWrap w:val="0"/>
            <w:vAlign w:val="bottom"/>
          </w:tcPr>
          <w:p>
            <w:pPr>
              <w:spacing w:line="360" w:lineRule="auto"/>
              <w:jc w:val="center"/>
              <w:rPr>
                <w:rFonts w:ascii="宋体" w:hAnsi="宋体"/>
                <w:sz w:val="24"/>
              </w:rPr>
            </w:pPr>
            <w:r>
              <w:rPr>
                <w:rFonts w:hint="eastAsia" w:ascii="宋体" w:hAnsi="宋体"/>
                <w:sz w:val="24"/>
              </w:rPr>
              <w:t>2</w:t>
            </w:r>
          </w:p>
        </w:tc>
        <w:tc>
          <w:tcPr>
            <w:tcW w:w="8163" w:type="dxa"/>
            <w:noWrap w:val="0"/>
            <w:vAlign w:val="bottom"/>
          </w:tcPr>
          <w:p>
            <w:pPr>
              <w:spacing w:line="360" w:lineRule="auto"/>
              <w:rPr>
                <w:rFonts w:ascii="宋体" w:hAnsi="宋体"/>
                <w:sz w:val="24"/>
              </w:rPr>
            </w:pPr>
            <w:r>
              <w:rPr>
                <w:rFonts w:hint="eastAsia" w:ascii="宋体" w:hAnsi="宋体"/>
                <w:sz w:val="24"/>
              </w:rPr>
              <w:t>提供PKCS1/ PKCS7 attach/PKCS7 detach/XML Sign 等多种格式的数字签名和数字签名验证功能。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noWrap w:val="0"/>
            <w:vAlign w:val="bottom"/>
          </w:tcPr>
          <w:p>
            <w:pPr>
              <w:spacing w:line="360" w:lineRule="auto"/>
              <w:jc w:val="center"/>
              <w:rPr>
                <w:rFonts w:ascii="宋体" w:hAnsi="宋体"/>
                <w:sz w:val="24"/>
              </w:rPr>
            </w:pPr>
            <w:r>
              <w:rPr>
                <w:rFonts w:hint="eastAsia" w:ascii="宋体" w:hAnsi="宋体"/>
                <w:sz w:val="24"/>
              </w:rPr>
              <w:t>3</w:t>
            </w:r>
          </w:p>
        </w:tc>
        <w:tc>
          <w:tcPr>
            <w:tcW w:w="8163" w:type="dxa"/>
            <w:noWrap w:val="0"/>
            <w:vAlign w:val="bottom"/>
          </w:tcPr>
          <w:p>
            <w:pPr>
              <w:spacing w:line="360" w:lineRule="auto"/>
              <w:rPr>
                <w:rFonts w:ascii="宋体" w:hAnsi="宋体"/>
                <w:sz w:val="24"/>
              </w:rPr>
            </w:pPr>
            <w:r>
              <w:rPr>
                <w:rFonts w:hint="eastAsia" w:ascii="宋体" w:hAnsi="宋体"/>
                <w:sz w:val="24"/>
              </w:rPr>
              <w:t>对数据进行加密传输，只有指定的信封接收者可以解密数据。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noWrap w:val="0"/>
            <w:vAlign w:val="bottom"/>
          </w:tcPr>
          <w:p>
            <w:pPr>
              <w:spacing w:line="360" w:lineRule="auto"/>
              <w:jc w:val="center"/>
              <w:rPr>
                <w:rFonts w:ascii="宋体" w:hAnsi="宋体"/>
                <w:sz w:val="24"/>
              </w:rPr>
            </w:pPr>
            <w:r>
              <w:rPr>
                <w:rFonts w:hint="eastAsia" w:ascii="宋体" w:hAnsi="宋体"/>
                <w:sz w:val="24"/>
              </w:rPr>
              <w:t>4</w:t>
            </w:r>
          </w:p>
        </w:tc>
        <w:tc>
          <w:tcPr>
            <w:tcW w:w="8163" w:type="dxa"/>
            <w:noWrap w:val="0"/>
            <w:vAlign w:val="bottom"/>
          </w:tcPr>
          <w:p>
            <w:pPr>
              <w:spacing w:line="360" w:lineRule="auto"/>
              <w:rPr>
                <w:rFonts w:ascii="宋体" w:hAnsi="宋体"/>
                <w:sz w:val="24"/>
              </w:rPr>
            </w:pPr>
            <w:r>
              <w:rPr>
                <w:rFonts w:hint="eastAsia" w:ascii="宋体" w:hAnsi="宋体"/>
                <w:sz w:val="24"/>
              </w:rPr>
              <w:t>对文件提供数字签名和数字签名验证功能。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noWrap w:val="0"/>
            <w:vAlign w:val="bottom"/>
          </w:tcPr>
          <w:p>
            <w:pPr>
              <w:spacing w:line="360" w:lineRule="auto"/>
              <w:jc w:val="center"/>
              <w:rPr>
                <w:rFonts w:ascii="宋体" w:hAnsi="宋体"/>
                <w:sz w:val="24"/>
              </w:rPr>
            </w:pPr>
            <w:r>
              <w:rPr>
                <w:rFonts w:hint="eastAsia" w:ascii="宋体" w:hAnsi="宋体"/>
                <w:sz w:val="24"/>
              </w:rPr>
              <w:t>5</w:t>
            </w:r>
          </w:p>
        </w:tc>
        <w:tc>
          <w:tcPr>
            <w:tcW w:w="8163" w:type="dxa"/>
            <w:noWrap w:val="0"/>
            <w:vAlign w:val="bottom"/>
          </w:tcPr>
          <w:p>
            <w:pPr>
              <w:spacing w:line="360" w:lineRule="auto"/>
              <w:rPr>
                <w:rFonts w:ascii="宋体" w:hAnsi="宋体"/>
                <w:sz w:val="24"/>
              </w:rPr>
            </w:pPr>
            <w:r>
              <w:rPr>
                <w:rFonts w:hint="eastAsia" w:ascii="宋体" w:hAnsi="宋体"/>
                <w:sz w:val="24"/>
              </w:rPr>
              <w:t>提供 CRL/OCSP 等多种方式的证书有效性验证。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noWrap w:val="0"/>
            <w:vAlign w:val="bottom"/>
          </w:tcPr>
          <w:p>
            <w:pPr>
              <w:spacing w:line="360" w:lineRule="auto"/>
              <w:jc w:val="center"/>
              <w:rPr>
                <w:rFonts w:ascii="宋体" w:hAnsi="宋体"/>
                <w:sz w:val="24"/>
              </w:rPr>
            </w:pPr>
            <w:r>
              <w:rPr>
                <w:rFonts w:hint="eastAsia" w:ascii="宋体" w:hAnsi="宋体"/>
                <w:sz w:val="24"/>
              </w:rPr>
              <w:t>6</w:t>
            </w:r>
          </w:p>
        </w:tc>
        <w:tc>
          <w:tcPr>
            <w:tcW w:w="8163" w:type="dxa"/>
            <w:noWrap w:val="0"/>
            <w:vAlign w:val="bottom"/>
          </w:tcPr>
          <w:p>
            <w:pPr>
              <w:spacing w:line="360" w:lineRule="auto"/>
              <w:rPr>
                <w:rFonts w:ascii="宋体" w:hAnsi="宋体"/>
                <w:sz w:val="24"/>
              </w:rPr>
            </w:pPr>
            <w:r>
              <w:rPr>
                <w:rFonts w:hint="eastAsia" w:ascii="宋体" w:hAnsi="宋体"/>
                <w:sz w:val="24"/>
              </w:rPr>
              <w:t>可同时配置多条证书链，验证不同 CA 系统签发的数字证书。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noWrap w:val="0"/>
            <w:vAlign w:val="bottom"/>
          </w:tcPr>
          <w:p>
            <w:pPr>
              <w:spacing w:line="360" w:lineRule="auto"/>
              <w:jc w:val="center"/>
              <w:rPr>
                <w:rFonts w:ascii="宋体" w:hAnsi="宋体"/>
                <w:sz w:val="24"/>
              </w:rPr>
            </w:pPr>
            <w:r>
              <w:rPr>
                <w:rFonts w:hint="eastAsia" w:ascii="宋体" w:hAnsi="宋体"/>
                <w:sz w:val="24"/>
              </w:rPr>
              <w:t>7</w:t>
            </w:r>
          </w:p>
        </w:tc>
        <w:tc>
          <w:tcPr>
            <w:tcW w:w="8163" w:type="dxa"/>
            <w:noWrap w:val="0"/>
            <w:vAlign w:val="bottom"/>
          </w:tcPr>
          <w:p>
            <w:pPr>
              <w:spacing w:line="360" w:lineRule="auto"/>
              <w:rPr>
                <w:rFonts w:ascii="宋体" w:hAnsi="宋体"/>
                <w:sz w:val="24"/>
              </w:rPr>
            </w:pPr>
            <w:r>
              <w:rPr>
                <w:rFonts w:hint="eastAsia" w:ascii="宋体" w:hAnsi="宋体"/>
                <w:sz w:val="24"/>
              </w:rPr>
              <w:t>提供证书解析功能，获取证书中的任意主题信息以及扩展项信息。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noWrap w:val="0"/>
            <w:vAlign w:val="bottom"/>
          </w:tcPr>
          <w:p>
            <w:pPr>
              <w:spacing w:line="360" w:lineRule="auto"/>
              <w:jc w:val="center"/>
              <w:rPr>
                <w:rFonts w:ascii="宋体" w:hAnsi="宋体"/>
                <w:sz w:val="24"/>
              </w:rPr>
            </w:pPr>
            <w:r>
              <w:rPr>
                <w:rFonts w:hint="eastAsia" w:ascii="宋体" w:hAnsi="宋体"/>
                <w:sz w:val="24"/>
              </w:rPr>
              <w:t>8</w:t>
            </w:r>
          </w:p>
        </w:tc>
        <w:tc>
          <w:tcPr>
            <w:tcW w:w="8163" w:type="dxa"/>
            <w:noWrap w:val="0"/>
            <w:vAlign w:val="bottom"/>
          </w:tcPr>
          <w:p>
            <w:pPr>
              <w:spacing w:line="360" w:lineRule="auto"/>
              <w:rPr>
                <w:rFonts w:ascii="宋体" w:hAnsi="宋体"/>
                <w:sz w:val="24"/>
              </w:rPr>
            </w:pPr>
            <w:r>
              <w:rPr>
                <w:rFonts w:hint="eastAsia" w:ascii="宋体" w:hAnsi="宋体"/>
                <w:sz w:val="24"/>
              </w:rPr>
              <w:t>DSVS实现对客户端证书的存储，管理员可以通过页面进行证书导入和查找，业务系统可以通过接口获取已存储的证书。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noWrap w:val="0"/>
            <w:vAlign w:val="bottom"/>
          </w:tcPr>
          <w:p>
            <w:pPr>
              <w:spacing w:line="360" w:lineRule="auto"/>
              <w:jc w:val="center"/>
              <w:rPr>
                <w:rFonts w:ascii="宋体" w:hAnsi="宋体"/>
                <w:sz w:val="24"/>
              </w:rPr>
            </w:pPr>
            <w:r>
              <w:rPr>
                <w:rFonts w:hint="eastAsia" w:ascii="宋体" w:hAnsi="宋体"/>
                <w:sz w:val="24"/>
              </w:rPr>
              <w:t>9</w:t>
            </w:r>
          </w:p>
        </w:tc>
        <w:tc>
          <w:tcPr>
            <w:tcW w:w="8163" w:type="dxa"/>
            <w:noWrap w:val="0"/>
            <w:vAlign w:val="bottom"/>
          </w:tcPr>
          <w:p>
            <w:pPr>
              <w:spacing w:line="360" w:lineRule="auto"/>
              <w:rPr>
                <w:rFonts w:ascii="宋体" w:hAnsi="宋体"/>
                <w:sz w:val="24"/>
              </w:rPr>
            </w:pPr>
            <w:r>
              <w:rPr>
                <w:rFonts w:hint="eastAsia" w:ascii="宋体" w:hAnsi="宋体"/>
                <w:sz w:val="24"/>
              </w:rPr>
              <w:t>可以自动更新黑名单，采用动态更新方式，无需重启服务。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noWrap w:val="0"/>
            <w:vAlign w:val="bottom"/>
          </w:tcPr>
          <w:p>
            <w:pPr>
              <w:spacing w:line="360" w:lineRule="auto"/>
              <w:jc w:val="center"/>
              <w:rPr>
                <w:rFonts w:ascii="宋体" w:hAnsi="宋体"/>
                <w:sz w:val="24"/>
              </w:rPr>
            </w:pPr>
            <w:r>
              <w:rPr>
                <w:rFonts w:hint="eastAsia" w:ascii="宋体" w:hAnsi="宋体"/>
                <w:sz w:val="24"/>
              </w:rPr>
              <w:t>10</w:t>
            </w:r>
          </w:p>
        </w:tc>
        <w:tc>
          <w:tcPr>
            <w:tcW w:w="8163" w:type="dxa"/>
            <w:noWrap w:val="0"/>
            <w:vAlign w:val="bottom"/>
          </w:tcPr>
          <w:p>
            <w:pPr>
              <w:spacing w:line="360" w:lineRule="auto"/>
              <w:rPr>
                <w:rFonts w:ascii="宋体" w:hAnsi="宋体"/>
                <w:sz w:val="24"/>
              </w:rPr>
            </w:pPr>
            <w:r>
              <w:rPr>
                <w:rFonts w:hint="eastAsia" w:ascii="宋体" w:hAnsi="宋体"/>
                <w:sz w:val="24"/>
              </w:rPr>
              <w:t>配置网络时间同步服务器及同步策略，实现与时间源的时间同步校对。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noWrap w:val="0"/>
            <w:vAlign w:val="bottom"/>
          </w:tcPr>
          <w:p>
            <w:pPr>
              <w:spacing w:line="360" w:lineRule="auto"/>
              <w:jc w:val="center"/>
              <w:rPr>
                <w:rFonts w:ascii="宋体" w:hAnsi="宋体"/>
                <w:sz w:val="24"/>
              </w:rPr>
            </w:pPr>
            <w:r>
              <w:rPr>
                <w:rFonts w:hint="eastAsia" w:ascii="宋体" w:hAnsi="宋体"/>
                <w:sz w:val="24"/>
              </w:rPr>
              <w:t>11</w:t>
            </w:r>
          </w:p>
        </w:tc>
        <w:tc>
          <w:tcPr>
            <w:tcW w:w="8163" w:type="dxa"/>
            <w:noWrap w:val="0"/>
            <w:vAlign w:val="bottom"/>
          </w:tcPr>
          <w:p>
            <w:pPr>
              <w:spacing w:line="360" w:lineRule="auto"/>
              <w:rPr>
                <w:rFonts w:ascii="宋体" w:hAnsi="宋体"/>
                <w:sz w:val="24"/>
              </w:rPr>
            </w:pPr>
            <w:r>
              <w:rPr>
                <w:rFonts w:hint="eastAsia" w:ascii="宋体" w:hAnsi="宋体"/>
                <w:sz w:val="24"/>
              </w:rPr>
              <w:t>支持最大500M大文件加密。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noWrap w:val="0"/>
            <w:vAlign w:val="bottom"/>
          </w:tcPr>
          <w:p>
            <w:pPr>
              <w:adjustRightInd w:val="0"/>
              <w:snapToGrid w:val="0"/>
              <w:spacing w:line="360" w:lineRule="auto"/>
              <w:jc w:val="center"/>
              <w:rPr>
                <w:rFonts w:ascii="宋体" w:hAnsi="宋体"/>
                <w:b/>
                <w:sz w:val="24"/>
              </w:rPr>
            </w:pPr>
            <w:r>
              <w:rPr>
                <w:rFonts w:hint="eastAsia" w:ascii="宋体" w:hAnsi="宋体"/>
                <w:b/>
                <w:sz w:val="24"/>
              </w:rPr>
              <w:t>序号</w:t>
            </w:r>
          </w:p>
        </w:tc>
        <w:tc>
          <w:tcPr>
            <w:tcW w:w="8163" w:type="dxa"/>
            <w:noWrap w:val="0"/>
            <w:vAlign w:val="bottom"/>
          </w:tcPr>
          <w:p>
            <w:pPr>
              <w:adjustRightInd w:val="0"/>
              <w:snapToGrid w:val="0"/>
              <w:spacing w:line="360" w:lineRule="auto"/>
              <w:jc w:val="center"/>
              <w:rPr>
                <w:rFonts w:ascii="宋体" w:hAnsi="宋体"/>
                <w:b/>
                <w:sz w:val="24"/>
              </w:rPr>
            </w:pPr>
            <w:r>
              <w:rPr>
                <w:rFonts w:hint="eastAsia" w:ascii="宋体" w:hAnsi="宋体"/>
                <w:b/>
                <w:sz w:val="24"/>
              </w:rPr>
              <w:t>非功能指标要求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788" w:type="dxa"/>
            <w:noWrap w:val="0"/>
            <w:vAlign w:val="bottom"/>
          </w:tcPr>
          <w:p>
            <w:pPr>
              <w:spacing w:line="360" w:lineRule="auto"/>
              <w:jc w:val="center"/>
              <w:rPr>
                <w:rFonts w:ascii="宋体" w:hAnsi="宋体"/>
                <w:sz w:val="24"/>
              </w:rPr>
            </w:pPr>
            <w:r>
              <w:rPr>
                <w:rFonts w:hint="eastAsia" w:ascii="宋体" w:hAnsi="宋体"/>
                <w:sz w:val="24"/>
              </w:rPr>
              <w:t>1</w:t>
            </w:r>
          </w:p>
        </w:tc>
        <w:tc>
          <w:tcPr>
            <w:tcW w:w="8163" w:type="dxa"/>
            <w:noWrap w:val="0"/>
            <w:vAlign w:val="bottom"/>
          </w:tcPr>
          <w:p>
            <w:pPr>
              <w:spacing w:line="360" w:lineRule="auto"/>
              <w:rPr>
                <w:rFonts w:ascii="宋体" w:hAnsi="宋体"/>
                <w:sz w:val="24"/>
              </w:rPr>
            </w:pPr>
            <w:r>
              <w:rPr>
                <w:rFonts w:hint="eastAsia" w:ascii="宋体" w:hAnsi="宋体"/>
                <w:sz w:val="24"/>
              </w:rPr>
              <w:t>产品可以备份当前系统所有配置，保证系统瘫痪时的快速恢复。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88" w:type="dxa"/>
            <w:noWrap w:val="0"/>
            <w:vAlign w:val="bottom"/>
          </w:tcPr>
          <w:p>
            <w:pPr>
              <w:spacing w:line="360" w:lineRule="auto"/>
              <w:jc w:val="center"/>
              <w:rPr>
                <w:rFonts w:ascii="宋体" w:hAnsi="宋体"/>
                <w:sz w:val="24"/>
              </w:rPr>
            </w:pPr>
            <w:r>
              <w:rPr>
                <w:rFonts w:hint="eastAsia" w:ascii="宋体" w:hAnsi="宋体"/>
                <w:sz w:val="24"/>
              </w:rPr>
              <w:t>2</w:t>
            </w:r>
          </w:p>
        </w:tc>
        <w:tc>
          <w:tcPr>
            <w:tcW w:w="8163" w:type="dxa"/>
            <w:noWrap w:val="0"/>
            <w:vAlign w:val="bottom"/>
          </w:tcPr>
          <w:p>
            <w:pPr>
              <w:spacing w:line="360" w:lineRule="auto"/>
              <w:rPr>
                <w:rFonts w:ascii="宋体" w:hAnsi="宋体"/>
                <w:sz w:val="24"/>
              </w:rPr>
            </w:pPr>
            <w:r>
              <w:rPr>
                <w:rFonts w:hint="eastAsia" w:ascii="宋体" w:hAnsi="宋体"/>
                <w:sz w:val="24"/>
              </w:rPr>
              <w:t>DSVS可以自行记录日志，也可以将日志以SYSLOG的方式发送到指定服务器。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88" w:type="dxa"/>
            <w:noWrap w:val="0"/>
            <w:vAlign w:val="bottom"/>
          </w:tcPr>
          <w:p>
            <w:pPr>
              <w:spacing w:line="360" w:lineRule="auto"/>
              <w:jc w:val="center"/>
              <w:rPr>
                <w:rFonts w:ascii="宋体" w:hAnsi="宋体"/>
                <w:sz w:val="24"/>
              </w:rPr>
            </w:pPr>
            <w:r>
              <w:rPr>
                <w:rFonts w:hint="eastAsia" w:ascii="宋体" w:hAnsi="宋体"/>
                <w:sz w:val="24"/>
              </w:rPr>
              <w:t>3</w:t>
            </w:r>
          </w:p>
        </w:tc>
        <w:tc>
          <w:tcPr>
            <w:tcW w:w="8163" w:type="dxa"/>
            <w:noWrap w:val="0"/>
            <w:vAlign w:val="bottom"/>
          </w:tcPr>
          <w:p>
            <w:pPr>
              <w:spacing w:line="360" w:lineRule="auto"/>
              <w:rPr>
                <w:rFonts w:ascii="宋体" w:hAnsi="宋体"/>
                <w:sz w:val="24"/>
              </w:rPr>
            </w:pPr>
            <w:r>
              <w:rPr>
                <w:rFonts w:hint="eastAsia" w:ascii="宋体" w:hAnsi="宋体"/>
                <w:sz w:val="24"/>
              </w:rPr>
              <w:t>系统记录管理员的操作日志并支持对操作日志进行审计管理。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88" w:type="dxa"/>
            <w:noWrap w:val="0"/>
            <w:vAlign w:val="bottom"/>
          </w:tcPr>
          <w:p>
            <w:pPr>
              <w:spacing w:line="360" w:lineRule="auto"/>
              <w:jc w:val="center"/>
              <w:rPr>
                <w:rFonts w:ascii="宋体" w:hAnsi="宋体"/>
                <w:sz w:val="24"/>
              </w:rPr>
            </w:pPr>
            <w:r>
              <w:rPr>
                <w:rFonts w:hint="eastAsia" w:ascii="宋体" w:hAnsi="宋体"/>
                <w:sz w:val="24"/>
              </w:rPr>
              <w:t>4</w:t>
            </w:r>
          </w:p>
        </w:tc>
        <w:tc>
          <w:tcPr>
            <w:tcW w:w="8163" w:type="dxa"/>
            <w:noWrap w:val="0"/>
            <w:vAlign w:val="bottom"/>
          </w:tcPr>
          <w:p>
            <w:pPr>
              <w:spacing w:line="360" w:lineRule="auto"/>
              <w:rPr>
                <w:rFonts w:ascii="宋体" w:hAnsi="宋体"/>
                <w:sz w:val="24"/>
              </w:rPr>
            </w:pPr>
            <w:r>
              <w:rPr>
                <w:rFonts w:hint="eastAsia" w:ascii="宋体" w:hAnsi="宋体"/>
                <w:sz w:val="24"/>
              </w:rPr>
              <w:t>管理员可以通过串口来修改DSVS服务器IP地址。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88" w:type="dxa"/>
            <w:noWrap w:val="0"/>
            <w:vAlign w:val="bottom"/>
          </w:tcPr>
          <w:p>
            <w:pPr>
              <w:spacing w:line="360" w:lineRule="auto"/>
              <w:jc w:val="center"/>
              <w:rPr>
                <w:rFonts w:ascii="宋体" w:hAnsi="宋体"/>
                <w:sz w:val="24"/>
              </w:rPr>
            </w:pPr>
            <w:r>
              <w:rPr>
                <w:rFonts w:hint="eastAsia" w:ascii="宋体" w:hAnsi="宋体"/>
                <w:sz w:val="24"/>
              </w:rPr>
              <w:t>5</w:t>
            </w:r>
          </w:p>
        </w:tc>
        <w:tc>
          <w:tcPr>
            <w:tcW w:w="8163" w:type="dxa"/>
            <w:noWrap w:val="0"/>
            <w:vAlign w:val="bottom"/>
          </w:tcPr>
          <w:p>
            <w:pPr>
              <w:spacing w:line="360" w:lineRule="auto"/>
              <w:rPr>
                <w:rFonts w:ascii="宋体" w:hAnsi="宋体"/>
                <w:sz w:val="24"/>
              </w:rPr>
            </w:pPr>
            <w:r>
              <w:rPr>
                <w:rFonts w:hint="eastAsia" w:ascii="宋体" w:hAnsi="宋体"/>
                <w:sz w:val="24"/>
              </w:rPr>
              <w:t>系统管理端支持管理员登录后，拔出管理员Key系统自动退出。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88" w:type="dxa"/>
            <w:noWrap w:val="0"/>
            <w:vAlign w:val="bottom"/>
          </w:tcPr>
          <w:p>
            <w:pPr>
              <w:spacing w:line="360" w:lineRule="auto"/>
              <w:jc w:val="center"/>
              <w:rPr>
                <w:rFonts w:ascii="宋体" w:hAnsi="宋体"/>
                <w:sz w:val="24"/>
              </w:rPr>
            </w:pPr>
            <w:r>
              <w:rPr>
                <w:rFonts w:hint="eastAsia" w:ascii="宋体" w:hAnsi="宋体"/>
                <w:sz w:val="24"/>
              </w:rPr>
              <w:t>6</w:t>
            </w:r>
          </w:p>
        </w:tc>
        <w:tc>
          <w:tcPr>
            <w:tcW w:w="8163" w:type="dxa"/>
            <w:noWrap w:val="0"/>
            <w:vAlign w:val="bottom"/>
          </w:tcPr>
          <w:p>
            <w:pPr>
              <w:spacing w:line="360" w:lineRule="auto"/>
              <w:rPr>
                <w:rFonts w:ascii="宋体" w:hAnsi="宋体"/>
                <w:sz w:val="24"/>
              </w:rPr>
            </w:pPr>
            <w:r>
              <w:rPr>
                <w:rFonts w:hint="eastAsia" w:ascii="宋体" w:hAnsi="宋体"/>
                <w:sz w:val="24"/>
              </w:rPr>
              <w:t>系统支持初始化成</w:t>
            </w:r>
            <w:r>
              <w:fldChar w:fldCharType="begin"/>
            </w:r>
            <w:r>
              <w:instrText xml:space="preserve">HYPERLINK "http://192.168.131.141:88/zentao/story-view-38.html"</w:instrText>
            </w:r>
            <w:r>
              <w:fldChar w:fldCharType="separate"/>
            </w:r>
            <w:r>
              <w:rPr>
                <w:rFonts w:hint="eastAsia" w:ascii="宋体" w:hAnsi="宋体"/>
                <w:sz w:val="24"/>
              </w:rPr>
              <w:t>系统管理员、安全管理员和审计管理员三员分立</w:t>
            </w:r>
            <w:r>
              <w:fldChar w:fldCharType="end"/>
            </w:r>
            <w:r>
              <w:rPr>
                <w:rFonts w:hint="eastAsia" w:ascii="宋体" w:hAnsi="宋体"/>
                <w:sz w:val="24"/>
              </w:rPr>
              <w:t>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88" w:type="dxa"/>
            <w:noWrap w:val="0"/>
            <w:vAlign w:val="bottom"/>
          </w:tcPr>
          <w:p>
            <w:pPr>
              <w:spacing w:line="360" w:lineRule="auto"/>
              <w:jc w:val="center"/>
              <w:rPr>
                <w:rFonts w:ascii="宋体" w:hAnsi="宋体"/>
                <w:sz w:val="24"/>
              </w:rPr>
            </w:pPr>
            <w:r>
              <w:rPr>
                <w:rFonts w:hint="eastAsia" w:ascii="宋体" w:hAnsi="宋体"/>
                <w:sz w:val="24"/>
              </w:rPr>
              <w:t>7</w:t>
            </w:r>
          </w:p>
        </w:tc>
        <w:tc>
          <w:tcPr>
            <w:tcW w:w="8163" w:type="dxa"/>
            <w:noWrap w:val="0"/>
            <w:vAlign w:val="bottom"/>
          </w:tcPr>
          <w:p>
            <w:pPr>
              <w:spacing w:line="360" w:lineRule="auto"/>
              <w:rPr>
                <w:rFonts w:ascii="宋体" w:hAnsi="宋体"/>
                <w:sz w:val="24"/>
              </w:rPr>
            </w:pPr>
            <w:r>
              <w:rPr>
                <w:rFonts w:hint="eastAsia" w:ascii="宋体" w:hAnsi="宋体"/>
                <w:sz w:val="24"/>
              </w:rPr>
              <w:t>系统判断导入证书算法正确性，使管理员能够避免导入算法不一致证书（SM2根签发的RSA证书或RSA根签发的SM2证书）的误操作。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88" w:type="dxa"/>
            <w:noWrap w:val="0"/>
            <w:vAlign w:val="bottom"/>
          </w:tcPr>
          <w:p>
            <w:pPr>
              <w:spacing w:line="360" w:lineRule="auto"/>
              <w:jc w:val="center"/>
              <w:rPr>
                <w:rFonts w:ascii="宋体" w:hAnsi="宋体"/>
                <w:sz w:val="24"/>
              </w:rPr>
            </w:pPr>
            <w:r>
              <w:rPr>
                <w:rFonts w:ascii="宋体" w:hAnsi="宋体"/>
                <w:sz w:val="24"/>
              </w:rPr>
              <w:t>8</w:t>
            </w:r>
          </w:p>
        </w:tc>
        <w:tc>
          <w:tcPr>
            <w:tcW w:w="8163" w:type="dxa"/>
            <w:noWrap w:val="0"/>
            <w:vAlign w:val="bottom"/>
          </w:tcPr>
          <w:p>
            <w:pPr>
              <w:spacing w:line="360" w:lineRule="auto"/>
              <w:rPr>
                <w:rFonts w:ascii="宋体" w:hAnsi="宋体"/>
                <w:sz w:val="24"/>
              </w:rPr>
            </w:pPr>
            <w:r>
              <w:rPr>
                <w:rFonts w:hint="eastAsia" w:ascii="宋体" w:hAnsi="宋体"/>
                <w:sz w:val="24"/>
              </w:rPr>
              <w:t>支持双机、负载均衡。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88" w:type="dxa"/>
            <w:noWrap w:val="0"/>
            <w:vAlign w:val="bottom"/>
          </w:tcPr>
          <w:p>
            <w:pPr>
              <w:spacing w:line="360" w:lineRule="auto"/>
              <w:jc w:val="center"/>
              <w:rPr>
                <w:rFonts w:ascii="宋体" w:hAnsi="宋体"/>
                <w:sz w:val="24"/>
              </w:rPr>
            </w:pPr>
            <w:r>
              <w:rPr>
                <w:rFonts w:ascii="宋体" w:hAnsi="宋体"/>
                <w:sz w:val="24"/>
              </w:rPr>
              <w:t>9</w:t>
            </w:r>
          </w:p>
        </w:tc>
        <w:tc>
          <w:tcPr>
            <w:tcW w:w="8163" w:type="dxa"/>
            <w:noWrap w:val="0"/>
            <w:vAlign w:val="bottom"/>
          </w:tcPr>
          <w:p>
            <w:pPr>
              <w:spacing w:line="360" w:lineRule="auto"/>
              <w:rPr>
                <w:rFonts w:ascii="宋体" w:hAnsi="宋体"/>
                <w:sz w:val="24"/>
              </w:rPr>
            </w:pPr>
            <w:r>
              <w:rPr>
                <w:rFonts w:hint="eastAsia" w:ascii="宋体" w:hAnsi="宋体"/>
                <w:sz w:val="24"/>
              </w:rPr>
              <w:t>支持Windows Server；Linux；AIX；Solaris；Unix等</w:t>
            </w:r>
            <w:r>
              <w:rPr>
                <w:rFonts w:ascii="宋体" w:hAnsi="宋体"/>
                <w:sz w:val="24"/>
              </w:rPr>
              <w:t>应用平台</w:t>
            </w: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88" w:type="dxa"/>
            <w:noWrap w:val="0"/>
            <w:vAlign w:val="bottom"/>
          </w:tcPr>
          <w:p>
            <w:pPr>
              <w:spacing w:line="360" w:lineRule="auto"/>
              <w:jc w:val="center"/>
              <w:rPr>
                <w:rFonts w:ascii="宋体" w:hAnsi="宋体"/>
                <w:sz w:val="24"/>
              </w:rPr>
            </w:pPr>
            <w:r>
              <w:rPr>
                <w:rFonts w:hint="eastAsia" w:ascii="宋体" w:hAnsi="宋体"/>
                <w:sz w:val="24"/>
              </w:rPr>
              <w:t>10</w:t>
            </w:r>
          </w:p>
        </w:tc>
        <w:tc>
          <w:tcPr>
            <w:tcW w:w="8163" w:type="dxa"/>
            <w:noWrap w:val="0"/>
            <w:vAlign w:val="bottom"/>
          </w:tcPr>
          <w:p>
            <w:pPr>
              <w:spacing w:line="360" w:lineRule="auto"/>
              <w:rPr>
                <w:rFonts w:ascii="宋体" w:hAnsi="宋体"/>
                <w:sz w:val="24"/>
              </w:rPr>
            </w:pPr>
            <w:r>
              <w:rPr>
                <w:rFonts w:hint="eastAsia" w:ascii="宋体" w:hAnsi="宋体"/>
                <w:sz w:val="24"/>
              </w:rPr>
              <w:t>支持Java、C、COM、WebService等</w:t>
            </w:r>
            <w:r>
              <w:rPr>
                <w:rFonts w:ascii="宋体" w:hAnsi="宋体"/>
                <w:sz w:val="24"/>
              </w:rPr>
              <w:t>主流应用接口</w:t>
            </w: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88" w:type="dxa"/>
            <w:noWrap w:val="0"/>
            <w:vAlign w:val="bottom"/>
          </w:tcPr>
          <w:p>
            <w:pPr>
              <w:spacing w:line="360" w:lineRule="auto"/>
              <w:jc w:val="center"/>
              <w:rPr>
                <w:rFonts w:ascii="宋体" w:hAnsi="宋体"/>
                <w:sz w:val="24"/>
              </w:rPr>
            </w:pPr>
            <w:r>
              <w:rPr>
                <w:rFonts w:hint="eastAsia" w:ascii="宋体" w:hAnsi="宋体"/>
                <w:sz w:val="24"/>
              </w:rPr>
              <w:t>11</w:t>
            </w:r>
          </w:p>
        </w:tc>
        <w:tc>
          <w:tcPr>
            <w:tcW w:w="8163" w:type="dxa"/>
            <w:noWrap w:val="0"/>
            <w:vAlign w:val="bottom"/>
          </w:tcPr>
          <w:p>
            <w:pPr>
              <w:spacing w:line="360" w:lineRule="auto"/>
              <w:rPr>
                <w:rFonts w:ascii="宋体" w:hAnsi="宋体"/>
                <w:sz w:val="24"/>
              </w:rPr>
            </w:pPr>
            <w:r>
              <w:rPr>
                <w:rFonts w:hint="eastAsia" w:ascii="宋体" w:hAnsi="宋体"/>
                <w:sz w:val="24"/>
              </w:rPr>
              <w:t>支持SM2算法</w:t>
            </w:r>
            <w:r>
              <w:rPr>
                <w:rFonts w:ascii="宋体" w:hAnsi="宋体"/>
                <w:sz w:val="24"/>
              </w:rPr>
              <w:t>标准</w:t>
            </w: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788" w:type="dxa"/>
            <w:noWrap w:val="0"/>
            <w:vAlign w:val="bottom"/>
          </w:tcPr>
          <w:p>
            <w:pPr>
              <w:spacing w:line="360" w:lineRule="auto"/>
              <w:jc w:val="center"/>
              <w:rPr>
                <w:rFonts w:ascii="宋体" w:hAnsi="宋体"/>
                <w:sz w:val="24"/>
              </w:rPr>
            </w:pPr>
            <w:r>
              <w:rPr>
                <w:rFonts w:ascii="宋体" w:hAnsi="宋体"/>
                <w:sz w:val="24"/>
              </w:rPr>
              <w:t>12</w:t>
            </w:r>
          </w:p>
        </w:tc>
        <w:tc>
          <w:tcPr>
            <w:tcW w:w="8163" w:type="dxa"/>
            <w:noWrap w:val="0"/>
            <w:vAlign w:val="bottom"/>
          </w:tcPr>
          <w:p>
            <w:pPr>
              <w:spacing w:line="360" w:lineRule="auto"/>
              <w:rPr>
                <w:rFonts w:ascii="宋体" w:hAnsi="宋体"/>
                <w:sz w:val="24"/>
              </w:rPr>
            </w:pPr>
            <w:r>
              <w:rPr>
                <w:rFonts w:hint="eastAsia" w:ascii="宋体" w:hAnsi="宋体"/>
                <w:sz w:val="24"/>
              </w:rPr>
              <w:t>签名效率： SM2签名不小于850次/秒。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788" w:type="dxa"/>
            <w:noWrap w:val="0"/>
            <w:vAlign w:val="bottom"/>
          </w:tcPr>
          <w:p>
            <w:pPr>
              <w:spacing w:line="360" w:lineRule="auto"/>
              <w:jc w:val="center"/>
              <w:rPr>
                <w:rFonts w:ascii="宋体" w:hAnsi="宋体"/>
                <w:sz w:val="24"/>
              </w:rPr>
            </w:pPr>
            <w:r>
              <w:rPr>
                <w:rFonts w:ascii="宋体" w:hAnsi="宋体"/>
                <w:sz w:val="24"/>
              </w:rPr>
              <w:t>13</w:t>
            </w:r>
          </w:p>
        </w:tc>
        <w:tc>
          <w:tcPr>
            <w:tcW w:w="8163" w:type="dxa"/>
            <w:noWrap w:val="0"/>
            <w:vAlign w:val="bottom"/>
          </w:tcPr>
          <w:p>
            <w:pPr>
              <w:spacing w:line="360" w:lineRule="auto"/>
              <w:rPr>
                <w:rFonts w:ascii="宋体" w:hAnsi="宋体"/>
                <w:sz w:val="24"/>
              </w:rPr>
            </w:pPr>
            <w:r>
              <w:rPr>
                <w:rFonts w:hint="eastAsia" w:ascii="宋体" w:hAnsi="宋体"/>
                <w:sz w:val="24"/>
              </w:rPr>
              <w:t>适用环境：千兆环境，并发用户多。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788" w:type="dxa"/>
            <w:noWrap w:val="0"/>
            <w:vAlign w:val="bottom"/>
          </w:tcPr>
          <w:p>
            <w:pPr>
              <w:spacing w:line="360" w:lineRule="auto"/>
              <w:jc w:val="center"/>
              <w:rPr>
                <w:rFonts w:ascii="宋体" w:hAnsi="宋体"/>
                <w:sz w:val="24"/>
              </w:rPr>
            </w:pPr>
            <w:r>
              <w:rPr>
                <w:rFonts w:ascii="宋体" w:hAnsi="宋体"/>
                <w:sz w:val="24"/>
              </w:rPr>
              <w:t>14</w:t>
            </w:r>
          </w:p>
        </w:tc>
        <w:tc>
          <w:tcPr>
            <w:tcW w:w="8163" w:type="dxa"/>
            <w:noWrap w:val="0"/>
            <w:vAlign w:val="bottom"/>
          </w:tcPr>
          <w:p>
            <w:pPr>
              <w:spacing w:line="360" w:lineRule="auto"/>
              <w:rPr>
                <w:rFonts w:ascii="宋体" w:hAnsi="宋体"/>
                <w:sz w:val="24"/>
              </w:rPr>
            </w:pPr>
            <w:r>
              <w:rPr>
                <w:rFonts w:hint="eastAsia" w:ascii="宋体" w:hAnsi="宋体"/>
                <w:sz w:val="24"/>
              </w:rPr>
              <w:t>支持性能扩展，提供增加硬件加密引擎或并行负载扩展方式。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788" w:type="dxa"/>
            <w:noWrap w:val="0"/>
            <w:vAlign w:val="bottom"/>
          </w:tcPr>
          <w:p>
            <w:pPr>
              <w:spacing w:line="360" w:lineRule="auto"/>
              <w:jc w:val="center"/>
              <w:rPr>
                <w:rFonts w:ascii="宋体" w:hAnsi="宋体"/>
                <w:sz w:val="24"/>
              </w:rPr>
            </w:pPr>
            <w:r>
              <w:rPr>
                <w:rFonts w:ascii="宋体" w:hAnsi="宋体"/>
                <w:sz w:val="24"/>
              </w:rPr>
              <w:t>15</w:t>
            </w:r>
          </w:p>
        </w:tc>
        <w:tc>
          <w:tcPr>
            <w:tcW w:w="8163" w:type="dxa"/>
            <w:noWrap w:val="0"/>
            <w:vAlign w:val="bottom"/>
          </w:tcPr>
          <w:p>
            <w:pPr>
              <w:spacing w:line="360" w:lineRule="auto"/>
              <w:rPr>
                <w:rFonts w:ascii="宋体" w:hAnsi="宋体"/>
                <w:sz w:val="24"/>
              </w:rPr>
            </w:pPr>
            <w:r>
              <w:rPr>
                <w:rFonts w:hint="eastAsia" w:ascii="宋体" w:hAnsi="宋体"/>
                <w:sz w:val="24"/>
              </w:rPr>
              <w:t>须满足卫生部卫生系统电子认证服务相关技术规范。</w:t>
            </w:r>
          </w:p>
        </w:tc>
      </w:tr>
    </w:tbl>
    <w:p>
      <w:pPr>
        <w:pStyle w:val="5"/>
        <w:numPr>
          <w:ilvl w:val="3"/>
          <w:numId w:val="49"/>
        </w:numPr>
        <w:tabs>
          <w:tab w:val="left" w:pos="1701"/>
        </w:tabs>
        <w:spacing w:before="10" w:line="360" w:lineRule="auto"/>
        <w:ind w:hanging="2131"/>
        <w:rPr>
          <w:rFonts w:ascii="宋体" w:hAnsi="宋体" w:eastAsia="宋体"/>
        </w:rPr>
      </w:pPr>
      <w:r>
        <w:rPr>
          <w:rFonts w:ascii="宋体" w:hAnsi="宋体" w:eastAsia="宋体"/>
        </w:rPr>
        <w:t>PKI数字证书体系</w:t>
      </w:r>
    </w:p>
    <w:p>
      <w:pPr>
        <w:snapToGrid w:val="0"/>
        <w:spacing w:line="360" w:lineRule="auto"/>
        <w:ind w:firstLine="425"/>
        <w:rPr>
          <w:rStyle w:val="100"/>
          <w:rFonts w:ascii="宋体" w:hAnsi="宋体"/>
          <w:sz w:val="24"/>
        </w:rPr>
      </w:pPr>
      <w:r>
        <w:rPr>
          <w:rStyle w:val="100"/>
          <w:rFonts w:ascii="宋体" w:hAnsi="宋体"/>
          <w:sz w:val="24"/>
        </w:rPr>
        <w:t>PKI数字证书，通俗的讲，是在网络中识别用户身份合法性的唯一电子标识，它就像我们日常生活中使用的居民身份证一样，在网络中代表了用户的合法身份。通常情况下，持有合法的数字证书的用户，系统才会允许使用网络中的资源，从而达到安全管理的目的。</w:t>
      </w:r>
    </w:p>
    <w:p>
      <w:pPr>
        <w:snapToGrid w:val="0"/>
        <w:spacing w:line="360" w:lineRule="auto"/>
        <w:ind w:firstLine="425"/>
        <w:rPr>
          <w:rStyle w:val="100"/>
          <w:rFonts w:ascii="宋体" w:hAnsi="宋体"/>
          <w:sz w:val="24"/>
        </w:rPr>
      </w:pPr>
      <w:r>
        <w:rPr>
          <w:rStyle w:val="100"/>
          <w:rFonts w:ascii="宋体" w:hAnsi="宋体"/>
          <w:sz w:val="24"/>
        </w:rPr>
        <w:t>通常，在各种应用服务器是依赖于用户名和用户口令来进行管理和登录的，这种输入口令的方式虽然具有一定的安全保障作用，但对于安全和信息保密方面要求较高的部门和企业仍然需要更可靠、更健全的安全机制来进行管理，最有效、合法的实现途径就是使用由国家批准设立的地区CA中心颁发的数字证书进行系统管理。</w:t>
      </w:r>
    </w:p>
    <w:p>
      <w:pPr>
        <w:snapToGrid w:val="0"/>
        <w:spacing w:line="360" w:lineRule="auto"/>
        <w:ind w:firstLine="425"/>
        <w:rPr>
          <w:rStyle w:val="100"/>
          <w:rFonts w:ascii="宋体" w:hAnsi="宋体"/>
          <w:sz w:val="24"/>
        </w:rPr>
      </w:pPr>
      <w:r>
        <w:rPr>
          <w:rStyle w:val="100"/>
          <w:rFonts w:ascii="宋体" w:hAnsi="宋体"/>
          <w:sz w:val="24"/>
        </w:rPr>
        <w:t>一般而言，证书认证只是为了提高应用系统的安全防护而增加的附加工具，它本身并不参与也不影响用户当前的应用。当用户需要增加证书身份认证的功能时，只要将数字证书所提供的接口程序与应用系统做嵌入链接即可。</w:t>
      </w:r>
    </w:p>
    <w:p>
      <w:pPr>
        <w:pStyle w:val="111"/>
        <w:snapToGrid w:val="0"/>
        <w:ind w:firstLine="480"/>
        <w:rPr>
          <w:rStyle w:val="100"/>
          <w:rFonts w:ascii="宋体" w:hAnsi="宋体" w:eastAsia="宋体"/>
          <w:kern w:val="0"/>
          <w:szCs w:val="24"/>
        </w:rPr>
      </w:pPr>
      <w:r>
        <w:rPr>
          <w:rStyle w:val="100"/>
          <w:rFonts w:ascii="宋体" w:hAnsi="宋体" w:eastAsia="宋体"/>
          <w:kern w:val="0"/>
          <w:szCs w:val="24"/>
        </w:rPr>
        <w:t>基于PKI的证书认证体系，是通过对私钥、公钥密码体制，数字签名、数字信封等加密算法和功能的运用，建立起来的一整套严密的身份认证系统，比传统的口令方式提供了更有效的安全保证。在证书应用的系统中，还可以实现基于证书认证系统的安全审计功能。</w:t>
      </w:r>
    </w:p>
    <w:p>
      <w:pPr>
        <w:pStyle w:val="112"/>
        <w:snapToGrid w:val="0"/>
        <w:spacing w:line="360" w:lineRule="auto"/>
        <w:textAlignment w:val="baseline"/>
        <w:rPr>
          <w:rStyle w:val="113"/>
          <w:rFonts w:ascii="宋体" w:hAnsi="宋体" w:cs="宋体"/>
          <w:sz w:val="24"/>
          <w:szCs w:val="24"/>
        </w:rPr>
      </w:pPr>
      <w:r>
        <w:rPr>
          <w:rStyle w:val="113"/>
          <w:rFonts w:ascii="宋体" w:hAnsi="宋体" w:cs="宋体"/>
          <w:sz w:val="24"/>
          <w:szCs w:val="24"/>
        </w:rPr>
        <w:t>（2）数字认证登录</w:t>
      </w:r>
    </w:p>
    <w:p>
      <w:pPr>
        <w:pStyle w:val="112"/>
        <w:snapToGrid w:val="0"/>
        <w:spacing w:line="360" w:lineRule="auto"/>
        <w:ind w:firstLine="480" w:firstLineChars="200"/>
        <w:textAlignment w:val="baseline"/>
        <w:rPr>
          <w:rStyle w:val="100"/>
        </w:rPr>
      </w:pPr>
      <w:r>
        <w:rPr>
          <w:rStyle w:val="100"/>
        </w:rPr>
        <w:t>在医院内网架设签名验证服务器，将医生个人信息写入数字证书USBKEY，与应用系统内的医生账户绑定，登录应用系统时需通过签名验证服务器验证数字证书的有效性。</w:t>
      </w:r>
    </w:p>
    <w:p>
      <w:pPr>
        <w:pStyle w:val="5"/>
        <w:numPr>
          <w:ilvl w:val="3"/>
          <w:numId w:val="49"/>
        </w:numPr>
        <w:tabs>
          <w:tab w:val="left" w:pos="1701"/>
        </w:tabs>
        <w:spacing w:before="10" w:line="360" w:lineRule="auto"/>
        <w:ind w:hanging="2131"/>
        <w:rPr>
          <w:rFonts w:ascii="宋体" w:hAnsi="宋体" w:eastAsia="宋体"/>
        </w:rPr>
      </w:pPr>
      <w:bookmarkStart w:id="251" w:name="_Toc92314059"/>
      <w:r>
        <w:rPr>
          <w:rFonts w:ascii="宋体" w:hAnsi="宋体" w:eastAsia="宋体"/>
        </w:rPr>
        <w:t>数字签名验证服务器</w:t>
      </w:r>
      <w:bookmarkEnd w:id="251"/>
    </w:p>
    <w:p>
      <w:pPr>
        <w:snapToGrid w:val="0"/>
        <w:spacing w:line="360" w:lineRule="auto"/>
        <w:ind w:firstLine="480" w:firstLineChars="200"/>
        <w:rPr>
          <w:rStyle w:val="100"/>
          <w:rFonts w:ascii="宋体" w:hAnsi="宋体"/>
          <w:sz w:val="24"/>
        </w:rPr>
      </w:pPr>
      <w:r>
        <w:rPr>
          <w:rStyle w:val="100"/>
          <w:rFonts w:ascii="宋体" w:hAnsi="宋体"/>
          <w:sz w:val="24"/>
        </w:rPr>
        <w:t>数字签名验证服务器实现基于数字证书的身份认证、数字签名、数据加密等功能，核心是将提交的医疗数据进行数字签名，以保证数据的不可抵赖性、完整性需求，并在查询相关数据时，实现用户对于所查询的数据的有效性验证。通过部署数字签名验证服务器实现电子病历生成等医院内部重要业务环节中的数字签名及验证。</w:t>
      </w:r>
    </w:p>
    <w:p>
      <w:pPr>
        <w:pStyle w:val="5"/>
        <w:numPr>
          <w:ilvl w:val="3"/>
          <w:numId w:val="49"/>
        </w:numPr>
        <w:tabs>
          <w:tab w:val="left" w:pos="1701"/>
        </w:tabs>
        <w:spacing w:before="10" w:line="360" w:lineRule="auto"/>
        <w:ind w:hanging="2131"/>
        <w:rPr>
          <w:rFonts w:ascii="宋体" w:hAnsi="宋体" w:eastAsia="宋体"/>
        </w:rPr>
      </w:pPr>
      <w:bookmarkStart w:id="252" w:name="_Toc92314060"/>
      <w:r>
        <w:rPr>
          <w:rFonts w:ascii="宋体" w:hAnsi="宋体" w:eastAsia="宋体"/>
        </w:rPr>
        <w:t>时间源服务器</w:t>
      </w:r>
      <w:bookmarkEnd w:id="252"/>
    </w:p>
    <w:p>
      <w:pPr>
        <w:pStyle w:val="112"/>
        <w:snapToGrid w:val="0"/>
        <w:spacing w:line="360" w:lineRule="auto"/>
        <w:textAlignment w:val="baseline"/>
        <w:rPr>
          <w:rStyle w:val="100"/>
        </w:rPr>
      </w:pPr>
      <w:r>
        <w:rPr>
          <w:rStyle w:val="113"/>
          <w:rFonts w:ascii="宋体" w:hAnsi="宋体" w:cs="宋体"/>
          <w:sz w:val="24"/>
          <w:szCs w:val="24"/>
        </w:rPr>
        <w:t>电子病历可信处理</w:t>
      </w:r>
    </w:p>
    <w:p>
      <w:pPr>
        <w:pStyle w:val="112"/>
        <w:snapToGrid w:val="0"/>
        <w:spacing w:line="360" w:lineRule="auto"/>
        <w:ind w:firstLine="480" w:firstLineChars="200"/>
        <w:textAlignment w:val="baseline"/>
        <w:rPr>
          <w:rStyle w:val="100"/>
        </w:rPr>
      </w:pPr>
      <w:r>
        <w:rPr>
          <w:rStyle w:val="100"/>
        </w:rPr>
        <w:t>在医疗救助过程中，电子病历随时都可能作为法律文件，为使电子病历符合《电子签名法》对可信数据电文的要求，需对各类医疗文书进行可信处理。</w:t>
      </w:r>
    </w:p>
    <w:p>
      <w:pPr>
        <w:pStyle w:val="112"/>
        <w:snapToGrid w:val="0"/>
        <w:spacing w:line="360" w:lineRule="auto"/>
        <w:ind w:firstLine="480" w:firstLineChars="200"/>
        <w:textAlignment w:val="baseline"/>
        <w:rPr>
          <w:rStyle w:val="100"/>
        </w:rPr>
      </w:pPr>
      <w:r>
        <w:rPr>
          <w:rStyle w:val="100"/>
        </w:rPr>
        <w:t>   a）电子化的处方、病历、检验检查单等：该类数据需进行医生的电子签名和可信时间源处理。</w:t>
      </w:r>
    </w:p>
    <w:p>
      <w:pPr>
        <w:pStyle w:val="112"/>
        <w:snapToGrid w:val="0"/>
        <w:spacing w:line="360" w:lineRule="auto"/>
        <w:ind w:firstLine="480" w:firstLineChars="200"/>
        <w:textAlignment w:val="baseline"/>
        <w:rPr>
          <w:rStyle w:val="100"/>
        </w:rPr>
      </w:pPr>
      <w:r>
        <w:rPr>
          <w:rStyle w:val="100"/>
        </w:rPr>
        <w:t xml:space="preserve">    b）电子化的患者知情文书：该类数据需进行医生的电子签名、患者的电子签名和可信时间源处理。</w:t>
      </w:r>
    </w:p>
    <w:p>
      <w:pPr>
        <w:pStyle w:val="7"/>
        <w:spacing w:line="360" w:lineRule="auto"/>
        <w:ind w:firstLine="480"/>
        <w:rPr>
          <w:rFonts w:ascii="宋体" w:hAnsi="宋体" w:cs="Arial"/>
          <w:sz w:val="24"/>
          <w:szCs w:val="24"/>
        </w:rPr>
      </w:pPr>
      <w:r>
        <w:rPr>
          <w:rFonts w:hint="eastAsia" w:ascii="宋体" w:hAnsi="宋体" w:cs="Arial"/>
          <w:sz w:val="24"/>
          <w:szCs w:val="24"/>
        </w:rPr>
        <w:t>时间源服务器是针对计算机、自动化装置等进行校时而研发的高科技设备，该产品可从GPS卫星（北斗卫星、CDMA、B码接口、PTP）上获取标准的时间信号，将这些信号通过各种接口（NTP/SNTP、串口、B码、PTP、脉冲）传输给自动化系统中需要时间信息的设备（计算机、保护装置、故障录波器、事件顺序记录装置、安全自动装置、远动RTU），这样系统中就有了一个标准的时间源，从而达到整个系统的时间一致。</w:t>
      </w:r>
    </w:p>
    <w:p>
      <w:pPr>
        <w:pStyle w:val="7"/>
        <w:spacing w:line="360" w:lineRule="auto"/>
        <w:ind w:firstLine="480"/>
        <w:rPr>
          <w:rFonts w:ascii="宋体" w:hAnsi="宋体" w:cs="Arial"/>
          <w:sz w:val="24"/>
          <w:szCs w:val="24"/>
        </w:rPr>
      </w:pPr>
      <w:r>
        <w:rPr>
          <w:rFonts w:hint="eastAsia" w:ascii="宋体" w:hAnsi="宋体" w:cs="Arial"/>
          <w:sz w:val="24"/>
          <w:szCs w:val="24"/>
        </w:rPr>
        <w:t>特点：</w:t>
      </w:r>
    </w:p>
    <w:p>
      <w:pPr>
        <w:pStyle w:val="7"/>
        <w:spacing w:line="360" w:lineRule="auto"/>
        <w:ind w:firstLine="480"/>
        <w:rPr>
          <w:rFonts w:ascii="宋体" w:hAnsi="宋体" w:cs="Arial"/>
          <w:sz w:val="24"/>
          <w:szCs w:val="24"/>
        </w:rPr>
      </w:pPr>
      <w:r>
        <w:rPr>
          <w:rFonts w:hint="eastAsia" w:ascii="宋体" w:hAnsi="宋体" w:cs="Arial"/>
          <w:sz w:val="24"/>
          <w:szCs w:val="24"/>
        </w:rPr>
        <w:t>◆ 高</w:t>
      </w:r>
      <w:r>
        <w:rPr>
          <w:rFonts w:ascii="宋体" w:hAnsi="宋体" w:cs="Arial"/>
          <w:sz w:val="24"/>
          <w:szCs w:val="24"/>
        </w:rPr>
        <w:t>精度</w:t>
      </w:r>
      <w:r>
        <w:rPr>
          <w:rFonts w:hint="eastAsia" w:ascii="宋体" w:hAnsi="宋体" w:cs="Arial"/>
          <w:sz w:val="24"/>
          <w:szCs w:val="24"/>
        </w:rPr>
        <w:t>，串口/脉冲可达30ns，NTP客户端优于2ms，时间同步快</w:t>
      </w:r>
      <w:r>
        <w:rPr>
          <w:rFonts w:ascii="宋体" w:hAnsi="宋体" w:cs="Arial"/>
          <w:sz w:val="24"/>
          <w:szCs w:val="24"/>
        </w:rPr>
        <w:t>。</w:t>
      </w:r>
    </w:p>
    <w:p>
      <w:pPr>
        <w:pStyle w:val="7"/>
        <w:spacing w:line="360" w:lineRule="auto"/>
        <w:ind w:firstLine="480"/>
        <w:rPr>
          <w:rFonts w:ascii="宋体" w:hAnsi="宋体" w:cs="Arial"/>
          <w:sz w:val="24"/>
          <w:szCs w:val="24"/>
        </w:rPr>
      </w:pPr>
      <w:r>
        <w:rPr>
          <w:rFonts w:hint="eastAsia" w:ascii="宋体" w:hAnsi="宋体" w:cs="Arial"/>
          <w:sz w:val="24"/>
          <w:szCs w:val="24"/>
        </w:rPr>
        <w:t xml:space="preserve">◆ </w:t>
      </w:r>
      <w:r>
        <w:rPr>
          <w:rFonts w:ascii="宋体" w:hAnsi="宋体" w:cs="Arial"/>
          <w:sz w:val="24"/>
          <w:szCs w:val="24"/>
        </w:rPr>
        <w:t>双CPU同时工作，32位CPU双核处理器，</w:t>
      </w:r>
      <w:r>
        <w:rPr>
          <w:rFonts w:hint="eastAsia" w:ascii="宋体" w:hAnsi="宋体" w:cs="Arial"/>
          <w:sz w:val="24"/>
          <w:szCs w:val="24"/>
        </w:rPr>
        <w:t>采用DSP/CPLD完成实时高速处理；</w:t>
      </w:r>
    </w:p>
    <w:p>
      <w:pPr>
        <w:pStyle w:val="7"/>
        <w:spacing w:line="360" w:lineRule="auto"/>
        <w:ind w:firstLine="480"/>
        <w:rPr>
          <w:rFonts w:ascii="宋体" w:hAnsi="宋体" w:cs="Arial"/>
          <w:sz w:val="24"/>
          <w:szCs w:val="24"/>
        </w:rPr>
      </w:pPr>
      <w:r>
        <w:rPr>
          <w:rFonts w:hint="eastAsia" w:ascii="宋体" w:hAnsi="宋体" w:cs="Arial"/>
          <w:sz w:val="24"/>
          <w:szCs w:val="24"/>
        </w:rPr>
        <w:t>◆ 具有可扩展无限个独立的物理隔离10/100M网口（每个端口具有独立的MAC地址），每个网口可以灵活的配置使用，可以用在不同的子网和物理隔离网络里；</w:t>
      </w:r>
    </w:p>
    <w:p>
      <w:pPr>
        <w:pStyle w:val="7"/>
        <w:spacing w:line="360" w:lineRule="auto"/>
        <w:ind w:firstLine="480"/>
        <w:rPr>
          <w:rFonts w:ascii="宋体" w:hAnsi="宋体" w:cs="Arial"/>
          <w:sz w:val="24"/>
          <w:szCs w:val="24"/>
        </w:rPr>
      </w:pPr>
      <w:r>
        <w:rPr>
          <w:rFonts w:hint="eastAsia" w:ascii="宋体" w:hAnsi="宋体" w:cs="Arial"/>
          <w:sz w:val="24"/>
          <w:szCs w:val="24"/>
        </w:rPr>
        <w:t>◆ 作一级时间服务器，可同时为上万台客户端、</w:t>
      </w:r>
      <w:r>
        <w:rPr>
          <w:rFonts w:ascii="宋体" w:hAnsi="宋体" w:cs="Arial"/>
          <w:sz w:val="24"/>
          <w:szCs w:val="24"/>
        </w:rPr>
        <w:t>服务器、工作站</w:t>
      </w:r>
      <w:r>
        <w:rPr>
          <w:rFonts w:hint="eastAsia" w:ascii="宋体" w:hAnsi="宋体" w:cs="Arial"/>
          <w:sz w:val="24"/>
          <w:szCs w:val="24"/>
        </w:rPr>
        <w:t>提供时间服务。</w:t>
      </w:r>
    </w:p>
    <w:p>
      <w:pPr>
        <w:pStyle w:val="7"/>
        <w:spacing w:line="360" w:lineRule="auto"/>
        <w:ind w:firstLine="480"/>
        <w:rPr>
          <w:rFonts w:ascii="宋体" w:hAnsi="宋体" w:cs="Arial"/>
          <w:sz w:val="24"/>
          <w:szCs w:val="24"/>
        </w:rPr>
      </w:pPr>
      <w:r>
        <w:rPr>
          <w:rFonts w:hint="eastAsia" w:ascii="宋体" w:hAnsi="宋体" w:cs="Arial"/>
          <w:sz w:val="24"/>
          <w:szCs w:val="24"/>
        </w:rPr>
        <w:t>◆ 支持WINDOWS、LINUX、UNIX、等操作系统及支持NTP协议的所有网络设备。</w:t>
      </w:r>
    </w:p>
    <w:p>
      <w:pPr>
        <w:pStyle w:val="7"/>
        <w:spacing w:line="360" w:lineRule="auto"/>
        <w:ind w:firstLine="480"/>
        <w:rPr>
          <w:rFonts w:ascii="宋体" w:hAnsi="宋体" w:cs="Arial"/>
          <w:sz w:val="24"/>
          <w:szCs w:val="24"/>
        </w:rPr>
      </w:pPr>
      <w:r>
        <w:rPr>
          <w:rFonts w:hint="eastAsia" w:ascii="宋体" w:hAnsi="宋体" w:cs="Arial"/>
          <w:sz w:val="24"/>
          <w:szCs w:val="24"/>
        </w:rPr>
        <w:t>◆ 设备支持NTP和SNTP协议，且提供IBIG-B码互备信号接口，要实现计算机网络及其网络设备无需额外编程便可自动精确同步时间。</w:t>
      </w:r>
    </w:p>
    <w:p>
      <w:pPr>
        <w:pStyle w:val="7"/>
        <w:spacing w:line="360" w:lineRule="auto"/>
        <w:ind w:firstLine="480"/>
        <w:rPr>
          <w:rFonts w:ascii="宋体" w:hAnsi="宋体" w:cs="Arial"/>
          <w:sz w:val="24"/>
          <w:szCs w:val="24"/>
        </w:rPr>
      </w:pPr>
      <w:r>
        <w:rPr>
          <w:rFonts w:hint="eastAsia" w:ascii="宋体" w:hAnsi="宋体" w:cs="Arial"/>
          <w:sz w:val="24"/>
          <w:szCs w:val="24"/>
        </w:rPr>
        <w:t>◆ 专用嵌入式系统</w:t>
      </w:r>
      <w:r>
        <w:rPr>
          <w:rFonts w:ascii="宋体" w:hAnsi="宋体" w:cs="Arial"/>
          <w:sz w:val="24"/>
          <w:szCs w:val="24"/>
        </w:rPr>
        <w:t>，</w:t>
      </w:r>
      <w:r>
        <w:rPr>
          <w:rFonts w:hint="eastAsia" w:ascii="宋体" w:hAnsi="宋体" w:cs="Arial"/>
          <w:sz w:val="24"/>
          <w:szCs w:val="24"/>
        </w:rPr>
        <w:t>无硬盘和风扇设计，防震设计，系统稳定可靠。</w:t>
      </w:r>
    </w:p>
    <w:p>
      <w:pPr>
        <w:pStyle w:val="7"/>
        <w:spacing w:line="360" w:lineRule="auto"/>
        <w:ind w:firstLine="480"/>
        <w:rPr>
          <w:rFonts w:ascii="宋体" w:hAnsi="宋体" w:cs="Arial"/>
          <w:sz w:val="24"/>
          <w:szCs w:val="24"/>
        </w:rPr>
      </w:pPr>
      <w:r>
        <w:rPr>
          <w:rFonts w:hint="eastAsia" w:ascii="宋体" w:hAnsi="宋体" w:cs="Arial"/>
          <w:sz w:val="24"/>
          <w:szCs w:val="24"/>
        </w:rPr>
        <w:t xml:space="preserve">◆ </w:t>
      </w:r>
      <w:r>
        <w:rPr>
          <w:rFonts w:ascii="宋体" w:hAnsi="宋体" w:cs="Arial"/>
          <w:sz w:val="24"/>
          <w:szCs w:val="24"/>
        </w:rPr>
        <w:t>机箱经防磁处理，抗干扰能力强。</w:t>
      </w:r>
    </w:p>
    <w:p>
      <w:pPr>
        <w:pStyle w:val="7"/>
        <w:spacing w:line="360" w:lineRule="auto"/>
        <w:ind w:firstLine="480"/>
        <w:rPr>
          <w:rFonts w:ascii="宋体" w:hAnsi="宋体" w:cs="Arial"/>
          <w:sz w:val="24"/>
          <w:szCs w:val="24"/>
        </w:rPr>
      </w:pPr>
      <w:r>
        <w:rPr>
          <w:rFonts w:hint="eastAsia" w:ascii="宋体" w:hAnsi="宋体" w:cs="Arial"/>
          <w:sz w:val="24"/>
          <w:szCs w:val="24"/>
        </w:rPr>
        <w:t xml:space="preserve">◆ </w:t>
      </w:r>
      <w:r>
        <w:rPr>
          <w:rFonts w:ascii="宋体" w:hAnsi="宋体" w:cs="Arial"/>
          <w:sz w:val="24"/>
          <w:szCs w:val="24"/>
        </w:rPr>
        <w:t>GPS接收天线重点考虑了防雷设计、稳定性设计、抗干扰设计， 信号接收可靠性高，不受地域条件和环境的限制。</w:t>
      </w:r>
    </w:p>
    <w:p>
      <w:pPr>
        <w:pStyle w:val="7"/>
        <w:spacing w:line="360" w:lineRule="auto"/>
        <w:ind w:firstLine="480"/>
        <w:rPr>
          <w:rFonts w:ascii="宋体" w:hAnsi="宋体" w:cs="Arial"/>
          <w:sz w:val="24"/>
          <w:szCs w:val="24"/>
        </w:rPr>
      </w:pPr>
      <w:r>
        <w:rPr>
          <w:rFonts w:hint="eastAsia" w:ascii="宋体" w:hAnsi="宋体" w:cs="Arial"/>
          <w:sz w:val="24"/>
          <w:szCs w:val="24"/>
        </w:rPr>
        <w:t xml:space="preserve">◆ </w:t>
      </w:r>
      <w:r>
        <w:rPr>
          <w:rFonts w:ascii="宋体" w:hAnsi="宋体" w:cs="Arial"/>
          <w:sz w:val="24"/>
          <w:szCs w:val="24"/>
        </w:rPr>
        <w:t>装置具有多种串行信息输出与交互方式，以满足不同用户的需求。</w:t>
      </w:r>
    </w:p>
    <w:p>
      <w:pPr>
        <w:pStyle w:val="7"/>
        <w:spacing w:line="360" w:lineRule="auto"/>
        <w:ind w:firstLine="480"/>
        <w:rPr>
          <w:rStyle w:val="100"/>
          <w:rFonts w:ascii="宋体" w:hAnsi="宋体" w:cs="Arial"/>
          <w:b/>
          <w:bCs/>
          <w:kern w:val="24"/>
          <w:sz w:val="24"/>
          <w:szCs w:val="24"/>
        </w:rPr>
      </w:pPr>
      <w:r>
        <w:rPr>
          <w:rFonts w:hint="eastAsia" w:ascii="宋体" w:hAnsi="宋体" w:cs="Arial"/>
          <w:sz w:val="24"/>
          <w:szCs w:val="24"/>
        </w:rPr>
        <w:t xml:space="preserve">◆ </w:t>
      </w:r>
      <w:r>
        <w:rPr>
          <w:rFonts w:ascii="宋体" w:hAnsi="宋体" w:cs="Arial"/>
          <w:sz w:val="24"/>
          <w:szCs w:val="24"/>
        </w:rPr>
        <w:t>装置可通过数码管在线显示当前收星个数，直观反映装置的同步状况。</w:t>
      </w:r>
    </w:p>
    <w:p>
      <w:pPr>
        <w:pStyle w:val="5"/>
        <w:numPr>
          <w:ilvl w:val="3"/>
          <w:numId w:val="49"/>
        </w:numPr>
        <w:tabs>
          <w:tab w:val="left" w:pos="1701"/>
        </w:tabs>
        <w:spacing w:before="10" w:line="360" w:lineRule="auto"/>
        <w:ind w:hanging="2131"/>
        <w:rPr>
          <w:rFonts w:ascii="宋体" w:hAnsi="宋体" w:eastAsia="宋体"/>
        </w:rPr>
      </w:pPr>
      <w:bookmarkStart w:id="253" w:name="_Toc92314061"/>
      <w:r>
        <w:rPr>
          <w:rFonts w:ascii="宋体" w:hAnsi="宋体" w:eastAsia="宋体"/>
        </w:rPr>
        <w:t>电子签章系统</w:t>
      </w:r>
      <w:bookmarkEnd w:id="253"/>
    </w:p>
    <w:p>
      <w:pPr>
        <w:pStyle w:val="111"/>
        <w:snapToGrid w:val="0"/>
        <w:ind w:firstLine="360" w:firstLineChars="150"/>
        <w:rPr>
          <w:rStyle w:val="100"/>
          <w:rFonts w:ascii="宋体" w:hAnsi="宋体" w:eastAsia="宋体"/>
          <w:kern w:val="0"/>
          <w:szCs w:val="24"/>
        </w:rPr>
      </w:pPr>
      <w:r>
        <w:rPr>
          <w:rStyle w:val="100"/>
          <w:rFonts w:ascii="宋体" w:hAnsi="宋体" w:eastAsia="宋体"/>
          <w:kern w:val="0"/>
          <w:szCs w:val="24"/>
        </w:rPr>
        <w:t>在电子信息世界，数字签名是隐藏在电子文档中的一串字符，不能像现实世界的电子签名一样直接展现给用户，通过依托成熟产品—电子签章系统，在医嘱单、检验单等医疗过程中实现电子签章功能，实现了电子病历中数字签名的可视化、图形化，使可靠电子签名在电子病历中可形象展现，并提供方便的签章验证辨伪操作界面</w:t>
      </w:r>
    </w:p>
    <w:p>
      <w:pPr>
        <w:pStyle w:val="111"/>
        <w:snapToGrid w:val="0"/>
        <w:ind w:firstLine="480"/>
        <w:rPr>
          <w:rStyle w:val="100"/>
          <w:rFonts w:ascii="宋体" w:hAnsi="宋体" w:eastAsia="宋体"/>
          <w:kern w:val="0"/>
          <w:szCs w:val="24"/>
        </w:rPr>
      </w:pPr>
      <w:r>
        <w:rPr>
          <w:rStyle w:val="100"/>
          <w:rFonts w:ascii="宋体" w:hAnsi="宋体" w:eastAsia="宋体"/>
          <w:kern w:val="0"/>
          <w:szCs w:val="24"/>
        </w:rPr>
        <w:t>电子签名法规范了电子签名行为，确立了电子签名的法律效力，维护有关各方的合法权益，为文件和重要信息的网络传输提供了法律依据，有了这部法律，政务和商务活动中各种文件的数字化传输才真正得以实现。</w:t>
      </w:r>
    </w:p>
    <w:p>
      <w:pPr>
        <w:pStyle w:val="111"/>
        <w:snapToGrid w:val="0"/>
        <w:ind w:firstLine="480"/>
        <w:rPr>
          <w:rStyle w:val="100"/>
          <w:rFonts w:ascii="宋体" w:hAnsi="宋体" w:eastAsia="宋体"/>
          <w:kern w:val="0"/>
          <w:szCs w:val="24"/>
        </w:rPr>
      </w:pPr>
      <w:r>
        <w:rPr>
          <w:rStyle w:val="100"/>
          <w:rFonts w:ascii="宋体" w:hAnsi="宋体" w:eastAsia="宋体"/>
          <w:kern w:val="0"/>
          <w:szCs w:val="24"/>
        </w:rPr>
        <w:t>为使用电子签章管理系统为用户生成电子签章，并将电子签章灌入证书介质并和数字证书进行有效绑定，将包括数字证书和电子签章图片的证书介质按照发放流程分配给最终用户；</w:t>
      </w:r>
    </w:p>
    <w:p>
      <w:pPr>
        <w:pStyle w:val="111"/>
        <w:snapToGrid w:val="0"/>
        <w:ind w:firstLine="480"/>
        <w:rPr>
          <w:rStyle w:val="100"/>
          <w:rFonts w:ascii="宋体" w:hAnsi="宋体" w:eastAsia="宋体"/>
          <w:kern w:val="0"/>
          <w:szCs w:val="24"/>
        </w:rPr>
      </w:pPr>
      <w:r>
        <w:rPr>
          <w:rStyle w:val="100"/>
          <w:rFonts w:ascii="宋体" w:hAnsi="宋体" w:eastAsia="宋体"/>
          <w:kern w:val="0"/>
          <w:szCs w:val="24"/>
        </w:rPr>
        <w:t>电子签章客户端集成的电子签章软件提供对电子病历相关医疗数据的数字签名和电子签章。</w:t>
      </w:r>
    </w:p>
    <w:p>
      <w:pPr>
        <w:pStyle w:val="111"/>
        <w:snapToGrid w:val="0"/>
        <w:ind w:firstLine="480"/>
        <w:rPr>
          <w:rStyle w:val="100"/>
          <w:rFonts w:ascii="宋体" w:hAnsi="宋体" w:eastAsia="宋体"/>
          <w:kern w:val="0"/>
          <w:szCs w:val="24"/>
        </w:rPr>
      </w:pPr>
      <w:r>
        <w:rPr>
          <w:rStyle w:val="100"/>
          <w:rFonts w:ascii="宋体" w:hAnsi="宋体" w:eastAsia="宋体"/>
          <w:kern w:val="0"/>
          <w:szCs w:val="24"/>
        </w:rPr>
        <w:t>解决了医院信息系统应用中的签字人身份的确认性、卫生医疗系统信息完整性、签字人的不可抵赖性，并结合传统印章的图章效果，提供给用户一个透明的、安全的、简便的电子印章应用。</w:t>
      </w:r>
    </w:p>
    <w:p>
      <w:pPr>
        <w:pStyle w:val="111"/>
        <w:snapToGrid w:val="0"/>
        <w:ind w:firstLine="480"/>
        <w:rPr>
          <w:rStyle w:val="100"/>
          <w:rFonts w:ascii="宋体" w:hAnsi="宋体" w:eastAsia="宋体"/>
          <w:kern w:val="0"/>
          <w:szCs w:val="24"/>
        </w:rPr>
      </w:pPr>
      <w:r>
        <w:rPr>
          <w:rStyle w:val="100"/>
          <w:rFonts w:ascii="宋体" w:hAnsi="宋体" w:eastAsia="宋体"/>
          <w:kern w:val="0"/>
          <w:szCs w:val="24"/>
        </w:rPr>
        <w:t>采用国际上先进的密码技术、计算机加密技术、图像处理与水印加密技术，能够对文件加盖电子图章并且能够验证图章的有效性。</w:t>
      </w:r>
    </w:p>
    <w:p>
      <w:pPr>
        <w:pStyle w:val="5"/>
        <w:numPr>
          <w:ilvl w:val="3"/>
          <w:numId w:val="49"/>
        </w:numPr>
        <w:tabs>
          <w:tab w:val="left" w:pos="1701"/>
        </w:tabs>
        <w:spacing w:before="10" w:line="360" w:lineRule="auto"/>
        <w:ind w:hanging="2131"/>
        <w:rPr>
          <w:rFonts w:ascii="宋体" w:hAnsi="宋体" w:eastAsia="宋体"/>
        </w:rPr>
      </w:pPr>
      <w:bookmarkStart w:id="254" w:name="_Toc92314062"/>
      <w:r>
        <w:rPr>
          <w:rFonts w:ascii="宋体" w:hAnsi="宋体" w:eastAsia="宋体"/>
        </w:rPr>
        <w:t>技术特点</w:t>
      </w:r>
      <w:bookmarkEnd w:id="254"/>
    </w:p>
    <w:p>
      <w:pPr>
        <w:pStyle w:val="28"/>
        <w:snapToGrid w:val="0"/>
        <w:spacing w:line="360" w:lineRule="auto"/>
        <w:textAlignment w:val="baseline"/>
        <w:rPr>
          <w:rStyle w:val="45"/>
          <w:rFonts w:ascii="宋体" w:hAnsi="宋体"/>
          <w:i w:val="0"/>
          <w:iCs/>
          <w:sz w:val="24"/>
          <w:szCs w:val="24"/>
        </w:rPr>
      </w:pPr>
      <w:r>
        <w:rPr>
          <w:rStyle w:val="45"/>
          <w:rFonts w:ascii="宋体" w:hAnsi="宋体"/>
          <w:i w:val="0"/>
          <w:sz w:val="24"/>
          <w:szCs w:val="24"/>
        </w:rPr>
        <w:t>（1）数字证书强身份认证登录应用系统</w:t>
      </w:r>
    </w:p>
    <w:p>
      <w:pPr>
        <w:pStyle w:val="112"/>
        <w:snapToGrid w:val="0"/>
        <w:spacing w:line="360" w:lineRule="auto"/>
        <w:textAlignment w:val="baseline"/>
        <w:rPr>
          <w:rStyle w:val="45"/>
          <w:b/>
          <w:i w:val="0"/>
        </w:rPr>
      </w:pPr>
      <w:r>
        <w:rPr>
          <w:rStyle w:val="45"/>
          <w:i w:val="0"/>
        </w:rPr>
        <w:t xml:space="preserve">    通过数字证书与签名验证服务器进行身份认证，实现一个数字证书对应一个医生账户，保证了医生身份的有效性。</w:t>
      </w:r>
    </w:p>
    <w:p>
      <w:pPr>
        <w:pStyle w:val="112"/>
        <w:numPr>
          <w:ilvl w:val="0"/>
          <w:numId w:val="50"/>
        </w:numPr>
        <w:snapToGrid w:val="0"/>
        <w:spacing w:line="360" w:lineRule="auto"/>
        <w:rPr>
          <w:rStyle w:val="45"/>
          <w:bCs/>
          <w:i w:val="0"/>
          <w:kern w:val="28"/>
        </w:rPr>
      </w:pPr>
      <w:r>
        <w:rPr>
          <w:rStyle w:val="45"/>
          <w:bCs/>
          <w:i w:val="0"/>
          <w:kern w:val="28"/>
        </w:rPr>
        <w:t>高效实现电子病历各环节可靠的电子签名</w:t>
      </w:r>
    </w:p>
    <w:p>
      <w:pPr>
        <w:pStyle w:val="112"/>
        <w:snapToGrid w:val="0"/>
        <w:spacing w:line="360" w:lineRule="auto"/>
        <w:textAlignment w:val="baseline"/>
        <w:rPr>
          <w:rStyle w:val="100"/>
        </w:rPr>
      </w:pPr>
      <w:r>
        <w:rPr>
          <w:rStyle w:val="100"/>
        </w:rPr>
        <w:t>　　电子病历涉及病案首页、医嘱单、病程记录、护理记录等，为满足不同记录的医护人员签名需求，设计针对不同存储类型数据签名实施方案、多级医生签名集成方案、医嘱批量签名处理技术、签名数据优化存储方案，从而有效的解决了电子签名效率低下、签名数据占用存储空间过大、签名技术集成复杂等实际问题。同时有效防止医生漏签，错签事故的发生。</w:t>
      </w:r>
    </w:p>
    <w:p>
      <w:pPr>
        <w:pStyle w:val="112"/>
        <w:snapToGrid w:val="0"/>
        <w:spacing w:line="360" w:lineRule="auto"/>
        <w:textAlignment w:val="baseline"/>
        <w:rPr>
          <w:rStyle w:val="100"/>
        </w:rPr>
      </w:pPr>
      <w:r>
        <w:rPr>
          <w:rStyle w:val="113"/>
          <w:rFonts w:ascii="宋体" w:hAnsi="宋体" w:cs="宋体"/>
          <w:sz w:val="24"/>
          <w:szCs w:val="24"/>
        </w:rPr>
        <w:t>（3）可信时间源服务</w:t>
      </w:r>
    </w:p>
    <w:p>
      <w:pPr>
        <w:pStyle w:val="112"/>
        <w:snapToGrid w:val="0"/>
        <w:spacing w:line="360" w:lineRule="auto"/>
        <w:textAlignment w:val="baseline"/>
        <w:rPr>
          <w:rStyle w:val="100"/>
        </w:rPr>
      </w:pPr>
      <w:r>
        <w:rPr>
          <w:rStyle w:val="100"/>
        </w:rPr>
        <w:t>　　针对《病历书写规范》对病历完成时限的要求，以及已经提交的病历不能再行修改的需求，可信时间源服务方案，配置国家授时中心时间源服务器，通过卫星信号同步授时，实现了对医院内网所有应用服务器的精准可信授时。</w:t>
      </w:r>
    </w:p>
    <w:p>
      <w:pPr>
        <w:pStyle w:val="112"/>
        <w:snapToGrid w:val="0"/>
        <w:spacing w:line="360" w:lineRule="auto"/>
        <w:textAlignment w:val="baseline"/>
        <w:rPr>
          <w:rStyle w:val="100"/>
        </w:rPr>
      </w:pPr>
      <w:r>
        <w:rPr>
          <w:rStyle w:val="113"/>
          <w:rFonts w:ascii="宋体" w:hAnsi="宋体" w:cs="宋体"/>
          <w:sz w:val="24"/>
          <w:szCs w:val="24"/>
        </w:rPr>
        <w:t>（4）完善的数字证书服务</w:t>
      </w:r>
    </w:p>
    <w:p>
      <w:pPr>
        <w:pStyle w:val="112"/>
        <w:snapToGrid w:val="0"/>
        <w:spacing w:line="360" w:lineRule="auto"/>
        <w:textAlignment w:val="baseline"/>
        <w:rPr>
          <w:rStyle w:val="100"/>
        </w:rPr>
      </w:pPr>
      <w:r>
        <w:rPr>
          <w:rStyle w:val="100"/>
        </w:rPr>
        <w:t>　　数字证书作为电子签名工具，应保证其正确发放，保管安全，及时更新。针对医院应用数字证书的特点，设计了完善的数字证书服务方案，能够向医院承诺数字证书应用不会影响正常医疗活动的开展。具体解决手段包括： </w:t>
      </w:r>
    </w:p>
    <w:p>
      <w:pPr>
        <w:pStyle w:val="112"/>
        <w:snapToGrid w:val="0"/>
        <w:spacing w:line="360" w:lineRule="auto"/>
        <w:textAlignment w:val="baseline"/>
        <w:rPr>
          <w:rStyle w:val="100"/>
        </w:rPr>
      </w:pPr>
      <w:r>
        <w:rPr>
          <w:rStyle w:val="100"/>
        </w:rPr>
        <w:t>  a）</w:t>
      </w:r>
      <w:r>
        <w:rPr>
          <w:rStyle w:val="100"/>
          <w:rFonts w:hint="eastAsia"/>
        </w:rPr>
        <w:t>自助</w:t>
      </w:r>
      <w:r>
        <w:rPr>
          <w:rStyle w:val="100"/>
        </w:rPr>
        <w:t>更新：在护士工作站外网电脑安装更新软件</w:t>
      </w:r>
      <w:r>
        <w:rPr>
          <w:rStyle w:val="100"/>
          <w:rFonts w:hint="eastAsia"/>
        </w:rPr>
        <w:t>，</w:t>
      </w:r>
      <w:r>
        <w:rPr>
          <w:rStyle w:val="100"/>
        </w:rPr>
        <w:t>自助进行更新服务；</w:t>
      </w:r>
    </w:p>
    <w:p>
      <w:pPr>
        <w:pStyle w:val="112"/>
        <w:snapToGrid w:val="0"/>
        <w:spacing w:line="360" w:lineRule="auto"/>
        <w:textAlignment w:val="baseline"/>
        <w:rPr>
          <w:rStyle w:val="100"/>
        </w:rPr>
      </w:pPr>
      <w:r>
        <w:rPr>
          <w:rStyle w:val="100"/>
        </w:rPr>
        <w:t>  b）建立医院证书受理点：提供医院自助管理内部用户数字证书平台；提供备用证书服务，以应对医护人员丢失、忘记携带数字证书的紧急情况。</w:t>
      </w:r>
    </w:p>
    <w:p>
      <w:pPr>
        <w:pStyle w:val="112"/>
        <w:snapToGrid w:val="0"/>
        <w:spacing w:line="360" w:lineRule="auto"/>
        <w:textAlignment w:val="baseline"/>
        <w:rPr>
          <w:rStyle w:val="100"/>
        </w:rPr>
      </w:pPr>
      <w:r>
        <w:rPr>
          <w:rStyle w:val="100"/>
        </w:rPr>
        <w:t xml:space="preserve">    c）快速响应客户服务：有专业的客户服务呼叫平台，能在第一时间响应客户的需求。将客户需求转交给专业的项目维护团队，提出相应的解决方案。</w:t>
      </w:r>
      <w:bookmarkStart w:id="255" w:name="_Toc92314063"/>
    </w:p>
    <w:p>
      <w:pPr>
        <w:pStyle w:val="112"/>
        <w:snapToGrid w:val="0"/>
        <w:spacing w:line="360" w:lineRule="auto"/>
        <w:textAlignment w:val="baseline"/>
      </w:pPr>
      <w:r>
        <w:t>建成后的系统</w:t>
      </w:r>
      <w:bookmarkEnd w:id="255"/>
    </w:p>
    <w:p>
      <w:pPr>
        <w:snapToGrid w:val="0"/>
        <w:spacing w:line="360" w:lineRule="auto"/>
        <w:ind w:firstLine="425"/>
        <w:rPr>
          <w:rStyle w:val="100"/>
          <w:rFonts w:ascii="宋体" w:hAnsi="宋体"/>
          <w:sz w:val="24"/>
        </w:rPr>
      </w:pPr>
      <w:r>
        <w:rPr>
          <w:rStyle w:val="100"/>
          <w:rFonts w:ascii="宋体" w:hAnsi="宋体"/>
          <w:sz w:val="24"/>
        </w:rPr>
        <w:t>医院HIS系统、PACS系统、LIS系统在使用数字证书后。每个医生的电脑均插有一个像U盘似的钥匙盘（Key盘），它就是进入PACS系统、LIS系统的密钥，医院每一位医生、护士和医技人员都有这样的一把密钥（每一个数字证书都拥有一对密钥，Key盘是数字证书的载体）。数字证书是医院医护人员的网络身份证，凭它确认医护人员的网上身份和行为，获得在PACS系统、LIS应用系统不同的使用权。通过数字证书进入HIS系统、PACS系统、LIS系统填写诊断书、检验报告、图形影像单、收费项目等信息。通过以上工作避免了许多中间环节，如：打印处方单据、医生医嘱、报告单据、检验单据，而不需要打印出来进行手写签名，提高了工作效率。同时还保证了机密性和完整性。</w:t>
      </w:r>
    </w:p>
    <w:p>
      <w:pPr>
        <w:snapToGrid w:val="0"/>
        <w:spacing w:line="360" w:lineRule="auto"/>
        <w:ind w:firstLine="425"/>
        <w:rPr>
          <w:rStyle w:val="100"/>
          <w:rFonts w:ascii="宋体" w:hAnsi="宋体"/>
          <w:sz w:val="24"/>
        </w:rPr>
      </w:pPr>
      <w:r>
        <w:rPr>
          <w:rStyle w:val="100"/>
          <w:rFonts w:ascii="宋体" w:hAnsi="宋体"/>
          <w:sz w:val="24"/>
        </w:rPr>
        <w:t>医生使用数字证书登录HIS系统、PACS系统、LIS系统，并对系统中的关键业务数据进行数字签名；护士在执行电子病历时可对医生所签名的病历进行验证，确认是否是该医生所书写的，并在执行中需要对病历执行记录进行签名确认。</w:t>
      </w:r>
    </w:p>
    <w:p>
      <w:pPr>
        <w:snapToGrid w:val="0"/>
        <w:spacing w:line="360" w:lineRule="auto"/>
        <w:ind w:firstLine="425"/>
        <w:rPr>
          <w:rStyle w:val="100"/>
          <w:rFonts w:ascii="宋体" w:hAnsi="宋体"/>
          <w:sz w:val="24"/>
        </w:rPr>
      </w:pPr>
      <w:r>
        <w:rPr>
          <w:rStyle w:val="100"/>
          <w:rFonts w:ascii="宋体" w:hAnsi="宋体"/>
          <w:sz w:val="24"/>
        </w:rPr>
        <w:t>通过在HIS系统、PACS系统、LIS系统中采用数字证书，能有效解决电子病历应用中的身份认证、访问控制、数据加密、数字签名等技术问题，实现电子病历的完整性、保密性和不可否认性。数字证书同时也规范了医务人员的医疗行为，确保了医疗信息所需的安全性、再现性。可提高医院的医疗管理水平和工作效率。标志着医院信息化建设又达到了一个新的高度。</w:t>
      </w:r>
    </w:p>
    <w:p>
      <w:pPr>
        <w:snapToGrid w:val="0"/>
        <w:spacing w:line="360" w:lineRule="auto"/>
        <w:ind w:firstLine="425"/>
        <w:rPr>
          <w:rStyle w:val="100"/>
          <w:rFonts w:ascii="宋体" w:hAnsi="宋体"/>
          <w:sz w:val="24"/>
        </w:rPr>
      </w:pPr>
      <w:r>
        <w:rPr>
          <w:rStyle w:val="100"/>
          <w:rFonts w:ascii="宋体" w:hAnsi="宋体"/>
          <w:sz w:val="24"/>
        </w:rPr>
        <w:t>1、门诊、住院医生电子病历中的签名。包括住院病历中的签名、病程记录中的签名（每次病程完成后签名），在住院病历、病程记录等到各种电子病历中所需签名的位置进行电子签名。</w:t>
      </w:r>
    </w:p>
    <w:p>
      <w:pPr>
        <w:snapToGrid w:val="0"/>
        <w:spacing w:line="360" w:lineRule="auto"/>
        <w:ind w:firstLine="425"/>
        <w:rPr>
          <w:rStyle w:val="100"/>
          <w:rFonts w:ascii="宋体" w:hAnsi="宋体"/>
          <w:sz w:val="24"/>
        </w:rPr>
      </w:pPr>
      <w:r>
        <w:rPr>
          <w:rStyle w:val="100"/>
          <w:rFonts w:ascii="宋体" w:hAnsi="宋体"/>
          <w:sz w:val="24"/>
        </w:rPr>
        <w:t>2、住院医生处方签名。在医生开具处方签名位置生成电子签名并打印。</w:t>
      </w:r>
    </w:p>
    <w:p>
      <w:pPr>
        <w:snapToGrid w:val="0"/>
        <w:spacing w:line="360" w:lineRule="auto"/>
        <w:ind w:firstLine="425"/>
        <w:rPr>
          <w:rStyle w:val="100"/>
          <w:rFonts w:ascii="宋体" w:hAnsi="宋体"/>
          <w:sz w:val="24"/>
        </w:rPr>
      </w:pPr>
      <w:r>
        <w:rPr>
          <w:rStyle w:val="100"/>
          <w:rFonts w:ascii="宋体" w:hAnsi="宋体"/>
          <w:sz w:val="24"/>
        </w:rPr>
        <w:t>3、门诊药房处方签名。在门诊药房处方打印时电子签名自动生成在处方医生与发药人员电子签名位置。</w:t>
      </w:r>
    </w:p>
    <w:p>
      <w:pPr>
        <w:snapToGrid w:val="0"/>
        <w:spacing w:line="360" w:lineRule="auto"/>
        <w:ind w:firstLine="425"/>
        <w:rPr>
          <w:rStyle w:val="100"/>
          <w:rFonts w:ascii="宋体" w:hAnsi="宋体"/>
          <w:sz w:val="24"/>
        </w:rPr>
      </w:pPr>
      <w:r>
        <w:rPr>
          <w:rStyle w:val="100"/>
          <w:rFonts w:ascii="宋体" w:hAnsi="宋体"/>
          <w:sz w:val="24"/>
        </w:rPr>
        <w:t>4、科室检查申请单签名。在医生开出检验申请单打印时自动添加开单医生电子签名位置。</w:t>
      </w:r>
    </w:p>
    <w:p>
      <w:pPr>
        <w:snapToGrid w:val="0"/>
        <w:spacing w:line="360" w:lineRule="auto"/>
        <w:ind w:firstLine="425"/>
        <w:rPr>
          <w:rStyle w:val="100"/>
          <w:rFonts w:ascii="宋体" w:hAnsi="宋体"/>
          <w:sz w:val="24"/>
        </w:rPr>
      </w:pPr>
      <w:r>
        <w:rPr>
          <w:rStyle w:val="100"/>
          <w:rFonts w:ascii="宋体" w:hAnsi="宋体"/>
          <w:sz w:val="24"/>
        </w:rPr>
        <w:t>5、医疗文书（电子病历、处方、各类申请单和报告单等）中需要医生和医技人员签名的生成电子签名。</w:t>
      </w:r>
    </w:p>
    <w:p>
      <w:pPr>
        <w:pStyle w:val="5"/>
        <w:numPr>
          <w:ilvl w:val="3"/>
          <w:numId w:val="49"/>
        </w:numPr>
        <w:tabs>
          <w:tab w:val="left" w:pos="1701"/>
        </w:tabs>
        <w:spacing w:before="10" w:line="360" w:lineRule="auto"/>
        <w:ind w:hanging="2131"/>
        <w:rPr>
          <w:rFonts w:ascii="宋体" w:hAnsi="宋体" w:eastAsia="宋体"/>
        </w:rPr>
      </w:pPr>
      <w:bookmarkStart w:id="256" w:name="_Toc92314064"/>
      <w:r>
        <w:rPr>
          <w:rFonts w:ascii="宋体" w:hAnsi="宋体" w:eastAsia="宋体"/>
        </w:rPr>
        <w:t>配置清单</w:t>
      </w:r>
      <w:bookmarkEnd w:id="256"/>
    </w:p>
    <w:tbl>
      <w:tblPr>
        <w:tblStyle w:val="39"/>
        <w:tblW w:w="8950"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5"/>
        <w:gridCol w:w="1971"/>
        <w:gridCol w:w="1235"/>
        <w:gridCol w:w="2765"/>
        <w:gridCol w:w="897"/>
        <w:gridCol w:w="13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15" w:type="dxa"/>
            <w:noWrap w:val="0"/>
            <w:vAlign w:val="center"/>
          </w:tcPr>
          <w:p>
            <w:pPr>
              <w:snapToGrid w:val="0"/>
              <w:spacing w:before="120" w:line="360" w:lineRule="auto"/>
              <w:jc w:val="center"/>
              <w:rPr>
                <w:rStyle w:val="100"/>
                <w:rFonts w:ascii="宋体" w:hAnsi="宋体"/>
                <w:b/>
                <w:kern w:val="0"/>
                <w:sz w:val="24"/>
              </w:rPr>
            </w:pPr>
            <w:r>
              <w:rPr>
                <w:rStyle w:val="100"/>
                <w:rFonts w:ascii="宋体" w:hAnsi="宋体"/>
                <w:b/>
                <w:kern w:val="0"/>
                <w:sz w:val="24"/>
              </w:rPr>
              <w:t>序号</w:t>
            </w:r>
          </w:p>
        </w:tc>
        <w:tc>
          <w:tcPr>
            <w:tcW w:w="1971" w:type="dxa"/>
            <w:noWrap w:val="0"/>
            <w:vAlign w:val="center"/>
          </w:tcPr>
          <w:p>
            <w:pPr>
              <w:snapToGrid w:val="0"/>
              <w:spacing w:before="120" w:line="360" w:lineRule="auto"/>
              <w:jc w:val="center"/>
              <w:rPr>
                <w:rStyle w:val="100"/>
                <w:rFonts w:ascii="宋体" w:hAnsi="宋体"/>
                <w:b/>
                <w:kern w:val="0"/>
                <w:sz w:val="24"/>
              </w:rPr>
            </w:pPr>
            <w:r>
              <w:rPr>
                <w:rStyle w:val="100"/>
                <w:rFonts w:ascii="宋体" w:hAnsi="宋体"/>
                <w:b/>
                <w:kern w:val="0"/>
                <w:sz w:val="24"/>
              </w:rPr>
              <w:t>产品名称</w:t>
            </w:r>
          </w:p>
        </w:tc>
        <w:tc>
          <w:tcPr>
            <w:tcW w:w="1235" w:type="dxa"/>
            <w:noWrap w:val="0"/>
            <w:vAlign w:val="center"/>
          </w:tcPr>
          <w:p>
            <w:pPr>
              <w:snapToGrid w:val="0"/>
              <w:spacing w:before="120" w:line="360" w:lineRule="auto"/>
              <w:jc w:val="center"/>
              <w:rPr>
                <w:rStyle w:val="100"/>
                <w:rFonts w:ascii="宋体" w:hAnsi="宋体"/>
                <w:b/>
                <w:kern w:val="0"/>
                <w:sz w:val="24"/>
              </w:rPr>
            </w:pPr>
            <w:r>
              <w:rPr>
                <w:rStyle w:val="100"/>
                <w:rFonts w:ascii="宋体" w:hAnsi="宋体"/>
                <w:b/>
                <w:kern w:val="0"/>
                <w:sz w:val="24"/>
              </w:rPr>
              <w:t>型号</w:t>
            </w:r>
          </w:p>
        </w:tc>
        <w:tc>
          <w:tcPr>
            <w:tcW w:w="2765" w:type="dxa"/>
            <w:noWrap w:val="0"/>
            <w:vAlign w:val="center"/>
          </w:tcPr>
          <w:p>
            <w:pPr>
              <w:snapToGrid w:val="0"/>
              <w:spacing w:before="120" w:line="360" w:lineRule="auto"/>
              <w:jc w:val="center"/>
              <w:rPr>
                <w:rStyle w:val="100"/>
                <w:rFonts w:ascii="宋体" w:hAnsi="宋体"/>
                <w:b/>
                <w:kern w:val="0"/>
                <w:sz w:val="24"/>
              </w:rPr>
            </w:pPr>
            <w:r>
              <w:rPr>
                <w:rStyle w:val="100"/>
                <w:rFonts w:ascii="宋体" w:hAnsi="宋体"/>
                <w:b/>
                <w:kern w:val="0"/>
                <w:sz w:val="24"/>
              </w:rPr>
              <w:t>用途</w:t>
            </w:r>
          </w:p>
        </w:tc>
        <w:tc>
          <w:tcPr>
            <w:tcW w:w="897" w:type="dxa"/>
            <w:noWrap w:val="0"/>
            <w:vAlign w:val="center"/>
          </w:tcPr>
          <w:p>
            <w:pPr>
              <w:snapToGrid w:val="0"/>
              <w:spacing w:before="120" w:line="360" w:lineRule="auto"/>
              <w:jc w:val="center"/>
              <w:rPr>
                <w:rStyle w:val="100"/>
                <w:rFonts w:ascii="宋体" w:hAnsi="宋体"/>
                <w:b/>
                <w:kern w:val="0"/>
                <w:sz w:val="24"/>
              </w:rPr>
            </w:pPr>
            <w:r>
              <w:rPr>
                <w:rStyle w:val="100"/>
                <w:rFonts w:ascii="宋体" w:hAnsi="宋体"/>
                <w:b/>
                <w:kern w:val="0"/>
                <w:sz w:val="24"/>
              </w:rPr>
              <w:t>数量</w:t>
            </w:r>
          </w:p>
        </w:tc>
        <w:tc>
          <w:tcPr>
            <w:tcW w:w="1367" w:type="dxa"/>
            <w:noWrap w:val="0"/>
            <w:vAlign w:val="center"/>
          </w:tcPr>
          <w:p>
            <w:pPr>
              <w:snapToGrid w:val="0"/>
              <w:spacing w:before="120" w:line="360" w:lineRule="auto"/>
              <w:jc w:val="center"/>
              <w:rPr>
                <w:rStyle w:val="100"/>
                <w:rFonts w:ascii="宋体" w:hAnsi="宋体"/>
                <w:b/>
                <w:kern w:val="0"/>
                <w:sz w:val="24"/>
              </w:rPr>
            </w:pPr>
            <w:r>
              <w:rPr>
                <w:rStyle w:val="100"/>
                <w:rFonts w:ascii="宋体" w:hAnsi="宋体"/>
                <w:b/>
                <w:kern w:val="0"/>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15" w:type="dxa"/>
            <w:noWrap w:val="0"/>
            <w:vAlign w:val="center"/>
          </w:tcPr>
          <w:p>
            <w:pPr>
              <w:snapToGrid w:val="0"/>
              <w:spacing w:before="120" w:line="360" w:lineRule="auto"/>
              <w:jc w:val="center"/>
              <w:rPr>
                <w:rStyle w:val="100"/>
                <w:rFonts w:ascii="宋体" w:hAnsi="宋体"/>
                <w:kern w:val="0"/>
                <w:sz w:val="24"/>
              </w:rPr>
            </w:pPr>
            <w:r>
              <w:rPr>
                <w:rStyle w:val="100"/>
                <w:rFonts w:ascii="宋体" w:hAnsi="宋体"/>
                <w:kern w:val="0"/>
                <w:sz w:val="24"/>
              </w:rPr>
              <w:t>1</w:t>
            </w:r>
          </w:p>
        </w:tc>
        <w:tc>
          <w:tcPr>
            <w:tcW w:w="1971" w:type="dxa"/>
            <w:noWrap w:val="0"/>
            <w:vAlign w:val="center"/>
          </w:tcPr>
          <w:p>
            <w:pPr>
              <w:snapToGrid w:val="0"/>
              <w:rPr>
                <w:rStyle w:val="100"/>
                <w:rFonts w:ascii="宋体" w:hAnsi="宋体"/>
                <w:kern w:val="0"/>
                <w:sz w:val="24"/>
              </w:rPr>
            </w:pPr>
            <w:r>
              <w:rPr>
                <w:rStyle w:val="100"/>
                <w:rFonts w:ascii="宋体" w:hAnsi="宋体"/>
                <w:kern w:val="0"/>
                <w:sz w:val="24"/>
              </w:rPr>
              <w:t>数字签名验证服务器</w:t>
            </w:r>
          </w:p>
        </w:tc>
        <w:tc>
          <w:tcPr>
            <w:tcW w:w="1235" w:type="dxa"/>
            <w:noWrap w:val="0"/>
            <w:vAlign w:val="center"/>
          </w:tcPr>
          <w:p>
            <w:pPr>
              <w:snapToGrid w:val="0"/>
              <w:rPr>
                <w:rStyle w:val="100"/>
                <w:rFonts w:ascii="宋体" w:hAnsi="宋体"/>
                <w:kern w:val="0"/>
                <w:sz w:val="24"/>
              </w:rPr>
            </w:pPr>
            <w:r>
              <w:rPr>
                <w:rStyle w:val="100"/>
                <w:rFonts w:ascii="宋体" w:hAnsi="宋体"/>
                <w:kern w:val="0"/>
                <w:sz w:val="24"/>
              </w:rPr>
              <w:t>Dsvs-500</w:t>
            </w:r>
          </w:p>
        </w:tc>
        <w:tc>
          <w:tcPr>
            <w:tcW w:w="2765" w:type="dxa"/>
            <w:noWrap w:val="0"/>
            <w:vAlign w:val="center"/>
          </w:tcPr>
          <w:p>
            <w:pPr>
              <w:snapToGrid w:val="0"/>
              <w:rPr>
                <w:rStyle w:val="100"/>
                <w:rFonts w:ascii="宋体" w:hAnsi="宋体"/>
                <w:kern w:val="0"/>
                <w:sz w:val="24"/>
              </w:rPr>
            </w:pPr>
            <w:r>
              <w:rPr>
                <w:rStyle w:val="100"/>
                <w:rFonts w:ascii="宋体" w:hAnsi="宋体"/>
                <w:kern w:val="0"/>
                <w:sz w:val="24"/>
              </w:rPr>
              <w:t>实现用户强身份认证，关键数据数字签名及验证。</w:t>
            </w:r>
          </w:p>
        </w:tc>
        <w:tc>
          <w:tcPr>
            <w:tcW w:w="897" w:type="dxa"/>
            <w:noWrap w:val="0"/>
            <w:vAlign w:val="center"/>
          </w:tcPr>
          <w:p>
            <w:pPr>
              <w:snapToGrid w:val="0"/>
              <w:spacing w:line="360" w:lineRule="auto"/>
              <w:jc w:val="center"/>
              <w:rPr>
                <w:rStyle w:val="100"/>
                <w:rFonts w:ascii="宋体" w:hAnsi="宋体"/>
                <w:kern w:val="0"/>
                <w:sz w:val="24"/>
              </w:rPr>
            </w:pPr>
            <w:r>
              <w:rPr>
                <w:rStyle w:val="100"/>
                <w:rFonts w:ascii="宋体" w:hAnsi="宋体"/>
                <w:kern w:val="0"/>
                <w:sz w:val="24"/>
              </w:rPr>
              <w:t>1台</w:t>
            </w:r>
          </w:p>
        </w:tc>
        <w:tc>
          <w:tcPr>
            <w:tcW w:w="1367" w:type="dxa"/>
            <w:noWrap w:val="0"/>
            <w:vAlign w:val="center"/>
          </w:tcPr>
          <w:p>
            <w:pPr>
              <w:snapToGrid w:val="0"/>
              <w:spacing w:line="360" w:lineRule="auto"/>
              <w:jc w:val="center"/>
              <w:rPr>
                <w:rStyle w:val="100"/>
                <w:rFonts w:ascii="宋体" w:hAnsi="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15" w:type="dxa"/>
            <w:noWrap w:val="0"/>
            <w:vAlign w:val="center"/>
          </w:tcPr>
          <w:p>
            <w:pPr>
              <w:snapToGrid w:val="0"/>
              <w:spacing w:line="360" w:lineRule="auto"/>
              <w:jc w:val="center"/>
              <w:rPr>
                <w:rStyle w:val="100"/>
                <w:rFonts w:ascii="宋体" w:hAnsi="宋体"/>
                <w:kern w:val="0"/>
                <w:sz w:val="24"/>
              </w:rPr>
            </w:pPr>
            <w:r>
              <w:rPr>
                <w:rStyle w:val="100"/>
                <w:rFonts w:ascii="宋体" w:hAnsi="宋体"/>
                <w:kern w:val="0"/>
                <w:sz w:val="24"/>
              </w:rPr>
              <w:t>2</w:t>
            </w:r>
          </w:p>
        </w:tc>
        <w:tc>
          <w:tcPr>
            <w:tcW w:w="1971" w:type="dxa"/>
            <w:noWrap w:val="0"/>
            <w:vAlign w:val="center"/>
          </w:tcPr>
          <w:p>
            <w:pPr>
              <w:snapToGrid w:val="0"/>
              <w:rPr>
                <w:rStyle w:val="100"/>
                <w:rFonts w:ascii="宋体" w:hAnsi="宋体"/>
                <w:kern w:val="0"/>
                <w:sz w:val="24"/>
              </w:rPr>
            </w:pPr>
            <w:r>
              <w:rPr>
                <w:rStyle w:val="100"/>
                <w:rFonts w:ascii="宋体" w:hAnsi="宋体"/>
                <w:kern w:val="0"/>
                <w:sz w:val="24"/>
              </w:rPr>
              <w:t>电子签章服务器软件</w:t>
            </w:r>
          </w:p>
        </w:tc>
        <w:tc>
          <w:tcPr>
            <w:tcW w:w="1235" w:type="dxa"/>
            <w:noWrap w:val="0"/>
            <w:vAlign w:val="center"/>
          </w:tcPr>
          <w:p>
            <w:pPr>
              <w:snapToGrid w:val="0"/>
              <w:jc w:val="center"/>
              <w:rPr>
                <w:rStyle w:val="100"/>
                <w:rFonts w:ascii="宋体" w:hAnsi="宋体"/>
                <w:kern w:val="0"/>
                <w:sz w:val="24"/>
              </w:rPr>
            </w:pPr>
            <w:r>
              <w:rPr>
                <w:rStyle w:val="100"/>
                <w:rFonts w:ascii="宋体" w:hAnsi="宋体"/>
                <w:kern w:val="0"/>
                <w:sz w:val="24"/>
              </w:rPr>
              <w:t>信使</w:t>
            </w:r>
          </w:p>
        </w:tc>
        <w:tc>
          <w:tcPr>
            <w:tcW w:w="2765" w:type="dxa"/>
            <w:noWrap w:val="0"/>
            <w:vAlign w:val="center"/>
          </w:tcPr>
          <w:p>
            <w:pPr>
              <w:snapToGrid w:val="0"/>
              <w:rPr>
                <w:rStyle w:val="100"/>
                <w:rFonts w:ascii="宋体" w:hAnsi="宋体"/>
                <w:kern w:val="0"/>
                <w:sz w:val="24"/>
              </w:rPr>
            </w:pPr>
            <w:r>
              <w:rPr>
                <w:rStyle w:val="100"/>
                <w:rFonts w:ascii="宋体" w:hAnsi="宋体"/>
                <w:kern w:val="0"/>
                <w:sz w:val="24"/>
              </w:rPr>
              <w:t>与电子病历系统集成，实现数字签名可视化</w:t>
            </w:r>
          </w:p>
        </w:tc>
        <w:tc>
          <w:tcPr>
            <w:tcW w:w="897" w:type="dxa"/>
            <w:noWrap w:val="0"/>
            <w:vAlign w:val="center"/>
          </w:tcPr>
          <w:p>
            <w:pPr>
              <w:snapToGrid w:val="0"/>
              <w:spacing w:line="360" w:lineRule="auto"/>
              <w:jc w:val="center"/>
              <w:rPr>
                <w:rStyle w:val="100"/>
                <w:rFonts w:ascii="宋体" w:hAnsi="宋体"/>
                <w:kern w:val="0"/>
                <w:sz w:val="24"/>
              </w:rPr>
            </w:pPr>
            <w:r>
              <w:rPr>
                <w:rStyle w:val="100"/>
                <w:rFonts w:ascii="宋体" w:hAnsi="宋体"/>
                <w:kern w:val="0"/>
                <w:sz w:val="24"/>
              </w:rPr>
              <w:t>1套</w:t>
            </w:r>
          </w:p>
        </w:tc>
        <w:tc>
          <w:tcPr>
            <w:tcW w:w="1367" w:type="dxa"/>
            <w:noWrap w:val="0"/>
            <w:vAlign w:val="center"/>
          </w:tcPr>
          <w:p>
            <w:pPr>
              <w:snapToGrid w:val="0"/>
              <w:jc w:val="center"/>
              <w:rPr>
                <w:rStyle w:val="100"/>
                <w:rFonts w:ascii="宋体" w:hAnsi="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15" w:type="dxa"/>
            <w:noWrap w:val="0"/>
            <w:vAlign w:val="center"/>
          </w:tcPr>
          <w:p>
            <w:pPr>
              <w:snapToGrid w:val="0"/>
              <w:spacing w:line="360" w:lineRule="auto"/>
              <w:jc w:val="center"/>
              <w:rPr>
                <w:rStyle w:val="100"/>
                <w:rFonts w:ascii="宋体" w:hAnsi="宋体"/>
                <w:kern w:val="0"/>
                <w:sz w:val="24"/>
              </w:rPr>
            </w:pPr>
            <w:r>
              <w:rPr>
                <w:rStyle w:val="100"/>
                <w:rFonts w:hint="eastAsia" w:ascii="宋体" w:hAnsi="宋体"/>
                <w:kern w:val="0"/>
                <w:sz w:val="24"/>
              </w:rPr>
              <w:t>3</w:t>
            </w:r>
          </w:p>
        </w:tc>
        <w:tc>
          <w:tcPr>
            <w:tcW w:w="1971" w:type="dxa"/>
            <w:noWrap w:val="0"/>
            <w:vAlign w:val="center"/>
          </w:tcPr>
          <w:p>
            <w:pPr>
              <w:snapToGrid w:val="0"/>
              <w:rPr>
                <w:rStyle w:val="100"/>
                <w:rFonts w:ascii="宋体" w:hAnsi="宋体"/>
                <w:kern w:val="0"/>
                <w:sz w:val="24"/>
              </w:rPr>
            </w:pPr>
            <w:r>
              <w:rPr>
                <w:rStyle w:val="100"/>
                <w:rFonts w:ascii="宋体" w:hAnsi="宋体"/>
                <w:kern w:val="0"/>
                <w:sz w:val="24"/>
              </w:rPr>
              <w:t>电子签章客户端软件服务费</w:t>
            </w:r>
          </w:p>
        </w:tc>
        <w:tc>
          <w:tcPr>
            <w:tcW w:w="1235" w:type="dxa"/>
            <w:noWrap w:val="0"/>
            <w:vAlign w:val="center"/>
          </w:tcPr>
          <w:p>
            <w:pPr>
              <w:snapToGrid w:val="0"/>
              <w:jc w:val="center"/>
              <w:rPr>
                <w:rStyle w:val="100"/>
                <w:rFonts w:ascii="宋体" w:hAnsi="宋体"/>
                <w:kern w:val="0"/>
                <w:sz w:val="24"/>
              </w:rPr>
            </w:pPr>
            <w:r>
              <w:rPr>
                <w:rStyle w:val="100"/>
                <w:rFonts w:ascii="宋体" w:hAnsi="宋体"/>
                <w:kern w:val="0"/>
                <w:sz w:val="24"/>
              </w:rPr>
              <w:t>信使</w:t>
            </w:r>
          </w:p>
        </w:tc>
        <w:tc>
          <w:tcPr>
            <w:tcW w:w="2765" w:type="dxa"/>
            <w:noWrap w:val="0"/>
            <w:vAlign w:val="center"/>
          </w:tcPr>
          <w:p>
            <w:pPr>
              <w:snapToGrid w:val="0"/>
              <w:spacing w:line="360" w:lineRule="auto"/>
              <w:jc w:val="center"/>
              <w:rPr>
                <w:rStyle w:val="100"/>
                <w:rFonts w:ascii="宋体" w:hAnsi="宋体"/>
                <w:kern w:val="0"/>
                <w:sz w:val="24"/>
              </w:rPr>
            </w:pPr>
          </w:p>
        </w:tc>
        <w:tc>
          <w:tcPr>
            <w:tcW w:w="897" w:type="dxa"/>
            <w:noWrap w:val="0"/>
            <w:vAlign w:val="center"/>
          </w:tcPr>
          <w:p>
            <w:pPr>
              <w:snapToGrid w:val="0"/>
              <w:spacing w:line="360" w:lineRule="auto"/>
              <w:jc w:val="center"/>
              <w:rPr>
                <w:rStyle w:val="100"/>
                <w:rFonts w:ascii="宋体" w:hAnsi="宋体"/>
                <w:kern w:val="0"/>
                <w:sz w:val="24"/>
              </w:rPr>
            </w:pPr>
            <w:r>
              <w:rPr>
                <w:rStyle w:val="100"/>
                <w:rFonts w:hint="eastAsia" w:ascii="宋体" w:hAnsi="宋体"/>
                <w:kern w:val="0"/>
                <w:sz w:val="24"/>
              </w:rPr>
              <w:t>1</w:t>
            </w:r>
            <w:r>
              <w:rPr>
                <w:rStyle w:val="100"/>
                <w:rFonts w:ascii="宋体" w:hAnsi="宋体"/>
                <w:kern w:val="0"/>
                <w:sz w:val="24"/>
              </w:rPr>
              <w:t>80个</w:t>
            </w:r>
          </w:p>
        </w:tc>
        <w:tc>
          <w:tcPr>
            <w:tcW w:w="1367" w:type="dxa"/>
            <w:noWrap w:val="0"/>
            <w:vAlign w:val="center"/>
          </w:tcPr>
          <w:p>
            <w:pPr>
              <w:snapToGrid w:val="0"/>
              <w:spacing w:line="360" w:lineRule="auto"/>
              <w:jc w:val="center"/>
              <w:rPr>
                <w:rStyle w:val="100"/>
                <w:rFonts w:ascii="宋体" w:hAnsi="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15" w:type="dxa"/>
            <w:noWrap w:val="0"/>
            <w:vAlign w:val="center"/>
          </w:tcPr>
          <w:p>
            <w:pPr>
              <w:snapToGrid w:val="0"/>
              <w:spacing w:line="360" w:lineRule="auto"/>
              <w:jc w:val="center"/>
              <w:rPr>
                <w:rStyle w:val="100"/>
                <w:rFonts w:ascii="宋体" w:hAnsi="宋体"/>
                <w:kern w:val="0"/>
                <w:sz w:val="24"/>
              </w:rPr>
            </w:pPr>
            <w:r>
              <w:rPr>
                <w:rStyle w:val="100"/>
                <w:rFonts w:hint="eastAsia" w:ascii="宋体" w:hAnsi="宋体"/>
                <w:kern w:val="0"/>
                <w:sz w:val="24"/>
              </w:rPr>
              <w:t>4</w:t>
            </w:r>
          </w:p>
        </w:tc>
        <w:tc>
          <w:tcPr>
            <w:tcW w:w="1971" w:type="dxa"/>
            <w:noWrap w:val="0"/>
            <w:vAlign w:val="center"/>
          </w:tcPr>
          <w:p>
            <w:pPr>
              <w:snapToGrid w:val="0"/>
              <w:rPr>
                <w:rStyle w:val="100"/>
                <w:rFonts w:ascii="宋体" w:hAnsi="宋体"/>
                <w:kern w:val="0"/>
                <w:sz w:val="24"/>
              </w:rPr>
            </w:pPr>
            <w:r>
              <w:rPr>
                <w:rStyle w:val="100"/>
                <w:rFonts w:ascii="宋体" w:hAnsi="宋体"/>
                <w:kern w:val="0"/>
                <w:sz w:val="24"/>
              </w:rPr>
              <w:t>时间源服务器</w:t>
            </w:r>
          </w:p>
        </w:tc>
        <w:tc>
          <w:tcPr>
            <w:tcW w:w="1235" w:type="dxa"/>
            <w:noWrap w:val="0"/>
            <w:vAlign w:val="center"/>
          </w:tcPr>
          <w:p>
            <w:pPr>
              <w:snapToGrid w:val="0"/>
              <w:jc w:val="center"/>
              <w:rPr>
                <w:rStyle w:val="100"/>
                <w:rFonts w:ascii="宋体" w:hAnsi="宋体"/>
                <w:kern w:val="0"/>
                <w:sz w:val="24"/>
              </w:rPr>
            </w:pPr>
            <w:r>
              <w:rPr>
                <w:rStyle w:val="100"/>
                <w:rFonts w:ascii="宋体" w:hAnsi="宋体"/>
                <w:kern w:val="0"/>
                <w:sz w:val="24"/>
              </w:rPr>
              <w:t>HR-906</w:t>
            </w:r>
          </w:p>
        </w:tc>
        <w:tc>
          <w:tcPr>
            <w:tcW w:w="2765" w:type="dxa"/>
            <w:noWrap w:val="0"/>
            <w:vAlign w:val="center"/>
          </w:tcPr>
          <w:p>
            <w:pPr>
              <w:snapToGrid w:val="0"/>
              <w:rPr>
                <w:rStyle w:val="100"/>
                <w:rFonts w:ascii="宋体" w:hAnsi="宋体"/>
                <w:kern w:val="0"/>
                <w:sz w:val="24"/>
              </w:rPr>
            </w:pPr>
            <w:r>
              <w:rPr>
                <w:rStyle w:val="100"/>
                <w:rFonts w:ascii="宋体" w:hAnsi="宋体"/>
                <w:kern w:val="0"/>
                <w:sz w:val="24"/>
              </w:rPr>
              <w:t>通过卫星信号同步授时，实现了对医院内网所有应用服务器的精准可信授时</w:t>
            </w:r>
          </w:p>
        </w:tc>
        <w:tc>
          <w:tcPr>
            <w:tcW w:w="897" w:type="dxa"/>
            <w:noWrap w:val="0"/>
            <w:vAlign w:val="center"/>
          </w:tcPr>
          <w:p>
            <w:pPr>
              <w:snapToGrid w:val="0"/>
              <w:spacing w:line="360" w:lineRule="auto"/>
              <w:jc w:val="center"/>
              <w:rPr>
                <w:rStyle w:val="100"/>
                <w:rFonts w:ascii="宋体" w:hAnsi="宋体"/>
                <w:kern w:val="0"/>
                <w:sz w:val="24"/>
              </w:rPr>
            </w:pPr>
            <w:r>
              <w:rPr>
                <w:rStyle w:val="100"/>
                <w:rFonts w:ascii="宋体" w:hAnsi="宋体"/>
                <w:kern w:val="0"/>
                <w:sz w:val="24"/>
              </w:rPr>
              <w:t>1台</w:t>
            </w:r>
          </w:p>
        </w:tc>
        <w:tc>
          <w:tcPr>
            <w:tcW w:w="1367" w:type="dxa"/>
            <w:noWrap w:val="0"/>
            <w:vAlign w:val="center"/>
          </w:tcPr>
          <w:p>
            <w:pPr>
              <w:snapToGrid w:val="0"/>
              <w:spacing w:line="360" w:lineRule="auto"/>
              <w:jc w:val="center"/>
              <w:rPr>
                <w:rStyle w:val="100"/>
                <w:rFonts w:ascii="宋体" w:hAnsi="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15" w:type="dxa"/>
            <w:noWrap w:val="0"/>
            <w:vAlign w:val="center"/>
          </w:tcPr>
          <w:p>
            <w:pPr>
              <w:snapToGrid w:val="0"/>
              <w:spacing w:line="360" w:lineRule="auto"/>
              <w:jc w:val="center"/>
              <w:rPr>
                <w:rStyle w:val="100"/>
                <w:rFonts w:ascii="宋体" w:hAnsi="宋体"/>
                <w:kern w:val="0"/>
                <w:sz w:val="24"/>
              </w:rPr>
            </w:pPr>
            <w:r>
              <w:rPr>
                <w:rStyle w:val="100"/>
                <w:rFonts w:hint="eastAsia" w:ascii="宋体" w:hAnsi="宋体"/>
                <w:kern w:val="0"/>
                <w:sz w:val="24"/>
              </w:rPr>
              <w:t>5</w:t>
            </w:r>
          </w:p>
        </w:tc>
        <w:tc>
          <w:tcPr>
            <w:tcW w:w="1971" w:type="dxa"/>
            <w:noWrap w:val="0"/>
            <w:vAlign w:val="center"/>
          </w:tcPr>
          <w:p>
            <w:pPr>
              <w:snapToGrid w:val="0"/>
              <w:rPr>
                <w:rStyle w:val="100"/>
                <w:rFonts w:ascii="宋体" w:hAnsi="宋体"/>
                <w:kern w:val="0"/>
                <w:sz w:val="24"/>
              </w:rPr>
            </w:pPr>
            <w:r>
              <w:rPr>
                <w:rStyle w:val="100"/>
                <w:rFonts w:ascii="宋体" w:hAnsi="宋体"/>
                <w:kern w:val="0"/>
                <w:sz w:val="24"/>
              </w:rPr>
              <w:t>数字证书服务费</w:t>
            </w:r>
          </w:p>
        </w:tc>
        <w:tc>
          <w:tcPr>
            <w:tcW w:w="1235" w:type="dxa"/>
            <w:noWrap w:val="0"/>
            <w:vAlign w:val="center"/>
          </w:tcPr>
          <w:p>
            <w:pPr>
              <w:snapToGrid w:val="0"/>
              <w:jc w:val="center"/>
              <w:rPr>
                <w:rStyle w:val="100"/>
                <w:rFonts w:ascii="宋体" w:hAnsi="宋体"/>
                <w:kern w:val="0"/>
                <w:sz w:val="24"/>
              </w:rPr>
            </w:pPr>
            <w:r>
              <w:rPr>
                <w:rStyle w:val="100"/>
                <w:rFonts w:ascii="宋体" w:hAnsi="宋体"/>
                <w:kern w:val="0"/>
                <w:sz w:val="24"/>
              </w:rPr>
              <w:t>Sm2</w:t>
            </w:r>
          </w:p>
        </w:tc>
        <w:tc>
          <w:tcPr>
            <w:tcW w:w="2765" w:type="dxa"/>
            <w:noWrap w:val="0"/>
            <w:vAlign w:val="center"/>
          </w:tcPr>
          <w:p>
            <w:pPr>
              <w:snapToGrid w:val="0"/>
              <w:rPr>
                <w:rStyle w:val="100"/>
                <w:rFonts w:ascii="宋体" w:hAnsi="宋体"/>
                <w:kern w:val="0"/>
                <w:sz w:val="24"/>
              </w:rPr>
            </w:pPr>
            <w:r>
              <w:rPr>
                <w:rStyle w:val="100"/>
                <w:rFonts w:ascii="宋体" w:hAnsi="宋体"/>
                <w:kern w:val="0"/>
                <w:sz w:val="24"/>
              </w:rPr>
              <w:t>标识医务人员的网上身份</w:t>
            </w:r>
          </w:p>
        </w:tc>
        <w:tc>
          <w:tcPr>
            <w:tcW w:w="897" w:type="dxa"/>
            <w:noWrap w:val="0"/>
            <w:vAlign w:val="center"/>
          </w:tcPr>
          <w:p>
            <w:pPr>
              <w:snapToGrid w:val="0"/>
              <w:spacing w:line="360" w:lineRule="auto"/>
              <w:jc w:val="center"/>
              <w:rPr>
                <w:rStyle w:val="100"/>
                <w:rFonts w:ascii="宋体" w:hAnsi="宋体"/>
                <w:kern w:val="0"/>
                <w:sz w:val="24"/>
              </w:rPr>
            </w:pPr>
            <w:r>
              <w:rPr>
                <w:rStyle w:val="100"/>
                <w:rFonts w:hint="eastAsia" w:ascii="宋体" w:hAnsi="宋体"/>
                <w:kern w:val="0"/>
                <w:sz w:val="24"/>
              </w:rPr>
              <w:t>1</w:t>
            </w:r>
            <w:r>
              <w:rPr>
                <w:rStyle w:val="100"/>
                <w:rFonts w:ascii="宋体" w:hAnsi="宋体"/>
                <w:kern w:val="0"/>
                <w:sz w:val="24"/>
              </w:rPr>
              <w:t>8</w:t>
            </w:r>
            <w:r>
              <w:rPr>
                <w:rStyle w:val="100"/>
                <w:rFonts w:hint="eastAsia" w:ascii="宋体" w:hAnsi="宋体"/>
                <w:kern w:val="0"/>
                <w:sz w:val="24"/>
              </w:rPr>
              <w:t>0</w:t>
            </w:r>
            <w:r>
              <w:rPr>
                <w:rStyle w:val="100"/>
                <w:rFonts w:ascii="宋体" w:hAnsi="宋体"/>
                <w:kern w:val="0"/>
                <w:sz w:val="24"/>
              </w:rPr>
              <w:t>张</w:t>
            </w:r>
          </w:p>
        </w:tc>
        <w:tc>
          <w:tcPr>
            <w:tcW w:w="1367" w:type="dxa"/>
            <w:noWrap w:val="0"/>
            <w:vAlign w:val="center"/>
          </w:tcPr>
          <w:p>
            <w:pPr>
              <w:snapToGrid w:val="0"/>
              <w:jc w:val="center"/>
              <w:rPr>
                <w:rStyle w:val="100"/>
                <w:rFonts w:ascii="宋体" w:hAnsi="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15" w:type="dxa"/>
            <w:noWrap w:val="0"/>
            <w:vAlign w:val="center"/>
          </w:tcPr>
          <w:p>
            <w:pPr>
              <w:snapToGrid w:val="0"/>
              <w:spacing w:line="360" w:lineRule="auto"/>
              <w:jc w:val="center"/>
              <w:rPr>
                <w:rStyle w:val="100"/>
                <w:rFonts w:ascii="宋体" w:hAnsi="宋体"/>
                <w:kern w:val="0"/>
                <w:sz w:val="24"/>
              </w:rPr>
            </w:pPr>
            <w:r>
              <w:rPr>
                <w:rStyle w:val="100"/>
                <w:rFonts w:ascii="宋体" w:hAnsi="宋体"/>
                <w:kern w:val="0"/>
                <w:sz w:val="24"/>
              </w:rPr>
              <w:t>6</w:t>
            </w:r>
          </w:p>
        </w:tc>
        <w:tc>
          <w:tcPr>
            <w:tcW w:w="1971" w:type="dxa"/>
            <w:noWrap w:val="0"/>
            <w:vAlign w:val="center"/>
          </w:tcPr>
          <w:p>
            <w:pPr>
              <w:snapToGrid w:val="0"/>
              <w:rPr>
                <w:rStyle w:val="100"/>
                <w:rFonts w:ascii="宋体" w:hAnsi="宋体"/>
                <w:kern w:val="0"/>
                <w:sz w:val="24"/>
              </w:rPr>
            </w:pPr>
            <w:r>
              <w:rPr>
                <w:rStyle w:val="100"/>
                <w:rFonts w:ascii="宋体" w:hAnsi="宋体"/>
                <w:kern w:val="0"/>
                <w:sz w:val="24"/>
              </w:rPr>
              <w:t>统一身份认证平台系统</w:t>
            </w:r>
          </w:p>
        </w:tc>
        <w:tc>
          <w:tcPr>
            <w:tcW w:w="1235" w:type="dxa"/>
            <w:noWrap w:val="0"/>
            <w:vAlign w:val="center"/>
          </w:tcPr>
          <w:p>
            <w:pPr>
              <w:snapToGrid w:val="0"/>
              <w:jc w:val="center"/>
              <w:rPr>
                <w:rStyle w:val="100"/>
                <w:rFonts w:ascii="宋体" w:hAnsi="宋体"/>
                <w:kern w:val="0"/>
                <w:sz w:val="24"/>
              </w:rPr>
            </w:pPr>
          </w:p>
        </w:tc>
        <w:tc>
          <w:tcPr>
            <w:tcW w:w="2765" w:type="dxa"/>
            <w:noWrap w:val="0"/>
            <w:vAlign w:val="center"/>
          </w:tcPr>
          <w:p>
            <w:pPr>
              <w:snapToGrid w:val="0"/>
              <w:rPr>
                <w:rStyle w:val="100"/>
                <w:rFonts w:ascii="宋体" w:hAnsi="宋体"/>
                <w:kern w:val="0"/>
                <w:sz w:val="24"/>
              </w:rPr>
            </w:pPr>
            <w:r>
              <w:rPr>
                <w:rStyle w:val="100"/>
                <w:rFonts w:ascii="宋体" w:hAnsi="宋体"/>
                <w:kern w:val="0"/>
                <w:sz w:val="24"/>
              </w:rPr>
              <w:t>实现数字证书统一单点登录</w:t>
            </w:r>
            <w:r>
              <w:rPr>
                <w:rStyle w:val="100"/>
                <w:rFonts w:hint="eastAsia" w:ascii="宋体" w:hAnsi="宋体"/>
                <w:kern w:val="0"/>
                <w:sz w:val="24"/>
              </w:rPr>
              <w:t>。</w:t>
            </w:r>
          </w:p>
        </w:tc>
        <w:tc>
          <w:tcPr>
            <w:tcW w:w="897" w:type="dxa"/>
            <w:noWrap w:val="0"/>
            <w:vAlign w:val="center"/>
          </w:tcPr>
          <w:p>
            <w:pPr>
              <w:snapToGrid w:val="0"/>
              <w:spacing w:line="360" w:lineRule="auto"/>
              <w:jc w:val="center"/>
              <w:rPr>
                <w:rStyle w:val="100"/>
                <w:rFonts w:ascii="宋体" w:hAnsi="宋体"/>
                <w:kern w:val="0"/>
                <w:sz w:val="24"/>
              </w:rPr>
            </w:pPr>
            <w:r>
              <w:rPr>
                <w:rStyle w:val="100"/>
                <w:rFonts w:hint="eastAsia" w:ascii="宋体" w:hAnsi="宋体"/>
                <w:kern w:val="0"/>
                <w:sz w:val="24"/>
              </w:rPr>
              <w:t>1套</w:t>
            </w:r>
          </w:p>
        </w:tc>
        <w:tc>
          <w:tcPr>
            <w:tcW w:w="1367" w:type="dxa"/>
            <w:noWrap w:val="0"/>
            <w:vAlign w:val="center"/>
          </w:tcPr>
          <w:p>
            <w:pPr>
              <w:snapToGrid w:val="0"/>
              <w:spacing w:line="360" w:lineRule="auto"/>
              <w:jc w:val="center"/>
              <w:rPr>
                <w:rStyle w:val="100"/>
                <w:rFonts w:ascii="宋体" w:hAnsi="宋体"/>
                <w:kern w:val="0"/>
                <w:sz w:val="24"/>
              </w:rPr>
            </w:pPr>
          </w:p>
        </w:tc>
      </w:tr>
    </w:tbl>
    <w:p>
      <w:pPr>
        <w:tabs>
          <w:tab w:val="left" w:pos="5460"/>
        </w:tabs>
        <w:snapToGrid w:val="0"/>
        <w:spacing w:line="360" w:lineRule="auto"/>
        <w:rPr>
          <w:rStyle w:val="100"/>
          <w:rFonts w:ascii="宋体" w:hAnsi="宋体"/>
          <w:sz w:val="24"/>
        </w:rPr>
        <w:sectPr>
          <w:pgSz w:w="11906" w:h="16838"/>
          <w:pgMar w:top="1440" w:right="1803" w:bottom="1440" w:left="1803" w:header="851" w:footer="992" w:gutter="0"/>
          <w:pgNumType w:fmt="decimal"/>
          <w:cols w:space="720" w:num="1"/>
          <w:titlePg/>
          <w:docGrid w:type="lines" w:linePitch="319" w:charSpace="0"/>
        </w:sectPr>
      </w:pPr>
    </w:p>
    <w:p>
      <w:pPr>
        <w:pStyle w:val="75"/>
        <w:snapToGrid w:val="0"/>
        <w:spacing w:line="440" w:lineRule="exact"/>
        <w:jc w:val="center"/>
        <w:outlineLvl w:val="0"/>
        <w:rPr>
          <w:rFonts w:ascii="宋体" w:hAnsi="宋体" w:cs="宋体"/>
          <w:b/>
          <w:bCs/>
          <w:color w:val="auto"/>
          <w:sz w:val="32"/>
          <w:szCs w:val="32"/>
        </w:rPr>
      </w:pPr>
      <w:r>
        <w:rPr>
          <w:rFonts w:hint="eastAsia" w:ascii="宋体" w:hAnsi="宋体" w:cs="宋体"/>
          <w:b/>
          <w:bCs/>
          <w:color w:val="auto"/>
          <w:sz w:val="32"/>
          <w:szCs w:val="32"/>
        </w:rPr>
        <w:t>第六章 投标文件格式</w:t>
      </w:r>
      <w:bookmarkEnd w:id="175"/>
      <w:bookmarkEnd w:id="176"/>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ascii="宋体"/>
          <w:sz w:val="28"/>
          <w:szCs w:val="28"/>
          <w:u w:val="single"/>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sz w:val="28"/>
          <w:szCs w:val="28"/>
        </w:rPr>
      </w:pPr>
    </w:p>
    <w:p>
      <w:pPr>
        <w:widowControl/>
        <w:spacing w:line="440" w:lineRule="exact"/>
        <w:jc w:val="center"/>
        <w:rPr>
          <w:rFonts w:ascii="宋体" w:hAnsi="宋体" w:cs="宋体"/>
          <w:b/>
          <w:kern w:val="0"/>
          <w:sz w:val="32"/>
          <w:szCs w:val="32"/>
        </w:rPr>
      </w:pPr>
      <w:r>
        <w:rPr>
          <w:rFonts w:hint="eastAsia" w:ascii="宋体"/>
          <w:sz w:val="28"/>
          <w:szCs w:val="28"/>
          <w:u w:val="single"/>
        </w:rPr>
        <w:t xml:space="preserve">         （项目名称）             </w:t>
      </w:r>
      <w:r>
        <w:rPr>
          <w:rFonts w:hint="eastAsia" w:ascii="宋体" w:hAnsi="宋体" w:cs="宋体"/>
          <w:b/>
          <w:kern w:val="0"/>
          <w:sz w:val="32"/>
          <w:szCs w:val="32"/>
        </w:rPr>
        <w:t>项目</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sz w:val="28"/>
          <w:szCs w:val="28"/>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sz w:val="28"/>
          <w:szCs w:val="28"/>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sz w:val="28"/>
          <w:szCs w:val="28"/>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sz w:val="20"/>
          <w:szCs w:val="2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sz w:val="20"/>
          <w:szCs w:val="2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sz w:val="20"/>
          <w:szCs w:val="2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sz w:val="20"/>
          <w:szCs w:val="2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sz w:val="20"/>
          <w:szCs w:val="2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宋体"/>
          <w:b/>
          <w:bCs/>
          <w:sz w:val="44"/>
          <w:szCs w:val="44"/>
        </w:rPr>
      </w:pPr>
      <w:bookmarkStart w:id="257" w:name="_Toc18600"/>
      <w:bookmarkStart w:id="258" w:name="_Toc17105"/>
      <w:bookmarkStart w:id="259" w:name="_Toc17512"/>
      <w:bookmarkStart w:id="260" w:name="_Toc4985"/>
      <w:bookmarkStart w:id="261" w:name="_Toc23233"/>
      <w:r>
        <w:rPr>
          <w:rFonts w:hint="eastAsia" w:ascii="宋体"/>
          <w:b/>
          <w:bCs/>
          <w:sz w:val="44"/>
          <w:szCs w:val="44"/>
        </w:rPr>
        <w:t>投  标  文  件</w:t>
      </w:r>
      <w:bookmarkEnd w:id="257"/>
      <w:bookmarkEnd w:id="258"/>
      <w:bookmarkEnd w:id="259"/>
      <w:bookmarkEnd w:id="260"/>
      <w:bookmarkEnd w:id="261"/>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b/>
          <w:bCs/>
          <w:sz w:val="28"/>
          <w:szCs w:val="28"/>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rPr>
          <w:rFonts w:ascii="宋体"/>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宋体"/>
          <w:bCs/>
          <w:sz w:val="30"/>
          <w:szCs w:val="3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宋体"/>
          <w:bCs/>
          <w:sz w:val="30"/>
          <w:szCs w:val="3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宋体"/>
          <w:bCs/>
          <w:sz w:val="30"/>
          <w:szCs w:val="3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宋体"/>
          <w:bCs/>
          <w:sz w:val="30"/>
          <w:szCs w:val="3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宋体"/>
          <w:bCs/>
          <w:sz w:val="30"/>
          <w:szCs w:val="3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宋体"/>
          <w:bCs/>
          <w:sz w:val="30"/>
          <w:szCs w:val="3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宋体"/>
          <w:bCs/>
          <w:sz w:val="30"/>
          <w:szCs w:val="3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宋体"/>
          <w:bCs/>
          <w:sz w:val="30"/>
          <w:szCs w:val="3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宋体"/>
          <w:sz w:val="28"/>
          <w:szCs w:val="28"/>
          <w:u w:val="single"/>
        </w:rPr>
      </w:pPr>
      <w:bookmarkStart w:id="262" w:name="_Toc24106"/>
      <w:bookmarkStart w:id="263" w:name="_Toc30788"/>
      <w:bookmarkStart w:id="264" w:name="_Toc27851"/>
      <w:bookmarkStart w:id="265" w:name="_Toc30292"/>
      <w:bookmarkStart w:id="266" w:name="_Toc12817"/>
      <w:r>
        <w:rPr>
          <w:rFonts w:hint="eastAsia" w:ascii="宋体"/>
          <w:sz w:val="28"/>
          <w:szCs w:val="28"/>
        </w:rPr>
        <w:t>投标人：</w:t>
      </w:r>
      <w:r>
        <w:rPr>
          <w:rFonts w:hint="eastAsia" w:ascii="宋体"/>
          <w:sz w:val="28"/>
          <w:szCs w:val="28"/>
          <w:u w:val="single"/>
        </w:rPr>
        <w:t xml:space="preserve">                              </w:t>
      </w:r>
      <w:r>
        <w:rPr>
          <w:rFonts w:hint="eastAsia" w:ascii="宋体"/>
          <w:sz w:val="28"/>
          <w:szCs w:val="28"/>
        </w:rPr>
        <w:t>（盖单位章）</w:t>
      </w:r>
      <w:bookmarkEnd w:id="262"/>
      <w:bookmarkEnd w:id="263"/>
      <w:bookmarkEnd w:id="264"/>
      <w:bookmarkEnd w:id="265"/>
      <w:bookmarkEnd w:id="266"/>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宋体"/>
          <w:sz w:val="28"/>
          <w:szCs w:val="28"/>
        </w:rPr>
      </w:pPr>
      <w:bookmarkStart w:id="267" w:name="_Toc13491"/>
      <w:bookmarkStart w:id="268" w:name="_Toc1096"/>
      <w:bookmarkStart w:id="269" w:name="_Toc13042"/>
      <w:bookmarkStart w:id="270" w:name="_Toc32511"/>
      <w:bookmarkStart w:id="271" w:name="_Toc5338"/>
      <w:r>
        <w:rPr>
          <w:rFonts w:hint="eastAsia" w:ascii="宋体"/>
          <w:sz w:val="28"/>
          <w:szCs w:val="28"/>
        </w:rPr>
        <w:t>法定代表人或其委托代理人：</w:t>
      </w:r>
      <w:r>
        <w:rPr>
          <w:rFonts w:hint="eastAsia" w:ascii="宋体"/>
          <w:sz w:val="28"/>
          <w:szCs w:val="28"/>
          <w:u w:val="single"/>
        </w:rPr>
        <w:t xml:space="preserve">                </w:t>
      </w:r>
      <w:r>
        <w:rPr>
          <w:rFonts w:hint="eastAsia" w:ascii="宋体"/>
          <w:sz w:val="28"/>
          <w:szCs w:val="28"/>
        </w:rPr>
        <w:t>（签字）</w:t>
      </w:r>
      <w:bookmarkEnd w:id="267"/>
      <w:bookmarkEnd w:id="268"/>
      <w:bookmarkEnd w:id="269"/>
      <w:bookmarkEnd w:id="270"/>
      <w:bookmarkEnd w:id="271"/>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bCs/>
          <w:szCs w:val="21"/>
        </w:rPr>
      </w:pPr>
      <w:r>
        <w:rPr>
          <w:rFonts w:hint="eastAsia"/>
          <w:sz w:val="28"/>
          <w:szCs w:val="28"/>
        </w:rPr>
        <w:t xml:space="preserve">       </w:t>
      </w:r>
      <w:bookmarkStart w:id="272" w:name="_Toc19260"/>
      <w:bookmarkStart w:id="273" w:name="_Toc1600"/>
      <w:bookmarkStart w:id="274" w:name="_Toc28537"/>
      <w:bookmarkStart w:id="275" w:name="_Toc19518"/>
      <w:bookmarkStart w:id="276" w:name="_Toc3571"/>
      <w:r>
        <w:rPr>
          <w:rFonts w:hint="eastAsia"/>
          <w:sz w:val="28"/>
          <w:szCs w:val="28"/>
        </w:rPr>
        <w:t>年        月        日</w:t>
      </w:r>
      <w:bookmarkEnd w:id="272"/>
      <w:bookmarkEnd w:id="273"/>
      <w:bookmarkEnd w:id="274"/>
      <w:bookmarkEnd w:id="275"/>
      <w:bookmarkEnd w:id="276"/>
    </w:p>
    <w:p>
      <w:pPr>
        <w:pStyle w:val="68"/>
        <w:snapToGrid w:val="0"/>
        <w:spacing w:line="400" w:lineRule="exact"/>
        <w:jc w:val="center"/>
        <w:outlineLvl w:val="1"/>
        <w:rPr>
          <w:b/>
          <w:bCs/>
          <w:color w:val="auto"/>
          <w:sz w:val="21"/>
          <w:szCs w:val="21"/>
        </w:rPr>
      </w:pPr>
      <w:bookmarkStart w:id="277" w:name="_Toc9965"/>
      <w:bookmarkStart w:id="278" w:name="_Toc22763"/>
      <w:bookmarkStart w:id="279" w:name="_Toc14922"/>
      <w:bookmarkStart w:id="280" w:name="_Toc1716"/>
    </w:p>
    <w:p>
      <w:pPr>
        <w:pStyle w:val="68"/>
        <w:snapToGrid w:val="0"/>
        <w:spacing w:line="400" w:lineRule="exact"/>
        <w:jc w:val="center"/>
        <w:outlineLvl w:val="1"/>
        <w:rPr>
          <w:b/>
          <w:bCs/>
          <w:color w:val="auto"/>
          <w:sz w:val="21"/>
          <w:szCs w:val="21"/>
        </w:rPr>
      </w:pPr>
    </w:p>
    <w:p>
      <w:pPr>
        <w:pStyle w:val="68"/>
        <w:snapToGrid w:val="0"/>
        <w:spacing w:line="400" w:lineRule="exact"/>
        <w:jc w:val="center"/>
        <w:outlineLvl w:val="1"/>
        <w:rPr>
          <w:b/>
          <w:bCs/>
          <w:color w:val="auto"/>
          <w:sz w:val="21"/>
          <w:szCs w:val="21"/>
        </w:rPr>
      </w:pPr>
      <w:bookmarkStart w:id="281" w:name="_Toc17383"/>
      <w:r>
        <w:rPr>
          <w:rFonts w:hint="eastAsia"/>
          <w:b/>
          <w:bCs/>
          <w:color w:val="auto"/>
          <w:sz w:val="21"/>
          <w:szCs w:val="21"/>
        </w:rPr>
        <w:t>目录</w:t>
      </w:r>
      <w:bookmarkEnd w:id="277"/>
      <w:bookmarkEnd w:id="278"/>
      <w:bookmarkEnd w:id="279"/>
      <w:bookmarkEnd w:id="280"/>
      <w:bookmarkEnd w:id="281"/>
    </w:p>
    <w:p>
      <w:pPr>
        <w:pStyle w:val="68"/>
        <w:snapToGrid w:val="0"/>
        <w:spacing w:line="360" w:lineRule="auto"/>
        <w:ind w:firstLine="420" w:firstLineChars="200"/>
        <w:jc w:val="both"/>
        <w:rPr>
          <w:rFonts w:ascii="宋体" w:hAnsi="宋体"/>
          <w:bCs/>
          <w:color w:val="auto"/>
          <w:sz w:val="21"/>
          <w:szCs w:val="21"/>
        </w:rPr>
      </w:pPr>
    </w:p>
    <w:p>
      <w:pPr>
        <w:pStyle w:val="68"/>
        <w:snapToGrid w:val="0"/>
        <w:spacing w:line="400" w:lineRule="exact"/>
        <w:ind w:firstLine="422" w:firstLineChars="200"/>
        <w:jc w:val="both"/>
        <w:outlineLvl w:val="0"/>
        <w:rPr>
          <w:rFonts w:ascii="宋体" w:hAnsi="宋体"/>
          <w:b/>
          <w:color w:val="auto"/>
          <w:sz w:val="21"/>
          <w:szCs w:val="21"/>
        </w:rPr>
      </w:pPr>
      <w:bookmarkStart w:id="282" w:name="_Toc17665"/>
      <w:bookmarkStart w:id="283" w:name="_Toc20819"/>
      <w:bookmarkStart w:id="284" w:name="_Toc28016"/>
      <w:bookmarkStart w:id="285" w:name="_Toc25011"/>
      <w:bookmarkStart w:id="286" w:name="_Toc3609"/>
      <w:r>
        <w:rPr>
          <w:rFonts w:hint="eastAsia" w:ascii="宋体" w:hAnsi="宋体"/>
          <w:b/>
          <w:color w:val="auto"/>
          <w:sz w:val="21"/>
          <w:szCs w:val="21"/>
        </w:rPr>
        <w:t>1.投标函</w:t>
      </w:r>
      <w:bookmarkEnd w:id="282"/>
      <w:bookmarkEnd w:id="283"/>
      <w:bookmarkEnd w:id="284"/>
      <w:bookmarkEnd w:id="285"/>
      <w:bookmarkEnd w:id="286"/>
    </w:p>
    <w:p>
      <w:pPr>
        <w:pStyle w:val="68"/>
        <w:snapToGrid w:val="0"/>
        <w:spacing w:line="400" w:lineRule="exact"/>
        <w:ind w:firstLine="422" w:firstLineChars="200"/>
        <w:jc w:val="both"/>
        <w:outlineLvl w:val="0"/>
        <w:rPr>
          <w:rFonts w:ascii="宋体" w:hAnsi="宋体"/>
          <w:b/>
          <w:color w:val="auto"/>
          <w:sz w:val="21"/>
          <w:szCs w:val="21"/>
        </w:rPr>
      </w:pPr>
      <w:bookmarkStart w:id="287" w:name="_Toc25230"/>
      <w:bookmarkStart w:id="288" w:name="_Toc24722"/>
      <w:bookmarkStart w:id="289" w:name="_Toc10191"/>
      <w:bookmarkStart w:id="290" w:name="_Toc12014"/>
      <w:bookmarkStart w:id="291" w:name="_Toc6482"/>
      <w:r>
        <w:rPr>
          <w:rFonts w:hint="eastAsia" w:ascii="宋体" w:hAnsi="宋体"/>
          <w:b/>
          <w:color w:val="auto"/>
          <w:sz w:val="21"/>
          <w:szCs w:val="21"/>
        </w:rPr>
        <w:t>2.投标报价一览表</w:t>
      </w:r>
      <w:bookmarkEnd w:id="287"/>
      <w:bookmarkEnd w:id="288"/>
      <w:bookmarkEnd w:id="289"/>
      <w:bookmarkEnd w:id="290"/>
      <w:bookmarkEnd w:id="291"/>
    </w:p>
    <w:p>
      <w:pPr>
        <w:pStyle w:val="68"/>
        <w:snapToGrid w:val="0"/>
        <w:spacing w:line="400" w:lineRule="exact"/>
        <w:ind w:firstLine="422" w:firstLineChars="200"/>
        <w:jc w:val="both"/>
        <w:outlineLvl w:val="0"/>
        <w:rPr>
          <w:rFonts w:ascii="宋体" w:hAnsi="宋体"/>
          <w:b/>
          <w:color w:val="auto"/>
          <w:sz w:val="21"/>
          <w:szCs w:val="21"/>
        </w:rPr>
      </w:pPr>
      <w:bookmarkStart w:id="292" w:name="_Toc3921"/>
      <w:bookmarkStart w:id="293" w:name="_Toc20652"/>
      <w:bookmarkStart w:id="294" w:name="_Toc12482"/>
      <w:bookmarkStart w:id="295" w:name="_Toc30913"/>
      <w:bookmarkStart w:id="296" w:name="_Toc14435"/>
      <w:r>
        <w:rPr>
          <w:rFonts w:hint="eastAsia" w:ascii="宋体" w:hAnsi="宋体"/>
          <w:b/>
          <w:color w:val="auto"/>
          <w:sz w:val="21"/>
          <w:szCs w:val="21"/>
        </w:rPr>
        <w:t>3.报价明细表</w:t>
      </w:r>
      <w:bookmarkEnd w:id="292"/>
      <w:bookmarkEnd w:id="293"/>
    </w:p>
    <w:p>
      <w:pPr>
        <w:pStyle w:val="68"/>
        <w:snapToGrid w:val="0"/>
        <w:spacing w:line="400" w:lineRule="exact"/>
        <w:ind w:firstLine="422" w:firstLineChars="200"/>
        <w:jc w:val="both"/>
        <w:outlineLvl w:val="0"/>
        <w:rPr>
          <w:rFonts w:ascii="宋体" w:hAnsi="宋体"/>
          <w:b/>
          <w:color w:val="auto"/>
          <w:sz w:val="21"/>
          <w:szCs w:val="21"/>
        </w:rPr>
      </w:pPr>
      <w:bookmarkStart w:id="297" w:name="_Toc6570"/>
      <w:bookmarkStart w:id="298" w:name="_Toc7814"/>
      <w:r>
        <w:rPr>
          <w:rFonts w:hint="eastAsia" w:ascii="宋体" w:hAnsi="宋体"/>
          <w:b/>
          <w:color w:val="auto"/>
          <w:sz w:val="21"/>
          <w:szCs w:val="21"/>
        </w:rPr>
        <w:t>4.法定代表人身份证明</w:t>
      </w:r>
      <w:bookmarkEnd w:id="294"/>
      <w:bookmarkEnd w:id="295"/>
      <w:bookmarkEnd w:id="296"/>
      <w:bookmarkEnd w:id="297"/>
      <w:bookmarkEnd w:id="298"/>
    </w:p>
    <w:p>
      <w:pPr>
        <w:pStyle w:val="68"/>
        <w:snapToGrid w:val="0"/>
        <w:spacing w:line="400" w:lineRule="exact"/>
        <w:ind w:firstLine="422" w:firstLineChars="200"/>
        <w:jc w:val="both"/>
        <w:outlineLvl w:val="0"/>
        <w:rPr>
          <w:rFonts w:ascii="宋体" w:hAnsi="宋体"/>
          <w:b/>
          <w:color w:val="auto"/>
          <w:sz w:val="21"/>
          <w:szCs w:val="21"/>
        </w:rPr>
      </w:pPr>
      <w:bookmarkStart w:id="299" w:name="_Toc17147"/>
      <w:bookmarkStart w:id="300" w:name="_Toc3523"/>
      <w:bookmarkStart w:id="301" w:name="_Toc18748"/>
      <w:bookmarkStart w:id="302" w:name="_Toc4068"/>
      <w:bookmarkStart w:id="303" w:name="_Toc16358"/>
      <w:r>
        <w:rPr>
          <w:rFonts w:hint="eastAsia" w:ascii="宋体" w:hAnsi="宋体"/>
          <w:b/>
          <w:color w:val="auto"/>
          <w:sz w:val="21"/>
          <w:szCs w:val="21"/>
        </w:rPr>
        <w:t>5.法定代表人授权委托书</w:t>
      </w:r>
      <w:bookmarkEnd w:id="299"/>
      <w:bookmarkEnd w:id="300"/>
      <w:bookmarkEnd w:id="301"/>
      <w:bookmarkEnd w:id="302"/>
      <w:bookmarkEnd w:id="303"/>
    </w:p>
    <w:p>
      <w:pPr>
        <w:pStyle w:val="68"/>
        <w:snapToGrid w:val="0"/>
        <w:spacing w:line="400" w:lineRule="exact"/>
        <w:ind w:firstLine="422" w:firstLineChars="200"/>
        <w:jc w:val="both"/>
        <w:outlineLvl w:val="0"/>
        <w:rPr>
          <w:rFonts w:ascii="宋体" w:hAnsi="宋体"/>
          <w:b/>
          <w:color w:val="auto"/>
          <w:sz w:val="21"/>
          <w:szCs w:val="21"/>
        </w:rPr>
      </w:pPr>
      <w:bookmarkStart w:id="304" w:name="_Toc13169"/>
      <w:bookmarkStart w:id="305" w:name="_Toc8208"/>
      <w:bookmarkStart w:id="306" w:name="_Toc24200"/>
      <w:bookmarkStart w:id="307" w:name="_Toc31066"/>
      <w:bookmarkStart w:id="308" w:name="_Toc17856"/>
      <w:r>
        <w:rPr>
          <w:rFonts w:hint="eastAsia" w:ascii="宋体" w:hAnsi="宋体"/>
          <w:b/>
          <w:color w:val="auto"/>
          <w:sz w:val="21"/>
          <w:szCs w:val="21"/>
        </w:rPr>
        <w:t>6.投标人基本情况</w:t>
      </w:r>
      <w:bookmarkEnd w:id="304"/>
      <w:bookmarkEnd w:id="305"/>
      <w:bookmarkEnd w:id="306"/>
      <w:bookmarkEnd w:id="307"/>
      <w:bookmarkEnd w:id="308"/>
    </w:p>
    <w:p>
      <w:pPr>
        <w:pStyle w:val="68"/>
        <w:snapToGrid w:val="0"/>
        <w:spacing w:line="400" w:lineRule="exact"/>
        <w:ind w:firstLine="402" w:firstLineChars="200"/>
        <w:jc w:val="both"/>
        <w:outlineLvl w:val="0"/>
        <w:rPr>
          <w:rFonts w:ascii="宋体" w:hAnsi="宋体"/>
          <w:b/>
          <w:color w:val="auto"/>
          <w:sz w:val="21"/>
          <w:szCs w:val="21"/>
        </w:rPr>
      </w:pPr>
      <w:bookmarkStart w:id="309" w:name="_Toc12008"/>
      <w:bookmarkStart w:id="310" w:name="_Toc25746"/>
      <w:bookmarkStart w:id="311" w:name="_Toc32002"/>
      <w:bookmarkStart w:id="312" w:name="_Toc7046"/>
      <w:bookmarkStart w:id="313" w:name="_Toc5789"/>
      <w:r>
        <w:rPr>
          <w:rFonts w:hint="eastAsia" w:ascii="宋体" w:hAnsi="宋体" w:cs="宋体"/>
          <w:b/>
          <w:bCs/>
          <w:color w:val="auto"/>
          <w:szCs w:val="21"/>
        </w:rPr>
        <w:t>7.近三年已完成或在执行类似项目一览表</w:t>
      </w:r>
      <w:bookmarkEnd w:id="309"/>
      <w:bookmarkEnd w:id="310"/>
    </w:p>
    <w:p>
      <w:pPr>
        <w:pStyle w:val="68"/>
        <w:snapToGrid w:val="0"/>
        <w:spacing w:line="400" w:lineRule="exact"/>
        <w:ind w:firstLine="422" w:firstLineChars="200"/>
        <w:jc w:val="both"/>
        <w:outlineLvl w:val="0"/>
        <w:rPr>
          <w:rFonts w:ascii="宋体" w:hAnsi="宋体"/>
          <w:b/>
          <w:color w:val="auto"/>
          <w:sz w:val="21"/>
          <w:szCs w:val="21"/>
        </w:rPr>
      </w:pPr>
      <w:bookmarkStart w:id="314" w:name="_Toc9121"/>
      <w:bookmarkStart w:id="315" w:name="_Toc24492"/>
      <w:r>
        <w:rPr>
          <w:rFonts w:hint="eastAsia" w:ascii="宋体" w:hAnsi="宋体"/>
          <w:b/>
          <w:color w:val="auto"/>
          <w:sz w:val="21"/>
          <w:szCs w:val="21"/>
        </w:rPr>
        <w:t>8.商务条款偏离表</w:t>
      </w:r>
      <w:bookmarkEnd w:id="314"/>
      <w:bookmarkEnd w:id="315"/>
    </w:p>
    <w:bookmarkEnd w:id="311"/>
    <w:bookmarkEnd w:id="312"/>
    <w:bookmarkEnd w:id="313"/>
    <w:p>
      <w:pPr>
        <w:pStyle w:val="68"/>
        <w:snapToGrid w:val="0"/>
        <w:spacing w:line="400" w:lineRule="exact"/>
        <w:ind w:firstLine="422" w:firstLineChars="200"/>
        <w:jc w:val="both"/>
        <w:outlineLvl w:val="0"/>
        <w:rPr>
          <w:rFonts w:ascii="宋体" w:hAnsi="宋体"/>
          <w:b/>
          <w:color w:val="auto"/>
          <w:sz w:val="21"/>
          <w:szCs w:val="21"/>
        </w:rPr>
      </w:pPr>
      <w:bookmarkStart w:id="316" w:name="_Toc27094"/>
      <w:bookmarkStart w:id="317" w:name="_Toc32189"/>
      <w:bookmarkStart w:id="318" w:name="_Toc20526"/>
      <w:bookmarkStart w:id="319" w:name="_Toc30753"/>
      <w:bookmarkStart w:id="320" w:name="_Toc9165"/>
      <w:r>
        <w:rPr>
          <w:rFonts w:hint="eastAsia" w:ascii="宋体" w:hAnsi="宋体" w:cs="宋体"/>
          <w:b/>
          <w:bCs/>
          <w:color w:val="auto"/>
          <w:sz w:val="21"/>
          <w:szCs w:val="21"/>
        </w:rPr>
        <w:t>9.技术参数、规格偏离表</w:t>
      </w:r>
      <w:bookmarkEnd w:id="316"/>
      <w:bookmarkEnd w:id="317"/>
    </w:p>
    <w:p>
      <w:pPr>
        <w:pStyle w:val="68"/>
        <w:snapToGrid w:val="0"/>
        <w:spacing w:line="400" w:lineRule="exact"/>
        <w:ind w:firstLine="402" w:firstLineChars="200"/>
        <w:jc w:val="both"/>
        <w:outlineLvl w:val="0"/>
        <w:rPr>
          <w:rFonts w:ascii="宋体" w:hAnsi="宋体"/>
          <w:b/>
          <w:color w:val="auto"/>
          <w:sz w:val="21"/>
          <w:szCs w:val="21"/>
        </w:rPr>
      </w:pPr>
      <w:bookmarkStart w:id="321" w:name="_Toc9256"/>
      <w:bookmarkStart w:id="322" w:name="_Toc7485"/>
      <w:r>
        <w:rPr>
          <w:rFonts w:hint="eastAsia" w:ascii="宋体" w:hAnsi="宋体" w:cs="宋体"/>
          <w:b/>
          <w:bCs/>
          <w:color w:val="auto"/>
          <w:szCs w:val="21"/>
        </w:rPr>
        <w:t>10.供货组织情况及实施方案</w:t>
      </w:r>
      <w:bookmarkEnd w:id="321"/>
      <w:bookmarkEnd w:id="322"/>
    </w:p>
    <w:p>
      <w:pPr>
        <w:pStyle w:val="68"/>
        <w:snapToGrid w:val="0"/>
        <w:spacing w:line="400" w:lineRule="exact"/>
        <w:ind w:firstLine="422" w:firstLineChars="200"/>
        <w:jc w:val="both"/>
        <w:outlineLvl w:val="0"/>
        <w:rPr>
          <w:rFonts w:ascii="宋体" w:hAnsi="宋体"/>
          <w:b/>
          <w:color w:val="auto"/>
          <w:sz w:val="21"/>
          <w:szCs w:val="21"/>
        </w:rPr>
      </w:pPr>
      <w:bookmarkStart w:id="323" w:name="_Toc6703"/>
      <w:bookmarkStart w:id="324" w:name="_Toc8244"/>
      <w:r>
        <w:rPr>
          <w:rFonts w:hint="eastAsia" w:ascii="宋体" w:hAnsi="宋体"/>
          <w:b/>
          <w:color w:val="auto"/>
          <w:sz w:val="21"/>
          <w:szCs w:val="21"/>
        </w:rPr>
        <w:t>11.</w:t>
      </w:r>
      <w:bookmarkEnd w:id="323"/>
      <w:r>
        <w:rPr>
          <w:rFonts w:hint="eastAsia" w:ascii="宋体" w:hAnsi="宋体" w:cs="宋体"/>
          <w:b/>
          <w:bCs/>
          <w:color w:val="auto"/>
          <w:szCs w:val="21"/>
        </w:rPr>
        <w:t>售后服务方案及承诺书</w:t>
      </w:r>
      <w:bookmarkEnd w:id="324"/>
    </w:p>
    <w:p>
      <w:pPr>
        <w:pStyle w:val="68"/>
        <w:snapToGrid w:val="0"/>
        <w:spacing w:line="400" w:lineRule="exact"/>
        <w:ind w:firstLine="402" w:firstLineChars="200"/>
        <w:jc w:val="both"/>
        <w:outlineLvl w:val="0"/>
        <w:rPr>
          <w:rFonts w:ascii="宋体" w:hAnsi="宋体"/>
          <w:b/>
          <w:color w:val="auto"/>
          <w:sz w:val="21"/>
          <w:szCs w:val="21"/>
        </w:rPr>
      </w:pPr>
      <w:bookmarkStart w:id="325" w:name="_Toc8754"/>
      <w:bookmarkStart w:id="326" w:name="_Toc19124"/>
      <w:r>
        <w:rPr>
          <w:rFonts w:hint="eastAsia" w:ascii="宋体" w:hAnsi="宋体" w:cs="宋体"/>
          <w:b/>
          <w:bCs/>
          <w:color w:val="auto"/>
          <w:szCs w:val="21"/>
        </w:rPr>
        <w:t>12.其它证明材料</w:t>
      </w:r>
      <w:bookmarkEnd w:id="318"/>
      <w:bookmarkEnd w:id="319"/>
      <w:bookmarkEnd w:id="320"/>
      <w:bookmarkEnd w:id="325"/>
      <w:bookmarkEnd w:id="326"/>
    </w:p>
    <w:p>
      <w:pPr>
        <w:pStyle w:val="68"/>
        <w:snapToGrid w:val="0"/>
        <w:spacing w:line="400" w:lineRule="exact"/>
        <w:ind w:firstLine="422" w:firstLineChars="200"/>
        <w:jc w:val="both"/>
        <w:outlineLvl w:val="0"/>
        <w:rPr>
          <w:rFonts w:ascii="宋体" w:hAnsi="宋体"/>
          <w:b/>
          <w:color w:val="auto"/>
          <w:sz w:val="21"/>
          <w:szCs w:val="21"/>
        </w:rPr>
      </w:pPr>
      <w:bookmarkStart w:id="327" w:name="_Toc982"/>
      <w:bookmarkStart w:id="328" w:name="_Toc20539"/>
      <w:bookmarkStart w:id="329" w:name="_Toc29222"/>
      <w:bookmarkStart w:id="330" w:name="_Toc6672"/>
      <w:bookmarkStart w:id="331" w:name="_Toc7081"/>
      <w:r>
        <w:rPr>
          <w:rFonts w:hint="eastAsia" w:ascii="宋体" w:hAnsi="宋体"/>
          <w:b/>
          <w:color w:val="auto"/>
          <w:sz w:val="21"/>
          <w:szCs w:val="21"/>
        </w:rPr>
        <w:t>13.声明函</w:t>
      </w:r>
      <w:bookmarkEnd w:id="327"/>
      <w:bookmarkEnd w:id="328"/>
      <w:bookmarkEnd w:id="329"/>
      <w:bookmarkEnd w:id="330"/>
      <w:bookmarkEnd w:id="331"/>
    </w:p>
    <w:p>
      <w:pPr>
        <w:pStyle w:val="68"/>
        <w:snapToGrid w:val="0"/>
        <w:spacing w:line="440" w:lineRule="exact"/>
        <w:jc w:val="center"/>
        <w:outlineLvl w:val="0"/>
        <w:rPr>
          <w:b/>
          <w:bCs/>
          <w:color w:val="auto"/>
          <w:sz w:val="21"/>
          <w:szCs w:val="21"/>
        </w:rPr>
      </w:pPr>
      <w:r>
        <w:rPr>
          <w:rFonts w:hint="eastAsia"/>
          <w:b/>
          <w:bCs/>
          <w:color w:val="auto"/>
          <w:sz w:val="21"/>
          <w:szCs w:val="21"/>
        </w:rPr>
        <w:br w:type="page"/>
      </w:r>
      <w:bookmarkStart w:id="332" w:name="_Toc32224"/>
      <w:bookmarkStart w:id="333" w:name="_Toc7538"/>
    </w:p>
    <w:p>
      <w:pPr>
        <w:pStyle w:val="68"/>
        <w:snapToGrid w:val="0"/>
        <w:spacing w:line="440" w:lineRule="exact"/>
        <w:jc w:val="center"/>
        <w:outlineLvl w:val="0"/>
        <w:rPr>
          <w:b/>
          <w:bCs/>
          <w:color w:val="auto"/>
          <w:sz w:val="32"/>
          <w:szCs w:val="32"/>
        </w:rPr>
      </w:pPr>
      <w:bookmarkStart w:id="334" w:name="_Toc19909"/>
      <w:r>
        <w:rPr>
          <w:rFonts w:hint="eastAsia"/>
          <w:b/>
          <w:bCs/>
          <w:color w:val="auto"/>
          <w:sz w:val="32"/>
          <w:szCs w:val="32"/>
        </w:rPr>
        <w:t>（报价文件）</w:t>
      </w:r>
      <w:bookmarkEnd w:id="334"/>
    </w:p>
    <w:p>
      <w:pPr>
        <w:pStyle w:val="68"/>
        <w:snapToGrid w:val="0"/>
        <w:spacing w:line="440" w:lineRule="exact"/>
        <w:jc w:val="center"/>
        <w:outlineLvl w:val="0"/>
        <w:rPr>
          <w:b/>
          <w:color w:val="auto"/>
          <w:sz w:val="21"/>
          <w:szCs w:val="21"/>
        </w:rPr>
      </w:pPr>
      <w:bookmarkStart w:id="335" w:name="_Toc4919"/>
      <w:r>
        <w:rPr>
          <w:rFonts w:hint="eastAsia"/>
          <w:b/>
          <w:bCs/>
          <w:color w:val="auto"/>
          <w:sz w:val="21"/>
          <w:szCs w:val="21"/>
        </w:rPr>
        <w:t>1. 投标</w:t>
      </w:r>
      <w:bookmarkEnd w:id="332"/>
      <w:r>
        <w:rPr>
          <w:rFonts w:hint="eastAsia"/>
          <w:b/>
          <w:bCs/>
          <w:color w:val="auto"/>
          <w:sz w:val="21"/>
          <w:szCs w:val="21"/>
        </w:rPr>
        <w:t>函</w:t>
      </w:r>
      <w:bookmarkEnd w:id="333"/>
      <w:bookmarkEnd w:id="335"/>
    </w:p>
    <w:p>
      <w:pPr>
        <w:adjustRightInd w:val="0"/>
        <w:snapToGrid w:val="0"/>
        <w:spacing w:before="159" w:beforeLines="50" w:line="336" w:lineRule="auto"/>
        <w:rPr>
          <w:rFonts w:ascii="宋体" w:hAnsi="宋体"/>
          <w:szCs w:val="21"/>
        </w:rPr>
      </w:pPr>
      <w:r>
        <w:rPr>
          <w:rFonts w:hint="eastAsia" w:ascii="宋体" w:hAnsi="宋体"/>
          <w:szCs w:val="21"/>
        </w:rPr>
        <w:t>致：</w:t>
      </w:r>
      <w:r>
        <w:rPr>
          <w:rFonts w:hint="eastAsia" w:ascii="宋体" w:hAnsi="宋体"/>
          <w:szCs w:val="21"/>
          <w:u w:val="single"/>
        </w:rPr>
        <w:t xml:space="preserve">            </w:t>
      </w:r>
      <w:r>
        <w:rPr>
          <w:rFonts w:hint="eastAsia" w:ascii="宋体" w:hAnsi="宋体"/>
          <w:szCs w:val="21"/>
        </w:rPr>
        <w:t>(招标人)：</w:t>
      </w:r>
    </w:p>
    <w:p>
      <w:pPr>
        <w:adjustRightInd w:val="0"/>
        <w:snapToGrid w:val="0"/>
        <w:spacing w:before="159" w:beforeLines="50" w:line="336" w:lineRule="auto"/>
        <w:ind w:firstLine="435"/>
        <w:rPr>
          <w:rFonts w:ascii="宋体" w:hAnsi="宋体"/>
          <w:szCs w:val="21"/>
        </w:rPr>
      </w:pPr>
      <w:r>
        <w:rPr>
          <w:rFonts w:hint="eastAsia" w:ascii="宋体" w:hAnsi="宋体"/>
          <w:szCs w:val="21"/>
        </w:rPr>
        <w:t>根据贵方为</w:t>
      </w:r>
      <w:r>
        <w:rPr>
          <w:rFonts w:hint="eastAsia" w:ascii="宋体" w:hAnsi="宋体"/>
          <w:szCs w:val="21"/>
          <w:u w:val="single"/>
        </w:rPr>
        <w:t xml:space="preserve">          </w:t>
      </w:r>
      <w:r>
        <w:rPr>
          <w:rFonts w:hint="eastAsia" w:ascii="宋体" w:hAnsi="宋体"/>
          <w:szCs w:val="21"/>
        </w:rPr>
        <w:t xml:space="preserve">（项目名称、项目编号）的要求，签字代表 </w:t>
      </w:r>
      <w:r>
        <w:rPr>
          <w:rFonts w:hint="eastAsia" w:ascii="宋体" w:hAnsi="宋体"/>
          <w:szCs w:val="21"/>
          <w:u w:val="single"/>
        </w:rPr>
        <w:t xml:space="preserve">        </w:t>
      </w:r>
      <w:r>
        <w:rPr>
          <w:rFonts w:hint="eastAsia" w:ascii="宋体" w:hAnsi="宋体"/>
          <w:szCs w:val="21"/>
        </w:rPr>
        <w:t>（姓名、职务）经正式授权并代表投标人</w:t>
      </w:r>
      <w:r>
        <w:rPr>
          <w:rFonts w:hint="eastAsia" w:ascii="宋体" w:hAnsi="宋体"/>
          <w:szCs w:val="21"/>
          <w:u w:val="single"/>
        </w:rPr>
        <w:t xml:space="preserve">       </w:t>
      </w:r>
      <w:r>
        <w:rPr>
          <w:rFonts w:hint="eastAsia" w:ascii="宋体" w:hAnsi="宋体"/>
          <w:szCs w:val="21"/>
        </w:rPr>
        <w:t>（投标人名称、地址）提交下述文件正本</w:t>
      </w:r>
      <w:r>
        <w:rPr>
          <w:rFonts w:hint="eastAsia" w:ascii="宋体" w:hAnsi="宋体"/>
          <w:szCs w:val="21"/>
          <w:u w:val="single"/>
        </w:rPr>
        <w:t xml:space="preserve">      </w:t>
      </w:r>
      <w:r>
        <w:rPr>
          <w:rFonts w:hint="eastAsia" w:ascii="宋体" w:hAnsi="宋体"/>
          <w:szCs w:val="21"/>
        </w:rPr>
        <w:t>份、副本</w:t>
      </w:r>
      <w:r>
        <w:rPr>
          <w:rFonts w:hint="eastAsia" w:ascii="宋体" w:hAnsi="宋体"/>
          <w:szCs w:val="21"/>
          <w:u w:val="single"/>
        </w:rPr>
        <w:t xml:space="preserve">    </w:t>
      </w:r>
      <w:r>
        <w:rPr>
          <w:rFonts w:hint="eastAsia" w:ascii="宋体" w:hAnsi="宋体"/>
          <w:szCs w:val="21"/>
        </w:rPr>
        <w:t>份（电子版投标文件光盘</w:t>
      </w:r>
      <w:r>
        <w:rPr>
          <w:rFonts w:hint="eastAsia" w:ascii="宋体" w:hAnsi="宋体"/>
          <w:szCs w:val="21"/>
          <w:u w:val="single"/>
        </w:rPr>
        <w:t xml:space="preserve">   </w:t>
      </w:r>
      <w:r>
        <w:rPr>
          <w:rFonts w:hint="eastAsia" w:ascii="宋体" w:hAnsi="宋体"/>
          <w:szCs w:val="21"/>
        </w:rPr>
        <w:t>份，U盘</w:t>
      </w:r>
      <w:r>
        <w:rPr>
          <w:rFonts w:hint="eastAsia" w:ascii="宋体" w:hAnsi="宋体"/>
          <w:szCs w:val="21"/>
          <w:u w:val="single"/>
        </w:rPr>
        <w:t xml:space="preserve">   份</w:t>
      </w:r>
      <w:r>
        <w:rPr>
          <w:rFonts w:hint="eastAsia" w:ascii="宋体" w:hAnsi="宋体"/>
          <w:szCs w:val="21"/>
        </w:rPr>
        <w:t>）并在此声明，所递交的投标文件内容完整、真实。</w:t>
      </w:r>
    </w:p>
    <w:p>
      <w:pPr>
        <w:adjustRightInd w:val="0"/>
        <w:snapToGrid w:val="0"/>
        <w:spacing w:before="159" w:beforeLines="50" w:line="336" w:lineRule="auto"/>
        <w:ind w:firstLine="420" w:firstLineChars="200"/>
        <w:rPr>
          <w:rFonts w:ascii="宋体" w:hAnsi="宋体"/>
          <w:szCs w:val="21"/>
        </w:rPr>
      </w:pPr>
      <w:r>
        <w:rPr>
          <w:rFonts w:hint="eastAsia" w:ascii="宋体" w:hAnsi="宋体"/>
          <w:szCs w:val="21"/>
        </w:rPr>
        <w:t>在此，签字代表承诺如下：</w:t>
      </w:r>
    </w:p>
    <w:p>
      <w:pPr>
        <w:adjustRightInd w:val="0"/>
        <w:snapToGrid w:val="0"/>
        <w:spacing w:before="159" w:beforeLines="50" w:line="336" w:lineRule="auto"/>
        <w:ind w:firstLine="420" w:firstLineChars="200"/>
        <w:rPr>
          <w:rFonts w:ascii="宋体" w:hAnsi="宋体"/>
          <w:szCs w:val="21"/>
        </w:rPr>
      </w:pPr>
      <w:r>
        <w:rPr>
          <w:rFonts w:hint="eastAsia" w:ascii="宋体" w:hAnsi="宋体"/>
          <w:szCs w:val="21"/>
        </w:rPr>
        <w:t>1、我方在详细阅读招标文件各项要求，根据对应采购内容及采购要求规定愿以投标总价：￥</w:t>
      </w:r>
      <w:r>
        <w:rPr>
          <w:rFonts w:hint="eastAsia" w:ascii="宋体" w:hAnsi="宋体"/>
          <w:szCs w:val="21"/>
          <w:u w:val="single"/>
        </w:rPr>
        <w:t xml:space="preserve">           </w:t>
      </w:r>
      <w:r>
        <w:rPr>
          <w:rFonts w:hint="eastAsia" w:ascii="宋体" w:hAnsi="宋体"/>
          <w:szCs w:val="21"/>
        </w:rPr>
        <w:t>(人民币大写：</w:t>
      </w:r>
      <w:r>
        <w:rPr>
          <w:rFonts w:hint="eastAsia" w:ascii="宋体" w:hAnsi="宋体"/>
          <w:szCs w:val="21"/>
          <w:u w:val="single"/>
        </w:rPr>
        <w:t xml:space="preserve">           </w:t>
      </w:r>
      <w:r>
        <w:rPr>
          <w:rFonts w:hint="eastAsia" w:ascii="宋体" w:hAnsi="宋体"/>
          <w:szCs w:val="21"/>
        </w:rPr>
        <w:t>)完成本项目全部货物、运输、安装、培训及相关服务。</w:t>
      </w:r>
    </w:p>
    <w:p>
      <w:pPr>
        <w:adjustRightInd w:val="0"/>
        <w:snapToGrid w:val="0"/>
        <w:spacing w:before="159" w:beforeLines="50" w:line="336" w:lineRule="auto"/>
        <w:ind w:firstLine="420" w:firstLineChars="200"/>
        <w:rPr>
          <w:rFonts w:ascii="宋体" w:hAnsi="宋体"/>
          <w:szCs w:val="21"/>
        </w:rPr>
      </w:pPr>
      <w:r>
        <w:rPr>
          <w:rFonts w:hint="eastAsia" w:ascii="宋体" w:hAnsi="宋体"/>
          <w:szCs w:val="21"/>
        </w:rPr>
        <w:t>2、我方将按招标文件的规定履行合同责任和义务。</w:t>
      </w:r>
    </w:p>
    <w:p>
      <w:pPr>
        <w:adjustRightInd w:val="0"/>
        <w:snapToGrid w:val="0"/>
        <w:spacing w:before="159" w:beforeLines="50" w:line="336" w:lineRule="auto"/>
        <w:ind w:firstLine="420" w:firstLineChars="200"/>
        <w:rPr>
          <w:rFonts w:ascii="宋体" w:hAnsi="宋体"/>
          <w:szCs w:val="21"/>
        </w:rPr>
      </w:pPr>
      <w:r>
        <w:rPr>
          <w:rFonts w:hint="eastAsia" w:ascii="宋体" w:hAnsi="宋体"/>
          <w:szCs w:val="21"/>
        </w:rPr>
        <w:t>3、我方已详细审查全部招标文件，我们完全理解并同意放弃对这方面有不明及误解的权力。</w:t>
      </w:r>
    </w:p>
    <w:p>
      <w:pPr>
        <w:adjustRightInd w:val="0"/>
        <w:snapToGrid w:val="0"/>
        <w:spacing w:before="159" w:beforeLines="50" w:line="336" w:lineRule="auto"/>
        <w:ind w:firstLine="420" w:firstLineChars="200"/>
        <w:rPr>
          <w:rFonts w:ascii="宋体" w:hAnsi="宋体"/>
          <w:szCs w:val="21"/>
        </w:rPr>
      </w:pPr>
      <w:r>
        <w:rPr>
          <w:rFonts w:hint="eastAsia" w:ascii="宋体" w:hAnsi="宋体"/>
          <w:szCs w:val="21"/>
        </w:rPr>
        <w:t>4、本投标有效期为自招标文件规定的提交投标文件截止之日起</w:t>
      </w:r>
      <w:r>
        <w:rPr>
          <w:rFonts w:hint="eastAsia" w:ascii="宋体" w:hAnsi="宋体"/>
          <w:szCs w:val="21"/>
          <w:u w:val="single"/>
        </w:rPr>
        <w:t xml:space="preserve">    </w:t>
      </w:r>
      <w:r>
        <w:rPr>
          <w:rFonts w:hint="eastAsia" w:ascii="宋体" w:hAnsi="宋体"/>
          <w:szCs w:val="21"/>
        </w:rPr>
        <w:t>个日历天。在投标有效期内我方同意遵守本投标文件中的承诺且在此期限期满之前投标文件对我方具有法律约束力。</w:t>
      </w:r>
    </w:p>
    <w:p>
      <w:pPr>
        <w:adjustRightInd w:val="0"/>
        <w:snapToGrid w:val="0"/>
        <w:spacing w:before="159" w:beforeLines="50" w:line="336" w:lineRule="auto"/>
        <w:ind w:firstLine="420" w:firstLineChars="200"/>
        <w:rPr>
          <w:rFonts w:ascii="宋体" w:hAnsi="宋体"/>
          <w:szCs w:val="21"/>
        </w:rPr>
      </w:pPr>
      <w:r>
        <w:rPr>
          <w:rFonts w:hint="eastAsia" w:ascii="宋体" w:hAnsi="宋体"/>
          <w:szCs w:val="21"/>
        </w:rPr>
        <w:t>5、若我方取得中标资格，愿以本项目招标文件规定，向招标代理机构缴纳招标代理服务费</w:t>
      </w:r>
      <w:r>
        <w:rPr>
          <w:rFonts w:ascii="宋体" w:hAnsi="宋体"/>
          <w:szCs w:val="21"/>
        </w:rPr>
        <w:t>。</w:t>
      </w:r>
    </w:p>
    <w:p>
      <w:pPr>
        <w:adjustRightInd w:val="0"/>
        <w:snapToGrid w:val="0"/>
        <w:spacing w:before="159" w:beforeLines="50" w:line="336" w:lineRule="auto"/>
        <w:ind w:firstLine="420" w:firstLineChars="200"/>
        <w:rPr>
          <w:rFonts w:ascii="宋体" w:hAnsi="宋体"/>
          <w:szCs w:val="21"/>
        </w:rPr>
      </w:pPr>
      <w:r>
        <w:rPr>
          <w:rFonts w:hint="eastAsia" w:ascii="宋体" w:hAnsi="宋体"/>
          <w:szCs w:val="21"/>
        </w:rPr>
        <w:t>6、我方同意提供贵方可能要求的与其投标有关的一切数据或资料。</w:t>
      </w:r>
    </w:p>
    <w:p>
      <w:pPr>
        <w:adjustRightInd w:val="0"/>
        <w:snapToGrid w:val="0"/>
        <w:spacing w:before="159" w:beforeLines="50" w:line="336" w:lineRule="auto"/>
        <w:ind w:firstLine="420" w:firstLineChars="200"/>
        <w:rPr>
          <w:rFonts w:ascii="宋体" w:hAnsi="宋体"/>
          <w:szCs w:val="21"/>
        </w:rPr>
      </w:pPr>
      <w:r>
        <w:rPr>
          <w:rFonts w:hint="eastAsia" w:ascii="宋体" w:hAnsi="宋体"/>
          <w:szCs w:val="21"/>
        </w:rPr>
        <w:t>7、与本投标有关的一切正式往来信函请寄：</w:t>
      </w:r>
    </w:p>
    <w:p>
      <w:pPr>
        <w:adjustRightInd w:val="0"/>
        <w:snapToGrid w:val="0"/>
        <w:spacing w:before="159" w:beforeLines="50" w:line="336" w:lineRule="auto"/>
        <w:rPr>
          <w:rFonts w:ascii="宋体" w:hAnsi="宋体"/>
          <w:szCs w:val="21"/>
        </w:rPr>
      </w:pPr>
      <w:r>
        <w:rPr>
          <w:rFonts w:hint="eastAsia" w:ascii="宋体" w:hAnsi="宋体"/>
          <w:szCs w:val="21"/>
        </w:rPr>
        <w:t xml:space="preserve">       地址：</w:t>
      </w:r>
      <w:r>
        <w:rPr>
          <w:rFonts w:hint="eastAsia" w:ascii="宋体" w:hAnsi="宋体"/>
          <w:szCs w:val="21"/>
          <w:u w:val="single"/>
        </w:rPr>
        <w:t xml:space="preserve">             </w:t>
      </w:r>
      <w:r>
        <w:rPr>
          <w:rFonts w:hint="eastAsia" w:ascii="宋体" w:hAnsi="宋体"/>
          <w:szCs w:val="21"/>
        </w:rPr>
        <w:t xml:space="preserve"> 邮编：</w:t>
      </w:r>
      <w:r>
        <w:rPr>
          <w:rFonts w:hint="eastAsia" w:ascii="宋体" w:hAnsi="宋体"/>
          <w:szCs w:val="21"/>
          <w:u w:val="single"/>
        </w:rPr>
        <w:t xml:space="preserve">        </w:t>
      </w:r>
      <w:r>
        <w:rPr>
          <w:rFonts w:hint="eastAsia" w:ascii="宋体" w:hAnsi="宋体"/>
          <w:szCs w:val="21"/>
        </w:rPr>
        <w:t xml:space="preserve"> 电话：</w:t>
      </w:r>
      <w:r>
        <w:rPr>
          <w:rFonts w:hint="eastAsia" w:ascii="宋体" w:hAnsi="宋体"/>
          <w:szCs w:val="21"/>
          <w:u w:val="single"/>
        </w:rPr>
        <w:t xml:space="preserve">             </w:t>
      </w:r>
      <w:r>
        <w:rPr>
          <w:rFonts w:hint="eastAsia" w:ascii="宋体" w:hAnsi="宋体"/>
          <w:szCs w:val="21"/>
        </w:rPr>
        <w:t xml:space="preserve"> 传真：</w:t>
      </w:r>
      <w:r>
        <w:rPr>
          <w:rFonts w:hint="eastAsia" w:ascii="宋体" w:hAnsi="宋体"/>
          <w:szCs w:val="21"/>
          <w:u w:val="single"/>
        </w:rPr>
        <w:t xml:space="preserve">        </w:t>
      </w:r>
      <w:r>
        <w:rPr>
          <w:rFonts w:hint="eastAsia" w:ascii="宋体" w:hAnsi="宋体"/>
          <w:szCs w:val="21"/>
        </w:rPr>
        <w:t xml:space="preserve"> </w:t>
      </w:r>
    </w:p>
    <w:p>
      <w:pPr>
        <w:pStyle w:val="19"/>
        <w:adjustRightInd w:val="0"/>
        <w:snapToGrid w:val="0"/>
        <w:spacing w:before="159" w:beforeLines="50" w:line="336" w:lineRule="auto"/>
        <w:ind w:left="2108" w:leftChars="1004"/>
        <w:rPr>
          <w:rFonts w:hAnsi="宋体"/>
          <w:szCs w:val="21"/>
        </w:rPr>
      </w:pPr>
    </w:p>
    <w:p>
      <w:pPr>
        <w:pStyle w:val="19"/>
        <w:adjustRightInd w:val="0"/>
        <w:snapToGrid w:val="0"/>
        <w:spacing w:before="159" w:beforeLines="50" w:line="336" w:lineRule="auto"/>
        <w:ind w:left="2108" w:leftChars="1004"/>
        <w:rPr>
          <w:rFonts w:hAnsi="宋体"/>
          <w:szCs w:val="21"/>
          <w:u w:val="single"/>
        </w:rPr>
      </w:pPr>
      <w:r>
        <w:rPr>
          <w:rFonts w:hint="eastAsia" w:hAnsi="宋体"/>
          <w:szCs w:val="21"/>
        </w:rPr>
        <w:t>投标人名称(盖公章)：</w:t>
      </w:r>
      <w:r>
        <w:rPr>
          <w:rFonts w:hint="eastAsia" w:hAnsi="宋体"/>
          <w:szCs w:val="21"/>
          <w:u w:val="single"/>
        </w:rPr>
        <w:t xml:space="preserve">                            </w:t>
      </w:r>
    </w:p>
    <w:p>
      <w:pPr>
        <w:adjustRightInd w:val="0"/>
        <w:snapToGrid w:val="0"/>
        <w:spacing w:before="159" w:beforeLines="50" w:line="336" w:lineRule="auto"/>
        <w:ind w:left="2108" w:leftChars="1004"/>
        <w:rPr>
          <w:rFonts w:ascii="宋体" w:hAnsi="宋体"/>
          <w:szCs w:val="21"/>
          <w:u w:val="single"/>
        </w:rPr>
      </w:pPr>
      <w:r>
        <w:rPr>
          <w:rFonts w:hint="eastAsia" w:ascii="宋体" w:hAnsi="宋体"/>
          <w:szCs w:val="21"/>
        </w:rPr>
        <w:t>法定代表人或其授权的代理人(签字)：</w:t>
      </w:r>
      <w:r>
        <w:rPr>
          <w:rFonts w:hint="eastAsia" w:ascii="宋体" w:hAnsi="宋体"/>
          <w:szCs w:val="21"/>
          <w:u w:val="single"/>
        </w:rPr>
        <w:t xml:space="preserve">               </w:t>
      </w:r>
    </w:p>
    <w:p>
      <w:pPr>
        <w:adjustRightInd w:val="0"/>
        <w:snapToGrid w:val="0"/>
        <w:spacing w:before="159" w:beforeLines="50" w:line="336" w:lineRule="auto"/>
        <w:ind w:left="2108" w:leftChars="1004"/>
        <w:rPr>
          <w:rFonts w:ascii="宋体" w:hAnsi="宋体"/>
          <w:szCs w:val="21"/>
        </w:rPr>
      </w:pPr>
      <w:r>
        <w:rPr>
          <w:rFonts w:hint="eastAsia" w:ascii="宋体" w:hAnsi="宋体"/>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68"/>
        <w:snapToGrid w:val="0"/>
        <w:spacing w:line="440" w:lineRule="exact"/>
        <w:ind w:firstLine="420" w:firstLineChars="200"/>
        <w:jc w:val="center"/>
        <w:rPr>
          <w:color w:val="auto"/>
          <w:sz w:val="21"/>
          <w:szCs w:val="21"/>
        </w:rPr>
      </w:pPr>
    </w:p>
    <w:p>
      <w:pPr>
        <w:pStyle w:val="68"/>
        <w:snapToGrid w:val="0"/>
        <w:spacing w:line="360" w:lineRule="auto"/>
        <w:ind w:firstLine="630"/>
        <w:jc w:val="both"/>
        <w:rPr>
          <w:rFonts w:ascii="宋体" w:hAnsi="宋体"/>
          <w:color w:val="auto"/>
          <w:sz w:val="21"/>
          <w:szCs w:val="21"/>
        </w:rPr>
      </w:pPr>
    </w:p>
    <w:p>
      <w:pPr>
        <w:pStyle w:val="68"/>
        <w:snapToGrid w:val="0"/>
        <w:spacing w:line="360" w:lineRule="auto"/>
        <w:ind w:firstLine="630"/>
        <w:jc w:val="both"/>
        <w:rPr>
          <w:rFonts w:ascii="宋体" w:hAnsi="宋体"/>
          <w:color w:val="auto"/>
          <w:sz w:val="21"/>
          <w:szCs w:val="21"/>
        </w:rPr>
      </w:pPr>
    </w:p>
    <w:p>
      <w:pPr>
        <w:pStyle w:val="2"/>
        <w:spacing w:before="0" w:after="40"/>
        <w:jc w:val="center"/>
        <w:rPr>
          <w:rFonts w:ascii="宋体" w:hAnsi="宋体"/>
          <w:szCs w:val="21"/>
        </w:rPr>
      </w:pPr>
      <w:r>
        <w:rPr>
          <w:rFonts w:ascii="宋体" w:hAnsi="宋体"/>
          <w:szCs w:val="21"/>
        </w:rPr>
        <w:br w:type="page"/>
      </w:r>
      <w:bookmarkStart w:id="336" w:name="_Toc24944"/>
      <w:bookmarkStart w:id="337" w:name="_Toc23220"/>
      <w:r>
        <w:rPr>
          <w:rFonts w:hint="eastAsia" w:ascii="Times New Roman" w:hAnsi="Times New Roman" w:eastAsia="宋体"/>
          <w:kern w:val="0"/>
          <w:sz w:val="21"/>
          <w:szCs w:val="21"/>
        </w:rPr>
        <w:t>2.投标报价一览表</w:t>
      </w:r>
      <w:bookmarkEnd w:id="336"/>
      <w:r>
        <w:rPr>
          <w:rFonts w:hint="eastAsia" w:ascii="宋体" w:hAnsi="宋体"/>
          <w:szCs w:val="21"/>
        </w:rPr>
        <w:t xml:space="preserve"> </w:t>
      </w:r>
    </w:p>
    <w:p>
      <w:pPr>
        <w:adjustRightInd w:val="0"/>
        <w:snapToGrid w:val="0"/>
        <w:ind w:left="-88" w:leftChars="-42" w:firstLine="420" w:firstLineChars="200"/>
        <w:jc w:val="right"/>
        <w:rPr>
          <w:rFonts w:ascii="宋体" w:hAnsi="宋体"/>
          <w:szCs w:val="21"/>
        </w:rPr>
      </w:pPr>
      <w:r>
        <w:rPr>
          <w:rFonts w:hint="eastAsia" w:ascii="宋体" w:hAnsi="宋体"/>
          <w:szCs w:val="21"/>
        </w:rPr>
        <w:t xml:space="preserve"> </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3074"/>
        <w:gridCol w:w="1985"/>
        <w:gridCol w:w="2417"/>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5" w:hRule="atLeast"/>
          <w:jc w:val="center"/>
        </w:trPr>
        <w:tc>
          <w:tcPr>
            <w:tcW w:w="3074" w:type="dxa"/>
            <w:vAlign w:val="center"/>
          </w:tcPr>
          <w:p>
            <w:pPr>
              <w:spacing w:line="360" w:lineRule="auto"/>
              <w:jc w:val="center"/>
              <w:rPr>
                <w:rFonts w:ascii="宋体" w:hAnsi="宋体" w:cs="宋体"/>
                <w:sz w:val="24"/>
              </w:rPr>
            </w:pPr>
            <w:r>
              <w:rPr>
                <w:rFonts w:hint="eastAsia" w:ascii="宋体" w:hAnsi="宋体" w:cs="宋体"/>
                <w:sz w:val="24"/>
              </w:rPr>
              <w:t>项目名称</w:t>
            </w:r>
          </w:p>
        </w:tc>
        <w:tc>
          <w:tcPr>
            <w:tcW w:w="1985" w:type="dxa"/>
            <w:vAlign w:val="center"/>
          </w:tcPr>
          <w:p>
            <w:pPr>
              <w:spacing w:line="360" w:lineRule="auto"/>
              <w:jc w:val="center"/>
              <w:rPr>
                <w:rFonts w:ascii="宋体" w:hAnsi="宋体" w:cs="宋体"/>
                <w:sz w:val="24"/>
              </w:rPr>
            </w:pPr>
            <w:r>
              <w:rPr>
                <w:rFonts w:hint="eastAsia" w:ascii="宋体" w:hAnsi="宋体" w:cs="宋体"/>
                <w:sz w:val="24"/>
              </w:rPr>
              <w:t>投标报价（元）</w:t>
            </w:r>
          </w:p>
        </w:tc>
        <w:tc>
          <w:tcPr>
            <w:tcW w:w="2417" w:type="dxa"/>
            <w:vAlign w:val="center"/>
          </w:tcPr>
          <w:p>
            <w:pPr>
              <w:spacing w:line="360" w:lineRule="auto"/>
              <w:jc w:val="center"/>
              <w:rPr>
                <w:rFonts w:ascii="宋体" w:hAnsi="宋体" w:cs="宋体"/>
                <w:sz w:val="24"/>
              </w:rPr>
            </w:pPr>
            <w:r>
              <w:rPr>
                <w:rFonts w:hint="eastAsia" w:ascii="宋体" w:hAnsi="宋体" w:cs="宋体"/>
                <w:sz w:val="24"/>
              </w:rPr>
              <w:t>供货期(日历天)</w:t>
            </w:r>
          </w:p>
        </w:tc>
        <w:tc>
          <w:tcPr>
            <w:tcW w:w="1764" w:type="dxa"/>
            <w:vAlign w:val="center"/>
          </w:tcPr>
          <w:p>
            <w:pPr>
              <w:spacing w:line="360" w:lineRule="auto"/>
              <w:jc w:val="center"/>
              <w:rPr>
                <w:rFonts w:ascii="宋体" w:hAnsi="宋体" w:cs="宋体"/>
                <w:sz w:val="24"/>
              </w:rPr>
            </w:pPr>
            <w:r>
              <w:rPr>
                <w:rFonts w:hint="eastAsia" w:ascii="宋体" w:hAnsi="宋体" w:cs="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74" w:hRule="atLeast"/>
          <w:jc w:val="center"/>
        </w:trPr>
        <w:tc>
          <w:tcPr>
            <w:tcW w:w="3074" w:type="dxa"/>
            <w:vAlign w:val="center"/>
          </w:tcPr>
          <w:p>
            <w:pPr>
              <w:spacing w:line="360" w:lineRule="auto"/>
              <w:jc w:val="center"/>
              <w:rPr>
                <w:rFonts w:ascii="宋体" w:hAnsi="宋体" w:cs="宋体"/>
                <w:sz w:val="24"/>
              </w:rPr>
            </w:pPr>
          </w:p>
        </w:tc>
        <w:tc>
          <w:tcPr>
            <w:tcW w:w="1985" w:type="dxa"/>
            <w:vAlign w:val="center"/>
          </w:tcPr>
          <w:p>
            <w:pPr>
              <w:spacing w:line="360" w:lineRule="auto"/>
              <w:jc w:val="center"/>
              <w:rPr>
                <w:rFonts w:ascii="宋体" w:hAnsi="宋体" w:cs="宋体"/>
                <w:sz w:val="24"/>
              </w:rPr>
            </w:pPr>
            <w:r>
              <w:rPr>
                <w:rFonts w:hint="eastAsia" w:ascii="宋体" w:hAnsi="宋体" w:cs="宋体"/>
                <w:sz w:val="24"/>
              </w:rPr>
              <w:t>小写：</w:t>
            </w:r>
          </w:p>
          <w:p>
            <w:pPr>
              <w:spacing w:line="360" w:lineRule="auto"/>
              <w:jc w:val="center"/>
              <w:rPr>
                <w:rFonts w:ascii="宋体" w:hAnsi="宋体" w:cs="宋体"/>
                <w:sz w:val="24"/>
              </w:rPr>
            </w:pPr>
            <w:r>
              <w:rPr>
                <w:rFonts w:hint="eastAsia" w:ascii="宋体" w:hAnsi="宋体" w:cs="宋体"/>
                <w:sz w:val="24"/>
              </w:rPr>
              <w:t>大写：</w:t>
            </w:r>
          </w:p>
        </w:tc>
        <w:tc>
          <w:tcPr>
            <w:tcW w:w="2417" w:type="dxa"/>
            <w:vAlign w:val="center"/>
          </w:tcPr>
          <w:p>
            <w:pPr>
              <w:spacing w:line="360" w:lineRule="auto"/>
              <w:jc w:val="center"/>
              <w:rPr>
                <w:rFonts w:ascii="宋体" w:hAnsi="宋体" w:cs="宋体"/>
                <w:sz w:val="24"/>
              </w:rPr>
            </w:pPr>
          </w:p>
        </w:tc>
        <w:tc>
          <w:tcPr>
            <w:tcW w:w="1764" w:type="dxa"/>
            <w:vAlign w:val="center"/>
          </w:tcPr>
          <w:p>
            <w:pPr>
              <w:spacing w:line="360" w:lineRule="auto"/>
              <w:jc w:val="center"/>
              <w:rPr>
                <w:rFonts w:ascii="宋体" w:hAnsi="宋体" w:cs="宋体"/>
                <w:sz w:val="24"/>
              </w:rPr>
            </w:pPr>
          </w:p>
        </w:tc>
      </w:tr>
    </w:tbl>
    <w:p>
      <w:pPr>
        <w:adjustRightInd w:val="0"/>
        <w:snapToGrid w:val="0"/>
        <w:ind w:left="2480" w:leftChars="1181"/>
        <w:rPr>
          <w:rFonts w:ascii="宋体" w:hAnsi="宋体"/>
          <w:szCs w:val="21"/>
        </w:rPr>
      </w:pPr>
    </w:p>
    <w:p>
      <w:pPr>
        <w:adjustRightInd w:val="0"/>
        <w:snapToGrid w:val="0"/>
        <w:ind w:left="1611" w:leftChars="767"/>
        <w:rPr>
          <w:rFonts w:ascii="宋体" w:hAnsi="宋体"/>
          <w:szCs w:val="21"/>
          <w:u w:val="single"/>
        </w:rPr>
      </w:pPr>
      <w:r>
        <w:rPr>
          <w:rFonts w:hint="eastAsia" w:ascii="宋体" w:hAnsi="宋体"/>
          <w:szCs w:val="21"/>
        </w:rPr>
        <w:t>投标人名称（盖公章）：</w:t>
      </w:r>
      <w:r>
        <w:rPr>
          <w:rFonts w:hint="eastAsia" w:ascii="宋体" w:hAnsi="宋体"/>
          <w:szCs w:val="21"/>
          <w:u w:val="single"/>
        </w:rPr>
        <w:t xml:space="preserve">                            </w:t>
      </w:r>
      <w:r>
        <w:rPr>
          <w:rFonts w:hint="eastAsia" w:ascii="宋体" w:hAnsi="宋体"/>
          <w:szCs w:val="21"/>
        </w:rPr>
        <w:t>_</w:t>
      </w:r>
    </w:p>
    <w:p>
      <w:pPr>
        <w:adjustRightInd w:val="0"/>
        <w:snapToGrid w:val="0"/>
        <w:ind w:left="1611" w:leftChars="767"/>
        <w:rPr>
          <w:rFonts w:ascii="宋体" w:hAnsi="宋体"/>
          <w:szCs w:val="21"/>
        </w:rPr>
      </w:pPr>
    </w:p>
    <w:p>
      <w:pPr>
        <w:adjustRightInd w:val="0"/>
        <w:snapToGrid w:val="0"/>
        <w:ind w:left="1611" w:leftChars="767"/>
        <w:rPr>
          <w:rFonts w:ascii="宋体" w:hAnsi="宋体"/>
          <w:szCs w:val="21"/>
          <w:u w:val="single"/>
        </w:rPr>
      </w:pPr>
      <w:r>
        <w:rPr>
          <w:rFonts w:hint="eastAsia" w:ascii="宋体" w:hAnsi="宋体"/>
          <w:szCs w:val="21"/>
        </w:rPr>
        <w:t>法定代表人或其授权委托人(签字)：</w:t>
      </w:r>
      <w:r>
        <w:rPr>
          <w:rFonts w:hint="eastAsia" w:ascii="宋体" w:hAnsi="宋体"/>
          <w:szCs w:val="21"/>
          <w:u w:val="single"/>
        </w:rPr>
        <w:t xml:space="preserve">        </w:t>
      </w:r>
      <w:r>
        <w:rPr>
          <w:rFonts w:hint="eastAsia" w:ascii="宋体" w:hAnsi="宋体"/>
          <w:szCs w:val="21"/>
        </w:rPr>
        <w:t>_</w:t>
      </w:r>
    </w:p>
    <w:p>
      <w:pPr>
        <w:adjustRightInd w:val="0"/>
        <w:snapToGrid w:val="0"/>
        <w:ind w:left="1611" w:leftChars="767"/>
        <w:rPr>
          <w:rFonts w:ascii="宋体" w:hAnsi="宋体"/>
          <w:szCs w:val="21"/>
        </w:rPr>
      </w:pPr>
    </w:p>
    <w:p>
      <w:pPr>
        <w:adjustRightInd w:val="0"/>
        <w:snapToGrid w:val="0"/>
        <w:ind w:left="1611" w:leftChars="767"/>
        <w:rPr>
          <w:rFonts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adjustRightInd w:val="0"/>
        <w:snapToGrid w:val="0"/>
        <w:spacing w:line="288" w:lineRule="auto"/>
        <w:ind w:left="425"/>
        <w:jc w:val="left"/>
        <w:rPr>
          <w:rFonts w:ascii="宋体" w:hAnsi="宋体"/>
          <w:b/>
          <w:sz w:val="18"/>
          <w:szCs w:val="18"/>
        </w:rPr>
      </w:pPr>
      <w:r>
        <w:rPr>
          <w:rFonts w:hint="eastAsia" w:ascii="宋体" w:hAnsi="宋体"/>
          <w:b/>
          <w:sz w:val="18"/>
          <w:szCs w:val="18"/>
        </w:rPr>
        <w:t>说明：</w:t>
      </w:r>
    </w:p>
    <w:p>
      <w:pPr>
        <w:adjustRightInd w:val="0"/>
        <w:snapToGrid w:val="0"/>
        <w:spacing w:line="288" w:lineRule="auto"/>
        <w:ind w:left="425"/>
        <w:jc w:val="left"/>
        <w:rPr>
          <w:b/>
          <w:sz w:val="18"/>
          <w:szCs w:val="18"/>
        </w:rPr>
      </w:pPr>
      <w:r>
        <w:rPr>
          <w:rFonts w:hint="eastAsia"/>
          <w:b/>
          <w:sz w:val="18"/>
          <w:szCs w:val="18"/>
        </w:rPr>
        <w:t>1、请严格按此“投标报价一览表”格式填写，投标人报价时应详细阅读招标文件报价要求并自行考虑市场风险以及价格合理性。</w:t>
      </w:r>
    </w:p>
    <w:p>
      <w:pPr>
        <w:adjustRightInd w:val="0"/>
        <w:snapToGrid w:val="0"/>
        <w:spacing w:line="288" w:lineRule="auto"/>
        <w:ind w:left="425"/>
        <w:jc w:val="left"/>
        <w:rPr>
          <w:b/>
          <w:sz w:val="18"/>
          <w:szCs w:val="18"/>
        </w:rPr>
      </w:pPr>
      <w:r>
        <w:rPr>
          <w:rFonts w:hint="eastAsia"/>
          <w:b/>
          <w:sz w:val="18"/>
          <w:szCs w:val="18"/>
        </w:rPr>
        <w:t>2、合价之和即为投标总报价，合价依据为分项价格表计算得出。</w:t>
      </w:r>
    </w:p>
    <w:p>
      <w:pPr>
        <w:adjustRightInd w:val="0"/>
        <w:snapToGrid w:val="0"/>
        <w:spacing w:line="288" w:lineRule="auto"/>
        <w:ind w:left="425"/>
        <w:jc w:val="left"/>
        <w:rPr>
          <w:b/>
          <w:sz w:val="18"/>
          <w:szCs w:val="18"/>
        </w:rPr>
      </w:pPr>
      <w:r>
        <w:rPr>
          <w:rFonts w:hint="eastAsia"/>
          <w:b/>
          <w:sz w:val="18"/>
          <w:szCs w:val="18"/>
        </w:rPr>
        <w:t>3、投标报价一览表中投标总报价应与投标函一致。</w:t>
      </w:r>
    </w:p>
    <w:p>
      <w:pPr>
        <w:pStyle w:val="2"/>
      </w:pPr>
    </w:p>
    <w:p/>
    <w:p>
      <w:pPr>
        <w:pStyle w:val="2"/>
        <w:spacing w:before="0" w:after="40"/>
        <w:jc w:val="center"/>
        <w:rPr>
          <w:rFonts w:hint="eastAsia" w:ascii="Times New Roman" w:hAnsi="Times New Roman" w:eastAsia="宋体"/>
          <w:kern w:val="0"/>
          <w:sz w:val="21"/>
          <w:szCs w:val="21"/>
        </w:rPr>
      </w:pPr>
      <w:bookmarkStart w:id="338" w:name="_Toc21470"/>
      <w:bookmarkStart w:id="339" w:name="_Toc12961"/>
      <w:bookmarkStart w:id="340" w:name="_Toc14072"/>
      <w:bookmarkStart w:id="341" w:name="_Toc17204499"/>
      <w:bookmarkStart w:id="342" w:name="_Toc385671125"/>
      <w:bookmarkStart w:id="343" w:name="_Toc515570484"/>
      <w:bookmarkStart w:id="344" w:name="_Toc515525232"/>
    </w:p>
    <w:p>
      <w:pPr>
        <w:pStyle w:val="2"/>
        <w:spacing w:before="0" w:after="40"/>
        <w:jc w:val="center"/>
        <w:rPr>
          <w:rFonts w:hint="eastAsia" w:ascii="Times New Roman" w:hAnsi="Times New Roman" w:eastAsia="宋体"/>
          <w:kern w:val="0"/>
          <w:sz w:val="21"/>
          <w:szCs w:val="21"/>
        </w:rPr>
      </w:pPr>
    </w:p>
    <w:p>
      <w:pPr>
        <w:pStyle w:val="2"/>
        <w:spacing w:before="0" w:after="40"/>
        <w:jc w:val="center"/>
        <w:rPr>
          <w:rFonts w:hint="eastAsia" w:ascii="Times New Roman" w:hAnsi="Times New Roman" w:eastAsia="宋体"/>
          <w:kern w:val="0"/>
          <w:sz w:val="21"/>
          <w:szCs w:val="21"/>
        </w:rPr>
      </w:pPr>
    </w:p>
    <w:p>
      <w:pPr>
        <w:pStyle w:val="2"/>
        <w:spacing w:before="0" w:after="40"/>
        <w:jc w:val="center"/>
        <w:rPr>
          <w:rFonts w:hint="eastAsia" w:ascii="Times New Roman" w:hAnsi="Times New Roman" w:eastAsia="宋体"/>
          <w:kern w:val="0"/>
          <w:sz w:val="21"/>
          <w:szCs w:val="21"/>
        </w:rPr>
      </w:pPr>
    </w:p>
    <w:p>
      <w:pPr>
        <w:pStyle w:val="2"/>
        <w:spacing w:before="0" w:after="40"/>
        <w:jc w:val="center"/>
        <w:rPr>
          <w:rFonts w:hint="eastAsia" w:ascii="Times New Roman" w:hAnsi="Times New Roman" w:eastAsia="宋体"/>
          <w:kern w:val="0"/>
          <w:sz w:val="21"/>
          <w:szCs w:val="21"/>
        </w:rPr>
      </w:pPr>
    </w:p>
    <w:p>
      <w:pPr>
        <w:pStyle w:val="2"/>
        <w:spacing w:before="0" w:after="40"/>
        <w:jc w:val="center"/>
        <w:rPr>
          <w:rFonts w:hint="eastAsia" w:ascii="Times New Roman" w:hAnsi="Times New Roman" w:eastAsia="宋体"/>
          <w:kern w:val="0"/>
          <w:sz w:val="21"/>
          <w:szCs w:val="21"/>
        </w:rPr>
      </w:pPr>
    </w:p>
    <w:p>
      <w:pPr>
        <w:pStyle w:val="2"/>
        <w:spacing w:before="0" w:after="40"/>
        <w:jc w:val="center"/>
        <w:rPr>
          <w:rFonts w:hint="eastAsia" w:ascii="Times New Roman" w:hAnsi="Times New Roman" w:eastAsia="宋体"/>
          <w:kern w:val="0"/>
          <w:sz w:val="21"/>
          <w:szCs w:val="21"/>
        </w:rPr>
      </w:pPr>
    </w:p>
    <w:p>
      <w:pPr>
        <w:pStyle w:val="2"/>
        <w:spacing w:before="0" w:after="40"/>
        <w:jc w:val="center"/>
        <w:rPr>
          <w:rFonts w:hint="eastAsia" w:ascii="Times New Roman" w:hAnsi="Times New Roman" w:eastAsia="宋体"/>
          <w:kern w:val="0"/>
          <w:sz w:val="21"/>
          <w:szCs w:val="21"/>
        </w:rPr>
      </w:pPr>
    </w:p>
    <w:p>
      <w:pPr>
        <w:pStyle w:val="2"/>
        <w:spacing w:before="0" w:after="40"/>
        <w:jc w:val="center"/>
        <w:rPr>
          <w:rFonts w:hint="eastAsia" w:ascii="Times New Roman" w:hAnsi="Times New Roman" w:eastAsia="宋体"/>
          <w:kern w:val="0"/>
          <w:sz w:val="21"/>
          <w:szCs w:val="21"/>
        </w:rPr>
      </w:pPr>
    </w:p>
    <w:p>
      <w:pPr>
        <w:pStyle w:val="2"/>
        <w:spacing w:before="0" w:after="40"/>
        <w:jc w:val="center"/>
        <w:rPr>
          <w:rFonts w:hint="eastAsia" w:ascii="Times New Roman" w:hAnsi="Times New Roman" w:eastAsia="宋体"/>
          <w:kern w:val="0"/>
          <w:sz w:val="21"/>
          <w:szCs w:val="21"/>
        </w:rPr>
      </w:pPr>
    </w:p>
    <w:p>
      <w:pPr>
        <w:pStyle w:val="2"/>
        <w:spacing w:before="0" w:after="40"/>
        <w:jc w:val="center"/>
        <w:rPr>
          <w:rFonts w:hint="eastAsia" w:ascii="Times New Roman" w:hAnsi="Times New Roman" w:eastAsia="宋体"/>
          <w:kern w:val="0"/>
          <w:sz w:val="21"/>
          <w:szCs w:val="21"/>
        </w:rPr>
      </w:pPr>
    </w:p>
    <w:p>
      <w:pPr>
        <w:pStyle w:val="2"/>
        <w:spacing w:before="0" w:after="40"/>
        <w:jc w:val="center"/>
        <w:rPr>
          <w:rFonts w:hint="eastAsia" w:ascii="宋体" w:hAnsi="宋体"/>
          <w:szCs w:val="21"/>
        </w:rPr>
      </w:pPr>
      <w:r>
        <w:rPr>
          <w:rFonts w:hint="eastAsia" w:ascii="Times New Roman" w:hAnsi="Times New Roman" w:eastAsia="宋体"/>
          <w:kern w:val="0"/>
          <w:sz w:val="21"/>
          <w:szCs w:val="21"/>
        </w:rPr>
        <w:t>3.报价明细表</w:t>
      </w:r>
      <w:bookmarkEnd w:id="338"/>
      <w:bookmarkEnd w:id="339"/>
      <w:bookmarkEnd w:id="340"/>
    </w:p>
    <w:tbl>
      <w:tblPr>
        <w:tblStyle w:val="39"/>
        <w:tblW w:w="914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9"/>
        <w:gridCol w:w="1442"/>
        <w:gridCol w:w="1181"/>
        <w:gridCol w:w="1181"/>
        <w:gridCol w:w="1181"/>
        <w:gridCol w:w="1181"/>
        <w:gridCol w:w="1182"/>
        <w:gridCol w:w="8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919" w:type="dxa"/>
            <w:vAlign w:val="center"/>
          </w:tcPr>
          <w:p>
            <w:pPr>
              <w:tabs>
                <w:tab w:val="left" w:pos="0"/>
              </w:tabs>
              <w:spacing w:line="360" w:lineRule="auto"/>
              <w:jc w:val="center"/>
              <w:rPr>
                <w:rFonts w:ascii="宋体" w:hAnsi="宋体" w:cs="宋体"/>
              </w:rPr>
            </w:pPr>
            <w:r>
              <w:rPr>
                <w:rFonts w:hint="eastAsia" w:ascii="宋体" w:hAnsi="宋体" w:cs="宋体"/>
              </w:rPr>
              <w:t>序号</w:t>
            </w:r>
          </w:p>
        </w:tc>
        <w:tc>
          <w:tcPr>
            <w:tcW w:w="1442" w:type="dxa"/>
            <w:vAlign w:val="center"/>
          </w:tcPr>
          <w:p>
            <w:pPr>
              <w:tabs>
                <w:tab w:val="left" w:pos="0"/>
              </w:tabs>
              <w:spacing w:line="360" w:lineRule="auto"/>
              <w:jc w:val="center"/>
              <w:rPr>
                <w:rFonts w:ascii="宋体" w:hAnsi="宋体" w:cs="宋体"/>
              </w:rPr>
            </w:pPr>
            <w:r>
              <w:rPr>
                <w:rFonts w:hint="eastAsia" w:ascii="宋体" w:hAnsi="宋体" w:cs="宋体"/>
              </w:rPr>
              <w:t>产品名称</w:t>
            </w:r>
          </w:p>
        </w:tc>
        <w:tc>
          <w:tcPr>
            <w:tcW w:w="1181" w:type="dxa"/>
            <w:vAlign w:val="center"/>
          </w:tcPr>
          <w:p>
            <w:pPr>
              <w:tabs>
                <w:tab w:val="left" w:pos="0"/>
              </w:tabs>
              <w:spacing w:line="360" w:lineRule="auto"/>
              <w:jc w:val="center"/>
              <w:rPr>
                <w:rFonts w:ascii="宋体" w:hAnsi="宋体" w:cs="宋体"/>
              </w:rPr>
            </w:pPr>
            <w:r>
              <w:rPr>
                <w:rFonts w:hint="eastAsia" w:ascii="宋体" w:hAnsi="宋体" w:cs="宋体"/>
              </w:rPr>
              <w:t>品牌、规格型号</w:t>
            </w:r>
          </w:p>
        </w:tc>
        <w:tc>
          <w:tcPr>
            <w:tcW w:w="1181" w:type="dxa"/>
            <w:vAlign w:val="center"/>
          </w:tcPr>
          <w:p>
            <w:pPr>
              <w:tabs>
                <w:tab w:val="left" w:pos="0"/>
              </w:tabs>
              <w:spacing w:line="360" w:lineRule="auto"/>
              <w:jc w:val="center"/>
              <w:rPr>
                <w:rFonts w:ascii="宋体" w:hAnsi="宋体" w:cs="宋体"/>
              </w:rPr>
            </w:pPr>
            <w:r>
              <w:rPr>
                <w:rFonts w:hint="eastAsia" w:ascii="宋体" w:hAnsi="宋体" w:cs="宋体"/>
              </w:rPr>
              <w:t>单价（元）</w:t>
            </w:r>
          </w:p>
        </w:tc>
        <w:tc>
          <w:tcPr>
            <w:tcW w:w="1181" w:type="dxa"/>
            <w:vAlign w:val="center"/>
          </w:tcPr>
          <w:p>
            <w:pPr>
              <w:tabs>
                <w:tab w:val="left" w:pos="0"/>
              </w:tabs>
              <w:spacing w:line="360" w:lineRule="auto"/>
              <w:jc w:val="center"/>
              <w:rPr>
                <w:rFonts w:ascii="宋体" w:hAnsi="宋体" w:cs="宋体"/>
              </w:rPr>
            </w:pPr>
            <w:r>
              <w:rPr>
                <w:rFonts w:hint="eastAsia" w:ascii="宋体" w:hAnsi="宋体" w:cs="宋体"/>
              </w:rPr>
              <w:t>数量</w:t>
            </w:r>
          </w:p>
        </w:tc>
        <w:tc>
          <w:tcPr>
            <w:tcW w:w="1181" w:type="dxa"/>
            <w:vAlign w:val="center"/>
          </w:tcPr>
          <w:p>
            <w:pPr>
              <w:tabs>
                <w:tab w:val="left" w:pos="0"/>
              </w:tabs>
              <w:spacing w:line="360" w:lineRule="auto"/>
              <w:jc w:val="center"/>
              <w:rPr>
                <w:rFonts w:ascii="宋体" w:hAnsi="宋体" w:cs="宋体"/>
              </w:rPr>
            </w:pPr>
            <w:r>
              <w:rPr>
                <w:rFonts w:hint="eastAsia" w:ascii="宋体" w:hAnsi="宋体" w:cs="宋体"/>
              </w:rPr>
              <w:t>总价（元）</w:t>
            </w:r>
          </w:p>
        </w:tc>
        <w:tc>
          <w:tcPr>
            <w:tcW w:w="1182" w:type="dxa"/>
            <w:vAlign w:val="center"/>
          </w:tcPr>
          <w:p>
            <w:pPr>
              <w:tabs>
                <w:tab w:val="left" w:pos="0"/>
              </w:tabs>
              <w:spacing w:line="360" w:lineRule="auto"/>
              <w:jc w:val="center"/>
              <w:rPr>
                <w:rFonts w:ascii="宋体" w:hAnsi="宋体" w:cs="宋体"/>
              </w:rPr>
            </w:pPr>
            <w:r>
              <w:rPr>
                <w:rFonts w:hint="eastAsia" w:ascii="宋体" w:hAnsi="宋体" w:cs="宋体"/>
              </w:rPr>
              <w:t>备注</w:t>
            </w:r>
          </w:p>
          <w:p>
            <w:pPr>
              <w:tabs>
                <w:tab w:val="left" w:pos="0"/>
              </w:tabs>
              <w:spacing w:line="360" w:lineRule="auto"/>
              <w:jc w:val="center"/>
              <w:rPr>
                <w:rFonts w:ascii="宋体" w:hAnsi="宋体" w:cs="宋体"/>
              </w:rPr>
            </w:pPr>
            <w:r>
              <w:rPr>
                <w:rFonts w:hint="eastAsia" w:ascii="宋体" w:hAnsi="宋体" w:cs="宋体"/>
              </w:rPr>
              <w:t>（产地）</w:t>
            </w:r>
          </w:p>
        </w:tc>
        <w:tc>
          <w:tcPr>
            <w:tcW w:w="879" w:type="dxa"/>
            <w:vAlign w:val="center"/>
          </w:tcPr>
          <w:p>
            <w:pPr>
              <w:tabs>
                <w:tab w:val="left" w:pos="0"/>
              </w:tabs>
              <w:spacing w:line="360" w:lineRule="auto"/>
              <w:jc w:val="center"/>
              <w:rPr>
                <w:rFonts w:ascii="宋体" w:hAnsi="宋体" w:cs="宋体"/>
              </w:rPr>
            </w:pPr>
            <w:r>
              <w:rPr>
                <w:rFonts w:hint="eastAsia" w:ascii="宋体" w:hAnsi="宋体" w:cs="宋体"/>
              </w:rPr>
              <w:t>可附图片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919" w:type="dxa"/>
          </w:tcPr>
          <w:p>
            <w:pPr>
              <w:spacing w:line="360" w:lineRule="auto"/>
              <w:rPr>
                <w:rFonts w:ascii="宋体" w:hAnsi="宋体" w:cs="宋体"/>
              </w:rPr>
            </w:pPr>
          </w:p>
        </w:tc>
        <w:tc>
          <w:tcPr>
            <w:tcW w:w="1442"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2" w:type="dxa"/>
          </w:tcPr>
          <w:p>
            <w:pPr>
              <w:spacing w:line="360" w:lineRule="auto"/>
              <w:rPr>
                <w:rFonts w:ascii="宋体" w:hAnsi="宋体" w:cs="宋体"/>
              </w:rPr>
            </w:pPr>
          </w:p>
        </w:tc>
        <w:tc>
          <w:tcPr>
            <w:tcW w:w="879" w:type="dxa"/>
          </w:tcPr>
          <w:p>
            <w:pPr>
              <w:spacing w:line="360" w:lineRule="auto"/>
              <w:rPr>
                <w:rFonts w:ascii="宋体" w:hAnsi="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919" w:type="dxa"/>
          </w:tcPr>
          <w:p>
            <w:pPr>
              <w:spacing w:line="360" w:lineRule="auto"/>
              <w:rPr>
                <w:rFonts w:ascii="宋体" w:hAnsi="宋体" w:cs="宋体"/>
              </w:rPr>
            </w:pPr>
          </w:p>
        </w:tc>
        <w:tc>
          <w:tcPr>
            <w:tcW w:w="1442"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2" w:type="dxa"/>
          </w:tcPr>
          <w:p>
            <w:pPr>
              <w:spacing w:line="360" w:lineRule="auto"/>
              <w:rPr>
                <w:rFonts w:ascii="宋体" w:hAnsi="宋体" w:cs="宋体"/>
              </w:rPr>
            </w:pPr>
          </w:p>
        </w:tc>
        <w:tc>
          <w:tcPr>
            <w:tcW w:w="879" w:type="dxa"/>
          </w:tcPr>
          <w:p>
            <w:pPr>
              <w:spacing w:line="360" w:lineRule="auto"/>
              <w:rPr>
                <w:rFonts w:ascii="宋体" w:hAnsi="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919" w:type="dxa"/>
          </w:tcPr>
          <w:p>
            <w:pPr>
              <w:spacing w:line="360" w:lineRule="auto"/>
              <w:rPr>
                <w:rFonts w:ascii="宋体" w:hAnsi="宋体" w:cs="宋体"/>
              </w:rPr>
            </w:pPr>
          </w:p>
        </w:tc>
        <w:tc>
          <w:tcPr>
            <w:tcW w:w="1442"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2" w:type="dxa"/>
          </w:tcPr>
          <w:p>
            <w:pPr>
              <w:spacing w:line="360" w:lineRule="auto"/>
              <w:rPr>
                <w:rFonts w:ascii="宋体" w:hAnsi="宋体" w:cs="宋体"/>
              </w:rPr>
            </w:pPr>
          </w:p>
        </w:tc>
        <w:tc>
          <w:tcPr>
            <w:tcW w:w="879" w:type="dxa"/>
          </w:tcPr>
          <w:p>
            <w:pPr>
              <w:spacing w:line="360" w:lineRule="auto"/>
              <w:rPr>
                <w:rFonts w:ascii="宋体" w:hAnsi="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919" w:type="dxa"/>
          </w:tcPr>
          <w:p>
            <w:pPr>
              <w:spacing w:line="360" w:lineRule="auto"/>
              <w:rPr>
                <w:rFonts w:ascii="宋体" w:hAnsi="宋体" w:cs="宋体"/>
              </w:rPr>
            </w:pPr>
          </w:p>
        </w:tc>
        <w:tc>
          <w:tcPr>
            <w:tcW w:w="1442"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2" w:type="dxa"/>
          </w:tcPr>
          <w:p>
            <w:pPr>
              <w:spacing w:line="360" w:lineRule="auto"/>
              <w:rPr>
                <w:rFonts w:ascii="宋体" w:hAnsi="宋体" w:cs="宋体"/>
              </w:rPr>
            </w:pPr>
          </w:p>
        </w:tc>
        <w:tc>
          <w:tcPr>
            <w:tcW w:w="879" w:type="dxa"/>
          </w:tcPr>
          <w:p>
            <w:pPr>
              <w:spacing w:line="360" w:lineRule="auto"/>
              <w:rPr>
                <w:rFonts w:ascii="宋体" w:hAnsi="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919" w:type="dxa"/>
          </w:tcPr>
          <w:p>
            <w:pPr>
              <w:spacing w:line="360" w:lineRule="auto"/>
              <w:rPr>
                <w:rFonts w:ascii="宋体" w:hAnsi="宋体" w:cs="宋体"/>
              </w:rPr>
            </w:pPr>
          </w:p>
        </w:tc>
        <w:tc>
          <w:tcPr>
            <w:tcW w:w="1442"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2" w:type="dxa"/>
          </w:tcPr>
          <w:p>
            <w:pPr>
              <w:spacing w:line="360" w:lineRule="auto"/>
              <w:rPr>
                <w:rFonts w:ascii="宋体" w:hAnsi="宋体" w:cs="宋体"/>
              </w:rPr>
            </w:pPr>
          </w:p>
        </w:tc>
        <w:tc>
          <w:tcPr>
            <w:tcW w:w="879" w:type="dxa"/>
          </w:tcPr>
          <w:p>
            <w:pPr>
              <w:spacing w:line="360" w:lineRule="auto"/>
              <w:rPr>
                <w:rFonts w:ascii="宋体" w:hAnsi="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919" w:type="dxa"/>
          </w:tcPr>
          <w:p>
            <w:pPr>
              <w:spacing w:line="360" w:lineRule="auto"/>
              <w:rPr>
                <w:rFonts w:ascii="宋体" w:hAnsi="宋体" w:cs="宋体"/>
              </w:rPr>
            </w:pPr>
          </w:p>
        </w:tc>
        <w:tc>
          <w:tcPr>
            <w:tcW w:w="1442"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2" w:type="dxa"/>
          </w:tcPr>
          <w:p>
            <w:pPr>
              <w:spacing w:line="360" w:lineRule="auto"/>
              <w:rPr>
                <w:rFonts w:ascii="宋体" w:hAnsi="宋体" w:cs="宋体"/>
              </w:rPr>
            </w:pPr>
          </w:p>
        </w:tc>
        <w:tc>
          <w:tcPr>
            <w:tcW w:w="879" w:type="dxa"/>
          </w:tcPr>
          <w:p>
            <w:pPr>
              <w:spacing w:line="360" w:lineRule="auto"/>
              <w:rPr>
                <w:rFonts w:ascii="宋体" w:hAnsi="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919" w:type="dxa"/>
          </w:tcPr>
          <w:p>
            <w:pPr>
              <w:spacing w:line="360" w:lineRule="auto"/>
              <w:rPr>
                <w:rFonts w:ascii="宋体" w:hAnsi="宋体" w:cs="宋体"/>
              </w:rPr>
            </w:pPr>
          </w:p>
        </w:tc>
        <w:tc>
          <w:tcPr>
            <w:tcW w:w="1442"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2" w:type="dxa"/>
          </w:tcPr>
          <w:p>
            <w:pPr>
              <w:spacing w:line="360" w:lineRule="auto"/>
              <w:rPr>
                <w:rFonts w:ascii="宋体" w:hAnsi="宋体" w:cs="宋体"/>
              </w:rPr>
            </w:pPr>
          </w:p>
        </w:tc>
        <w:tc>
          <w:tcPr>
            <w:tcW w:w="879" w:type="dxa"/>
          </w:tcPr>
          <w:p>
            <w:pPr>
              <w:spacing w:line="360" w:lineRule="auto"/>
              <w:rPr>
                <w:rFonts w:ascii="宋体" w:hAnsi="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jc w:val="center"/>
        </w:trPr>
        <w:tc>
          <w:tcPr>
            <w:tcW w:w="919" w:type="dxa"/>
          </w:tcPr>
          <w:p>
            <w:pPr>
              <w:spacing w:line="360" w:lineRule="auto"/>
              <w:rPr>
                <w:rFonts w:ascii="宋体" w:hAnsi="宋体" w:cs="宋体"/>
              </w:rPr>
            </w:pPr>
          </w:p>
        </w:tc>
        <w:tc>
          <w:tcPr>
            <w:tcW w:w="1442"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1" w:type="dxa"/>
          </w:tcPr>
          <w:p>
            <w:pPr>
              <w:spacing w:line="360" w:lineRule="auto"/>
              <w:rPr>
                <w:rFonts w:ascii="宋体" w:hAnsi="宋体" w:cs="宋体"/>
              </w:rPr>
            </w:pPr>
          </w:p>
        </w:tc>
        <w:tc>
          <w:tcPr>
            <w:tcW w:w="1182" w:type="dxa"/>
          </w:tcPr>
          <w:p>
            <w:pPr>
              <w:spacing w:line="360" w:lineRule="auto"/>
              <w:rPr>
                <w:rFonts w:ascii="宋体" w:hAnsi="宋体" w:cs="宋体"/>
              </w:rPr>
            </w:pPr>
          </w:p>
        </w:tc>
        <w:tc>
          <w:tcPr>
            <w:tcW w:w="879" w:type="dxa"/>
          </w:tcPr>
          <w:p>
            <w:pPr>
              <w:spacing w:line="360" w:lineRule="auto"/>
              <w:rPr>
                <w:rFonts w:ascii="宋体" w:hAnsi="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919" w:type="dxa"/>
            <w:vAlign w:val="center"/>
          </w:tcPr>
          <w:p>
            <w:pPr>
              <w:tabs>
                <w:tab w:val="left" w:pos="0"/>
              </w:tabs>
              <w:spacing w:line="360" w:lineRule="auto"/>
              <w:jc w:val="center"/>
              <w:rPr>
                <w:rFonts w:ascii="宋体" w:hAnsi="宋体" w:cs="宋体"/>
              </w:rPr>
            </w:pPr>
            <w:r>
              <w:rPr>
                <w:rFonts w:hint="eastAsia" w:ascii="宋体" w:hAnsi="宋体" w:cs="宋体"/>
              </w:rPr>
              <w:t xml:space="preserve">总计 </w:t>
            </w:r>
          </w:p>
        </w:tc>
        <w:tc>
          <w:tcPr>
            <w:tcW w:w="8227" w:type="dxa"/>
            <w:gridSpan w:val="7"/>
            <w:vAlign w:val="center"/>
          </w:tcPr>
          <w:p>
            <w:pPr>
              <w:tabs>
                <w:tab w:val="left" w:pos="0"/>
              </w:tabs>
              <w:spacing w:line="360" w:lineRule="auto"/>
              <w:jc w:val="center"/>
              <w:rPr>
                <w:rFonts w:ascii="宋体" w:hAnsi="宋体" w:cs="宋体"/>
              </w:rPr>
            </w:pPr>
          </w:p>
        </w:tc>
      </w:tr>
    </w:tbl>
    <w:p>
      <w:pPr>
        <w:adjustRightInd w:val="0"/>
        <w:snapToGrid w:val="0"/>
        <w:ind w:left="-88" w:leftChars="-42" w:firstLine="420" w:firstLineChars="200"/>
        <w:jc w:val="left"/>
        <w:rPr>
          <w:rFonts w:ascii="宋体" w:hAnsi="宋体" w:cs="宋体"/>
        </w:rPr>
      </w:pPr>
    </w:p>
    <w:p>
      <w:pPr>
        <w:spacing w:line="360" w:lineRule="auto"/>
        <w:ind w:firstLine="420" w:firstLineChars="200"/>
        <w:rPr>
          <w:rFonts w:ascii="宋体" w:hAnsi="宋体" w:cs="宋体"/>
        </w:rPr>
      </w:pPr>
      <w:r>
        <w:rPr>
          <w:rFonts w:hint="eastAsia" w:ascii="宋体" w:hAnsi="宋体" w:cs="宋体"/>
        </w:rPr>
        <w:t>（此表可延长）</w:t>
      </w:r>
    </w:p>
    <w:p>
      <w:pPr>
        <w:spacing w:line="360" w:lineRule="auto"/>
        <w:ind w:firstLine="422" w:firstLineChars="200"/>
        <w:rPr>
          <w:rFonts w:ascii="宋体" w:hAnsi="宋体" w:cs="宋体"/>
          <w:b/>
        </w:rPr>
      </w:pPr>
      <w:r>
        <w:rPr>
          <w:rFonts w:hint="eastAsia" w:ascii="宋体" w:hAnsi="宋体" w:cs="宋体"/>
          <w:b/>
        </w:rPr>
        <w:t>注：1.</w:t>
      </w:r>
      <w:r>
        <w:rPr>
          <w:rFonts w:hint="eastAsia" w:ascii="宋体" w:hAnsi="宋体" w:cs="宋体"/>
        </w:rPr>
        <w:t>如果按单价计算的结果与总价不一致，以单价为准修正总价</w:t>
      </w:r>
      <w:r>
        <w:rPr>
          <w:rFonts w:hint="eastAsia" w:ascii="宋体" w:hAnsi="宋体" w:cs="宋体"/>
          <w:b/>
        </w:rPr>
        <w:t>。</w:t>
      </w:r>
    </w:p>
    <w:p>
      <w:pPr>
        <w:spacing w:line="360" w:lineRule="auto"/>
        <w:ind w:firstLine="2880" w:firstLineChars="1200"/>
        <w:rPr>
          <w:sz w:val="24"/>
        </w:rPr>
      </w:pPr>
    </w:p>
    <w:p>
      <w:pPr>
        <w:spacing w:line="360" w:lineRule="auto"/>
        <w:ind w:firstLine="2880" w:firstLineChars="1200"/>
        <w:rPr>
          <w:sz w:val="24"/>
        </w:rPr>
      </w:pPr>
    </w:p>
    <w:p>
      <w:pPr>
        <w:spacing w:line="360" w:lineRule="auto"/>
        <w:ind w:firstLine="2880" w:firstLineChars="1200"/>
        <w:rPr>
          <w:sz w:val="24"/>
        </w:rPr>
      </w:pPr>
    </w:p>
    <w:p>
      <w:pPr>
        <w:spacing w:line="360" w:lineRule="auto"/>
        <w:ind w:firstLine="2880" w:firstLineChars="1200"/>
        <w:rPr>
          <w:sz w:val="24"/>
        </w:rPr>
      </w:pPr>
    </w:p>
    <w:p>
      <w:pPr>
        <w:adjustRightInd w:val="0"/>
        <w:snapToGrid w:val="0"/>
        <w:ind w:left="1611" w:leftChars="767" w:firstLine="420" w:firstLineChars="200"/>
        <w:rPr>
          <w:rFonts w:ascii="宋体" w:hAnsi="宋体"/>
          <w:szCs w:val="21"/>
          <w:u w:val="single"/>
        </w:rPr>
      </w:pPr>
      <w:r>
        <w:rPr>
          <w:rFonts w:hint="eastAsia" w:ascii="宋体" w:hAnsi="宋体"/>
          <w:szCs w:val="21"/>
        </w:rPr>
        <w:t>投标人名称（盖公章）：</w:t>
      </w:r>
      <w:r>
        <w:rPr>
          <w:rFonts w:hint="eastAsia" w:ascii="宋体" w:hAnsi="宋体"/>
          <w:szCs w:val="21"/>
          <w:u w:val="single"/>
        </w:rPr>
        <w:t xml:space="preserve">                            </w:t>
      </w:r>
      <w:r>
        <w:rPr>
          <w:rFonts w:hint="eastAsia" w:ascii="宋体" w:hAnsi="宋体"/>
          <w:szCs w:val="21"/>
        </w:rPr>
        <w:t>_</w:t>
      </w:r>
    </w:p>
    <w:p>
      <w:pPr>
        <w:adjustRightInd w:val="0"/>
        <w:snapToGrid w:val="0"/>
        <w:ind w:left="1611" w:leftChars="767"/>
        <w:rPr>
          <w:rFonts w:ascii="宋体" w:hAnsi="宋体"/>
          <w:szCs w:val="21"/>
        </w:rPr>
      </w:pPr>
    </w:p>
    <w:p>
      <w:pPr>
        <w:adjustRightInd w:val="0"/>
        <w:snapToGrid w:val="0"/>
        <w:ind w:left="1611" w:leftChars="767" w:firstLine="420" w:firstLineChars="200"/>
        <w:rPr>
          <w:rFonts w:ascii="宋体" w:hAnsi="宋体"/>
          <w:szCs w:val="21"/>
          <w:u w:val="single"/>
        </w:rPr>
      </w:pPr>
      <w:r>
        <w:rPr>
          <w:rFonts w:hint="eastAsia" w:ascii="宋体" w:hAnsi="宋体"/>
          <w:szCs w:val="21"/>
        </w:rPr>
        <w:t>法定代表人或其授权委托人(签字)：</w:t>
      </w:r>
      <w:r>
        <w:rPr>
          <w:rFonts w:hint="eastAsia" w:ascii="宋体" w:hAnsi="宋体"/>
          <w:szCs w:val="21"/>
          <w:u w:val="single"/>
        </w:rPr>
        <w:t xml:space="preserve">        </w:t>
      </w:r>
      <w:r>
        <w:rPr>
          <w:rFonts w:hint="eastAsia" w:ascii="宋体" w:hAnsi="宋体"/>
          <w:szCs w:val="21"/>
        </w:rPr>
        <w:t>_</w:t>
      </w:r>
    </w:p>
    <w:p>
      <w:pPr>
        <w:adjustRightInd w:val="0"/>
        <w:snapToGrid w:val="0"/>
        <w:ind w:left="1611" w:leftChars="767"/>
        <w:rPr>
          <w:rFonts w:ascii="宋体" w:hAnsi="宋体"/>
          <w:szCs w:val="21"/>
        </w:rPr>
      </w:pPr>
    </w:p>
    <w:p>
      <w:pPr>
        <w:adjustRightInd w:val="0"/>
        <w:snapToGrid w:val="0"/>
        <w:ind w:left="1611" w:leftChars="767" w:firstLine="420" w:firstLineChars="200"/>
        <w:rPr>
          <w:rFonts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spacing w:line="400" w:lineRule="exact"/>
        <w:jc w:val="center"/>
        <w:rPr>
          <w:rFonts w:ascii="方正大标宋_GBK" w:hAnsi="方正大标宋_GBK" w:eastAsia="方正大标宋_GBK" w:cs="方正大标宋_GBK"/>
          <w:b/>
          <w:kern w:val="0"/>
          <w:sz w:val="32"/>
          <w:szCs w:val="32"/>
          <w:lang w:bidi="ar"/>
        </w:rPr>
        <w:sectPr>
          <w:pgSz w:w="11906" w:h="16838"/>
          <w:pgMar w:top="1440" w:right="1803" w:bottom="1440" w:left="1803" w:header="851" w:footer="992" w:gutter="0"/>
          <w:pgNumType w:fmt="decimal"/>
          <w:cols w:space="720" w:num="1"/>
          <w:titlePg/>
          <w:docGrid w:type="lines" w:linePitch="319" w:charSpace="0"/>
        </w:sectPr>
      </w:pPr>
      <w:r>
        <w:rPr>
          <w:sz w:val="24"/>
        </w:rPr>
        <w:t xml:space="preserve"> </w:t>
      </w:r>
    </w:p>
    <w:p>
      <w:pPr>
        <w:spacing w:line="400" w:lineRule="exact"/>
        <w:jc w:val="center"/>
        <w:rPr>
          <w:b/>
          <w:bCs/>
          <w:kern w:val="0"/>
          <w:sz w:val="28"/>
          <w:szCs w:val="28"/>
        </w:rPr>
      </w:pPr>
      <w:r>
        <w:rPr>
          <w:rFonts w:hint="eastAsia"/>
          <w:b/>
          <w:bCs/>
          <w:kern w:val="0"/>
          <w:sz w:val="28"/>
          <w:szCs w:val="28"/>
        </w:rPr>
        <w:t>（供应商资格证明文件）</w:t>
      </w:r>
    </w:p>
    <w:p>
      <w:pPr>
        <w:spacing w:line="400" w:lineRule="exact"/>
        <w:jc w:val="center"/>
        <w:rPr>
          <w:rFonts w:ascii="宋体" w:hAnsi="宋体"/>
          <w:b/>
          <w:szCs w:val="21"/>
        </w:rPr>
      </w:pPr>
      <w:r>
        <w:rPr>
          <w:rFonts w:hint="eastAsia"/>
          <w:b/>
          <w:bCs/>
          <w:kern w:val="0"/>
          <w:szCs w:val="21"/>
        </w:rPr>
        <w:t>4.</w:t>
      </w:r>
      <w:bookmarkEnd w:id="341"/>
      <w:bookmarkEnd w:id="342"/>
      <w:bookmarkEnd w:id="343"/>
      <w:bookmarkEnd w:id="344"/>
      <w:r>
        <w:rPr>
          <w:rFonts w:hint="eastAsia" w:ascii="宋体" w:hAnsi="宋体"/>
          <w:b/>
          <w:szCs w:val="21"/>
        </w:rPr>
        <w:t>法定代表人身份证明</w:t>
      </w:r>
      <w:bookmarkEnd w:id="337"/>
    </w:p>
    <w:p>
      <w:pPr>
        <w:spacing w:line="400" w:lineRule="exact"/>
        <w:rPr>
          <w:rFonts w:ascii="宋体" w:hAnsi="宋体"/>
          <w:bCs/>
          <w:szCs w:val="21"/>
        </w:rPr>
      </w:pPr>
    </w:p>
    <w:p>
      <w:pPr>
        <w:spacing w:line="400" w:lineRule="exact"/>
        <w:rPr>
          <w:rFonts w:ascii="宋体" w:hAnsi="宋体"/>
          <w:bCs/>
          <w:szCs w:val="21"/>
        </w:rPr>
      </w:pPr>
    </w:p>
    <w:p>
      <w:pPr>
        <w:spacing w:line="400" w:lineRule="exact"/>
        <w:rPr>
          <w:rFonts w:ascii="宋体" w:hAnsi="宋体"/>
          <w:bCs/>
          <w:szCs w:val="21"/>
        </w:rPr>
      </w:pPr>
    </w:p>
    <w:p>
      <w:pPr>
        <w:spacing w:line="400" w:lineRule="exact"/>
        <w:ind w:firstLine="630" w:firstLineChars="300"/>
        <w:rPr>
          <w:rFonts w:ascii="宋体" w:hAnsi="宋体"/>
          <w:szCs w:val="21"/>
          <w:u w:val="single"/>
        </w:rPr>
      </w:pPr>
      <w:r>
        <w:rPr>
          <w:rFonts w:hint="eastAsia" w:ascii="宋体" w:hAnsi="宋体"/>
          <w:szCs w:val="21"/>
        </w:rPr>
        <w:t>投标人名称：</w:t>
      </w:r>
      <w:r>
        <w:rPr>
          <w:rFonts w:hint="eastAsia" w:ascii="宋体" w:hAnsi="宋体"/>
          <w:szCs w:val="21"/>
          <w:u w:val="single"/>
        </w:rPr>
        <w:t xml:space="preserve">                                                 </w:t>
      </w:r>
    </w:p>
    <w:p>
      <w:pPr>
        <w:spacing w:line="400" w:lineRule="exact"/>
        <w:ind w:firstLine="630" w:firstLineChars="300"/>
        <w:rPr>
          <w:rFonts w:ascii="宋体" w:hAnsi="宋体"/>
          <w:szCs w:val="21"/>
          <w:u w:val="single"/>
        </w:rPr>
      </w:pPr>
      <w:r>
        <w:rPr>
          <w:rFonts w:hint="eastAsia" w:ascii="宋体" w:hAnsi="宋体"/>
          <w:szCs w:val="21"/>
        </w:rPr>
        <w:t>投标人类型：</w:t>
      </w:r>
      <w:r>
        <w:rPr>
          <w:rFonts w:hint="eastAsia" w:ascii="宋体" w:hAnsi="宋体"/>
          <w:szCs w:val="21"/>
          <w:u w:val="single"/>
        </w:rPr>
        <w:t xml:space="preserve">                                                 </w:t>
      </w:r>
    </w:p>
    <w:p>
      <w:pPr>
        <w:spacing w:line="400" w:lineRule="exact"/>
        <w:ind w:firstLine="630" w:firstLineChars="300"/>
        <w:rPr>
          <w:rFonts w:ascii="宋体" w:hAnsi="宋体"/>
          <w:szCs w:val="21"/>
          <w:u w:val="single"/>
        </w:rPr>
      </w:pPr>
      <w:r>
        <w:rPr>
          <w:rFonts w:hint="eastAsia" w:ascii="宋体" w:hAnsi="宋体"/>
          <w:szCs w:val="21"/>
        </w:rPr>
        <w:t>地    址：</w:t>
      </w:r>
      <w:r>
        <w:rPr>
          <w:rFonts w:hint="eastAsia" w:ascii="宋体" w:hAnsi="宋体"/>
          <w:szCs w:val="21"/>
          <w:u w:val="single"/>
        </w:rPr>
        <w:t xml:space="preserve">                                                   </w:t>
      </w:r>
    </w:p>
    <w:p>
      <w:pPr>
        <w:spacing w:line="400" w:lineRule="exact"/>
        <w:ind w:firstLine="630" w:firstLineChars="300"/>
        <w:rPr>
          <w:rFonts w:ascii="宋体" w:hAnsi="宋体"/>
          <w:szCs w:val="21"/>
          <w:u w:val="single"/>
        </w:rPr>
      </w:pPr>
      <w:r>
        <w:rPr>
          <w:rFonts w:hint="eastAsia" w:ascii="宋体" w:hAnsi="宋体"/>
          <w:szCs w:val="21"/>
        </w:rPr>
        <w:t>营业期限：</w:t>
      </w:r>
      <w:r>
        <w:rPr>
          <w:rFonts w:hint="eastAsia" w:ascii="宋体" w:hAnsi="宋体"/>
          <w:szCs w:val="21"/>
          <w:u w:val="single"/>
        </w:rPr>
        <w:t xml:space="preserve">                                                   </w:t>
      </w:r>
    </w:p>
    <w:p>
      <w:pPr>
        <w:spacing w:line="400" w:lineRule="exact"/>
        <w:ind w:firstLine="630" w:firstLineChars="300"/>
        <w:rPr>
          <w:rFonts w:ascii="宋体" w:hAnsi="宋体"/>
          <w:szCs w:val="21"/>
          <w:u w:val="single"/>
        </w:rPr>
      </w:pPr>
      <w:r>
        <w:rPr>
          <w:rFonts w:hint="eastAsia" w:ascii="宋体" w:hAnsi="宋体"/>
          <w:szCs w:val="21"/>
        </w:rPr>
        <w:t>成立时间：</w:t>
      </w:r>
      <w:r>
        <w:rPr>
          <w:rFonts w:hint="eastAsia" w:ascii="宋体" w:hAnsi="宋体"/>
          <w:szCs w:val="21"/>
          <w:u w:val="single"/>
        </w:rPr>
        <w:t xml:space="preserve">                                                   </w:t>
      </w:r>
    </w:p>
    <w:p>
      <w:pPr>
        <w:spacing w:line="400" w:lineRule="exact"/>
        <w:ind w:firstLine="630" w:firstLineChars="300"/>
        <w:rPr>
          <w:rFonts w:ascii="宋体" w:hAnsi="宋体"/>
          <w:szCs w:val="21"/>
        </w:rPr>
      </w:pPr>
      <w:r>
        <w:rPr>
          <w:rFonts w:hint="eastAsia" w:ascii="宋体" w:hAnsi="宋体"/>
          <w:szCs w:val="21"/>
        </w:rPr>
        <w:t>姓名：</w:t>
      </w:r>
      <w:r>
        <w:rPr>
          <w:rFonts w:hint="eastAsia" w:ascii="宋体" w:hAnsi="宋体"/>
          <w:szCs w:val="21"/>
          <w:u w:val="single"/>
        </w:rPr>
        <w:t xml:space="preserve">                   </w:t>
      </w:r>
      <w:r>
        <w:rPr>
          <w:rFonts w:hint="eastAsia" w:ascii="宋体" w:hAnsi="宋体"/>
          <w:szCs w:val="21"/>
        </w:rPr>
        <w:t xml:space="preserve">     性别：</w:t>
      </w:r>
      <w:r>
        <w:rPr>
          <w:rFonts w:hint="eastAsia" w:ascii="宋体" w:hAnsi="宋体"/>
          <w:szCs w:val="21"/>
          <w:u w:val="single"/>
        </w:rPr>
        <w:t xml:space="preserve">                </w:t>
      </w:r>
    </w:p>
    <w:p>
      <w:pPr>
        <w:spacing w:line="400" w:lineRule="exact"/>
        <w:ind w:firstLine="630" w:firstLineChars="300"/>
        <w:rPr>
          <w:rFonts w:ascii="宋体" w:hAnsi="宋体"/>
          <w:szCs w:val="21"/>
          <w:u w:val="single"/>
        </w:rPr>
      </w:pPr>
      <w:r>
        <w:rPr>
          <w:rFonts w:hint="eastAsia" w:ascii="宋体" w:hAnsi="宋体"/>
          <w:szCs w:val="21"/>
        </w:rPr>
        <w:t>年龄：</w:t>
      </w:r>
      <w:r>
        <w:rPr>
          <w:rFonts w:hint="eastAsia" w:ascii="宋体" w:hAnsi="宋体"/>
          <w:szCs w:val="21"/>
          <w:u w:val="single"/>
        </w:rPr>
        <w:t xml:space="preserve">                   </w:t>
      </w:r>
      <w:r>
        <w:rPr>
          <w:rFonts w:hint="eastAsia" w:ascii="宋体" w:hAnsi="宋体"/>
          <w:szCs w:val="21"/>
        </w:rPr>
        <w:t xml:space="preserve">     职务：</w:t>
      </w:r>
      <w:r>
        <w:rPr>
          <w:rFonts w:hint="eastAsia" w:ascii="宋体" w:hAnsi="宋体"/>
          <w:szCs w:val="21"/>
          <w:u w:val="single"/>
        </w:rPr>
        <w:t xml:space="preserve">                </w:t>
      </w:r>
    </w:p>
    <w:p>
      <w:pPr>
        <w:spacing w:line="400" w:lineRule="exact"/>
        <w:ind w:firstLine="630" w:firstLineChars="300"/>
        <w:rPr>
          <w:rFonts w:ascii="宋体" w:hAnsi="宋体"/>
          <w:bCs/>
          <w:szCs w:val="21"/>
        </w:rPr>
      </w:pPr>
      <w:r>
        <w:rPr>
          <w:rFonts w:hint="eastAsia" w:ascii="宋体" w:hAnsi="宋体"/>
          <w:szCs w:val="21"/>
        </w:rPr>
        <w:t xml:space="preserve">系 </w:t>
      </w:r>
      <w:r>
        <w:rPr>
          <w:rFonts w:hint="eastAsia" w:ascii="宋体" w:hAnsi="宋体"/>
          <w:szCs w:val="21"/>
          <w:u w:val="single"/>
        </w:rPr>
        <w:t xml:space="preserve">           </w:t>
      </w:r>
      <w:r>
        <w:rPr>
          <w:rFonts w:hint="eastAsia" w:ascii="宋体" w:hAnsi="宋体"/>
          <w:szCs w:val="21"/>
        </w:rPr>
        <w:t>（投标人名称）</w:t>
      </w:r>
      <w:r>
        <w:rPr>
          <w:rFonts w:hint="eastAsia" w:ascii="宋体" w:hAnsi="宋体"/>
          <w:szCs w:val="21"/>
          <w:u w:val="single"/>
        </w:rPr>
        <w:t xml:space="preserve">               </w:t>
      </w:r>
      <w:r>
        <w:rPr>
          <w:rFonts w:hint="eastAsia" w:ascii="宋体" w:hAnsi="宋体"/>
          <w:szCs w:val="21"/>
        </w:rPr>
        <w:t>的法定代表人</w:t>
      </w:r>
      <w:r>
        <w:rPr>
          <w:rFonts w:hint="eastAsia" w:ascii="宋体" w:hAnsi="宋体"/>
          <w:bCs/>
          <w:szCs w:val="21"/>
        </w:rPr>
        <w:t>。</w:t>
      </w:r>
    </w:p>
    <w:p>
      <w:pPr>
        <w:spacing w:line="400" w:lineRule="exact"/>
        <w:ind w:firstLine="210" w:firstLineChars="100"/>
        <w:rPr>
          <w:rFonts w:ascii="宋体" w:hAnsi="宋体"/>
          <w:szCs w:val="21"/>
        </w:rPr>
      </w:pPr>
    </w:p>
    <w:p>
      <w:pPr>
        <w:spacing w:line="400" w:lineRule="exact"/>
        <w:ind w:firstLine="210" w:firstLineChars="100"/>
        <w:rPr>
          <w:rFonts w:ascii="宋体" w:hAnsi="宋体"/>
          <w:szCs w:val="21"/>
        </w:rPr>
      </w:pPr>
      <w:r>
        <w:rPr>
          <w:rFonts w:hint="eastAsia" w:ascii="宋体" w:hAnsi="宋体"/>
          <w:szCs w:val="21"/>
        </w:rPr>
        <w:t xml:space="preserve">    特此证明。</w:t>
      </w:r>
    </w:p>
    <w:p>
      <w:pPr>
        <w:spacing w:line="400" w:lineRule="exact"/>
        <w:ind w:firstLine="630" w:firstLineChars="300"/>
        <w:rPr>
          <w:rFonts w:ascii="宋体" w:hAnsi="宋体"/>
          <w:bCs/>
          <w:szCs w:val="21"/>
        </w:rPr>
      </w:pPr>
    </w:p>
    <w:p>
      <w:pPr>
        <w:spacing w:line="400" w:lineRule="exact"/>
        <w:ind w:firstLine="630" w:firstLineChars="300"/>
        <w:rPr>
          <w:rFonts w:ascii="宋体" w:hAnsi="宋体"/>
          <w:bCs/>
          <w:szCs w:val="21"/>
        </w:rPr>
      </w:pPr>
    </w:p>
    <w:p>
      <w:pPr>
        <w:spacing w:line="400" w:lineRule="exact"/>
        <w:rPr>
          <w:rFonts w:ascii="宋体" w:hAnsi="宋体"/>
          <w:bCs/>
          <w:szCs w:val="21"/>
        </w:rPr>
      </w:pPr>
      <w:r>
        <mc:AlternateContent>
          <mc:Choice Requires="wps">
            <w:drawing>
              <wp:anchor distT="0" distB="0" distL="114300" distR="114300" simplePos="0" relativeHeight="251660288" behindDoc="0" locked="0" layoutInCell="1" allowOverlap="1">
                <wp:simplePos x="0" y="0"/>
                <wp:positionH relativeFrom="column">
                  <wp:posOffset>302260</wp:posOffset>
                </wp:positionH>
                <wp:positionV relativeFrom="paragraph">
                  <wp:posOffset>189230</wp:posOffset>
                </wp:positionV>
                <wp:extent cx="2618740" cy="1790700"/>
                <wp:effectExtent l="4445" t="4445" r="5715" b="8255"/>
                <wp:wrapNone/>
                <wp:docPr id="1" name="文本框 4"/>
                <wp:cNvGraphicFramePr/>
                <a:graphic xmlns:a="http://schemas.openxmlformats.org/drawingml/2006/main">
                  <a:graphicData uri="http://schemas.microsoft.com/office/word/2010/wordprocessingShape">
                    <wps:wsp>
                      <wps:cNvSpPr txBox="1"/>
                      <wps:spPr>
                        <a:xfrm>
                          <a:off x="0" y="0"/>
                          <a:ext cx="2618740" cy="17907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 xml:space="preserve">                 </w:t>
                            </w:r>
                          </w:p>
                          <w:p/>
                          <w:p/>
                          <w:p/>
                          <w:p>
                            <w:r>
                              <w:rPr>
                                <w:rFonts w:hint="eastAsia"/>
                              </w:rPr>
                              <w:t xml:space="preserve">        附法人身份证复印件正面</w:t>
                            </w:r>
                          </w:p>
                        </w:txbxContent>
                      </wps:txbx>
                      <wps:bodyPr upright="1"/>
                    </wps:wsp>
                  </a:graphicData>
                </a:graphic>
              </wp:anchor>
            </w:drawing>
          </mc:Choice>
          <mc:Fallback>
            <w:pict>
              <v:shape id="文本框 4" o:spid="_x0000_s1026" o:spt="202" type="#_x0000_t202" style="position:absolute;left:0pt;margin-left:23.8pt;margin-top:14.9pt;height:141pt;width:206.2pt;z-index:251660288;mso-width-relative:page;mso-height-relative:page;" fillcolor="#FFFFFF" filled="t" stroked="t" coordsize="21600,21600" o:gfxdata="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U0mFHZAAAACQEAAA8AAAAAAAAAAQAg&#10;AAAAIgAAAGRycy9kb3ducmV2LnhtbFBLAQIUABQAAAAIAIdO4kBqniX+DQIAADcEAAAOAAAAAAAA&#10;AAEAIAAAACgBAABkcnMvZTJvRG9jLnhtbFBLBQYAAAAABgAGAFkBAACnBQAAAAA=&#10;">
                <v:fill on="t" focussize="0,0"/>
                <v:stroke color="#000000" joinstyle="miter"/>
                <v:imagedata o:title=""/>
                <o:lock v:ext="edit" aspectratio="f"/>
                <v:textbox>
                  <w:txbxContent>
                    <w:p>
                      <w:r>
                        <w:rPr>
                          <w:rFonts w:hint="eastAsia"/>
                        </w:rPr>
                        <w:t xml:space="preserve">                 </w:t>
                      </w:r>
                    </w:p>
                    <w:p/>
                    <w:p/>
                    <w:p/>
                    <w:p>
                      <w:r>
                        <w:rPr>
                          <w:rFonts w:hint="eastAsia"/>
                        </w:rPr>
                        <w:t xml:space="preserve">        附法人身份证复印件正面</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3065145</wp:posOffset>
                </wp:positionH>
                <wp:positionV relativeFrom="paragraph">
                  <wp:posOffset>168910</wp:posOffset>
                </wp:positionV>
                <wp:extent cx="2696210" cy="1781175"/>
                <wp:effectExtent l="4445" t="4445" r="17145" b="5080"/>
                <wp:wrapNone/>
                <wp:docPr id="3" name="文本框 5"/>
                <wp:cNvGraphicFramePr/>
                <a:graphic xmlns:a="http://schemas.openxmlformats.org/drawingml/2006/main">
                  <a:graphicData uri="http://schemas.microsoft.com/office/word/2010/wordprocessingShape">
                    <wps:wsp>
                      <wps:cNvSpPr txBox="1"/>
                      <wps:spPr>
                        <a:xfrm>
                          <a:off x="0" y="0"/>
                          <a:ext cx="2696210" cy="178117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 xml:space="preserve">                 </w:t>
                            </w:r>
                          </w:p>
                          <w:p/>
                          <w:p/>
                          <w:p/>
                          <w:p>
                            <w:r>
                              <w:rPr>
                                <w:rFonts w:hint="eastAsia"/>
                              </w:rPr>
                              <w:t xml:space="preserve">         附法人身份证复印件反面</w:t>
                            </w:r>
                          </w:p>
                        </w:txbxContent>
                      </wps:txbx>
                      <wps:bodyPr upright="1"/>
                    </wps:wsp>
                  </a:graphicData>
                </a:graphic>
              </wp:anchor>
            </w:drawing>
          </mc:Choice>
          <mc:Fallback>
            <w:pict>
              <v:shape id="文本框 5" o:spid="_x0000_s1026" o:spt="202" type="#_x0000_t202" style="position:absolute;left:0pt;margin-left:241.35pt;margin-top:13.3pt;height:140.25pt;width:212.3pt;z-index:251662336;mso-width-relative:page;mso-height-relative:page;" fillcolor="#FFFFFF" filled="t" stroked="t" coordsize="21600,21600" o:gfxdata="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XLV29oAAAAKAQAADwAAAAAAAAAB&#10;ACAAAAAiAAAAZHJzL2Rvd25yZXYueG1sUEsBAhQAFAAAAAgAh07iQCRn/N4OAgAANwQAAA4AAAAA&#10;AAAAAQAgAAAAKQEAAGRycy9lMm9Eb2MueG1sUEsFBgAAAAAGAAYAWQEAAKkFAAAAAA==&#10;">
                <v:fill on="t" focussize="0,0"/>
                <v:stroke color="#000000" joinstyle="miter"/>
                <v:imagedata o:title=""/>
                <o:lock v:ext="edit" aspectratio="f"/>
                <v:textbox>
                  <w:txbxContent>
                    <w:p>
                      <w:r>
                        <w:rPr>
                          <w:rFonts w:hint="eastAsia"/>
                        </w:rPr>
                        <w:t xml:space="preserve">                 </w:t>
                      </w:r>
                    </w:p>
                    <w:p/>
                    <w:p/>
                    <w:p/>
                    <w:p>
                      <w:r>
                        <w:rPr>
                          <w:rFonts w:hint="eastAsia"/>
                        </w:rPr>
                        <w:t xml:space="preserve">         附法人身份证复印件反面</w:t>
                      </w:r>
                    </w:p>
                  </w:txbxContent>
                </v:textbox>
              </v:shape>
            </w:pict>
          </mc:Fallback>
        </mc:AlternateContent>
      </w:r>
    </w:p>
    <w:p>
      <w:pPr>
        <w:spacing w:line="400" w:lineRule="exact"/>
        <w:rPr>
          <w:rFonts w:ascii="宋体" w:hAnsi="宋体"/>
          <w:bCs/>
          <w:szCs w:val="21"/>
        </w:rPr>
      </w:pPr>
    </w:p>
    <w:p>
      <w:pPr>
        <w:spacing w:line="400" w:lineRule="exact"/>
        <w:rPr>
          <w:rFonts w:ascii="宋体" w:hAnsi="宋体"/>
          <w:bCs/>
          <w:szCs w:val="21"/>
        </w:rPr>
      </w:pPr>
    </w:p>
    <w:p>
      <w:pPr>
        <w:spacing w:line="400" w:lineRule="exact"/>
        <w:rPr>
          <w:rFonts w:ascii="宋体" w:hAnsi="宋体"/>
          <w:bCs/>
          <w:szCs w:val="21"/>
        </w:rPr>
      </w:pPr>
    </w:p>
    <w:p>
      <w:pPr>
        <w:wordWrap w:val="0"/>
        <w:spacing w:line="400" w:lineRule="exact"/>
        <w:jc w:val="right"/>
        <w:rPr>
          <w:rFonts w:ascii="宋体" w:hAnsi="宋体"/>
          <w:szCs w:val="21"/>
        </w:rPr>
      </w:pPr>
      <w:r>
        <w:rPr>
          <w:rFonts w:hint="eastAsia" w:ascii="宋体" w:hAnsi="宋体"/>
          <w:szCs w:val="21"/>
        </w:rPr>
        <w:t xml:space="preserve">   </w:t>
      </w:r>
    </w:p>
    <w:p>
      <w:pPr>
        <w:spacing w:line="400" w:lineRule="exact"/>
        <w:jc w:val="right"/>
        <w:rPr>
          <w:rFonts w:ascii="宋体" w:hAnsi="宋体"/>
          <w:szCs w:val="21"/>
        </w:rPr>
      </w:pPr>
    </w:p>
    <w:p>
      <w:pPr>
        <w:spacing w:line="400" w:lineRule="exact"/>
        <w:jc w:val="right"/>
        <w:rPr>
          <w:rFonts w:ascii="宋体" w:hAnsi="宋体"/>
          <w:szCs w:val="21"/>
        </w:rPr>
      </w:pPr>
    </w:p>
    <w:p>
      <w:pPr>
        <w:spacing w:line="400" w:lineRule="exact"/>
        <w:jc w:val="right"/>
        <w:rPr>
          <w:rFonts w:ascii="宋体" w:hAnsi="宋体"/>
          <w:szCs w:val="21"/>
        </w:rPr>
      </w:pPr>
    </w:p>
    <w:p>
      <w:pPr>
        <w:spacing w:line="400" w:lineRule="exact"/>
        <w:jc w:val="right"/>
        <w:rPr>
          <w:rFonts w:ascii="宋体" w:hAnsi="宋体"/>
          <w:szCs w:val="21"/>
        </w:rPr>
      </w:pPr>
    </w:p>
    <w:p>
      <w:pPr>
        <w:spacing w:line="360" w:lineRule="auto"/>
        <w:jc w:val="right"/>
        <w:rPr>
          <w:rFonts w:ascii="宋体" w:hAnsi="宋体"/>
          <w:szCs w:val="21"/>
        </w:rPr>
      </w:pPr>
    </w:p>
    <w:p>
      <w:pPr>
        <w:spacing w:line="360" w:lineRule="auto"/>
        <w:jc w:val="right"/>
        <w:rPr>
          <w:rFonts w:ascii="宋体" w:hAnsi="宋体"/>
          <w:szCs w:val="21"/>
        </w:rPr>
      </w:pPr>
    </w:p>
    <w:p>
      <w:pPr>
        <w:pStyle w:val="68"/>
        <w:snapToGrid w:val="0"/>
        <w:ind w:firstLine="480" w:firstLineChars="200"/>
        <w:jc w:val="center"/>
        <w:rPr>
          <w:rFonts w:ascii="宋体" w:hAnsi="宋体" w:cs="宋体"/>
          <w:color w:val="auto"/>
          <w:sz w:val="21"/>
          <w:szCs w:val="21"/>
        </w:rPr>
      </w:pPr>
      <w:r>
        <w:rPr>
          <w:rFonts w:hint="eastAsia" w:ascii="宋体" w:hAnsi="宋体" w:cs="宋体"/>
          <w:color w:val="auto"/>
          <w:sz w:val="24"/>
        </w:rPr>
        <w:t xml:space="preserve">   </w:t>
      </w:r>
      <w:r>
        <w:rPr>
          <w:rFonts w:hint="eastAsia" w:ascii="宋体" w:hAnsi="宋体" w:cs="宋体"/>
          <w:color w:val="auto"/>
          <w:sz w:val="21"/>
          <w:szCs w:val="21"/>
        </w:rPr>
        <w:t>投标人名称(公章)：</w:t>
      </w:r>
      <w:r>
        <w:rPr>
          <w:rFonts w:hint="eastAsia" w:ascii="宋体" w:hAnsi="宋体" w:cs="宋体"/>
          <w:color w:val="auto"/>
          <w:sz w:val="21"/>
          <w:szCs w:val="21"/>
          <w:u w:val="single"/>
        </w:rPr>
        <w:t xml:space="preserve">                    </w:t>
      </w:r>
    </w:p>
    <w:p>
      <w:pPr>
        <w:pStyle w:val="68"/>
        <w:snapToGrid w:val="0"/>
        <w:ind w:firstLine="420" w:firstLineChars="200"/>
        <w:jc w:val="center"/>
        <w:rPr>
          <w:rFonts w:ascii="宋体" w:hAnsi="宋体" w:cs="宋体"/>
          <w:color w:val="auto"/>
          <w:sz w:val="21"/>
          <w:szCs w:val="21"/>
        </w:rPr>
      </w:pPr>
      <w:r>
        <w:rPr>
          <w:rFonts w:hint="eastAsia" w:ascii="宋体" w:hAnsi="宋体" w:cs="宋体"/>
          <w:color w:val="auto"/>
          <w:sz w:val="21"/>
          <w:szCs w:val="21"/>
        </w:rPr>
        <w:t xml:space="preserve">            投标人法人或授权代表签字：</w:t>
      </w:r>
      <w:r>
        <w:rPr>
          <w:rFonts w:hint="eastAsia" w:ascii="宋体" w:hAnsi="宋体" w:cs="宋体"/>
          <w:color w:val="auto"/>
          <w:sz w:val="21"/>
          <w:szCs w:val="21"/>
          <w:u w:val="single"/>
        </w:rPr>
        <w:t xml:space="preserve">            </w:t>
      </w:r>
      <w:r>
        <w:rPr>
          <w:rFonts w:hint="eastAsia" w:ascii="宋体" w:hAnsi="宋体" w:cs="宋体"/>
          <w:color w:val="auto"/>
          <w:sz w:val="21"/>
          <w:szCs w:val="21"/>
        </w:rPr>
        <w:t xml:space="preserve">                                                                                   </w:t>
      </w:r>
    </w:p>
    <w:p>
      <w:pPr>
        <w:spacing w:line="400" w:lineRule="exact"/>
        <w:jc w:val="center"/>
        <w:rPr>
          <w:rFonts w:ascii="宋体" w:hAnsi="宋体"/>
          <w:b/>
          <w:szCs w:val="21"/>
        </w:rPr>
      </w:pPr>
      <w:r>
        <w:rPr>
          <w:rFonts w:hint="eastAsia" w:ascii="宋体" w:hAnsi="宋体" w:cs="宋体"/>
          <w:szCs w:val="21"/>
        </w:rPr>
        <w:t xml:space="preserve">                日   期：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pStyle w:val="63"/>
        <w:snapToGrid w:val="0"/>
        <w:jc w:val="center"/>
        <w:rPr>
          <w:rFonts w:ascii="宋体" w:hAnsi="宋体"/>
          <w:b/>
          <w:bCs/>
          <w:sz w:val="21"/>
          <w:szCs w:val="21"/>
        </w:rPr>
      </w:pPr>
    </w:p>
    <w:p>
      <w:pPr>
        <w:pStyle w:val="68"/>
        <w:snapToGrid w:val="0"/>
        <w:spacing w:line="360" w:lineRule="atLeast"/>
        <w:jc w:val="center"/>
        <w:outlineLvl w:val="0"/>
        <w:rPr>
          <w:rFonts w:ascii="宋体" w:hAnsi="宋体"/>
          <w:b/>
          <w:color w:val="auto"/>
          <w:sz w:val="21"/>
          <w:szCs w:val="21"/>
        </w:rPr>
      </w:pPr>
      <w:r>
        <w:rPr>
          <w:rFonts w:ascii="宋体" w:hAnsi="宋体"/>
          <w:b/>
          <w:color w:val="auto"/>
          <w:sz w:val="21"/>
          <w:szCs w:val="21"/>
        </w:rPr>
        <w:br w:type="page"/>
      </w:r>
      <w:bookmarkStart w:id="345" w:name="_Toc2313"/>
      <w:bookmarkStart w:id="346" w:name="_Toc21605"/>
      <w:bookmarkStart w:id="347" w:name="_Toc1961"/>
      <w:r>
        <w:rPr>
          <w:rFonts w:hint="eastAsia" w:ascii="宋体" w:hAnsi="宋体"/>
          <w:b/>
          <w:color w:val="auto"/>
          <w:sz w:val="21"/>
          <w:szCs w:val="21"/>
        </w:rPr>
        <w:t>5.法定代表人授权委托书</w:t>
      </w:r>
      <w:bookmarkEnd w:id="345"/>
      <w:bookmarkEnd w:id="346"/>
      <w:bookmarkEnd w:id="347"/>
    </w:p>
    <w:p>
      <w:pPr>
        <w:pStyle w:val="68"/>
        <w:snapToGrid w:val="0"/>
        <w:spacing w:line="360" w:lineRule="atLeast"/>
        <w:ind w:firstLine="855"/>
        <w:jc w:val="center"/>
        <w:rPr>
          <w:rFonts w:ascii="宋体" w:hAnsi="宋体"/>
          <w:b/>
          <w:color w:val="auto"/>
          <w:sz w:val="21"/>
          <w:szCs w:val="21"/>
        </w:rPr>
      </w:pPr>
    </w:p>
    <w:p>
      <w:pPr>
        <w:spacing w:line="360" w:lineRule="auto"/>
        <w:ind w:firstLine="630"/>
        <w:rPr>
          <w:rFonts w:ascii="宋体" w:hAnsi="宋体"/>
          <w:szCs w:val="21"/>
        </w:rPr>
      </w:pPr>
      <w:r>
        <w:rPr>
          <w:rFonts w:hint="eastAsia" w:ascii="宋体" w:hAnsi="宋体"/>
          <w:szCs w:val="21"/>
        </w:rPr>
        <w:t>本授权委托书声明：我</w:t>
      </w:r>
      <w:r>
        <w:rPr>
          <w:rFonts w:hint="eastAsia" w:ascii="宋体" w:hAnsi="宋体"/>
          <w:szCs w:val="21"/>
          <w:u w:val="single"/>
        </w:rPr>
        <w:t xml:space="preserve">         </w:t>
      </w:r>
      <w:r>
        <w:rPr>
          <w:rFonts w:hint="eastAsia" w:ascii="宋体" w:hAnsi="宋体"/>
          <w:szCs w:val="21"/>
        </w:rPr>
        <w:t>（姓名）系</w:t>
      </w:r>
      <w:r>
        <w:rPr>
          <w:rFonts w:hint="eastAsia" w:ascii="宋体" w:hAnsi="宋体"/>
          <w:szCs w:val="21"/>
          <w:u w:val="single"/>
        </w:rPr>
        <w:t xml:space="preserve">               </w:t>
      </w:r>
      <w:r>
        <w:rPr>
          <w:rFonts w:hint="eastAsia" w:ascii="宋体" w:hAnsi="宋体"/>
          <w:szCs w:val="21"/>
        </w:rPr>
        <w:t>（投标人名称）的法定代表人，现授权委托</w:t>
      </w:r>
      <w:r>
        <w:rPr>
          <w:rFonts w:hint="eastAsia" w:ascii="宋体" w:hAnsi="宋体"/>
          <w:szCs w:val="21"/>
          <w:u w:val="single"/>
        </w:rPr>
        <w:t xml:space="preserve">                         </w:t>
      </w:r>
      <w:r>
        <w:rPr>
          <w:rFonts w:hint="eastAsia" w:ascii="宋体" w:hAnsi="宋体"/>
          <w:szCs w:val="21"/>
        </w:rPr>
        <w:t>（投标人名称）的</w:t>
      </w:r>
      <w:r>
        <w:rPr>
          <w:rFonts w:hint="eastAsia" w:ascii="宋体" w:hAnsi="宋体"/>
          <w:szCs w:val="21"/>
          <w:u w:val="single"/>
        </w:rPr>
        <w:t xml:space="preserve">            </w:t>
      </w:r>
      <w:r>
        <w:rPr>
          <w:rFonts w:hint="eastAsia" w:ascii="宋体" w:hAnsi="宋体"/>
          <w:szCs w:val="21"/>
        </w:rPr>
        <w:t>（姓名）为我公司代理人，以本公司的名义参加</w:t>
      </w:r>
      <w:r>
        <w:rPr>
          <w:rFonts w:hint="eastAsia" w:ascii="宋体" w:hAnsi="宋体"/>
          <w:szCs w:val="21"/>
          <w:u w:val="single"/>
        </w:rPr>
        <w:t xml:space="preserve">          </w:t>
      </w:r>
      <w:r>
        <w:rPr>
          <w:rFonts w:hint="eastAsia" w:ascii="宋体" w:hAnsi="宋体"/>
          <w:szCs w:val="21"/>
        </w:rPr>
        <w:t>（招标人）的</w:t>
      </w:r>
      <w:r>
        <w:rPr>
          <w:rFonts w:hint="eastAsia" w:ascii="宋体" w:hAnsi="宋体"/>
          <w:szCs w:val="21"/>
          <w:u w:val="single"/>
        </w:rPr>
        <w:t xml:space="preserve">                 项目</w:t>
      </w:r>
      <w:r>
        <w:rPr>
          <w:rFonts w:hint="eastAsia" w:ascii="宋体" w:hAnsi="宋体"/>
          <w:szCs w:val="21"/>
        </w:rPr>
        <w:t>的投标活动。代理人签署的投标文件和参加整个招标投标活动中所签署的一切文件和处理与之有关的一切事物，我均予以承认。</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代理人：</w:t>
      </w:r>
      <w:r>
        <w:rPr>
          <w:rFonts w:hint="eastAsia" w:ascii="宋体" w:hAnsi="宋体"/>
          <w:szCs w:val="21"/>
          <w:u w:val="single"/>
        </w:rPr>
        <w:t xml:space="preserve">              </w:t>
      </w:r>
      <w:r>
        <w:rPr>
          <w:rFonts w:hint="eastAsia" w:ascii="宋体" w:hAnsi="宋体"/>
          <w:szCs w:val="21"/>
        </w:rPr>
        <w:t>性别：</w:t>
      </w:r>
      <w:r>
        <w:rPr>
          <w:rFonts w:hint="eastAsia" w:ascii="宋体" w:hAnsi="宋体"/>
          <w:szCs w:val="21"/>
          <w:u w:val="single"/>
        </w:rPr>
        <w:t xml:space="preserve">             </w:t>
      </w:r>
      <w:r>
        <w:rPr>
          <w:rFonts w:hint="eastAsia" w:ascii="宋体" w:hAnsi="宋体"/>
          <w:szCs w:val="21"/>
        </w:rPr>
        <w:t>年龄：</w:t>
      </w:r>
      <w:r>
        <w:rPr>
          <w:rFonts w:hint="eastAsia" w:ascii="宋体" w:hAnsi="宋体"/>
          <w:szCs w:val="21"/>
          <w:u w:val="single"/>
        </w:rPr>
        <w:t xml:space="preserve">             </w:t>
      </w:r>
    </w:p>
    <w:p>
      <w:pPr>
        <w:spacing w:line="360" w:lineRule="auto"/>
        <w:rPr>
          <w:rFonts w:ascii="宋体" w:hAnsi="宋体"/>
          <w:szCs w:val="21"/>
        </w:rPr>
      </w:pPr>
      <w:r>
        <w:rPr>
          <w:rFonts w:hint="eastAsia" w:ascii="宋体" w:hAnsi="宋体"/>
          <w:szCs w:val="21"/>
        </w:rPr>
        <w:t>单  位：</w:t>
      </w:r>
      <w:r>
        <w:rPr>
          <w:rFonts w:hint="eastAsia" w:ascii="宋体" w:hAnsi="宋体"/>
          <w:szCs w:val="21"/>
          <w:u w:val="single"/>
        </w:rPr>
        <w:t xml:space="preserve">              </w:t>
      </w:r>
      <w:r>
        <w:rPr>
          <w:rFonts w:hint="eastAsia" w:ascii="宋体" w:hAnsi="宋体"/>
          <w:szCs w:val="21"/>
        </w:rPr>
        <w:t>部门：</w:t>
      </w:r>
      <w:r>
        <w:rPr>
          <w:rFonts w:hint="eastAsia" w:ascii="宋体" w:hAnsi="宋体"/>
          <w:szCs w:val="21"/>
          <w:u w:val="single"/>
        </w:rPr>
        <w:t xml:space="preserve">             </w:t>
      </w:r>
      <w:r>
        <w:rPr>
          <w:rFonts w:hint="eastAsia" w:ascii="宋体" w:hAnsi="宋体"/>
          <w:szCs w:val="21"/>
        </w:rPr>
        <w:t>职务：</w:t>
      </w:r>
      <w:r>
        <w:rPr>
          <w:rFonts w:hint="eastAsia" w:ascii="宋体" w:hAnsi="宋体"/>
          <w:szCs w:val="21"/>
          <w:u w:val="single"/>
        </w:rPr>
        <w:t xml:space="preserve">             </w:t>
      </w:r>
    </w:p>
    <w:p>
      <w:pPr>
        <w:spacing w:line="360" w:lineRule="auto"/>
        <w:rPr>
          <w:rFonts w:ascii="宋体" w:hAnsi="宋体"/>
          <w:szCs w:val="21"/>
        </w:rPr>
      </w:pPr>
      <w:r>
        <w:rPr>
          <w:rFonts w:hint="eastAsia" w:ascii="宋体" w:hAnsi="宋体"/>
          <w:szCs w:val="21"/>
        </w:rPr>
        <w:t>代理人无转委权。特此委托。</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mc:AlternateContent>
          <mc:Choice Requires="wps">
            <w:drawing>
              <wp:anchor distT="0" distB="0" distL="114300" distR="114300" simplePos="0" relativeHeight="251661312" behindDoc="0" locked="0" layoutInCell="1" allowOverlap="1">
                <wp:simplePos x="0" y="0"/>
                <wp:positionH relativeFrom="column">
                  <wp:posOffset>-22225</wp:posOffset>
                </wp:positionH>
                <wp:positionV relativeFrom="paragraph">
                  <wp:posOffset>8890</wp:posOffset>
                </wp:positionV>
                <wp:extent cx="2609215" cy="1704975"/>
                <wp:effectExtent l="4445" t="4445" r="15240" b="5080"/>
                <wp:wrapNone/>
                <wp:docPr id="2" name="文本框 6"/>
                <wp:cNvGraphicFramePr/>
                <a:graphic xmlns:a="http://schemas.openxmlformats.org/drawingml/2006/main">
                  <a:graphicData uri="http://schemas.microsoft.com/office/word/2010/wordprocessingShape">
                    <wps:wsp>
                      <wps:cNvSpPr txBox="1"/>
                      <wps:spPr>
                        <a:xfrm>
                          <a:off x="0" y="0"/>
                          <a:ext cx="2609215" cy="1704975"/>
                        </a:xfrm>
                        <a:prstGeom prst="rect">
                          <a:avLst/>
                        </a:prstGeom>
                        <a:solidFill>
                          <a:srgbClr val="FFFFFF"/>
                        </a:solidFill>
                        <a:ln w="9525" cap="flat" cmpd="sng">
                          <a:solidFill>
                            <a:srgbClr val="000000"/>
                          </a:solidFill>
                          <a:prstDash val="solid"/>
                          <a:miter/>
                          <a:headEnd type="none" w="med" len="med"/>
                          <a:tailEnd type="none" w="med" len="med"/>
                        </a:ln>
                      </wps:spPr>
                      <wps:txbx>
                        <w:txbxContent>
                          <w:p/>
                          <w:p/>
                          <w:p/>
                          <w:p/>
                          <w:p>
                            <w:r>
                              <w:rPr>
                                <w:rFonts w:hint="eastAsia"/>
                              </w:rPr>
                              <w:t xml:space="preserve">       附委托人身份证复印件正面</w:t>
                            </w:r>
                          </w:p>
                        </w:txbxContent>
                      </wps:txbx>
                      <wps:bodyPr upright="1"/>
                    </wps:wsp>
                  </a:graphicData>
                </a:graphic>
              </wp:anchor>
            </w:drawing>
          </mc:Choice>
          <mc:Fallback>
            <w:pict>
              <v:shape id="文本框 6" o:spid="_x0000_s1026" o:spt="202" type="#_x0000_t202" style="position:absolute;left:0pt;margin-left:-1.75pt;margin-top:0.7pt;height:134.25pt;width:205.45pt;z-index:251661312;mso-width-relative:page;mso-height-relative:page;" fillcolor="#FFFFFF" filled="t" stroked="t" coordsize="21600,21600" o:gfxdata="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sGixNkAAAAIAQAADwAAAAAAAAABACAA&#10;AAAiAAAAZHJzL2Rvd25yZXYueG1sUEsBAhQAFAAAAAgAh07iQELcd/MMAgAANwQAAA4AAAAAAAAA&#10;AQAgAAAAKAEAAGRycy9lMm9Eb2MueG1sUEsFBgAAAAAGAAYAWQEAAKYFAAAAAA==&#10;">
                <v:fill on="t" focussize="0,0"/>
                <v:stroke color="#000000" joinstyle="miter"/>
                <v:imagedata o:title=""/>
                <o:lock v:ext="edit" aspectratio="f"/>
                <v:textbox>
                  <w:txbxContent>
                    <w:p/>
                    <w:p/>
                    <w:p/>
                    <w:p/>
                    <w:p>
                      <w:r>
                        <w:rPr>
                          <w:rFonts w:hint="eastAsia"/>
                        </w:rPr>
                        <w:t xml:space="preserve">       附委托人身份证复印件正面</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2663190</wp:posOffset>
                </wp:positionH>
                <wp:positionV relativeFrom="paragraph">
                  <wp:posOffset>10160</wp:posOffset>
                </wp:positionV>
                <wp:extent cx="2722880" cy="1694180"/>
                <wp:effectExtent l="5080" t="5080" r="15240" b="15240"/>
                <wp:wrapNone/>
                <wp:docPr id="4" name="文本框 6"/>
                <wp:cNvGraphicFramePr/>
                <a:graphic xmlns:a="http://schemas.openxmlformats.org/drawingml/2006/main">
                  <a:graphicData uri="http://schemas.microsoft.com/office/word/2010/wordprocessingShape">
                    <wps:wsp>
                      <wps:cNvSpPr txBox="1"/>
                      <wps:spPr>
                        <a:xfrm>
                          <a:off x="0" y="0"/>
                          <a:ext cx="2722880" cy="1694180"/>
                        </a:xfrm>
                        <a:prstGeom prst="rect">
                          <a:avLst/>
                        </a:prstGeom>
                        <a:solidFill>
                          <a:srgbClr val="FFFFFF"/>
                        </a:solidFill>
                        <a:ln w="9525" cap="flat" cmpd="sng">
                          <a:solidFill>
                            <a:srgbClr val="000000"/>
                          </a:solidFill>
                          <a:prstDash val="solid"/>
                          <a:miter/>
                          <a:headEnd type="none" w="med" len="med"/>
                          <a:tailEnd type="none" w="med" len="med"/>
                        </a:ln>
                      </wps:spPr>
                      <wps:txbx>
                        <w:txbxContent>
                          <w:p/>
                          <w:p/>
                          <w:p/>
                          <w:p/>
                          <w:p>
                            <w:r>
                              <w:rPr>
                                <w:rFonts w:hint="eastAsia"/>
                              </w:rPr>
                              <w:t xml:space="preserve">      附委托人身份证复印件反面</w:t>
                            </w:r>
                          </w:p>
                        </w:txbxContent>
                      </wps:txbx>
                      <wps:bodyPr upright="1"/>
                    </wps:wsp>
                  </a:graphicData>
                </a:graphic>
              </wp:anchor>
            </w:drawing>
          </mc:Choice>
          <mc:Fallback>
            <w:pict>
              <v:shape id="文本框 6" o:spid="_x0000_s1026" o:spt="202" type="#_x0000_t202" style="position:absolute;left:0pt;margin-left:209.7pt;margin-top:0.8pt;height:133.4pt;width:214.4pt;z-index:251663360;mso-width-relative:page;mso-height-relative:page;" fillcolor="#FFFFFF" filled="t" stroked="t" coordsize="21600,21600" o:gfxdata="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DUS1PYAAAACQEAAA8AAAAAAAAAAQAgAAAA&#10;IgAAAGRycy9kb3ducmV2LnhtbFBLAQIUABQAAAAIAIdO4kDHO6qkCwIAADcEAAAOAAAAAAAAAAEA&#10;IAAAACcBAABkcnMvZTJvRG9jLnhtbFBLBQYAAAAABgAGAFkBAACkBQAAAAA=&#10;">
                <v:fill on="t" focussize="0,0"/>
                <v:stroke color="#000000" joinstyle="miter"/>
                <v:imagedata o:title=""/>
                <o:lock v:ext="edit" aspectratio="f"/>
                <v:textbox>
                  <w:txbxContent>
                    <w:p/>
                    <w:p/>
                    <w:p/>
                    <w:p/>
                    <w:p>
                      <w:r>
                        <w:rPr>
                          <w:rFonts w:hint="eastAsia"/>
                        </w:rPr>
                        <w:t xml:space="preserve">      附委托人身份证复印件反面</w:t>
                      </w:r>
                    </w:p>
                  </w:txbxContent>
                </v:textbox>
              </v:shape>
            </w:pict>
          </mc:Fallback>
        </mc:AlternateContent>
      </w:r>
    </w:p>
    <w:p>
      <w:pPr>
        <w:spacing w:line="360" w:lineRule="auto"/>
        <w:rPr>
          <w:rFonts w:ascii="宋体" w:hAnsi="宋体"/>
          <w:szCs w:val="21"/>
        </w:rPr>
      </w:pPr>
      <w:r>
        <w:rPr>
          <w:rFonts w:hint="eastAsia" w:ascii="宋体" w:hAnsi="宋体"/>
          <w:szCs w:val="21"/>
        </w:rPr>
        <w:t xml:space="preserve">                                                         </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pStyle w:val="68"/>
        <w:snapToGrid w:val="0"/>
        <w:spacing w:line="360" w:lineRule="auto"/>
        <w:ind w:firstLine="400" w:firstLineChars="200"/>
        <w:jc w:val="both"/>
        <w:rPr>
          <w:rFonts w:ascii="宋体" w:hAnsi="宋体" w:cs="宋体"/>
          <w:color w:val="auto"/>
          <w:sz w:val="21"/>
          <w:szCs w:val="21"/>
          <w:u w:val="single"/>
        </w:rPr>
      </w:pPr>
      <w:r>
        <w:rPr>
          <w:rFonts w:hint="eastAsia" w:ascii="宋体" w:hAnsi="宋体"/>
          <w:color w:val="auto"/>
          <w:szCs w:val="21"/>
        </w:rPr>
        <w:t xml:space="preserve">                       </w:t>
      </w:r>
      <w:r>
        <w:rPr>
          <w:rFonts w:hint="eastAsia" w:ascii="宋体" w:hAnsi="宋体" w:cs="宋体"/>
          <w:color w:val="auto"/>
          <w:sz w:val="21"/>
          <w:szCs w:val="21"/>
        </w:rPr>
        <w:t>投标人名称(公章)：</w:t>
      </w:r>
      <w:r>
        <w:rPr>
          <w:rFonts w:hint="eastAsia" w:ascii="宋体" w:hAnsi="宋体" w:cs="宋体"/>
          <w:color w:val="auto"/>
          <w:sz w:val="21"/>
          <w:szCs w:val="21"/>
          <w:u w:val="single"/>
        </w:rPr>
        <w:t xml:space="preserve">                            </w:t>
      </w:r>
    </w:p>
    <w:p>
      <w:pPr>
        <w:pStyle w:val="68"/>
        <w:snapToGrid w:val="0"/>
        <w:spacing w:line="360" w:lineRule="auto"/>
        <w:ind w:firstLine="2730" w:firstLineChars="1300"/>
        <w:jc w:val="both"/>
        <w:rPr>
          <w:rFonts w:ascii="宋体" w:hAnsi="宋体" w:cs="宋体"/>
          <w:color w:val="auto"/>
          <w:sz w:val="21"/>
          <w:szCs w:val="21"/>
        </w:rPr>
      </w:pPr>
      <w:r>
        <w:rPr>
          <w:rFonts w:hint="eastAsia" w:ascii="宋体" w:hAnsi="宋体" w:cs="宋体"/>
          <w:color w:val="auto"/>
          <w:sz w:val="21"/>
          <w:szCs w:val="21"/>
        </w:rPr>
        <w:t>投标人法人签字：</w:t>
      </w:r>
      <w:r>
        <w:rPr>
          <w:rFonts w:hint="eastAsia" w:ascii="宋体" w:hAnsi="宋体" w:cs="宋体"/>
          <w:color w:val="auto"/>
          <w:sz w:val="21"/>
          <w:szCs w:val="21"/>
          <w:u w:val="single"/>
        </w:rPr>
        <w:t xml:space="preserve">                          </w:t>
      </w:r>
    </w:p>
    <w:p>
      <w:pPr>
        <w:pStyle w:val="68"/>
        <w:snapToGrid w:val="0"/>
        <w:spacing w:line="360" w:lineRule="auto"/>
        <w:ind w:firstLine="2730" w:firstLineChars="1300"/>
        <w:jc w:val="both"/>
        <w:rPr>
          <w:rFonts w:ascii="宋体" w:hAnsi="宋体" w:cs="宋体"/>
          <w:color w:val="auto"/>
          <w:sz w:val="21"/>
          <w:szCs w:val="21"/>
        </w:rPr>
      </w:pPr>
      <w:r>
        <w:rPr>
          <w:rFonts w:hint="eastAsia" w:ascii="宋体" w:hAnsi="宋体" w:cs="宋体"/>
          <w:color w:val="auto"/>
          <w:sz w:val="21"/>
          <w:szCs w:val="21"/>
        </w:rPr>
        <w:t>法定代表人身份证号：</w:t>
      </w:r>
      <w:r>
        <w:rPr>
          <w:rFonts w:hint="eastAsia" w:ascii="宋体" w:hAnsi="宋体" w:cs="宋体"/>
          <w:color w:val="auto"/>
          <w:sz w:val="21"/>
          <w:szCs w:val="21"/>
          <w:u w:val="single"/>
        </w:rPr>
        <w:t xml:space="preserve">                      </w:t>
      </w:r>
    </w:p>
    <w:p>
      <w:pPr>
        <w:pStyle w:val="68"/>
        <w:snapToGrid w:val="0"/>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 xml:space="preserve">                      委托人签字：</w:t>
      </w:r>
      <w:r>
        <w:rPr>
          <w:rFonts w:hint="eastAsia" w:ascii="宋体" w:hAnsi="宋体" w:cs="宋体"/>
          <w:color w:val="auto"/>
          <w:sz w:val="21"/>
          <w:szCs w:val="21"/>
          <w:u w:val="single"/>
        </w:rPr>
        <w:t xml:space="preserve">                              </w:t>
      </w:r>
    </w:p>
    <w:p>
      <w:pPr>
        <w:pStyle w:val="68"/>
        <w:snapToGrid w:val="0"/>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 xml:space="preserve">                      委托人身份证号：</w:t>
      </w:r>
      <w:r>
        <w:rPr>
          <w:rFonts w:hint="eastAsia" w:ascii="宋体" w:hAnsi="宋体" w:cs="宋体"/>
          <w:color w:val="auto"/>
          <w:sz w:val="21"/>
          <w:szCs w:val="21"/>
          <w:u w:val="single"/>
        </w:rPr>
        <w:t xml:space="preserve">                          </w:t>
      </w:r>
    </w:p>
    <w:p>
      <w:pPr>
        <w:pStyle w:val="68"/>
        <w:snapToGrid w:val="0"/>
        <w:spacing w:line="360" w:lineRule="auto"/>
        <w:rPr>
          <w:rFonts w:ascii="宋体" w:hAnsi="宋体" w:cs="宋体"/>
          <w:color w:val="auto"/>
          <w:sz w:val="21"/>
          <w:szCs w:val="21"/>
        </w:rPr>
      </w:pPr>
      <w:r>
        <w:rPr>
          <w:rFonts w:hint="eastAsia" w:ascii="宋体" w:hAnsi="宋体" w:cs="宋体"/>
          <w:color w:val="auto"/>
          <w:sz w:val="21"/>
          <w:szCs w:val="21"/>
        </w:rPr>
        <w:t xml:space="preserve">                          日      期： </w:t>
      </w:r>
      <w:r>
        <w:rPr>
          <w:rFonts w:hint="eastAsia" w:ascii="宋体" w:hAnsi="宋体" w:cs="宋体"/>
          <w:color w:val="auto"/>
          <w:sz w:val="21"/>
          <w:szCs w:val="21"/>
          <w:u w:val="single"/>
        </w:rPr>
        <w:t xml:space="preserve">    </w:t>
      </w:r>
      <w:r>
        <w:rPr>
          <w:rFonts w:hint="eastAsia" w:ascii="宋体" w:hAnsi="宋体" w:cs="宋体"/>
          <w:color w:val="auto"/>
          <w:sz w:val="21"/>
          <w:szCs w:val="21"/>
        </w:rPr>
        <w:t>年</w:t>
      </w:r>
      <w:r>
        <w:rPr>
          <w:rFonts w:hint="eastAsia" w:ascii="宋体" w:hAnsi="宋体" w:cs="宋体"/>
          <w:color w:val="auto"/>
          <w:sz w:val="21"/>
          <w:szCs w:val="21"/>
          <w:u w:val="single"/>
        </w:rPr>
        <w:t xml:space="preserve">   </w:t>
      </w:r>
      <w:r>
        <w:rPr>
          <w:rFonts w:hint="eastAsia" w:ascii="宋体" w:hAnsi="宋体" w:cs="宋体"/>
          <w:color w:val="auto"/>
          <w:sz w:val="21"/>
          <w:szCs w:val="21"/>
        </w:rPr>
        <w:t>月</w:t>
      </w:r>
      <w:r>
        <w:rPr>
          <w:rFonts w:hint="eastAsia" w:ascii="宋体" w:hAnsi="宋体" w:cs="宋体"/>
          <w:color w:val="auto"/>
          <w:sz w:val="21"/>
          <w:szCs w:val="21"/>
          <w:u w:val="single"/>
        </w:rPr>
        <w:t xml:space="preserve">   </w:t>
      </w:r>
      <w:r>
        <w:rPr>
          <w:rFonts w:hint="eastAsia" w:ascii="宋体" w:hAnsi="宋体" w:cs="宋体"/>
          <w:color w:val="auto"/>
          <w:sz w:val="21"/>
          <w:szCs w:val="21"/>
        </w:rPr>
        <w:t>日</w:t>
      </w:r>
    </w:p>
    <w:p>
      <w:pPr>
        <w:wordWrap w:val="0"/>
        <w:spacing w:line="360" w:lineRule="auto"/>
        <w:jc w:val="center"/>
        <w:rPr>
          <w:rFonts w:ascii="宋体" w:hAnsi="宋体"/>
          <w:b/>
          <w:szCs w:val="21"/>
        </w:rPr>
      </w:pPr>
    </w:p>
    <w:p>
      <w:pPr>
        <w:spacing w:line="400" w:lineRule="atLeast"/>
        <w:ind w:firstLine="240" w:firstLineChars="100"/>
        <w:rPr>
          <w:rFonts w:ascii="Arial" w:hAnsi="Arial" w:cs="Arial"/>
          <w:sz w:val="24"/>
        </w:rPr>
      </w:pPr>
      <w:r>
        <w:rPr>
          <w:rFonts w:ascii="Arial" w:hAnsi="Arial" w:cs="Arial"/>
          <w:sz w:val="24"/>
        </w:rPr>
        <w:t>注：</w:t>
      </w:r>
      <w:r>
        <w:rPr>
          <w:rFonts w:hint="eastAsia" w:ascii="Arial" w:hAnsi="Arial" w:cs="Arial"/>
          <w:sz w:val="24"/>
        </w:rPr>
        <w:t>若</w:t>
      </w:r>
      <w:r>
        <w:rPr>
          <w:rFonts w:ascii="Arial" w:hAnsi="Arial" w:cs="Arial"/>
          <w:sz w:val="24"/>
        </w:rPr>
        <w:t>公司法人前来参加投标的投标人，可以不提供此项证明文件。</w:t>
      </w:r>
    </w:p>
    <w:p>
      <w:pPr>
        <w:widowControl/>
        <w:spacing w:line="360" w:lineRule="auto"/>
        <w:ind w:firstLine="420"/>
        <w:jc w:val="center"/>
      </w:pPr>
      <w:r>
        <w:rPr>
          <w:rFonts w:ascii="宋体" w:hAnsi="宋体"/>
          <w:b/>
          <w:szCs w:val="21"/>
        </w:rPr>
        <w:br w:type="page"/>
      </w:r>
      <w:bookmarkStart w:id="348" w:name="_Toc414636091"/>
      <w:bookmarkStart w:id="349" w:name="_Toc8749"/>
      <w:bookmarkStart w:id="350" w:name="_Toc1439"/>
    </w:p>
    <w:bookmarkEnd w:id="348"/>
    <w:bookmarkEnd w:id="349"/>
    <w:bookmarkEnd w:id="350"/>
    <w:p>
      <w:pPr>
        <w:widowControl/>
        <w:spacing w:line="360" w:lineRule="auto"/>
        <w:jc w:val="center"/>
        <w:outlineLvl w:val="0"/>
        <w:rPr>
          <w:rFonts w:ascii="宋体" w:hAnsi="宋体" w:cs="宋体"/>
          <w:b/>
          <w:bCs/>
          <w:kern w:val="0"/>
          <w:szCs w:val="21"/>
        </w:rPr>
      </w:pPr>
      <w:bookmarkStart w:id="351" w:name="_Toc18759"/>
      <w:bookmarkStart w:id="352" w:name="_Toc24870"/>
      <w:r>
        <w:rPr>
          <w:rFonts w:hint="eastAsia" w:ascii="宋体" w:hAnsi="宋体" w:cs="宋体"/>
          <w:b/>
          <w:bCs/>
          <w:kern w:val="0"/>
          <w:szCs w:val="21"/>
        </w:rPr>
        <w:t>6、投标人基本情况表</w:t>
      </w:r>
      <w:bookmarkEnd w:id="351"/>
      <w:bookmarkEnd w:id="352"/>
    </w:p>
    <w:tbl>
      <w:tblPr>
        <w:tblStyle w:val="39"/>
        <w:tblW w:w="86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93"/>
        <w:gridCol w:w="1766"/>
        <w:gridCol w:w="1211"/>
        <w:gridCol w:w="1767"/>
        <w:gridCol w:w="17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Align w:val="center"/>
          </w:tcPr>
          <w:p>
            <w:pPr>
              <w:adjustRightInd w:val="0"/>
              <w:snapToGrid w:val="0"/>
              <w:jc w:val="center"/>
              <w:rPr>
                <w:rFonts w:ascii="宋体" w:hAnsi="宋体"/>
                <w:b/>
                <w:szCs w:val="21"/>
              </w:rPr>
            </w:pPr>
            <w:r>
              <w:rPr>
                <w:rFonts w:hint="eastAsia" w:ascii="宋体" w:hAnsi="宋体" w:cs="宋体"/>
                <w:b/>
                <w:szCs w:val="21"/>
              </w:rPr>
              <w:t>投标人名称</w:t>
            </w:r>
          </w:p>
        </w:tc>
        <w:tc>
          <w:tcPr>
            <w:tcW w:w="6511" w:type="dxa"/>
            <w:gridSpan w:val="4"/>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Align w:val="center"/>
          </w:tcPr>
          <w:p>
            <w:pPr>
              <w:jc w:val="center"/>
              <w:rPr>
                <w:rFonts w:ascii="宋体" w:hAnsi="宋体"/>
                <w:b/>
                <w:szCs w:val="21"/>
              </w:rPr>
            </w:pPr>
            <w:r>
              <w:rPr>
                <w:rFonts w:hint="eastAsia" w:ascii="宋体" w:hAnsi="宋体"/>
                <w:b/>
                <w:szCs w:val="21"/>
              </w:rPr>
              <w:t>注册地址</w:t>
            </w:r>
          </w:p>
        </w:tc>
        <w:tc>
          <w:tcPr>
            <w:tcW w:w="6511" w:type="dxa"/>
            <w:gridSpan w:val="4"/>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Merge w:val="restart"/>
            <w:vAlign w:val="center"/>
          </w:tcPr>
          <w:p>
            <w:pPr>
              <w:adjustRightInd w:val="0"/>
              <w:snapToGrid w:val="0"/>
              <w:jc w:val="center"/>
              <w:rPr>
                <w:rFonts w:ascii="宋体" w:hAnsi="宋体"/>
                <w:b/>
                <w:szCs w:val="21"/>
              </w:rPr>
            </w:pPr>
            <w:r>
              <w:rPr>
                <w:rFonts w:hint="eastAsia" w:ascii="宋体" w:hAnsi="宋体" w:cs="宋体"/>
                <w:b/>
                <w:szCs w:val="21"/>
              </w:rPr>
              <w:t>联系方式</w:t>
            </w:r>
          </w:p>
        </w:tc>
        <w:tc>
          <w:tcPr>
            <w:tcW w:w="1766" w:type="dxa"/>
            <w:vAlign w:val="center"/>
          </w:tcPr>
          <w:p>
            <w:pPr>
              <w:adjustRightInd w:val="0"/>
              <w:snapToGrid w:val="0"/>
              <w:jc w:val="center"/>
              <w:rPr>
                <w:rFonts w:ascii="宋体" w:hAnsi="宋体"/>
                <w:b/>
                <w:szCs w:val="21"/>
              </w:rPr>
            </w:pPr>
            <w:r>
              <w:rPr>
                <w:rFonts w:hint="eastAsia" w:ascii="宋体" w:hAnsi="宋体" w:cs="宋体"/>
                <w:b/>
                <w:szCs w:val="21"/>
              </w:rPr>
              <w:t>联系人</w:t>
            </w:r>
          </w:p>
        </w:tc>
        <w:tc>
          <w:tcPr>
            <w:tcW w:w="1211" w:type="dxa"/>
            <w:vAlign w:val="center"/>
          </w:tcPr>
          <w:p>
            <w:pPr>
              <w:adjustRightInd w:val="0"/>
              <w:snapToGrid w:val="0"/>
              <w:jc w:val="center"/>
              <w:rPr>
                <w:rFonts w:ascii="宋体" w:hAnsi="宋体"/>
                <w:b/>
                <w:szCs w:val="21"/>
              </w:rPr>
            </w:pPr>
          </w:p>
        </w:tc>
        <w:tc>
          <w:tcPr>
            <w:tcW w:w="1767" w:type="dxa"/>
            <w:vAlign w:val="center"/>
          </w:tcPr>
          <w:p>
            <w:pPr>
              <w:adjustRightInd w:val="0"/>
              <w:snapToGrid w:val="0"/>
              <w:jc w:val="center"/>
              <w:rPr>
                <w:rFonts w:ascii="宋体" w:hAnsi="宋体"/>
                <w:b/>
                <w:szCs w:val="21"/>
              </w:rPr>
            </w:pPr>
            <w:r>
              <w:rPr>
                <w:rFonts w:hint="eastAsia" w:ascii="宋体" w:hAnsi="宋体"/>
                <w:b/>
                <w:szCs w:val="21"/>
              </w:rPr>
              <w:t>电话</w:t>
            </w:r>
          </w:p>
        </w:tc>
        <w:tc>
          <w:tcPr>
            <w:tcW w:w="1767" w:type="dxa"/>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Merge w:val="continue"/>
            <w:vAlign w:val="center"/>
          </w:tcPr>
          <w:p>
            <w:pPr>
              <w:adjustRightInd w:val="0"/>
              <w:snapToGrid w:val="0"/>
              <w:jc w:val="center"/>
              <w:rPr>
                <w:rFonts w:ascii="宋体" w:hAnsi="宋体"/>
                <w:b/>
                <w:szCs w:val="21"/>
              </w:rPr>
            </w:pPr>
          </w:p>
        </w:tc>
        <w:tc>
          <w:tcPr>
            <w:tcW w:w="1766" w:type="dxa"/>
            <w:vAlign w:val="center"/>
          </w:tcPr>
          <w:p>
            <w:pPr>
              <w:adjustRightInd w:val="0"/>
              <w:snapToGrid w:val="0"/>
              <w:jc w:val="center"/>
              <w:rPr>
                <w:rFonts w:ascii="宋体" w:hAnsi="宋体"/>
                <w:b/>
                <w:szCs w:val="21"/>
              </w:rPr>
            </w:pPr>
            <w:r>
              <w:rPr>
                <w:rFonts w:hint="eastAsia" w:ascii="宋体" w:hAnsi="宋体"/>
                <w:b/>
                <w:szCs w:val="21"/>
              </w:rPr>
              <w:t>传真</w:t>
            </w:r>
          </w:p>
        </w:tc>
        <w:tc>
          <w:tcPr>
            <w:tcW w:w="1211" w:type="dxa"/>
            <w:vAlign w:val="center"/>
          </w:tcPr>
          <w:p>
            <w:pPr>
              <w:adjustRightInd w:val="0"/>
              <w:snapToGrid w:val="0"/>
              <w:jc w:val="center"/>
              <w:rPr>
                <w:rFonts w:ascii="宋体" w:hAnsi="宋体"/>
                <w:b/>
                <w:szCs w:val="21"/>
              </w:rPr>
            </w:pPr>
          </w:p>
        </w:tc>
        <w:tc>
          <w:tcPr>
            <w:tcW w:w="1767" w:type="dxa"/>
            <w:vAlign w:val="center"/>
          </w:tcPr>
          <w:p>
            <w:pPr>
              <w:adjustRightInd w:val="0"/>
              <w:snapToGrid w:val="0"/>
              <w:jc w:val="center"/>
              <w:rPr>
                <w:rFonts w:ascii="宋体" w:hAnsi="宋体"/>
                <w:b/>
                <w:szCs w:val="21"/>
              </w:rPr>
            </w:pPr>
            <w:r>
              <w:rPr>
                <w:rFonts w:hint="eastAsia" w:ascii="宋体" w:hAnsi="宋体"/>
                <w:b/>
                <w:szCs w:val="21"/>
              </w:rPr>
              <w:t>电子邮箱</w:t>
            </w:r>
          </w:p>
        </w:tc>
        <w:tc>
          <w:tcPr>
            <w:tcW w:w="1767" w:type="dxa"/>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6" w:hRule="exact"/>
          <w:jc w:val="center"/>
        </w:trPr>
        <w:tc>
          <w:tcPr>
            <w:tcW w:w="2093" w:type="dxa"/>
            <w:vAlign w:val="center"/>
          </w:tcPr>
          <w:p>
            <w:pPr>
              <w:adjustRightInd w:val="0"/>
              <w:snapToGrid w:val="0"/>
              <w:jc w:val="center"/>
              <w:rPr>
                <w:rFonts w:ascii="宋体" w:hAnsi="宋体"/>
                <w:b/>
                <w:szCs w:val="21"/>
              </w:rPr>
            </w:pPr>
            <w:r>
              <w:rPr>
                <w:rFonts w:hint="eastAsia" w:ascii="宋体" w:hAnsi="宋体"/>
                <w:b/>
                <w:szCs w:val="21"/>
              </w:rPr>
              <w:t>法定代表人</w:t>
            </w:r>
          </w:p>
          <w:p>
            <w:pPr>
              <w:adjustRightInd w:val="0"/>
              <w:snapToGrid w:val="0"/>
              <w:jc w:val="center"/>
              <w:rPr>
                <w:rFonts w:ascii="宋体" w:hAnsi="宋体"/>
                <w:b/>
                <w:szCs w:val="21"/>
              </w:rPr>
            </w:pPr>
            <w:r>
              <w:rPr>
                <w:rFonts w:hint="eastAsia" w:ascii="宋体" w:hAnsi="宋体"/>
                <w:b/>
                <w:szCs w:val="21"/>
              </w:rPr>
              <w:t>（或负责人）</w:t>
            </w:r>
          </w:p>
        </w:tc>
        <w:tc>
          <w:tcPr>
            <w:tcW w:w="1766" w:type="dxa"/>
            <w:vAlign w:val="center"/>
          </w:tcPr>
          <w:p>
            <w:pPr>
              <w:adjustRightInd w:val="0"/>
              <w:snapToGrid w:val="0"/>
              <w:jc w:val="center"/>
              <w:rPr>
                <w:rFonts w:ascii="宋体" w:hAnsi="宋体"/>
                <w:b/>
                <w:szCs w:val="21"/>
              </w:rPr>
            </w:pPr>
            <w:r>
              <w:rPr>
                <w:rFonts w:hint="eastAsia" w:ascii="宋体" w:hAnsi="宋体"/>
                <w:b/>
                <w:szCs w:val="21"/>
              </w:rPr>
              <w:t>姓名</w:t>
            </w:r>
          </w:p>
        </w:tc>
        <w:tc>
          <w:tcPr>
            <w:tcW w:w="1211" w:type="dxa"/>
            <w:vAlign w:val="center"/>
          </w:tcPr>
          <w:p>
            <w:pPr>
              <w:adjustRightInd w:val="0"/>
              <w:snapToGrid w:val="0"/>
              <w:jc w:val="center"/>
              <w:rPr>
                <w:rFonts w:ascii="宋体" w:hAnsi="宋体"/>
                <w:b/>
                <w:szCs w:val="21"/>
              </w:rPr>
            </w:pPr>
          </w:p>
        </w:tc>
        <w:tc>
          <w:tcPr>
            <w:tcW w:w="1767" w:type="dxa"/>
            <w:vAlign w:val="center"/>
          </w:tcPr>
          <w:p>
            <w:pPr>
              <w:adjustRightInd w:val="0"/>
              <w:snapToGrid w:val="0"/>
              <w:jc w:val="center"/>
              <w:rPr>
                <w:rFonts w:ascii="宋体" w:hAnsi="宋体"/>
                <w:b/>
                <w:szCs w:val="21"/>
              </w:rPr>
            </w:pPr>
            <w:r>
              <w:rPr>
                <w:rFonts w:hint="eastAsia" w:ascii="宋体" w:hAnsi="宋体"/>
                <w:b/>
                <w:szCs w:val="21"/>
              </w:rPr>
              <w:t>电话</w:t>
            </w:r>
          </w:p>
        </w:tc>
        <w:tc>
          <w:tcPr>
            <w:tcW w:w="1767" w:type="dxa"/>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Align w:val="center"/>
          </w:tcPr>
          <w:p>
            <w:pPr>
              <w:adjustRightInd w:val="0"/>
              <w:snapToGrid w:val="0"/>
              <w:jc w:val="center"/>
              <w:rPr>
                <w:rFonts w:ascii="宋体" w:hAnsi="宋体"/>
                <w:b/>
                <w:szCs w:val="21"/>
              </w:rPr>
            </w:pPr>
            <w:r>
              <w:rPr>
                <w:rFonts w:hint="eastAsia" w:ascii="宋体" w:hAnsi="宋体"/>
                <w:b/>
                <w:szCs w:val="21"/>
              </w:rPr>
              <w:t>统一社会信用代码</w:t>
            </w:r>
          </w:p>
        </w:tc>
        <w:tc>
          <w:tcPr>
            <w:tcW w:w="2977" w:type="dxa"/>
            <w:gridSpan w:val="2"/>
            <w:vAlign w:val="center"/>
          </w:tcPr>
          <w:p>
            <w:pPr>
              <w:adjustRightInd w:val="0"/>
              <w:snapToGrid w:val="0"/>
              <w:jc w:val="center"/>
              <w:rPr>
                <w:rFonts w:ascii="宋体" w:hAnsi="宋体"/>
                <w:b/>
                <w:szCs w:val="21"/>
              </w:rPr>
            </w:pPr>
          </w:p>
        </w:tc>
        <w:tc>
          <w:tcPr>
            <w:tcW w:w="1767" w:type="dxa"/>
            <w:vAlign w:val="center"/>
          </w:tcPr>
          <w:p>
            <w:pPr>
              <w:adjustRightInd w:val="0"/>
              <w:snapToGrid w:val="0"/>
              <w:jc w:val="center"/>
              <w:rPr>
                <w:rFonts w:ascii="宋体" w:hAnsi="宋体"/>
                <w:b/>
                <w:szCs w:val="21"/>
              </w:rPr>
            </w:pPr>
            <w:r>
              <w:rPr>
                <w:rFonts w:hint="eastAsia" w:ascii="宋体" w:hAnsi="宋体"/>
                <w:b/>
                <w:szCs w:val="21"/>
              </w:rPr>
              <w:t>员工总人数</w:t>
            </w:r>
          </w:p>
        </w:tc>
        <w:tc>
          <w:tcPr>
            <w:tcW w:w="1767" w:type="dxa"/>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Align w:val="center"/>
          </w:tcPr>
          <w:p>
            <w:pPr>
              <w:adjustRightInd w:val="0"/>
              <w:snapToGrid w:val="0"/>
              <w:jc w:val="center"/>
              <w:rPr>
                <w:rFonts w:ascii="宋体" w:hAnsi="宋体"/>
                <w:b/>
                <w:szCs w:val="21"/>
              </w:rPr>
            </w:pPr>
            <w:r>
              <w:rPr>
                <w:rFonts w:hint="eastAsia" w:ascii="宋体" w:hAnsi="宋体"/>
                <w:b/>
                <w:szCs w:val="21"/>
              </w:rPr>
              <w:t>类型</w:t>
            </w:r>
          </w:p>
        </w:tc>
        <w:tc>
          <w:tcPr>
            <w:tcW w:w="1766" w:type="dxa"/>
            <w:vAlign w:val="center"/>
          </w:tcPr>
          <w:p>
            <w:pPr>
              <w:adjustRightInd w:val="0"/>
              <w:snapToGrid w:val="0"/>
              <w:jc w:val="center"/>
              <w:rPr>
                <w:rFonts w:ascii="宋体" w:hAnsi="宋体"/>
                <w:b/>
                <w:szCs w:val="21"/>
              </w:rPr>
            </w:pPr>
          </w:p>
        </w:tc>
        <w:tc>
          <w:tcPr>
            <w:tcW w:w="1211" w:type="dxa"/>
            <w:vMerge w:val="restart"/>
            <w:vAlign w:val="center"/>
          </w:tcPr>
          <w:p>
            <w:pPr>
              <w:adjustRightInd w:val="0"/>
              <w:snapToGrid w:val="0"/>
              <w:jc w:val="center"/>
              <w:rPr>
                <w:rFonts w:ascii="宋体" w:hAnsi="宋体"/>
                <w:b/>
                <w:szCs w:val="21"/>
              </w:rPr>
            </w:pPr>
            <w:r>
              <w:rPr>
                <w:rFonts w:hint="eastAsia" w:ascii="宋体" w:hAnsi="宋体"/>
                <w:b/>
                <w:szCs w:val="21"/>
              </w:rPr>
              <w:t>其中</w:t>
            </w:r>
          </w:p>
        </w:tc>
        <w:tc>
          <w:tcPr>
            <w:tcW w:w="1767" w:type="dxa"/>
            <w:vMerge w:val="restart"/>
            <w:vAlign w:val="center"/>
          </w:tcPr>
          <w:p>
            <w:pPr>
              <w:adjustRightInd w:val="0"/>
              <w:snapToGrid w:val="0"/>
              <w:jc w:val="center"/>
              <w:rPr>
                <w:rFonts w:ascii="宋体" w:hAnsi="宋体"/>
                <w:b/>
                <w:szCs w:val="21"/>
              </w:rPr>
            </w:pPr>
            <w:r>
              <w:rPr>
                <w:rFonts w:hint="eastAsia" w:ascii="宋体" w:hAnsi="宋体"/>
                <w:b/>
                <w:szCs w:val="21"/>
              </w:rPr>
              <w:t>基本账户开户银行</w:t>
            </w:r>
          </w:p>
        </w:tc>
        <w:tc>
          <w:tcPr>
            <w:tcW w:w="1767" w:type="dxa"/>
            <w:vMerge w:val="restart"/>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Align w:val="center"/>
          </w:tcPr>
          <w:p>
            <w:pPr>
              <w:adjustRightInd w:val="0"/>
              <w:snapToGrid w:val="0"/>
              <w:jc w:val="center"/>
              <w:rPr>
                <w:rFonts w:ascii="宋体" w:hAnsi="宋体"/>
                <w:b/>
                <w:szCs w:val="21"/>
              </w:rPr>
            </w:pPr>
            <w:r>
              <w:rPr>
                <w:rFonts w:hint="eastAsia" w:ascii="宋体" w:hAnsi="宋体"/>
                <w:b/>
                <w:szCs w:val="21"/>
              </w:rPr>
              <w:t>注册资本</w:t>
            </w:r>
          </w:p>
        </w:tc>
        <w:tc>
          <w:tcPr>
            <w:tcW w:w="1766" w:type="dxa"/>
            <w:vAlign w:val="center"/>
          </w:tcPr>
          <w:p>
            <w:pPr>
              <w:adjustRightInd w:val="0"/>
              <w:snapToGrid w:val="0"/>
              <w:jc w:val="center"/>
              <w:rPr>
                <w:rFonts w:ascii="宋体" w:hAnsi="宋体"/>
                <w:b/>
                <w:szCs w:val="21"/>
              </w:rPr>
            </w:pPr>
          </w:p>
        </w:tc>
        <w:tc>
          <w:tcPr>
            <w:tcW w:w="1211" w:type="dxa"/>
            <w:vMerge w:val="continue"/>
            <w:vAlign w:val="center"/>
          </w:tcPr>
          <w:p>
            <w:pPr>
              <w:adjustRightInd w:val="0"/>
              <w:snapToGrid w:val="0"/>
              <w:jc w:val="center"/>
              <w:rPr>
                <w:rFonts w:ascii="宋体" w:hAnsi="宋体"/>
                <w:b/>
                <w:szCs w:val="21"/>
              </w:rPr>
            </w:pPr>
          </w:p>
        </w:tc>
        <w:tc>
          <w:tcPr>
            <w:tcW w:w="1767" w:type="dxa"/>
            <w:vMerge w:val="continue"/>
            <w:vAlign w:val="center"/>
          </w:tcPr>
          <w:p>
            <w:pPr>
              <w:adjustRightInd w:val="0"/>
              <w:snapToGrid w:val="0"/>
              <w:jc w:val="center"/>
              <w:rPr>
                <w:rFonts w:ascii="宋体" w:hAnsi="宋体"/>
                <w:b/>
                <w:szCs w:val="21"/>
              </w:rPr>
            </w:pPr>
          </w:p>
        </w:tc>
        <w:tc>
          <w:tcPr>
            <w:tcW w:w="1767" w:type="dxa"/>
            <w:vMerge w:val="continue"/>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Align w:val="center"/>
          </w:tcPr>
          <w:p>
            <w:pPr>
              <w:adjustRightInd w:val="0"/>
              <w:snapToGrid w:val="0"/>
              <w:jc w:val="center"/>
              <w:rPr>
                <w:rFonts w:ascii="宋体" w:hAnsi="宋体"/>
                <w:b/>
                <w:szCs w:val="21"/>
              </w:rPr>
            </w:pPr>
            <w:r>
              <w:rPr>
                <w:rFonts w:hint="eastAsia" w:ascii="宋体" w:hAnsi="宋体"/>
                <w:b/>
                <w:szCs w:val="21"/>
              </w:rPr>
              <w:t>成立日期</w:t>
            </w:r>
          </w:p>
        </w:tc>
        <w:tc>
          <w:tcPr>
            <w:tcW w:w="1766" w:type="dxa"/>
            <w:vAlign w:val="center"/>
          </w:tcPr>
          <w:p>
            <w:pPr>
              <w:adjustRightInd w:val="0"/>
              <w:snapToGrid w:val="0"/>
              <w:jc w:val="center"/>
              <w:rPr>
                <w:rFonts w:ascii="宋体" w:hAnsi="宋体"/>
                <w:b/>
                <w:szCs w:val="21"/>
              </w:rPr>
            </w:pPr>
          </w:p>
        </w:tc>
        <w:tc>
          <w:tcPr>
            <w:tcW w:w="1211" w:type="dxa"/>
            <w:vMerge w:val="continue"/>
            <w:vAlign w:val="center"/>
          </w:tcPr>
          <w:p>
            <w:pPr>
              <w:adjustRightInd w:val="0"/>
              <w:snapToGrid w:val="0"/>
              <w:jc w:val="center"/>
              <w:rPr>
                <w:rFonts w:ascii="宋体" w:hAnsi="宋体"/>
                <w:b/>
                <w:szCs w:val="21"/>
              </w:rPr>
            </w:pPr>
          </w:p>
        </w:tc>
        <w:tc>
          <w:tcPr>
            <w:tcW w:w="1767" w:type="dxa"/>
            <w:vMerge w:val="continue"/>
            <w:vAlign w:val="center"/>
          </w:tcPr>
          <w:p>
            <w:pPr>
              <w:adjustRightInd w:val="0"/>
              <w:snapToGrid w:val="0"/>
              <w:jc w:val="center"/>
              <w:rPr>
                <w:rFonts w:ascii="宋体" w:hAnsi="宋体"/>
                <w:b/>
                <w:szCs w:val="21"/>
              </w:rPr>
            </w:pPr>
          </w:p>
        </w:tc>
        <w:tc>
          <w:tcPr>
            <w:tcW w:w="1767" w:type="dxa"/>
            <w:vMerge w:val="continue"/>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Align w:val="center"/>
          </w:tcPr>
          <w:p>
            <w:pPr>
              <w:adjustRightInd w:val="0"/>
              <w:snapToGrid w:val="0"/>
              <w:jc w:val="center"/>
              <w:rPr>
                <w:rFonts w:ascii="宋体" w:hAnsi="宋体"/>
                <w:b/>
                <w:szCs w:val="21"/>
              </w:rPr>
            </w:pPr>
            <w:r>
              <w:rPr>
                <w:rFonts w:hint="eastAsia" w:ascii="宋体" w:hAnsi="宋体"/>
                <w:b/>
                <w:szCs w:val="21"/>
              </w:rPr>
              <w:t>营业期限</w:t>
            </w:r>
          </w:p>
        </w:tc>
        <w:tc>
          <w:tcPr>
            <w:tcW w:w="1766" w:type="dxa"/>
            <w:vAlign w:val="center"/>
          </w:tcPr>
          <w:p>
            <w:pPr>
              <w:adjustRightInd w:val="0"/>
              <w:snapToGrid w:val="0"/>
              <w:jc w:val="center"/>
              <w:rPr>
                <w:rFonts w:ascii="宋体" w:hAnsi="宋体"/>
                <w:b/>
                <w:szCs w:val="21"/>
              </w:rPr>
            </w:pPr>
          </w:p>
        </w:tc>
        <w:tc>
          <w:tcPr>
            <w:tcW w:w="1211" w:type="dxa"/>
            <w:vMerge w:val="continue"/>
            <w:vAlign w:val="center"/>
          </w:tcPr>
          <w:p>
            <w:pPr>
              <w:adjustRightInd w:val="0"/>
              <w:snapToGrid w:val="0"/>
              <w:jc w:val="center"/>
              <w:rPr>
                <w:rFonts w:ascii="宋体" w:hAnsi="宋体"/>
                <w:b/>
                <w:szCs w:val="21"/>
              </w:rPr>
            </w:pPr>
          </w:p>
        </w:tc>
        <w:tc>
          <w:tcPr>
            <w:tcW w:w="1767" w:type="dxa"/>
            <w:vMerge w:val="restart"/>
            <w:vAlign w:val="center"/>
          </w:tcPr>
          <w:p>
            <w:pPr>
              <w:adjustRightInd w:val="0"/>
              <w:snapToGrid w:val="0"/>
              <w:jc w:val="center"/>
              <w:rPr>
                <w:rFonts w:ascii="宋体" w:hAnsi="宋体"/>
                <w:b/>
                <w:szCs w:val="21"/>
              </w:rPr>
            </w:pPr>
            <w:r>
              <w:rPr>
                <w:rFonts w:hint="eastAsia" w:ascii="宋体" w:hAnsi="宋体"/>
                <w:b/>
                <w:szCs w:val="21"/>
              </w:rPr>
              <w:t>基本账户银行账号</w:t>
            </w:r>
          </w:p>
        </w:tc>
        <w:tc>
          <w:tcPr>
            <w:tcW w:w="1767" w:type="dxa"/>
            <w:vMerge w:val="restart"/>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Align w:val="center"/>
          </w:tcPr>
          <w:p>
            <w:pPr>
              <w:adjustRightInd w:val="0"/>
              <w:snapToGrid w:val="0"/>
              <w:jc w:val="center"/>
              <w:rPr>
                <w:rFonts w:ascii="宋体" w:hAnsi="宋体"/>
                <w:b/>
                <w:szCs w:val="21"/>
              </w:rPr>
            </w:pPr>
            <w:r>
              <w:rPr>
                <w:rFonts w:hint="eastAsia" w:ascii="宋体" w:hAnsi="宋体"/>
                <w:b/>
                <w:szCs w:val="21"/>
              </w:rPr>
              <w:t>登记机关</w:t>
            </w:r>
          </w:p>
        </w:tc>
        <w:tc>
          <w:tcPr>
            <w:tcW w:w="1766" w:type="dxa"/>
            <w:vAlign w:val="center"/>
          </w:tcPr>
          <w:p>
            <w:pPr>
              <w:adjustRightInd w:val="0"/>
              <w:snapToGrid w:val="0"/>
              <w:jc w:val="center"/>
              <w:rPr>
                <w:rFonts w:ascii="宋体" w:hAnsi="宋体"/>
                <w:b/>
                <w:szCs w:val="21"/>
              </w:rPr>
            </w:pPr>
          </w:p>
        </w:tc>
        <w:tc>
          <w:tcPr>
            <w:tcW w:w="1211" w:type="dxa"/>
            <w:vMerge w:val="continue"/>
            <w:vAlign w:val="center"/>
          </w:tcPr>
          <w:p>
            <w:pPr>
              <w:adjustRightInd w:val="0"/>
              <w:snapToGrid w:val="0"/>
              <w:jc w:val="center"/>
              <w:rPr>
                <w:rFonts w:ascii="宋体" w:hAnsi="宋体"/>
                <w:b/>
                <w:szCs w:val="21"/>
              </w:rPr>
            </w:pPr>
          </w:p>
        </w:tc>
        <w:tc>
          <w:tcPr>
            <w:tcW w:w="1767" w:type="dxa"/>
            <w:vMerge w:val="continue"/>
            <w:vAlign w:val="center"/>
          </w:tcPr>
          <w:p>
            <w:pPr>
              <w:adjustRightInd w:val="0"/>
              <w:snapToGrid w:val="0"/>
              <w:jc w:val="center"/>
              <w:rPr>
                <w:rFonts w:ascii="宋体" w:hAnsi="宋体"/>
                <w:b/>
                <w:szCs w:val="21"/>
              </w:rPr>
            </w:pPr>
          </w:p>
        </w:tc>
        <w:tc>
          <w:tcPr>
            <w:tcW w:w="1767" w:type="dxa"/>
            <w:vMerge w:val="continue"/>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3" w:hRule="exact"/>
          <w:jc w:val="center"/>
        </w:trPr>
        <w:tc>
          <w:tcPr>
            <w:tcW w:w="2093" w:type="dxa"/>
            <w:vAlign w:val="center"/>
          </w:tcPr>
          <w:p>
            <w:pPr>
              <w:adjustRightInd w:val="0"/>
              <w:snapToGrid w:val="0"/>
              <w:jc w:val="center"/>
              <w:rPr>
                <w:rFonts w:ascii="宋体" w:hAnsi="宋体"/>
                <w:b/>
                <w:szCs w:val="21"/>
              </w:rPr>
            </w:pPr>
            <w:r>
              <w:rPr>
                <w:rFonts w:hint="eastAsia" w:ascii="宋体" w:hAnsi="宋体" w:cs="宋体"/>
                <w:b/>
                <w:szCs w:val="21"/>
              </w:rPr>
              <w:t>经营范围</w:t>
            </w:r>
          </w:p>
        </w:tc>
        <w:tc>
          <w:tcPr>
            <w:tcW w:w="6511" w:type="dxa"/>
            <w:gridSpan w:val="4"/>
            <w:vAlign w:val="center"/>
          </w:tcPr>
          <w:p>
            <w:pPr>
              <w:adjustRightInd w:val="0"/>
              <w:snapToGrid w:val="0"/>
              <w:jc w:val="center"/>
              <w:rPr>
                <w:rFonts w:ascii="宋体" w:hAnsi="宋体"/>
                <w:b/>
                <w:szCs w:val="21"/>
              </w:rPr>
            </w:pPr>
          </w:p>
          <w:p>
            <w:pPr>
              <w:adjustRightInd w:val="0"/>
              <w:snapToGrid w:val="0"/>
              <w:jc w:val="center"/>
              <w:rPr>
                <w:rFonts w:ascii="宋体" w:hAnsi="宋体"/>
                <w:b/>
                <w:szCs w:val="21"/>
              </w:rPr>
            </w:pPr>
          </w:p>
          <w:p>
            <w:pPr>
              <w:adjustRightInd w:val="0"/>
              <w:snapToGrid w:val="0"/>
              <w:jc w:val="center"/>
              <w:rPr>
                <w:rFonts w:ascii="宋体" w:hAnsi="宋体"/>
                <w:b/>
                <w:szCs w:val="21"/>
              </w:rPr>
            </w:pPr>
          </w:p>
          <w:p>
            <w:pPr>
              <w:adjustRightInd w:val="0"/>
              <w:snapToGrid w:val="0"/>
              <w:jc w:val="center"/>
              <w:rPr>
                <w:rFonts w:ascii="宋体" w:hAnsi="宋体"/>
                <w:b/>
                <w:szCs w:val="21"/>
              </w:rPr>
            </w:pPr>
          </w:p>
          <w:p>
            <w:pPr>
              <w:adjustRightInd w:val="0"/>
              <w:snapToGrid w:val="0"/>
              <w:jc w:val="center"/>
              <w:rPr>
                <w:rFonts w:ascii="宋体" w:hAnsi="宋体"/>
                <w:b/>
                <w:szCs w:val="21"/>
              </w:rPr>
            </w:pPr>
          </w:p>
          <w:p>
            <w:pPr>
              <w:adjustRightInd w:val="0"/>
              <w:snapToGrid w:val="0"/>
              <w:jc w:val="center"/>
              <w:rPr>
                <w:rFonts w:ascii="宋体" w:hAnsi="宋体"/>
                <w:b/>
                <w:szCs w:val="21"/>
              </w:rPr>
            </w:pPr>
          </w:p>
          <w:p>
            <w:pPr>
              <w:adjustRightInd w:val="0"/>
              <w:snapToGrid w:val="0"/>
              <w:jc w:val="center"/>
              <w:rPr>
                <w:rFonts w:ascii="宋体" w:hAnsi="宋体"/>
                <w:b/>
                <w:szCs w:val="21"/>
              </w:rPr>
            </w:pPr>
          </w:p>
          <w:p>
            <w:pPr>
              <w:adjustRightInd w:val="0"/>
              <w:snapToGrid w:val="0"/>
              <w:jc w:val="center"/>
              <w:rPr>
                <w:rFonts w:ascii="宋体" w:hAnsi="宋体"/>
                <w:b/>
                <w:szCs w:val="21"/>
              </w:rPr>
            </w:pPr>
          </w:p>
          <w:p>
            <w:pPr>
              <w:adjustRightInd w:val="0"/>
              <w:snapToGrid w:val="0"/>
              <w:jc w:val="center"/>
              <w:rPr>
                <w:rFonts w:ascii="宋体" w:hAnsi="宋体"/>
                <w:b/>
                <w:szCs w:val="21"/>
              </w:rPr>
            </w:pPr>
          </w:p>
        </w:tc>
      </w:tr>
    </w:tbl>
    <w:p>
      <w:pPr>
        <w:pStyle w:val="19"/>
        <w:adjustRightInd w:val="0"/>
        <w:snapToGrid w:val="0"/>
        <w:spacing w:before="156" w:beforeLines="50"/>
        <w:jc w:val="left"/>
        <w:rPr>
          <w:rFonts w:hAnsi="宋体"/>
          <w:b/>
          <w:sz w:val="24"/>
          <w:szCs w:val="24"/>
        </w:rPr>
      </w:pPr>
      <w:r>
        <w:rPr>
          <w:rFonts w:hint="eastAsia"/>
          <w:b/>
          <w:bCs/>
        </w:rPr>
        <w:t>注：本表后应附企业法人营业执照等资格审查所需相关材料的复印件。（投标人可根据本表自行编制）</w:t>
      </w:r>
    </w:p>
    <w:p>
      <w:pPr>
        <w:pStyle w:val="19"/>
        <w:adjustRightInd w:val="0"/>
        <w:snapToGrid w:val="0"/>
        <w:spacing w:before="156" w:beforeLines="50"/>
        <w:jc w:val="left"/>
        <w:rPr>
          <w:rFonts w:hAnsi="宋体"/>
          <w:b/>
          <w:sz w:val="24"/>
          <w:szCs w:val="24"/>
        </w:rPr>
      </w:pPr>
    </w:p>
    <w:p>
      <w:pPr>
        <w:pStyle w:val="19"/>
        <w:adjustRightInd w:val="0"/>
        <w:snapToGrid w:val="0"/>
        <w:spacing w:before="156" w:beforeLines="50"/>
        <w:jc w:val="left"/>
        <w:rPr>
          <w:rFonts w:hAnsi="宋体"/>
          <w:b/>
          <w:sz w:val="24"/>
          <w:szCs w:val="24"/>
        </w:rPr>
      </w:pPr>
    </w:p>
    <w:p>
      <w:pPr>
        <w:pStyle w:val="19"/>
        <w:adjustRightInd w:val="0"/>
        <w:snapToGrid w:val="0"/>
        <w:spacing w:before="156" w:beforeLines="50"/>
        <w:jc w:val="left"/>
        <w:rPr>
          <w:rFonts w:hAnsi="宋体"/>
          <w:b/>
          <w:sz w:val="24"/>
          <w:szCs w:val="24"/>
        </w:rPr>
      </w:pPr>
    </w:p>
    <w:p>
      <w:pPr>
        <w:pStyle w:val="19"/>
        <w:adjustRightInd w:val="0"/>
        <w:snapToGrid w:val="0"/>
        <w:spacing w:before="156" w:beforeLines="50"/>
        <w:jc w:val="left"/>
        <w:rPr>
          <w:rFonts w:hAnsi="宋体"/>
          <w:b/>
          <w:sz w:val="24"/>
          <w:szCs w:val="24"/>
        </w:rPr>
      </w:pPr>
    </w:p>
    <w:p>
      <w:pPr>
        <w:pStyle w:val="75"/>
        <w:snapToGrid w:val="0"/>
        <w:spacing w:line="394" w:lineRule="exact"/>
        <w:jc w:val="both"/>
        <w:rPr>
          <w:rFonts w:ascii="宋体" w:hAnsi="宋体"/>
          <w:color w:val="auto"/>
          <w:sz w:val="21"/>
          <w:szCs w:val="21"/>
        </w:rPr>
      </w:pPr>
    </w:p>
    <w:p>
      <w:pPr>
        <w:widowControl/>
        <w:spacing w:line="360" w:lineRule="auto"/>
        <w:jc w:val="center"/>
        <w:outlineLvl w:val="0"/>
        <w:rPr>
          <w:rFonts w:ascii="宋体" w:hAnsi="宋体" w:cs="宋体"/>
          <w:b/>
          <w:bCs/>
          <w:kern w:val="0"/>
          <w:szCs w:val="21"/>
        </w:rPr>
      </w:pPr>
      <w:bookmarkStart w:id="353" w:name="_Toc16966"/>
      <w:bookmarkStart w:id="354" w:name="_Toc14246"/>
      <w:bookmarkStart w:id="355" w:name="_Toc29190"/>
      <w:bookmarkStart w:id="356" w:name="_Toc1702"/>
      <w:bookmarkStart w:id="357" w:name="_Toc27085"/>
      <w:bookmarkStart w:id="358" w:name="_Toc15969"/>
      <w:bookmarkStart w:id="359" w:name="_Toc17204502"/>
      <w:bookmarkStart w:id="360" w:name="_Toc515570487"/>
      <w:bookmarkStart w:id="361" w:name="_Toc31668"/>
      <w:bookmarkStart w:id="362" w:name="_Toc29123"/>
      <w:r>
        <w:rPr>
          <w:rFonts w:hint="eastAsia" w:ascii="宋体" w:hAnsi="宋体" w:cs="宋体"/>
          <w:b/>
          <w:bCs/>
          <w:kern w:val="0"/>
          <w:szCs w:val="21"/>
        </w:rPr>
        <w:t>7.投标保证金缴纳凭证</w:t>
      </w:r>
      <w:bookmarkEnd w:id="353"/>
    </w:p>
    <w:p>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投标人提供投标保证金缴纳凭证附件（格式自拟）</w:t>
      </w:r>
    </w:p>
    <w:p>
      <w:pPr>
        <w:widowControl/>
        <w:spacing w:line="360" w:lineRule="auto"/>
        <w:jc w:val="center"/>
        <w:outlineLvl w:val="0"/>
        <w:rPr>
          <w:rFonts w:ascii="宋体" w:hAnsi="宋体" w:cs="宋体"/>
          <w:b/>
          <w:bCs/>
          <w:kern w:val="0"/>
          <w:szCs w:val="21"/>
        </w:rPr>
      </w:pPr>
    </w:p>
    <w:p>
      <w:pPr>
        <w:widowControl/>
        <w:spacing w:line="360" w:lineRule="auto"/>
        <w:jc w:val="center"/>
        <w:outlineLvl w:val="0"/>
        <w:rPr>
          <w:rFonts w:ascii="宋体" w:hAnsi="宋体" w:cs="宋体"/>
          <w:b/>
          <w:bCs/>
          <w:kern w:val="0"/>
          <w:szCs w:val="21"/>
        </w:rPr>
      </w:pPr>
    </w:p>
    <w:p>
      <w:pPr>
        <w:widowControl/>
        <w:spacing w:line="360" w:lineRule="auto"/>
        <w:jc w:val="center"/>
        <w:outlineLvl w:val="0"/>
        <w:rPr>
          <w:rFonts w:ascii="宋体" w:hAnsi="宋体" w:cs="宋体"/>
          <w:b/>
          <w:bCs/>
          <w:kern w:val="0"/>
          <w:szCs w:val="21"/>
        </w:rPr>
      </w:pPr>
    </w:p>
    <w:p>
      <w:pPr>
        <w:widowControl/>
        <w:spacing w:line="360" w:lineRule="auto"/>
        <w:jc w:val="center"/>
        <w:outlineLvl w:val="0"/>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ind w:left="0" w:leftChars="0" w:firstLine="0" w:firstLineChars="0"/>
        <w:rPr>
          <w:rFonts w:ascii="宋体" w:hAnsi="宋体" w:cs="宋体"/>
          <w:b/>
          <w:bCs/>
          <w:kern w:val="0"/>
          <w:szCs w:val="21"/>
        </w:rPr>
      </w:pPr>
    </w:p>
    <w:p>
      <w:pPr>
        <w:pStyle w:val="7"/>
        <w:rPr>
          <w:rFonts w:ascii="宋体" w:hAnsi="宋体" w:cs="宋体"/>
          <w:b/>
          <w:bCs/>
          <w:kern w:val="0"/>
          <w:szCs w:val="21"/>
        </w:rPr>
      </w:pPr>
    </w:p>
    <w:p>
      <w:pPr>
        <w:pStyle w:val="7"/>
        <w:jc w:val="center"/>
        <w:rPr>
          <w:rFonts w:ascii="宋体" w:hAnsi="宋体" w:cs="宋体"/>
          <w:b/>
          <w:bCs/>
          <w:kern w:val="0"/>
          <w:sz w:val="40"/>
          <w:szCs w:val="40"/>
        </w:rPr>
      </w:pPr>
      <w:r>
        <w:rPr>
          <w:rFonts w:hint="eastAsia" w:ascii="宋体" w:hAnsi="宋体" w:cs="宋体"/>
          <w:b/>
          <w:bCs/>
          <w:kern w:val="0"/>
          <w:sz w:val="40"/>
          <w:szCs w:val="40"/>
        </w:rPr>
        <w:t>（商务技术文件）</w:t>
      </w:r>
    </w:p>
    <w:p>
      <w:pPr>
        <w:widowControl/>
        <w:spacing w:line="360" w:lineRule="auto"/>
        <w:jc w:val="center"/>
        <w:outlineLvl w:val="0"/>
        <w:rPr>
          <w:rFonts w:ascii="宋体" w:hAnsi="宋体" w:cs="宋体"/>
          <w:b/>
          <w:bCs/>
          <w:kern w:val="0"/>
          <w:szCs w:val="21"/>
        </w:rPr>
      </w:pPr>
      <w:bookmarkStart w:id="363" w:name="_Toc19744"/>
      <w:r>
        <w:rPr>
          <w:rFonts w:hint="eastAsia" w:ascii="宋体" w:hAnsi="宋体" w:cs="宋体"/>
          <w:b/>
          <w:bCs/>
          <w:kern w:val="0"/>
          <w:szCs w:val="21"/>
        </w:rPr>
        <w:t>8.近三年已完成或在执行类似项目一览表</w:t>
      </w:r>
      <w:bookmarkEnd w:id="354"/>
      <w:bookmarkEnd w:id="363"/>
    </w:p>
    <w:p>
      <w:pPr>
        <w:snapToGrid w:val="0"/>
        <w:rPr>
          <w:u w:val="single"/>
        </w:rPr>
      </w:pPr>
      <w:r>
        <w:rPr>
          <w:rFonts w:hint="eastAsia"/>
        </w:rPr>
        <w:t>投标人名称：</w:t>
      </w:r>
    </w:p>
    <w:tbl>
      <w:tblPr>
        <w:tblStyle w:val="39"/>
        <w:tblW w:w="0" w:type="auto"/>
        <w:jc w:val="center"/>
        <w:tblLayout w:type="fixed"/>
        <w:tblCellMar>
          <w:top w:w="15" w:type="dxa"/>
          <w:left w:w="15" w:type="dxa"/>
          <w:bottom w:w="15" w:type="dxa"/>
          <w:right w:w="15" w:type="dxa"/>
        </w:tblCellMar>
      </w:tblPr>
      <w:tblGrid>
        <w:gridCol w:w="645"/>
        <w:gridCol w:w="960"/>
        <w:gridCol w:w="1423"/>
        <w:gridCol w:w="1047"/>
        <w:gridCol w:w="1280"/>
        <w:gridCol w:w="1074"/>
        <w:gridCol w:w="2496"/>
      </w:tblGrid>
      <w:tr>
        <w:tblPrEx>
          <w:tblCellMar>
            <w:top w:w="15" w:type="dxa"/>
            <w:left w:w="15" w:type="dxa"/>
            <w:bottom w:w="15" w:type="dxa"/>
            <w:right w:w="15" w:type="dxa"/>
          </w:tblCellMar>
        </w:tblPrEx>
        <w:trPr>
          <w:trHeight w:val="750"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序号</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项目名称</w:t>
            </w:r>
          </w:p>
        </w:tc>
        <w:tc>
          <w:tcPr>
            <w:tcW w:w="142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项 目 内 容（类似项目）</w:t>
            </w:r>
          </w:p>
        </w:tc>
        <w:tc>
          <w:tcPr>
            <w:tcW w:w="10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合同金额（万元）</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已结算金额（万元）</w:t>
            </w:r>
          </w:p>
        </w:tc>
        <w:tc>
          <w:tcPr>
            <w:tcW w:w="10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完成日期</w:t>
            </w:r>
          </w:p>
        </w:tc>
        <w:tc>
          <w:tcPr>
            <w:tcW w:w="2496"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业主名称、联系人及电话</w:t>
            </w:r>
          </w:p>
        </w:tc>
      </w:tr>
      <w:tr>
        <w:tblPrEx>
          <w:tblCellMar>
            <w:top w:w="15" w:type="dxa"/>
            <w:left w:w="15" w:type="dxa"/>
            <w:bottom w:w="15" w:type="dxa"/>
            <w:right w:w="15" w:type="dxa"/>
          </w:tblCellMar>
        </w:tblPrEx>
        <w:trPr>
          <w:trHeight w:val="750"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9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42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2496"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r>
      <w:tr>
        <w:tblPrEx>
          <w:tblCellMar>
            <w:top w:w="15" w:type="dxa"/>
            <w:left w:w="15" w:type="dxa"/>
            <w:bottom w:w="15" w:type="dxa"/>
            <w:right w:w="15" w:type="dxa"/>
          </w:tblCellMar>
        </w:tblPrEx>
        <w:trPr>
          <w:trHeight w:val="750"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w:t>
            </w:r>
          </w:p>
        </w:tc>
        <w:tc>
          <w:tcPr>
            <w:tcW w:w="9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42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2496"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r>
      <w:tr>
        <w:tblPrEx>
          <w:tblCellMar>
            <w:top w:w="15" w:type="dxa"/>
            <w:left w:w="15" w:type="dxa"/>
            <w:bottom w:w="15" w:type="dxa"/>
            <w:right w:w="15" w:type="dxa"/>
          </w:tblCellMar>
        </w:tblPrEx>
        <w:trPr>
          <w:trHeight w:val="750"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3</w:t>
            </w:r>
          </w:p>
        </w:tc>
        <w:tc>
          <w:tcPr>
            <w:tcW w:w="9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42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2496"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r>
      <w:tr>
        <w:tblPrEx>
          <w:tblCellMar>
            <w:top w:w="15" w:type="dxa"/>
            <w:left w:w="15" w:type="dxa"/>
            <w:bottom w:w="15" w:type="dxa"/>
            <w:right w:w="15" w:type="dxa"/>
          </w:tblCellMar>
        </w:tblPrEx>
        <w:trPr>
          <w:trHeight w:val="750"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4</w:t>
            </w:r>
          </w:p>
        </w:tc>
        <w:tc>
          <w:tcPr>
            <w:tcW w:w="9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42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2496"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r>
      <w:tr>
        <w:tblPrEx>
          <w:tblCellMar>
            <w:top w:w="15" w:type="dxa"/>
            <w:left w:w="15" w:type="dxa"/>
            <w:bottom w:w="15" w:type="dxa"/>
            <w:right w:w="15" w:type="dxa"/>
          </w:tblCellMar>
        </w:tblPrEx>
        <w:trPr>
          <w:trHeight w:val="750"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5</w:t>
            </w:r>
          </w:p>
        </w:tc>
        <w:tc>
          <w:tcPr>
            <w:tcW w:w="9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42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2496"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r>
      <w:tr>
        <w:tblPrEx>
          <w:tblCellMar>
            <w:top w:w="15" w:type="dxa"/>
            <w:left w:w="15" w:type="dxa"/>
            <w:bottom w:w="15" w:type="dxa"/>
            <w:right w:w="15" w:type="dxa"/>
          </w:tblCellMar>
        </w:tblPrEx>
        <w:trPr>
          <w:trHeight w:val="750"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9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42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2496"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r>
      <w:tr>
        <w:tblPrEx>
          <w:tblCellMar>
            <w:top w:w="15" w:type="dxa"/>
            <w:left w:w="15" w:type="dxa"/>
            <w:bottom w:w="15" w:type="dxa"/>
            <w:right w:w="15" w:type="dxa"/>
          </w:tblCellMar>
        </w:tblPrEx>
        <w:trPr>
          <w:trHeight w:val="750"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9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42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2496"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r>
      <w:tr>
        <w:tblPrEx>
          <w:tblCellMar>
            <w:top w:w="15" w:type="dxa"/>
            <w:left w:w="15" w:type="dxa"/>
            <w:bottom w:w="15" w:type="dxa"/>
            <w:right w:w="15" w:type="dxa"/>
          </w:tblCellMar>
        </w:tblPrEx>
        <w:trPr>
          <w:trHeight w:val="750"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9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42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2496"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r>
      <w:tr>
        <w:tblPrEx>
          <w:tblCellMar>
            <w:top w:w="15" w:type="dxa"/>
            <w:left w:w="15" w:type="dxa"/>
            <w:bottom w:w="15" w:type="dxa"/>
            <w:right w:w="15" w:type="dxa"/>
          </w:tblCellMar>
        </w:tblPrEx>
        <w:trPr>
          <w:trHeight w:val="750"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9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42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2496"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r>
    </w:tbl>
    <w:p>
      <w:pPr>
        <w:snapToGrid w:val="0"/>
        <w:rPr>
          <w:rFonts w:ascii="宋体"/>
          <w:b/>
        </w:rPr>
      </w:pPr>
    </w:p>
    <w:p>
      <w:pPr>
        <w:snapToGrid w:val="0"/>
        <w:rPr>
          <w:rFonts w:ascii="宋体"/>
          <w:b/>
        </w:rPr>
      </w:pPr>
    </w:p>
    <w:p>
      <w:pPr>
        <w:snapToGrid w:val="0"/>
        <w:rPr>
          <w:rFonts w:ascii="宋体"/>
          <w:b/>
        </w:rPr>
      </w:pPr>
      <w:r>
        <w:rPr>
          <w:rFonts w:hint="eastAsia" w:ascii="宋体"/>
          <w:b/>
        </w:rPr>
        <w:t>注：1.投标人应如实列出以上情况，如有隐瞒，一经查实将导致其投标申请被视为无效投标。</w:t>
      </w:r>
    </w:p>
    <w:p>
      <w:pPr>
        <w:numPr>
          <w:ilvl w:val="0"/>
          <w:numId w:val="51"/>
        </w:numPr>
        <w:snapToGrid w:val="0"/>
        <w:ind w:firstLine="422" w:firstLineChars="200"/>
        <w:rPr>
          <w:rFonts w:ascii="宋体"/>
          <w:b/>
        </w:rPr>
      </w:pPr>
      <w:r>
        <w:rPr>
          <w:rFonts w:hint="eastAsia" w:ascii="宋体"/>
          <w:b/>
        </w:rPr>
        <w:t>对于已完项目，投标人应提供收到的中标通知书或双方签订的合同。</w:t>
      </w:r>
    </w:p>
    <w:p>
      <w:pPr>
        <w:pStyle w:val="14"/>
        <w:rPr>
          <w:rFonts w:ascii="宋体" w:hAnsi="Times New Roman" w:cs="Times New Roman"/>
          <w:b/>
        </w:rPr>
      </w:pPr>
      <w:r>
        <w:rPr>
          <w:rFonts w:hint="eastAsia"/>
        </w:rPr>
        <w:t xml:space="preserve"> </w:t>
      </w:r>
      <w:r>
        <w:rPr>
          <w:rFonts w:hint="eastAsia" w:ascii="宋体" w:hAnsi="Times New Roman" w:cs="Times New Roman"/>
          <w:b/>
        </w:rPr>
        <w:t xml:space="preserve">   3.此表后附中标通知书或供货合同复印件，原件现场备查。</w:t>
      </w:r>
    </w:p>
    <w:p>
      <w:pPr>
        <w:widowControl/>
        <w:spacing w:line="360" w:lineRule="auto"/>
        <w:jc w:val="center"/>
        <w:outlineLvl w:val="0"/>
        <w:rPr>
          <w:rFonts w:ascii="宋体" w:hAnsi="宋体" w:cs="宋体"/>
          <w:b/>
          <w:bCs/>
          <w:kern w:val="0"/>
          <w:szCs w:val="21"/>
        </w:rPr>
      </w:pPr>
    </w:p>
    <w:p>
      <w:pPr>
        <w:widowControl/>
        <w:spacing w:line="360" w:lineRule="auto"/>
        <w:jc w:val="center"/>
        <w:outlineLvl w:val="0"/>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pStyle w:val="7"/>
        <w:rPr>
          <w:rFonts w:ascii="宋体" w:hAnsi="宋体" w:cs="宋体"/>
          <w:b/>
          <w:bCs/>
          <w:kern w:val="0"/>
          <w:szCs w:val="21"/>
        </w:rPr>
      </w:pPr>
    </w:p>
    <w:p>
      <w:pPr>
        <w:widowControl/>
        <w:spacing w:line="360" w:lineRule="auto"/>
        <w:jc w:val="center"/>
        <w:outlineLvl w:val="0"/>
        <w:rPr>
          <w:rFonts w:ascii="宋体" w:hAnsi="宋体" w:cs="宋体"/>
          <w:b/>
          <w:bCs/>
          <w:kern w:val="0"/>
          <w:szCs w:val="21"/>
        </w:rPr>
      </w:pPr>
    </w:p>
    <w:p>
      <w:pPr>
        <w:widowControl/>
        <w:spacing w:line="360" w:lineRule="auto"/>
        <w:jc w:val="center"/>
        <w:outlineLvl w:val="0"/>
        <w:rPr>
          <w:rFonts w:ascii="宋体" w:hAnsi="宋体" w:cs="宋体"/>
          <w:b/>
          <w:bCs/>
          <w:kern w:val="0"/>
          <w:szCs w:val="21"/>
        </w:rPr>
      </w:pPr>
      <w:bookmarkStart w:id="364" w:name="_Toc30549"/>
      <w:bookmarkStart w:id="365" w:name="_Toc13263"/>
      <w:r>
        <w:rPr>
          <w:rFonts w:hint="eastAsia" w:ascii="宋体" w:hAnsi="宋体" w:cs="宋体"/>
          <w:b/>
          <w:bCs/>
          <w:kern w:val="0"/>
          <w:szCs w:val="21"/>
        </w:rPr>
        <w:t>9、商务条款偏离表</w:t>
      </w:r>
      <w:bookmarkEnd w:id="355"/>
      <w:bookmarkEnd w:id="356"/>
      <w:bookmarkEnd w:id="357"/>
      <w:bookmarkEnd w:id="358"/>
      <w:bookmarkEnd w:id="364"/>
      <w:bookmarkEnd w:id="365"/>
    </w:p>
    <w:tbl>
      <w:tblPr>
        <w:tblStyle w:val="39"/>
        <w:tblW w:w="8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2199"/>
        <w:gridCol w:w="2237"/>
        <w:gridCol w:w="1723"/>
        <w:gridCol w:w="1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836" w:type="dxa"/>
            <w:vAlign w:val="center"/>
          </w:tcPr>
          <w:p>
            <w:pPr>
              <w:spacing w:line="360" w:lineRule="auto"/>
              <w:jc w:val="center"/>
              <w:rPr>
                <w:rFonts w:ascii="宋体" w:hAnsi="宋体" w:cs="宋体"/>
                <w:sz w:val="24"/>
              </w:rPr>
            </w:pPr>
            <w:r>
              <w:rPr>
                <w:rFonts w:hint="eastAsia" w:ascii="宋体" w:hAnsi="宋体" w:cs="宋体"/>
                <w:sz w:val="24"/>
              </w:rPr>
              <w:t>序号</w:t>
            </w:r>
          </w:p>
        </w:tc>
        <w:tc>
          <w:tcPr>
            <w:tcW w:w="2199" w:type="dxa"/>
            <w:vAlign w:val="center"/>
          </w:tcPr>
          <w:p>
            <w:pPr>
              <w:spacing w:line="360" w:lineRule="auto"/>
              <w:jc w:val="center"/>
              <w:rPr>
                <w:rFonts w:ascii="宋体" w:hAnsi="宋体" w:cs="宋体"/>
                <w:sz w:val="24"/>
              </w:rPr>
            </w:pPr>
            <w:r>
              <w:rPr>
                <w:rFonts w:hint="eastAsia" w:ascii="宋体" w:hAnsi="宋体" w:cs="宋体"/>
                <w:sz w:val="24"/>
              </w:rPr>
              <w:t>招标文件的</w:t>
            </w:r>
          </w:p>
          <w:p>
            <w:pPr>
              <w:spacing w:line="360" w:lineRule="auto"/>
              <w:jc w:val="center"/>
              <w:rPr>
                <w:rFonts w:ascii="宋体" w:hAnsi="宋体" w:cs="宋体"/>
                <w:sz w:val="24"/>
              </w:rPr>
            </w:pPr>
            <w:r>
              <w:rPr>
                <w:rFonts w:hint="eastAsia" w:ascii="宋体" w:hAnsi="宋体" w:cs="宋体"/>
                <w:sz w:val="24"/>
              </w:rPr>
              <w:t>商务条款</w:t>
            </w:r>
          </w:p>
        </w:tc>
        <w:tc>
          <w:tcPr>
            <w:tcW w:w="2237" w:type="dxa"/>
            <w:vAlign w:val="center"/>
          </w:tcPr>
          <w:p>
            <w:pPr>
              <w:spacing w:line="360" w:lineRule="auto"/>
              <w:jc w:val="center"/>
              <w:rPr>
                <w:rFonts w:ascii="宋体" w:hAnsi="宋体" w:cs="宋体"/>
                <w:sz w:val="24"/>
              </w:rPr>
            </w:pPr>
            <w:r>
              <w:rPr>
                <w:rFonts w:hint="eastAsia" w:ascii="宋体" w:hAnsi="宋体" w:cs="宋体"/>
                <w:sz w:val="24"/>
              </w:rPr>
              <w:t>投标文件的</w:t>
            </w:r>
          </w:p>
          <w:p>
            <w:pPr>
              <w:spacing w:line="360" w:lineRule="auto"/>
              <w:jc w:val="center"/>
              <w:rPr>
                <w:rFonts w:ascii="宋体" w:hAnsi="宋体" w:cs="宋体"/>
                <w:sz w:val="24"/>
              </w:rPr>
            </w:pPr>
            <w:r>
              <w:rPr>
                <w:rFonts w:hint="eastAsia" w:ascii="宋体" w:hAnsi="宋体" w:cs="宋体"/>
                <w:sz w:val="24"/>
              </w:rPr>
              <w:t>商务条款</w:t>
            </w:r>
          </w:p>
        </w:tc>
        <w:tc>
          <w:tcPr>
            <w:tcW w:w="1723" w:type="dxa"/>
            <w:vAlign w:val="center"/>
          </w:tcPr>
          <w:p>
            <w:pPr>
              <w:spacing w:line="360" w:lineRule="auto"/>
              <w:jc w:val="center"/>
              <w:rPr>
                <w:rFonts w:ascii="宋体" w:hAnsi="宋体" w:cs="宋体"/>
                <w:sz w:val="24"/>
              </w:rPr>
            </w:pPr>
            <w:r>
              <w:rPr>
                <w:rFonts w:hint="eastAsia" w:ascii="宋体" w:hAnsi="宋体" w:cs="宋体"/>
              </w:rPr>
              <w:t>正偏离/负偏离/不偏离</w:t>
            </w:r>
          </w:p>
        </w:tc>
        <w:tc>
          <w:tcPr>
            <w:tcW w:w="1723" w:type="dxa"/>
            <w:vAlign w:val="center"/>
          </w:tcPr>
          <w:p>
            <w:pPr>
              <w:spacing w:line="360" w:lineRule="auto"/>
              <w:jc w:val="center"/>
              <w:rPr>
                <w:rFonts w:ascii="宋体" w:hAnsi="宋体" w:cs="宋体"/>
                <w:sz w:val="24"/>
              </w:rPr>
            </w:pPr>
            <w:r>
              <w:rPr>
                <w:rFonts w:hint="eastAsia" w:ascii="宋体" w:hAnsi="宋体" w:cs="宋体"/>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36" w:type="dxa"/>
            <w:vAlign w:val="center"/>
          </w:tcPr>
          <w:p>
            <w:pPr>
              <w:spacing w:line="360" w:lineRule="auto"/>
              <w:jc w:val="center"/>
              <w:rPr>
                <w:rFonts w:ascii="宋体" w:hAnsi="宋体" w:cs="宋体"/>
                <w:sz w:val="24"/>
              </w:rPr>
            </w:pPr>
            <w:r>
              <w:rPr>
                <w:rFonts w:hint="eastAsia" w:ascii="宋体" w:hAnsi="宋体" w:cs="宋体"/>
                <w:sz w:val="24"/>
              </w:rPr>
              <w:t>1</w:t>
            </w:r>
          </w:p>
        </w:tc>
        <w:tc>
          <w:tcPr>
            <w:tcW w:w="2199" w:type="dxa"/>
            <w:vAlign w:val="center"/>
          </w:tcPr>
          <w:p>
            <w:pPr>
              <w:spacing w:line="360" w:lineRule="auto"/>
              <w:jc w:val="center"/>
              <w:rPr>
                <w:rFonts w:ascii="宋体" w:hAnsi="宋体" w:cs="宋体"/>
                <w:sz w:val="24"/>
              </w:rPr>
            </w:pPr>
          </w:p>
        </w:tc>
        <w:tc>
          <w:tcPr>
            <w:tcW w:w="2237" w:type="dxa"/>
            <w:vAlign w:val="center"/>
          </w:tcPr>
          <w:p>
            <w:pPr>
              <w:spacing w:line="360" w:lineRule="auto"/>
              <w:jc w:val="center"/>
              <w:rPr>
                <w:rFonts w:ascii="宋体" w:hAnsi="宋体" w:cs="宋体"/>
                <w:sz w:val="24"/>
              </w:rPr>
            </w:pPr>
          </w:p>
        </w:tc>
        <w:tc>
          <w:tcPr>
            <w:tcW w:w="1723" w:type="dxa"/>
            <w:vAlign w:val="center"/>
          </w:tcPr>
          <w:p>
            <w:pPr>
              <w:spacing w:line="360" w:lineRule="auto"/>
              <w:jc w:val="center"/>
              <w:rPr>
                <w:rFonts w:ascii="宋体" w:hAnsi="宋体" w:cs="宋体"/>
                <w:sz w:val="24"/>
              </w:rPr>
            </w:pPr>
          </w:p>
        </w:tc>
        <w:tc>
          <w:tcPr>
            <w:tcW w:w="1723"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36" w:type="dxa"/>
            <w:vAlign w:val="center"/>
          </w:tcPr>
          <w:p>
            <w:pPr>
              <w:spacing w:line="360" w:lineRule="auto"/>
              <w:jc w:val="center"/>
              <w:rPr>
                <w:rFonts w:ascii="宋体" w:hAnsi="宋体" w:cs="宋体"/>
                <w:sz w:val="24"/>
              </w:rPr>
            </w:pPr>
            <w:r>
              <w:rPr>
                <w:rFonts w:hint="eastAsia" w:ascii="宋体" w:hAnsi="宋体" w:cs="宋体"/>
                <w:sz w:val="24"/>
              </w:rPr>
              <w:t>2</w:t>
            </w:r>
          </w:p>
        </w:tc>
        <w:tc>
          <w:tcPr>
            <w:tcW w:w="2199" w:type="dxa"/>
            <w:vAlign w:val="center"/>
          </w:tcPr>
          <w:p>
            <w:pPr>
              <w:spacing w:line="360" w:lineRule="auto"/>
              <w:jc w:val="center"/>
              <w:rPr>
                <w:rFonts w:ascii="宋体" w:hAnsi="宋体" w:cs="宋体"/>
                <w:sz w:val="24"/>
              </w:rPr>
            </w:pPr>
          </w:p>
        </w:tc>
        <w:tc>
          <w:tcPr>
            <w:tcW w:w="2237" w:type="dxa"/>
            <w:vAlign w:val="center"/>
          </w:tcPr>
          <w:p>
            <w:pPr>
              <w:spacing w:line="360" w:lineRule="auto"/>
              <w:jc w:val="center"/>
              <w:rPr>
                <w:rFonts w:ascii="宋体" w:hAnsi="宋体" w:cs="宋体"/>
                <w:sz w:val="24"/>
              </w:rPr>
            </w:pPr>
          </w:p>
        </w:tc>
        <w:tc>
          <w:tcPr>
            <w:tcW w:w="1723" w:type="dxa"/>
            <w:vAlign w:val="center"/>
          </w:tcPr>
          <w:p>
            <w:pPr>
              <w:spacing w:line="360" w:lineRule="auto"/>
              <w:jc w:val="center"/>
              <w:rPr>
                <w:rFonts w:ascii="宋体" w:hAnsi="宋体" w:cs="宋体"/>
                <w:sz w:val="24"/>
              </w:rPr>
            </w:pPr>
          </w:p>
        </w:tc>
        <w:tc>
          <w:tcPr>
            <w:tcW w:w="1723"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36" w:type="dxa"/>
            <w:vAlign w:val="center"/>
          </w:tcPr>
          <w:p>
            <w:pPr>
              <w:spacing w:line="360" w:lineRule="auto"/>
              <w:jc w:val="center"/>
              <w:rPr>
                <w:rFonts w:ascii="宋体" w:hAnsi="宋体" w:cs="宋体"/>
                <w:sz w:val="24"/>
              </w:rPr>
            </w:pPr>
            <w:r>
              <w:rPr>
                <w:rFonts w:hint="eastAsia" w:ascii="宋体" w:hAnsi="宋体" w:cs="宋体"/>
                <w:sz w:val="24"/>
              </w:rPr>
              <w:t>3</w:t>
            </w:r>
          </w:p>
        </w:tc>
        <w:tc>
          <w:tcPr>
            <w:tcW w:w="2199" w:type="dxa"/>
            <w:vAlign w:val="center"/>
          </w:tcPr>
          <w:p>
            <w:pPr>
              <w:spacing w:line="360" w:lineRule="auto"/>
              <w:jc w:val="center"/>
              <w:rPr>
                <w:rFonts w:ascii="宋体" w:hAnsi="宋体" w:cs="宋体"/>
                <w:sz w:val="24"/>
              </w:rPr>
            </w:pPr>
          </w:p>
        </w:tc>
        <w:tc>
          <w:tcPr>
            <w:tcW w:w="2237" w:type="dxa"/>
            <w:vAlign w:val="center"/>
          </w:tcPr>
          <w:p>
            <w:pPr>
              <w:spacing w:line="360" w:lineRule="auto"/>
              <w:jc w:val="center"/>
              <w:rPr>
                <w:rFonts w:ascii="宋体" w:hAnsi="宋体" w:cs="宋体"/>
                <w:sz w:val="24"/>
              </w:rPr>
            </w:pPr>
          </w:p>
        </w:tc>
        <w:tc>
          <w:tcPr>
            <w:tcW w:w="1723" w:type="dxa"/>
            <w:vAlign w:val="center"/>
          </w:tcPr>
          <w:p>
            <w:pPr>
              <w:spacing w:line="360" w:lineRule="auto"/>
              <w:jc w:val="center"/>
              <w:rPr>
                <w:rFonts w:ascii="宋体" w:hAnsi="宋体" w:cs="宋体"/>
                <w:sz w:val="24"/>
              </w:rPr>
            </w:pPr>
          </w:p>
        </w:tc>
        <w:tc>
          <w:tcPr>
            <w:tcW w:w="1723"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36" w:type="dxa"/>
            <w:vAlign w:val="center"/>
          </w:tcPr>
          <w:p>
            <w:pPr>
              <w:spacing w:line="360" w:lineRule="auto"/>
              <w:jc w:val="center"/>
              <w:rPr>
                <w:rFonts w:ascii="宋体" w:hAnsi="宋体" w:cs="宋体"/>
                <w:sz w:val="24"/>
              </w:rPr>
            </w:pPr>
            <w:r>
              <w:rPr>
                <w:rFonts w:hint="eastAsia" w:ascii="宋体" w:hAnsi="宋体" w:cs="宋体"/>
                <w:sz w:val="24"/>
              </w:rPr>
              <w:t>……</w:t>
            </w:r>
          </w:p>
        </w:tc>
        <w:tc>
          <w:tcPr>
            <w:tcW w:w="2199" w:type="dxa"/>
            <w:vAlign w:val="center"/>
          </w:tcPr>
          <w:p>
            <w:pPr>
              <w:spacing w:line="360" w:lineRule="auto"/>
              <w:jc w:val="center"/>
              <w:rPr>
                <w:rFonts w:ascii="宋体" w:hAnsi="宋体" w:cs="宋体"/>
                <w:sz w:val="24"/>
              </w:rPr>
            </w:pPr>
          </w:p>
        </w:tc>
        <w:tc>
          <w:tcPr>
            <w:tcW w:w="2237" w:type="dxa"/>
            <w:vAlign w:val="center"/>
          </w:tcPr>
          <w:p>
            <w:pPr>
              <w:spacing w:line="360" w:lineRule="auto"/>
              <w:jc w:val="center"/>
              <w:rPr>
                <w:rFonts w:ascii="宋体" w:hAnsi="宋体" w:cs="宋体"/>
                <w:sz w:val="24"/>
              </w:rPr>
            </w:pPr>
          </w:p>
        </w:tc>
        <w:tc>
          <w:tcPr>
            <w:tcW w:w="1723" w:type="dxa"/>
            <w:vAlign w:val="center"/>
          </w:tcPr>
          <w:p>
            <w:pPr>
              <w:spacing w:line="360" w:lineRule="auto"/>
              <w:jc w:val="center"/>
              <w:rPr>
                <w:rFonts w:ascii="宋体" w:hAnsi="宋体" w:cs="宋体"/>
                <w:sz w:val="24"/>
              </w:rPr>
            </w:pPr>
          </w:p>
        </w:tc>
        <w:tc>
          <w:tcPr>
            <w:tcW w:w="1723"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36" w:type="dxa"/>
            <w:vAlign w:val="center"/>
          </w:tcPr>
          <w:p>
            <w:pPr>
              <w:spacing w:line="360" w:lineRule="auto"/>
              <w:jc w:val="center"/>
              <w:rPr>
                <w:rFonts w:ascii="宋体" w:hAnsi="宋体" w:cs="宋体"/>
                <w:sz w:val="24"/>
              </w:rPr>
            </w:pPr>
          </w:p>
        </w:tc>
        <w:tc>
          <w:tcPr>
            <w:tcW w:w="2199" w:type="dxa"/>
            <w:vAlign w:val="center"/>
          </w:tcPr>
          <w:p>
            <w:pPr>
              <w:spacing w:line="360" w:lineRule="auto"/>
              <w:jc w:val="center"/>
              <w:rPr>
                <w:rFonts w:ascii="宋体" w:hAnsi="宋体" w:cs="宋体"/>
                <w:sz w:val="24"/>
              </w:rPr>
            </w:pPr>
          </w:p>
        </w:tc>
        <w:tc>
          <w:tcPr>
            <w:tcW w:w="2237" w:type="dxa"/>
            <w:vAlign w:val="center"/>
          </w:tcPr>
          <w:p>
            <w:pPr>
              <w:spacing w:line="360" w:lineRule="auto"/>
              <w:jc w:val="center"/>
              <w:rPr>
                <w:rFonts w:ascii="宋体" w:hAnsi="宋体" w:cs="宋体"/>
                <w:sz w:val="24"/>
              </w:rPr>
            </w:pPr>
          </w:p>
        </w:tc>
        <w:tc>
          <w:tcPr>
            <w:tcW w:w="1723" w:type="dxa"/>
            <w:vAlign w:val="center"/>
          </w:tcPr>
          <w:p>
            <w:pPr>
              <w:spacing w:line="360" w:lineRule="auto"/>
              <w:jc w:val="center"/>
              <w:rPr>
                <w:rFonts w:ascii="宋体" w:hAnsi="宋体" w:cs="宋体"/>
                <w:sz w:val="24"/>
              </w:rPr>
            </w:pPr>
          </w:p>
        </w:tc>
        <w:tc>
          <w:tcPr>
            <w:tcW w:w="1723"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36" w:type="dxa"/>
            <w:vAlign w:val="center"/>
          </w:tcPr>
          <w:p>
            <w:pPr>
              <w:spacing w:line="360" w:lineRule="auto"/>
              <w:jc w:val="center"/>
              <w:rPr>
                <w:rFonts w:ascii="宋体" w:hAnsi="宋体" w:cs="宋体"/>
                <w:sz w:val="24"/>
              </w:rPr>
            </w:pPr>
          </w:p>
        </w:tc>
        <w:tc>
          <w:tcPr>
            <w:tcW w:w="2199" w:type="dxa"/>
            <w:vAlign w:val="center"/>
          </w:tcPr>
          <w:p>
            <w:pPr>
              <w:spacing w:line="360" w:lineRule="auto"/>
              <w:jc w:val="center"/>
              <w:rPr>
                <w:rFonts w:ascii="宋体" w:hAnsi="宋体" w:cs="宋体"/>
                <w:sz w:val="24"/>
              </w:rPr>
            </w:pPr>
          </w:p>
        </w:tc>
        <w:tc>
          <w:tcPr>
            <w:tcW w:w="2237" w:type="dxa"/>
            <w:vAlign w:val="center"/>
          </w:tcPr>
          <w:p>
            <w:pPr>
              <w:spacing w:line="360" w:lineRule="auto"/>
              <w:jc w:val="center"/>
              <w:rPr>
                <w:rFonts w:ascii="宋体" w:hAnsi="宋体" w:cs="宋体"/>
                <w:sz w:val="24"/>
              </w:rPr>
            </w:pPr>
          </w:p>
        </w:tc>
        <w:tc>
          <w:tcPr>
            <w:tcW w:w="1723" w:type="dxa"/>
            <w:vAlign w:val="center"/>
          </w:tcPr>
          <w:p>
            <w:pPr>
              <w:spacing w:line="360" w:lineRule="auto"/>
              <w:jc w:val="center"/>
              <w:rPr>
                <w:rFonts w:ascii="宋体" w:hAnsi="宋体" w:cs="宋体"/>
                <w:sz w:val="24"/>
              </w:rPr>
            </w:pPr>
          </w:p>
        </w:tc>
        <w:tc>
          <w:tcPr>
            <w:tcW w:w="1723"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836" w:type="dxa"/>
            <w:vAlign w:val="center"/>
          </w:tcPr>
          <w:p>
            <w:pPr>
              <w:spacing w:line="360" w:lineRule="auto"/>
              <w:jc w:val="center"/>
              <w:rPr>
                <w:rFonts w:ascii="宋体" w:hAnsi="宋体" w:cs="宋体"/>
                <w:sz w:val="24"/>
              </w:rPr>
            </w:pPr>
          </w:p>
        </w:tc>
        <w:tc>
          <w:tcPr>
            <w:tcW w:w="2199" w:type="dxa"/>
            <w:vAlign w:val="center"/>
          </w:tcPr>
          <w:p>
            <w:pPr>
              <w:spacing w:line="360" w:lineRule="auto"/>
              <w:jc w:val="center"/>
              <w:rPr>
                <w:rFonts w:ascii="宋体" w:hAnsi="宋体" w:cs="宋体"/>
                <w:sz w:val="24"/>
              </w:rPr>
            </w:pPr>
          </w:p>
        </w:tc>
        <w:tc>
          <w:tcPr>
            <w:tcW w:w="2237" w:type="dxa"/>
            <w:vAlign w:val="center"/>
          </w:tcPr>
          <w:p>
            <w:pPr>
              <w:spacing w:line="360" w:lineRule="auto"/>
              <w:jc w:val="center"/>
              <w:rPr>
                <w:rFonts w:ascii="宋体" w:hAnsi="宋体" w:cs="宋体"/>
                <w:sz w:val="24"/>
              </w:rPr>
            </w:pPr>
          </w:p>
        </w:tc>
        <w:tc>
          <w:tcPr>
            <w:tcW w:w="1723" w:type="dxa"/>
            <w:vAlign w:val="center"/>
          </w:tcPr>
          <w:p>
            <w:pPr>
              <w:spacing w:line="360" w:lineRule="auto"/>
              <w:jc w:val="center"/>
              <w:rPr>
                <w:rFonts w:ascii="宋体" w:hAnsi="宋体" w:cs="宋体"/>
                <w:sz w:val="24"/>
              </w:rPr>
            </w:pPr>
          </w:p>
        </w:tc>
        <w:tc>
          <w:tcPr>
            <w:tcW w:w="1723" w:type="dxa"/>
            <w:vAlign w:val="center"/>
          </w:tcPr>
          <w:p>
            <w:pPr>
              <w:spacing w:line="360" w:lineRule="auto"/>
              <w:jc w:val="center"/>
              <w:rPr>
                <w:rFonts w:ascii="宋体" w:hAnsi="宋体" w:cs="宋体"/>
                <w:sz w:val="24"/>
              </w:rPr>
            </w:pPr>
          </w:p>
        </w:tc>
      </w:tr>
    </w:tbl>
    <w:p>
      <w:pPr>
        <w:spacing w:line="360" w:lineRule="auto"/>
        <w:ind w:firstLine="480" w:firstLineChars="200"/>
        <w:rPr>
          <w:rFonts w:ascii="宋体" w:hAnsi="宋体" w:cs="宋体"/>
          <w:sz w:val="24"/>
        </w:rPr>
      </w:pPr>
    </w:p>
    <w:p>
      <w:pPr>
        <w:spacing w:line="360" w:lineRule="auto"/>
        <w:ind w:firstLine="422" w:firstLineChars="200"/>
        <w:rPr>
          <w:rFonts w:ascii="宋体" w:hAnsi="宋体" w:cs="宋体"/>
        </w:rPr>
      </w:pPr>
      <w:r>
        <w:rPr>
          <w:rFonts w:hint="eastAsia" w:ascii="宋体" w:hAnsi="宋体" w:cs="宋体"/>
          <w:b/>
        </w:rPr>
        <w:t>注</w:t>
      </w:r>
      <w:r>
        <w:rPr>
          <w:rFonts w:hint="eastAsia" w:ascii="宋体" w:hAnsi="宋体" w:cs="宋体"/>
        </w:rPr>
        <w:t>：1、应与文件要求逐条对应填写。</w:t>
      </w:r>
    </w:p>
    <w:p>
      <w:pPr>
        <w:spacing w:line="360" w:lineRule="auto"/>
        <w:ind w:firstLine="840" w:firstLineChars="400"/>
        <w:rPr>
          <w:rFonts w:ascii="宋体" w:hAnsi="宋体" w:cs="宋体"/>
        </w:rPr>
      </w:pPr>
      <w:r>
        <w:rPr>
          <w:rFonts w:hint="eastAsia" w:ascii="宋体" w:hAnsi="宋体" w:cs="宋体"/>
        </w:rPr>
        <w:t>2、本表如填写不完，可以续页。</w:t>
      </w:r>
    </w:p>
    <w:p>
      <w:pPr>
        <w:pStyle w:val="102"/>
        <w:ind w:firstLine="840" w:firstLineChars="400"/>
        <w:rPr>
          <w:rFonts w:ascii="宋体" w:hAnsi="宋体" w:eastAsia="宋体" w:cs="宋体"/>
        </w:rPr>
      </w:pPr>
      <w:r>
        <w:rPr>
          <w:rFonts w:hint="eastAsia" w:ascii="宋体" w:hAnsi="宋体" w:eastAsia="宋体" w:cs="宋体"/>
        </w:rPr>
        <w:t>3、商务条款包含：供货期、投标有效期、响应文件份数、投标保证金、付款方式、质保期、售后服务等。</w:t>
      </w:r>
    </w:p>
    <w:p>
      <w:pPr>
        <w:pStyle w:val="102"/>
        <w:ind w:firstLine="840" w:firstLineChars="400"/>
        <w:rPr>
          <w:rFonts w:ascii="宋体" w:hAnsi="宋体" w:eastAsia="宋体" w:cs="宋体"/>
        </w:rPr>
      </w:pPr>
      <w:r>
        <w:rPr>
          <w:rFonts w:hint="eastAsia" w:ascii="宋体" w:hAnsi="宋体" w:eastAsia="宋体" w:cs="宋体"/>
        </w:rPr>
        <w:t>4、投标人应据实填写，不可直接复制粘贴招标文件要求，否则视为不响应。</w:t>
      </w:r>
    </w:p>
    <w:p>
      <w:pPr>
        <w:pStyle w:val="102"/>
        <w:ind w:firstLine="840" w:firstLineChars="400"/>
        <w:rPr>
          <w:rFonts w:ascii="宋体" w:hAnsi="宋体" w:eastAsia="宋体" w:cs="宋体"/>
        </w:rPr>
      </w:pPr>
      <w:r>
        <w:rPr>
          <w:rFonts w:hint="eastAsia" w:ascii="宋体" w:hAnsi="宋体" w:eastAsia="宋体" w:cs="宋体"/>
        </w:rPr>
        <w:t>5、商务条款偏离表若有一项出现负偏离的，视为不响应招标文件实质性要求。</w:t>
      </w:r>
    </w:p>
    <w:p>
      <w:pPr>
        <w:pStyle w:val="102"/>
        <w:ind w:firstLine="840" w:firstLineChars="400"/>
        <w:rPr>
          <w:rFonts w:ascii="宋体" w:hAnsi="宋体" w:eastAsia="宋体" w:cs="宋体"/>
        </w:rPr>
      </w:pPr>
    </w:p>
    <w:p>
      <w:pPr>
        <w:spacing w:line="360" w:lineRule="auto"/>
        <w:ind w:firstLine="480" w:firstLineChars="200"/>
        <w:rPr>
          <w:rFonts w:ascii="宋体" w:hAnsi="宋体" w:cs="宋体"/>
          <w:sz w:val="24"/>
        </w:rPr>
      </w:pPr>
    </w:p>
    <w:p>
      <w:pPr>
        <w:adjustRightInd w:val="0"/>
        <w:snapToGrid w:val="0"/>
        <w:ind w:left="1611" w:leftChars="767" w:firstLine="420" w:firstLineChars="200"/>
        <w:rPr>
          <w:rFonts w:ascii="宋体" w:hAnsi="宋体"/>
          <w:szCs w:val="21"/>
          <w:u w:val="single"/>
        </w:rPr>
      </w:pPr>
      <w:r>
        <w:rPr>
          <w:rFonts w:hint="eastAsia" w:ascii="宋体" w:hAnsi="宋体"/>
          <w:szCs w:val="21"/>
        </w:rPr>
        <w:t>投标人名称（盖公章）：</w:t>
      </w:r>
      <w:r>
        <w:rPr>
          <w:rFonts w:hint="eastAsia" w:ascii="宋体" w:hAnsi="宋体"/>
          <w:szCs w:val="21"/>
          <w:u w:val="single"/>
        </w:rPr>
        <w:t xml:space="preserve">                            </w:t>
      </w:r>
      <w:r>
        <w:rPr>
          <w:rFonts w:hint="eastAsia" w:ascii="宋体" w:hAnsi="宋体"/>
          <w:szCs w:val="21"/>
        </w:rPr>
        <w:t>_</w:t>
      </w:r>
    </w:p>
    <w:p>
      <w:pPr>
        <w:adjustRightInd w:val="0"/>
        <w:snapToGrid w:val="0"/>
        <w:ind w:left="1611" w:leftChars="767"/>
        <w:rPr>
          <w:rFonts w:ascii="宋体" w:hAnsi="宋体"/>
          <w:szCs w:val="21"/>
        </w:rPr>
      </w:pPr>
    </w:p>
    <w:p>
      <w:pPr>
        <w:adjustRightInd w:val="0"/>
        <w:snapToGrid w:val="0"/>
        <w:ind w:left="1611" w:leftChars="767" w:firstLine="420" w:firstLineChars="200"/>
        <w:rPr>
          <w:rFonts w:ascii="宋体" w:hAnsi="宋体"/>
          <w:szCs w:val="21"/>
          <w:u w:val="single"/>
        </w:rPr>
      </w:pPr>
      <w:r>
        <w:rPr>
          <w:rFonts w:hint="eastAsia" w:ascii="宋体" w:hAnsi="宋体"/>
          <w:szCs w:val="21"/>
        </w:rPr>
        <w:t>法定代表人或其授权委托人(签字)：</w:t>
      </w:r>
      <w:r>
        <w:rPr>
          <w:rFonts w:hint="eastAsia" w:ascii="宋体" w:hAnsi="宋体"/>
          <w:szCs w:val="21"/>
          <w:u w:val="single"/>
        </w:rPr>
        <w:t xml:space="preserve">        </w:t>
      </w:r>
      <w:r>
        <w:rPr>
          <w:rFonts w:hint="eastAsia" w:ascii="宋体" w:hAnsi="宋体"/>
          <w:szCs w:val="21"/>
        </w:rPr>
        <w:t>_</w:t>
      </w:r>
    </w:p>
    <w:p>
      <w:pPr>
        <w:adjustRightInd w:val="0"/>
        <w:snapToGrid w:val="0"/>
        <w:ind w:left="1611" w:leftChars="767"/>
        <w:rPr>
          <w:rFonts w:ascii="宋体" w:hAnsi="宋体"/>
          <w:szCs w:val="21"/>
        </w:rPr>
      </w:pPr>
    </w:p>
    <w:p>
      <w:pPr>
        <w:adjustRightInd w:val="0"/>
        <w:snapToGrid w:val="0"/>
        <w:ind w:left="1611" w:leftChars="767" w:firstLine="420" w:firstLineChars="200"/>
        <w:rPr>
          <w:rFonts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widowControl/>
        <w:spacing w:line="360" w:lineRule="auto"/>
        <w:jc w:val="center"/>
        <w:outlineLvl w:val="0"/>
        <w:rPr>
          <w:rFonts w:ascii="宋体" w:hAnsi="宋体"/>
          <w:szCs w:val="21"/>
        </w:rPr>
      </w:pPr>
    </w:p>
    <w:p>
      <w:pPr>
        <w:pStyle w:val="14"/>
        <w:rPr>
          <w:rFonts w:ascii="宋体" w:hAnsi="宋体"/>
          <w:szCs w:val="21"/>
        </w:rPr>
      </w:pPr>
    </w:p>
    <w:p>
      <w:pPr>
        <w:rPr>
          <w:rFonts w:ascii="宋体" w:hAnsi="宋体"/>
          <w:szCs w:val="21"/>
        </w:rPr>
      </w:pPr>
    </w:p>
    <w:p>
      <w:pPr>
        <w:pStyle w:val="14"/>
        <w:rPr>
          <w:rFonts w:ascii="宋体" w:hAnsi="宋体"/>
          <w:szCs w:val="21"/>
        </w:rPr>
      </w:pPr>
    </w:p>
    <w:p>
      <w:pPr>
        <w:pStyle w:val="2"/>
        <w:spacing w:line="360" w:lineRule="auto"/>
        <w:jc w:val="center"/>
        <w:rPr>
          <w:rFonts w:ascii="Times New Roman" w:hAnsi="Times New Roman" w:eastAsia="宋体"/>
        </w:rPr>
      </w:pPr>
      <w:bookmarkStart w:id="366" w:name="_Toc28446"/>
      <w:bookmarkStart w:id="367" w:name="_Toc4624"/>
      <w:bookmarkStart w:id="368" w:name="_Toc5045"/>
      <w:bookmarkStart w:id="369" w:name="_Toc4202"/>
      <w:bookmarkStart w:id="370" w:name="_Toc11472"/>
      <w:bookmarkStart w:id="371" w:name="_Toc29757"/>
      <w:bookmarkStart w:id="372" w:name="_Toc10580"/>
      <w:bookmarkStart w:id="373" w:name="_Toc5203"/>
      <w:r>
        <w:rPr>
          <w:rFonts w:hint="eastAsia" w:ascii="宋体" w:hAnsi="宋体" w:eastAsia="宋体" w:cs="宋体"/>
          <w:kern w:val="0"/>
          <w:sz w:val="21"/>
          <w:szCs w:val="21"/>
        </w:rPr>
        <w:t>10、技术参数、规格偏离表</w:t>
      </w:r>
      <w:bookmarkEnd w:id="366"/>
      <w:bookmarkEnd w:id="367"/>
      <w:bookmarkEnd w:id="368"/>
      <w:bookmarkEnd w:id="369"/>
      <w:bookmarkEnd w:id="370"/>
      <w:bookmarkEnd w:id="371"/>
      <w:bookmarkEnd w:id="372"/>
    </w:p>
    <w:tbl>
      <w:tblPr>
        <w:tblStyle w:val="39"/>
        <w:tblW w:w="8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2059"/>
        <w:gridCol w:w="1829"/>
        <w:gridCol w:w="1680"/>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52" w:type="dxa"/>
            <w:vAlign w:val="center"/>
          </w:tcPr>
          <w:p>
            <w:pPr>
              <w:spacing w:line="360" w:lineRule="auto"/>
              <w:rPr>
                <w:rFonts w:ascii="宋体" w:hAnsi="宋体" w:cs="宋体"/>
              </w:rPr>
            </w:pPr>
            <w:r>
              <w:rPr>
                <w:rFonts w:hint="eastAsia" w:ascii="宋体" w:hAnsi="宋体" w:cs="宋体"/>
              </w:rPr>
              <w:t>序号</w:t>
            </w:r>
          </w:p>
        </w:tc>
        <w:tc>
          <w:tcPr>
            <w:tcW w:w="2059" w:type="dxa"/>
            <w:vAlign w:val="center"/>
          </w:tcPr>
          <w:p>
            <w:pPr>
              <w:spacing w:line="360" w:lineRule="auto"/>
              <w:jc w:val="center"/>
              <w:rPr>
                <w:rFonts w:ascii="宋体" w:hAnsi="宋体" w:cs="宋体"/>
              </w:rPr>
            </w:pPr>
            <w:r>
              <w:rPr>
                <w:rFonts w:hint="eastAsia" w:ascii="宋体" w:hAnsi="宋体" w:cs="宋体"/>
              </w:rPr>
              <w:t>文件要求技术参数、规格</w:t>
            </w:r>
          </w:p>
        </w:tc>
        <w:tc>
          <w:tcPr>
            <w:tcW w:w="1829" w:type="dxa"/>
            <w:vAlign w:val="center"/>
          </w:tcPr>
          <w:p>
            <w:pPr>
              <w:spacing w:line="360" w:lineRule="auto"/>
              <w:jc w:val="center"/>
              <w:rPr>
                <w:rFonts w:ascii="宋体" w:hAnsi="宋体" w:cs="宋体"/>
              </w:rPr>
            </w:pPr>
            <w:r>
              <w:rPr>
                <w:rFonts w:hint="eastAsia" w:ascii="宋体" w:hAnsi="宋体" w:cs="宋体"/>
              </w:rPr>
              <w:t>投标技术参数、规格</w:t>
            </w:r>
          </w:p>
        </w:tc>
        <w:tc>
          <w:tcPr>
            <w:tcW w:w="1680" w:type="dxa"/>
            <w:vAlign w:val="center"/>
          </w:tcPr>
          <w:p>
            <w:pPr>
              <w:spacing w:line="360" w:lineRule="auto"/>
              <w:jc w:val="center"/>
              <w:rPr>
                <w:rFonts w:ascii="宋体" w:hAnsi="宋体" w:cs="宋体"/>
              </w:rPr>
            </w:pPr>
            <w:r>
              <w:rPr>
                <w:rFonts w:hint="eastAsia" w:ascii="宋体" w:hAnsi="宋体" w:cs="宋体"/>
              </w:rPr>
              <w:t>正偏离/负偏离不偏离</w:t>
            </w:r>
          </w:p>
        </w:tc>
        <w:tc>
          <w:tcPr>
            <w:tcW w:w="1558" w:type="dxa"/>
            <w:vAlign w:val="center"/>
          </w:tcPr>
          <w:p>
            <w:pPr>
              <w:spacing w:line="360" w:lineRule="auto"/>
              <w:jc w:val="center"/>
              <w:rPr>
                <w:rFonts w:ascii="宋体" w:hAnsi="宋体" w:cs="宋体"/>
              </w:rPr>
            </w:pPr>
            <w:r>
              <w:rPr>
                <w:rFonts w:hint="eastAsia" w:ascii="宋体" w:hAnsi="宋体" w:cs="宋体"/>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052" w:type="dxa"/>
            <w:vAlign w:val="center"/>
          </w:tcPr>
          <w:p>
            <w:pPr>
              <w:spacing w:line="360" w:lineRule="auto"/>
              <w:jc w:val="center"/>
              <w:rPr>
                <w:rFonts w:ascii="宋体" w:hAnsi="宋体" w:cs="宋体"/>
              </w:rPr>
            </w:pPr>
            <w:r>
              <w:rPr>
                <w:rFonts w:hint="eastAsia" w:ascii="宋体" w:hAnsi="宋体" w:cs="宋体"/>
              </w:rPr>
              <w:t>1</w:t>
            </w:r>
          </w:p>
        </w:tc>
        <w:tc>
          <w:tcPr>
            <w:tcW w:w="2059" w:type="dxa"/>
            <w:vAlign w:val="center"/>
          </w:tcPr>
          <w:p>
            <w:pPr>
              <w:spacing w:line="360" w:lineRule="auto"/>
              <w:jc w:val="center"/>
              <w:rPr>
                <w:rFonts w:ascii="宋体" w:hAnsi="宋体" w:cs="宋体"/>
              </w:rPr>
            </w:pPr>
          </w:p>
        </w:tc>
        <w:tc>
          <w:tcPr>
            <w:tcW w:w="1829" w:type="dxa"/>
            <w:vAlign w:val="center"/>
          </w:tcPr>
          <w:p>
            <w:pPr>
              <w:spacing w:line="360" w:lineRule="auto"/>
              <w:jc w:val="center"/>
              <w:rPr>
                <w:rFonts w:ascii="宋体" w:hAnsi="宋体" w:cs="宋体"/>
              </w:rPr>
            </w:pPr>
          </w:p>
        </w:tc>
        <w:tc>
          <w:tcPr>
            <w:tcW w:w="1680" w:type="dxa"/>
            <w:vAlign w:val="center"/>
          </w:tcPr>
          <w:p>
            <w:pPr>
              <w:spacing w:line="360" w:lineRule="auto"/>
              <w:jc w:val="center"/>
              <w:rPr>
                <w:rFonts w:ascii="宋体" w:hAnsi="宋体" w:cs="宋体"/>
              </w:rPr>
            </w:pPr>
          </w:p>
        </w:tc>
        <w:tc>
          <w:tcPr>
            <w:tcW w:w="1558" w:type="dxa"/>
            <w:vAlign w:val="center"/>
          </w:tcPr>
          <w:p>
            <w:pPr>
              <w:spacing w:line="36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052" w:type="dxa"/>
            <w:vAlign w:val="center"/>
          </w:tcPr>
          <w:p>
            <w:pPr>
              <w:spacing w:line="360" w:lineRule="auto"/>
              <w:jc w:val="center"/>
              <w:rPr>
                <w:rFonts w:ascii="宋体" w:hAnsi="宋体" w:cs="宋体"/>
              </w:rPr>
            </w:pPr>
            <w:r>
              <w:rPr>
                <w:rFonts w:hint="eastAsia" w:ascii="宋体" w:hAnsi="宋体" w:cs="宋体"/>
              </w:rPr>
              <w:t>2</w:t>
            </w:r>
          </w:p>
        </w:tc>
        <w:tc>
          <w:tcPr>
            <w:tcW w:w="2059" w:type="dxa"/>
            <w:vAlign w:val="center"/>
          </w:tcPr>
          <w:p>
            <w:pPr>
              <w:spacing w:line="360" w:lineRule="auto"/>
              <w:jc w:val="center"/>
              <w:rPr>
                <w:rFonts w:ascii="宋体" w:hAnsi="宋体" w:cs="宋体"/>
              </w:rPr>
            </w:pPr>
          </w:p>
        </w:tc>
        <w:tc>
          <w:tcPr>
            <w:tcW w:w="1829" w:type="dxa"/>
            <w:vAlign w:val="center"/>
          </w:tcPr>
          <w:p>
            <w:pPr>
              <w:spacing w:line="360" w:lineRule="auto"/>
              <w:jc w:val="center"/>
              <w:rPr>
                <w:rFonts w:ascii="宋体" w:hAnsi="宋体" w:cs="宋体"/>
              </w:rPr>
            </w:pPr>
          </w:p>
        </w:tc>
        <w:tc>
          <w:tcPr>
            <w:tcW w:w="1680" w:type="dxa"/>
            <w:vAlign w:val="center"/>
          </w:tcPr>
          <w:p>
            <w:pPr>
              <w:spacing w:line="360" w:lineRule="auto"/>
              <w:jc w:val="center"/>
              <w:rPr>
                <w:rFonts w:ascii="宋体" w:hAnsi="宋体" w:cs="宋体"/>
              </w:rPr>
            </w:pPr>
          </w:p>
        </w:tc>
        <w:tc>
          <w:tcPr>
            <w:tcW w:w="1558" w:type="dxa"/>
            <w:vAlign w:val="center"/>
          </w:tcPr>
          <w:p>
            <w:pPr>
              <w:spacing w:line="36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052" w:type="dxa"/>
            <w:vAlign w:val="center"/>
          </w:tcPr>
          <w:p>
            <w:pPr>
              <w:spacing w:line="360" w:lineRule="auto"/>
              <w:jc w:val="center"/>
              <w:rPr>
                <w:rFonts w:ascii="宋体" w:hAnsi="宋体" w:cs="宋体"/>
              </w:rPr>
            </w:pPr>
            <w:r>
              <w:rPr>
                <w:rFonts w:hint="eastAsia" w:ascii="宋体" w:hAnsi="宋体" w:cs="宋体"/>
              </w:rPr>
              <w:t>3</w:t>
            </w:r>
          </w:p>
        </w:tc>
        <w:tc>
          <w:tcPr>
            <w:tcW w:w="2059" w:type="dxa"/>
            <w:vAlign w:val="center"/>
          </w:tcPr>
          <w:p>
            <w:pPr>
              <w:spacing w:line="360" w:lineRule="auto"/>
              <w:jc w:val="center"/>
              <w:rPr>
                <w:rFonts w:ascii="宋体" w:hAnsi="宋体" w:cs="宋体"/>
              </w:rPr>
            </w:pPr>
          </w:p>
        </w:tc>
        <w:tc>
          <w:tcPr>
            <w:tcW w:w="1829" w:type="dxa"/>
            <w:vAlign w:val="center"/>
          </w:tcPr>
          <w:p>
            <w:pPr>
              <w:spacing w:line="360" w:lineRule="auto"/>
              <w:jc w:val="center"/>
              <w:rPr>
                <w:rFonts w:ascii="宋体" w:hAnsi="宋体" w:cs="宋体"/>
              </w:rPr>
            </w:pPr>
          </w:p>
        </w:tc>
        <w:tc>
          <w:tcPr>
            <w:tcW w:w="1680" w:type="dxa"/>
            <w:vAlign w:val="center"/>
          </w:tcPr>
          <w:p>
            <w:pPr>
              <w:spacing w:line="360" w:lineRule="auto"/>
              <w:jc w:val="center"/>
              <w:rPr>
                <w:rFonts w:ascii="宋体" w:hAnsi="宋体" w:cs="宋体"/>
              </w:rPr>
            </w:pPr>
          </w:p>
        </w:tc>
        <w:tc>
          <w:tcPr>
            <w:tcW w:w="1558" w:type="dxa"/>
            <w:vAlign w:val="center"/>
          </w:tcPr>
          <w:p>
            <w:pPr>
              <w:spacing w:line="36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052" w:type="dxa"/>
            <w:vAlign w:val="center"/>
          </w:tcPr>
          <w:p>
            <w:pPr>
              <w:spacing w:line="360" w:lineRule="auto"/>
              <w:jc w:val="center"/>
              <w:rPr>
                <w:rFonts w:ascii="宋体" w:hAnsi="宋体" w:cs="宋体"/>
              </w:rPr>
            </w:pPr>
            <w:r>
              <w:rPr>
                <w:rFonts w:hint="eastAsia" w:ascii="宋体" w:hAnsi="宋体" w:cs="宋体"/>
              </w:rPr>
              <w:t>4</w:t>
            </w:r>
          </w:p>
        </w:tc>
        <w:tc>
          <w:tcPr>
            <w:tcW w:w="2059" w:type="dxa"/>
            <w:vAlign w:val="center"/>
          </w:tcPr>
          <w:p>
            <w:pPr>
              <w:spacing w:line="360" w:lineRule="auto"/>
              <w:jc w:val="center"/>
              <w:rPr>
                <w:rFonts w:ascii="宋体" w:hAnsi="宋体" w:cs="宋体"/>
              </w:rPr>
            </w:pPr>
          </w:p>
        </w:tc>
        <w:tc>
          <w:tcPr>
            <w:tcW w:w="1829" w:type="dxa"/>
            <w:vAlign w:val="center"/>
          </w:tcPr>
          <w:p>
            <w:pPr>
              <w:spacing w:line="360" w:lineRule="auto"/>
              <w:jc w:val="center"/>
              <w:rPr>
                <w:rFonts w:ascii="宋体" w:hAnsi="宋体" w:cs="宋体"/>
              </w:rPr>
            </w:pPr>
          </w:p>
        </w:tc>
        <w:tc>
          <w:tcPr>
            <w:tcW w:w="1680" w:type="dxa"/>
            <w:vAlign w:val="center"/>
          </w:tcPr>
          <w:p>
            <w:pPr>
              <w:spacing w:line="360" w:lineRule="auto"/>
              <w:jc w:val="center"/>
              <w:rPr>
                <w:rFonts w:ascii="宋体" w:hAnsi="宋体" w:cs="宋体"/>
              </w:rPr>
            </w:pPr>
          </w:p>
        </w:tc>
        <w:tc>
          <w:tcPr>
            <w:tcW w:w="1558" w:type="dxa"/>
            <w:vAlign w:val="center"/>
          </w:tcPr>
          <w:p>
            <w:pPr>
              <w:spacing w:line="36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052" w:type="dxa"/>
            <w:vAlign w:val="center"/>
          </w:tcPr>
          <w:p>
            <w:pPr>
              <w:spacing w:line="360" w:lineRule="auto"/>
              <w:jc w:val="center"/>
              <w:rPr>
                <w:rFonts w:ascii="宋体" w:hAnsi="宋体" w:cs="宋体"/>
              </w:rPr>
            </w:pPr>
            <w:r>
              <w:rPr>
                <w:rFonts w:hint="eastAsia" w:ascii="宋体" w:hAnsi="宋体" w:cs="宋体"/>
              </w:rPr>
              <w:t>5</w:t>
            </w:r>
          </w:p>
        </w:tc>
        <w:tc>
          <w:tcPr>
            <w:tcW w:w="2059" w:type="dxa"/>
            <w:vAlign w:val="center"/>
          </w:tcPr>
          <w:p>
            <w:pPr>
              <w:spacing w:line="360" w:lineRule="auto"/>
              <w:jc w:val="center"/>
              <w:rPr>
                <w:rFonts w:ascii="宋体" w:hAnsi="宋体" w:cs="宋体"/>
              </w:rPr>
            </w:pPr>
          </w:p>
        </w:tc>
        <w:tc>
          <w:tcPr>
            <w:tcW w:w="1829" w:type="dxa"/>
            <w:vAlign w:val="center"/>
          </w:tcPr>
          <w:p>
            <w:pPr>
              <w:spacing w:line="360" w:lineRule="auto"/>
              <w:jc w:val="center"/>
              <w:rPr>
                <w:rFonts w:ascii="宋体" w:hAnsi="宋体" w:cs="宋体"/>
              </w:rPr>
            </w:pPr>
          </w:p>
        </w:tc>
        <w:tc>
          <w:tcPr>
            <w:tcW w:w="1680" w:type="dxa"/>
            <w:vAlign w:val="center"/>
          </w:tcPr>
          <w:p>
            <w:pPr>
              <w:spacing w:line="360" w:lineRule="auto"/>
              <w:jc w:val="center"/>
              <w:rPr>
                <w:rFonts w:ascii="宋体" w:hAnsi="宋体" w:cs="宋体"/>
              </w:rPr>
            </w:pPr>
          </w:p>
        </w:tc>
        <w:tc>
          <w:tcPr>
            <w:tcW w:w="1558" w:type="dxa"/>
            <w:vAlign w:val="center"/>
          </w:tcPr>
          <w:p>
            <w:pPr>
              <w:spacing w:line="36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052" w:type="dxa"/>
            <w:vAlign w:val="center"/>
          </w:tcPr>
          <w:p>
            <w:pPr>
              <w:spacing w:line="360" w:lineRule="auto"/>
              <w:jc w:val="center"/>
              <w:rPr>
                <w:rFonts w:ascii="宋体" w:hAnsi="宋体" w:cs="宋体"/>
              </w:rPr>
            </w:pPr>
            <w:r>
              <w:rPr>
                <w:rFonts w:hint="eastAsia" w:ascii="宋体" w:hAnsi="宋体" w:cs="宋体"/>
              </w:rPr>
              <w:t>……</w:t>
            </w:r>
          </w:p>
        </w:tc>
        <w:tc>
          <w:tcPr>
            <w:tcW w:w="2059" w:type="dxa"/>
            <w:vAlign w:val="center"/>
          </w:tcPr>
          <w:p>
            <w:pPr>
              <w:spacing w:line="360" w:lineRule="auto"/>
              <w:jc w:val="center"/>
              <w:rPr>
                <w:rFonts w:ascii="宋体" w:hAnsi="宋体" w:cs="宋体"/>
              </w:rPr>
            </w:pPr>
          </w:p>
        </w:tc>
        <w:tc>
          <w:tcPr>
            <w:tcW w:w="1829" w:type="dxa"/>
            <w:vAlign w:val="center"/>
          </w:tcPr>
          <w:p>
            <w:pPr>
              <w:spacing w:line="360" w:lineRule="auto"/>
              <w:jc w:val="center"/>
              <w:rPr>
                <w:rFonts w:ascii="宋体" w:hAnsi="宋体" w:cs="宋体"/>
              </w:rPr>
            </w:pPr>
          </w:p>
        </w:tc>
        <w:tc>
          <w:tcPr>
            <w:tcW w:w="1680" w:type="dxa"/>
            <w:vAlign w:val="center"/>
          </w:tcPr>
          <w:p>
            <w:pPr>
              <w:spacing w:line="360" w:lineRule="auto"/>
              <w:jc w:val="center"/>
              <w:rPr>
                <w:rFonts w:ascii="宋体" w:hAnsi="宋体" w:cs="宋体"/>
              </w:rPr>
            </w:pPr>
          </w:p>
        </w:tc>
        <w:tc>
          <w:tcPr>
            <w:tcW w:w="1558" w:type="dxa"/>
            <w:vAlign w:val="center"/>
          </w:tcPr>
          <w:p>
            <w:pPr>
              <w:spacing w:line="36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052" w:type="dxa"/>
            <w:vAlign w:val="center"/>
          </w:tcPr>
          <w:p>
            <w:pPr>
              <w:spacing w:line="360" w:lineRule="auto"/>
              <w:jc w:val="center"/>
              <w:rPr>
                <w:rFonts w:ascii="宋体" w:hAnsi="宋体" w:cs="宋体"/>
              </w:rPr>
            </w:pPr>
          </w:p>
        </w:tc>
        <w:tc>
          <w:tcPr>
            <w:tcW w:w="2059" w:type="dxa"/>
            <w:vAlign w:val="center"/>
          </w:tcPr>
          <w:p>
            <w:pPr>
              <w:spacing w:line="360" w:lineRule="auto"/>
              <w:jc w:val="center"/>
              <w:rPr>
                <w:rFonts w:ascii="宋体" w:hAnsi="宋体" w:cs="宋体"/>
              </w:rPr>
            </w:pPr>
          </w:p>
        </w:tc>
        <w:tc>
          <w:tcPr>
            <w:tcW w:w="1829" w:type="dxa"/>
            <w:vAlign w:val="center"/>
          </w:tcPr>
          <w:p>
            <w:pPr>
              <w:spacing w:line="360" w:lineRule="auto"/>
              <w:jc w:val="center"/>
              <w:rPr>
                <w:rFonts w:ascii="宋体" w:hAnsi="宋体" w:cs="宋体"/>
              </w:rPr>
            </w:pPr>
          </w:p>
        </w:tc>
        <w:tc>
          <w:tcPr>
            <w:tcW w:w="1680" w:type="dxa"/>
            <w:vAlign w:val="center"/>
          </w:tcPr>
          <w:p>
            <w:pPr>
              <w:spacing w:line="360" w:lineRule="auto"/>
              <w:jc w:val="center"/>
              <w:rPr>
                <w:rFonts w:ascii="宋体" w:hAnsi="宋体" w:cs="宋体"/>
              </w:rPr>
            </w:pPr>
          </w:p>
        </w:tc>
        <w:tc>
          <w:tcPr>
            <w:tcW w:w="1558" w:type="dxa"/>
            <w:vAlign w:val="center"/>
          </w:tcPr>
          <w:p>
            <w:pPr>
              <w:spacing w:line="360" w:lineRule="auto"/>
              <w:jc w:val="center"/>
              <w:rPr>
                <w:rFonts w:ascii="宋体" w:hAnsi="宋体" w:cs="宋体"/>
              </w:rPr>
            </w:pPr>
          </w:p>
        </w:tc>
      </w:tr>
    </w:tbl>
    <w:p>
      <w:pPr>
        <w:spacing w:line="360" w:lineRule="auto"/>
        <w:ind w:firstLine="420" w:firstLineChars="200"/>
        <w:rPr>
          <w:rFonts w:ascii="宋体" w:hAnsi="宋体" w:cs="宋体"/>
        </w:rPr>
      </w:pPr>
    </w:p>
    <w:p>
      <w:pPr>
        <w:spacing w:line="360" w:lineRule="auto"/>
        <w:rPr>
          <w:rFonts w:ascii="宋体" w:hAnsi="宋体" w:cs="宋体"/>
        </w:rPr>
      </w:pPr>
      <w:r>
        <w:rPr>
          <w:rFonts w:hint="eastAsia" w:ascii="宋体" w:hAnsi="宋体" w:cs="宋体"/>
          <w:b/>
        </w:rPr>
        <w:t>注</w:t>
      </w:r>
      <w:r>
        <w:rPr>
          <w:rFonts w:hint="eastAsia" w:ascii="宋体" w:hAnsi="宋体" w:cs="宋体"/>
        </w:rPr>
        <w:t>：1、应与文件要求逐条对应填写，投标人应据实填写技术参数及规格，不可直接复制粘贴招标文件要求，否则视为不响应。</w:t>
      </w:r>
    </w:p>
    <w:p>
      <w:pPr>
        <w:spacing w:line="360" w:lineRule="auto"/>
        <w:ind w:firstLine="420" w:firstLineChars="200"/>
        <w:outlineLvl w:val="0"/>
        <w:rPr>
          <w:rFonts w:ascii="宋体" w:hAnsi="宋体" w:cs="宋体"/>
        </w:rPr>
      </w:pPr>
      <w:bookmarkStart w:id="374" w:name="_Toc11867"/>
      <w:bookmarkStart w:id="375" w:name="_Toc26710"/>
      <w:bookmarkStart w:id="376" w:name="_Toc10128"/>
      <w:bookmarkStart w:id="377" w:name="_Toc30452"/>
      <w:bookmarkStart w:id="378" w:name="_Toc17337"/>
      <w:bookmarkStart w:id="379" w:name="_Toc27260"/>
      <w:bookmarkStart w:id="380" w:name="_Toc2895"/>
      <w:bookmarkStart w:id="381" w:name="_Toc31559"/>
      <w:bookmarkStart w:id="382" w:name="_Toc16515"/>
      <w:bookmarkStart w:id="383" w:name="_Toc22102"/>
      <w:r>
        <w:rPr>
          <w:rFonts w:hint="eastAsia" w:ascii="宋体" w:hAnsi="宋体" w:cs="宋体"/>
        </w:rPr>
        <w:t>2、本表如填写不完，可以续页。</w:t>
      </w:r>
      <w:bookmarkEnd w:id="374"/>
      <w:bookmarkEnd w:id="375"/>
      <w:bookmarkEnd w:id="376"/>
      <w:bookmarkEnd w:id="377"/>
      <w:bookmarkEnd w:id="378"/>
      <w:bookmarkEnd w:id="379"/>
      <w:bookmarkEnd w:id="380"/>
      <w:bookmarkEnd w:id="381"/>
      <w:bookmarkEnd w:id="382"/>
      <w:bookmarkEnd w:id="383"/>
    </w:p>
    <w:p>
      <w:pPr>
        <w:spacing w:line="360" w:lineRule="auto"/>
        <w:ind w:firstLine="420" w:firstLineChars="200"/>
        <w:outlineLvl w:val="0"/>
        <w:rPr>
          <w:rFonts w:ascii="宋体" w:hAnsi="宋体" w:cs="宋体"/>
        </w:rPr>
      </w:pPr>
    </w:p>
    <w:p>
      <w:pPr>
        <w:spacing w:line="360" w:lineRule="auto"/>
        <w:rPr>
          <w:rFonts w:ascii="宋体" w:hAnsi="宋体" w:cs="宋体"/>
        </w:rPr>
      </w:pPr>
    </w:p>
    <w:p>
      <w:pPr>
        <w:spacing w:line="360" w:lineRule="auto"/>
        <w:rPr>
          <w:rFonts w:ascii="宋体" w:hAnsi="宋体" w:cs="宋体"/>
          <w:sz w:val="24"/>
        </w:rPr>
      </w:pPr>
    </w:p>
    <w:p>
      <w:pPr>
        <w:spacing w:line="360" w:lineRule="auto"/>
        <w:rPr>
          <w:rFonts w:ascii="宋体" w:hAnsi="宋体" w:cs="宋体"/>
          <w:sz w:val="24"/>
        </w:rPr>
      </w:pPr>
    </w:p>
    <w:p>
      <w:pPr>
        <w:adjustRightInd w:val="0"/>
        <w:snapToGrid w:val="0"/>
        <w:ind w:left="1611" w:leftChars="767" w:firstLine="420" w:firstLineChars="200"/>
        <w:rPr>
          <w:rFonts w:ascii="宋体" w:hAnsi="宋体"/>
          <w:szCs w:val="21"/>
          <w:u w:val="single"/>
        </w:rPr>
      </w:pPr>
      <w:r>
        <w:rPr>
          <w:rFonts w:hint="eastAsia" w:ascii="宋体" w:hAnsi="宋体"/>
          <w:szCs w:val="21"/>
        </w:rPr>
        <w:t>投标人名称（盖公章）：</w:t>
      </w:r>
      <w:r>
        <w:rPr>
          <w:rFonts w:hint="eastAsia" w:ascii="宋体" w:hAnsi="宋体"/>
          <w:szCs w:val="21"/>
          <w:u w:val="single"/>
        </w:rPr>
        <w:t xml:space="preserve">                            </w:t>
      </w:r>
      <w:r>
        <w:rPr>
          <w:rFonts w:hint="eastAsia" w:ascii="宋体" w:hAnsi="宋体"/>
          <w:szCs w:val="21"/>
        </w:rPr>
        <w:t>_</w:t>
      </w:r>
    </w:p>
    <w:p>
      <w:pPr>
        <w:adjustRightInd w:val="0"/>
        <w:snapToGrid w:val="0"/>
        <w:ind w:left="1611" w:leftChars="767"/>
        <w:rPr>
          <w:rFonts w:ascii="宋体" w:hAnsi="宋体"/>
          <w:szCs w:val="21"/>
        </w:rPr>
      </w:pPr>
    </w:p>
    <w:p>
      <w:pPr>
        <w:adjustRightInd w:val="0"/>
        <w:snapToGrid w:val="0"/>
        <w:ind w:left="1611" w:leftChars="767" w:firstLine="420" w:firstLineChars="200"/>
        <w:rPr>
          <w:rFonts w:ascii="宋体" w:hAnsi="宋体"/>
          <w:szCs w:val="21"/>
          <w:u w:val="single"/>
        </w:rPr>
      </w:pPr>
      <w:r>
        <w:rPr>
          <w:rFonts w:hint="eastAsia" w:ascii="宋体" w:hAnsi="宋体"/>
          <w:szCs w:val="21"/>
        </w:rPr>
        <w:t>法定代表人或其授权委托人(签字)：</w:t>
      </w:r>
      <w:r>
        <w:rPr>
          <w:rFonts w:hint="eastAsia" w:ascii="宋体" w:hAnsi="宋体"/>
          <w:szCs w:val="21"/>
          <w:u w:val="single"/>
        </w:rPr>
        <w:t xml:space="preserve">        </w:t>
      </w:r>
      <w:r>
        <w:rPr>
          <w:rFonts w:hint="eastAsia" w:ascii="宋体" w:hAnsi="宋体"/>
          <w:szCs w:val="21"/>
        </w:rPr>
        <w:t>_</w:t>
      </w:r>
    </w:p>
    <w:p>
      <w:pPr>
        <w:adjustRightInd w:val="0"/>
        <w:snapToGrid w:val="0"/>
        <w:ind w:left="1611" w:leftChars="767"/>
        <w:rPr>
          <w:rFonts w:ascii="宋体" w:hAnsi="宋体"/>
          <w:szCs w:val="21"/>
        </w:rPr>
      </w:pPr>
    </w:p>
    <w:p>
      <w:pPr>
        <w:adjustRightInd w:val="0"/>
        <w:snapToGrid w:val="0"/>
        <w:ind w:left="1611" w:leftChars="767" w:firstLine="420" w:firstLineChars="200"/>
        <w:rPr>
          <w:rFonts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adjustRightInd w:val="0"/>
        <w:snapToGrid w:val="0"/>
        <w:ind w:left="2108" w:leftChars="1004"/>
        <w:rPr>
          <w:rFonts w:ascii="宋体" w:hAnsi="宋体"/>
          <w:szCs w:val="21"/>
        </w:rPr>
      </w:pPr>
    </w:p>
    <w:p>
      <w:pPr>
        <w:adjustRightInd w:val="0"/>
        <w:snapToGrid w:val="0"/>
        <w:ind w:left="2108" w:leftChars="1004"/>
        <w:rPr>
          <w:rFonts w:ascii="宋体" w:hAnsi="宋体"/>
          <w:szCs w:val="21"/>
        </w:rPr>
      </w:pPr>
    </w:p>
    <w:p>
      <w:pPr>
        <w:adjustRightInd w:val="0"/>
        <w:snapToGrid w:val="0"/>
        <w:jc w:val="center"/>
        <w:rPr>
          <w:rFonts w:hAnsi="宋体"/>
        </w:rPr>
      </w:pPr>
      <w:bookmarkStart w:id="384" w:name="_Toc387653055"/>
      <w:r>
        <w:rPr>
          <w:rFonts w:hint="eastAsia" w:hAnsi="宋体"/>
        </w:rPr>
        <w:br w:type="page"/>
      </w:r>
    </w:p>
    <w:bookmarkEnd w:id="384"/>
    <w:p>
      <w:pPr>
        <w:widowControl/>
        <w:spacing w:line="360" w:lineRule="auto"/>
        <w:jc w:val="center"/>
        <w:outlineLvl w:val="0"/>
        <w:rPr>
          <w:rFonts w:hint="eastAsia" w:ascii="宋体" w:hAnsi="宋体" w:eastAsia="宋体" w:cs="宋体"/>
          <w:b/>
          <w:bCs/>
          <w:kern w:val="0"/>
          <w:szCs w:val="21"/>
          <w:lang w:eastAsia="zh-CN"/>
        </w:rPr>
      </w:pPr>
      <w:bookmarkStart w:id="385" w:name="_Toc26090"/>
      <w:bookmarkStart w:id="386" w:name="_Toc17204509"/>
      <w:bookmarkStart w:id="387" w:name="_Toc24940"/>
      <w:bookmarkStart w:id="388" w:name="_Toc515570493"/>
      <w:r>
        <w:rPr>
          <w:rFonts w:hint="eastAsia" w:ascii="宋体" w:hAnsi="宋体" w:cs="宋体"/>
          <w:b/>
          <w:bCs/>
          <w:kern w:val="0"/>
          <w:szCs w:val="21"/>
        </w:rPr>
        <w:t>11.供货组织情况及实施方案</w:t>
      </w:r>
      <w:bookmarkEnd w:id="385"/>
    </w:p>
    <w:p>
      <w:pPr>
        <w:pStyle w:val="14"/>
        <w:jc w:val="center"/>
      </w:pPr>
      <w:r>
        <w:rPr>
          <w:rFonts w:hint="eastAsia"/>
        </w:rPr>
        <w:t>（格式自拟）</w:t>
      </w:r>
    </w:p>
    <w:p/>
    <w:p>
      <w:pPr>
        <w:widowControl/>
        <w:spacing w:line="360" w:lineRule="auto"/>
        <w:jc w:val="center"/>
        <w:outlineLvl w:val="0"/>
        <w:rPr>
          <w:rFonts w:hint="eastAsia" w:ascii="宋体" w:hAnsi="宋体" w:cs="宋体"/>
          <w:b/>
          <w:bCs/>
          <w:kern w:val="0"/>
          <w:szCs w:val="21"/>
        </w:rPr>
      </w:pPr>
      <w:bookmarkStart w:id="389" w:name="_Toc28365"/>
      <w:bookmarkStart w:id="390" w:name="_Toc4172"/>
    </w:p>
    <w:p>
      <w:pPr>
        <w:widowControl/>
        <w:spacing w:line="360" w:lineRule="auto"/>
        <w:jc w:val="center"/>
        <w:outlineLvl w:val="0"/>
        <w:rPr>
          <w:rFonts w:hint="eastAsia" w:ascii="宋体" w:hAnsi="宋体" w:cs="宋体"/>
          <w:b/>
          <w:bCs/>
          <w:kern w:val="0"/>
          <w:szCs w:val="21"/>
        </w:rPr>
      </w:pPr>
    </w:p>
    <w:p>
      <w:pPr>
        <w:widowControl/>
        <w:spacing w:line="360" w:lineRule="auto"/>
        <w:jc w:val="center"/>
        <w:outlineLvl w:val="0"/>
        <w:rPr>
          <w:rFonts w:hint="eastAsia" w:ascii="宋体" w:hAnsi="宋体" w:cs="宋体"/>
          <w:b/>
          <w:bCs/>
          <w:kern w:val="0"/>
          <w:szCs w:val="21"/>
        </w:rPr>
      </w:pPr>
    </w:p>
    <w:p>
      <w:pPr>
        <w:widowControl/>
        <w:spacing w:line="360" w:lineRule="auto"/>
        <w:jc w:val="center"/>
        <w:outlineLvl w:val="0"/>
        <w:rPr>
          <w:rFonts w:hint="eastAsia" w:ascii="宋体" w:hAnsi="宋体" w:cs="宋体"/>
          <w:b/>
          <w:bCs/>
          <w:kern w:val="0"/>
          <w:szCs w:val="21"/>
        </w:rPr>
      </w:pPr>
    </w:p>
    <w:p>
      <w:pPr>
        <w:widowControl/>
        <w:spacing w:line="360" w:lineRule="auto"/>
        <w:jc w:val="center"/>
        <w:outlineLvl w:val="0"/>
        <w:rPr>
          <w:rFonts w:hint="eastAsia" w:ascii="宋体" w:hAnsi="宋体" w:cs="宋体"/>
          <w:b/>
          <w:bCs/>
          <w:kern w:val="0"/>
          <w:szCs w:val="21"/>
        </w:rPr>
      </w:pPr>
    </w:p>
    <w:p>
      <w:pPr>
        <w:widowControl/>
        <w:spacing w:line="360" w:lineRule="auto"/>
        <w:jc w:val="center"/>
        <w:outlineLvl w:val="0"/>
        <w:rPr>
          <w:rFonts w:hint="eastAsia" w:ascii="宋体" w:hAnsi="宋体" w:cs="宋体"/>
          <w:b/>
          <w:bCs/>
          <w:kern w:val="0"/>
          <w:szCs w:val="21"/>
        </w:rPr>
      </w:pPr>
    </w:p>
    <w:p>
      <w:pPr>
        <w:widowControl/>
        <w:spacing w:line="360" w:lineRule="auto"/>
        <w:jc w:val="center"/>
        <w:outlineLvl w:val="0"/>
        <w:rPr>
          <w:rFonts w:ascii="宋体" w:hAnsi="宋体" w:cs="宋体"/>
          <w:b/>
          <w:bCs/>
          <w:kern w:val="0"/>
          <w:szCs w:val="21"/>
        </w:rPr>
      </w:pPr>
      <w:r>
        <w:rPr>
          <w:rFonts w:hint="eastAsia" w:ascii="宋体" w:hAnsi="宋体" w:cs="宋体"/>
          <w:b/>
          <w:bCs/>
          <w:kern w:val="0"/>
          <w:szCs w:val="21"/>
        </w:rPr>
        <w:t>12.售后服务方案及承诺书</w:t>
      </w:r>
      <w:bookmarkEnd w:id="389"/>
      <w:bookmarkEnd w:id="390"/>
    </w:p>
    <w:p>
      <w:pPr>
        <w:pStyle w:val="14"/>
        <w:jc w:val="center"/>
      </w:pPr>
      <w:r>
        <w:rPr>
          <w:rFonts w:hint="eastAsia"/>
        </w:rPr>
        <w:t>（格式自拟）</w:t>
      </w:r>
    </w:p>
    <w:p>
      <w:pPr>
        <w:widowControl/>
        <w:spacing w:line="360" w:lineRule="auto"/>
        <w:jc w:val="center"/>
        <w:outlineLvl w:val="0"/>
        <w:rPr>
          <w:rFonts w:ascii="宋体" w:hAnsi="宋体" w:cs="宋体"/>
          <w:b/>
          <w:bCs/>
          <w:kern w:val="0"/>
          <w:szCs w:val="21"/>
        </w:rPr>
      </w:pPr>
    </w:p>
    <w:p>
      <w:pPr>
        <w:widowControl/>
        <w:spacing w:line="360" w:lineRule="auto"/>
        <w:jc w:val="center"/>
        <w:outlineLvl w:val="0"/>
        <w:rPr>
          <w:rFonts w:ascii="宋体" w:hAnsi="宋体" w:cs="宋体"/>
          <w:b/>
          <w:bCs/>
          <w:kern w:val="0"/>
          <w:szCs w:val="21"/>
        </w:rPr>
      </w:pPr>
    </w:p>
    <w:p>
      <w:pPr>
        <w:widowControl/>
        <w:spacing w:line="360" w:lineRule="auto"/>
        <w:jc w:val="center"/>
        <w:outlineLvl w:val="0"/>
        <w:rPr>
          <w:rFonts w:hint="eastAsia" w:ascii="宋体" w:hAnsi="宋体" w:cs="宋体"/>
          <w:b/>
          <w:bCs/>
          <w:kern w:val="0"/>
          <w:szCs w:val="21"/>
        </w:rPr>
      </w:pPr>
      <w:bookmarkStart w:id="391" w:name="_Toc11445"/>
      <w:bookmarkStart w:id="392" w:name="_Toc10981"/>
    </w:p>
    <w:p>
      <w:pPr>
        <w:widowControl/>
        <w:spacing w:line="360" w:lineRule="auto"/>
        <w:jc w:val="center"/>
        <w:outlineLvl w:val="0"/>
        <w:rPr>
          <w:rFonts w:hint="eastAsia" w:ascii="宋体" w:hAnsi="宋体" w:cs="宋体"/>
          <w:b/>
          <w:bCs/>
          <w:kern w:val="0"/>
          <w:szCs w:val="21"/>
        </w:rPr>
      </w:pPr>
    </w:p>
    <w:p>
      <w:pPr>
        <w:widowControl/>
        <w:spacing w:line="360" w:lineRule="auto"/>
        <w:jc w:val="center"/>
        <w:outlineLvl w:val="0"/>
        <w:rPr>
          <w:rFonts w:hint="eastAsia" w:ascii="宋体" w:hAnsi="宋体" w:cs="宋体"/>
          <w:b/>
          <w:bCs/>
          <w:kern w:val="0"/>
          <w:szCs w:val="21"/>
        </w:rPr>
      </w:pPr>
    </w:p>
    <w:p>
      <w:pPr>
        <w:widowControl/>
        <w:spacing w:line="360" w:lineRule="auto"/>
        <w:jc w:val="center"/>
        <w:outlineLvl w:val="0"/>
        <w:rPr>
          <w:rFonts w:hint="eastAsia" w:ascii="宋体" w:hAnsi="宋体" w:cs="宋体"/>
          <w:b/>
          <w:bCs/>
          <w:kern w:val="0"/>
          <w:szCs w:val="21"/>
        </w:rPr>
      </w:pPr>
    </w:p>
    <w:p>
      <w:pPr>
        <w:widowControl/>
        <w:spacing w:line="360" w:lineRule="auto"/>
        <w:jc w:val="center"/>
        <w:outlineLvl w:val="0"/>
        <w:rPr>
          <w:rFonts w:hint="eastAsia" w:ascii="宋体" w:hAnsi="宋体" w:cs="宋体"/>
          <w:b/>
          <w:bCs/>
          <w:kern w:val="0"/>
          <w:szCs w:val="21"/>
        </w:rPr>
      </w:pPr>
    </w:p>
    <w:p>
      <w:pPr>
        <w:widowControl/>
        <w:spacing w:line="360" w:lineRule="auto"/>
        <w:jc w:val="center"/>
        <w:outlineLvl w:val="0"/>
        <w:rPr>
          <w:rFonts w:hint="eastAsia" w:ascii="宋体" w:hAnsi="宋体" w:cs="宋体"/>
          <w:b/>
          <w:bCs/>
          <w:kern w:val="0"/>
          <w:szCs w:val="21"/>
        </w:rPr>
      </w:pPr>
    </w:p>
    <w:p>
      <w:pPr>
        <w:widowControl/>
        <w:spacing w:line="360" w:lineRule="auto"/>
        <w:jc w:val="center"/>
        <w:outlineLvl w:val="0"/>
        <w:rPr>
          <w:rFonts w:ascii="宋体" w:hAnsi="宋体" w:cs="宋体"/>
          <w:b/>
          <w:bCs/>
          <w:kern w:val="0"/>
          <w:szCs w:val="21"/>
        </w:rPr>
      </w:pPr>
      <w:r>
        <w:rPr>
          <w:rFonts w:hint="eastAsia" w:ascii="宋体" w:hAnsi="宋体" w:cs="宋体"/>
          <w:b/>
          <w:bCs/>
          <w:kern w:val="0"/>
          <w:szCs w:val="21"/>
        </w:rPr>
        <w:t>13.其它证明材料</w:t>
      </w:r>
      <w:bookmarkEnd w:id="373"/>
      <w:bookmarkEnd w:id="386"/>
      <w:bookmarkEnd w:id="387"/>
      <w:bookmarkEnd w:id="388"/>
      <w:bookmarkEnd w:id="391"/>
      <w:bookmarkEnd w:id="392"/>
    </w:p>
    <w:p>
      <w:pPr>
        <w:ind w:firstLine="630" w:firstLineChars="300"/>
        <w:rPr>
          <w:rFonts w:ascii="宋体" w:hAnsi="宋体"/>
          <w:szCs w:val="21"/>
        </w:rPr>
      </w:pPr>
      <w:r>
        <w:rPr>
          <w:rFonts w:hint="eastAsia" w:ascii="宋体" w:hAnsi="宋体"/>
          <w:szCs w:val="21"/>
        </w:rPr>
        <w:t>投标人根据评标办法认为对其参与评审有利的其它证明材料（格式自拟）。</w:t>
      </w:r>
    </w:p>
    <w:p>
      <w:pPr>
        <w:pStyle w:val="4"/>
        <w:rPr>
          <w:rFonts w:hint="default" w:ascii="宋体" w:hAnsi="宋体"/>
          <w:sz w:val="21"/>
          <w:szCs w:val="21"/>
        </w:rPr>
      </w:pPr>
    </w:p>
    <w:p/>
    <w:p>
      <w:pPr>
        <w:pStyle w:val="14"/>
      </w:pPr>
    </w:p>
    <w:p/>
    <w:p>
      <w:pPr>
        <w:pStyle w:val="14"/>
      </w:pPr>
    </w:p>
    <w:p/>
    <w:p>
      <w:pPr>
        <w:pStyle w:val="14"/>
      </w:pPr>
    </w:p>
    <w:p/>
    <w:p>
      <w:pPr>
        <w:pStyle w:val="14"/>
      </w:pPr>
    </w:p>
    <w:p/>
    <w:p>
      <w:pPr>
        <w:pStyle w:val="14"/>
      </w:pPr>
    </w:p>
    <w:p>
      <w:pPr>
        <w:widowControl/>
        <w:spacing w:line="360" w:lineRule="auto"/>
        <w:jc w:val="center"/>
        <w:outlineLvl w:val="0"/>
        <w:rPr>
          <w:rFonts w:ascii="宋体" w:hAnsi="宋体" w:cs="宋体"/>
          <w:b/>
          <w:bCs/>
          <w:kern w:val="0"/>
          <w:szCs w:val="21"/>
        </w:rPr>
      </w:pPr>
      <w:bookmarkStart w:id="393" w:name="_Toc29962"/>
      <w:bookmarkStart w:id="394" w:name="_Toc11178"/>
      <w:r>
        <w:rPr>
          <w:rFonts w:hint="eastAsia" w:ascii="宋体" w:hAnsi="宋体" w:cs="宋体"/>
          <w:b/>
          <w:bCs/>
          <w:kern w:val="0"/>
          <w:szCs w:val="21"/>
        </w:rPr>
        <w:t>14.声明函</w:t>
      </w:r>
      <w:bookmarkEnd w:id="359"/>
      <w:bookmarkEnd w:id="360"/>
      <w:bookmarkEnd w:id="361"/>
      <w:bookmarkEnd w:id="362"/>
      <w:bookmarkEnd w:id="393"/>
      <w:bookmarkEnd w:id="394"/>
    </w:p>
    <w:p>
      <w:pPr>
        <w:pStyle w:val="36"/>
        <w:spacing w:line="375" w:lineRule="atLeast"/>
        <w:jc w:val="center"/>
        <w:outlineLvl w:val="1"/>
      </w:pPr>
      <w:bookmarkStart w:id="395" w:name="_Toc21314"/>
      <w:bookmarkStart w:id="396" w:name="_Toc8236"/>
      <w:bookmarkStart w:id="397" w:name="_Toc11824"/>
      <w:bookmarkStart w:id="398" w:name="_Toc20990"/>
      <w:r>
        <w:rPr>
          <w:rFonts w:hint="eastAsia"/>
        </w:rPr>
        <w:t>（非中小微企业不提供）</w:t>
      </w:r>
      <w:bookmarkEnd w:id="395"/>
      <w:bookmarkEnd w:id="396"/>
      <w:bookmarkEnd w:id="397"/>
      <w:bookmarkEnd w:id="398"/>
    </w:p>
    <w:p>
      <w:pPr>
        <w:pStyle w:val="36"/>
        <w:spacing w:line="375" w:lineRule="atLeast"/>
        <w:jc w:val="center"/>
        <w:outlineLvl w:val="0"/>
        <w:rPr>
          <w:rFonts w:hint="eastAsia" w:eastAsia="宋体"/>
          <w:lang w:eastAsia="zh-CN"/>
        </w:rPr>
      </w:pPr>
      <w:bookmarkStart w:id="399" w:name="_Toc515570488"/>
      <w:bookmarkStart w:id="400" w:name="_Toc27136"/>
      <w:bookmarkStart w:id="401" w:name="_Toc515520686"/>
      <w:bookmarkStart w:id="402" w:name="_Toc29854"/>
      <w:bookmarkStart w:id="403" w:name="_Toc32220"/>
      <w:bookmarkStart w:id="404" w:name="_Toc17204503"/>
      <w:bookmarkStart w:id="405" w:name="_Toc6866"/>
      <w:r>
        <w:rPr>
          <w:rFonts w:hint="eastAsia"/>
        </w:rPr>
        <w:t>（一）</w:t>
      </w:r>
      <w:r>
        <w:t>中小企业声明函</w:t>
      </w:r>
      <w:bookmarkEnd w:id="399"/>
      <w:bookmarkEnd w:id="400"/>
      <w:bookmarkEnd w:id="401"/>
      <w:bookmarkEnd w:id="402"/>
      <w:bookmarkEnd w:id="403"/>
      <w:bookmarkEnd w:id="404"/>
      <w:r>
        <w:rPr>
          <w:rFonts w:hint="eastAsia"/>
          <w:lang w:eastAsia="zh-CN"/>
        </w:rPr>
        <w:t>（</w:t>
      </w:r>
      <w:r>
        <w:rPr>
          <w:rFonts w:hint="eastAsia"/>
          <w:lang w:val="en-US" w:eastAsia="zh-CN"/>
        </w:rPr>
        <w:t>货物</w:t>
      </w:r>
      <w:r>
        <w:rPr>
          <w:rFonts w:hint="eastAsia"/>
          <w:lang w:eastAsia="zh-CN"/>
        </w:rPr>
        <w:t>）</w:t>
      </w:r>
      <w:bookmarkEnd w:id="405"/>
    </w:p>
    <w:p>
      <w:pPr>
        <w:spacing w:line="588" w:lineRule="exact"/>
        <w:ind w:firstLine="444" w:firstLineChars="200"/>
        <w:rPr>
          <w:rFonts w:ascii="宋体" w:hAnsi="宋体"/>
          <w:spacing w:val="6"/>
          <w:szCs w:val="21"/>
        </w:rPr>
      </w:pPr>
      <w:r>
        <w:rPr>
          <w:rFonts w:hint="eastAsia" w:ascii="宋体" w:hAnsi="宋体"/>
          <w:spacing w:val="6"/>
          <w:szCs w:val="21"/>
        </w:rPr>
        <w:t>本公司（联合体）郑重声明，根据《政府采购促进中小企业发展管理办法》（财库﹝2020﹞46 号）的规定，本公司 （联合体）参加</w:t>
      </w:r>
      <w:r>
        <w:rPr>
          <w:rFonts w:hint="eastAsia" w:ascii="宋体" w:hAnsi="宋体"/>
          <w:spacing w:val="6"/>
          <w:szCs w:val="21"/>
          <w:u w:val="single"/>
        </w:rPr>
        <w:t>（单位名称）</w:t>
      </w:r>
      <w:r>
        <w:rPr>
          <w:rFonts w:hint="eastAsia" w:ascii="宋体" w:hAnsi="宋体"/>
          <w:spacing w:val="6"/>
          <w:szCs w:val="21"/>
        </w:rPr>
        <w:t>的</w:t>
      </w:r>
      <w:r>
        <w:rPr>
          <w:rFonts w:hint="eastAsia" w:ascii="宋体" w:hAnsi="宋体"/>
          <w:spacing w:val="6"/>
          <w:szCs w:val="21"/>
          <w:u w:val="single"/>
        </w:rPr>
        <w:t>（项目名称）</w:t>
      </w:r>
      <w:r>
        <w:rPr>
          <w:rFonts w:hint="eastAsia" w:ascii="宋体" w:hAnsi="宋体"/>
          <w:spacing w:val="6"/>
          <w:szCs w:val="21"/>
        </w:rPr>
        <w:t xml:space="preserve">采购活动，提供的货物全部由符合政策要求的中小企业制造。相关企业 （含联合体中的中小企业、签订分包意向协议的中小企业）的具体情况如下： </w:t>
      </w:r>
    </w:p>
    <w:p>
      <w:pPr>
        <w:spacing w:line="588" w:lineRule="exact"/>
        <w:ind w:firstLine="444" w:firstLineChars="200"/>
        <w:rPr>
          <w:rFonts w:ascii="宋体" w:hAnsi="宋体"/>
          <w:spacing w:val="6"/>
          <w:szCs w:val="21"/>
        </w:rPr>
      </w:pPr>
      <w:r>
        <w:rPr>
          <w:rFonts w:hint="eastAsia" w:ascii="宋体" w:hAnsi="宋体"/>
          <w:spacing w:val="6"/>
          <w:szCs w:val="21"/>
        </w:rPr>
        <w:t xml:space="preserve">1. </w:t>
      </w:r>
      <w:r>
        <w:rPr>
          <w:rFonts w:hint="eastAsia" w:ascii="宋体" w:hAnsi="宋体"/>
          <w:spacing w:val="6"/>
          <w:szCs w:val="21"/>
          <w:u w:val="single"/>
        </w:rPr>
        <w:t>（标的名称）</w:t>
      </w:r>
      <w:r>
        <w:rPr>
          <w:rFonts w:hint="eastAsia" w:ascii="宋体" w:hAnsi="宋体"/>
          <w:spacing w:val="6"/>
          <w:szCs w:val="21"/>
        </w:rPr>
        <w:t xml:space="preserve"> ，属于</w:t>
      </w:r>
      <w:r>
        <w:rPr>
          <w:rFonts w:hint="eastAsia" w:ascii="宋体" w:hAnsi="宋体"/>
          <w:spacing w:val="6"/>
          <w:szCs w:val="21"/>
          <w:u w:val="single"/>
        </w:rPr>
        <w:t>（采购文件中明确的所属行业）行业</w:t>
      </w:r>
      <w:r>
        <w:rPr>
          <w:rFonts w:hint="eastAsia" w:ascii="宋体" w:hAnsi="宋体"/>
          <w:spacing w:val="6"/>
          <w:szCs w:val="21"/>
        </w:rPr>
        <w:t>；制造商为</w:t>
      </w:r>
      <w:r>
        <w:rPr>
          <w:rFonts w:hint="eastAsia" w:ascii="宋体" w:hAnsi="宋体"/>
          <w:spacing w:val="6"/>
          <w:szCs w:val="21"/>
          <w:u w:val="single"/>
        </w:rPr>
        <w:t>（企业名称</w:t>
      </w:r>
      <w:r>
        <w:rPr>
          <w:rFonts w:hint="eastAsia" w:ascii="宋体" w:hAnsi="宋体"/>
          <w:spacing w:val="6"/>
          <w:szCs w:val="21"/>
        </w:rPr>
        <w:t>），从业人员</w:t>
      </w:r>
      <w:r>
        <w:rPr>
          <w:rFonts w:hint="eastAsia" w:ascii="宋体" w:hAnsi="宋体"/>
          <w:spacing w:val="6"/>
          <w:szCs w:val="21"/>
          <w:u w:val="single"/>
        </w:rPr>
        <w:t xml:space="preserve">   </w:t>
      </w:r>
      <w:r>
        <w:rPr>
          <w:rFonts w:hint="eastAsia" w:ascii="宋体" w:hAnsi="宋体"/>
          <w:spacing w:val="6"/>
          <w:szCs w:val="21"/>
        </w:rPr>
        <w:t>人，营业收入为</w:t>
      </w:r>
      <w:r>
        <w:rPr>
          <w:rFonts w:hint="eastAsia" w:ascii="宋体" w:hAnsi="宋体"/>
          <w:spacing w:val="6"/>
          <w:szCs w:val="21"/>
          <w:u w:val="single"/>
        </w:rPr>
        <w:t xml:space="preserve">   </w:t>
      </w:r>
      <w:r>
        <w:rPr>
          <w:rFonts w:hint="eastAsia" w:ascii="宋体" w:hAnsi="宋体"/>
          <w:spacing w:val="6"/>
          <w:szCs w:val="21"/>
        </w:rPr>
        <w:t>万元，资产总额为</w:t>
      </w:r>
      <w:r>
        <w:rPr>
          <w:rFonts w:hint="eastAsia" w:ascii="宋体" w:hAnsi="宋体"/>
          <w:spacing w:val="6"/>
          <w:szCs w:val="21"/>
          <w:u w:val="single"/>
        </w:rPr>
        <w:t xml:space="preserve">   </w:t>
      </w:r>
      <w:r>
        <w:rPr>
          <w:rFonts w:hint="eastAsia" w:ascii="宋体" w:hAnsi="宋体"/>
          <w:spacing w:val="6"/>
          <w:szCs w:val="21"/>
        </w:rPr>
        <w:t>万元，属于</w:t>
      </w:r>
      <w:r>
        <w:rPr>
          <w:rFonts w:hint="eastAsia" w:ascii="宋体" w:hAnsi="宋体"/>
          <w:spacing w:val="6"/>
          <w:szCs w:val="21"/>
          <w:u w:val="single"/>
        </w:rPr>
        <w:t>（中型企业、小型企业、微型企业）</w:t>
      </w:r>
      <w:r>
        <w:rPr>
          <w:rFonts w:hint="eastAsia" w:ascii="宋体" w:hAnsi="宋体"/>
          <w:spacing w:val="6"/>
          <w:szCs w:val="21"/>
        </w:rPr>
        <w:t xml:space="preserve">； </w:t>
      </w:r>
    </w:p>
    <w:p>
      <w:pPr>
        <w:spacing w:line="588" w:lineRule="exact"/>
        <w:ind w:firstLine="444" w:firstLineChars="200"/>
        <w:rPr>
          <w:rFonts w:ascii="宋体" w:hAnsi="宋体"/>
          <w:spacing w:val="6"/>
          <w:szCs w:val="21"/>
        </w:rPr>
      </w:pPr>
      <w:r>
        <w:rPr>
          <w:rFonts w:hint="eastAsia" w:ascii="宋体" w:hAnsi="宋体"/>
          <w:spacing w:val="6"/>
          <w:szCs w:val="21"/>
        </w:rPr>
        <w:t xml:space="preserve">2. </w:t>
      </w:r>
      <w:r>
        <w:rPr>
          <w:rFonts w:hint="eastAsia" w:ascii="宋体" w:hAnsi="宋体"/>
          <w:spacing w:val="6"/>
          <w:szCs w:val="21"/>
          <w:u w:val="single"/>
        </w:rPr>
        <w:t xml:space="preserve">（标的名称） </w:t>
      </w:r>
      <w:r>
        <w:rPr>
          <w:rFonts w:hint="eastAsia" w:ascii="宋体" w:hAnsi="宋体"/>
          <w:spacing w:val="6"/>
          <w:szCs w:val="21"/>
        </w:rPr>
        <w:t>，属于</w:t>
      </w:r>
      <w:r>
        <w:rPr>
          <w:rFonts w:hint="eastAsia" w:ascii="宋体" w:hAnsi="宋体"/>
          <w:spacing w:val="6"/>
          <w:szCs w:val="21"/>
          <w:u w:val="single"/>
        </w:rPr>
        <w:t>（采购文件中明确的所属行业）行业</w:t>
      </w:r>
      <w:r>
        <w:rPr>
          <w:rFonts w:hint="eastAsia" w:ascii="宋体" w:hAnsi="宋体"/>
          <w:spacing w:val="6"/>
          <w:szCs w:val="21"/>
        </w:rPr>
        <w:t>；制造商为</w:t>
      </w:r>
      <w:r>
        <w:rPr>
          <w:rFonts w:hint="eastAsia" w:ascii="宋体" w:hAnsi="宋体"/>
          <w:spacing w:val="6"/>
          <w:szCs w:val="21"/>
          <w:u w:val="single"/>
        </w:rPr>
        <w:t>（企业名称）</w:t>
      </w:r>
      <w:r>
        <w:rPr>
          <w:rFonts w:hint="eastAsia" w:ascii="宋体" w:hAnsi="宋体"/>
          <w:spacing w:val="6"/>
          <w:szCs w:val="21"/>
        </w:rPr>
        <w:t>，从业人员</w:t>
      </w:r>
      <w:r>
        <w:rPr>
          <w:rFonts w:hint="eastAsia" w:ascii="宋体" w:hAnsi="宋体"/>
          <w:spacing w:val="6"/>
          <w:szCs w:val="21"/>
          <w:u w:val="single"/>
        </w:rPr>
        <w:t xml:space="preserve">   </w:t>
      </w:r>
      <w:r>
        <w:rPr>
          <w:rFonts w:hint="eastAsia" w:ascii="宋体" w:hAnsi="宋体"/>
          <w:spacing w:val="6"/>
          <w:szCs w:val="21"/>
        </w:rPr>
        <w:t>人，营业收入为</w:t>
      </w:r>
      <w:r>
        <w:rPr>
          <w:rFonts w:hint="eastAsia" w:ascii="宋体" w:hAnsi="宋体"/>
          <w:spacing w:val="6"/>
          <w:szCs w:val="21"/>
          <w:u w:val="single"/>
        </w:rPr>
        <w:t xml:space="preserve">   </w:t>
      </w:r>
      <w:r>
        <w:rPr>
          <w:rFonts w:hint="eastAsia" w:ascii="宋体" w:hAnsi="宋体"/>
          <w:spacing w:val="6"/>
          <w:szCs w:val="21"/>
        </w:rPr>
        <w:t>万元，资产总额为</w:t>
      </w:r>
      <w:r>
        <w:rPr>
          <w:rFonts w:hint="eastAsia" w:ascii="宋体" w:hAnsi="宋体"/>
          <w:spacing w:val="6"/>
          <w:szCs w:val="21"/>
          <w:u w:val="single"/>
        </w:rPr>
        <w:t xml:space="preserve">   </w:t>
      </w:r>
      <w:r>
        <w:rPr>
          <w:rFonts w:hint="eastAsia" w:ascii="宋体" w:hAnsi="宋体"/>
          <w:spacing w:val="6"/>
          <w:szCs w:val="21"/>
        </w:rPr>
        <w:t>万元，属于</w:t>
      </w:r>
      <w:r>
        <w:rPr>
          <w:rFonts w:hint="eastAsia" w:ascii="宋体" w:hAnsi="宋体"/>
          <w:spacing w:val="6"/>
          <w:szCs w:val="21"/>
          <w:u w:val="single"/>
        </w:rPr>
        <w:t>（中型企业、小型企业、微型企业</w:t>
      </w:r>
      <w:r>
        <w:rPr>
          <w:rFonts w:hint="eastAsia" w:ascii="宋体" w:hAnsi="宋体"/>
          <w:spacing w:val="6"/>
          <w:szCs w:val="21"/>
        </w:rPr>
        <w:t xml:space="preserve">）； </w:t>
      </w:r>
    </w:p>
    <w:p>
      <w:pPr>
        <w:spacing w:line="588" w:lineRule="exact"/>
        <w:ind w:firstLine="444" w:firstLineChars="200"/>
        <w:rPr>
          <w:rFonts w:ascii="宋体" w:hAnsi="宋体"/>
          <w:spacing w:val="6"/>
          <w:szCs w:val="21"/>
        </w:rPr>
      </w:pPr>
      <w:r>
        <w:rPr>
          <w:rFonts w:hint="eastAsia" w:ascii="宋体" w:hAnsi="宋体"/>
          <w:spacing w:val="6"/>
          <w:szCs w:val="21"/>
        </w:rPr>
        <w:t>……</w:t>
      </w:r>
    </w:p>
    <w:p>
      <w:pPr>
        <w:spacing w:line="588" w:lineRule="exact"/>
        <w:ind w:firstLine="444" w:firstLineChars="200"/>
        <w:rPr>
          <w:rFonts w:ascii="宋体" w:hAnsi="宋体"/>
          <w:spacing w:val="6"/>
          <w:szCs w:val="21"/>
        </w:rPr>
      </w:pPr>
      <w:r>
        <w:rPr>
          <w:rFonts w:hint="eastAsia" w:ascii="宋体" w:hAnsi="宋体"/>
          <w:spacing w:val="6"/>
          <w:szCs w:val="21"/>
        </w:rPr>
        <w:t>以上企业，不属于大企业的分支机构，不存在控股股东 为大企业的情形，也不存在与大企业的负责人为同一人的情形。</w:t>
      </w:r>
    </w:p>
    <w:p>
      <w:pPr>
        <w:spacing w:line="588" w:lineRule="exact"/>
        <w:ind w:firstLine="444" w:firstLineChars="200"/>
        <w:rPr>
          <w:rFonts w:ascii="宋体" w:hAnsi="宋体"/>
          <w:spacing w:val="6"/>
          <w:szCs w:val="21"/>
        </w:rPr>
      </w:pPr>
      <w:r>
        <w:rPr>
          <w:rFonts w:hint="eastAsia" w:ascii="宋体" w:hAnsi="宋体"/>
          <w:spacing w:val="6"/>
          <w:szCs w:val="21"/>
        </w:rPr>
        <w:t xml:space="preserve">本企业对上述声明内容的真实性负责。如有虚假，将依法承担相应责任。 </w:t>
      </w:r>
    </w:p>
    <w:p>
      <w:pPr>
        <w:ind w:left="2604" w:leftChars="1240"/>
        <w:jc w:val="left"/>
        <w:rPr>
          <w:szCs w:val="21"/>
        </w:rPr>
      </w:pPr>
    </w:p>
    <w:p>
      <w:pPr>
        <w:ind w:left="2604" w:leftChars="1240" w:firstLine="210" w:firstLineChars="100"/>
        <w:jc w:val="left"/>
        <w:rPr>
          <w:szCs w:val="21"/>
        </w:rPr>
      </w:pPr>
      <w:r>
        <w:rPr>
          <w:rFonts w:hint="eastAsia"/>
          <w:szCs w:val="21"/>
        </w:rPr>
        <w:t>投标人：（盖章）</w:t>
      </w:r>
      <w:r>
        <w:rPr>
          <w:rFonts w:hint="eastAsia" w:ascii="宋体" w:hAnsi="宋体"/>
          <w:szCs w:val="21"/>
          <w:u w:val="single"/>
        </w:rPr>
        <w:t xml:space="preserve">                            </w:t>
      </w:r>
      <w:r>
        <w:rPr>
          <w:rFonts w:hint="eastAsia" w:ascii="宋体" w:hAnsi="宋体"/>
          <w:szCs w:val="21"/>
        </w:rPr>
        <w:t>_</w:t>
      </w:r>
    </w:p>
    <w:p>
      <w:pPr>
        <w:ind w:left="2604" w:leftChars="1240" w:firstLine="210" w:firstLineChars="100"/>
        <w:jc w:val="left"/>
        <w:rPr>
          <w:szCs w:val="21"/>
        </w:rPr>
      </w:pPr>
      <w:r>
        <w:rPr>
          <w:rFonts w:hint="eastAsia" w:ascii="宋体" w:hAnsi="宋体"/>
          <w:szCs w:val="21"/>
        </w:rPr>
        <w:t>法定代表人或其授权委托人(签字)：</w:t>
      </w:r>
      <w:r>
        <w:rPr>
          <w:rFonts w:hint="eastAsia" w:ascii="宋体" w:hAnsi="宋体"/>
          <w:szCs w:val="21"/>
          <w:u w:val="single"/>
        </w:rPr>
        <w:t xml:space="preserve">       </w:t>
      </w:r>
      <w:r>
        <w:rPr>
          <w:rFonts w:hint="eastAsia" w:ascii="宋体" w:hAnsi="宋体"/>
          <w:szCs w:val="21"/>
        </w:rPr>
        <w:t>_</w:t>
      </w:r>
    </w:p>
    <w:p>
      <w:pPr>
        <w:spacing w:line="480" w:lineRule="auto"/>
        <w:ind w:left="3349" w:leftChars="1595" w:firstLine="409" w:firstLineChars="195"/>
        <w:rPr>
          <w:rFonts w:ascii="宋体" w:hAnsi="宋体"/>
          <w:spacing w:val="6"/>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pPr>
        <w:widowControl/>
        <w:jc w:val="left"/>
      </w:pPr>
    </w:p>
    <w:p>
      <w:pPr>
        <w:ind w:firstLine="360" w:firstLineChars="200"/>
        <w:rPr>
          <w:rFonts w:ascii="宋体" w:hAnsi="宋体"/>
          <w:sz w:val="18"/>
          <w:szCs w:val="18"/>
        </w:rPr>
      </w:pPr>
    </w:p>
    <w:p>
      <w:pPr>
        <w:pStyle w:val="36"/>
        <w:spacing w:line="375" w:lineRule="atLeast"/>
        <w:jc w:val="center"/>
        <w:outlineLvl w:val="0"/>
        <w:rPr>
          <w:sz w:val="21"/>
          <w:szCs w:val="21"/>
        </w:rPr>
      </w:pPr>
      <w:r>
        <w:rPr>
          <w:sz w:val="21"/>
          <w:szCs w:val="21"/>
        </w:rPr>
        <w:br w:type="page"/>
      </w:r>
      <w:bookmarkStart w:id="406" w:name="_Toc17045"/>
      <w:bookmarkStart w:id="407" w:name="_Toc4803"/>
      <w:bookmarkStart w:id="408" w:name="_Toc515520688"/>
      <w:bookmarkStart w:id="409" w:name="_Toc17204505"/>
      <w:bookmarkStart w:id="410" w:name="_Toc20106"/>
    </w:p>
    <w:p>
      <w:pPr>
        <w:pStyle w:val="36"/>
        <w:spacing w:line="375" w:lineRule="atLeast"/>
        <w:jc w:val="center"/>
        <w:outlineLvl w:val="0"/>
      </w:pPr>
      <w:bookmarkStart w:id="411" w:name="_Toc3568"/>
      <w:r>
        <w:rPr>
          <w:rFonts w:hint="eastAsia"/>
        </w:rPr>
        <w:t>（二）残疾人福利性单位声明函</w:t>
      </w:r>
      <w:bookmarkEnd w:id="406"/>
      <w:bookmarkEnd w:id="407"/>
      <w:bookmarkEnd w:id="408"/>
      <w:bookmarkEnd w:id="409"/>
      <w:bookmarkEnd w:id="410"/>
      <w:bookmarkEnd w:id="411"/>
    </w:p>
    <w:p>
      <w:pPr>
        <w:spacing w:line="588" w:lineRule="exact"/>
        <w:ind w:firstLine="444" w:firstLineChars="200"/>
        <w:rPr>
          <w:rFonts w:ascii="宋体" w:hAnsi="宋体"/>
          <w:spacing w:val="6"/>
          <w:szCs w:val="21"/>
        </w:rPr>
      </w:pPr>
      <w:r>
        <w:rPr>
          <w:rFonts w:hint="eastAsia" w:ascii="宋体" w:hAnsi="宋体"/>
          <w:spacing w:val="6"/>
          <w:szCs w:val="21"/>
        </w:rPr>
        <w:t>本单位郑重声明，根据《财政部民政部中国残疾人联合会关于促进残疾人就业政府采购政策的通知》（财库</w:t>
      </w:r>
      <w:r>
        <w:rPr>
          <w:rFonts w:hint="eastAsia" w:ascii="宋体" w:hAnsi="宋体"/>
          <w:szCs w:val="21"/>
        </w:rPr>
        <w:t>〔2017〕 141</w:t>
      </w:r>
      <w:r>
        <w:rPr>
          <w:rFonts w:hint="eastAsia" w:ascii="宋体" w:hAnsi="宋体"/>
          <w:spacing w:val="6"/>
          <w:szCs w:val="21"/>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444" w:firstLineChars="200"/>
        <w:rPr>
          <w:rFonts w:ascii="宋体" w:hAnsi="宋体"/>
          <w:spacing w:val="6"/>
          <w:szCs w:val="21"/>
        </w:rPr>
      </w:pPr>
      <w:r>
        <w:rPr>
          <w:rFonts w:hint="eastAsia" w:ascii="宋体" w:hAnsi="宋体"/>
          <w:spacing w:val="6"/>
          <w:szCs w:val="21"/>
        </w:rPr>
        <w:t>本单位对上述声明的真实性负责。如有虚假，将依法承担相应责任。</w:t>
      </w:r>
    </w:p>
    <w:p>
      <w:pPr>
        <w:spacing w:line="588" w:lineRule="exact"/>
        <w:ind w:firstLine="624" w:firstLineChars="200"/>
        <w:rPr>
          <w:rFonts w:ascii="仿宋_GB2312" w:eastAsia="仿宋_GB2312"/>
          <w:spacing w:val="6"/>
          <w:sz w:val="30"/>
          <w:szCs w:val="30"/>
        </w:rPr>
      </w:pPr>
    </w:p>
    <w:p>
      <w:pPr>
        <w:spacing w:line="588" w:lineRule="exact"/>
        <w:ind w:firstLine="624" w:firstLineChars="200"/>
        <w:rPr>
          <w:rFonts w:ascii="仿宋_GB2312" w:eastAsia="仿宋_GB2312"/>
          <w:spacing w:val="6"/>
          <w:sz w:val="30"/>
          <w:szCs w:val="30"/>
        </w:rPr>
      </w:pPr>
    </w:p>
    <w:p>
      <w:pPr>
        <w:ind w:left="2604" w:leftChars="1240"/>
        <w:jc w:val="left"/>
        <w:rPr>
          <w:szCs w:val="21"/>
        </w:rPr>
      </w:pPr>
      <w:r>
        <w:rPr>
          <w:rFonts w:hint="eastAsia"/>
          <w:szCs w:val="21"/>
        </w:rPr>
        <w:t>投标人：（盖章）</w:t>
      </w:r>
      <w:r>
        <w:rPr>
          <w:rFonts w:hint="eastAsia" w:ascii="宋体" w:hAnsi="宋体"/>
          <w:szCs w:val="21"/>
          <w:u w:val="single"/>
        </w:rPr>
        <w:t xml:space="preserve">                            </w:t>
      </w:r>
      <w:r>
        <w:rPr>
          <w:rFonts w:hint="eastAsia" w:ascii="宋体" w:hAnsi="宋体"/>
          <w:szCs w:val="21"/>
        </w:rPr>
        <w:t>_</w:t>
      </w:r>
    </w:p>
    <w:p>
      <w:pPr>
        <w:ind w:left="2604" w:leftChars="1240"/>
        <w:jc w:val="left"/>
        <w:rPr>
          <w:szCs w:val="21"/>
        </w:rPr>
      </w:pPr>
      <w:r>
        <w:rPr>
          <w:rFonts w:hint="eastAsia" w:ascii="宋体" w:hAnsi="宋体"/>
          <w:szCs w:val="21"/>
        </w:rPr>
        <w:t>法定代表人或其授权委托人(签字)：</w:t>
      </w:r>
      <w:r>
        <w:rPr>
          <w:rFonts w:hint="eastAsia" w:ascii="宋体" w:hAnsi="宋体"/>
          <w:szCs w:val="21"/>
          <w:u w:val="single"/>
        </w:rPr>
        <w:t xml:space="preserve">       </w:t>
      </w:r>
      <w:r>
        <w:rPr>
          <w:rFonts w:hint="eastAsia" w:ascii="宋体" w:hAnsi="宋体"/>
          <w:szCs w:val="21"/>
        </w:rPr>
        <w:t>_</w:t>
      </w:r>
    </w:p>
    <w:p>
      <w:pPr>
        <w:ind w:left="3721" w:leftChars="1772"/>
        <w:jc w:val="left"/>
        <w:rPr>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pPr>
        <w:tabs>
          <w:tab w:val="left" w:pos="4860"/>
        </w:tabs>
        <w:spacing w:line="588" w:lineRule="exact"/>
        <w:ind w:right="1560" w:firstLine="420" w:firstLineChars="200"/>
        <w:jc w:val="center"/>
      </w:pPr>
    </w:p>
    <w:p/>
    <w:p>
      <w:pPr>
        <w:ind w:firstLine="361" w:firstLineChars="200"/>
        <w:rPr>
          <w:rFonts w:ascii="宋体" w:hAnsi="宋体"/>
          <w:sz w:val="18"/>
          <w:szCs w:val="18"/>
        </w:rPr>
      </w:pPr>
      <w:r>
        <w:rPr>
          <w:rFonts w:hint="eastAsia" w:ascii="宋体" w:hAnsi="宋体"/>
          <w:b/>
          <w:sz w:val="18"/>
          <w:szCs w:val="18"/>
        </w:rPr>
        <w:t>说明</w:t>
      </w:r>
      <w:r>
        <w:rPr>
          <w:rFonts w:hint="eastAsia" w:ascii="宋体" w:hAnsi="宋体"/>
          <w:sz w:val="18"/>
          <w:szCs w:val="18"/>
        </w:rPr>
        <w:t>：填写本声明函时应详细阅读《财政部 民政部 中国残疾人联合会关于促进残疾人就业政府采购政策的通知》（财库〔2017〕 141号），投标人不满足此要求则无须提供，一旦提供将视为满足其要求，如有虚假，将依法承担相应责任。</w:t>
      </w:r>
    </w:p>
    <w:p>
      <w:pPr>
        <w:spacing w:line="588" w:lineRule="exact"/>
        <w:jc w:val="center"/>
        <w:rPr>
          <w:rFonts w:ascii="宋体" w:hAnsi="宋体"/>
          <w:sz w:val="18"/>
          <w:szCs w:val="18"/>
        </w:rPr>
      </w:pPr>
    </w:p>
    <w:p>
      <w:pPr>
        <w:pStyle w:val="36"/>
        <w:spacing w:line="375" w:lineRule="atLeast"/>
        <w:jc w:val="center"/>
        <w:outlineLvl w:val="0"/>
      </w:pPr>
      <w:r>
        <w:rPr>
          <w:sz w:val="18"/>
          <w:szCs w:val="18"/>
        </w:rPr>
        <w:br w:type="page"/>
      </w:r>
      <w:bookmarkStart w:id="412" w:name="_Toc8163"/>
      <w:bookmarkStart w:id="413" w:name="_Toc515570490"/>
      <w:bookmarkStart w:id="414" w:name="_Toc515520689"/>
      <w:bookmarkStart w:id="415" w:name="_Toc17204506"/>
      <w:bookmarkStart w:id="416" w:name="_Toc4534"/>
      <w:r>
        <w:rPr>
          <w:rFonts w:hint="eastAsia"/>
        </w:rPr>
        <w:t>（三）监狱企业声明函</w:t>
      </w:r>
      <w:bookmarkEnd w:id="412"/>
      <w:bookmarkEnd w:id="413"/>
      <w:bookmarkEnd w:id="414"/>
      <w:bookmarkEnd w:id="415"/>
      <w:bookmarkEnd w:id="416"/>
    </w:p>
    <w:p>
      <w:pPr>
        <w:spacing w:before="468" w:beforeLines="150" w:line="480" w:lineRule="auto"/>
        <w:ind w:firstLine="444" w:firstLineChars="200"/>
        <w:rPr>
          <w:rFonts w:ascii="宋体" w:hAnsi="宋体"/>
          <w:spacing w:val="6"/>
          <w:szCs w:val="21"/>
        </w:rPr>
      </w:pPr>
      <w:r>
        <w:rPr>
          <w:rFonts w:hint="eastAsia" w:ascii="宋体" w:hAnsi="宋体"/>
          <w:spacing w:val="6"/>
          <w:szCs w:val="21"/>
        </w:rPr>
        <w:t>本单位郑重声明，根据</w:t>
      </w:r>
      <w:r>
        <w:rPr>
          <w:rFonts w:hint="eastAsia" w:ascii="宋体" w:hAnsi="宋体" w:cs="仿宋"/>
          <w:szCs w:val="21"/>
        </w:rPr>
        <w:t>《关于政府采购支持监狱企业发展有关问题的通知》</w:t>
      </w:r>
      <w:r>
        <w:rPr>
          <w:rFonts w:hint="eastAsia" w:ascii="宋体" w:hAnsi="宋体"/>
          <w:spacing w:val="6"/>
          <w:szCs w:val="21"/>
        </w:rPr>
        <w:t>（财库</w:t>
      </w:r>
      <w:r>
        <w:rPr>
          <w:rFonts w:hint="eastAsia" w:ascii="宋体" w:hAnsi="宋体"/>
          <w:szCs w:val="21"/>
        </w:rPr>
        <w:t>〔2014〕 68</w:t>
      </w:r>
      <w:r>
        <w:rPr>
          <w:rFonts w:hint="eastAsia" w:ascii="宋体" w:hAnsi="宋体"/>
          <w:spacing w:val="6"/>
          <w:szCs w:val="21"/>
        </w:rPr>
        <w:t>号）的规定，本单位为符合条件的监狱单位，且本单位参加______单位的______项目采购活动提供本单位制造的货物（由本单位承担工程/提供服务）。</w:t>
      </w:r>
    </w:p>
    <w:p>
      <w:pPr>
        <w:spacing w:line="480" w:lineRule="auto"/>
        <w:ind w:firstLine="200"/>
        <w:rPr>
          <w:rFonts w:ascii="宋体" w:hAnsi="宋体"/>
          <w:spacing w:val="6"/>
          <w:szCs w:val="21"/>
        </w:rPr>
      </w:pPr>
      <w:r>
        <w:rPr>
          <w:rFonts w:hint="eastAsia" w:ascii="宋体" w:hAnsi="宋体"/>
          <w:spacing w:val="6"/>
          <w:szCs w:val="21"/>
        </w:rPr>
        <w:t>本单位对上述声明的真实性负责。如有虚假，将依法承担相应责任。</w:t>
      </w:r>
    </w:p>
    <w:p>
      <w:pPr>
        <w:spacing w:line="480" w:lineRule="auto"/>
        <w:ind w:firstLine="200"/>
        <w:rPr>
          <w:rFonts w:ascii="宋体" w:hAnsi="宋体"/>
          <w:spacing w:val="6"/>
          <w:szCs w:val="21"/>
        </w:rPr>
      </w:pPr>
    </w:p>
    <w:p>
      <w:pPr>
        <w:spacing w:line="588" w:lineRule="exact"/>
        <w:ind w:firstLine="624" w:firstLineChars="200"/>
        <w:rPr>
          <w:rFonts w:ascii="仿宋_GB2312" w:eastAsia="仿宋_GB2312"/>
          <w:spacing w:val="6"/>
          <w:sz w:val="30"/>
          <w:szCs w:val="30"/>
        </w:rPr>
      </w:pPr>
    </w:p>
    <w:p>
      <w:pPr>
        <w:spacing w:line="588" w:lineRule="exact"/>
        <w:ind w:firstLine="624" w:firstLineChars="200"/>
        <w:rPr>
          <w:rFonts w:ascii="仿宋_GB2312" w:eastAsia="仿宋_GB2312"/>
          <w:spacing w:val="6"/>
          <w:sz w:val="30"/>
          <w:szCs w:val="30"/>
        </w:rPr>
      </w:pPr>
    </w:p>
    <w:p>
      <w:pPr>
        <w:ind w:left="2604" w:leftChars="1240"/>
        <w:jc w:val="left"/>
        <w:rPr>
          <w:szCs w:val="21"/>
        </w:rPr>
      </w:pPr>
      <w:r>
        <w:rPr>
          <w:rFonts w:hint="eastAsia"/>
          <w:szCs w:val="21"/>
        </w:rPr>
        <w:t>投标人：（盖章）</w:t>
      </w:r>
      <w:r>
        <w:rPr>
          <w:rFonts w:hint="eastAsia" w:ascii="宋体" w:hAnsi="宋体"/>
          <w:szCs w:val="21"/>
          <w:u w:val="single"/>
        </w:rPr>
        <w:t xml:space="preserve">                            </w:t>
      </w:r>
      <w:r>
        <w:rPr>
          <w:rFonts w:hint="eastAsia" w:ascii="宋体" w:hAnsi="宋体"/>
          <w:szCs w:val="21"/>
        </w:rPr>
        <w:t>_</w:t>
      </w:r>
    </w:p>
    <w:p>
      <w:pPr>
        <w:ind w:left="2604" w:leftChars="1240"/>
        <w:jc w:val="left"/>
        <w:rPr>
          <w:szCs w:val="21"/>
        </w:rPr>
      </w:pPr>
      <w:r>
        <w:rPr>
          <w:rFonts w:hint="eastAsia" w:ascii="宋体" w:hAnsi="宋体"/>
          <w:szCs w:val="21"/>
        </w:rPr>
        <w:t>法定代表人或其授权委托人(签字)：</w:t>
      </w:r>
      <w:r>
        <w:rPr>
          <w:rFonts w:hint="eastAsia" w:ascii="宋体" w:hAnsi="宋体"/>
          <w:szCs w:val="21"/>
          <w:u w:val="single"/>
        </w:rPr>
        <w:t xml:space="preserve">       </w:t>
      </w:r>
      <w:r>
        <w:rPr>
          <w:rFonts w:hint="eastAsia" w:ascii="宋体" w:hAnsi="宋体"/>
          <w:szCs w:val="21"/>
        </w:rPr>
        <w:t>_</w:t>
      </w:r>
    </w:p>
    <w:p>
      <w:pPr>
        <w:spacing w:line="480" w:lineRule="auto"/>
        <w:ind w:left="3349" w:leftChars="1595" w:firstLine="200"/>
        <w:rPr>
          <w:rFonts w:ascii="宋体" w:hAnsi="宋体"/>
          <w:spacing w:val="6"/>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pPr>
        <w:spacing w:line="480" w:lineRule="auto"/>
        <w:ind w:firstLine="200"/>
        <w:rPr>
          <w:rFonts w:ascii="宋体" w:hAnsi="宋体"/>
          <w:spacing w:val="6"/>
          <w:szCs w:val="21"/>
        </w:rPr>
      </w:pPr>
    </w:p>
    <w:p>
      <w:pPr>
        <w:spacing w:line="588" w:lineRule="exact"/>
        <w:ind w:firstLine="624" w:firstLineChars="200"/>
        <w:rPr>
          <w:rFonts w:ascii="仿宋_GB2312" w:eastAsia="仿宋_GB2312"/>
          <w:spacing w:val="6"/>
          <w:sz w:val="30"/>
          <w:szCs w:val="30"/>
        </w:rPr>
      </w:pPr>
    </w:p>
    <w:p>
      <w:pPr>
        <w:spacing w:line="480" w:lineRule="auto"/>
        <w:ind w:firstLine="200"/>
        <w:rPr>
          <w:rFonts w:ascii="宋体" w:hAnsi="宋体"/>
          <w:sz w:val="18"/>
          <w:szCs w:val="18"/>
        </w:rPr>
      </w:pPr>
      <w:r>
        <w:rPr>
          <w:rFonts w:hint="eastAsia" w:ascii="宋体" w:hAnsi="宋体"/>
          <w:b/>
          <w:sz w:val="18"/>
          <w:szCs w:val="18"/>
        </w:rPr>
        <w:t>说明</w:t>
      </w:r>
      <w:r>
        <w:rPr>
          <w:rFonts w:hint="eastAsia" w:ascii="宋体" w:hAnsi="宋体"/>
          <w:sz w:val="18"/>
          <w:szCs w:val="18"/>
        </w:rPr>
        <w:t>：填写本声明函时应详细阅读《关于政府采购支持监狱企业发展有关问题的通知》（财库〔2014〕 68号），投标人不满足此要求则无须提供，一旦提供将视为满足其要求，如有虚假，将依法承担相应责任。</w:t>
      </w:r>
    </w:p>
    <w:p>
      <w:pPr>
        <w:spacing w:line="480" w:lineRule="auto"/>
        <w:ind w:firstLine="200"/>
        <w:rPr>
          <w:rFonts w:ascii="宋体" w:hAnsi="宋体"/>
          <w:sz w:val="18"/>
          <w:szCs w:val="18"/>
        </w:rPr>
      </w:pPr>
    </w:p>
    <w:p>
      <w:pPr>
        <w:widowControl/>
        <w:spacing w:line="360" w:lineRule="auto"/>
        <w:jc w:val="center"/>
        <w:rPr>
          <w:rFonts w:ascii="宋体" w:hAnsi="宋体" w:cs="宋体"/>
          <w:kern w:val="0"/>
          <w:szCs w:val="21"/>
        </w:rPr>
      </w:pPr>
    </w:p>
    <w:p>
      <w:pPr>
        <w:widowControl/>
        <w:spacing w:line="360" w:lineRule="auto"/>
        <w:jc w:val="center"/>
        <w:rPr>
          <w:rFonts w:ascii="宋体" w:hAnsi="宋体" w:cs="宋体"/>
          <w:kern w:val="0"/>
          <w:szCs w:val="21"/>
        </w:rPr>
      </w:pPr>
    </w:p>
    <w:p>
      <w:pPr>
        <w:widowControl/>
        <w:spacing w:line="360" w:lineRule="auto"/>
        <w:jc w:val="center"/>
        <w:rPr>
          <w:rFonts w:ascii="宋体" w:hAnsi="宋体" w:cs="宋体"/>
          <w:kern w:val="0"/>
          <w:szCs w:val="21"/>
        </w:rPr>
      </w:pPr>
    </w:p>
    <w:p>
      <w:pPr>
        <w:pStyle w:val="4"/>
        <w:rPr>
          <w:rFonts w:hint="default" w:ascii="宋体" w:hAnsi="宋体" w:cs="宋体"/>
          <w:szCs w:val="21"/>
        </w:rPr>
      </w:pPr>
    </w:p>
    <w:p>
      <w:pPr>
        <w:rPr>
          <w:rFonts w:ascii="宋体" w:hAnsi="宋体" w:cs="宋体"/>
          <w:kern w:val="0"/>
          <w:szCs w:val="21"/>
        </w:rPr>
      </w:pPr>
    </w:p>
    <w:p>
      <w:pPr>
        <w:pStyle w:val="4"/>
        <w:rPr>
          <w:rFonts w:hint="default" w:ascii="宋体" w:hAnsi="宋体" w:cs="宋体"/>
          <w:szCs w:val="21"/>
        </w:rPr>
      </w:pPr>
    </w:p>
    <w:p>
      <w:pPr>
        <w:rPr>
          <w:rFonts w:ascii="宋体" w:hAnsi="宋体" w:cs="宋体"/>
          <w:kern w:val="0"/>
          <w:szCs w:val="21"/>
        </w:rPr>
      </w:pPr>
    </w:p>
    <w:p>
      <w:pPr>
        <w:pStyle w:val="2"/>
        <w:jc w:val="center"/>
        <w:rPr>
          <w:rFonts w:hint="eastAsia" w:ascii="宋体" w:hAnsi="宋体" w:eastAsia="宋体" w:cs="宋体"/>
          <w:kern w:val="0"/>
          <w:szCs w:val="21"/>
          <w:lang w:eastAsia="zh-CN"/>
        </w:rPr>
      </w:pPr>
      <w:bookmarkStart w:id="417" w:name="_Toc6713"/>
      <w:r>
        <w:rPr>
          <w:rFonts w:hint="eastAsia" w:ascii="宋体" w:hAnsi="宋体" w:cs="宋体"/>
        </w:rPr>
        <w:t>第七章 代理合同</w:t>
      </w:r>
      <w:bookmarkEnd w:id="417"/>
      <w:r>
        <w:rPr>
          <w:rFonts w:hint="eastAsia" w:ascii="宋体" w:hAnsi="宋体" w:eastAsia="宋体" w:cs="宋体"/>
          <w:kern w:val="0"/>
          <w:szCs w:val="21"/>
          <w:lang w:eastAsia="zh-CN"/>
        </w:rPr>
        <w:drawing>
          <wp:inline distT="0" distB="0" distL="114300" distR="114300">
            <wp:extent cx="5269865" cy="8333740"/>
            <wp:effectExtent l="0" t="0" r="635" b="10160"/>
            <wp:docPr id="6" name="图片 6" descr="9d52c4eb20aa28442847c6638f15b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d52c4eb20aa28442847c6638f15bb6"/>
                    <pic:cNvPicPr>
                      <a:picLocks noChangeAspect="1"/>
                    </pic:cNvPicPr>
                  </pic:nvPicPr>
                  <pic:blipFill>
                    <a:blip r:embed="rId10"/>
                    <a:stretch>
                      <a:fillRect/>
                    </a:stretch>
                  </pic:blipFill>
                  <pic:spPr>
                    <a:xfrm>
                      <a:off x="0" y="0"/>
                      <a:ext cx="5269865" cy="8333740"/>
                    </a:xfrm>
                    <a:prstGeom prst="rect">
                      <a:avLst/>
                    </a:prstGeom>
                  </pic:spPr>
                </pic:pic>
              </a:graphicData>
            </a:graphic>
          </wp:inline>
        </w:drawing>
      </w:r>
      <w:r>
        <w:rPr>
          <w:rFonts w:hint="eastAsia" w:ascii="宋体" w:hAnsi="宋体" w:eastAsia="宋体" w:cs="宋体"/>
          <w:kern w:val="0"/>
          <w:szCs w:val="21"/>
          <w:lang w:eastAsia="zh-CN"/>
        </w:rPr>
        <w:drawing>
          <wp:inline distT="0" distB="0" distL="114300" distR="114300">
            <wp:extent cx="5260975" cy="8859520"/>
            <wp:effectExtent l="0" t="0" r="9525" b="5080"/>
            <wp:docPr id="7" name="图片 7" descr="70c39021f35eedc42448ec6053b14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0c39021f35eedc42448ec6053b14e1"/>
                    <pic:cNvPicPr>
                      <a:picLocks noChangeAspect="1"/>
                    </pic:cNvPicPr>
                  </pic:nvPicPr>
                  <pic:blipFill>
                    <a:blip r:embed="rId11"/>
                    <a:stretch>
                      <a:fillRect/>
                    </a:stretch>
                  </pic:blipFill>
                  <pic:spPr>
                    <a:xfrm>
                      <a:off x="0" y="0"/>
                      <a:ext cx="5260975" cy="8859520"/>
                    </a:xfrm>
                    <a:prstGeom prst="rect">
                      <a:avLst/>
                    </a:prstGeom>
                  </pic:spPr>
                </pic:pic>
              </a:graphicData>
            </a:graphic>
          </wp:inline>
        </w:drawing>
      </w:r>
      <w:r>
        <w:rPr>
          <w:rFonts w:hint="eastAsia" w:ascii="宋体" w:hAnsi="宋体" w:eastAsia="宋体" w:cs="宋体"/>
          <w:kern w:val="0"/>
          <w:szCs w:val="21"/>
          <w:lang w:eastAsia="zh-CN"/>
        </w:rPr>
        <w:drawing>
          <wp:inline distT="0" distB="0" distL="114300" distR="114300">
            <wp:extent cx="5207000" cy="8856980"/>
            <wp:effectExtent l="0" t="0" r="0" b="7620"/>
            <wp:docPr id="8" name="图片 8" descr="fd496f32f3cddb6a627dc606b06c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d496f32f3cddb6a627dc606b06c77b"/>
                    <pic:cNvPicPr>
                      <a:picLocks noChangeAspect="1"/>
                    </pic:cNvPicPr>
                  </pic:nvPicPr>
                  <pic:blipFill>
                    <a:blip r:embed="rId12"/>
                    <a:stretch>
                      <a:fillRect/>
                    </a:stretch>
                  </pic:blipFill>
                  <pic:spPr>
                    <a:xfrm>
                      <a:off x="0" y="0"/>
                      <a:ext cx="5207000" cy="8856980"/>
                    </a:xfrm>
                    <a:prstGeom prst="rect">
                      <a:avLst/>
                    </a:prstGeom>
                  </pic:spPr>
                </pic:pic>
              </a:graphicData>
            </a:graphic>
          </wp:inline>
        </w:drawing>
      </w:r>
      <w:r>
        <w:rPr>
          <w:rFonts w:hint="eastAsia" w:ascii="宋体" w:hAnsi="宋体" w:eastAsia="宋体" w:cs="宋体"/>
          <w:kern w:val="0"/>
          <w:szCs w:val="21"/>
          <w:lang w:eastAsia="zh-CN"/>
        </w:rPr>
        <w:drawing>
          <wp:inline distT="0" distB="0" distL="114300" distR="114300">
            <wp:extent cx="5147945" cy="8863330"/>
            <wp:effectExtent l="0" t="0" r="8255" b="1270"/>
            <wp:docPr id="9" name="图片 9" descr="6c88b5b08d381ce6bb09f80629df3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c88b5b08d381ce6bb09f80629df36c"/>
                    <pic:cNvPicPr>
                      <a:picLocks noChangeAspect="1"/>
                    </pic:cNvPicPr>
                  </pic:nvPicPr>
                  <pic:blipFill>
                    <a:blip r:embed="rId13"/>
                    <a:stretch>
                      <a:fillRect/>
                    </a:stretch>
                  </pic:blipFill>
                  <pic:spPr>
                    <a:xfrm>
                      <a:off x="0" y="0"/>
                      <a:ext cx="5147945" cy="8863330"/>
                    </a:xfrm>
                    <a:prstGeom prst="rect">
                      <a:avLst/>
                    </a:prstGeom>
                  </pic:spPr>
                </pic:pic>
              </a:graphicData>
            </a:graphic>
          </wp:inline>
        </w:drawing>
      </w:r>
      <w:r>
        <w:rPr>
          <w:rFonts w:hint="eastAsia" w:ascii="宋体" w:hAnsi="宋体" w:eastAsia="宋体" w:cs="宋体"/>
          <w:kern w:val="0"/>
          <w:szCs w:val="21"/>
          <w:lang w:eastAsia="zh-CN"/>
        </w:rPr>
        <w:drawing>
          <wp:inline distT="0" distB="0" distL="114300" distR="114300">
            <wp:extent cx="5038090" cy="8858250"/>
            <wp:effectExtent l="0" t="0" r="3810" b="6350"/>
            <wp:docPr id="10" name="图片 10" descr="f3db1cf6a318d3642528f83cf5f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3db1cf6a318d3642528f83cf5f4594"/>
                    <pic:cNvPicPr>
                      <a:picLocks noChangeAspect="1"/>
                    </pic:cNvPicPr>
                  </pic:nvPicPr>
                  <pic:blipFill>
                    <a:blip r:embed="rId14"/>
                    <a:stretch>
                      <a:fillRect/>
                    </a:stretch>
                  </pic:blipFill>
                  <pic:spPr>
                    <a:xfrm>
                      <a:off x="0" y="0"/>
                      <a:ext cx="5038090" cy="8858250"/>
                    </a:xfrm>
                    <a:prstGeom prst="rect">
                      <a:avLst/>
                    </a:prstGeom>
                  </pic:spPr>
                </pic:pic>
              </a:graphicData>
            </a:graphic>
          </wp:inline>
        </w:drawing>
      </w:r>
      <w:r>
        <w:rPr>
          <w:rFonts w:hint="eastAsia" w:ascii="宋体" w:hAnsi="宋体" w:eastAsia="宋体" w:cs="宋体"/>
          <w:kern w:val="0"/>
          <w:szCs w:val="21"/>
          <w:lang w:eastAsia="zh-CN"/>
        </w:rPr>
        <w:drawing>
          <wp:inline distT="0" distB="0" distL="114300" distR="114300">
            <wp:extent cx="4874895" cy="8856345"/>
            <wp:effectExtent l="0" t="0" r="1905" b="8255"/>
            <wp:docPr id="11" name="图片 11" descr="f37c682d2e38a3150b10d7ef86ee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37c682d2e38a3150b10d7ef86ee370"/>
                    <pic:cNvPicPr>
                      <a:picLocks noChangeAspect="1"/>
                    </pic:cNvPicPr>
                  </pic:nvPicPr>
                  <pic:blipFill>
                    <a:blip r:embed="rId15"/>
                    <a:stretch>
                      <a:fillRect/>
                    </a:stretch>
                  </pic:blipFill>
                  <pic:spPr>
                    <a:xfrm>
                      <a:off x="0" y="0"/>
                      <a:ext cx="4874895" cy="8856345"/>
                    </a:xfrm>
                    <a:prstGeom prst="rect">
                      <a:avLst/>
                    </a:prstGeom>
                  </pic:spPr>
                </pic:pic>
              </a:graphicData>
            </a:graphic>
          </wp:inline>
        </w:drawing>
      </w:r>
      <w:r>
        <w:rPr>
          <w:rFonts w:hint="eastAsia" w:ascii="宋体" w:hAnsi="宋体" w:eastAsia="宋体" w:cs="宋体"/>
          <w:kern w:val="0"/>
          <w:szCs w:val="21"/>
          <w:lang w:eastAsia="zh-CN"/>
        </w:rPr>
        <w:drawing>
          <wp:inline distT="0" distB="0" distL="114300" distR="114300">
            <wp:extent cx="5266055" cy="8719820"/>
            <wp:effectExtent l="0" t="0" r="4445" b="5080"/>
            <wp:docPr id="15" name="图片 15" descr="87df555fd66bc40f9b6b41385c9cd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7df555fd66bc40f9b6b41385c9cda7"/>
                    <pic:cNvPicPr>
                      <a:picLocks noChangeAspect="1"/>
                    </pic:cNvPicPr>
                  </pic:nvPicPr>
                  <pic:blipFill>
                    <a:blip r:embed="rId16"/>
                    <a:stretch>
                      <a:fillRect/>
                    </a:stretch>
                  </pic:blipFill>
                  <pic:spPr>
                    <a:xfrm>
                      <a:off x="0" y="0"/>
                      <a:ext cx="5266055" cy="8719820"/>
                    </a:xfrm>
                    <a:prstGeom prst="rect">
                      <a:avLst/>
                    </a:prstGeom>
                  </pic:spPr>
                </pic:pic>
              </a:graphicData>
            </a:graphic>
          </wp:inline>
        </w:drawing>
      </w:r>
      <w:permStart w:id="0" w:edGrp="everyone"/>
      <w:permEnd w:id="0"/>
    </w:p>
    <w:sectPr>
      <w:headerReference r:id="rId7" w:type="default"/>
      <w:footerReference r:id="rId8" w:type="default"/>
      <w:pgSz w:w="11906" w:h="16838"/>
      <w:pgMar w:top="1440" w:right="1803" w:bottom="1440" w:left="1803"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Frutiger Roman">
    <w:altName w:val="Lucida Sans Unicode"/>
    <w:panose1 w:val="00000000000000000000"/>
    <w:charset w:val="00"/>
    <w:family w:val="swiss"/>
    <w:pitch w:val="default"/>
    <w:sig w:usb0="00000000" w:usb1="00000000" w:usb2="00000000" w:usb3="00000000" w:csb0="00000013" w:csb1="00000000"/>
  </w:font>
  <w:font w:name="Lucida Sans Unicode">
    <w:panose1 w:val="020B0602030504020204"/>
    <w:charset w:val="00"/>
    <w:family w:val="auto"/>
    <w:pitch w:val="default"/>
    <w:sig w:usb0="80001AFF" w:usb1="0000396B" w:usb2="00000000" w:usb3="00000000" w:csb0="200000BF" w:csb1="D7F7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0000000000000000000"/>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方正大标宋_GBK">
    <w:altName w:val="宋体"/>
    <w:panose1 w:val="00000000000000000000"/>
    <w:charset w:val="00"/>
    <w:family w:val="auto"/>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24"/>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t xml:space="preserve">— </w:t>
                          </w:r>
                          <w:r>
                            <w:fldChar w:fldCharType="begin"/>
                          </w:r>
                          <w:r>
                            <w:instrText xml:space="preserve"> PAGE  \* MERGEFORMAT </w:instrText>
                          </w:r>
                          <w:r>
                            <w:fldChar w:fldCharType="separate"/>
                          </w:r>
                          <w:r>
                            <w:t>61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24"/>
                    </w:pPr>
                    <w:r>
                      <w:t xml:space="preserve">— </w:t>
                    </w:r>
                    <w:r>
                      <w:fldChar w:fldCharType="begin"/>
                    </w:r>
                    <w:r>
                      <w:instrText xml:space="preserve"> PAGE  \* MERGEFORMAT </w:instrText>
                    </w:r>
                    <w:r>
                      <w:fldChar w:fldCharType="separate"/>
                    </w:r>
                    <w:r>
                      <w:t>61</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top w:val="double" w:color="auto" w:sz="6" w:space="6"/>
      </w:pBdr>
      <w:tabs>
        <w:tab w:val="left" w:pos="6120"/>
        <w:tab w:val="clear" w:pos="4153"/>
        <w:tab w:val="clear" w:pos="8306"/>
      </w:tabs>
      <w:ind w:right="360"/>
      <w:rPr>
        <w:rFonts w:ascii="楷体_GB2312" w:eastAsia="楷体_GB2312"/>
        <w:i/>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t xml:space="preserve">— </w:t>
                          </w:r>
                          <w:r>
                            <w:fldChar w:fldCharType="begin"/>
                          </w:r>
                          <w:r>
                            <w:instrText xml:space="preserve"> PAGE  \* MERGEFORMAT </w:instrText>
                          </w:r>
                          <w:r>
                            <w:fldChar w:fldCharType="separate"/>
                          </w:r>
                          <w:r>
                            <w:t>62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24"/>
                    </w:pPr>
                    <w:r>
                      <w:t xml:space="preserve">— </w:t>
                    </w:r>
                    <w:r>
                      <w:fldChar w:fldCharType="begin"/>
                    </w:r>
                    <w:r>
                      <w:instrText xml:space="preserve"> PAGE  \* MERGEFORMAT </w:instrText>
                    </w:r>
                    <w:r>
                      <w:fldChar w:fldCharType="separate"/>
                    </w:r>
                    <w:r>
                      <w:t>62</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szCs w:val="21"/>
      </w:rPr>
    </w:pPr>
    <w:r>
      <w:rPr>
        <w:rFonts w:hint="eastAsia" w:ascii="楷体_GB2312" w:hAnsi="宋体" w:eastAsia="楷体_GB2312"/>
        <w:b/>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B04E22"/>
    <w:multiLevelType w:val="singleLevel"/>
    <w:tmpl w:val="A6B04E22"/>
    <w:lvl w:ilvl="0" w:tentative="0">
      <w:start w:val="1"/>
      <w:numFmt w:val="decimal"/>
      <w:lvlText w:val="(%1)"/>
      <w:lvlJc w:val="left"/>
      <w:pPr>
        <w:ind w:left="425" w:hanging="425"/>
      </w:pPr>
      <w:rPr>
        <w:rFonts w:hint="default"/>
      </w:rPr>
    </w:lvl>
  </w:abstractNum>
  <w:abstractNum w:abstractNumId="1">
    <w:nsid w:val="ACBAA4A7"/>
    <w:multiLevelType w:val="singleLevel"/>
    <w:tmpl w:val="ACBAA4A7"/>
    <w:lvl w:ilvl="0" w:tentative="0">
      <w:start w:val="1"/>
      <w:numFmt w:val="decimal"/>
      <w:lvlText w:val="(%1)"/>
      <w:lvlJc w:val="left"/>
      <w:pPr>
        <w:ind w:left="425" w:hanging="425"/>
      </w:pPr>
      <w:rPr>
        <w:rFonts w:hint="default"/>
      </w:rPr>
    </w:lvl>
  </w:abstractNum>
  <w:abstractNum w:abstractNumId="2">
    <w:nsid w:val="AD07DEB9"/>
    <w:multiLevelType w:val="singleLevel"/>
    <w:tmpl w:val="AD07DEB9"/>
    <w:lvl w:ilvl="0" w:tentative="0">
      <w:start w:val="5"/>
      <w:numFmt w:val="chineseCounting"/>
      <w:suff w:val="space"/>
      <w:lvlText w:val="第%1章"/>
      <w:lvlJc w:val="left"/>
      <w:rPr>
        <w:rFonts w:hint="eastAsia"/>
      </w:rPr>
    </w:lvl>
  </w:abstractNum>
  <w:abstractNum w:abstractNumId="3">
    <w:nsid w:val="B484F907"/>
    <w:multiLevelType w:val="singleLevel"/>
    <w:tmpl w:val="B484F907"/>
    <w:lvl w:ilvl="0" w:tentative="0">
      <w:start w:val="1"/>
      <w:numFmt w:val="decimal"/>
      <w:lvlText w:val="(%1)"/>
      <w:lvlJc w:val="left"/>
      <w:pPr>
        <w:ind w:left="425" w:hanging="425"/>
      </w:pPr>
      <w:rPr>
        <w:rFonts w:hint="default"/>
      </w:rPr>
    </w:lvl>
  </w:abstractNum>
  <w:abstractNum w:abstractNumId="4">
    <w:nsid w:val="B4D1F486"/>
    <w:multiLevelType w:val="singleLevel"/>
    <w:tmpl w:val="B4D1F486"/>
    <w:lvl w:ilvl="0" w:tentative="0">
      <w:start w:val="2"/>
      <w:numFmt w:val="chineseCounting"/>
      <w:suff w:val="nothing"/>
      <w:lvlText w:val="%1、"/>
      <w:lvlJc w:val="left"/>
      <w:rPr>
        <w:rFonts w:hint="eastAsia"/>
      </w:rPr>
    </w:lvl>
  </w:abstractNum>
  <w:abstractNum w:abstractNumId="5">
    <w:nsid w:val="B8E40A4C"/>
    <w:multiLevelType w:val="singleLevel"/>
    <w:tmpl w:val="B8E40A4C"/>
    <w:lvl w:ilvl="0" w:tentative="0">
      <w:start w:val="1"/>
      <w:numFmt w:val="decimal"/>
      <w:lvlText w:val="(%1)"/>
      <w:lvlJc w:val="left"/>
      <w:pPr>
        <w:ind w:left="425" w:hanging="425"/>
      </w:pPr>
      <w:rPr>
        <w:rFonts w:hint="default"/>
      </w:rPr>
    </w:lvl>
  </w:abstractNum>
  <w:abstractNum w:abstractNumId="6">
    <w:nsid w:val="C4497BAA"/>
    <w:multiLevelType w:val="singleLevel"/>
    <w:tmpl w:val="C4497BAA"/>
    <w:lvl w:ilvl="0" w:tentative="0">
      <w:start w:val="1"/>
      <w:numFmt w:val="decimal"/>
      <w:lvlText w:val="(%1)"/>
      <w:lvlJc w:val="left"/>
      <w:pPr>
        <w:ind w:left="425" w:hanging="425"/>
      </w:pPr>
      <w:rPr>
        <w:rFonts w:hint="default"/>
      </w:rPr>
    </w:lvl>
  </w:abstractNum>
  <w:abstractNum w:abstractNumId="7">
    <w:nsid w:val="C82C165C"/>
    <w:multiLevelType w:val="singleLevel"/>
    <w:tmpl w:val="C82C165C"/>
    <w:lvl w:ilvl="0" w:tentative="0">
      <w:start w:val="1"/>
      <w:numFmt w:val="decimal"/>
      <w:lvlText w:val="(%1)"/>
      <w:lvlJc w:val="left"/>
      <w:pPr>
        <w:ind w:left="425" w:hanging="425"/>
      </w:pPr>
      <w:rPr>
        <w:rFonts w:hint="default"/>
      </w:rPr>
    </w:lvl>
  </w:abstractNum>
  <w:abstractNum w:abstractNumId="8">
    <w:nsid w:val="CA4581F7"/>
    <w:multiLevelType w:val="singleLevel"/>
    <w:tmpl w:val="CA4581F7"/>
    <w:lvl w:ilvl="0" w:tentative="0">
      <w:start w:val="1"/>
      <w:numFmt w:val="decimal"/>
      <w:lvlText w:val="(%1)"/>
      <w:lvlJc w:val="left"/>
      <w:pPr>
        <w:ind w:left="425" w:hanging="425"/>
      </w:pPr>
      <w:rPr>
        <w:rFonts w:hint="default"/>
      </w:rPr>
    </w:lvl>
  </w:abstractNum>
  <w:abstractNum w:abstractNumId="9">
    <w:nsid w:val="D49C416D"/>
    <w:multiLevelType w:val="singleLevel"/>
    <w:tmpl w:val="D49C416D"/>
    <w:lvl w:ilvl="0" w:tentative="0">
      <w:start w:val="1"/>
      <w:numFmt w:val="decimal"/>
      <w:lvlText w:val="(%1)"/>
      <w:lvlJc w:val="left"/>
      <w:pPr>
        <w:ind w:left="425" w:hanging="425"/>
      </w:pPr>
      <w:rPr>
        <w:rFonts w:hint="default"/>
      </w:rPr>
    </w:lvl>
  </w:abstractNum>
  <w:abstractNum w:abstractNumId="10">
    <w:nsid w:val="DE00CEA5"/>
    <w:multiLevelType w:val="singleLevel"/>
    <w:tmpl w:val="DE00CEA5"/>
    <w:lvl w:ilvl="0" w:tentative="0">
      <w:start w:val="2"/>
      <w:numFmt w:val="decimal"/>
      <w:lvlText w:val="%1."/>
      <w:lvlJc w:val="left"/>
      <w:pPr>
        <w:tabs>
          <w:tab w:val="left" w:pos="312"/>
        </w:tabs>
      </w:pPr>
    </w:lvl>
  </w:abstractNum>
  <w:abstractNum w:abstractNumId="11">
    <w:nsid w:val="E4671C26"/>
    <w:multiLevelType w:val="singleLevel"/>
    <w:tmpl w:val="E4671C26"/>
    <w:lvl w:ilvl="0" w:tentative="0">
      <w:start w:val="1"/>
      <w:numFmt w:val="decimal"/>
      <w:lvlText w:val="(%1)"/>
      <w:lvlJc w:val="left"/>
      <w:pPr>
        <w:ind w:left="425" w:hanging="425"/>
      </w:pPr>
      <w:rPr>
        <w:rFonts w:hint="default"/>
      </w:rPr>
    </w:lvl>
  </w:abstractNum>
  <w:abstractNum w:abstractNumId="12">
    <w:nsid w:val="E7618E32"/>
    <w:multiLevelType w:val="singleLevel"/>
    <w:tmpl w:val="E7618E32"/>
    <w:lvl w:ilvl="0" w:tentative="0">
      <w:start w:val="1"/>
      <w:numFmt w:val="decimal"/>
      <w:lvlText w:val="(%1)"/>
      <w:lvlJc w:val="left"/>
      <w:pPr>
        <w:ind w:left="425" w:hanging="425"/>
      </w:pPr>
      <w:rPr>
        <w:rFonts w:hint="default"/>
      </w:rPr>
    </w:lvl>
  </w:abstractNum>
  <w:abstractNum w:abstractNumId="13">
    <w:nsid w:val="FA5DD2D5"/>
    <w:multiLevelType w:val="multilevel"/>
    <w:tmpl w:val="FA5DD2D5"/>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4">
    <w:nsid w:val="0000000A"/>
    <w:multiLevelType w:val="multilevel"/>
    <w:tmpl w:val="0000000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5">
    <w:nsid w:val="0339603F"/>
    <w:multiLevelType w:val="multilevel"/>
    <w:tmpl w:val="0339603F"/>
    <w:lvl w:ilvl="0" w:tentative="0">
      <w:start w:val="1"/>
      <w:numFmt w:val="decimal"/>
      <w:lvlText w:val="%1."/>
      <w:lvlJc w:val="left"/>
      <w:pPr>
        <w:ind w:left="313" w:hanging="420"/>
      </w:pPr>
    </w:lvl>
    <w:lvl w:ilvl="1" w:tentative="0">
      <w:start w:val="1"/>
      <w:numFmt w:val="lowerLetter"/>
      <w:lvlText w:val="%2)"/>
      <w:lvlJc w:val="left"/>
      <w:pPr>
        <w:ind w:left="733" w:hanging="420"/>
      </w:pPr>
    </w:lvl>
    <w:lvl w:ilvl="2" w:tentative="0">
      <w:start w:val="1"/>
      <w:numFmt w:val="lowerRoman"/>
      <w:lvlText w:val="%3."/>
      <w:lvlJc w:val="right"/>
      <w:pPr>
        <w:ind w:left="1153" w:hanging="420"/>
      </w:pPr>
    </w:lvl>
    <w:lvl w:ilvl="3" w:tentative="0">
      <w:start w:val="1"/>
      <w:numFmt w:val="decimal"/>
      <w:lvlText w:val="%4."/>
      <w:lvlJc w:val="left"/>
      <w:pPr>
        <w:ind w:left="1573" w:hanging="420"/>
      </w:pPr>
    </w:lvl>
    <w:lvl w:ilvl="4" w:tentative="0">
      <w:start w:val="1"/>
      <w:numFmt w:val="lowerLetter"/>
      <w:lvlText w:val="%5)"/>
      <w:lvlJc w:val="left"/>
      <w:pPr>
        <w:ind w:left="1993" w:hanging="420"/>
      </w:pPr>
    </w:lvl>
    <w:lvl w:ilvl="5" w:tentative="0">
      <w:start w:val="1"/>
      <w:numFmt w:val="lowerRoman"/>
      <w:lvlText w:val="%6."/>
      <w:lvlJc w:val="right"/>
      <w:pPr>
        <w:ind w:left="2413" w:hanging="420"/>
      </w:pPr>
    </w:lvl>
    <w:lvl w:ilvl="6" w:tentative="0">
      <w:start w:val="1"/>
      <w:numFmt w:val="decimal"/>
      <w:lvlText w:val="%7."/>
      <w:lvlJc w:val="left"/>
      <w:pPr>
        <w:ind w:left="2833" w:hanging="420"/>
      </w:pPr>
    </w:lvl>
    <w:lvl w:ilvl="7" w:tentative="0">
      <w:start w:val="1"/>
      <w:numFmt w:val="lowerLetter"/>
      <w:lvlText w:val="%8)"/>
      <w:lvlJc w:val="left"/>
      <w:pPr>
        <w:ind w:left="3253" w:hanging="420"/>
      </w:pPr>
    </w:lvl>
    <w:lvl w:ilvl="8" w:tentative="0">
      <w:start w:val="1"/>
      <w:numFmt w:val="lowerRoman"/>
      <w:lvlText w:val="%9."/>
      <w:lvlJc w:val="right"/>
      <w:pPr>
        <w:ind w:left="3673" w:hanging="420"/>
      </w:pPr>
    </w:lvl>
  </w:abstractNum>
  <w:abstractNum w:abstractNumId="16">
    <w:nsid w:val="03D62ECE"/>
    <w:multiLevelType w:val="multilevel"/>
    <w:tmpl w:val="03D62ECE"/>
    <w:lvl w:ilvl="0" w:tentative="0">
      <w:start w:val="2"/>
      <w:numFmt w:val="decimal"/>
      <w:lvlText w:val="%1"/>
      <w:lvlJc w:val="left"/>
      <w:pPr>
        <w:ind w:left="1311" w:hanging="567"/>
      </w:pPr>
      <w:rPr>
        <w:rFonts w:hint="default"/>
        <w:lang w:val="zh-CN" w:eastAsia="zh-CN" w:bidi="zh-CN"/>
      </w:rPr>
    </w:lvl>
    <w:lvl w:ilvl="1" w:tentative="0">
      <w:start w:val="1"/>
      <w:numFmt w:val="decimal"/>
      <w:lvlText w:val="1.%2"/>
      <w:lvlJc w:val="left"/>
      <w:pPr>
        <w:ind w:left="1419" w:hanging="567"/>
      </w:pPr>
      <w:rPr>
        <w:rFonts w:hint="default" w:eastAsia="宋体" w:cs="仿宋" w:asciiTheme="minorEastAsia" w:hAnsiTheme="minorEastAsia"/>
        <w:b/>
        <w:bCs/>
        <w:spacing w:val="2"/>
        <w:w w:val="99"/>
        <w:sz w:val="32"/>
        <w:szCs w:val="32"/>
        <w:lang w:val="zh-CN" w:eastAsia="zh-CN" w:bidi="zh-CN"/>
      </w:rPr>
    </w:lvl>
    <w:lvl w:ilvl="2" w:tentative="0">
      <w:start w:val="1"/>
      <w:numFmt w:val="decimal"/>
      <w:lvlText w:val="1.%2.%3"/>
      <w:lvlJc w:val="left"/>
      <w:pPr>
        <w:ind w:left="1112" w:hanging="828"/>
      </w:pPr>
      <w:rPr>
        <w:rFonts w:hint="default" w:ascii="仿宋" w:hAnsi="仿宋" w:eastAsia="仿宋" w:cs="仿宋"/>
        <w:b/>
        <w:bCs/>
        <w:spacing w:val="0"/>
        <w:w w:val="99"/>
        <w:sz w:val="28"/>
        <w:szCs w:val="28"/>
        <w:lang w:val="zh-CN" w:eastAsia="zh-CN" w:bidi="zh-CN"/>
      </w:rPr>
    </w:lvl>
    <w:lvl w:ilvl="3" w:tentative="0">
      <w:start w:val="1"/>
      <w:numFmt w:val="decimal"/>
      <w:lvlText w:val="1.%2.%3.%4"/>
      <w:lvlJc w:val="left"/>
      <w:pPr>
        <w:ind w:left="2840" w:hanging="1244"/>
      </w:pPr>
      <w:rPr>
        <w:rFonts w:hint="default" w:ascii="仿宋" w:hAnsi="仿宋" w:eastAsia="仿宋" w:cs="仿宋"/>
        <w:b/>
        <w:bCs/>
        <w:spacing w:val="0"/>
        <w:w w:val="99"/>
        <w:sz w:val="24"/>
        <w:szCs w:val="24"/>
        <w:lang w:val="zh-CN" w:eastAsia="zh-CN" w:bidi="zh-CN"/>
      </w:rPr>
    </w:lvl>
    <w:lvl w:ilvl="4" w:tentative="0">
      <w:start w:val="0"/>
      <w:numFmt w:val="bullet"/>
      <w:lvlText w:val="•"/>
      <w:lvlJc w:val="left"/>
      <w:pPr>
        <w:ind w:left="4596" w:hanging="1244"/>
      </w:pPr>
      <w:rPr>
        <w:rFonts w:hint="default"/>
        <w:lang w:val="zh-CN" w:eastAsia="zh-CN" w:bidi="zh-CN"/>
      </w:rPr>
    </w:lvl>
    <w:lvl w:ilvl="5" w:tentative="0">
      <w:start w:val="0"/>
      <w:numFmt w:val="bullet"/>
      <w:lvlText w:val="•"/>
      <w:lvlJc w:val="left"/>
      <w:pPr>
        <w:ind w:left="5474" w:hanging="1244"/>
      </w:pPr>
      <w:rPr>
        <w:rFonts w:hint="default"/>
        <w:lang w:val="zh-CN" w:eastAsia="zh-CN" w:bidi="zh-CN"/>
      </w:rPr>
    </w:lvl>
    <w:lvl w:ilvl="6" w:tentative="0">
      <w:start w:val="0"/>
      <w:numFmt w:val="bullet"/>
      <w:lvlText w:val="•"/>
      <w:lvlJc w:val="left"/>
      <w:pPr>
        <w:ind w:left="6353" w:hanging="1244"/>
      </w:pPr>
      <w:rPr>
        <w:rFonts w:hint="default"/>
        <w:lang w:val="zh-CN" w:eastAsia="zh-CN" w:bidi="zh-CN"/>
      </w:rPr>
    </w:lvl>
    <w:lvl w:ilvl="7" w:tentative="0">
      <w:start w:val="0"/>
      <w:numFmt w:val="bullet"/>
      <w:lvlText w:val="•"/>
      <w:lvlJc w:val="left"/>
      <w:pPr>
        <w:ind w:left="7231" w:hanging="1244"/>
      </w:pPr>
      <w:rPr>
        <w:rFonts w:hint="default"/>
        <w:lang w:val="zh-CN" w:eastAsia="zh-CN" w:bidi="zh-CN"/>
      </w:rPr>
    </w:lvl>
    <w:lvl w:ilvl="8" w:tentative="0">
      <w:start w:val="0"/>
      <w:numFmt w:val="bullet"/>
      <w:lvlText w:val="•"/>
      <w:lvlJc w:val="left"/>
      <w:pPr>
        <w:ind w:left="8109" w:hanging="1244"/>
      </w:pPr>
      <w:rPr>
        <w:rFonts w:hint="default"/>
        <w:lang w:val="zh-CN" w:eastAsia="zh-CN" w:bidi="zh-CN"/>
      </w:rPr>
    </w:lvl>
  </w:abstractNum>
  <w:abstractNum w:abstractNumId="17">
    <w:nsid w:val="1405C590"/>
    <w:multiLevelType w:val="singleLevel"/>
    <w:tmpl w:val="1405C590"/>
    <w:lvl w:ilvl="0" w:tentative="0">
      <w:start w:val="1"/>
      <w:numFmt w:val="decimal"/>
      <w:lvlText w:val="(%1)"/>
      <w:lvlJc w:val="left"/>
      <w:pPr>
        <w:ind w:left="425" w:hanging="425"/>
      </w:pPr>
      <w:rPr>
        <w:rFonts w:hint="default"/>
      </w:rPr>
    </w:lvl>
  </w:abstractNum>
  <w:abstractNum w:abstractNumId="18">
    <w:nsid w:val="1707A368"/>
    <w:multiLevelType w:val="singleLevel"/>
    <w:tmpl w:val="1707A368"/>
    <w:lvl w:ilvl="0" w:tentative="0">
      <w:start w:val="1"/>
      <w:numFmt w:val="decimal"/>
      <w:lvlText w:val="(%1)"/>
      <w:lvlJc w:val="left"/>
      <w:pPr>
        <w:ind w:left="425" w:hanging="425"/>
      </w:pPr>
      <w:rPr>
        <w:rFonts w:hint="default"/>
      </w:rPr>
    </w:lvl>
  </w:abstractNum>
  <w:abstractNum w:abstractNumId="19">
    <w:nsid w:val="25A55B5E"/>
    <w:multiLevelType w:val="multilevel"/>
    <w:tmpl w:val="25A55B5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25B53A64"/>
    <w:multiLevelType w:val="multilevel"/>
    <w:tmpl w:val="25B53A6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262DBCEC"/>
    <w:multiLevelType w:val="singleLevel"/>
    <w:tmpl w:val="262DBCEC"/>
    <w:lvl w:ilvl="0" w:tentative="0">
      <w:start w:val="2"/>
      <w:numFmt w:val="decimal"/>
      <w:suff w:val="nothing"/>
      <w:lvlText w:val="（%1）"/>
      <w:lvlJc w:val="left"/>
      <w:pPr>
        <w:textAlignment w:val="baseline"/>
      </w:pPr>
    </w:lvl>
  </w:abstractNum>
  <w:abstractNum w:abstractNumId="22">
    <w:nsid w:val="2E996E7E"/>
    <w:multiLevelType w:val="multilevel"/>
    <w:tmpl w:val="2E996E7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31FC439F"/>
    <w:multiLevelType w:val="singleLevel"/>
    <w:tmpl w:val="31FC439F"/>
    <w:lvl w:ilvl="0" w:tentative="0">
      <w:start w:val="1"/>
      <w:numFmt w:val="decimal"/>
      <w:lvlText w:val="%1."/>
      <w:lvlJc w:val="left"/>
      <w:pPr>
        <w:tabs>
          <w:tab w:val="left" w:pos="312"/>
        </w:tabs>
      </w:pPr>
    </w:lvl>
  </w:abstractNum>
  <w:abstractNum w:abstractNumId="24">
    <w:nsid w:val="38D69A64"/>
    <w:multiLevelType w:val="singleLevel"/>
    <w:tmpl w:val="38D69A64"/>
    <w:lvl w:ilvl="0" w:tentative="0">
      <w:start w:val="1"/>
      <w:numFmt w:val="decimal"/>
      <w:lvlText w:val="(%1)"/>
      <w:lvlJc w:val="left"/>
      <w:pPr>
        <w:ind w:left="425" w:hanging="425"/>
      </w:pPr>
      <w:rPr>
        <w:rFonts w:hint="default"/>
      </w:rPr>
    </w:lvl>
  </w:abstractNum>
  <w:abstractNum w:abstractNumId="25">
    <w:nsid w:val="38F00A4F"/>
    <w:multiLevelType w:val="multilevel"/>
    <w:tmpl w:val="38F00A4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3D7971B8"/>
    <w:multiLevelType w:val="singleLevel"/>
    <w:tmpl w:val="3D7971B8"/>
    <w:lvl w:ilvl="0" w:tentative="0">
      <w:start w:val="1"/>
      <w:numFmt w:val="decimal"/>
      <w:lvlText w:val="(%1)"/>
      <w:lvlJc w:val="left"/>
      <w:pPr>
        <w:ind w:left="425" w:hanging="425"/>
      </w:pPr>
      <w:rPr>
        <w:rFonts w:hint="default"/>
      </w:rPr>
    </w:lvl>
  </w:abstractNum>
  <w:abstractNum w:abstractNumId="27">
    <w:nsid w:val="42E75587"/>
    <w:multiLevelType w:val="multilevel"/>
    <w:tmpl w:val="42E7558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44BE6153"/>
    <w:multiLevelType w:val="multilevel"/>
    <w:tmpl w:val="44BE615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4B539702"/>
    <w:multiLevelType w:val="singleLevel"/>
    <w:tmpl w:val="4B539702"/>
    <w:lvl w:ilvl="0" w:tentative="0">
      <w:start w:val="1"/>
      <w:numFmt w:val="decimal"/>
      <w:lvlText w:val="(%1)"/>
      <w:lvlJc w:val="left"/>
      <w:pPr>
        <w:ind w:left="425" w:hanging="425"/>
      </w:pPr>
      <w:rPr>
        <w:rFonts w:hint="default"/>
      </w:rPr>
    </w:lvl>
  </w:abstractNum>
  <w:abstractNum w:abstractNumId="30">
    <w:nsid w:val="4F4E94A3"/>
    <w:multiLevelType w:val="singleLevel"/>
    <w:tmpl w:val="4F4E94A3"/>
    <w:lvl w:ilvl="0" w:tentative="0">
      <w:start w:val="5"/>
      <w:numFmt w:val="chineseCounting"/>
      <w:suff w:val="nothing"/>
      <w:lvlText w:val="%1、"/>
      <w:lvlJc w:val="left"/>
      <w:rPr>
        <w:rFonts w:hint="eastAsia"/>
      </w:rPr>
    </w:lvl>
  </w:abstractNum>
  <w:abstractNum w:abstractNumId="31">
    <w:nsid w:val="54EE817D"/>
    <w:multiLevelType w:val="singleLevel"/>
    <w:tmpl w:val="54EE817D"/>
    <w:lvl w:ilvl="0" w:tentative="0">
      <w:start w:val="1"/>
      <w:numFmt w:val="decimal"/>
      <w:lvlText w:val="(%1)"/>
      <w:lvlJc w:val="left"/>
      <w:pPr>
        <w:ind w:left="425" w:hanging="425"/>
      </w:pPr>
      <w:rPr>
        <w:rFonts w:hint="default"/>
      </w:rPr>
    </w:lvl>
  </w:abstractNum>
  <w:abstractNum w:abstractNumId="32">
    <w:nsid w:val="5757A111"/>
    <w:multiLevelType w:val="singleLevel"/>
    <w:tmpl w:val="5757A111"/>
    <w:lvl w:ilvl="0" w:tentative="0">
      <w:start w:val="1"/>
      <w:numFmt w:val="decimal"/>
      <w:suff w:val="space"/>
      <w:lvlText w:val="%1."/>
      <w:lvlJc w:val="left"/>
    </w:lvl>
  </w:abstractNum>
  <w:abstractNum w:abstractNumId="33">
    <w:nsid w:val="57E3A63A"/>
    <w:multiLevelType w:val="singleLevel"/>
    <w:tmpl w:val="57E3A63A"/>
    <w:lvl w:ilvl="0" w:tentative="0">
      <w:start w:val="1"/>
      <w:numFmt w:val="decimal"/>
      <w:lvlText w:val="(%1)"/>
      <w:lvlJc w:val="left"/>
      <w:pPr>
        <w:ind w:left="425" w:hanging="425"/>
      </w:pPr>
      <w:rPr>
        <w:rFonts w:hint="default"/>
      </w:rPr>
    </w:lvl>
  </w:abstractNum>
  <w:abstractNum w:abstractNumId="34">
    <w:nsid w:val="5F477540"/>
    <w:multiLevelType w:val="multilevel"/>
    <w:tmpl w:val="5F477540"/>
    <w:lvl w:ilvl="0" w:tentative="0">
      <w:start w:val="1"/>
      <w:numFmt w:val="decimal"/>
      <w:lvlText w:val="%1."/>
      <w:lvlJc w:val="left"/>
      <w:pPr>
        <w:ind w:left="386" w:hanging="420"/>
      </w:pPr>
      <w:rPr>
        <w:rFonts w:asciiTheme="minorEastAsia" w:hAnsiTheme="minorEastAsia" w:eastAsiaTheme="minorEastAsia"/>
        <w:b w:val="0"/>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35">
    <w:nsid w:val="60F330B8"/>
    <w:multiLevelType w:val="singleLevel"/>
    <w:tmpl w:val="60F330B8"/>
    <w:lvl w:ilvl="0" w:tentative="0">
      <w:start w:val="1"/>
      <w:numFmt w:val="decimal"/>
      <w:lvlText w:val="(%1)"/>
      <w:lvlJc w:val="left"/>
      <w:pPr>
        <w:ind w:left="425" w:hanging="425"/>
      </w:pPr>
      <w:rPr>
        <w:rFonts w:hint="default"/>
      </w:rPr>
    </w:lvl>
  </w:abstractNum>
  <w:abstractNum w:abstractNumId="36">
    <w:nsid w:val="6566337F"/>
    <w:multiLevelType w:val="singleLevel"/>
    <w:tmpl w:val="6566337F"/>
    <w:lvl w:ilvl="0" w:tentative="0">
      <w:start w:val="1"/>
      <w:numFmt w:val="decimal"/>
      <w:lvlText w:val="(%1)"/>
      <w:lvlJc w:val="left"/>
      <w:pPr>
        <w:ind w:left="425" w:hanging="425"/>
      </w:pPr>
      <w:rPr>
        <w:rFonts w:hint="default"/>
      </w:rPr>
    </w:lvl>
  </w:abstractNum>
  <w:abstractNum w:abstractNumId="37">
    <w:nsid w:val="663B42F4"/>
    <w:multiLevelType w:val="multilevel"/>
    <w:tmpl w:val="663B42F4"/>
    <w:lvl w:ilvl="0" w:tentative="0">
      <w:start w:val="1"/>
      <w:numFmt w:val="decimal"/>
      <w:lvlText w:val="%1."/>
      <w:lvlJc w:val="left"/>
      <w:pPr>
        <w:ind w:left="313" w:hanging="420"/>
      </w:pPr>
    </w:lvl>
    <w:lvl w:ilvl="1" w:tentative="0">
      <w:start w:val="1"/>
      <w:numFmt w:val="lowerLetter"/>
      <w:lvlText w:val="%2)"/>
      <w:lvlJc w:val="left"/>
      <w:pPr>
        <w:ind w:left="733" w:hanging="420"/>
      </w:pPr>
    </w:lvl>
    <w:lvl w:ilvl="2" w:tentative="0">
      <w:start w:val="1"/>
      <w:numFmt w:val="lowerRoman"/>
      <w:lvlText w:val="%3."/>
      <w:lvlJc w:val="right"/>
      <w:pPr>
        <w:ind w:left="1153" w:hanging="420"/>
      </w:pPr>
    </w:lvl>
    <w:lvl w:ilvl="3" w:tentative="0">
      <w:start w:val="1"/>
      <w:numFmt w:val="decimal"/>
      <w:lvlText w:val="%4."/>
      <w:lvlJc w:val="left"/>
      <w:pPr>
        <w:ind w:left="1573" w:hanging="420"/>
      </w:pPr>
    </w:lvl>
    <w:lvl w:ilvl="4" w:tentative="0">
      <w:start w:val="1"/>
      <w:numFmt w:val="lowerLetter"/>
      <w:lvlText w:val="%5)"/>
      <w:lvlJc w:val="left"/>
      <w:pPr>
        <w:ind w:left="1993" w:hanging="420"/>
      </w:pPr>
    </w:lvl>
    <w:lvl w:ilvl="5" w:tentative="0">
      <w:start w:val="1"/>
      <w:numFmt w:val="lowerRoman"/>
      <w:lvlText w:val="%6."/>
      <w:lvlJc w:val="right"/>
      <w:pPr>
        <w:ind w:left="2413" w:hanging="420"/>
      </w:pPr>
    </w:lvl>
    <w:lvl w:ilvl="6" w:tentative="0">
      <w:start w:val="1"/>
      <w:numFmt w:val="decimal"/>
      <w:lvlText w:val="%7."/>
      <w:lvlJc w:val="left"/>
      <w:pPr>
        <w:ind w:left="2833" w:hanging="420"/>
      </w:pPr>
    </w:lvl>
    <w:lvl w:ilvl="7" w:tentative="0">
      <w:start w:val="1"/>
      <w:numFmt w:val="lowerLetter"/>
      <w:lvlText w:val="%8)"/>
      <w:lvlJc w:val="left"/>
      <w:pPr>
        <w:ind w:left="3253" w:hanging="420"/>
      </w:pPr>
    </w:lvl>
    <w:lvl w:ilvl="8" w:tentative="0">
      <w:start w:val="1"/>
      <w:numFmt w:val="lowerRoman"/>
      <w:lvlText w:val="%9."/>
      <w:lvlJc w:val="right"/>
      <w:pPr>
        <w:ind w:left="3673" w:hanging="420"/>
      </w:pPr>
    </w:lvl>
  </w:abstractNum>
  <w:abstractNum w:abstractNumId="38">
    <w:nsid w:val="66508A34"/>
    <w:multiLevelType w:val="singleLevel"/>
    <w:tmpl w:val="66508A34"/>
    <w:lvl w:ilvl="0" w:tentative="0">
      <w:start w:val="1"/>
      <w:numFmt w:val="decimal"/>
      <w:lvlText w:val="(%1)"/>
      <w:lvlJc w:val="left"/>
      <w:pPr>
        <w:ind w:left="425" w:hanging="425"/>
      </w:pPr>
      <w:rPr>
        <w:rFonts w:hint="default"/>
      </w:rPr>
    </w:lvl>
  </w:abstractNum>
  <w:abstractNum w:abstractNumId="39">
    <w:nsid w:val="6F427C6F"/>
    <w:multiLevelType w:val="multilevel"/>
    <w:tmpl w:val="6F427C6F"/>
    <w:lvl w:ilvl="0" w:tentative="0">
      <w:start w:val="1"/>
      <w:numFmt w:val="decimal"/>
      <w:lvlText w:val="%1."/>
      <w:lvlJc w:val="left"/>
      <w:pPr>
        <w:ind w:left="313" w:hanging="420"/>
      </w:pPr>
    </w:lvl>
    <w:lvl w:ilvl="1" w:tentative="0">
      <w:start w:val="1"/>
      <w:numFmt w:val="lowerLetter"/>
      <w:lvlText w:val="%2)"/>
      <w:lvlJc w:val="left"/>
      <w:pPr>
        <w:ind w:left="733" w:hanging="420"/>
      </w:pPr>
    </w:lvl>
    <w:lvl w:ilvl="2" w:tentative="0">
      <w:start w:val="1"/>
      <w:numFmt w:val="lowerRoman"/>
      <w:lvlText w:val="%3."/>
      <w:lvlJc w:val="right"/>
      <w:pPr>
        <w:ind w:left="1153" w:hanging="420"/>
      </w:pPr>
    </w:lvl>
    <w:lvl w:ilvl="3" w:tentative="0">
      <w:start w:val="1"/>
      <w:numFmt w:val="decimal"/>
      <w:lvlText w:val="%4."/>
      <w:lvlJc w:val="left"/>
      <w:pPr>
        <w:ind w:left="1573" w:hanging="420"/>
      </w:pPr>
    </w:lvl>
    <w:lvl w:ilvl="4" w:tentative="0">
      <w:start w:val="1"/>
      <w:numFmt w:val="lowerLetter"/>
      <w:lvlText w:val="%5)"/>
      <w:lvlJc w:val="left"/>
      <w:pPr>
        <w:ind w:left="1993" w:hanging="420"/>
      </w:pPr>
    </w:lvl>
    <w:lvl w:ilvl="5" w:tentative="0">
      <w:start w:val="1"/>
      <w:numFmt w:val="lowerRoman"/>
      <w:lvlText w:val="%6."/>
      <w:lvlJc w:val="right"/>
      <w:pPr>
        <w:ind w:left="2413" w:hanging="420"/>
      </w:pPr>
    </w:lvl>
    <w:lvl w:ilvl="6" w:tentative="0">
      <w:start w:val="1"/>
      <w:numFmt w:val="decimal"/>
      <w:lvlText w:val="%7."/>
      <w:lvlJc w:val="left"/>
      <w:pPr>
        <w:ind w:left="2833" w:hanging="420"/>
      </w:pPr>
    </w:lvl>
    <w:lvl w:ilvl="7" w:tentative="0">
      <w:start w:val="1"/>
      <w:numFmt w:val="lowerLetter"/>
      <w:lvlText w:val="%8)"/>
      <w:lvlJc w:val="left"/>
      <w:pPr>
        <w:ind w:left="3253" w:hanging="420"/>
      </w:pPr>
    </w:lvl>
    <w:lvl w:ilvl="8" w:tentative="0">
      <w:start w:val="1"/>
      <w:numFmt w:val="lowerRoman"/>
      <w:lvlText w:val="%9."/>
      <w:lvlJc w:val="right"/>
      <w:pPr>
        <w:ind w:left="3673" w:hanging="420"/>
      </w:pPr>
    </w:lvl>
  </w:abstractNum>
  <w:abstractNum w:abstractNumId="40">
    <w:nsid w:val="6F7B0A6F"/>
    <w:multiLevelType w:val="multilevel"/>
    <w:tmpl w:val="6F7B0A6F"/>
    <w:lvl w:ilvl="0" w:tentative="0">
      <w:start w:val="4"/>
      <w:numFmt w:val="japaneseCounting"/>
      <w:pStyle w:val="93"/>
      <w:lvlText w:val="第%1章"/>
      <w:lvlJc w:val="left"/>
      <w:pPr>
        <w:tabs>
          <w:tab w:val="left" w:pos="1200"/>
        </w:tabs>
        <w:ind w:left="1200" w:hanging="1200"/>
      </w:pPr>
      <w:rPr>
        <w:rFonts w:hint="eastAsia"/>
      </w:rPr>
    </w:lvl>
    <w:lvl w:ilvl="1" w:tentative="0">
      <w:start w:val="5"/>
      <w:numFmt w:val="japaneseCounting"/>
      <w:lvlText w:val="%2）"/>
      <w:lvlJc w:val="left"/>
      <w:pPr>
        <w:tabs>
          <w:tab w:val="left" w:pos="840"/>
        </w:tabs>
        <w:ind w:left="840" w:hanging="420"/>
      </w:pPr>
      <w:rPr>
        <w:rFonts w:hint="default" w:ascii="Times New Roman" w:hAnsi="Times New Roman"/>
        <w:sz w:val="21"/>
        <w:u w:val="none"/>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1">
    <w:nsid w:val="7183BA5E"/>
    <w:multiLevelType w:val="singleLevel"/>
    <w:tmpl w:val="7183BA5E"/>
    <w:lvl w:ilvl="0" w:tentative="0">
      <w:start w:val="1"/>
      <w:numFmt w:val="decimal"/>
      <w:lvlText w:val="(%1)"/>
      <w:lvlJc w:val="left"/>
      <w:pPr>
        <w:ind w:left="425" w:hanging="425"/>
      </w:pPr>
      <w:rPr>
        <w:rFonts w:hint="default"/>
      </w:rPr>
    </w:lvl>
  </w:abstractNum>
  <w:abstractNum w:abstractNumId="42">
    <w:nsid w:val="738A4541"/>
    <w:multiLevelType w:val="multilevel"/>
    <w:tmpl w:val="738A454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75700E0E"/>
    <w:multiLevelType w:val="multilevel"/>
    <w:tmpl w:val="75700E0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77211AE5"/>
    <w:multiLevelType w:val="singleLevel"/>
    <w:tmpl w:val="77211AE5"/>
    <w:lvl w:ilvl="0" w:tentative="0">
      <w:start w:val="1"/>
      <w:numFmt w:val="decimal"/>
      <w:lvlText w:val="(%1)"/>
      <w:lvlJc w:val="left"/>
      <w:pPr>
        <w:ind w:left="425" w:hanging="425"/>
      </w:pPr>
      <w:rPr>
        <w:rFonts w:hint="default"/>
      </w:rPr>
    </w:lvl>
  </w:abstractNum>
  <w:abstractNum w:abstractNumId="45">
    <w:nsid w:val="778D4F67"/>
    <w:multiLevelType w:val="singleLevel"/>
    <w:tmpl w:val="778D4F67"/>
    <w:lvl w:ilvl="0" w:tentative="0">
      <w:start w:val="1"/>
      <w:numFmt w:val="decimal"/>
      <w:lvlText w:val="(%1)"/>
      <w:lvlJc w:val="left"/>
      <w:pPr>
        <w:ind w:left="425" w:hanging="425"/>
      </w:pPr>
      <w:rPr>
        <w:rFonts w:hint="default"/>
      </w:rPr>
    </w:lvl>
  </w:abstractNum>
  <w:abstractNum w:abstractNumId="46">
    <w:nsid w:val="77ECEA79"/>
    <w:multiLevelType w:val="multilevel"/>
    <w:tmpl w:val="77ECEA79"/>
    <w:lvl w:ilvl="0" w:tentative="0">
      <w:start w:val="0"/>
      <w:numFmt w:val="bullet"/>
      <w:lvlText w:val=""/>
      <w:lvlJc w:val="left"/>
      <w:pPr>
        <w:ind w:left="1040" w:hanging="360"/>
      </w:pPr>
      <w:rPr>
        <w:rFonts w:hint="default" w:ascii="Wingdings" w:hAnsi="Wingdings" w:eastAsia="Wingdings" w:cs="Wingdings"/>
        <w:w w:val="100"/>
        <w:sz w:val="24"/>
        <w:szCs w:val="24"/>
        <w:lang w:val="zh-CN" w:eastAsia="zh-CN" w:bidi="zh-CN"/>
      </w:rPr>
    </w:lvl>
    <w:lvl w:ilvl="1" w:tentative="0">
      <w:start w:val="0"/>
      <w:numFmt w:val="bullet"/>
      <w:lvlText w:val=""/>
      <w:lvlJc w:val="left"/>
      <w:pPr>
        <w:ind w:left="1220" w:hanging="420"/>
      </w:pPr>
      <w:rPr>
        <w:rFonts w:hint="default" w:ascii="Wingdings" w:hAnsi="Wingdings" w:eastAsia="Wingdings" w:cs="Wingdings"/>
        <w:w w:val="100"/>
        <w:sz w:val="24"/>
        <w:szCs w:val="24"/>
        <w:lang w:val="zh-CN" w:eastAsia="zh-CN" w:bidi="zh-CN"/>
      </w:rPr>
    </w:lvl>
    <w:lvl w:ilvl="2" w:tentative="0">
      <w:start w:val="0"/>
      <w:numFmt w:val="bullet"/>
      <w:lvlText w:val="•"/>
      <w:lvlJc w:val="left"/>
      <w:pPr>
        <w:ind w:left="2180" w:hanging="420"/>
      </w:pPr>
      <w:rPr>
        <w:rFonts w:hint="default"/>
        <w:lang w:val="zh-CN" w:eastAsia="zh-CN" w:bidi="zh-CN"/>
      </w:rPr>
    </w:lvl>
    <w:lvl w:ilvl="3" w:tentative="0">
      <w:start w:val="0"/>
      <w:numFmt w:val="bullet"/>
      <w:lvlText w:val="•"/>
      <w:lvlJc w:val="left"/>
      <w:pPr>
        <w:ind w:left="3141" w:hanging="420"/>
      </w:pPr>
      <w:rPr>
        <w:rFonts w:hint="default"/>
        <w:lang w:val="zh-CN" w:eastAsia="zh-CN" w:bidi="zh-CN"/>
      </w:rPr>
    </w:lvl>
    <w:lvl w:ilvl="4" w:tentative="0">
      <w:start w:val="0"/>
      <w:numFmt w:val="bullet"/>
      <w:lvlText w:val="•"/>
      <w:lvlJc w:val="left"/>
      <w:pPr>
        <w:ind w:left="4102" w:hanging="420"/>
      </w:pPr>
      <w:rPr>
        <w:rFonts w:hint="default"/>
        <w:lang w:val="zh-CN" w:eastAsia="zh-CN" w:bidi="zh-CN"/>
      </w:rPr>
    </w:lvl>
    <w:lvl w:ilvl="5" w:tentative="0">
      <w:start w:val="0"/>
      <w:numFmt w:val="bullet"/>
      <w:lvlText w:val="•"/>
      <w:lvlJc w:val="left"/>
      <w:pPr>
        <w:ind w:left="5062" w:hanging="420"/>
      </w:pPr>
      <w:rPr>
        <w:rFonts w:hint="default"/>
        <w:lang w:val="zh-CN" w:eastAsia="zh-CN" w:bidi="zh-CN"/>
      </w:rPr>
    </w:lvl>
    <w:lvl w:ilvl="6" w:tentative="0">
      <w:start w:val="0"/>
      <w:numFmt w:val="bullet"/>
      <w:lvlText w:val="•"/>
      <w:lvlJc w:val="left"/>
      <w:pPr>
        <w:ind w:left="6023" w:hanging="420"/>
      </w:pPr>
      <w:rPr>
        <w:rFonts w:hint="default"/>
        <w:lang w:val="zh-CN" w:eastAsia="zh-CN" w:bidi="zh-CN"/>
      </w:rPr>
    </w:lvl>
    <w:lvl w:ilvl="7" w:tentative="0">
      <w:start w:val="0"/>
      <w:numFmt w:val="bullet"/>
      <w:lvlText w:val="•"/>
      <w:lvlJc w:val="left"/>
      <w:pPr>
        <w:ind w:left="6984" w:hanging="420"/>
      </w:pPr>
      <w:rPr>
        <w:rFonts w:hint="default"/>
        <w:lang w:val="zh-CN" w:eastAsia="zh-CN" w:bidi="zh-CN"/>
      </w:rPr>
    </w:lvl>
    <w:lvl w:ilvl="8" w:tentative="0">
      <w:start w:val="0"/>
      <w:numFmt w:val="bullet"/>
      <w:lvlText w:val="•"/>
      <w:lvlJc w:val="left"/>
      <w:pPr>
        <w:ind w:left="7944" w:hanging="420"/>
      </w:pPr>
      <w:rPr>
        <w:rFonts w:hint="default"/>
        <w:lang w:val="zh-CN" w:eastAsia="zh-CN" w:bidi="zh-CN"/>
      </w:rPr>
    </w:lvl>
  </w:abstractNum>
  <w:abstractNum w:abstractNumId="47">
    <w:nsid w:val="78966130"/>
    <w:multiLevelType w:val="multilevel"/>
    <w:tmpl w:val="78966130"/>
    <w:lvl w:ilvl="0" w:tentative="0">
      <w:start w:val="1"/>
      <w:numFmt w:val="decimal"/>
      <w:lvlText w:val="%1."/>
      <w:lvlJc w:val="left"/>
      <w:pPr>
        <w:tabs>
          <w:tab w:val="left" w:pos="425"/>
        </w:tabs>
        <w:ind w:left="425" w:hanging="425"/>
      </w:pPr>
      <w:rPr>
        <w:rFonts w:hint="default" w:ascii="Times New Roman" w:hAnsi="Times New Roman" w:cs="Times New Roman"/>
        <w:b/>
        <w:color w:val="auto"/>
      </w:rPr>
    </w:lvl>
    <w:lvl w:ilvl="1" w:tentative="0">
      <w:start w:val="1"/>
      <w:numFmt w:val="decimal"/>
      <w:lvlText w:val="%1.%2."/>
      <w:lvlJc w:val="left"/>
      <w:pPr>
        <w:tabs>
          <w:tab w:val="left" w:pos="567"/>
        </w:tabs>
        <w:ind w:left="567" w:hanging="567"/>
      </w:pPr>
      <w:rPr>
        <w:rFonts w:hint="default" w:ascii="Times New Roman" w:hAnsi="Times New Roman" w:cs="Times New Roman"/>
        <w:b w:val="0"/>
        <w:color w:val="auto"/>
        <w:sz w:val="21"/>
        <w:szCs w:val="21"/>
      </w:rPr>
    </w:lvl>
    <w:lvl w:ilvl="2" w:tentative="0">
      <w:start w:val="1"/>
      <w:numFmt w:val="decimal"/>
      <w:lvlText w:val="%1.%2.%3."/>
      <w:lvlJc w:val="left"/>
      <w:pPr>
        <w:tabs>
          <w:tab w:val="left" w:pos="709"/>
        </w:tabs>
        <w:ind w:left="709" w:hanging="709"/>
      </w:pPr>
      <w:rPr>
        <w:rFonts w:hint="default" w:ascii="Times New Roman" w:hAnsi="Times New Roman" w:cs="Times New Roman"/>
        <w:b w:val="0"/>
      </w:r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48">
    <w:nsid w:val="7915E011"/>
    <w:multiLevelType w:val="singleLevel"/>
    <w:tmpl w:val="7915E011"/>
    <w:lvl w:ilvl="0" w:tentative="0">
      <w:start w:val="1"/>
      <w:numFmt w:val="decimal"/>
      <w:lvlText w:val="(%1)"/>
      <w:lvlJc w:val="left"/>
      <w:pPr>
        <w:ind w:left="425" w:hanging="425"/>
      </w:pPr>
      <w:rPr>
        <w:rFonts w:hint="default"/>
      </w:rPr>
    </w:lvl>
  </w:abstractNum>
  <w:abstractNum w:abstractNumId="49">
    <w:nsid w:val="7E1F30B3"/>
    <w:multiLevelType w:val="multilevel"/>
    <w:tmpl w:val="7E1F30B3"/>
    <w:lvl w:ilvl="0" w:tentative="0">
      <w:start w:val="1"/>
      <w:numFmt w:val="decimal"/>
      <w:lvlText w:val="%1."/>
      <w:lvlJc w:val="left"/>
      <w:pPr>
        <w:ind w:left="313" w:hanging="420"/>
      </w:pPr>
    </w:lvl>
    <w:lvl w:ilvl="1" w:tentative="0">
      <w:start w:val="1"/>
      <w:numFmt w:val="lowerLetter"/>
      <w:lvlText w:val="%2)"/>
      <w:lvlJc w:val="left"/>
      <w:pPr>
        <w:ind w:left="733" w:hanging="420"/>
      </w:pPr>
    </w:lvl>
    <w:lvl w:ilvl="2" w:tentative="0">
      <w:start w:val="1"/>
      <w:numFmt w:val="lowerRoman"/>
      <w:lvlText w:val="%3."/>
      <w:lvlJc w:val="right"/>
      <w:pPr>
        <w:ind w:left="1153" w:hanging="420"/>
      </w:pPr>
    </w:lvl>
    <w:lvl w:ilvl="3" w:tentative="0">
      <w:start w:val="1"/>
      <w:numFmt w:val="decimal"/>
      <w:lvlText w:val="%4."/>
      <w:lvlJc w:val="left"/>
      <w:pPr>
        <w:ind w:left="1573" w:hanging="420"/>
      </w:pPr>
    </w:lvl>
    <w:lvl w:ilvl="4" w:tentative="0">
      <w:start w:val="1"/>
      <w:numFmt w:val="lowerLetter"/>
      <w:lvlText w:val="%5)"/>
      <w:lvlJc w:val="left"/>
      <w:pPr>
        <w:ind w:left="1993" w:hanging="420"/>
      </w:pPr>
    </w:lvl>
    <w:lvl w:ilvl="5" w:tentative="0">
      <w:start w:val="1"/>
      <w:numFmt w:val="lowerRoman"/>
      <w:lvlText w:val="%6."/>
      <w:lvlJc w:val="right"/>
      <w:pPr>
        <w:ind w:left="2413" w:hanging="420"/>
      </w:pPr>
    </w:lvl>
    <w:lvl w:ilvl="6" w:tentative="0">
      <w:start w:val="1"/>
      <w:numFmt w:val="decimal"/>
      <w:lvlText w:val="%7."/>
      <w:lvlJc w:val="left"/>
      <w:pPr>
        <w:ind w:left="2833" w:hanging="420"/>
      </w:pPr>
    </w:lvl>
    <w:lvl w:ilvl="7" w:tentative="0">
      <w:start w:val="1"/>
      <w:numFmt w:val="lowerLetter"/>
      <w:lvlText w:val="%8)"/>
      <w:lvlJc w:val="left"/>
      <w:pPr>
        <w:ind w:left="3253" w:hanging="420"/>
      </w:pPr>
    </w:lvl>
    <w:lvl w:ilvl="8" w:tentative="0">
      <w:start w:val="1"/>
      <w:numFmt w:val="lowerRoman"/>
      <w:lvlText w:val="%9."/>
      <w:lvlJc w:val="right"/>
      <w:pPr>
        <w:ind w:left="3673" w:hanging="420"/>
      </w:pPr>
    </w:lvl>
  </w:abstractNum>
  <w:num w:numId="1">
    <w:abstractNumId w:val="40"/>
  </w:num>
  <w:num w:numId="2">
    <w:abstractNumId w:val="23"/>
  </w:num>
  <w:num w:numId="3">
    <w:abstractNumId w:val="47"/>
  </w:num>
  <w:num w:numId="4">
    <w:abstractNumId w:val="32"/>
  </w:num>
  <w:num w:numId="5">
    <w:abstractNumId w:val="47"/>
    <w:lvlOverride w:ilvl="1">
      <w:startOverride w:val="1"/>
    </w:lvlOverride>
  </w:num>
  <w:num w:numId="6">
    <w:abstractNumId w:val="2"/>
  </w:num>
  <w:num w:numId="7">
    <w:abstractNumId w:val="34"/>
  </w:num>
  <w:num w:numId="8">
    <w:abstractNumId w:val="14"/>
  </w:num>
  <w:num w:numId="9">
    <w:abstractNumId w:val="4"/>
  </w:num>
  <w:num w:numId="10">
    <w:abstractNumId w:val="13"/>
  </w:num>
  <w:num w:numId="11">
    <w:abstractNumId w:val="17"/>
  </w:num>
  <w:num w:numId="12">
    <w:abstractNumId w:val="26"/>
  </w:num>
  <w:num w:numId="13">
    <w:abstractNumId w:val="33"/>
  </w:num>
  <w:num w:numId="14">
    <w:abstractNumId w:val="7"/>
  </w:num>
  <w:num w:numId="15">
    <w:abstractNumId w:val="38"/>
  </w:num>
  <w:num w:numId="16">
    <w:abstractNumId w:val="24"/>
  </w:num>
  <w:num w:numId="17">
    <w:abstractNumId w:val="48"/>
  </w:num>
  <w:num w:numId="18">
    <w:abstractNumId w:val="44"/>
  </w:num>
  <w:num w:numId="19">
    <w:abstractNumId w:val="9"/>
  </w:num>
  <w:num w:numId="20">
    <w:abstractNumId w:val="6"/>
  </w:num>
  <w:num w:numId="21">
    <w:abstractNumId w:val="12"/>
  </w:num>
  <w:num w:numId="22">
    <w:abstractNumId w:val="5"/>
  </w:num>
  <w:num w:numId="23">
    <w:abstractNumId w:val="35"/>
  </w:num>
  <w:num w:numId="24">
    <w:abstractNumId w:val="18"/>
  </w:num>
  <w:num w:numId="25">
    <w:abstractNumId w:val="0"/>
  </w:num>
  <w:num w:numId="26">
    <w:abstractNumId w:val="29"/>
  </w:num>
  <w:num w:numId="27">
    <w:abstractNumId w:val="41"/>
  </w:num>
  <w:num w:numId="28">
    <w:abstractNumId w:val="8"/>
  </w:num>
  <w:num w:numId="29">
    <w:abstractNumId w:val="1"/>
  </w:num>
  <w:num w:numId="30">
    <w:abstractNumId w:val="31"/>
  </w:num>
  <w:num w:numId="31">
    <w:abstractNumId w:val="36"/>
  </w:num>
  <w:num w:numId="32">
    <w:abstractNumId w:val="45"/>
  </w:num>
  <w:num w:numId="33">
    <w:abstractNumId w:val="11"/>
  </w:num>
  <w:num w:numId="34">
    <w:abstractNumId w:val="3"/>
  </w:num>
  <w:num w:numId="35">
    <w:abstractNumId w:val="43"/>
  </w:num>
  <w:num w:numId="36">
    <w:abstractNumId w:val="19"/>
  </w:num>
  <w:num w:numId="37">
    <w:abstractNumId w:val="27"/>
  </w:num>
  <w:num w:numId="38">
    <w:abstractNumId w:val="42"/>
  </w:num>
  <w:num w:numId="39">
    <w:abstractNumId w:val="25"/>
  </w:num>
  <w:num w:numId="40">
    <w:abstractNumId w:val="28"/>
  </w:num>
  <w:num w:numId="41">
    <w:abstractNumId w:val="49"/>
  </w:num>
  <w:num w:numId="42">
    <w:abstractNumId w:val="22"/>
  </w:num>
  <w:num w:numId="43">
    <w:abstractNumId w:val="20"/>
  </w:num>
  <w:num w:numId="44">
    <w:abstractNumId w:val="37"/>
  </w:num>
  <w:num w:numId="45">
    <w:abstractNumId w:val="15"/>
  </w:num>
  <w:num w:numId="46">
    <w:abstractNumId w:val="39"/>
  </w:num>
  <w:num w:numId="47">
    <w:abstractNumId w:val="30"/>
  </w:num>
  <w:num w:numId="48">
    <w:abstractNumId w:val="46"/>
  </w:num>
  <w:num w:numId="49">
    <w:abstractNumId w:val="16"/>
  </w:num>
  <w:num w:numId="50">
    <w:abstractNumId w:val="21"/>
  </w:num>
  <w:num w:numId="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2"/>
  <w:bordersDoNotSurroundHeader w:val="0"/>
  <w:bordersDoNotSurroundFooter w:val="0"/>
  <w:documentProtection w:edit="readOnly" w:formatting="1" w:enforcement="1" w:cryptProviderType="rsaFull" w:cryptAlgorithmClass="hash" w:cryptAlgorithmType="typeAny" w:cryptAlgorithmSid="4" w:cryptSpinCount="0" w:hash="mAYQgqJXyaayZGzDm9A0JyBRLm0=" w:salt="ftisudlJt3ivciB8vmEJlA=="/>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B15"/>
    <w:rsid w:val="0002668E"/>
    <w:rsid w:val="0006386D"/>
    <w:rsid w:val="000A2B04"/>
    <w:rsid w:val="000B479A"/>
    <w:rsid w:val="000C6AF8"/>
    <w:rsid w:val="000D1F3A"/>
    <w:rsid w:val="000E2A08"/>
    <w:rsid w:val="000F01E2"/>
    <w:rsid w:val="00110B21"/>
    <w:rsid w:val="00157B38"/>
    <w:rsid w:val="0016062D"/>
    <w:rsid w:val="00160966"/>
    <w:rsid w:val="00180B94"/>
    <w:rsid w:val="001951AC"/>
    <w:rsid w:val="001A29AC"/>
    <w:rsid w:val="001A4862"/>
    <w:rsid w:val="001C0A2D"/>
    <w:rsid w:val="001D3C30"/>
    <w:rsid w:val="00236B45"/>
    <w:rsid w:val="00261957"/>
    <w:rsid w:val="002945EC"/>
    <w:rsid w:val="002A0289"/>
    <w:rsid w:val="002A339A"/>
    <w:rsid w:val="002D7795"/>
    <w:rsid w:val="002F3150"/>
    <w:rsid w:val="002F35FA"/>
    <w:rsid w:val="003239CD"/>
    <w:rsid w:val="003302E1"/>
    <w:rsid w:val="003341A3"/>
    <w:rsid w:val="00345305"/>
    <w:rsid w:val="003805BC"/>
    <w:rsid w:val="0039424F"/>
    <w:rsid w:val="003B4747"/>
    <w:rsid w:val="003B6E90"/>
    <w:rsid w:val="003C1BA6"/>
    <w:rsid w:val="003D0809"/>
    <w:rsid w:val="003D2FDB"/>
    <w:rsid w:val="003D4752"/>
    <w:rsid w:val="00424181"/>
    <w:rsid w:val="00426A0B"/>
    <w:rsid w:val="00432A8B"/>
    <w:rsid w:val="0049256C"/>
    <w:rsid w:val="00493E21"/>
    <w:rsid w:val="0049417E"/>
    <w:rsid w:val="004A0539"/>
    <w:rsid w:val="004A4ED4"/>
    <w:rsid w:val="004F6B36"/>
    <w:rsid w:val="004F727B"/>
    <w:rsid w:val="005134D1"/>
    <w:rsid w:val="00514FB5"/>
    <w:rsid w:val="0052022C"/>
    <w:rsid w:val="00545E65"/>
    <w:rsid w:val="005762E2"/>
    <w:rsid w:val="005773AD"/>
    <w:rsid w:val="00593117"/>
    <w:rsid w:val="005B7934"/>
    <w:rsid w:val="005B7CC6"/>
    <w:rsid w:val="006169AA"/>
    <w:rsid w:val="00617C43"/>
    <w:rsid w:val="00696ED8"/>
    <w:rsid w:val="006C2FD8"/>
    <w:rsid w:val="006C3AC0"/>
    <w:rsid w:val="006D6636"/>
    <w:rsid w:val="00736BD5"/>
    <w:rsid w:val="00782B15"/>
    <w:rsid w:val="007A52EC"/>
    <w:rsid w:val="007D4435"/>
    <w:rsid w:val="007D76A9"/>
    <w:rsid w:val="00820863"/>
    <w:rsid w:val="00834F10"/>
    <w:rsid w:val="00961678"/>
    <w:rsid w:val="009761A1"/>
    <w:rsid w:val="0099770A"/>
    <w:rsid w:val="009B331F"/>
    <w:rsid w:val="009B4582"/>
    <w:rsid w:val="009C5A76"/>
    <w:rsid w:val="009D01BE"/>
    <w:rsid w:val="00AC043D"/>
    <w:rsid w:val="00AC18BB"/>
    <w:rsid w:val="00AE5FB1"/>
    <w:rsid w:val="00B02D6B"/>
    <w:rsid w:val="00B05494"/>
    <w:rsid w:val="00B117E5"/>
    <w:rsid w:val="00B136AA"/>
    <w:rsid w:val="00B53484"/>
    <w:rsid w:val="00B81146"/>
    <w:rsid w:val="00BE3E48"/>
    <w:rsid w:val="00BF0E55"/>
    <w:rsid w:val="00C00B58"/>
    <w:rsid w:val="00C25CD9"/>
    <w:rsid w:val="00C61A4D"/>
    <w:rsid w:val="00C93623"/>
    <w:rsid w:val="00CA40B9"/>
    <w:rsid w:val="00CA7925"/>
    <w:rsid w:val="00CD5FFD"/>
    <w:rsid w:val="00CE1FC5"/>
    <w:rsid w:val="00CF7038"/>
    <w:rsid w:val="00D03B4C"/>
    <w:rsid w:val="00D07E94"/>
    <w:rsid w:val="00D4499E"/>
    <w:rsid w:val="00D52474"/>
    <w:rsid w:val="00D55579"/>
    <w:rsid w:val="00D55670"/>
    <w:rsid w:val="00D9208E"/>
    <w:rsid w:val="00E00968"/>
    <w:rsid w:val="00E15949"/>
    <w:rsid w:val="00E63FF1"/>
    <w:rsid w:val="00EA3707"/>
    <w:rsid w:val="00EA3EF5"/>
    <w:rsid w:val="00F16F30"/>
    <w:rsid w:val="00F242E3"/>
    <w:rsid w:val="00F3335E"/>
    <w:rsid w:val="00F73847"/>
    <w:rsid w:val="00F82A6F"/>
    <w:rsid w:val="00FB1EBA"/>
    <w:rsid w:val="00FB74B6"/>
    <w:rsid w:val="00FC77FA"/>
    <w:rsid w:val="00FD0BD2"/>
    <w:rsid w:val="00FF1C6B"/>
    <w:rsid w:val="01197AE9"/>
    <w:rsid w:val="01543BC9"/>
    <w:rsid w:val="01E10CB5"/>
    <w:rsid w:val="02024C45"/>
    <w:rsid w:val="027A2E17"/>
    <w:rsid w:val="02F255F6"/>
    <w:rsid w:val="03767DDE"/>
    <w:rsid w:val="03C155D0"/>
    <w:rsid w:val="03CA66C7"/>
    <w:rsid w:val="03D42E2E"/>
    <w:rsid w:val="042462B3"/>
    <w:rsid w:val="0436772A"/>
    <w:rsid w:val="043A35D9"/>
    <w:rsid w:val="043F6098"/>
    <w:rsid w:val="048F7212"/>
    <w:rsid w:val="04930F41"/>
    <w:rsid w:val="04A028E6"/>
    <w:rsid w:val="04A2271A"/>
    <w:rsid w:val="04AD0F8F"/>
    <w:rsid w:val="052D752C"/>
    <w:rsid w:val="05782A31"/>
    <w:rsid w:val="05C70E9C"/>
    <w:rsid w:val="05D9297D"/>
    <w:rsid w:val="05F31C91"/>
    <w:rsid w:val="06823015"/>
    <w:rsid w:val="06BA455D"/>
    <w:rsid w:val="06DF21FA"/>
    <w:rsid w:val="07060369"/>
    <w:rsid w:val="0721638A"/>
    <w:rsid w:val="077A41F8"/>
    <w:rsid w:val="079762D2"/>
    <w:rsid w:val="07BC2556"/>
    <w:rsid w:val="07DD3FC6"/>
    <w:rsid w:val="08915703"/>
    <w:rsid w:val="089A2B49"/>
    <w:rsid w:val="08A2799E"/>
    <w:rsid w:val="08CB2A51"/>
    <w:rsid w:val="08D82D12"/>
    <w:rsid w:val="090221EB"/>
    <w:rsid w:val="09342B78"/>
    <w:rsid w:val="096B336F"/>
    <w:rsid w:val="09AD73A9"/>
    <w:rsid w:val="09C54583"/>
    <w:rsid w:val="09CA6F62"/>
    <w:rsid w:val="09CC201C"/>
    <w:rsid w:val="09FD1EAE"/>
    <w:rsid w:val="09FF215B"/>
    <w:rsid w:val="0A0F072C"/>
    <w:rsid w:val="0A7D4664"/>
    <w:rsid w:val="0AD803BC"/>
    <w:rsid w:val="0B335B01"/>
    <w:rsid w:val="0B4E1717"/>
    <w:rsid w:val="0B84338B"/>
    <w:rsid w:val="0BAD742B"/>
    <w:rsid w:val="0C0E5B4F"/>
    <w:rsid w:val="0C493A69"/>
    <w:rsid w:val="0D0D3117"/>
    <w:rsid w:val="0D1D5659"/>
    <w:rsid w:val="0D894EDD"/>
    <w:rsid w:val="0DA970D9"/>
    <w:rsid w:val="0E012A71"/>
    <w:rsid w:val="0E4737D9"/>
    <w:rsid w:val="0E564566"/>
    <w:rsid w:val="0E6D0107"/>
    <w:rsid w:val="0EB36839"/>
    <w:rsid w:val="0EEC3721"/>
    <w:rsid w:val="0F784FB5"/>
    <w:rsid w:val="10466E61"/>
    <w:rsid w:val="106C2595"/>
    <w:rsid w:val="1172309C"/>
    <w:rsid w:val="11A958FA"/>
    <w:rsid w:val="11AC3E53"/>
    <w:rsid w:val="11FA0ECE"/>
    <w:rsid w:val="12494D2C"/>
    <w:rsid w:val="12F47048"/>
    <w:rsid w:val="131B45D5"/>
    <w:rsid w:val="139323BD"/>
    <w:rsid w:val="13A838F2"/>
    <w:rsid w:val="13BF31B2"/>
    <w:rsid w:val="141324ED"/>
    <w:rsid w:val="141C0F50"/>
    <w:rsid w:val="14320F5F"/>
    <w:rsid w:val="14D25167"/>
    <w:rsid w:val="15593F06"/>
    <w:rsid w:val="15AA6830"/>
    <w:rsid w:val="1635436B"/>
    <w:rsid w:val="165D5B5E"/>
    <w:rsid w:val="168A3F49"/>
    <w:rsid w:val="16DF591A"/>
    <w:rsid w:val="16E31C0B"/>
    <w:rsid w:val="172964AA"/>
    <w:rsid w:val="178F10EE"/>
    <w:rsid w:val="181226FE"/>
    <w:rsid w:val="18381785"/>
    <w:rsid w:val="18B049DC"/>
    <w:rsid w:val="18C27188"/>
    <w:rsid w:val="18DA72AF"/>
    <w:rsid w:val="1A353DDF"/>
    <w:rsid w:val="1A736AA5"/>
    <w:rsid w:val="1B1D7D58"/>
    <w:rsid w:val="1B9424B6"/>
    <w:rsid w:val="1BB90E2F"/>
    <w:rsid w:val="1BF578ED"/>
    <w:rsid w:val="1C0F4EF3"/>
    <w:rsid w:val="1CA67605"/>
    <w:rsid w:val="1CC7132A"/>
    <w:rsid w:val="1DD232FD"/>
    <w:rsid w:val="1E616EDA"/>
    <w:rsid w:val="1E6F1C79"/>
    <w:rsid w:val="1ED41446"/>
    <w:rsid w:val="1F4239E5"/>
    <w:rsid w:val="1FBF6FEE"/>
    <w:rsid w:val="20056454"/>
    <w:rsid w:val="200C6AB7"/>
    <w:rsid w:val="204916E9"/>
    <w:rsid w:val="21087CC2"/>
    <w:rsid w:val="22BB723B"/>
    <w:rsid w:val="22ED3C46"/>
    <w:rsid w:val="232030F2"/>
    <w:rsid w:val="236B0C61"/>
    <w:rsid w:val="23D7050C"/>
    <w:rsid w:val="24184D98"/>
    <w:rsid w:val="245D2432"/>
    <w:rsid w:val="24CC30D7"/>
    <w:rsid w:val="25F27417"/>
    <w:rsid w:val="261521EF"/>
    <w:rsid w:val="27231852"/>
    <w:rsid w:val="27FF406E"/>
    <w:rsid w:val="28BA6DF8"/>
    <w:rsid w:val="2927247D"/>
    <w:rsid w:val="2964687E"/>
    <w:rsid w:val="29826D04"/>
    <w:rsid w:val="29B22AEF"/>
    <w:rsid w:val="2A356347"/>
    <w:rsid w:val="2A9211C9"/>
    <w:rsid w:val="2AC20D54"/>
    <w:rsid w:val="2BD66135"/>
    <w:rsid w:val="2BFE2AAD"/>
    <w:rsid w:val="2C1F083A"/>
    <w:rsid w:val="2C212FF5"/>
    <w:rsid w:val="2D996322"/>
    <w:rsid w:val="2E0F569A"/>
    <w:rsid w:val="2E944C08"/>
    <w:rsid w:val="2F4E5288"/>
    <w:rsid w:val="2FF95846"/>
    <w:rsid w:val="2FF969A2"/>
    <w:rsid w:val="303C2A00"/>
    <w:rsid w:val="307412BD"/>
    <w:rsid w:val="30967BD0"/>
    <w:rsid w:val="30AC6302"/>
    <w:rsid w:val="30B91BDE"/>
    <w:rsid w:val="30BD0462"/>
    <w:rsid w:val="312266F8"/>
    <w:rsid w:val="31410782"/>
    <w:rsid w:val="317433D6"/>
    <w:rsid w:val="31AD4E87"/>
    <w:rsid w:val="326E4EA9"/>
    <w:rsid w:val="32AF191F"/>
    <w:rsid w:val="32B9127C"/>
    <w:rsid w:val="32BA12BD"/>
    <w:rsid w:val="332735E3"/>
    <w:rsid w:val="342436B9"/>
    <w:rsid w:val="346F257B"/>
    <w:rsid w:val="34800BB4"/>
    <w:rsid w:val="34AA1C54"/>
    <w:rsid w:val="34DA18F4"/>
    <w:rsid w:val="35457C23"/>
    <w:rsid w:val="35EA5C00"/>
    <w:rsid w:val="370D077E"/>
    <w:rsid w:val="3727713D"/>
    <w:rsid w:val="37535452"/>
    <w:rsid w:val="38B75215"/>
    <w:rsid w:val="39620E3D"/>
    <w:rsid w:val="397D3044"/>
    <w:rsid w:val="3A4852D1"/>
    <w:rsid w:val="3A5E4C24"/>
    <w:rsid w:val="3A81657B"/>
    <w:rsid w:val="3BF770DE"/>
    <w:rsid w:val="3C7B7D0F"/>
    <w:rsid w:val="3CD44366"/>
    <w:rsid w:val="3CEE35E3"/>
    <w:rsid w:val="3D2276A3"/>
    <w:rsid w:val="3DBA0A3B"/>
    <w:rsid w:val="3E3142F6"/>
    <w:rsid w:val="3E7569E0"/>
    <w:rsid w:val="3EFB7B87"/>
    <w:rsid w:val="3F786788"/>
    <w:rsid w:val="40267F92"/>
    <w:rsid w:val="402F6DFD"/>
    <w:rsid w:val="4061225A"/>
    <w:rsid w:val="406E0C01"/>
    <w:rsid w:val="41144EDB"/>
    <w:rsid w:val="411B561D"/>
    <w:rsid w:val="41452699"/>
    <w:rsid w:val="4162324B"/>
    <w:rsid w:val="41A322AB"/>
    <w:rsid w:val="41B63597"/>
    <w:rsid w:val="41E2438C"/>
    <w:rsid w:val="41E342F4"/>
    <w:rsid w:val="42485C84"/>
    <w:rsid w:val="4249440B"/>
    <w:rsid w:val="42E44134"/>
    <w:rsid w:val="42F061C2"/>
    <w:rsid w:val="43672ACF"/>
    <w:rsid w:val="43B41D58"/>
    <w:rsid w:val="44254A04"/>
    <w:rsid w:val="44307631"/>
    <w:rsid w:val="443F083F"/>
    <w:rsid w:val="44C63AF1"/>
    <w:rsid w:val="44D37AC5"/>
    <w:rsid w:val="454824AF"/>
    <w:rsid w:val="454F6FF3"/>
    <w:rsid w:val="45746242"/>
    <w:rsid w:val="457954B2"/>
    <w:rsid w:val="459301CC"/>
    <w:rsid w:val="45C97F9B"/>
    <w:rsid w:val="45D466E2"/>
    <w:rsid w:val="468C0A62"/>
    <w:rsid w:val="46D4186E"/>
    <w:rsid w:val="472109AF"/>
    <w:rsid w:val="47486A40"/>
    <w:rsid w:val="47723086"/>
    <w:rsid w:val="47B9154E"/>
    <w:rsid w:val="482C771C"/>
    <w:rsid w:val="48592ECE"/>
    <w:rsid w:val="48C62C1A"/>
    <w:rsid w:val="48EC5AF0"/>
    <w:rsid w:val="49492F43"/>
    <w:rsid w:val="49627492"/>
    <w:rsid w:val="49C64136"/>
    <w:rsid w:val="49E77D66"/>
    <w:rsid w:val="4A087397"/>
    <w:rsid w:val="4A0E3323"/>
    <w:rsid w:val="4A1E3B62"/>
    <w:rsid w:val="4B3043BA"/>
    <w:rsid w:val="4B4B11F4"/>
    <w:rsid w:val="4BAC18F7"/>
    <w:rsid w:val="4BFA0524"/>
    <w:rsid w:val="4C163633"/>
    <w:rsid w:val="4C545E87"/>
    <w:rsid w:val="4CE0771A"/>
    <w:rsid w:val="4D3B0DF4"/>
    <w:rsid w:val="4D5A74CD"/>
    <w:rsid w:val="4D5C13A9"/>
    <w:rsid w:val="4D6C0BAC"/>
    <w:rsid w:val="4D703B96"/>
    <w:rsid w:val="4D7D14FC"/>
    <w:rsid w:val="4DF23BA9"/>
    <w:rsid w:val="4E3B377F"/>
    <w:rsid w:val="4E6D53ED"/>
    <w:rsid w:val="4EA466A9"/>
    <w:rsid w:val="4ECC61A8"/>
    <w:rsid w:val="4F053468"/>
    <w:rsid w:val="4F0C0C9A"/>
    <w:rsid w:val="4F350E79"/>
    <w:rsid w:val="4F846223"/>
    <w:rsid w:val="505D5878"/>
    <w:rsid w:val="50714551"/>
    <w:rsid w:val="511A3F1B"/>
    <w:rsid w:val="515D2533"/>
    <w:rsid w:val="51864D34"/>
    <w:rsid w:val="520D5F6F"/>
    <w:rsid w:val="522C7380"/>
    <w:rsid w:val="52476283"/>
    <w:rsid w:val="526F57C8"/>
    <w:rsid w:val="528648C0"/>
    <w:rsid w:val="529E7E5B"/>
    <w:rsid w:val="52B0112F"/>
    <w:rsid w:val="52B44A3B"/>
    <w:rsid w:val="534377D4"/>
    <w:rsid w:val="53607807"/>
    <w:rsid w:val="53D968DD"/>
    <w:rsid w:val="543C792C"/>
    <w:rsid w:val="551E2CFB"/>
    <w:rsid w:val="55256688"/>
    <w:rsid w:val="558242D4"/>
    <w:rsid w:val="55DB6A46"/>
    <w:rsid w:val="56180467"/>
    <w:rsid w:val="56353A8A"/>
    <w:rsid w:val="567C3D18"/>
    <w:rsid w:val="56856487"/>
    <w:rsid w:val="569C5D15"/>
    <w:rsid w:val="57272B15"/>
    <w:rsid w:val="577675F9"/>
    <w:rsid w:val="5785783C"/>
    <w:rsid w:val="5853793A"/>
    <w:rsid w:val="589C728D"/>
    <w:rsid w:val="58A261CC"/>
    <w:rsid w:val="58EA204C"/>
    <w:rsid w:val="58F262D8"/>
    <w:rsid w:val="58F966C5"/>
    <w:rsid w:val="5956437E"/>
    <w:rsid w:val="59860D1C"/>
    <w:rsid w:val="59EE7B54"/>
    <w:rsid w:val="59FD55CB"/>
    <w:rsid w:val="5A6C083F"/>
    <w:rsid w:val="5AD50996"/>
    <w:rsid w:val="5AD52888"/>
    <w:rsid w:val="5AFA2321"/>
    <w:rsid w:val="5B35768C"/>
    <w:rsid w:val="5B60373C"/>
    <w:rsid w:val="5C4557FF"/>
    <w:rsid w:val="5C9C5D0F"/>
    <w:rsid w:val="5CEA2602"/>
    <w:rsid w:val="5DA46B0E"/>
    <w:rsid w:val="5E6C4DAC"/>
    <w:rsid w:val="5F952AF8"/>
    <w:rsid w:val="5FE855C2"/>
    <w:rsid w:val="60D723AE"/>
    <w:rsid w:val="61075F0B"/>
    <w:rsid w:val="615F4C5A"/>
    <w:rsid w:val="61A22D96"/>
    <w:rsid w:val="61BF54CF"/>
    <w:rsid w:val="624D53FA"/>
    <w:rsid w:val="63424833"/>
    <w:rsid w:val="634966A0"/>
    <w:rsid w:val="638257FD"/>
    <w:rsid w:val="63BF1977"/>
    <w:rsid w:val="63C4349A"/>
    <w:rsid w:val="63D44EA3"/>
    <w:rsid w:val="644660CC"/>
    <w:rsid w:val="64746C6E"/>
    <w:rsid w:val="64B74DAD"/>
    <w:rsid w:val="64D82B9E"/>
    <w:rsid w:val="65181CEF"/>
    <w:rsid w:val="65983943"/>
    <w:rsid w:val="65FC7FAD"/>
    <w:rsid w:val="66074640"/>
    <w:rsid w:val="66421187"/>
    <w:rsid w:val="66BB5028"/>
    <w:rsid w:val="66F967DD"/>
    <w:rsid w:val="675C73F3"/>
    <w:rsid w:val="67627252"/>
    <w:rsid w:val="67900263"/>
    <w:rsid w:val="679118E5"/>
    <w:rsid w:val="67BD092C"/>
    <w:rsid w:val="67E71DFF"/>
    <w:rsid w:val="682722B6"/>
    <w:rsid w:val="688A29D6"/>
    <w:rsid w:val="68B24209"/>
    <w:rsid w:val="68CA3301"/>
    <w:rsid w:val="691C19EC"/>
    <w:rsid w:val="69432A5A"/>
    <w:rsid w:val="69835085"/>
    <w:rsid w:val="69DB32EB"/>
    <w:rsid w:val="6A0B3BD1"/>
    <w:rsid w:val="6A1567FD"/>
    <w:rsid w:val="6A3146D6"/>
    <w:rsid w:val="6A3D7B02"/>
    <w:rsid w:val="6A6B40B7"/>
    <w:rsid w:val="6B863139"/>
    <w:rsid w:val="6C5D448C"/>
    <w:rsid w:val="6CBE00D1"/>
    <w:rsid w:val="6CC51CAE"/>
    <w:rsid w:val="6D602485"/>
    <w:rsid w:val="6E191C0E"/>
    <w:rsid w:val="6E337B9A"/>
    <w:rsid w:val="6ECF78C3"/>
    <w:rsid w:val="6EEA46FD"/>
    <w:rsid w:val="6EEB78A4"/>
    <w:rsid w:val="6F392F8E"/>
    <w:rsid w:val="6F955195"/>
    <w:rsid w:val="6F9E1043"/>
    <w:rsid w:val="6FCB4CA8"/>
    <w:rsid w:val="6FD14ACC"/>
    <w:rsid w:val="6FD9207B"/>
    <w:rsid w:val="6FEB7C99"/>
    <w:rsid w:val="703674CE"/>
    <w:rsid w:val="704610E1"/>
    <w:rsid w:val="706E310B"/>
    <w:rsid w:val="708C61B2"/>
    <w:rsid w:val="708D2E05"/>
    <w:rsid w:val="70FA499F"/>
    <w:rsid w:val="71312B87"/>
    <w:rsid w:val="713954C7"/>
    <w:rsid w:val="71FF26EE"/>
    <w:rsid w:val="7215478C"/>
    <w:rsid w:val="725B35FE"/>
    <w:rsid w:val="72A74A41"/>
    <w:rsid w:val="72C2773E"/>
    <w:rsid w:val="72C8775B"/>
    <w:rsid w:val="72FD15D0"/>
    <w:rsid w:val="73287FAC"/>
    <w:rsid w:val="732D105C"/>
    <w:rsid w:val="733221CE"/>
    <w:rsid w:val="736347E0"/>
    <w:rsid w:val="742D5978"/>
    <w:rsid w:val="742E484E"/>
    <w:rsid w:val="753C7334"/>
    <w:rsid w:val="755957C1"/>
    <w:rsid w:val="75803A5E"/>
    <w:rsid w:val="75D25EEA"/>
    <w:rsid w:val="76391C08"/>
    <w:rsid w:val="768371E5"/>
    <w:rsid w:val="76B33236"/>
    <w:rsid w:val="7715608F"/>
    <w:rsid w:val="771D540A"/>
    <w:rsid w:val="77AD276B"/>
    <w:rsid w:val="77B533CE"/>
    <w:rsid w:val="77E03EF4"/>
    <w:rsid w:val="78137B0E"/>
    <w:rsid w:val="788A2AAC"/>
    <w:rsid w:val="7908073B"/>
    <w:rsid w:val="79935991"/>
    <w:rsid w:val="79A116C3"/>
    <w:rsid w:val="79AB57AC"/>
    <w:rsid w:val="79F857F4"/>
    <w:rsid w:val="7A0863A1"/>
    <w:rsid w:val="7A212C0C"/>
    <w:rsid w:val="7AE964B3"/>
    <w:rsid w:val="7B0326A2"/>
    <w:rsid w:val="7B30793B"/>
    <w:rsid w:val="7B767318"/>
    <w:rsid w:val="7B793D39"/>
    <w:rsid w:val="7B825CBD"/>
    <w:rsid w:val="7C165FC6"/>
    <w:rsid w:val="7C3D3553"/>
    <w:rsid w:val="7C6453C2"/>
    <w:rsid w:val="7C9145F2"/>
    <w:rsid w:val="7CB508F1"/>
    <w:rsid w:val="7CD97B5E"/>
    <w:rsid w:val="7CF01C03"/>
    <w:rsid w:val="7D3F2B9B"/>
    <w:rsid w:val="7D934D6B"/>
    <w:rsid w:val="7D9D2053"/>
    <w:rsid w:val="7DE26424"/>
    <w:rsid w:val="7E0D6529"/>
    <w:rsid w:val="7EDE0F84"/>
    <w:rsid w:val="7F5E1DE2"/>
    <w:rsid w:val="7FF56A1E"/>
    <w:rsid w:val="7FFA40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1"/>
    <w:qFormat/>
    <w:uiPriority w:val="0"/>
    <w:pPr>
      <w:keepNext/>
      <w:keepLines/>
      <w:adjustRightInd w:val="0"/>
      <w:spacing w:before="160" w:after="160" w:line="160" w:lineRule="atLeast"/>
      <w:ind w:left="425" w:hanging="425"/>
      <w:outlineLvl w:val="0"/>
    </w:pPr>
    <w:rPr>
      <w:rFonts w:hint="eastAsia" w:ascii="黑体" w:hAnsi="Arial Unicode MS" w:eastAsia="黑体" w:cs="Arial Unicode MS"/>
      <w:kern w:val="44"/>
      <w:sz w:val="32"/>
      <w:szCs w:val="20"/>
    </w:rPr>
  </w:style>
  <w:style w:type="paragraph" w:styleId="2">
    <w:name w:val="heading 2"/>
    <w:basedOn w:val="1"/>
    <w:next w:val="1"/>
    <w:link w:val="52"/>
    <w:qFormat/>
    <w:uiPriority w:val="0"/>
    <w:pPr>
      <w:spacing w:before="260" w:after="260" w:line="416" w:lineRule="auto"/>
      <w:outlineLvl w:val="1"/>
    </w:pPr>
    <w:rPr>
      <w:rFonts w:ascii="Arial" w:hAnsi="Arial" w:eastAsia="黑体"/>
      <w:b/>
      <w:bCs/>
      <w:sz w:val="32"/>
      <w:szCs w:val="32"/>
    </w:rPr>
  </w:style>
  <w:style w:type="paragraph" w:styleId="4">
    <w:name w:val="heading 3"/>
    <w:basedOn w:val="1"/>
    <w:next w:val="1"/>
    <w:link w:val="53"/>
    <w:qFormat/>
    <w:uiPriority w:val="0"/>
    <w:pPr>
      <w:keepNext/>
      <w:keepLines/>
      <w:adjustRightInd w:val="0"/>
      <w:spacing w:before="160" w:after="160" w:line="160" w:lineRule="atLeast"/>
      <w:ind w:left="851" w:hanging="425"/>
      <w:outlineLvl w:val="2"/>
    </w:pPr>
    <w:rPr>
      <w:rFonts w:hint="eastAsia" w:ascii="黑体" w:hAnsi="Arial Unicode MS" w:eastAsia="黑体" w:cs="Arial Unicode MS"/>
      <w:kern w:val="0"/>
      <w:sz w:val="28"/>
      <w:szCs w:val="20"/>
    </w:rPr>
  </w:style>
  <w:style w:type="paragraph" w:styleId="5">
    <w:name w:val="heading 4"/>
    <w:basedOn w:val="1"/>
    <w:next w:val="1"/>
    <w:link w:val="54"/>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link w:val="55"/>
    <w:qFormat/>
    <w:uiPriority w:val="0"/>
    <w:pPr>
      <w:keepNext/>
      <w:keepLines/>
      <w:spacing w:before="280" w:after="290" w:line="376" w:lineRule="auto"/>
      <w:outlineLvl w:val="4"/>
    </w:pPr>
    <w:rPr>
      <w:b/>
      <w:bCs/>
      <w:sz w:val="28"/>
      <w:szCs w:val="28"/>
    </w:rPr>
  </w:style>
  <w:style w:type="paragraph" w:styleId="8">
    <w:name w:val="heading 6"/>
    <w:basedOn w:val="1"/>
    <w:next w:val="1"/>
    <w:link w:val="56"/>
    <w:qFormat/>
    <w:uiPriority w:val="0"/>
    <w:pPr>
      <w:keepNext/>
      <w:keepLines/>
      <w:widowControl/>
      <w:spacing w:before="240" w:after="64" w:line="320" w:lineRule="auto"/>
      <w:jc w:val="left"/>
      <w:outlineLvl w:val="5"/>
    </w:pPr>
    <w:rPr>
      <w:rFonts w:ascii="Arial" w:hAnsi="Arial" w:cs="宋体"/>
      <w:b/>
      <w:bCs/>
      <w:kern w:val="0"/>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8"/>
    <w:qFormat/>
    <w:uiPriority w:val="0"/>
    <w:pPr>
      <w:ind w:firstLine="420"/>
    </w:pPr>
    <w:rPr>
      <w:rFonts w:asciiTheme="minorHAnsi" w:hAnsiTheme="minorHAnsi" w:cstheme="minorBidi"/>
      <w:szCs w:val="22"/>
    </w:rPr>
  </w:style>
  <w:style w:type="paragraph" w:styleId="9">
    <w:name w:val="toc 7"/>
    <w:basedOn w:val="1"/>
    <w:next w:val="1"/>
    <w:qFormat/>
    <w:uiPriority w:val="0"/>
    <w:pPr>
      <w:ind w:left="2520" w:leftChars="1200"/>
    </w:pPr>
  </w:style>
  <w:style w:type="paragraph" w:styleId="10">
    <w:name w:val="index 8"/>
    <w:basedOn w:val="1"/>
    <w:next w:val="1"/>
    <w:qFormat/>
    <w:uiPriority w:val="0"/>
    <w:pPr>
      <w:ind w:left="3920" w:leftChars="1400"/>
    </w:pPr>
  </w:style>
  <w:style w:type="paragraph" w:styleId="11">
    <w:name w:val="List Bullet"/>
    <w:basedOn w:val="1"/>
    <w:qFormat/>
    <w:uiPriority w:val="0"/>
    <w:pPr>
      <w:adjustRightInd w:val="0"/>
      <w:snapToGrid w:val="0"/>
      <w:spacing w:line="360" w:lineRule="auto"/>
    </w:pPr>
    <w:rPr>
      <w:snapToGrid w:val="0"/>
      <w:kern w:val="0"/>
      <w:sz w:val="24"/>
      <w:szCs w:val="20"/>
    </w:rPr>
  </w:style>
  <w:style w:type="paragraph" w:styleId="12">
    <w:name w:val="toa heading"/>
    <w:basedOn w:val="1"/>
    <w:next w:val="1"/>
    <w:qFormat/>
    <w:uiPriority w:val="0"/>
    <w:pPr>
      <w:spacing w:before="120"/>
    </w:pPr>
    <w:rPr>
      <w:rFonts w:ascii="Cambria" w:hAnsi="Cambria"/>
      <w:sz w:val="24"/>
      <w:szCs w:val="24"/>
    </w:rPr>
  </w:style>
  <w:style w:type="paragraph" w:styleId="13">
    <w:name w:val="annotation text"/>
    <w:basedOn w:val="1"/>
    <w:unhideWhenUsed/>
    <w:qFormat/>
    <w:uiPriority w:val="99"/>
    <w:pPr>
      <w:jc w:val="left"/>
    </w:pPr>
  </w:style>
  <w:style w:type="paragraph" w:styleId="14">
    <w:name w:val="Body Text"/>
    <w:basedOn w:val="1"/>
    <w:next w:val="1"/>
    <w:link w:val="71"/>
    <w:qFormat/>
    <w:uiPriority w:val="0"/>
    <w:pPr>
      <w:spacing w:after="120"/>
    </w:pPr>
    <w:rPr>
      <w:rFonts w:asciiTheme="minorHAnsi" w:hAnsiTheme="minorHAnsi" w:cstheme="minorBidi"/>
    </w:rPr>
  </w:style>
  <w:style w:type="paragraph" w:styleId="15">
    <w:name w:val="Body Text Indent"/>
    <w:basedOn w:val="1"/>
    <w:next w:val="16"/>
    <w:link w:val="73"/>
    <w:qFormat/>
    <w:uiPriority w:val="0"/>
    <w:pPr>
      <w:ind w:firstLine="640" w:firstLineChars="200"/>
    </w:pPr>
    <w:rPr>
      <w:sz w:val="32"/>
    </w:rPr>
  </w:style>
  <w:style w:type="paragraph" w:styleId="16">
    <w:name w:val="envelope return"/>
    <w:basedOn w:val="1"/>
    <w:qFormat/>
    <w:uiPriority w:val="0"/>
    <w:pPr>
      <w:snapToGrid w:val="0"/>
    </w:pPr>
    <w:rPr>
      <w:rFonts w:ascii="Arial" w:hAnsi="Arial"/>
    </w:rPr>
  </w:style>
  <w:style w:type="paragraph" w:styleId="17">
    <w:name w:val="toc 5"/>
    <w:basedOn w:val="1"/>
    <w:next w:val="1"/>
    <w:qFormat/>
    <w:uiPriority w:val="0"/>
    <w:pPr>
      <w:ind w:left="1680" w:leftChars="800"/>
    </w:pPr>
  </w:style>
  <w:style w:type="paragraph" w:styleId="18">
    <w:name w:val="toc 3"/>
    <w:basedOn w:val="1"/>
    <w:next w:val="1"/>
    <w:qFormat/>
    <w:uiPriority w:val="0"/>
    <w:pPr>
      <w:ind w:left="840" w:leftChars="400"/>
    </w:pPr>
  </w:style>
  <w:style w:type="paragraph" w:styleId="19">
    <w:name w:val="Plain Text"/>
    <w:basedOn w:val="1"/>
    <w:link w:val="66"/>
    <w:qFormat/>
    <w:uiPriority w:val="0"/>
    <w:rPr>
      <w:rFonts w:ascii="宋体" w:hAnsi="Courier New"/>
      <w:szCs w:val="20"/>
    </w:rPr>
  </w:style>
  <w:style w:type="paragraph" w:styleId="20">
    <w:name w:val="toc 8"/>
    <w:basedOn w:val="1"/>
    <w:next w:val="1"/>
    <w:qFormat/>
    <w:uiPriority w:val="0"/>
    <w:pPr>
      <w:ind w:left="2940" w:leftChars="1400"/>
    </w:pPr>
  </w:style>
  <w:style w:type="paragraph" w:styleId="21">
    <w:name w:val="Date"/>
    <w:basedOn w:val="1"/>
    <w:next w:val="1"/>
    <w:link w:val="70"/>
    <w:qFormat/>
    <w:uiPriority w:val="0"/>
    <w:pPr>
      <w:ind w:left="100" w:leftChars="2500"/>
    </w:pPr>
  </w:style>
  <w:style w:type="paragraph" w:styleId="22">
    <w:name w:val="Body Text Indent 2"/>
    <w:basedOn w:val="1"/>
    <w:link w:val="72"/>
    <w:qFormat/>
    <w:uiPriority w:val="0"/>
    <w:pPr>
      <w:spacing w:line="560" w:lineRule="exact"/>
      <w:ind w:firstLine="560" w:firstLineChars="200"/>
    </w:pPr>
    <w:rPr>
      <w:rFonts w:ascii="宋体" w:hAnsi="宋体"/>
      <w:bCs/>
      <w:color w:val="000000"/>
      <w:sz w:val="28"/>
    </w:rPr>
  </w:style>
  <w:style w:type="paragraph" w:styleId="23">
    <w:name w:val="Balloon Text"/>
    <w:basedOn w:val="1"/>
    <w:link w:val="103"/>
    <w:semiHidden/>
    <w:unhideWhenUsed/>
    <w:qFormat/>
    <w:uiPriority w:val="99"/>
    <w:rPr>
      <w:sz w:val="18"/>
      <w:szCs w:val="18"/>
    </w:rPr>
  </w:style>
  <w:style w:type="paragraph" w:styleId="24">
    <w:name w:val="footer"/>
    <w:basedOn w:val="1"/>
    <w:link w:val="50"/>
    <w:unhideWhenUsed/>
    <w:qFormat/>
    <w:uiPriority w:val="0"/>
    <w:pPr>
      <w:tabs>
        <w:tab w:val="center" w:pos="4153"/>
        <w:tab w:val="right" w:pos="8306"/>
      </w:tabs>
      <w:snapToGrid w:val="0"/>
      <w:jc w:val="left"/>
    </w:pPr>
    <w:rPr>
      <w:sz w:val="18"/>
      <w:szCs w:val="18"/>
    </w:rPr>
  </w:style>
  <w:style w:type="paragraph" w:styleId="25">
    <w:name w:val="header"/>
    <w:basedOn w:val="1"/>
    <w:link w:val="49"/>
    <w:unhideWhenUsed/>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0"/>
  </w:style>
  <w:style w:type="paragraph" w:styleId="27">
    <w:name w:val="toc 4"/>
    <w:basedOn w:val="1"/>
    <w:next w:val="1"/>
    <w:qFormat/>
    <w:uiPriority w:val="0"/>
    <w:pPr>
      <w:ind w:left="1260" w:leftChars="600"/>
    </w:pPr>
  </w:style>
  <w:style w:type="paragraph" w:styleId="28">
    <w:name w:val="Subtitle"/>
    <w:basedOn w:val="1"/>
    <w:next w:val="1"/>
    <w:link w:val="113"/>
    <w:qFormat/>
    <w:uiPriority w:val="0"/>
    <w:pPr>
      <w:spacing w:before="240" w:after="60" w:line="312" w:lineRule="auto"/>
      <w:jc w:val="center"/>
      <w:outlineLvl w:val="1"/>
    </w:pPr>
    <w:rPr>
      <w:rFonts w:ascii="Cambria" w:hAnsi="Cambria"/>
      <w:b/>
      <w:bCs/>
      <w:kern w:val="28"/>
      <w:sz w:val="32"/>
      <w:szCs w:val="32"/>
    </w:rPr>
  </w:style>
  <w:style w:type="paragraph" w:styleId="29">
    <w:name w:val="List"/>
    <w:basedOn w:val="1"/>
    <w:qFormat/>
    <w:uiPriority w:val="0"/>
    <w:pPr>
      <w:ind w:left="420" w:hanging="420"/>
    </w:pPr>
  </w:style>
  <w:style w:type="paragraph" w:styleId="30">
    <w:name w:val="footnote text"/>
    <w:basedOn w:val="1"/>
    <w:semiHidden/>
    <w:unhideWhenUsed/>
    <w:qFormat/>
    <w:uiPriority w:val="99"/>
    <w:pPr>
      <w:snapToGrid w:val="0"/>
      <w:jc w:val="left"/>
    </w:pPr>
    <w:rPr>
      <w:sz w:val="18"/>
      <w:szCs w:val="18"/>
    </w:rPr>
  </w:style>
  <w:style w:type="paragraph" w:styleId="31">
    <w:name w:val="toc 6"/>
    <w:basedOn w:val="1"/>
    <w:next w:val="1"/>
    <w:qFormat/>
    <w:uiPriority w:val="0"/>
    <w:pPr>
      <w:ind w:left="2100" w:leftChars="1000"/>
    </w:pPr>
  </w:style>
  <w:style w:type="paragraph" w:styleId="32">
    <w:name w:val="Body Text Indent 3"/>
    <w:basedOn w:val="1"/>
    <w:link w:val="69"/>
    <w:qFormat/>
    <w:uiPriority w:val="0"/>
    <w:pPr>
      <w:spacing w:after="120"/>
      <w:ind w:left="420" w:leftChars="200"/>
    </w:pPr>
    <w:rPr>
      <w:sz w:val="16"/>
      <w:szCs w:val="16"/>
    </w:rPr>
  </w:style>
  <w:style w:type="paragraph" w:styleId="33">
    <w:name w:val="toc 2"/>
    <w:basedOn w:val="1"/>
    <w:next w:val="1"/>
    <w:qFormat/>
    <w:uiPriority w:val="0"/>
    <w:pPr>
      <w:ind w:left="420" w:leftChars="200"/>
    </w:pPr>
  </w:style>
  <w:style w:type="paragraph" w:styleId="34">
    <w:name w:val="toc 9"/>
    <w:basedOn w:val="1"/>
    <w:next w:val="1"/>
    <w:qFormat/>
    <w:uiPriority w:val="0"/>
    <w:pPr>
      <w:ind w:left="3360" w:leftChars="1600"/>
    </w:pPr>
  </w:style>
  <w:style w:type="paragraph" w:styleId="35">
    <w:name w:val="HTML Preformatted"/>
    <w:basedOn w:val="1"/>
    <w:link w:val="6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6">
    <w:name w:val="Normal (Web)"/>
    <w:basedOn w:val="1"/>
    <w:semiHidden/>
    <w:unhideWhenUsed/>
    <w:qFormat/>
    <w:uiPriority w:val="99"/>
    <w:pPr>
      <w:spacing w:beforeAutospacing="1" w:afterAutospacing="1"/>
      <w:jc w:val="left"/>
    </w:pPr>
    <w:rPr>
      <w:kern w:val="0"/>
      <w:sz w:val="24"/>
    </w:rPr>
  </w:style>
  <w:style w:type="paragraph" w:styleId="37">
    <w:name w:val="Body Text First Indent"/>
    <w:basedOn w:val="14"/>
    <w:next w:val="38"/>
    <w:qFormat/>
    <w:uiPriority w:val="0"/>
    <w:pPr>
      <w:ind w:firstLine="420" w:firstLineChars="100"/>
    </w:pPr>
  </w:style>
  <w:style w:type="paragraph" w:styleId="38">
    <w:name w:val="Body Text First Indent 2"/>
    <w:basedOn w:val="15"/>
    <w:next w:val="37"/>
    <w:qFormat/>
    <w:uiPriority w:val="0"/>
    <w:pPr>
      <w:ind w:firstLine="420"/>
    </w:p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0"/>
  </w:style>
  <w:style w:type="character" w:styleId="44">
    <w:name w:val="FollowedHyperlink"/>
    <w:basedOn w:val="41"/>
    <w:semiHidden/>
    <w:unhideWhenUsed/>
    <w:qFormat/>
    <w:uiPriority w:val="99"/>
    <w:rPr>
      <w:rFonts w:hint="eastAsia" w:ascii="微软雅黑" w:hAnsi="微软雅黑" w:eastAsia="微软雅黑" w:cs="微软雅黑"/>
      <w:color w:val="02396F"/>
      <w:u w:val="single"/>
    </w:rPr>
  </w:style>
  <w:style w:type="character" w:styleId="45">
    <w:name w:val="Emphasis"/>
    <w:qFormat/>
    <w:uiPriority w:val="0"/>
    <w:rPr>
      <w:i/>
    </w:rPr>
  </w:style>
  <w:style w:type="character" w:styleId="46">
    <w:name w:val="Hyperlink"/>
    <w:basedOn w:val="41"/>
    <w:qFormat/>
    <w:uiPriority w:val="0"/>
    <w:rPr>
      <w:rFonts w:hint="eastAsia" w:ascii="微软雅黑" w:hAnsi="微软雅黑" w:eastAsia="微软雅黑" w:cs="微软雅黑"/>
      <w:color w:val="02396F"/>
      <w:u w:val="single"/>
    </w:rPr>
  </w:style>
  <w:style w:type="character" w:styleId="47">
    <w:name w:val="footnote reference"/>
    <w:basedOn w:val="41"/>
    <w:semiHidden/>
    <w:unhideWhenUsed/>
    <w:qFormat/>
    <w:uiPriority w:val="99"/>
    <w:rPr>
      <w:vertAlign w:val="superscript"/>
    </w:rPr>
  </w:style>
  <w:style w:type="paragraph" w:customStyle="1" w:styleId="48">
    <w:name w:val="Style1"/>
    <w:basedOn w:val="1"/>
    <w:qFormat/>
    <w:uiPriority w:val="0"/>
    <w:pPr>
      <w:widowControl/>
      <w:tabs>
        <w:tab w:val="left" w:pos="-720"/>
      </w:tabs>
      <w:spacing w:after="120"/>
    </w:pPr>
    <w:rPr>
      <w:spacing w:val="-3"/>
      <w:kern w:val="0"/>
      <w:sz w:val="24"/>
      <w:szCs w:val="20"/>
      <w:lang w:val="en-AU" w:eastAsia="en-US"/>
    </w:rPr>
  </w:style>
  <w:style w:type="character" w:customStyle="1" w:styleId="49">
    <w:name w:val="页眉 字符"/>
    <w:basedOn w:val="41"/>
    <w:link w:val="25"/>
    <w:semiHidden/>
    <w:qFormat/>
    <w:uiPriority w:val="99"/>
    <w:rPr>
      <w:sz w:val="18"/>
      <w:szCs w:val="18"/>
    </w:rPr>
  </w:style>
  <w:style w:type="character" w:customStyle="1" w:styleId="50">
    <w:name w:val="页脚 字符"/>
    <w:basedOn w:val="41"/>
    <w:link w:val="24"/>
    <w:semiHidden/>
    <w:qFormat/>
    <w:uiPriority w:val="99"/>
    <w:rPr>
      <w:sz w:val="18"/>
      <w:szCs w:val="18"/>
    </w:rPr>
  </w:style>
  <w:style w:type="character" w:customStyle="1" w:styleId="51">
    <w:name w:val="标题 1 字符"/>
    <w:basedOn w:val="41"/>
    <w:link w:val="3"/>
    <w:qFormat/>
    <w:uiPriority w:val="0"/>
    <w:rPr>
      <w:rFonts w:ascii="黑体" w:hAnsi="Arial Unicode MS" w:eastAsia="黑体" w:cs="Arial Unicode MS"/>
      <w:kern w:val="44"/>
      <w:sz w:val="32"/>
      <w:szCs w:val="20"/>
    </w:rPr>
  </w:style>
  <w:style w:type="character" w:customStyle="1" w:styleId="52">
    <w:name w:val="标题 2 字符"/>
    <w:basedOn w:val="41"/>
    <w:link w:val="2"/>
    <w:qFormat/>
    <w:uiPriority w:val="0"/>
    <w:rPr>
      <w:rFonts w:ascii="Arial" w:hAnsi="Arial" w:eastAsia="黑体" w:cs="Times New Roman"/>
      <w:b/>
      <w:bCs/>
      <w:sz w:val="32"/>
      <w:szCs w:val="32"/>
    </w:rPr>
  </w:style>
  <w:style w:type="character" w:customStyle="1" w:styleId="53">
    <w:name w:val="标题 3 字符"/>
    <w:basedOn w:val="41"/>
    <w:link w:val="4"/>
    <w:qFormat/>
    <w:uiPriority w:val="0"/>
    <w:rPr>
      <w:rFonts w:ascii="黑体" w:hAnsi="Arial Unicode MS" w:eastAsia="黑体" w:cs="Arial Unicode MS"/>
      <w:kern w:val="0"/>
      <w:sz w:val="28"/>
      <w:szCs w:val="20"/>
    </w:rPr>
  </w:style>
  <w:style w:type="character" w:customStyle="1" w:styleId="54">
    <w:name w:val="标题 4 字符"/>
    <w:basedOn w:val="41"/>
    <w:link w:val="5"/>
    <w:qFormat/>
    <w:uiPriority w:val="0"/>
    <w:rPr>
      <w:rFonts w:ascii="Arial" w:hAnsi="Arial" w:eastAsia="黑体" w:cs="Times New Roman"/>
      <w:b/>
      <w:bCs/>
      <w:sz w:val="28"/>
      <w:szCs w:val="28"/>
    </w:rPr>
  </w:style>
  <w:style w:type="character" w:customStyle="1" w:styleId="55">
    <w:name w:val="标题 5 字符"/>
    <w:basedOn w:val="41"/>
    <w:link w:val="6"/>
    <w:qFormat/>
    <w:uiPriority w:val="0"/>
    <w:rPr>
      <w:rFonts w:ascii="Times New Roman" w:hAnsi="Times New Roman" w:eastAsia="宋体" w:cs="Times New Roman"/>
      <w:b/>
      <w:bCs/>
      <w:sz w:val="28"/>
      <w:szCs w:val="28"/>
    </w:rPr>
  </w:style>
  <w:style w:type="character" w:customStyle="1" w:styleId="56">
    <w:name w:val="标题 6 字符"/>
    <w:basedOn w:val="41"/>
    <w:link w:val="8"/>
    <w:qFormat/>
    <w:uiPriority w:val="0"/>
    <w:rPr>
      <w:rFonts w:ascii="Arial" w:hAnsi="Arial" w:eastAsia="宋体" w:cs="宋体"/>
      <w:b/>
      <w:bCs/>
      <w:kern w:val="0"/>
      <w:szCs w:val="24"/>
    </w:rPr>
  </w:style>
  <w:style w:type="character" w:customStyle="1" w:styleId="57">
    <w:name w:val="ca-9"/>
    <w:basedOn w:val="41"/>
    <w:qFormat/>
    <w:uiPriority w:val="0"/>
  </w:style>
  <w:style w:type="character" w:customStyle="1" w:styleId="58">
    <w:name w:val="正文缩进 字符"/>
    <w:basedOn w:val="41"/>
    <w:link w:val="7"/>
    <w:qFormat/>
    <w:uiPriority w:val="0"/>
    <w:rPr>
      <w:rFonts w:eastAsia="宋体"/>
    </w:rPr>
  </w:style>
  <w:style w:type="character" w:customStyle="1" w:styleId="59">
    <w:name w:val="ca-6"/>
    <w:basedOn w:val="41"/>
    <w:qFormat/>
    <w:uiPriority w:val="0"/>
  </w:style>
  <w:style w:type="character" w:customStyle="1" w:styleId="60">
    <w:name w:val="正文文本 Char"/>
    <w:basedOn w:val="41"/>
    <w:qFormat/>
    <w:uiPriority w:val="0"/>
    <w:rPr>
      <w:rFonts w:eastAsia="宋体"/>
      <w:szCs w:val="24"/>
    </w:rPr>
  </w:style>
  <w:style w:type="paragraph" w:customStyle="1" w:styleId="61">
    <w:name w:val="Char"/>
    <w:basedOn w:val="1"/>
    <w:qFormat/>
    <w:uiPriority w:val="0"/>
    <w:pPr>
      <w:widowControl/>
      <w:spacing w:after="160" w:line="240" w:lineRule="exact"/>
      <w:jc w:val="left"/>
    </w:pPr>
  </w:style>
  <w:style w:type="paragraph" w:customStyle="1" w:styleId="62">
    <w:name w:val="pa-12"/>
    <w:basedOn w:val="1"/>
    <w:qFormat/>
    <w:uiPriority w:val="0"/>
    <w:pPr>
      <w:widowControl/>
      <w:spacing w:before="150" w:after="150"/>
      <w:jc w:val="left"/>
    </w:pPr>
    <w:rPr>
      <w:rFonts w:ascii="宋体" w:hAnsi="宋体" w:cs="宋体"/>
      <w:kern w:val="0"/>
      <w:sz w:val="24"/>
    </w:rPr>
  </w:style>
  <w:style w:type="paragraph" w:customStyle="1" w:styleId="63">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64">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65">
    <w:name w:val="Default Text:1"/>
    <w:basedOn w:val="1"/>
    <w:qFormat/>
    <w:uiPriority w:val="0"/>
    <w:pPr>
      <w:widowControl/>
      <w:overflowPunct w:val="0"/>
      <w:autoSpaceDE w:val="0"/>
      <w:autoSpaceDN w:val="0"/>
      <w:adjustRightInd w:val="0"/>
      <w:jc w:val="left"/>
      <w:textAlignment w:val="baseline"/>
    </w:pPr>
    <w:rPr>
      <w:kern w:val="0"/>
      <w:sz w:val="24"/>
      <w:szCs w:val="20"/>
    </w:rPr>
  </w:style>
  <w:style w:type="character" w:customStyle="1" w:styleId="66">
    <w:name w:val="纯文本 字符"/>
    <w:basedOn w:val="41"/>
    <w:link w:val="19"/>
    <w:qFormat/>
    <w:uiPriority w:val="0"/>
    <w:rPr>
      <w:rFonts w:ascii="宋体" w:hAnsi="Courier New" w:eastAsia="宋体" w:cs="Times New Roman"/>
      <w:szCs w:val="20"/>
    </w:rPr>
  </w:style>
  <w:style w:type="character" w:customStyle="1" w:styleId="67">
    <w:name w:val="HTML 预设格式 字符"/>
    <w:basedOn w:val="41"/>
    <w:link w:val="35"/>
    <w:qFormat/>
    <w:uiPriority w:val="0"/>
    <w:rPr>
      <w:rFonts w:ascii="宋体" w:hAnsi="宋体" w:eastAsia="宋体" w:cs="宋体"/>
      <w:kern w:val="0"/>
      <w:sz w:val="24"/>
      <w:szCs w:val="24"/>
    </w:rPr>
  </w:style>
  <w:style w:type="paragraph" w:customStyle="1" w:styleId="68">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character" w:customStyle="1" w:styleId="69">
    <w:name w:val="正文文本缩进 3 字符"/>
    <w:basedOn w:val="41"/>
    <w:link w:val="32"/>
    <w:qFormat/>
    <w:uiPriority w:val="0"/>
    <w:rPr>
      <w:rFonts w:ascii="Times New Roman" w:hAnsi="Times New Roman" w:eastAsia="宋体" w:cs="Times New Roman"/>
      <w:sz w:val="16"/>
      <w:szCs w:val="16"/>
    </w:rPr>
  </w:style>
  <w:style w:type="character" w:customStyle="1" w:styleId="70">
    <w:name w:val="日期 字符"/>
    <w:basedOn w:val="41"/>
    <w:link w:val="21"/>
    <w:qFormat/>
    <w:uiPriority w:val="0"/>
    <w:rPr>
      <w:rFonts w:ascii="Times New Roman" w:hAnsi="Times New Roman" w:eastAsia="宋体" w:cs="Times New Roman"/>
      <w:szCs w:val="24"/>
    </w:rPr>
  </w:style>
  <w:style w:type="character" w:customStyle="1" w:styleId="71">
    <w:name w:val="正文文本 字符"/>
    <w:basedOn w:val="41"/>
    <w:link w:val="14"/>
    <w:semiHidden/>
    <w:qFormat/>
    <w:uiPriority w:val="99"/>
    <w:rPr>
      <w:rFonts w:ascii="Times New Roman" w:hAnsi="Times New Roman" w:eastAsia="宋体" w:cs="Times New Roman"/>
      <w:szCs w:val="24"/>
    </w:rPr>
  </w:style>
  <w:style w:type="character" w:customStyle="1" w:styleId="72">
    <w:name w:val="正文文本缩进 2 字符"/>
    <w:basedOn w:val="41"/>
    <w:link w:val="22"/>
    <w:qFormat/>
    <w:uiPriority w:val="0"/>
    <w:rPr>
      <w:rFonts w:ascii="宋体" w:hAnsi="宋体" w:eastAsia="宋体" w:cs="Times New Roman"/>
      <w:bCs/>
      <w:color w:val="000000"/>
      <w:sz w:val="28"/>
      <w:szCs w:val="24"/>
    </w:rPr>
  </w:style>
  <w:style w:type="character" w:customStyle="1" w:styleId="73">
    <w:name w:val="正文文本缩进 字符"/>
    <w:basedOn w:val="41"/>
    <w:link w:val="15"/>
    <w:qFormat/>
    <w:uiPriority w:val="0"/>
    <w:rPr>
      <w:rFonts w:ascii="Times New Roman" w:hAnsi="Times New Roman" w:eastAsia="宋体" w:cs="Times New Roman"/>
      <w:sz w:val="32"/>
      <w:szCs w:val="24"/>
    </w:rPr>
  </w:style>
  <w:style w:type="paragraph" w:customStyle="1" w:styleId="74">
    <w:name w:val="_Style 16"/>
    <w:basedOn w:val="1"/>
    <w:next w:val="19"/>
    <w:qFormat/>
    <w:uiPriority w:val="0"/>
    <w:rPr>
      <w:rFonts w:ascii="宋体" w:hAnsi="Courier New"/>
      <w:szCs w:val="20"/>
    </w:rPr>
  </w:style>
  <w:style w:type="paragraph" w:customStyle="1" w:styleId="75">
    <w:name w:val="Default Tex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76">
    <w:name w:val="¨¨¡À¨º???¡À?"/>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77">
    <w:name w:val="words"/>
    <w:basedOn w:val="1"/>
    <w:qFormat/>
    <w:uiPriority w:val="0"/>
    <w:pPr>
      <w:widowControl/>
      <w:spacing w:line="240" w:lineRule="atLeast"/>
      <w:jc w:val="left"/>
    </w:pPr>
    <w:rPr>
      <w:rFonts w:ascii="ˎ̥" w:hAnsi="ˎ̥" w:cs="宋体"/>
      <w:color w:val="333333"/>
      <w:kern w:val="0"/>
      <w:sz w:val="14"/>
      <w:szCs w:val="14"/>
    </w:rPr>
  </w:style>
  <w:style w:type="character" w:customStyle="1" w:styleId="78">
    <w:name w:val="ca-1"/>
    <w:qFormat/>
    <w:uiPriority w:val="0"/>
  </w:style>
  <w:style w:type="paragraph" w:styleId="79">
    <w:name w:val="List Paragraph"/>
    <w:basedOn w:val="1"/>
    <w:qFormat/>
    <w:uiPriority w:val="34"/>
    <w:pPr>
      <w:ind w:firstLine="420" w:firstLineChars="200"/>
    </w:pPr>
  </w:style>
  <w:style w:type="character" w:customStyle="1" w:styleId="80">
    <w:name w:val="qxdate"/>
    <w:basedOn w:val="41"/>
    <w:qFormat/>
    <w:uiPriority w:val="0"/>
    <w:rPr>
      <w:color w:val="333333"/>
      <w:sz w:val="12"/>
      <w:szCs w:val="12"/>
    </w:rPr>
  </w:style>
  <w:style w:type="character" w:customStyle="1" w:styleId="81">
    <w:name w:val="redfilefwwh"/>
    <w:basedOn w:val="41"/>
    <w:qFormat/>
    <w:uiPriority w:val="0"/>
    <w:rPr>
      <w:color w:val="BA2636"/>
      <w:sz w:val="12"/>
      <w:szCs w:val="12"/>
    </w:rPr>
  </w:style>
  <w:style w:type="character" w:customStyle="1" w:styleId="82">
    <w:name w:val="next"/>
    <w:basedOn w:val="41"/>
    <w:qFormat/>
    <w:uiPriority w:val="0"/>
    <w:rPr>
      <w:rFonts w:ascii="微软雅黑" w:hAnsi="微软雅黑" w:eastAsia="微软雅黑" w:cs="微软雅黑"/>
      <w:sz w:val="14"/>
      <w:szCs w:val="14"/>
    </w:rPr>
  </w:style>
  <w:style w:type="character" w:customStyle="1" w:styleId="83">
    <w:name w:val="cfdate"/>
    <w:basedOn w:val="41"/>
    <w:qFormat/>
    <w:uiPriority w:val="0"/>
    <w:rPr>
      <w:color w:val="333333"/>
      <w:sz w:val="12"/>
      <w:szCs w:val="12"/>
    </w:rPr>
  </w:style>
  <w:style w:type="character" w:customStyle="1" w:styleId="84">
    <w:name w:val="redfilenumber"/>
    <w:basedOn w:val="41"/>
    <w:qFormat/>
    <w:uiPriority w:val="0"/>
    <w:rPr>
      <w:color w:val="BA2636"/>
      <w:sz w:val="12"/>
      <w:szCs w:val="12"/>
    </w:rPr>
  </w:style>
  <w:style w:type="character" w:customStyle="1" w:styleId="85">
    <w:name w:val="gjfg"/>
    <w:basedOn w:val="41"/>
    <w:qFormat/>
    <w:uiPriority w:val="0"/>
  </w:style>
  <w:style w:type="character" w:customStyle="1" w:styleId="86">
    <w:name w:val="displayarti"/>
    <w:basedOn w:val="41"/>
    <w:qFormat/>
    <w:uiPriority w:val="0"/>
    <w:rPr>
      <w:color w:val="FFFFFF"/>
      <w:shd w:val="clear" w:color="auto" w:fill="A00000"/>
    </w:rPr>
  </w:style>
  <w:style w:type="character" w:customStyle="1" w:styleId="87">
    <w:name w:val="prev2"/>
    <w:basedOn w:val="41"/>
    <w:qFormat/>
    <w:uiPriority w:val="0"/>
    <w:rPr>
      <w:rFonts w:hint="eastAsia" w:ascii="微软雅黑" w:hAnsi="微软雅黑" w:eastAsia="微软雅黑" w:cs="微软雅黑"/>
      <w:sz w:val="14"/>
      <w:szCs w:val="14"/>
    </w:rPr>
  </w:style>
  <w:style w:type="character" w:customStyle="1" w:styleId="88">
    <w:name w:val="prev3"/>
    <w:basedOn w:val="41"/>
    <w:qFormat/>
    <w:uiPriority w:val="0"/>
    <w:rPr>
      <w:color w:val="888888"/>
    </w:rPr>
  </w:style>
  <w:style w:type="character" w:customStyle="1" w:styleId="89">
    <w:name w:val="next2"/>
    <w:basedOn w:val="41"/>
    <w:qFormat/>
    <w:uiPriority w:val="0"/>
    <w:rPr>
      <w:rFonts w:hint="eastAsia" w:ascii="微软雅黑" w:hAnsi="微软雅黑" w:eastAsia="微软雅黑" w:cs="微软雅黑"/>
      <w:sz w:val="14"/>
      <w:szCs w:val="14"/>
    </w:rPr>
  </w:style>
  <w:style w:type="character" w:customStyle="1" w:styleId="90">
    <w:name w:val="next3"/>
    <w:basedOn w:val="41"/>
    <w:qFormat/>
    <w:uiPriority w:val="0"/>
    <w:rPr>
      <w:color w:val="888888"/>
    </w:rPr>
  </w:style>
  <w:style w:type="paragraph" w:customStyle="1" w:styleId="91">
    <w:name w:val="图"/>
    <w:basedOn w:val="1"/>
    <w:qFormat/>
    <w:uiPriority w:val="0"/>
    <w:pPr>
      <w:keepNext/>
      <w:adjustRightInd w:val="0"/>
      <w:spacing w:before="60" w:after="60" w:line="300" w:lineRule="auto"/>
      <w:jc w:val="center"/>
      <w:textAlignment w:val="center"/>
    </w:pPr>
    <w:rPr>
      <w:snapToGrid w:val="0"/>
      <w:spacing w:val="20"/>
      <w:kern w:val="0"/>
      <w:szCs w:val="20"/>
    </w:rPr>
  </w:style>
  <w:style w:type="paragraph" w:customStyle="1" w:styleId="92">
    <w:name w:val="_Style 3"/>
    <w:basedOn w:val="1"/>
    <w:qFormat/>
    <w:uiPriority w:val="0"/>
    <w:pPr>
      <w:widowControl/>
      <w:ind w:firstLine="420" w:firstLineChars="200"/>
      <w:jc w:val="left"/>
    </w:pPr>
    <w:rPr>
      <w:rFonts w:ascii="Calibri" w:hAnsi="Calibri"/>
      <w:snapToGrid w:val="0"/>
      <w:kern w:val="0"/>
      <w:sz w:val="20"/>
    </w:rPr>
  </w:style>
  <w:style w:type="paragraph" w:customStyle="1" w:styleId="93">
    <w:name w:val="样式1"/>
    <w:basedOn w:val="1"/>
    <w:qFormat/>
    <w:uiPriority w:val="0"/>
    <w:pPr>
      <w:numPr>
        <w:ilvl w:val="0"/>
        <w:numId w:val="1"/>
      </w:numPr>
      <w:tabs>
        <w:tab w:val="left" w:pos="709"/>
      </w:tabs>
      <w:adjustRightInd w:val="0"/>
      <w:textAlignment w:val="baseline"/>
    </w:pPr>
    <w:rPr>
      <w:rFonts w:ascii="宋体" w:hAnsi="宋体"/>
      <w:kern w:val="0"/>
      <w:szCs w:val="21"/>
    </w:rPr>
  </w:style>
  <w:style w:type="paragraph" w:customStyle="1" w:styleId="94">
    <w:name w:val="样式 仿宋_GB2312 (符号) 宋体 小四 黑色 行距: 1.5 倍行距 首行缩进:  2 字符"/>
    <w:basedOn w:val="1"/>
    <w:qFormat/>
    <w:uiPriority w:val="0"/>
    <w:pPr>
      <w:ind w:firstLine="480" w:firstLineChars="200"/>
    </w:pPr>
    <w:rPr>
      <w:rFonts w:ascii="Verdana" w:hAnsi="Cambria" w:eastAsia="Times New Roman" w:cs="Verdana"/>
      <w:color w:val="000000"/>
      <w:sz w:val="28"/>
      <w:szCs w:val="28"/>
    </w:rPr>
  </w:style>
  <w:style w:type="paragraph" w:customStyle="1" w:styleId="95">
    <w:name w:val="正文文本1"/>
    <w:basedOn w:val="1"/>
    <w:qFormat/>
    <w:uiPriority w:val="0"/>
    <w:pPr>
      <w:ind w:left="700" w:hanging="700" w:hangingChars="250"/>
    </w:pPr>
    <w:rPr>
      <w:rFonts w:ascii="Verdana" w:hAnsi="楷体" w:eastAsia="Times New Roman" w:cs="Verdana"/>
      <w:color w:val="000000"/>
      <w:sz w:val="28"/>
      <w:szCs w:val="28"/>
    </w:rPr>
  </w:style>
  <w:style w:type="paragraph" w:customStyle="1" w:styleId="96">
    <w:name w:val="Normal no space after"/>
    <w:basedOn w:val="1"/>
    <w:qFormat/>
    <w:uiPriority w:val="0"/>
    <w:pPr>
      <w:widowControl/>
      <w:tabs>
        <w:tab w:val="left" w:pos="284"/>
        <w:tab w:val="left" w:pos="567"/>
      </w:tabs>
      <w:spacing w:line="280" w:lineRule="atLeast"/>
      <w:jc w:val="left"/>
    </w:pPr>
    <w:rPr>
      <w:rFonts w:ascii="Frutiger Roman" w:hAnsi="Frutiger Roman"/>
      <w:kern w:val="0"/>
      <w:sz w:val="20"/>
      <w:szCs w:val="20"/>
      <w:lang w:eastAsia="en-US"/>
    </w:rPr>
  </w:style>
  <w:style w:type="character" w:customStyle="1" w:styleId="97">
    <w:name w:val="font01"/>
    <w:basedOn w:val="41"/>
    <w:qFormat/>
    <w:uiPriority w:val="0"/>
    <w:rPr>
      <w:rFonts w:hint="eastAsia" w:ascii="宋体" w:hAnsi="宋体" w:eastAsia="宋体" w:cs="宋体"/>
      <w:color w:val="000000"/>
      <w:sz w:val="22"/>
      <w:szCs w:val="22"/>
      <w:u w:val="none"/>
    </w:rPr>
  </w:style>
  <w:style w:type="character" w:customStyle="1" w:styleId="98">
    <w:name w:val="font11"/>
    <w:basedOn w:val="41"/>
    <w:qFormat/>
    <w:uiPriority w:val="0"/>
    <w:rPr>
      <w:rFonts w:hint="eastAsia" w:ascii="宋体" w:hAnsi="宋体" w:eastAsia="宋体" w:cs="宋体"/>
      <w:color w:val="000000"/>
      <w:sz w:val="22"/>
      <w:szCs w:val="22"/>
      <w:u w:val="none"/>
    </w:rPr>
  </w:style>
  <w:style w:type="character" w:customStyle="1" w:styleId="99">
    <w:name w:val="font41"/>
    <w:basedOn w:val="41"/>
    <w:qFormat/>
    <w:uiPriority w:val="0"/>
    <w:rPr>
      <w:rFonts w:hint="eastAsia" w:ascii="宋体" w:hAnsi="宋体" w:eastAsia="宋体" w:cs="宋体"/>
      <w:color w:val="000000"/>
      <w:sz w:val="22"/>
      <w:szCs w:val="22"/>
      <w:u w:val="none"/>
    </w:rPr>
  </w:style>
  <w:style w:type="character" w:customStyle="1" w:styleId="100">
    <w:name w:val="NormalCharacter"/>
    <w:link w:val="101"/>
    <w:qFormat/>
    <w:uiPriority w:val="0"/>
    <w:rPr>
      <w:rFonts w:cstheme="minorBidi"/>
    </w:rPr>
  </w:style>
  <w:style w:type="paragraph" w:customStyle="1" w:styleId="101">
    <w:name w:val="UserStyle_2"/>
    <w:basedOn w:val="1"/>
    <w:link w:val="100"/>
    <w:qFormat/>
    <w:uiPriority w:val="0"/>
    <w:pPr>
      <w:textAlignment w:val="baseline"/>
    </w:pPr>
    <w:rPr>
      <w:rFonts w:cstheme="minorBidi"/>
    </w:rPr>
  </w:style>
  <w:style w:type="paragraph" w:styleId="102">
    <w:name w:val="No Spacing"/>
    <w:qFormat/>
    <w:uiPriority w:val="0"/>
    <w:pPr>
      <w:widowControl w:val="0"/>
      <w:jc w:val="both"/>
    </w:pPr>
    <w:rPr>
      <w:rFonts w:ascii="Times New Roman" w:hAnsi="Times New Roman" w:eastAsia="Times New Roman" w:cs="Times New Roman"/>
      <w:kern w:val="2"/>
      <w:sz w:val="21"/>
      <w:szCs w:val="22"/>
      <w:lang w:val="en-US" w:eastAsia="zh-CN" w:bidi="ar-SA"/>
    </w:rPr>
  </w:style>
  <w:style w:type="character" w:customStyle="1" w:styleId="103">
    <w:name w:val="批注框文本 字符"/>
    <w:basedOn w:val="41"/>
    <w:link w:val="23"/>
    <w:semiHidden/>
    <w:qFormat/>
    <w:uiPriority w:val="99"/>
    <w:rPr>
      <w:rFonts w:ascii="Times New Roman" w:hAnsi="Times New Roman" w:eastAsia="宋体" w:cs="Times New Roman"/>
      <w:kern w:val="2"/>
      <w:sz w:val="18"/>
      <w:szCs w:val="18"/>
    </w:rPr>
  </w:style>
  <w:style w:type="paragraph" w:customStyle="1" w:styleId="104">
    <w:name w:val="列出段落1"/>
    <w:basedOn w:val="1"/>
    <w:qFormat/>
    <w:uiPriority w:val="34"/>
    <w:pPr>
      <w:ind w:firstLine="420" w:firstLineChars="200"/>
    </w:pPr>
  </w:style>
  <w:style w:type="paragraph" w:customStyle="1" w:styleId="105">
    <w:name w:val="Table Paragraph"/>
    <w:basedOn w:val="1"/>
    <w:qFormat/>
    <w:uiPriority w:val="1"/>
    <w:rPr>
      <w:rFonts w:ascii="宋体" w:hAnsi="宋体" w:cs="宋体"/>
      <w:lang w:val="zh-CN" w:bidi="zh-CN"/>
    </w:rPr>
  </w:style>
  <w:style w:type="paragraph" w:customStyle="1" w:styleId="106">
    <w:name w:val="表格样式"/>
    <w:qFormat/>
    <w:uiPriority w:val="0"/>
    <w:pPr>
      <w:wordWrap w:val="0"/>
      <w:spacing w:line="0" w:lineRule="atLeast"/>
      <w:contextualSpacing/>
    </w:pPr>
    <w:rPr>
      <w:rFonts w:ascii="宋体" w:hAnsi="微软雅黑" w:eastAsia="宋体" w:cs="Times New Roman"/>
      <w:kern w:val="2"/>
      <w:sz w:val="24"/>
      <w:szCs w:val="28"/>
      <w:lang w:val="en-US" w:eastAsia="zh-CN" w:bidi="ar-SA"/>
    </w:rPr>
  </w:style>
  <w:style w:type="table" w:customStyle="1" w:styleId="107">
    <w:name w:val="Table Normal"/>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 w:type="paragraph" w:customStyle="1" w:styleId="108">
    <w:name w:val="正文_0"/>
    <w:next w:val="1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9">
    <w:name w:val="样式 正文缩进 + 首行缩进:  2 字符"/>
    <w:basedOn w:val="7"/>
    <w:qFormat/>
    <w:uiPriority w:val="0"/>
    <w:pPr>
      <w:autoSpaceDE/>
      <w:autoSpaceDN/>
      <w:spacing w:line="360" w:lineRule="auto"/>
      <w:ind w:firstLine="200"/>
      <w:jc w:val="both"/>
    </w:pPr>
    <w:rPr>
      <w:rFonts w:ascii="Times New Roman" w:hAnsi="Times New Roman" w:eastAsia="宋体" w:cs="宋体"/>
      <w:kern w:val="2"/>
      <w:sz w:val="24"/>
      <w:szCs w:val="20"/>
      <w:lang w:val="en-US" w:bidi="ar-SA"/>
    </w:rPr>
  </w:style>
  <w:style w:type="paragraph" w:customStyle="1" w:styleId="110">
    <w:name w:val="列表段落2"/>
    <w:basedOn w:val="1"/>
    <w:qFormat/>
    <w:uiPriority w:val="0"/>
    <w:pPr>
      <w:autoSpaceDE/>
      <w:autoSpaceDN/>
      <w:ind w:firstLine="420" w:firstLineChars="200"/>
      <w:jc w:val="both"/>
    </w:pPr>
    <w:rPr>
      <w:rFonts w:ascii="Times New Roman" w:hAnsi="Times New Roman" w:eastAsia="宋体" w:cs="Times New Roman"/>
      <w:kern w:val="2"/>
      <w:sz w:val="21"/>
      <w:szCs w:val="20"/>
      <w:lang w:val="en-US" w:bidi="ar-SA"/>
    </w:rPr>
  </w:style>
  <w:style w:type="paragraph" w:customStyle="1" w:styleId="111">
    <w:name w:val="NormalIndent"/>
    <w:basedOn w:val="1"/>
    <w:qFormat/>
    <w:uiPriority w:val="0"/>
    <w:pPr>
      <w:widowControl/>
      <w:autoSpaceDE/>
      <w:autoSpaceDN/>
      <w:spacing w:line="360" w:lineRule="auto"/>
      <w:ind w:firstLine="200" w:firstLineChars="200"/>
      <w:textAlignment w:val="baseline"/>
    </w:pPr>
    <w:rPr>
      <w:rFonts w:ascii="Tahoma" w:hAnsi="Tahoma" w:eastAsia="仿宋_GB2312" w:cs="Times New Roman"/>
      <w:kern w:val="24"/>
      <w:sz w:val="24"/>
      <w:szCs w:val="20"/>
      <w:lang w:val="en-US" w:bidi="ar-SA"/>
    </w:rPr>
  </w:style>
  <w:style w:type="paragraph" w:customStyle="1" w:styleId="112">
    <w:name w:val="HtmlNormal"/>
    <w:basedOn w:val="1"/>
    <w:qFormat/>
    <w:uiPriority w:val="0"/>
    <w:pPr>
      <w:widowControl/>
      <w:autoSpaceDE/>
      <w:autoSpaceDN/>
      <w:spacing w:after="58"/>
    </w:pPr>
    <w:rPr>
      <w:rFonts w:ascii="宋体" w:hAnsi="宋体" w:eastAsia="宋体" w:cs="Times New Roman"/>
      <w:sz w:val="24"/>
      <w:szCs w:val="24"/>
      <w:lang w:val="en-US" w:bidi="ar-SA"/>
    </w:rPr>
  </w:style>
  <w:style w:type="character" w:customStyle="1" w:styleId="113">
    <w:name w:val="副标题 Char"/>
    <w:basedOn w:val="41"/>
    <w:link w:val="28"/>
    <w:qFormat/>
    <w:uiPriority w:val="0"/>
    <w:rPr>
      <w:rFonts w:ascii="Cambria" w:hAnsi="Cambria"/>
      <w:b/>
      <w:bCs/>
      <w:kern w:val="28"/>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5BC11E-385E-4EB9-AC3A-A21CF378A13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79</Pages>
  <Words>39298</Words>
  <Characters>41713</Characters>
  <Lines>341</Lines>
  <Paragraphs>96</Paragraphs>
  <TotalTime>1</TotalTime>
  <ScaleCrop>false</ScaleCrop>
  <LinksUpToDate>false</LinksUpToDate>
  <CharactersWithSpaces>44724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2020-01-31T05:35:00Z</dcterms:created>
  <dc:creator>lenovo</dc:creator>
  <cp:lastModifiedBy>Administrator</cp:lastModifiedBy>
  <cp:lastPrinted>2021-12-28T04:39:00Z</cp:lastPrinted>
  <dcterms:modified xsi:type="dcterms:W3CDTF">2022-03-06T14:31:37Z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A8E2ACB9612B4EE29C12608AD1812A96</vt:lpwstr>
  </property>
</Properties>
</file>