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（一包）</w:t>
      </w:r>
    </w:p>
    <w:p>
      <w:pPr>
        <w:bidi w:val="0"/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</w:t>
      </w:r>
    </w:p>
    <w:tbl>
      <w:tblPr>
        <w:tblStyle w:val="7"/>
        <w:tblpPr w:leftFromText="180" w:rightFromText="180" w:vertAnchor="text" w:horzAnchor="page" w:tblpXSpec="center" w:tblpY="474"/>
        <w:tblOverlap w:val="never"/>
        <w:tblW w:w="95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132"/>
        <w:gridCol w:w="3166"/>
        <w:gridCol w:w="666"/>
        <w:gridCol w:w="1214"/>
        <w:gridCol w:w="1210"/>
        <w:gridCol w:w="14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物品名称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配送地点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预算单价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配送要求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新鲜羊肉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必须是当日屠宰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，具有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动物卫生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监督部门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出具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动物检疫合格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证并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盖章的新鲜羊肉，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内脏（心脏、肝脏、肺、肾脏、尾巴、下水等）、内脏肥油、头和蹄、皮子，无尾巴；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当次配送的每只羊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不能超过25公斤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不含尾巴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，肥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油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不超过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当次配送肉总量的8%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。符合食品卫生质量要求，送货时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提供屠宰场证明、检验检疫合格证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（检验检疫人员签字）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等，夏季配送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配备冷藏车运送。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甲方指定地点、摆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整齐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低于市场价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至少三天配送一次，特殊情况按甲方实际需求配送（运费由供货商承担）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新鲜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必须是当日屠宰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，具有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动物卫生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监督部门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出具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动物检疫合格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证并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盖章的新鲜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剔骨牦牛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肉，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内脏（心脏、肝脏、肺、肾脏、尾巴、下水等）、内脏肥油、头和蹄、皮子，无尾巴；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当次配送牛肉中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肥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油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不超过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当次配送肉总量的8%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公斤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符合食品卫生质量要求，送货时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提供屠宰场证明、检验检疫合格证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（检验检疫人员签字）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等，夏季配送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配备冷藏车运送。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甲方指定地点、摆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整齐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低于市场价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至少三天配送一次，特殊情况按甲方实际需求配送（运费由供货商承担）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供应商供货时必须严格按照以上参数标准执行，并提供《动物检疫合格证》，否则甲方不予以验收；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2、总数量以实际供应数量为准结算；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3、供应商须为所供应学校的学生购买食品安全责任险。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4、本次单价招标，以单价签订合同。</w:t>
            </w:r>
          </w:p>
        </w:tc>
      </w:tr>
    </w:tbl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（二包）</w:t>
      </w:r>
    </w:p>
    <w:p>
      <w:pPr>
        <w:widowControl/>
        <w:jc w:val="center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</w:t>
      </w:r>
    </w:p>
    <w:p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</w:t>
      </w:r>
    </w:p>
    <w:tbl>
      <w:tblPr>
        <w:tblStyle w:val="7"/>
        <w:tblpPr w:leftFromText="180" w:rightFromText="180" w:vertAnchor="text" w:horzAnchor="page" w:tblpXSpec="center" w:tblpY="155"/>
        <w:tblOverlap w:val="never"/>
        <w:tblW w:w="97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132"/>
        <w:gridCol w:w="3166"/>
        <w:gridCol w:w="748"/>
        <w:gridCol w:w="1172"/>
        <w:gridCol w:w="1170"/>
        <w:gridCol w:w="16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物品名称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配送地点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预算单价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配送要求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新鲜鸡肉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必须是当日屠宰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，具有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动物卫生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监督部门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出具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动物检疫合格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证，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每只鸡重量不低于2公斤，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鸡头、鸡爪及内脏等，并用清水清洗干净，达到可直接烹调的标准。送货时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提供屠宰场证明、检验检疫合格证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（检验检疫人员签字）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等，夏季配送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配备冷藏车运送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公斤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甲方指定地点、摆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整齐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低于市场价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至少三天配送一次，特殊情况按甲方实际需求配送（运费由供货商承担）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1、投标人须有养殖场的《动物防疫条件合格证》；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2、总数量以实际供应数量为准结算；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3、乙方供货时必须严格按照以上参数标准执行，否则甲方不予以验收；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4、供应商须为所供应学校的学生购买食品安全责任险。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、本次单价招标，以单价签订合同。</w:t>
            </w: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eastAsia" w:ascii="宋体" w:hAnsi="宋体" w:cs="宋体"/>
          <w:b/>
          <w:kern w:val="0"/>
          <w:sz w:val="36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（三包）</w:t>
      </w:r>
    </w:p>
    <w:p>
      <w:pPr>
        <w:widowControl/>
        <w:jc w:val="center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</w:t>
      </w:r>
    </w:p>
    <w:tbl>
      <w:tblPr>
        <w:tblStyle w:val="7"/>
        <w:tblpPr w:leftFromText="180" w:rightFromText="180" w:vertAnchor="text" w:horzAnchor="page" w:tblpXSpec="center" w:tblpY="298"/>
        <w:tblOverlap w:val="never"/>
        <w:tblW w:w="97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132"/>
        <w:gridCol w:w="3166"/>
        <w:gridCol w:w="748"/>
        <w:gridCol w:w="1104"/>
        <w:gridCol w:w="1238"/>
        <w:gridCol w:w="1609"/>
      </w:tblGrid>
      <w:tr>
        <w:trPr>
          <w:trHeight w:val="53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物品名称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配送地点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预算单价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新鲜鸡蛋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必须符合食品卫生质量要求，每个鸡蛋净重量50克以上，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每次配送时须出具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相关部门检验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检疫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合格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公斤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甲方指定地点、摆放整齐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低于市场价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至少三天配送一次，特殊情况按甲方实际需求配送（运费由供货商承担）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1、投标人须有养殖场的《动物防疫条件合格证》；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2、总数量以实际供应数量为准结算；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3、乙方供货时必须严格按照以上参数标准执行，否则甲方不予以验收；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4、供应商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为所供应学校的学生购买食品安全责任险。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5、本次单价招标，以单价签订合同。</w:t>
            </w:r>
          </w:p>
        </w:tc>
      </w:tr>
    </w:tbl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widowControl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</w:t>
      </w: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pStyle w:val="2"/>
        <w:rPr>
          <w:rFonts w:hint="eastAsia" w:ascii="宋体" w:hAnsi="宋体"/>
          <w:b/>
          <w:bCs/>
          <w:sz w:val="24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（四包）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</w:t>
      </w:r>
    </w:p>
    <w:tbl>
      <w:tblPr>
        <w:tblStyle w:val="7"/>
        <w:tblpPr w:leftFromText="180" w:rightFromText="180" w:vertAnchor="text" w:horzAnchor="page" w:tblpXSpec="center" w:tblpY="501"/>
        <w:tblOverlap w:val="never"/>
        <w:tblW w:w="104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145"/>
        <w:gridCol w:w="2832"/>
        <w:gridCol w:w="959"/>
        <w:gridCol w:w="1227"/>
        <w:gridCol w:w="1129"/>
        <w:gridCol w:w="1275"/>
        <w:gridCol w:w="10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物品名称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配送地点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预算单价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配送要求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新鲜蔬菜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1、外观要求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产品应具有该蔬菜可食用时应有的特性。成熟度适中，新鲜，色泽良好，形态正常，个体均匀外观清洁，无腐烂、无霉变、无异味，无影响食用的病虫为害状及机械损伤。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2、卫生指标农药残留量不超过国家的有关标准。硝酸盐和亚硝酸盐残留量不超过国家的有关标准。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3、新鲜、非转基因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4、符合食品卫生质量要求，无毒、无害、无农药残留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5、品种：应季常用蔬菜，据甲方需求配送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公斤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甲方指定地点、摆放整齐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低于市场价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（每月按照时令价格调整）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至少三天配送一次，特殊情况按甲方实际需求配送（运费由供货商承担）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新鲜水果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1、外观要求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每只水果都必须完好、无风斑、无疤迹。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2、卫生指标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农药残留量不超过国家的有关标准。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硝酸盐和亚硝酸盐残留量不超过国家的有关标准。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3、新鲜、非转基因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4、符合食品卫生质量要求，符合无毒、无害，每只水果都必须完好：无风斑、无疤迹、无农药残留，安全可靠。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5、品种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应季常用水果，根据甲方需求配送。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调料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各种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常用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调料一批，具体按甲方要求采购（货物采购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在质保期内）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常规计量单位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甲方指定地点、摆放整齐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低于市场价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至少三天配送一次，特殊情况按甲方实际需求配送（运费由供货商承担）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1、总数量以实际供应数量为准结算；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、乙方供货时必须严格按照以上参数标准及配送要求执行，否则甲方不予以验收；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、供应商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为所供应学校的学生购买食品安全责任险。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本次单价招标，以单价签订合同。</w:t>
            </w:r>
          </w:p>
        </w:tc>
      </w:tr>
    </w:tbl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（五包）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</w:t>
      </w:r>
      <w:r>
        <w:rPr>
          <w:rFonts w:hint="eastAsia" w:ascii="宋体" w:hAnsi="宋体"/>
          <w:b/>
          <w:bCs/>
          <w:sz w:val="22"/>
          <w:szCs w:val="22"/>
        </w:rPr>
        <w:t xml:space="preserve"> </w:t>
      </w:r>
    </w:p>
    <w:tbl>
      <w:tblPr>
        <w:tblStyle w:val="7"/>
        <w:tblpPr w:leftFromText="180" w:rightFromText="180" w:vertAnchor="text" w:horzAnchor="page" w:tblpXSpec="center" w:tblpY="541"/>
        <w:tblOverlap w:val="never"/>
        <w:tblW w:w="104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1009"/>
        <w:gridCol w:w="3000"/>
        <w:gridCol w:w="764"/>
        <w:gridCol w:w="1181"/>
        <w:gridCol w:w="1178"/>
        <w:gridCol w:w="1206"/>
        <w:gridCol w:w="12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物品名称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配送地点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预算单价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配送要求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大米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长粒香（长宽比例2:1）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每袋25公斤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，符合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GB1354-2009标准要求，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杂质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总量≦0.5%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袋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甲方指定地点、摆放整齐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.00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按甲方实际需求配送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面粉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25公斤/袋，特制一等粉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袋</w:t>
            </w: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103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.00</w:t>
            </w:r>
          </w:p>
        </w:tc>
        <w:tc>
          <w:tcPr>
            <w:tcW w:w="12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清油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5L/桶、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一级菜籽油（非转基因）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桶</w:t>
            </w: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93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.00</w:t>
            </w:r>
          </w:p>
        </w:tc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1.总数量以实际供应数量为准结算；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2.供应商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为所供应学校的学生购买食品安全责任险。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本次单价招标，以单价签订合同。</w:t>
            </w: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（六包）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</w:t>
      </w:r>
    </w:p>
    <w:tbl>
      <w:tblPr>
        <w:tblStyle w:val="7"/>
        <w:tblpPr w:leftFromText="180" w:rightFromText="180" w:vertAnchor="text" w:horzAnchor="page" w:tblpXSpec="center" w:tblpY="541"/>
        <w:tblOverlap w:val="never"/>
        <w:tblW w:w="105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1245"/>
        <w:gridCol w:w="2415"/>
        <w:gridCol w:w="968"/>
        <w:gridCol w:w="1214"/>
        <w:gridCol w:w="1223"/>
        <w:gridCol w:w="1275"/>
        <w:gridCol w:w="11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物品名称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配送地点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预算单价（元）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配送要求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学生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符合食品卫生质量要求，每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袋净含量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为2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0ML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甲方指定地点、摆放整齐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按甲方实际需求配送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1.总数量以实际供应数量为准结算；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2.供应商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为所供应学校的学生购买食品安全责任险。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13" w:lineRule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本次单价招标，以单价签订合同。</w:t>
            </w:r>
          </w:p>
        </w:tc>
      </w:tr>
    </w:tbl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bidi w:val="0"/>
        <w:jc w:val="center"/>
        <w:rPr>
          <w:rFonts w:hint="eastAsia"/>
          <w:b/>
          <w:bCs/>
          <w:sz w:val="24"/>
          <w:szCs w:val="32"/>
          <w:lang w:eastAsia="zh-CN"/>
        </w:rPr>
      </w:pPr>
    </w:p>
    <w:p>
      <w:pPr>
        <w:widowControl/>
        <w:numPr>
          <w:ilvl w:val="0"/>
          <w:numId w:val="0"/>
        </w:numPr>
        <w:jc w:val="both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rPr>
          <w:rFonts w:hint="eastAsia" w:ascii="宋体" w:hAnsi="宋体" w:cs="宋体"/>
          <w:b/>
          <w:kern w:val="0"/>
          <w:sz w:val="36"/>
        </w:rPr>
      </w:pP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（七包）</w:t>
      </w:r>
    </w:p>
    <w:p>
      <w:pPr>
        <w:pStyle w:val="2"/>
        <w:jc w:val="center"/>
        <w:rPr>
          <w:rFonts w:hint="eastAsia" w:ascii="宋体" w:hAnsi="宋体" w:cs="宋体"/>
          <w:b/>
          <w:kern w:val="0"/>
          <w:sz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</w:t>
      </w:r>
    </w:p>
    <w:tbl>
      <w:tblPr>
        <w:tblStyle w:val="7"/>
        <w:tblpPr w:leftFromText="180" w:rightFromText="180" w:vertAnchor="text" w:horzAnchor="page" w:tblpX="801" w:tblpY="533"/>
        <w:tblOverlap w:val="never"/>
        <w:tblW w:w="102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1245"/>
        <w:gridCol w:w="2415"/>
        <w:gridCol w:w="968"/>
        <w:gridCol w:w="1214"/>
        <w:gridCol w:w="1223"/>
        <w:gridCol w:w="1275"/>
        <w:gridCol w:w="9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物品名称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参数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配送地点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预算单价（元）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配送要求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符合食品卫生质量要求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，以面粉为主要原料，添加</w:t>
            </w: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鸡蛋、牛奶、芝麻等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不得添加肥油，单</w:t>
            </w:r>
            <w:r>
              <w:rPr>
                <w:rFonts w:hint="default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个净重</w:t>
            </w: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不低于</w:t>
            </w:r>
            <w:r>
              <w:rPr>
                <w:rFonts w:hint="default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0g</w:t>
            </w: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甲方指定地点、摆放整齐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1.80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按甲方实际需求配送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备注</w:t>
            </w:r>
          </w:p>
        </w:tc>
        <w:tc>
          <w:tcPr>
            <w:tcW w:w="8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1"/>
                <w:lang w:val="en-US" w:eastAsia="zh-CN" w:bidi="ar-SA"/>
              </w:rPr>
              <w:t>总数量以实际供应数量为准结算；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ind w:left="0" w:leftChars="0" w:firstLine="0" w:firstLineChars="0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1"/>
                <w:lang w:val="en-US" w:eastAsia="zh-CN" w:bidi="ar-SA"/>
              </w:rPr>
              <w:t>2.供应商须为所供应学校的学生购买食品安全责任险。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3" w:lineRule="auto"/>
              <w:ind w:left="0" w:leftChars="0" w:firstLine="0" w:firstLineChars="0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本次单价招标，以单价签订合同。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E574E"/>
    <w:multiLevelType w:val="singleLevel"/>
    <w:tmpl w:val="06FE5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ZjOGYzNzAxYzk4MWZkYzc3OTIyY2Y5NmRlYmMifQ=="/>
    <w:docVar w:name="KSO_WPS_MARK_KEY" w:val="6083dbe9-ec93-4c6f-8eb1-bdab9dcaa9ef"/>
  </w:docVars>
  <w:rsids>
    <w:rsidRoot w:val="7A576095"/>
    <w:rsid w:val="00440CF3"/>
    <w:rsid w:val="01A3013A"/>
    <w:rsid w:val="02C46545"/>
    <w:rsid w:val="06CE3C76"/>
    <w:rsid w:val="0A47680D"/>
    <w:rsid w:val="0B923DCE"/>
    <w:rsid w:val="0C1C684E"/>
    <w:rsid w:val="0F792277"/>
    <w:rsid w:val="0FF34480"/>
    <w:rsid w:val="11EA3E3C"/>
    <w:rsid w:val="1ADF148B"/>
    <w:rsid w:val="1B271C45"/>
    <w:rsid w:val="203622E7"/>
    <w:rsid w:val="21B66865"/>
    <w:rsid w:val="220D5DC4"/>
    <w:rsid w:val="22237D7D"/>
    <w:rsid w:val="24112EE9"/>
    <w:rsid w:val="27AB7126"/>
    <w:rsid w:val="28EE12CF"/>
    <w:rsid w:val="2949495C"/>
    <w:rsid w:val="2A557B95"/>
    <w:rsid w:val="2EB269BF"/>
    <w:rsid w:val="310F608E"/>
    <w:rsid w:val="31D24A5F"/>
    <w:rsid w:val="36E344D0"/>
    <w:rsid w:val="371F277E"/>
    <w:rsid w:val="3B601A26"/>
    <w:rsid w:val="3D4C5159"/>
    <w:rsid w:val="3DC552BD"/>
    <w:rsid w:val="3FEA74E7"/>
    <w:rsid w:val="43456DEC"/>
    <w:rsid w:val="465F30E6"/>
    <w:rsid w:val="4A00080C"/>
    <w:rsid w:val="4B3509A5"/>
    <w:rsid w:val="4BB11B9C"/>
    <w:rsid w:val="523C1C44"/>
    <w:rsid w:val="550312DA"/>
    <w:rsid w:val="555B7E8D"/>
    <w:rsid w:val="582F3CAF"/>
    <w:rsid w:val="58777944"/>
    <w:rsid w:val="5D625931"/>
    <w:rsid w:val="5D7B0E93"/>
    <w:rsid w:val="6067065E"/>
    <w:rsid w:val="624E45DD"/>
    <w:rsid w:val="649859A3"/>
    <w:rsid w:val="672A6941"/>
    <w:rsid w:val="688E4077"/>
    <w:rsid w:val="6D5732EF"/>
    <w:rsid w:val="6E1D722B"/>
    <w:rsid w:val="6EA11FF8"/>
    <w:rsid w:val="71F070A8"/>
    <w:rsid w:val="74104F55"/>
    <w:rsid w:val="74270D5F"/>
    <w:rsid w:val="7700675D"/>
    <w:rsid w:val="77B10664"/>
    <w:rsid w:val="7A576095"/>
    <w:rsid w:val="7A642588"/>
    <w:rsid w:val="7AC14F80"/>
    <w:rsid w:val="7AE93D98"/>
    <w:rsid w:val="7C8F62CB"/>
    <w:rsid w:val="7DBC6CA2"/>
    <w:rsid w:val="7EB44520"/>
    <w:rsid w:val="7EC17975"/>
    <w:rsid w:val="7FF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2235</Words>
  <Characters>2300</Characters>
  <Lines>0</Lines>
  <Paragraphs>0</Paragraphs>
  <TotalTime>15</TotalTime>
  <ScaleCrop>false</ScaleCrop>
  <LinksUpToDate>false</LinksUpToDate>
  <CharactersWithSpaces>2344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2020-07-10T15:52:00Z</dcterms:created>
  <dc:creator>记得笑;-)</dc:creator>
  <cp:lastModifiedBy>孤鹰</cp:lastModifiedBy>
  <cp:lastPrinted>2023-01-11T12:25:15Z</cp:lastPrinted>
  <dcterms:modified xsi:type="dcterms:W3CDTF">2023-01-11T12:39:54Z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B35D4C730339473D98E26FDD5B809D44</vt:lpwstr>
  </property>
</Properties>
</file>