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440" w:lineRule="exact"/>
        <w:jc w:val="center"/>
        <w:outlineLvl w:val="0"/>
        <w:rPr>
          <w:rFonts w:ascii="黑体" w:eastAsia="黑体"/>
          <w:sz w:val="30"/>
          <w:szCs w:val="30"/>
        </w:rPr>
      </w:pPr>
      <w:bookmarkStart w:id="0" w:name="_Toc111210760"/>
      <w:r>
        <w:rPr>
          <w:rFonts w:hint="eastAsia" w:ascii="黑体" w:eastAsia="黑体"/>
          <w:sz w:val="30"/>
          <w:szCs w:val="30"/>
        </w:rPr>
        <w:t xml:space="preserve"> </w:t>
      </w:r>
      <w:bookmarkStart w:id="1" w:name="_Toc327196338"/>
      <w:bookmarkStart w:id="2" w:name="_Toc6920"/>
      <w:r>
        <w:rPr>
          <w:rFonts w:hint="eastAsia" w:ascii="黑体" w:eastAsia="黑体"/>
          <w:sz w:val="30"/>
          <w:szCs w:val="30"/>
        </w:rPr>
        <w:t>采购需求</w:t>
      </w:r>
      <w:bookmarkEnd w:id="0"/>
    </w:p>
    <w:bookmarkEnd w:id="1"/>
    <w:bookmarkEnd w:id="2"/>
    <w:p>
      <w:pPr>
        <w:numPr>
          <w:numId w:val="0"/>
        </w:numPr>
        <w:spacing w:line="360" w:lineRule="auto"/>
        <w:textAlignment w:val="baseline"/>
        <w:rPr>
          <w:sz w:val="24"/>
        </w:rPr>
      </w:pPr>
      <w:bookmarkStart w:id="3" w:name="_GoBack"/>
      <w:bookmarkEnd w:id="3"/>
    </w:p>
    <w:p>
      <w:pPr>
        <w:numPr>
          <w:ilvl w:val="0"/>
          <w:numId w:val="1"/>
        </w:numPr>
        <w:spacing w:line="360" w:lineRule="auto"/>
        <w:textAlignment w:val="baseline"/>
        <w:rPr>
          <w:sz w:val="24"/>
        </w:rPr>
      </w:pPr>
      <w:r>
        <w:rPr>
          <w:rFonts w:hint="eastAsia"/>
          <w:sz w:val="24"/>
        </w:rPr>
        <w:t>采购基本情况及服务须知：</w:t>
      </w:r>
    </w:p>
    <w:p>
      <w:pPr>
        <w:spacing w:line="360" w:lineRule="auto"/>
        <w:ind w:firstLine="480" w:firstLineChars="200"/>
        <w:rPr>
          <w:rFonts w:ascii="宋体" w:hAnsi="宋体"/>
          <w:sz w:val="24"/>
        </w:rPr>
      </w:pPr>
      <w:r>
        <w:rPr>
          <w:rFonts w:hint="eastAsia"/>
          <w:sz w:val="24"/>
          <w:lang w:val="en-US" w:eastAsia="zh-CN"/>
        </w:rPr>
        <w:t>1</w:t>
      </w:r>
      <w:r>
        <w:rPr>
          <w:rFonts w:hint="eastAsia"/>
          <w:sz w:val="24"/>
        </w:rPr>
        <w:t>、采购内容：</w:t>
      </w:r>
      <w:r>
        <w:rPr>
          <w:rFonts w:hint="eastAsia" w:ascii="宋体" w:hAnsi="宋体"/>
          <w:sz w:val="24"/>
        </w:rPr>
        <w:t xml:space="preserve">结合《阿图什市国土空间总体规划（2021-2035年）》中划定的城镇开发边界范围，编制阿图什市中心城区总体城市设计及阿图什市主城区详细规划两个层次规划。其中阿图什市中心城区总体城市设计范围约39平方公里，包括阿图什老城区、高铁新城（规划）和工业园区，主城区详细规划范围约17平方公里（具体范围和边界由双方商讨决定）。 </w:t>
      </w:r>
    </w:p>
    <w:p>
      <w:pPr>
        <w:spacing w:line="360" w:lineRule="auto"/>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2、</w:t>
      </w:r>
      <w:r>
        <w:rPr>
          <w:rFonts w:hint="eastAsia" w:ascii="宋体" w:hAnsi="宋体" w:eastAsia="宋体" w:cs="Times New Roman"/>
          <w:sz w:val="24"/>
          <w:lang w:eastAsia="zh-CN"/>
        </w:rPr>
        <w:t>服务范围</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1</w:t>
      </w:r>
      <w:r>
        <w:rPr>
          <w:rFonts w:hint="eastAsia" w:ascii="宋体" w:hAnsi="宋体" w:eastAsia="宋体" w:cs="Times New Roman"/>
          <w:sz w:val="24"/>
          <w:lang w:eastAsia="zh-CN"/>
        </w:rPr>
        <w:t>）</w:t>
      </w:r>
      <w:r>
        <w:rPr>
          <w:rFonts w:hint="eastAsia" w:ascii="宋体" w:hAnsi="宋体" w:eastAsia="宋体" w:cs="Times New Roman"/>
          <w:sz w:val="24"/>
        </w:rPr>
        <w:t>阿图什市中心城区总体城市设计</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依据阿图什城市发展战略，运用现代城市设计理念与手段，从构筑优美的城市空间环境形象和加强城市土地利用调控角度出发，通过对城市自然山水特征和文化资源的把握，以及对中心城区现有相关规划设计研究成果的整合与优化，明确未来空间结构形态和模式的总体框架与发展思路。</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2</w:t>
      </w:r>
      <w:r>
        <w:rPr>
          <w:rFonts w:hint="eastAsia" w:ascii="宋体" w:hAnsi="宋体" w:eastAsia="宋体" w:cs="Times New Roman"/>
          <w:sz w:val="24"/>
          <w:lang w:eastAsia="zh-CN"/>
        </w:rPr>
        <w:t>）</w:t>
      </w:r>
      <w:r>
        <w:rPr>
          <w:rFonts w:hint="eastAsia" w:ascii="宋体" w:hAnsi="宋体" w:eastAsia="宋体" w:cs="Times New Roman"/>
          <w:sz w:val="24"/>
        </w:rPr>
        <w:t>阿图什市主城区详细规划</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进一步落实喀阿一体化发展战略，并结合国土空间总体规划初步成果，合理划定编制单元。规划编制落实新的发展理念，贯彻以人民为中心的思想，按照生态宜居的要求，补齐城市短板，提升城市品质。</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3</w:t>
      </w:r>
      <w:r>
        <w:rPr>
          <w:rFonts w:hint="eastAsia" w:ascii="宋体" w:hAnsi="宋体" w:eastAsia="宋体" w:cs="Times New Roman"/>
          <w:sz w:val="24"/>
          <w:lang w:eastAsia="zh-CN"/>
        </w:rPr>
        <w:t>）</w:t>
      </w:r>
      <w:r>
        <w:rPr>
          <w:rFonts w:hint="eastAsia" w:ascii="宋体" w:hAnsi="宋体" w:eastAsia="宋体" w:cs="Times New Roman"/>
          <w:sz w:val="24"/>
        </w:rPr>
        <w:t>设计深度及要求：</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总体城市设计成果包括总体背景分析、现状资源分析、规划设计思路、全域层面设计（包括生态格局系统、特色风貌系统等）、中心城区设计（城市特色体系、生态山水体系、历史文化体系、空间形态体系、开敞空间体系、慢行交通体系、景观风貌体系等）、管控实施策略等内容。</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4</w:t>
      </w:r>
      <w:r>
        <w:rPr>
          <w:rFonts w:hint="eastAsia" w:ascii="宋体" w:hAnsi="宋体" w:eastAsia="宋体" w:cs="Times New Roman"/>
          <w:sz w:val="24"/>
          <w:lang w:eastAsia="zh-CN"/>
        </w:rPr>
        <w:t>）</w:t>
      </w:r>
      <w:r>
        <w:rPr>
          <w:rFonts w:hint="eastAsia" w:ascii="宋体" w:hAnsi="宋体" w:eastAsia="宋体" w:cs="Times New Roman"/>
          <w:sz w:val="24"/>
        </w:rPr>
        <w:t>详细规划设计成果按照国家、自治区详规编制标准进行，成果内容包括详规文本、图纸、图则以及说明书、附件（规划实施评估、基础资料汇编）、必要的专题研究。并通过相关部门评审。</w:t>
      </w:r>
    </w:p>
    <w:p>
      <w:pPr>
        <w:numPr>
          <w:ilvl w:val="0"/>
          <w:numId w:val="1"/>
        </w:numPr>
        <w:spacing w:line="360" w:lineRule="auto"/>
        <w:textAlignment w:val="baseline"/>
        <w:rPr>
          <w:sz w:val="24"/>
        </w:rPr>
      </w:pPr>
      <w:r>
        <w:rPr>
          <w:rFonts w:hint="eastAsia"/>
          <w:sz w:val="24"/>
        </w:rPr>
        <w:t>项目方案</w:t>
      </w:r>
    </w:p>
    <w:p>
      <w:pPr>
        <w:spacing w:line="360" w:lineRule="auto"/>
        <w:ind w:firstLine="480" w:firstLineChars="200"/>
        <w:textAlignment w:val="baseline"/>
        <w:rPr>
          <w:sz w:val="24"/>
        </w:rPr>
      </w:pPr>
      <w:r>
        <w:rPr>
          <w:rFonts w:hint="eastAsia"/>
          <w:sz w:val="24"/>
        </w:rPr>
        <w:t>1、项目要求</w:t>
      </w:r>
    </w:p>
    <w:p>
      <w:pPr>
        <w:spacing w:line="360" w:lineRule="auto"/>
        <w:ind w:firstLine="480" w:firstLineChars="200"/>
        <w:textAlignment w:val="baseline"/>
        <w:rPr>
          <w:sz w:val="24"/>
        </w:rPr>
      </w:pPr>
      <w:r>
        <w:rPr>
          <w:rFonts w:hint="eastAsia"/>
          <w:sz w:val="24"/>
        </w:rPr>
        <w:t xml:space="preserve">（1）规划设计需符合国家、省、市相关规范与要求。 </w:t>
      </w:r>
    </w:p>
    <w:p>
      <w:pPr>
        <w:spacing w:line="360" w:lineRule="auto"/>
        <w:ind w:firstLine="480" w:firstLineChars="200"/>
        <w:textAlignment w:val="baseline"/>
        <w:rPr>
          <w:sz w:val="24"/>
        </w:rPr>
      </w:pPr>
      <w:r>
        <w:rPr>
          <w:rFonts w:hint="eastAsia"/>
          <w:sz w:val="24"/>
        </w:rPr>
        <w:t xml:space="preserve">（2）充分落实“一带一路”国家战略、“喀阿一体化”区域融合发展等相关 要求，探索高质量发展、新型城镇化的新路径。 </w:t>
      </w:r>
    </w:p>
    <w:p>
      <w:pPr>
        <w:spacing w:line="360" w:lineRule="auto"/>
        <w:ind w:firstLine="480" w:firstLineChars="200"/>
        <w:textAlignment w:val="baseline"/>
        <w:rPr>
          <w:sz w:val="24"/>
        </w:rPr>
      </w:pPr>
      <w:r>
        <w:rPr>
          <w:rFonts w:hint="eastAsia"/>
          <w:sz w:val="24"/>
        </w:rPr>
        <w:t xml:space="preserve">（3）科学保护阿图什山水环境基底，把生态和安全作为发展前提，塑造彰 显阿图什地域文化特色的城市空间形态。 </w:t>
      </w:r>
    </w:p>
    <w:p>
      <w:pPr>
        <w:spacing w:line="360" w:lineRule="auto"/>
        <w:ind w:firstLine="480" w:firstLineChars="200"/>
        <w:textAlignment w:val="baseline"/>
        <w:rPr>
          <w:sz w:val="24"/>
        </w:rPr>
      </w:pPr>
      <w:r>
        <w:rPr>
          <w:rFonts w:hint="eastAsia"/>
          <w:sz w:val="24"/>
        </w:rPr>
        <w:t>（4）充分研究现状及未来发展可能性，形成实施办法，便于实施与管理。</w:t>
      </w:r>
    </w:p>
    <w:p>
      <w:pPr>
        <w:spacing w:line="360" w:lineRule="auto"/>
        <w:ind w:firstLine="480" w:firstLineChars="200"/>
        <w:textAlignment w:val="baseline"/>
        <w:rPr>
          <w:color w:val="FF0000"/>
          <w:sz w:val="24"/>
        </w:rPr>
      </w:pPr>
      <w:r>
        <w:rPr>
          <w:rFonts w:hint="eastAsia"/>
          <w:sz w:val="24"/>
        </w:rPr>
        <w:t>2、规划设计依据：</w:t>
      </w:r>
      <w:r>
        <w:rPr>
          <w:rFonts w:hint="eastAsia"/>
          <w:color w:val="FF0000"/>
          <w:sz w:val="24"/>
        </w:rPr>
        <w:t xml:space="preserve"> </w:t>
      </w:r>
    </w:p>
    <w:p>
      <w:pPr>
        <w:spacing w:line="360" w:lineRule="auto"/>
        <w:ind w:firstLine="480" w:firstLineChars="200"/>
        <w:textAlignment w:val="baseline"/>
        <w:rPr>
          <w:sz w:val="24"/>
        </w:rPr>
      </w:pPr>
      <w:r>
        <w:rPr>
          <w:rFonts w:hint="eastAsia"/>
          <w:sz w:val="24"/>
        </w:rPr>
        <w:t>其它有关现行国家标准、行业标准及地方标准。</w:t>
      </w:r>
    </w:p>
    <w:p>
      <w:pPr>
        <w:spacing w:line="360" w:lineRule="auto"/>
        <w:ind w:firstLine="480" w:firstLineChars="200"/>
        <w:textAlignment w:val="baseline"/>
        <w:rPr>
          <w:sz w:val="24"/>
        </w:rPr>
      </w:pPr>
      <w:r>
        <w:rPr>
          <w:sz w:val="24"/>
        </w:rPr>
        <w:t>3</w:t>
      </w:r>
      <w:r>
        <w:rPr>
          <w:rFonts w:hint="eastAsia"/>
          <w:sz w:val="24"/>
        </w:rPr>
        <w:t>、项目内容</w:t>
      </w:r>
    </w:p>
    <w:p>
      <w:pPr>
        <w:spacing w:line="360" w:lineRule="auto"/>
        <w:ind w:firstLine="480" w:firstLineChars="200"/>
        <w:textAlignment w:val="baseline"/>
        <w:rPr>
          <w:rFonts w:ascii="宋体" w:hAnsi="宋体"/>
          <w:sz w:val="24"/>
        </w:rPr>
      </w:pPr>
      <w:r>
        <w:rPr>
          <w:rFonts w:hint="eastAsia" w:ascii="宋体" w:hAnsi="宋体"/>
          <w:sz w:val="24"/>
        </w:rPr>
        <w:t>项目内容为</w:t>
      </w:r>
      <w:r>
        <w:rPr>
          <w:rFonts w:hint="eastAsia" w:ascii="宋体" w:hAnsi="宋体"/>
          <w:sz w:val="24"/>
          <w:lang w:eastAsia="zh-CN"/>
        </w:rPr>
        <w:t>阿图什市中心城区总体城市设计及主城区详细规划编制方</w:t>
      </w:r>
      <w:r>
        <w:rPr>
          <w:rFonts w:ascii="宋体" w:hAnsi="宋体"/>
          <w:sz w:val="24"/>
        </w:rPr>
        <w:t>，包含阿图什市中心城区总体城市设计及阿图什市主城区详细规划两个层次</w:t>
      </w:r>
      <w:r>
        <w:rPr>
          <w:rFonts w:hint="eastAsia" w:ascii="宋体" w:hAnsi="宋体"/>
          <w:sz w:val="24"/>
        </w:rPr>
        <w:t>。</w:t>
      </w:r>
    </w:p>
    <w:p>
      <w:pPr>
        <w:pStyle w:val="5"/>
        <w:numPr>
          <w:ilvl w:val="0"/>
          <w:numId w:val="2"/>
        </w:numPr>
        <w:ind w:firstLineChars="0"/>
        <w:textAlignment w:val="baseline"/>
      </w:pPr>
      <w:r>
        <w:rPr>
          <w:rFonts w:hint="eastAsia"/>
        </w:rPr>
        <w:t>阿图什市中心城区总体城市设计</w:t>
      </w:r>
    </w:p>
    <w:p>
      <w:pPr>
        <w:spacing w:line="360" w:lineRule="auto"/>
        <w:ind w:firstLine="480" w:firstLineChars="200"/>
        <w:textAlignment w:val="baseline"/>
        <w:rPr>
          <w:rFonts w:ascii="宋体" w:hAnsi="宋体"/>
          <w:sz w:val="24"/>
        </w:rPr>
      </w:pPr>
      <w:r>
        <w:rPr>
          <w:rFonts w:hint="eastAsia" w:ascii="宋体" w:hAnsi="宋体"/>
          <w:sz w:val="24"/>
        </w:rPr>
        <w:t>依据阿图什市发展战略，运用现代城市设计理念与手段，从构筑优美的城市空间环境形象和加强城市土地利用调控角度出发，通过对城市自然山水特征和文化资源的把握，以及中心城区现有相关规划设计研究成果的整合与优化，明确阿图什市中心城区未来空间结构形态和模式的总体框架与发展思路。</w:t>
      </w:r>
    </w:p>
    <w:p>
      <w:pPr>
        <w:spacing w:line="360" w:lineRule="auto"/>
        <w:ind w:firstLine="482" w:firstLineChars="200"/>
        <w:jc w:val="left"/>
        <w:rPr>
          <w:rFonts w:asciiTheme="minorEastAsia" w:hAnsiTheme="minorEastAsia"/>
          <w:b/>
          <w:sz w:val="24"/>
        </w:rPr>
      </w:pPr>
      <w:r>
        <w:rPr>
          <w:rFonts w:asciiTheme="minorEastAsia" w:hAnsiTheme="minorEastAsia"/>
          <w:b/>
          <w:sz w:val="24"/>
        </w:rPr>
        <w:fldChar w:fldCharType="begin"/>
      </w:r>
      <w:r>
        <w:rPr>
          <w:rFonts w:asciiTheme="minorEastAsia" w:hAnsiTheme="minorEastAsia"/>
          <w:b/>
          <w:sz w:val="24"/>
        </w:rPr>
        <w:instrText xml:space="preserve"> </w:instrText>
      </w:r>
      <w:r>
        <w:rPr>
          <w:rFonts w:hint="eastAsia" w:asciiTheme="minorEastAsia" w:hAnsiTheme="minorEastAsia"/>
          <w:b/>
          <w:sz w:val="24"/>
        </w:rPr>
        <w:instrText xml:space="preserve">= 1 \* GB3</w:instrText>
      </w:r>
      <w:r>
        <w:rPr>
          <w:rFonts w:asciiTheme="minorEastAsia" w:hAnsiTheme="minorEastAsia"/>
          <w:b/>
          <w:sz w:val="24"/>
        </w:rPr>
        <w:instrText xml:space="preserve"> </w:instrText>
      </w:r>
      <w:r>
        <w:rPr>
          <w:rFonts w:asciiTheme="minorEastAsia" w:hAnsiTheme="minorEastAsia"/>
          <w:b/>
          <w:sz w:val="24"/>
        </w:rPr>
        <w:fldChar w:fldCharType="separate"/>
      </w:r>
      <w:r>
        <w:rPr>
          <w:rFonts w:hint="eastAsia" w:asciiTheme="minorEastAsia" w:hAnsiTheme="minorEastAsia"/>
          <w:b/>
          <w:sz w:val="24"/>
        </w:rPr>
        <w:t>①</w:t>
      </w:r>
      <w:r>
        <w:rPr>
          <w:rFonts w:asciiTheme="minorEastAsia" w:hAnsiTheme="minorEastAsia"/>
          <w:b/>
          <w:sz w:val="24"/>
        </w:rPr>
        <w:fldChar w:fldCharType="end"/>
      </w:r>
      <w:r>
        <w:rPr>
          <w:rFonts w:hint="eastAsia" w:asciiTheme="minorEastAsia" w:hAnsiTheme="minorEastAsia"/>
          <w:b/>
          <w:sz w:val="24"/>
        </w:rPr>
        <w:t>明确总体空间格局，强化人文和自然资源应用</w:t>
      </w:r>
    </w:p>
    <w:p>
      <w:pPr>
        <w:spacing w:line="360" w:lineRule="auto"/>
        <w:ind w:firstLine="480" w:firstLineChars="200"/>
        <w:textAlignment w:val="baseline"/>
        <w:rPr>
          <w:rFonts w:ascii="宋体" w:hAnsi="宋体"/>
          <w:sz w:val="24"/>
        </w:rPr>
      </w:pPr>
      <w:r>
        <w:rPr>
          <w:rFonts w:hint="eastAsia" w:ascii="宋体" w:hAnsi="宋体"/>
          <w:sz w:val="24"/>
        </w:rPr>
        <w:t>规划需要立足阿图什地域资源禀赋和空间景观资源特征，整理历史人文资源、乡村特色资源，将其充分体现在整体空间格局、风貌结构、开敞空间、视觉廊道、设计策略、设计引导等各个方面，构建中心城区整体空间格局和特色风貌区，重现人文资源空间布局，真正实现望得见山，看得见水，记得住乡愁。</w:t>
      </w:r>
    </w:p>
    <w:p>
      <w:pPr>
        <w:spacing w:line="360" w:lineRule="auto"/>
        <w:ind w:firstLine="482" w:firstLineChars="200"/>
        <w:jc w:val="left"/>
        <w:rPr>
          <w:rFonts w:asciiTheme="minorEastAsia" w:hAnsiTheme="minorEastAsia"/>
          <w:b/>
          <w:sz w:val="24"/>
        </w:rPr>
      </w:pPr>
      <w:r>
        <w:rPr>
          <w:rFonts w:asciiTheme="minorEastAsia" w:hAnsiTheme="minorEastAsia"/>
          <w:b/>
          <w:sz w:val="24"/>
        </w:rPr>
        <w:fldChar w:fldCharType="begin"/>
      </w:r>
      <w:r>
        <w:rPr>
          <w:rFonts w:asciiTheme="minorEastAsia" w:hAnsiTheme="minorEastAsia"/>
          <w:b/>
          <w:sz w:val="24"/>
        </w:rPr>
        <w:instrText xml:space="preserve"> </w:instrText>
      </w:r>
      <w:r>
        <w:rPr>
          <w:rFonts w:hint="eastAsia" w:asciiTheme="minorEastAsia" w:hAnsiTheme="minorEastAsia"/>
          <w:b/>
          <w:sz w:val="24"/>
        </w:rPr>
        <w:instrText xml:space="preserve">= 2 \* GB3</w:instrText>
      </w:r>
      <w:r>
        <w:rPr>
          <w:rFonts w:asciiTheme="minorEastAsia" w:hAnsiTheme="minorEastAsia"/>
          <w:b/>
          <w:sz w:val="24"/>
        </w:rPr>
        <w:instrText xml:space="preserve"> </w:instrText>
      </w:r>
      <w:r>
        <w:rPr>
          <w:rFonts w:asciiTheme="minorEastAsia" w:hAnsiTheme="minorEastAsia"/>
          <w:b/>
          <w:sz w:val="24"/>
        </w:rPr>
        <w:fldChar w:fldCharType="separate"/>
      </w:r>
      <w:r>
        <w:rPr>
          <w:rFonts w:hint="eastAsia" w:asciiTheme="minorEastAsia" w:hAnsiTheme="minorEastAsia"/>
          <w:b/>
          <w:sz w:val="24"/>
        </w:rPr>
        <w:t>②</w:t>
      </w:r>
      <w:r>
        <w:rPr>
          <w:rFonts w:asciiTheme="minorEastAsia" w:hAnsiTheme="minorEastAsia"/>
          <w:b/>
          <w:sz w:val="24"/>
        </w:rPr>
        <w:fldChar w:fldCharType="end"/>
      </w:r>
      <w:r>
        <w:rPr>
          <w:rFonts w:hint="eastAsia" w:asciiTheme="minorEastAsia" w:hAnsiTheme="minorEastAsia"/>
          <w:b/>
          <w:sz w:val="24"/>
        </w:rPr>
        <w:t>城市空间景观设计</w:t>
      </w:r>
    </w:p>
    <w:p>
      <w:pPr>
        <w:spacing w:line="360" w:lineRule="auto"/>
        <w:ind w:firstLine="480" w:firstLineChars="200"/>
        <w:textAlignment w:val="baseline"/>
        <w:rPr>
          <w:rFonts w:ascii="宋体" w:hAnsi="宋体"/>
          <w:sz w:val="24"/>
        </w:rPr>
      </w:pPr>
      <w:r>
        <w:rPr>
          <w:rFonts w:hint="eastAsia" w:ascii="宋体" w:hAnsi="宋体"/>
          <w:sz w:val="24"/>
        </w:rPr>
        <w:t>根据总体设计确定的格局框架，各片区风貌设计要求，制定具体管控措施，明确高度、色彩、建筑元素、天际线、廊道等要素控制要求，对滨水、临山、沿路等重要界面，提出具体设计要求，指导各片区的下阶段详细设计。立足阿图什地域特色和人文景观资源特征，提炼特色建筑元素、街区文化彰显、展现新时期阿图什城市风貌。</w:t>
      </w:r>
    </w:p>
    <w:p>
      <w:pPr>
        <w:spacing w:line="360" w:lineRule="auto"/>
        <w:ind w:firstLine="480" w:firstLineChars="200"/>
        <w:textAlignment w:val="baseline"/>
        <w:rPr>
          <w:rFonts w:ascii="宋体" w:hAnsi="宋体"/>
          <w:sz w:val="24"/>
        </w:rPr>
      </w:pPr>
      <w:r>
        <w:rPr>
          <w:rFonts w:hint="eastAsia" w:ascii="宋体" w:hAnsi="宋体"/>
          <w:sz w:val="24"/>
        </w:rPr>
        <w:t>1）通过对阿图什城区绿洲、山体等景观资源的梳理，对水系的疏通，在空间上进行视觉连通，确定城市重要景观视线的位置与等级，构筑优质的城市视觉廊道，为城市建设开发提供廊道控制要求。</w:t>
      </w:r>
    </w:p>
    <w:p>
      <w:pPr>
        <w:spacing w:line="360" w:lineRule="auto"/>
        <w:ind w:firstLine="480" w:firstLineChars="200"/>
        <w:textAlignment w:val="baseline"/>
        <w:rPr>
          <w:rFonts w:ascii="宋体" w:hAnsi="宋体"/>
          <w:sz w:val="24"/>
        </w:rPr>
      </w:pPr>
      <w:r>
        <w:rPr>
          <w:rFonts w:hint="eastAsia" w:ascii="宋体" w:hAnsi="宋体"/>
          <w:sz w:val="24"/>
        </w:rPr>
        <w:t>2）强化对沿高速公路、城市主要道路、广场公园、河道等重要城市界面的天际线研究，对城市天际轮廓线整体、效果进行控制和优化。</w:t>
      </w:r>
    </w:p>
    <w:p>
      <w:pPr>
        <w:spacing w:line="360" w:lineRule="auto"/>
        <w:ind w:firstLine="480" w:firstLineChars="200"/>
        <w:textAlignment w:val="baseline"/>
        <w:rPr>
          <w:rFonts w:ascii="宋体" w:hAnsi="宋体"/>
          <w:sz w:val="24"/>
        </w:rPr>
      </w:pPr>
      <w:r>
        <w:rPr>
          <w:rFonts w:hint="eastAsia" w:ascii="宋体" w:hAnsi="宋体"/>
          <w:sz w:val="24"/>
        </w:rPr>
        <w:t>3）结合用地功能、区位、交通、历史文化保护等因素，确定建筑高度分区，明确高层建筑严格控制区域、优先发展区、普通控制区的分布示意，并提出相关控制导则。</w:t>
      </w:r>
    </w:p>
    <w:p>
      <w:pPr>
        <w:spacing w:line="360" w:lineRule="auto"/>
        <w:ind w:firstLine="480" w:firstLineChars="200"/>
        <w:textAlignment w:val="baseline"/>
        <w:rPr>
          <w:rFonts w:ascii="宋体" w:hAnsi="宋体"/>
          <w:sz w:val="24"/>
        </w:rPr>
      </w:pPr>
      <w:r>
        <w:rPr>
          <w:rFonts w:hint="eastAsia" w:ascii="宋体" w:hAnsi="宋体"/>
          <w:sz w:val="24"/>
        </w:rPr>
        <w:t>4）结合阿图什建设现状，体现城市人文历史，形成阿图什人文、自然特征相结合“整体和谐、多样有序”的城市色彩，并制定城市建筑色彩与风貌导则，为建筑色彩的控制、引导与管理提供依据。</w:t>
      </w:r>
    </w:p>
    <w:p>
      <w:pPr>
        <w:spacing w:line="360" w:lineRule="auto"/>
        <w:ind w:firstLine="480" w:firstLineChars="200"/>
        <w:textAlignment w:val="baseline"/>
        <w:rPr>
          <w:rFonts w:ascii="宋体" w:hAnsi="宋体"/>
          <w:sz w:val="24"/>
        </w:rPr>
      </w:pPr>
      <w:r>
        <w:rPr>
          <w:rFonts w:hint="eastAsia" w:ascii="宋体" w:hAnsi="宋体"/>
          <w:sz w:val="24"/>
        </w:rPr>
        <w:t>5）根据产业发展定位、自然山水资源、老城风貌等，全区划定不同类型风貌区，确定各类风貌区的总体设计要求。</w:t>
      </w:r>
    </w:p>
    <w:p>
      <w:pPr>
        <w:spacing w:line="360" w:lineRule="auto"/>
        <w:ind w:firstLine="480" w:firstLineChars="200"/>
        <w:textAlignment w:val="baseline"/>
        <w:rPr>
          <w:rFonts w:ascii="宋体" w:hAnsi="宋体"/>
          <w:sz w:val="24"/>
        </w:rPr>
      </w:pPr>
      <w:r>
        <w:rPr>
          <w:rFonts w:hint="eastAsia" w:ascii="宋体" w:hAnsi="宋体"/>
          <w:sz w:val="24"/>
        </w:rPr>
        <w:t>6）其他总体城市设计需要研究的内容。</w:t>
      </w:r>
    </w:p>
    <w:p>
      <w:pPr>
        <w:spacing w:line="360" w:lineRule="auto"/>
        <w:ind w:firstLine="480" w:firstLineChars="200"/>
        <w:textAlignment w:val="baseline"/>
        <w:rPr>
          <w:rFonts w:ascii="宋体" w:hAnsi="宋体"/>
          <w:sz w:val="24"/>
        </w:rPr>
      </w:pPr>
      <w:r>
        <w:rPr>
          <w:rFonts w:hint="eastAsia" w:ascii="宋体" w:hAnsi="宋体"/>
          <w:sz w:val="24"/>
        </w:rPr>
        <w:t>（2）主城区详细规划</w:t>
      </w:r>
    </w:p>
    <w:p>
      <w:pPr>
        <w:spacing w:line="360" w:lineRule="auto"/>
        <w:ind w:firstLine="482" w:firstLineChars="200"/>
        <w:jc w:val="left"/>
        <w:rPr>
          <w:rFonts w:asciiTheme="minorEastAsia" w:hAnsiTheme="minorEastAsia"/>
          <w:b/>
          <w:sz w:val="24"/>
        </w:rPr>
      </w:pPr>
      <w:r>
        <w:rPr>
          <w:rFonts w:asciiTheme="minorEastAsia" w:hAnsiTheme="minorEastAsia"/>
          <w:b/>
          <w:sz w:val="24"/>
        </w:rPr>
        <w:fldChar w:fldCharType="begin"/>
      </w:r>
      <w:r>
        <w:rPr>
          <w:rFonts w:asciiTheme="minorEastAsia" w:hAnsiTheme="minorEastAsia"/>
          <w:b/>
          <w:sz w:val="24"/>
        </w:rPr>
        <w:instrText xml:space="preserve"> </w:instrText>
      </w:r>
      <w:r>
        <w:rPr>
          <w:rFonts w:hint="eastAsia" w:asciiTheme="minorEastAsia" w:hAnsiTheme="minorEastAsia"/>
          <w:b/>
          <w:sz w:val="24"/>
        </w:rPr>
        <w:instrText xml:space="preserve">= 1 \* GB3</w:instrText>
      </w:r>
      <w:r>
        <w:rPr>
          <w:rFonts w:asciiTheme="minorEastAsia" w:hAnsiTheme="minorEastAsia"/>
          <w:b/>
          <w:sz w:val="24"/>
        </w:rPr>
        <w:instrText xml:space="preserve"> </w:instrText>
      </w:r>
      <w:r>
        <w:rPr>
          <w:rFonts w:asciiTheme="minorEastAsia" w:hAnsiTheme="minorEastAsia"/>
          <w:b/>
          <w:sz w:val="24"/>
        </w:rPr>
        <w:fldChar w:fldCharType="separate"/>
      </w:r>
      <w:r>
        <w:rPr>
          <w:rFonts w:hint="eastAsia" w:asciiTheme="minorEastAsia" w:hAnsiTheme="minorEastAsia"/>
          <w:b/>
          <w:sz w:val="24"/>
        </w:rPr>
        <w:t>①</w:t>
      </w:r>
      <w:r>
        <w:rPr>
          <w:rFonts w:asciiTheme="minorEastAsia" w:hAnsiTheme="minorEastAsia"/>
          <w:b/>
          <w:sz w:val="24"/>
        </w:rPr>
        <w:fldChar w:fldCharType="end"/>
      </w:r>
      <w:r>
        <w:rPr>
          <w:rFonts w:hint="eastAsia" w:asciiTheme="minorEastAsia" w:hAnsiTheme="minorEastAsia"/>
          <w:b/>
          <w:sz w:val="24"/>
        </w:rPr>
        <w:t>细化用地方案编制</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进一步落实喀阿一体化发展战略，并结合国土空间总体规划初步成果，合理划定编制单元。规划编制落实新的发展理念，贯彻以人民为中心的思想，按照生态宜居的要求，补齐城市短板，提升城市品质。</w:t>
      </w:r>
    </w:p>
    <w:p>
      <w:pPr>
        <w:spacing w:line="360" w:lineRule="auto"/>
        <w:ind w:firstLine="482" w:firstLineChars="200"/>
        <w:jc w:val="left"/>
        <w:rPr>
          <w:rFonts w:asciiTheme="minorEastAsia" w:hAnsiTheme="minorEastAsia"/>
          <w:b/>
          <w:sz w:val="24"/>
        </w:rPr>
      </w:pPr>
      <w:r>
        <w:rPr>
          <w:rFonts w:asciiTheme="minorEastAsia" w:hAnsiTheme="minorEastAsia"/>
          <w:b/>
          <w:sz w:val="24"/>
        </w:rPr>
        <w:fldChar w:fldCharType="begin"/>
      </w:r>
      <w:r>
        <w:rPr>
          <w:rFonts w:asciiTheme="minorEastAsia" w:hAnsiTheme="minorEastAsia"/>
          <w:b/>
          <w:sz w:val="24"/>
        </w:rPr>
        <w:instrText xml:space="preserve"> </w:instrText>
      </w:r>
      <w:r>
        <w:rPr>
          <w:rFonts w:hint="eastAsia" w:asciiTheme="minorEastAsia" w:hAnsiTheme="minorEastAsia"/>
          <w:b/>
          <w:sz w:val="24"/>
        </w:rPr>
        <w:instrText xml:space="preserve">= 2 \* GB3</w:instrText>
      </w:r>
      <w:r>
        <w:rPr>
          <w:rFonts w:asciiTheme="minorEastAsia" w:hAnsiTheme="minorEastAsia"/>
          <w:b/>
          <w:sz w:val="24"/>
        </w:rPr>
        <w:instrText xml:space="preserve"> </w:instrText>
      </w:r>
      <w:r>
        <w:rPr>
          <w:rFonts w:asciiTheme="minorEastAsia" w:hAnsiTheme="minorEastAsia"/>
          <w:b/>
          <w:sz w:val="24"/>
        </w:rPr>
        <w:fldChar w:fldCharType="separate"/>
      </w:r>
      <w:r>
        <w:rPr>
          <w:rFonts w:hint="eastAsia" w:asciiTheme="minorEastAsia" w:hAnsiTheme="minorEastAsia"/>
          <w:b/>
          <w:sz w:val="24"/>
        </w:rPr>
        <w:t>②</w:t>
      </w:r>
      <w:r>
        <w:rPr>
          <w:rFonts w:asciiTheme="minorEastAsia" w:hAnsiTheme="minorEastAsia"/>
          <w:b/>
          <w:sz w:val="24"/>
        </w:rPr>
        <w:fldChar w:fldCharType="end"/>
      </w:r>
      <w:r>
        <w:rPr>
          <w:rFonts w:hint="eastAsia" w:asciiTheme="minorEastAsia" w:hAnsiTheme="minorEastAsia"/>
          <w:b/>
          <w:sz w:val="24"/>
        </w:rPr>
        <w:t>明确</w:t>
      </w:r>
      <w:r>
        <w:rPr>
          <w:rFonts w:asciiTheme="minorEastAsia" w:hAnsiTheme="minorEastAsia"/>
          <w:b/>
          <w:sz w:val="24"/>
        </w:rPr>
        <w:t>单元</w:t>
      </w:r>
      <w:r>
        <w:rPr>
          <w:rFonts w:hint="eastAsia" w:asciiTheme="minorEastAsia" w:hAnsiTheme="minorEastAsia"/>
          <w:b/>
          <w:sz w:val="24"/>
        </w:rPr>
        <w:t>划分与</w:t>
      </w:r>
      <w:r>
        <w:rPr>
          <w:rFonts w:asciiTheme="minorEastAsia" w:hAnsiTheme="minorEastAsia"/>
          <w:b/>
          <w:sz w:val="24"/>
        </w:rPr>
        <w:t>单元控制要求</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作为</w:t>
      </w:r>
      <w:r>
        <w:rPr>
          <w:rFonts w:asciiTheme="minorEastAsia" w:hAnsiTheme="minorEastAsia"/>
          <w:sz w:val="24"/>
        </w:rPr>
        <w:t>面向实施的法定规划</w:t>
      </w:r>
      <w:r>
        <w:rPr>
          <w:rFonts w:hint="eastAsia" w:asciiTheme="minorEastAsia" w:hAnsiTheme="minorEastAsia"/>
          <w:sz w:val="24"/>
        </w:rPr>
        <w:t>，规划依据事权划分单元，体现各版块发展意图，</w:t>
      </w:r>
      <w:r>
        <w:rPr>
          <w:rFonts w:asciiTheme="minorEastAsia" w:hAnsiTheme="minorEastAsia"/>
          <w:sz w:val="24"/>
        </w:rPr>
        <w:t>合理</w:t>
      </w:r>
      <w:r>
        <w:rPr>
          <w:rFonts w:hint="eastAsia" w:asciiTheme="minorEastAsia" w:hAnsiTheme="minorEastAsia"/>
          <w:sz w:val="24"/>
        </w:rPr>
        <w:t>划定中心城区</w:t>
      </w:r>
      <w:r>
        <w:rPr>
          <w:rFonts w:asciiTheme="minorEastAsia" w:hAnsiTheme="minorEastAsia"/>
          <w:sz w:val="24"/>
        </w:rPr>
        <w:t>的详规管理单元</w:t>
      </w:r>
      <w:r>
        <w:rPr>
          <w:rFonts w:hint="eastAsia" w:asciiTheme="minorEastAsia" w:hAnsiTheme="minorEastAsia"/>
          <w:sz w:val="24"/>
        </w:rPr>
        <w:t>，并统筹协调城市更新单元划定。突出承上启下“保底线、定框架、留弹性”的作用，</w:t>
      </w:r>
      <w:r>
        <w:rPr>
          <w:rFonts w:asciiTheme="minorEastAsia" w:hAnsiTheme="minorEastAsia"/>
          <w:sz w:val="24"/>
        </w:rPr>
        <w:t>统筹生态保护和城市开发建设，</w:t>
      </w:r>
      <w:r>
        <w:rPr>
          <w:rFonts w:hint="eastAsia" w:asciiTheme="minorEastAsia" w:hAnsiTheme="minorEastAsia"/>
          <w:sz w:val="24"/>
        </w:rPr>
        <w:t>作为统筹生态空间、公益性设施和文化风貌等底线、强化空间引导和落地管控的平台。</w:t>
      </w:r>
    </w:p>
    <w:p>
      <w:pPr>
        <w:spacing w:line="360" w:lineRule="auto"/>
        <w:ind w:firstLine="482" w:firstLineChars="200"/>
        <w:jc w:val="left"/>
        <w:rPr>
          <w:rFonts w:asciiTheme="minorEastAsia" w:hAnsiTheme="minorEastAsia"/>
          <w:b/>
          <w:sz w:val="24"/>
        </w:rPr>
      </w:pPr>
      <w:r>
        <w:rPr>
          <w:rFonts w:asciiTheme="minorEastAsia" w:hAnsiTheme="minorEastAsia"/>
          <w:b/>
          <w:sz w:val="24"/>
        </w:rPr>
        <w:fldChar w:fldCharType="begin"/>
      </w:r>
      <w:r>
        <w:rPr>
          <w:rFonts w:asciiTheme="minorEastAsia" w:hAnsiTheme="minorEastAsia"/>
          <w:b/>
          <w:sz w:val="24"/>
        </w:rPr>
        <w:instrText xml:space="preserve"> </w:instrText>
      </w:r>
      <w:r>
        <w:rPr>
          <w:rFonts w:hint="eastAsia" w:asciiTheme="minorEastAsia" w:hAnsiTheme="minorEastAsia"/>
          <w:b/>
          <w:sz w:val="24"/>
        </w:rPr>
        <w:instrText xml:space="preserve">= 3 \* GB3</w:instrText>
      </w:r>
      <w:r>
        <w:rPr>
          <w:rFonts w:asciiTheme="minorEastAsia" w:hAnsiTheme="minorEastAsia"/>
          <w:b/>
          <w:sz w:val="24"/>
        </w:rPr>
        <w:instrText xml:space="preserve"> </w:instrText>
      </w:r>
      <w:r>
        <w:rPr>
          <w:rFonts w:asciiTheme="minorEastAsia" w:hAnsiTheme="minorEastAsia"/>
          <w:b/>
          <w:sz w:val="24"/>
        </w:rPr>
        <w:fldChar w:fldCharType="separate"/>
      </w:r>
      <w:r>
        <w:rPr>
          <w:rFonts w:hint="eastAsia" w:asciiTheme="minorEastAsia" w:hAnsiTheme="minorEastAsia"/>
          <w:b/>
          <w:sz w:val="24"/>
        </w:rPr>
        <w:t>③</w:t>
      </w:r>
      <w:r>
        <w:rPr>
          <w:rFonts w:asciiTheme="minorEastAsia" w:hAnsiTheme="minorEastAsia"/>
          <w:b/>
          <w:sz w:val="24"/>
        </w:rPr>
        <w:fldChar w:fldCharType="end"/>
      </w:r>
      <w:r>
        <w:rPr>
          <w:rFonts w:asciiTheme="minorEastAsia" w:hAnsiTheme="minorEastAsia"/>
          <w:b/>
          <w:sz w:val="24"/>
        </w:rPr>
        <w:t>单元</w:t>
      </w:r>
      <w:r>
        <w:rPr>
          <w:rFonts w:hint="eastAsia" w:asciiTheme="minorEastAsia" w:hAnsiTheme="minorEastAsia"/>
          <w:b/>
          <w:sz w:val="24"/>
        </w:rPr>
        <w:t>平衡</w:t>
      </w:r>
      <w:r>
        <w:rPr>
          <w:rFonts w:asciiTheme="minorEastAsia" w:hAnsiTheme="minorEastAsia"/>
          <w:b/>
          <w:sz w:val="24"/>
        </w:rPr>
        <w:t>与设施的统筹协调</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协调</w:t>
      </w:r>
      <w:r>
        <w:rPr>
          <w:rFonts w:asciiTheme="minorEastAsia" w:hAnsiTheme="minorEastAsia"/>
          <w:sz w:val="24"/>
        </w:rPr>
        <w:t>统筹</w:t>
      </w:r>
      <w:r>
        <w:rPr>
          <w:rFonts w:hint="eastAsia" w:asciiTheme="minorEastAsia" w:hAnsiTheme="minorEastAsia"/>
          <w:sz w:val="24"/>
        </w:rPr>
        <w:t>各</w:t>
      </w:r>
      <w:r>
        <w:rPr>
          <w:rFonts w:asciiTheme="minorEastAsia" w:hAnsiTheme="minorEastAsia"/>
          <w:sz w:val="24"/>
        </w:rPr>
        <w:t>单元内公共服务、交通、市政</w:t>
      </w:r>
      <w:r>
        <w:rPr>
          <w:rFonts w:hint="eastAsia" w:asciiTheme="minorEastAsia" w:hAnsiTheme="minorEastAsia"/>
          <w:sz w:val="24"/>
        </w:rPr>
        <w:t>设施，</w:t>
      </w:r>
      <w:r>
        <w:rPr>
          <w:rFonts w:asciiTheme="minorEastAsia" w:hAnsiTheme="minorEastAsia"/>
          <w:sz w:val="24"/>
        </w:rPr>
        <w:t>形成互动协调机制，</w:t>
      </w:r>
      <w:r>
        <w:rPr>
          <w:rFonts w:hint="eastAsia" w:asciiTheme="minorEastAsia" w:hAnsiTheme="minorEastAsia"/>
          <w:sz w:val="24"/>
        </w:rPr>
        <w:t>并</w:t>
      </w:r>
      <w:r>
        <w:rPr>
          <w:rFonts w:asciiTheme="minorEastAsia" w:hAnsiTheme="minorEastAsia"/>
          <w:sz w:val="24"/>
        </w:rPr>
        <w:t>明确单元</w:t>
      </w:r>
      <w:r>
        <w:rPr>
          <w:rFonts w:hint="eastAsia" w:asciiTheme="minorEastAsia" w:hAnsiTheme="minorEastAsia"/>
          <w:sz w:val="24"/>
        </w:rPr>
        <w:t>的</w:t>
      </w:r>
      <w:r>
        <w:rPr>
          <w:rFonts w:asciiTheme="minorEastAsia" w:hAnsiTheme="minorEastAsia"/>
          <w:sz w:val="24"/>
        </w:rPr>
        <w:t>总体定位</w:t>
      </w:r>
      <w:r>
        <w:rPr>
          <w:rFonts w:hint="eastAsia" w:asciiTheme="minorEastAsia" w:hAnsiTheme="minorEastAsia"/>
          <w:sz w:val="24"/>
        </w:rPr>
        <w:t>、</w:t>
      </w:r>
      <w:r>
        <w:rPr>
          <w:rFonts w:asciiTheme="minorEastAsia" w:hAnsiTheme="minorEastAsia"/>
          <w:sz w:val="24"/>
        </w:rPr>
        <w:t>用地规模、人口容量、功能分区、土地利用、空间布局</w:t>
      </w:r>
      <w:r>
        <w:rPr>
          <w:rFonts w:hint="eastAsia" w:asciiTheme="minorEastAsia" w:hAnsiTheme="minorEastAsia"/>
          <w:sz w:val="24"/>
        </w:rPr>
        <w:t>、</w:t>
      </w:r>
      <w:r>
        <w:rPr>
          <w:rFonts w:asciiTheme="minorEastAsia" w:hAnsiTheme="minorEastAsia"/>
          <w:sz w:val="24"/>
        </w:rPr>
        <w:t>道路交通、城市</w:t>
      </w:r>
      <w:r>
        <w:rPr>
          <w:rFonts w:hint="eastAsia" w:asciiTheme="minorEastAsia" w:hAnsiTheme="minorEastAsia"/>
          <w:sz w:val="24"/>
        </w:rPr>
        <w:t>设施</w:t>
      </w:r>
      <w:r>
        <w:rPr>
          <w:rFonts w:asciiTheme="minorEastAsia" w:hAnsiTheme="minorEastAsia"/>
          <w:sz w:val="24"/>
        </w:rPr>
        <w:t>、景观环境</w:t>
      </w:r>
      <w:r>
        <w:rPr>
          <w:rFonts w:hint="eastAsia" w:asciiTheme="minorEastAsia" w:hAnsiTheme="minorEastAsia"/>
          <w:sz w:val="24"/>
        </w:rPr>
        <w:t>，</w:t>
      </w:r>
      <w:r>
        <w:rPr>
          <w:rFonts w:asciiTheme="minorEastAsia" w:hAnsiTheme="minorEastAsia"/>
          <w:sz w:val="24"/>
        </w:rPr>
        <w:t>保障城市健康发展，</w:t>
      </w:r>
      <w:r>
        <w:rPr>
          <w:rFonts w:hint="eastAsia" w:asciiTheme="minorEastAsia" w:hAnsiTheme="minorEastAsia"/>
          <w:sz w:val="24"/>
        </w:rPr>
        <w:t>并</w:t>
      </w:r>
      <w:r>
        <w:rPr>
          <w:rFonts w:asciiTheme="minorEastAsia" w:hAnsiTheme="minorEastAsia"/>
          <w:sz w:val="24"/>
        </w:rPr>
        <w:t>进一步明确</w:t>
      </w:r>
      <w:r>
        <w:rPr>
          <w:rFonts w:hint="eastAsia" w:asciiTheme="minorEastAsia" w:hAnsiTheme="minorEastAsia"/>
          <w:sz w:val="24"/>
        </w:rPr>
        <w:t>单元用途</w:t>
      </w:r>
      <w:r>
        <w:rPr>
          <w:rFonts w:asciiTheme="minorEastAsia" w:hAnsiTheme="minorEastAsia"/>
          <w:sz w:val="24"/>
        </w:rPr>
        <w:t>管制的正面清单和负面清单</w:t>
      </w:r>
      <w:r>
        <w:rPr>
          <w:rFonts w:hint="eastAsia" w:asciiTheme="minorEastAsia" w:hAnsiTheme="minorEastAsia"/>
          <w:sz w:val="24"/>
        </w:rPr>
        <w:t>，指导地块层面的规划</w:t>
      </w:r>
      <w:r>
        <w:rPr>
          <w:rFonts w:asciiTheme="minorEastAsia" w:hAnsiTheme="minorEastAsia"/>
          <w:sz w:val="24"/>
        </w:rPr>
        <w:t>。</w:t>
      </w:r>
    </w:p>
    <w:p>
      <w:pPr>
        <w:spacing w:line="360" w:lineRule="auto"/>
        <w:ind w:firstLine="482" w:firstLineChars="200"/>
        <w:jc w:val="left"/>
        <w:rPr>
          <w:rFonts w:asciiTheme="minorEastAsia" w:hAnsiTheme="minorEastAsia"/>
          <w:b/>
          <w:sz w:val="24"/>
        </w:rPr>
      </w:pPr>
      <w:r>
        <w:rPr>
          <w:rFonts w:asciiTheme="minorEastAsia" w:hAnsiTheme="minorEastAsia"/>
          <w:b/>
          <w:sz w:val="24"/>
        </w:rPr>
        <w:fldChar w:fldCharType="begin"/>
      </w:r>
      <w:r>
        <w:rPr>
          <w:rFonts w:asciiTheme="minorEastAsia" w:hAnsiTheme="minorEastAsia"/>
          <w:b/>
          <w:sz w:val="24"/>
        </w:rPr>
        <w:instrText xml:space="preserve"> </w:instrText>
      </w:r>
      <w:r>
        <w:rPr>
          <w:rFonts w:hint="eastAsia" w:asciiTheme="minorEastAsia" w:hAnsiTheme="minorEastAsia"/>
          <w:b/>
          <w:sz w:val="24"/>
        </w:rPr>
        <w:instrText xml:space="preserve">= 4 \* GB3</w:instrText>
      </w:r>
      <w:r>
        <w:rPr>
          <w:rFonts w:asciiTheme="minorEastAsia" w:hAnsiTheme="minorEastAsia"/>
          <w:b/>
          <w:sz w:val="24"/>
        </w:rPr>
        <w:instrText xml:space="preserve"> </w:instrText>
      </w:r>
      <w:r>
        <w:rPr>
          <w:rFonts w:asciiTheme="minorEastAsia" w:hAnsiTheme="minorEastAsia"/>
          <w:b/>
          <w:sz w:val="24"/>
        </w:rPr>
        <w:fldChar w:fldCharType="separate"/>
      </w:r>
      <w:r>
        <w:rPr>
          <w:rFonts w:hint="eastAsia" w:asciiTheme="minorEastAsia" w:hAnsiTheme="minorEastAsia"/>
          <w:b/>
          <w:sz w:val="24"/>
        </w:rPr>
        <w:t>④</w:t>
      </w:r>
      <w:r>
        <w:rPr>
          <w:rFonts w:asciiTheme="minorEastAsia" w:hAnsiTheme="minorEastAsia"/>
          <w:b/>
          <w:sz w:val="24"/>
        </w:rPr>
        <w:fldChar w:fldCharType="end"/>
      </w:r>
      <w:r>
        <w:rPr>
          <w:rFonts w:hint="eastAsia" w:asciiTheme="minorEastAsia" w:hAnsiTheme="minorEastAsia"/>
          <w:b/>
          <w:sz w:val="24"/>
        </w:rPr>
        <w:t>指标管控指导相关规划编制</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结合</w:t>
      </w:r>
      <w:r>
        <w:rPr>
          <w:rFonts w:asciiTheme="minorEastAsia" w:hAnsiTheme="minorEastAsia"/>
          <w:sz w:val="24"/>
        </w:rPr>
        <w:t>单元划分</w:t>
      </w:r>
      <w:r>
        <w:rPr>
          <w:rFonts w:hint="eastAsia" w:asciiTheme="minorEastAsia" w:hAnsiTheme="minorEastAsia"/>
          <w:sz w:val="24"/>
        </w:rPr>
        <w:t>，按照详规</w:t>
      </w:r>
      <w:r>
        <w:rPr>
          <w:rFonts w:asciiTheme="minorEastAsia" w:hAnsiTheme="minorEastAsia"/>
          <w:sz w:val="24"/>
        </w:rPr>
        <w:t>单元的刚性要求，</w:t>
      </w:r>
      <w:r>
        <w:rPr>
          <w:rFonts w:hint="eastAsia" w:asciiTheme="minorEastAsia" w:hAnsiTheme="minorEastAsia"/>
          <w:sz w:val="24"/>
        </w:rPr>
        <w:t>深化</w:t>
      </w:r>
      <w:r>
        <w:rPr>
          <w:rFonts w:asciiTheme="minorEastAsia" w:hAnsiTheme="minorEastAsia"/>
          <w:sz w:val="24"/>
        </w:rPr>
        <w:t>确定地块</w:t>
      </w:r>
      <w:r>
        <w:rPr>
          <w:rFonts w:hint="eastAsia" w:asciiTheme="minorEastAsia" w:hAnsiTheme="minorEastAsia"/>
          <w:sz w:val="24"/>
        </w:rPr>
        <w:t>用地范围</w:t>
      </w:r>
      <w:r>
        <w:rPr>
          <w:rFonts w:asciiTheme="minorEastAsia" w:hAnsiTheme="minorEastAsia"/>
          <w:sz w:val="24"/>
        </w:rPr>
        <w:t>、用地性质面积、容积率、建筑密度、绿地率、建筑</w:t>
      </w:r>
      <w:r>
        <w:rPr>
          <w:rFonts w:hint="eastAsia" w:asciiTheme="minorEastAsia" w:hAnsiTheme="minorEastAsia"/>
          <w:sz w:val="24"/>
        </w:rPr>
        <w:t>要素、风貌</w:t>
      </w:r>
      <w:r>
        <w:rPr>
          <w:rFonts w:asciiTheme="minorEastAsia" w:hAnsiTheme="minorEastAsia"/>
          <w:sz w:val="24"/>
        </w:rPr>
        <w:t>等</w:t>
      </w:r>
      <w:r>
        <w:rPr>
          <w:rFonts w:hint="eastAsia" w:asciiTheme="minorEastAsia" w:hAnsiTheme="minorEastAsia"/>
          <w:sz w:val="24"/>
        </w:rPr>
        <w:t>指标</w:t>
      </w:r>
      <w:r>
        <w:rPr>
          <w:rFonts w:asciiTheme="minorEastAsia" w:hAnsiTheme="minorEastAsia"/>
          <w:sz w:val="24"/>
        </w:rPr>
        <w:t>，</w:t>
      </w:r>
      <w:r>
        <w:rPr>
          <w:rFonts w:hint="eastAsia" w:asciiTheme="minorEastAsia" w:hAnsiTheme="minorEastAsia"/>
          <w:sz w:val="24"/>
        </w:rPr>
        <w:t>指导</w:t>
      </w:r>
      <w:r>
        <w:rPr>
          <w:rFonts w:asciiTheme="minorEastAsia" w:hAnsiTheme="minorEastAsia"/>
          <w:sz w:val="24"/>
        </w:rPr>
        <w:t>具体</w:t>
      </w:r>
      <w:r>
        <w:rPr>
          <w:rFonts w:hint="eastAsia" w:asciiTheme="minorEastAsia" w:hAnsiTheme="minorEastAsia"/>
          <w:sz w:val="24"/>
        </w:rPr>
        <w:t>建设</w:t>
      </w:r>
      <w:r>
        <w:rPr>
          <w:rFonts w:asciiTheme="minorEastAsia" w:hAnsiTheme="minorEastAsia"/>
          <w:sz w:val="24"/>
        </w:rPr>
        <w:t>项目规划许可和土地供应手续办理</w:t>
      </w:r>
      <w:r>
        <w:rPr>
          <w:rFonts w:hint="eastAsia" w:asciiTheme="minorEastAsia" w:hAnsiTheme="minorEastAsia"/>
          <w:sz w:val="24"/>
        </w:rPr>
        <w:t>。</w:t>
      </w:r>
    </w:p>
    <w:p>
      <w:pPr>
        <w:numPr>
          <w:ilvl w:val="0"/>
          <w:numId w:val="1"/>
        </w:numPr>
        <w:spacing w:line="360" w:lineRule="auto"/>
        <w:textAlignment w:val="baseline"/>
        <w:rPr>
          <w:sz w:val="24"/>
        </w:rPr>
      </w:pPr>
      <w:r>
        <w:rPr>
          <w:rFonts w:hint="eastAsia"/>
          <w:sz w:val="24"/>
        </w:rPr>
        <w:t>成果文件</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1、中心城区总体城市设计成果</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总体城市设计成果应包括文本及相应图纸。文本主要内容包括总体背景分析、现状资源分析、规划设计思路、全域层面设计（包括生态格局系统、特色风貌系统等）、中心城区设计（城市特色体系、生态山水体系、历史文化体系、空间形态体系、开敞空间体系、慢行交通体系、景观风貌体系等）、管控实施策略等内容。</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主要图纸包括：</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（1）区位图</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（2）现状资源分析图</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（3）总体结构规划图</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（4）生态系统规划图</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（5）特色空间规划图</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（6）高度控制规划图</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（7）开敞空间规划图</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（8）慢行系统规划图</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（9）景观风貌规划图</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（10）表达设计意图的效果图</w:t>
      </w:r>
    </w:p>
    <w:p>
      <w:pPr>
        <w:spacing w:line="360" w:lineRule="auto"/>
        <w:ind w:firstLine="480" w:firstLineChars="200"/>
        <w:jc w:val="left"/>
        <w:rPr>
          <w:rFonts w:asciiTheme="minorEastAsia" w:hAnsiTheme="minorEastAsia"/>
          <w:sz w:val="24"/>
        </w:rPr>
      </w:pPr>
      <w:r>
        <w:rPr>
          <w:rFonts w:asciiTheme="minorEastAsia" w:hAnsiTheme="minorEastAsia"/>
          <w:sz w:val="24"/>
        </w:rPr>
        <w:t>2</w:t>
      </w:r>
      <w:r>
        <w:rPr>
          <w:rFonts w:hint="eastAsia" w:asciiTheme="minorEastAsia" w:hAnsiTheme="minorEastAsia"/>
          <w:sz w:val="24"/>
        </w:rPr>
        <w:t>、主城区详细规划成果</w:t>
      </w:r>
    </w:p>
    <w:p>
      <w:pPr>
        <w:spacing w:line="360" w:lineRule="auto"/>
        <w:ind w:firstLine="420" w:firstLineChars="200"/>
        <w:jc w:val="left"/>
        <w:rPr>
          <w:rFonts w:asciiTheme="minorEastAsia" w:hAnsiTheme="minorEastAsia"/>
          <w:sz w:val="24"/>
        </w:rPr>
      </w:pPr>
      <w:r>
        <w:rPr>
          <w:rFonts w:hint="eastAsia"/>
        </w:rPr>
        <w:t xml:space="preserve"> </w:t>
      </w:r>
      <w:r>
        <w:t xml:space="preserve"> </w:t>
      </w:r>
      <w:r>
        <w:rPr>
          <w:rFonts w:hint="eastAsia" w:asciiTheme="minorEastAsia" w:hAnsiTheme="minorEastAsia"/>
          <w:sz w:val="24"/>
        </w:rPr>
        <w:t>按照国家、自治区详规编制标准进行，成果内容包括详规</w:t>
      </w:r>
      <w:r>
        <w:rPr>
          <w:rFonts w:asciiTheme="minorEastAsia" w:hAnsiTheme="minorEastAsia"/>
          <w:sz w:val="24"/>
        </w:rPr>
        <w:t>文本</w:t>
      </w:r>
      <w:r>
        <w:rPr>
          <w:rFonts w:hint="eastAsia" w:asciiTheme="minorEastAsia" w:hAnsiTheme="minorEastAsia"/>
          <w:sz w:val="24"/>
        </w:rPr>
        <w:t>、</w:t>
      </w:r>
      <w:r>
        <w:rPr>
          <w:rFonts w:asciiTheme="minorEastAsia" w:hAnsiTheme="minorEastAsia"/>
          <w:sz w:val="24"/>
        </w:rPr>
        <w:t>图纸</w:t>
      </w:r>
      <w:r>
        <w:rPr>
          <w:rFonts w:hint="eastAsia" w:asciiTheme="minorEastAsia" w:hAnsiTheme="minorEastAsia"/>
          <w:sz w:val="24"/>
        </w:rPr>
        <w:t>、</w:t>
      </w:r>
      <w:r>
        <w:rPr>
          <w:rFonts w:asciiTheme="minorEastAsia" w:hAnsiTheme="minorEastAsia"/>
          <w:sz w:val="24"/>
        </w:rPr>
        <w:t>图则</w:t>
      </w:r>
      <w:r>
        <w:rPr>
          <w:rFonts w:hint="eastAsia" w:asciiTheme="minorEastAsia" w:hAnsiTheme="minorEastAsia"/>
          <w:sz w:val="24"/>
        </w:rPr>
        <w:t>以及</w:t>
      </w:r>
      <w:r>
        <w:rPr>
          <w:rFonts w:asciiTheme="minorEastAsia" w:hAnsiTheme="minorEastAsia"/>
          <w:sz w:val="24"/>
        </w:rPr>
        <w:t>说明书、</w:t>
      </w:r>
      <w:r>
        <w:rPr>
          <w:rFonts w:hint="eastAsia" w:asciiTheme="minorEastAsia" w:hAnsiTheme="minorEastAsia"/>
          <w:sz w:val="24"/>
        </w:rPr>
        <w:t>附件</w:t>
      </w:r>
      <w:r>
        <w:rPr>
          <w:rFonts w:asciiTheme="minorEastAsia" w:hAnsiTheme="minorEastAsia"/>
          <w:sz w:val="24"/>
        </w:rPr>
        <w:t>（</w:t>
      </w:r>
      <w:r>
        <w:rPr>
          <w:rFonts w:hint="eastAsia" w:asciiTheme="minorEastAsia" w:hAnsiTheme="minorEastAsia"/>
          <w:sz w:val="24"/>
        </w:rPr>
        <w:t>规划实施</w:t>
      </w:r>
      <w:r>
        <w:rPr>
          <w:rFonts w:asciiTheme="minorEastAsia" w:hAnsiTheme="minorEastAsia"/>
          <w:sz w:val="24"/>
        </w:rPr>
        <w:t>评估、基础资料汇编</w:t>
      </w:r>
      <w:r>
        <w:rPr>
          <w:rFonts w:hint="eastAsia" w:asciiTheme="minorEastAsia" w:hAnsiTheme="minorEastAsia"/>
          <w:sz w:val="24"/>
        </w:rPr>
        <w:t>）、必要的专题研究。</w:t>
      </w:r>
    </w:p>
    <w:p>
      <w:pPr>
        <w:spacing w:line="360" w:lineRule="auto"/>
        <w:ind w:firstLine="480" w:firstLineChars="200"/>
        <w:jc w:val="left"/>
        <w:rPr>
          <w:rFonts w:asciiTheme="minorEastAsia" w:hAnsiTheme="minorEastAsia"/>
          <w:sz w:val="24"/>
        </w:rPr>
      </w:pPr>
      <w:r>
        <w:rPr>
          <w:rFonts w:asciiTheme="minorEastAsia" w:hAnsiTheme="minorEastAsia"/>
          <w:sz w:val="24"/>
        </w:rPr>
        <w:t>包括</w:t>
      </w:r>
      <w:r>
        <w:rPr>
          <w:rFonts w:hint="eastAsia" w:asciiTheme="minorEastAsia" w:hAnsiTheme="minorEastAsia"/>
          <w:sz w:val="24"/>
        </w:rPr>
        <w:t>但不仅限于以下</w:t>
      </w:r>
      <w:r>
        <w:rPr>
          <w:rFonts w:asciiTheme="minorEastAsia" w:hAnsiTheme="minorEastAsia"/>
          <w:sz w:val="24"/>
        </w:rPr>
        <w:t>图纸：</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1、土地利用现状图             2、现状道路系统分析图</w:t>
      </w:r>
    </w:p>
    <w:p>
      <w:pPr>
        <w:spacing w:line="360" w:lineRule="auto"/>
        <w:ind w:firstLine="480" w:firstLineChars="200"/>
        <w:jc w:val="left"/>
        <w:rPr>
          <w:rFonts w:asciiTheme="minorEastAsia" w:hAnsiTheme="minorEastAsia"/>
          <w:sz w:val="24"/>
        </w:rPr>
      </w:pPr>
      <w:r>
        <w:rPr>
          <w:rFonts w:asciiTheme="minorEastAsia" w:hAnsiTheme="minorEastAsia"/>
          <w:sz w:val="24"/>
        </w:rPr>
        <w:t>3</w:t>
      </w:r>
      <w:r>
        <w:rPr>
          <w:rFonts w:hint="eastAsia" w:asciiTheme="minorEastAsia" w:hAnsiTheme="minorEastAsia"/>
          <w:sz w:val="24"/>
        </w:rPr>
        <w:t>、现状</w:t>
      </w:r>
      <w:r>
        <w:rPr>
          <w:rFonts w:asciiTheme="minorEastAsia" w:hAnsiTheme="minorEastAsia"/>
          <w:sz w:val="24"/>
        </w:rPr>
        <w:t>建筑分析图</w:t>
      </w:r>
      <w:r>
        <w:rPr>
          <w:rFonts w:hint="eastAsia" w:asciiTheme="minorEastAsia" w:hAnsiTheme="minorEastAsia"/>
          <w:sz w:val="24"/>
        </w:rPr>
        <w:t xml:space="preserve">             </w:t>
      </w:r>
      <w:r>
        <w:rPr>
          <w:rFonts w:asciiTheme="minorEastAsia" w:hAnsiTheme="minorEastAsia"/>
          <w:sz w:val="24"/>
        </w:rPr>
        <w:t>4</w:t>
      </w:r>
      <w:r>
        <w:rPr>
          <w:rFonts w:hint="eastAsia" w:asciiTheme="minorEastAsia" w:hAnsiTheme="minorEastAsia"/>
          <w:sz w:val="24"/>
        </w:rPr>
        <w:t>、用地潜力分析图</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 xml:space="preserve">5、规划结构分析图        </w:t>
      </w:r>
      <w:r>
        <w:rPr>
          <w:rFonts w:asciiTheme="minorEastAsia" w:hAnsiTheme="minorEastAsia"/>
          <w:sz w:val="24"/>
        </w:rPr>
        <w:t xml:space="preserve">     6</w:t>
      </w:r>
      <w:r>
        <w:rPr>
          <w:rFonts w:hint="eastAsia" w:asciiTheme="minorEastAsia" w:hAnsiTheme="minorEastAsia"/>
          <w:sz w:val="24"/>
        </w:rPr>
        <w:t>、土地利用规划图</w:t>
      </w:r>
    </w:p>
    <w:p>
      <w:pPr>
        <w:spacing w:line="360" w:lineRule="auto"/>
        <w:ind w:firstLine="480" w:firstLineChars="200"/>
        <w:jc w:val="left"/>
        <w:rPr>
          <w:rFonts w:asciiTheme="minorEastAsia" w:hAnsiTheme="minorEastAsia"/>
          <w:sz w:val="24"/>
        </w:rPr>
      </w:pPr>
      <w:r>
        <w:rPr>
          <w:rFonts w:asciiTheme="minorEastAsia" w:hAnsiTheme="minorEastAsia"/>
          <w:sz w:val="24"/>
        </w:rPr>
        <w:t>7</w:t>
      </w:r>
      <w:r>
        <w:rPr>
          <w:rFonts w:hint="eastAsia" w:asciiTheme="minorEastAsia" w:hAnsiTheme="minorEastAsia"/>
          <w:sz w:val="24"/>
        </w:rPr>
        <w:t xml:space="preserve">、公共服务设施规划图        </w:t>
      </w:r>
      <w:r>
        <w:rPr>
          <w:rFonts w:asciiTheme="minorEastAsia" w:hAnsiTheme="minorEastAsia"/>
          <w:sz w:val="24"/>
        </w:rPr>
        <w:t xml:space="preserve"> 8</w:t>
      </w:r>
      <w:r>
        <w:rPr>
          <w:rFonts w:hint="eastAsia" w:asciiTheme="minorEastAsia" w:hAnsiTheme="minorEastAsia"/>
          <w:sz w:val="24"/>
        </w:rPr>
        <w:t>、商业服务业设施规划图</w:t>
      </w:r>
    </w:p>
    <w:p>
      <w:pPr>
        <w:spacing w:line="360" w:lineRule="auto"/>
        <w:ind w:firstLine="480" w:firstLineChars="200"/>
        <w:jc w:val="left"/>
        <w:rPr>
          <w:rFonts w:asciiTheme="minorEastAsia" w:hAnsiTheme="minorEastAsia"/>
          <w:sz w:val="24"/>
        </w:rPr>
      </w:pPr>
      <w:r>
        <w:rPr>
          <w:rFonts w:asciiTheme="minorEastAsia" w:hAnsiTheme="minorEastAsia"/>
          <w:sz w:val="24"/>
        </w:rPr>
        <w:t>9</w:t>
      </w:r>
      <w:r>
        <w:rPr>
          <w:rFonts w:hint="eastAsia" w:asciiTheme="minorEastAsia" w:hAnsiTheme="minorEastAsia"/>
          <w:sz w:val="24"/>
        </w:rPr>
        <w:t xml:space="preserve">、绿地系统结构图        </w:t>
      </w:r>
      <w:r>
        <w:rPr>
          <w:rFonts w:asciiTheme="minorEastAsia" w:hAnsiTheme="minorEastAsia"/>
          <w:sz w:val="24"/>
        </w:rPr>
        <w:t xml:space="preserve">     10</w:t>
      </w:r>
      <w:r>
        <w:rPr>
          <w:rFonts w:hint="eastAsia" w:asciiTheme="minorEastAsia" w:hAnsiTheme="minorEastAsia"/>
          <w:sz w:val="24"/>
        </w:rPr>
        <w:t>、道路系统规划图</w:t>
      </w:r>
    </w:p>
    <w:p>
      <w:pPr>
        <w:spacing w:line="360" w:lineRule="auto"/>
        <w:ind w:firstLine="480" w:firstLineChars="200"/>
        <w:jc w:val="left"/>
        <w:rPr>
          <w:rFonts w:asciiTheme="minorEastAsia" w:hAnsiTheme="minorEastAsia"/>
          <w:sz w:val="24"/>
        </w:rPr>
      </w:pPr>
      <w:r>
        <w:rPr>
          <w:rFonts w:asciiTheme="minorEastAsia" w:hAnsiTheme="minorEastAsia"/>
          <w:sz w:val="24"/>
        </w:rPr>
        <w:t>11</w:t>
      </w:r>
      <w:r>
        <w:rPr>
          <w:rFonts w:hint="eastAsia" w:asciiTheme="minorEastAsia" w:hAnsiTheme="minorEastAsia"/>
          <w:sz w:val="24"/>
        </w:rPr>
        <w:t xml:space="preserve">、空间景观规划图        </w:t>
      </w:r>
      <w:r>
        <w:rPr>
          <w:rFonts w:asciiTheme="minorEastAsia" w:hAnsiTheme="minorEastAsia"/>
          <w:sz w:val="24"/>
        </w:rPr>
        <w:t xml:space="preserve">    12</w:t>
      </w:r>
      <w:r>
        <w:rPr>
          <w:rFonts w:hint="eastAsia" w:asciiTheme="minorEastAsia" w:hAnsiTheme="minorEastAsia"/>
          <w:sz w:val="24"/>
        </w:rPr>
        <w:t>、城市绿线</w:t>
      </w:r>
      <w:r>
        <w:rPr>
          <w:rFonts w:asciiTheme="minorEastAsia" w:hAnsiTheme="minorEastAsia"/>
          <w:sz w:val="24"/>
        </w:rPr>
        <w:t>规划图</w:t>
      </w:r>
    </w:p>
    <w:p>
      <w:pPr>
        <w:spacing w:line="360" w:lineRule="auto"/>
        <w:ind w:firstLine="480" w:firstLineChars="200"/>
        <w:jc w:val="left"/>
        <w:rPr>
          <w:rFonts w:asciiTheme="minorEastAsia" w:hAnsiTheme="minorEastAsia"/>
          <w:sz w:val="24"/>
        </w:rPr>
      </w:pPr>
      <w:r>
        <w:rPr>
          <w:rFonts w:asciiTheme="minorEastAsia" w:hAnsiTheme="minorEastAsia"/>
          <w:sz w:val="24"/>
        </w:rPr>
        <w:t>13</w:t>
      </w:r>
      <w:r>
        <w:rPr>
          <w:rFonts w:hint="eastAsia" w:asciiTheme="minorEastAsia" w:hAnsiTheme="minorEastAsia"/>
          <w:sz w:val="24"/>
        </w:rPr>
        <w:t>、城市蓝线</w:t>
      </w:r>
      <w:r>
        <w:rPr>
          <w:rFonts w:asciiTheme="minorEastAsia" w:hAnsiTheme="minorEastAsia"/>
          <w:sz w:val="24"/>
        </w:rPr>
        <w:t>规划图</w:t>
      </w:r>
      <w:r>
        <w:rPr>
          <w:rFonts w:hint="eastAsia" w:asciiTheme="minorEastAsia" w:hAnsiTheme="minorEastAsia"/>
          <w:sz w:val="24"/>
        </w:rPr>
        <w:t xml:space="preserve">        </w:t>
      </w:r>
      <w:r>
        <w:rPr>
          <w:rFonts w:asciiTheme="minorEastAsia" w:hAnsiTheme="minorEastAsia"/>
          <w:sz w:val="24"/>
        </w:rPr>
        <w:t xml:space="preserve">    14</w:t>
      </w:r>
      <w:r>
        <w:rPr>
          <w:rFonts w:hint="eastAsia" w:asciiTheme="minorEastAsia" w:hAnsiTheme="minorEastAsia"/>
          <w:sz w:val="24"/>
        </w:rPr>
        <w:t>、建筑高度控制图</w:t>
      </w:r>
    </w:p>
    <w:p>
      <w:pPr>
        <w:spacing w:line="360" w:lineRule="auto"/>
        <w:ind w:firstLine="480" w:firstLineChars="200"/>
        <w:jc w:val="left"/>
        <w:rPr>
          <w:rFonts w:asciiTheme="minorEastAsia" w:hAnsiTheme="minorEastAsia"/>
          <w:sz w:val="24"/>
        </w:rPr>
      </w:pPr>
      <w:r>
        <w:rPr>
          <w:rFonts w:asciiTheme="minorEastAsia" w:hAnsiTheme="minorEastAsia"/>
          <w:sz w:val="24"/>
        </w:rPr>
        <w:t>15</w:t>
      </w:r>
      <w:r>
        <w:rPr>
          <w:rFonts w:hint="eastAsia" w:asciiTheme="minorEastAsia" w:hAnsiTheme="minorEastAsia"/>
          <w:sz w:val="24"/>
        </w:rPr>
        <w:t xml:space="preserve">、开发强度控制图        </w:t>
      </w:r>
      <w:r>
        <w:rPr>
          <w:rFonts w:asciiTheme="minorEastAsia" w:hAnsiTheme="minorEastAsia"/>
          <w:sz w:val="24"/>
        </w:rPr>
        <w:t xml:space="preserve">    16</w:t>
      </w:r>
      <w:r>
        <w:rPr>
          <w:rFonts w:hint="eastAsia" w:asciiTheme="minorEastAsia" w:hAnsiTheme="minorEastAsia"/>
          <w:sz w:val="24"/>
        </w:rPr>
        <w:t>、地下空间规划图</w:t>
      </w:r>
    </w:p>
    <w:p>
      <w:pPr>
        <w:spacing w:line="360" w:lineRule="auto"/>
        <w:ind w:firstLine="480" w:firstLineChars="200"/>
        <w:jc w:val="left"/>
        <w:rPr>
          <w:rFonts w:asciiTheme="minorEastAsia" w:hAnsiTheme="minorEastAsia"/>
          <w:sz w:val="24"/>
        </w:rPr>
      </w:pPr>
      <w:r>
        <w:rPr>
          <w:rFonts w:asciiTheme="minorEastAsia" w:hAnsiTheme="minorEastAsia"/>
          <w:sz w:val="24"/>
        </w:rPr>
        <w:t>17</w:t>
      </w:r>
      <w:r>
        <w:rPr>
          <w:rFonts w:hint="eastAsia" w:asciiTheme="minorEastAsia" w:hAnsiTheme="minorEastAsia"/>
          <w:sz w:val="24"/>
        </w:rPr>
        <w:t xml:space="preserve">、给水工程规划图        </w:t>
      </w:r>
      <w:r>
        <w:rPr>
          <w:rFonts w:asciiTheme="minorEastAsia" w:hAnsiTheme="minorEastAsia"/>
          <w:sz w:val="24"/>
        </w:rPr>
        <w:t xml:space="preserve">    18</w:t>
      </w:r>
      <w:r>
        <w:rPr>
          <w:rFonts w:hint="eastAsia" w:asciiTheme="minorEastAsia" w:hAnsiTheme="minorEastAsia"/>
          <w:sz w:val="24"/>
        </w:rPr>
        <w:t>、电力工程</w:t>
      </w:r>
      <w:r>
        <w:rPr>
          <w:rFonts w:asciiTheme="minorEastAsia" w:hAnsiTheme="minorEastAsia"/>
          <w:sz w:val="24"/>
        </w:rPr>
        <w:t>规划图</w:t>
      </w:r>
    </w:p>
    <w:p>
      <w:pPr>
        <w:spacing w:line="360" w:lineRule="auto"/>
        <w:ind w:firstLine="480" w:firstLineChars="200"/>
        <w:jc w:val="left"/>
        <w:rPr>
          <w:rFonts w:asciiTheme="minorEastAsia" w:hAnsiTheme="minorEastAsia"/>
          <w:sz w:val="24"/>
        </w:rPr>
      </w:pPr>
      <w:r>
        <w:rPr>
          <w:rFonts w:asciiTheme="minorEastAsia" w:hAnsiTheme="minorEastAsia"/>
          <w:sz w:val="24"/>
        </w:rPr>
        <w:t>19</w:t>
      </w:r>
      <w:r>
        <w:rPr>
          <w:rFonts w:hint="eastAsia" w:asciiTheme="minorEastAsia" w:hAnsiTheme="minorEastAsia"/>
          <w:sz w:val="24"/>
        </w:rPr>
        <w:t xml:space="preserve">、城市单元及街区划分图      </w:t>
      </w:r>
      <w:r>
        <w:rPr>
          <w:rFonts w:asciiTheme="minorEastAsia" w:hAnsiTheme="minorEastAsia"/>
          <w:sz w:val="24"/>
        </w:rPr>
        <w:t>20</w:t>
      </w:r>
      <w:r>
        <w:rPr>
          <w:rFonts w:hint="eastAsia" w:asciiTheme="minorEastAsia" w:hAnsiTheme="minorEastAsia"/>
          <w:sz w:val="24"/>
        </w:rPr>
        <w:t>、容量指标规划图</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 xml:space="preserve">21、单元控制图则             </w:t>
      </w:r>
      <w:r>
        <w:rPr>
          <w:rFonts w:asciiTheme="minorEastAsia" w:hAnsiTheme="minorEastAsia"/>
          <w:sz w:val="24"/>
        </w:rPr>
        <w:t xml:space="preserve"> </w:t>
      </w:r>
      <w:r>
        <w:rPr>
          <w:rFonts w:hint="eastAsia" w:asciiTheme="minorEastAsia" w:hAnsiTheme="minorEastAsia"/>
          <w:sz w:val="24"/>
        </w:rPr>
        <w:t>22、地块控制图则</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3、成果形式</w:t>
      </w:r>
    </w:p>
    <w:p>
      <w:r>
        <w:rPr>
          <w:rFonts w:hint="eastAsia" w:asciiTheme="minorEastAsia" w:hAnsiTheme="minorEastAsia"/>
          <w:sz w:val="24"/>
        </w:rPr>
        <w:t>规划成果包括上述所有文字、图纸、汇报材料、公示材料的打印本及对应的电子文件。相关内容可根据具体的规划设计进行合理增减。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D54CA4"/>
    <w:multiLevelType w:val="multilevel"/>
    <w:tmpl w:val="71D54CA4"/>
    <w:lvl w:ilvl="0" w:tentative="0">
      <w:start w:val="1"/>
      <w:numFmt w:val="decimal"/>
      <w:lvlText w:val="（%1）"/>
      <w:lvlJc w:val="left"/>
      <w:pPr>
        <w:ind w:left="1206" w:hanging="720"/>
      </w:pPr>
      <w:rPr>
        <w:rFonts w:hint="default"/>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
    <w:nsid w:val="7963AFFF"/>
    <w:multiLevelType w:val="multilevel"/>
    <w:tmpl w:val="7963AFFF"/>
    <w:lvl w:ilvl="0" w:tentative="0">
      <w:start w:val="1"/>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YjhiZTg5N2NlMmI0NzU2Y2Y1NzMzZjdjMmZhYmEifQ=="/>
  </w:docVars>
  <w:rsids>
    <w:rsidRoot w:val="734A7EC6"/>
    <w:rsid w:val="080D34AE"/>
    <w:rsid w:val="08B811AC"/>
    <w:rsid w:val="0A9D106A"/>
    <w:rsid w:val="6B2313EE"/>
    <w:rsid w:val="6D964EDD"/>
    <w:rsid w:val="734A7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List Paragraph"/>
    <w:basedOn w:val="1"/>
    <w:qFormat/>
    <w:uiPriority w:val="0"/>
    <w:pPr>
      <w:spacing w:line="360" w:lineRule="auto"/>
      <w:ind w:firstLine="42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政企事业部</Company>
  <Pages>5</Pages>
  <Words>2867</Words>
  <Characters>2891</Characters>
  <Lines>0</Lines>
  <Paragraphs>0</Paragraphs>
  <TotalTime>2</TotalTime>
  <ScaleCrop>false</ScaleCrop>
  <LinksUpToDate>false</LinksUpToDate>
  <CharactersWithSpaces>3030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2022-09-28T11:14:00Z</dcterms:created>
  <dc:creator>孤鹰</dc:creator>
  <cp:lastModifiedBy>孤鹰</cp:lastModifiedBy>
  <cp:lastPrinted>2022-09-30T08:51:00Z</cp:lastPrinted>
  <dcterms:modified xsi:type="dcterms:W3CDTF">2022-10-08T12:26:05Z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23C2557296FC4483A7FC014D7609BD2E</vt:lpwstr>
  </property>
</Properties>
</file>