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bCs/>
          <w:sz w:val="72"/>
          <w:szCs w:val="72"/>
        </w:rPr>
      </w:pPr>
    </w:p>
    <w:p>
      <w:pPr>
        <w:jc w:val="center"/>
        <w:rPr>
          <w:rFonts w:hint="eastAsia"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政府采购公开招标文件</w:t>
      </w:r>
    </w:p>
    <w:p>
      <w:pPr>
        <w:jc w:val="center"/>
        <w:rPr>
          <w:rFonts w:hint="eastAsia"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（服务类）</w:t>
      </w:r>
    </w:p>
    <w:p/>
    <w:p>
      <w:pPr>
        <w:pStyle w:val="140"/>
        <w:ind w:firstLine="320" w:firstLineChars="100"/>
        <w:jc w:val="both"/>
        <w:rPr>
          <w:rFonts w:hint="eastAsia"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项目名称：新疆巴州卫生学校2025年现代职业教育质量提升</w:t>
      </w:r>
    </w:p>
    <w:p>
      <w:pPr>
        <w:pStyle w:val="140"/>
        <w:ind w:firstLine="320" w:firstLineChars="100"/>
        <w:jc w:val="both"/>
        <w:rPr>
          <w:rFonts w:hint="eastAsia"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（护理VR虚拟仿真实训室）项目</w:t>
      </w:r>
    </w:p>
    <w:tbl>
      <w:tblPr>
        <w:tblStyle w:val="39"/>
        <w:tblpPr w:leftFromText="180" w:rightFromText="180" w:vertAnchor="page" w:horzAnchor="page" w:tblpX="1452" w:tblpY="90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434" w:type="dxa"/>
            <w:vAlign w:val="center"/>
          </w:tcPr>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采购人</w:t>
            </w:r>
          </w:p>
          <w:p>
            <w:pPr>
              <w:jc w:val="center"/>
            </w:pPr>
            <w:r>
              <w:rPr>
                <w:rFonts w:hint="eastAsia" w:ascii="方正小标宋_GBK" w:hAnsi="方正小标宋_GBK" w:eastAsia="方正小标宋_GBK" w:cs="方正小标宋_GBK"/>
                <w:sz w:val="28"/>
                <w:szCs w:val="28"/>
              </w:rPr>
              <w:t>审核意见</w:t>
            </w:r>
          </w:p>
        </w:tc>
        <w:tc>
          <w:tcPr>
            <w:tcW w:w="7896" w:type="dxa"/>
          </w:tcPr>
          <w:p>
            <w:r>
              <w:rPr>
                <w:rFonts w:hint="eastAsia"/>
              </w:rPr>
              <w:t>　　　　　　　　　　　　　　　　　　　</w:t>
            </w:r>
          </w:p>
          <w:p/>
          <w:p>
            <w:pPr>
              <w:rPr>
                <w:rFonts w:hint="eastAsia"/>
              </w:rPr>
            </w:pPr>
          </w:p>
          <w:p>
            <w:pPr>
              <w:rPr>
                <w:rFonts w:hint="eastAsia"/>
              </w:rPr>
            </w:pPr>
          </w:p>
          <w:p>
            <w:pPr>
              <w:rPr>
                <w:rFonts w:hint="eastAsia"/>
              </w:rPr>
            </w:pPr>
          </w:p>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rPr>
              <w:t>采购人签章：</w:t>
            </w:r>
          </w:p>
          <w:p>
            <w:pPr>
              <w:jc w:val="center"/>
            </w:pPr>
            <w:r>
              <w:rPr>
                <w:rFonts w:hint="eastAsia" w:ascii="方正小标宋_GBK" w:hAnsi="方正小标宋_GBK" w:eastAsia="方正小标宋_GBK" w:cs="方正小标宋_GBK"/>
                <w:sz w:val="28"/>
                <w:szCs w:val="28"/>
              </w:rPr>
              <w:t>　　　　　　　　　　　　　　　　      2025年5月12日</w:t>
            </w:r>
          </w:p>
        </w:tc>
      </w:tr>
    </w:tbl>
    <w:p>
      <w:pPr>
        <w:pStyle w:val="140"/>
        <w:ind w:firstLine="320" w:firstLineChars="100"/>
        <w:jc w:val="both"/>
        <w:rPr>
          <w:rFonts w:hint="eastAsia"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项目编号：</w:t>
      </w:r>
      <w:r>
        <w:rPr>
          <w:rFonts w:hint="eastAsia" w:ascii="方正小标宋_GBK" w:hAnsi="方正小标宋_GBK" w:eastAsia="方正小标宋_GBK" w:cs="方正小标宋_GBK"/>
          <w:b/>
          <w:bCs/>
          <w:sz w:val="32"/>
          <w:lang w:eastAsia="zh-CN"/>
        </w:rPr>
        <w:t>BZZZZX(GK)2025-028</w:t>
      </w:r>
      <w:r>
        <w:rPr>
          <w:rFonts w:hint="eastAsia" w:ascii="方正小标宋_GBK" w:hAnsi="方正小标宋_GBK" w:eastAsia="方正小标宋_GBK" w:cs="方正小标宋_GBK"/>
          <w:b/>
          <w:bCs/>
          <w:sz w:val="32"/>
        </w:rPr>
        <w:t>号</w:t>
      </w:r>
    </w:p>
    <w:p/>
    <w:p/>
    <w:p/>
    <w:p/>
    <w:p>
      <w:pPr>
        <w:pStyle w:val="140"/>
        <w:spacing w:before="0" w:after="0"/>
        <w:ind w:firstLine="1050" w:firstLineChars="328"/>
        <w:rPr>
          <w:rFonts w:hint="eastAsia" w:ascii="方正小标宋_GBK" w:hAnsi="方正小标宋_GBK" w:eastAsia="方正小标宋_GBK" w:cs="方正小标宋_GBK"/>
          <w:b/>
          <w:bCs/>
          <w:sz w:val="32"/>
        </w:rPr>
      </w:pPr>
    </w:p>
    <w:p>
      <w:pPr>
        <w:pStyle w:val="140"/>
        <w:spacing w:before="0" w:after="0"/>
        <w:ind w:firstLine="1050" w:firstLineChars="328"/>
        <w:rPr>
          <w:rFonts w:hint="eastAsia" w:ascii="方正小标宋_GBK" w:hAnsi="方正小标宋_GBK" w:eastAsia="方正小标宋_GBK" w:cs="方正小标宋_GBK"/>
          <w:b/>
          <w:bCs/>
          <w:sz w:val="32"/>
        </w:rPr>
      </w:pPr>
    </w:p>
    <w:p>
      <w:pPr>
        <w:pStyle w:val="140"/>
        <w:spacing w:before="0" w:after="0"/>
        <w:ind w:firstLine="1050" w:firstLineChars="328"/>
        <w:rPr>
          <w:rFonts w:hint="eastAsia" w:ascii="方正小标宋_GBK" w:hAnsi="方正小标宋_GBK" w:eastAsia="方正小标宋_GBK" w:cs="方正小标宋_GBK"/>
          <w:b/>
          <w:bCs/>
          <w:sz w:val="32"/>
        </w:rPr>
      </w:pPr>
    </w:p>
    <w:p>
      <w:pPr>
        <w:pStyle w:val="140"/>
        <w:spacing w:before="0" w:after="0"/>
        <w:ind w:firstLine="1050" w:firstLineChars="328"/>
        <w:rPr>
          <w:rFonts w:hint="eastAsia" w:ascii="方正小标宋_GBK" w:hAnsi="方正小标宋_GBK" w:eastAsia="方正小标宋_GBK" w:cs="方正小标宋_GBK"/>
          <w:b/>
          <w:bCs/>
          <w:sz w:val="32"/>
        </w:rPr>
      </w:pPr>
    </w:p>
    <w:p>
      <w:pPr>
        <w:pStyle w:val="140"/>
        <w:spacing w:before="0" w:after="0"/>
        <w:ind w:firstLine="1050" w:firstLineChars="328"/>
        <w:rPr>
          <w:rFonts w:hint="eastAsia"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巴音郭楞蒙古自治州政务服务和公共资源交易中心</w:t>
      </w:r>
    </w:p>
    <w:p>
      <w:pPr>
        <w:pStyle w:val="140"/>
        <w:spacing w:before="0" w:after="0"/>
        <w:ind w:firstLine="1050" w:firstLineChars="328"/>
        <w:rPr>
          <w:rFonts w:hint="eastAsia" w:ascii="方正小标宋_GBK" w:hAnsi="方正小标宋_GBK" w:eastAsia="方正小标宋_GBK" w:cs="方正小标宋_GBK"/>
          <w:b/>
          <w:bCs/>
          <w:sz w:val="32"/>
        </w:rPr>
      </w:pPr>
      <w:r>
        <w:rPr>
          <w:rFonts w:hint="eastAsia" w:ascii="方正小标宋_GBK" w:hAnsi="方正小标宋_GBK" w:eastAsia="方正小标宋_GBK" w:cs="方正小标宋_GBK"/>
          <w:b/>
          <w:bCs/>
          <w:sz w:val="32"/>
        </w:rPr>
        <w:t xml:space="preserve">            2025年5月1</w:t>
      </w:r>
      <w:r>
        <w:rPr>
          <w:rFonts w:hint="eastAsia" w:ascii="方正小标宋_GBK" w:hAnsi="方正小标宋_GBK" w:eastAsia="方正小标宋_GBK" w:cs="方正小标宋_GBK"/>
          <w:b/>
          <w:bCs/>
          <w:sz w:val="32"/>
          <w:lang w:val="en-US" w:eastAsia="zh-CN"/>
        </w:rPr>
        <w:t>5</w:t>
      </w:r>
      <w:r>
        <w:rPr>
          <w:rFonts w:hint="eastAsia" w:ascii="方正小标宋_GBK" w:hAnsi="方正小标宋_GBK" w:eastAsia="方正小标宋_GBK" w:cs="方正小标宋_GBK"/>
          <w:b/>
          <w:bCs/>
          <w:sz w:val="32"/>
        </w:rPr>
        <w:t>日</w:t>
      </w:r>
    </w:p>
    <w:p/>
    <w:p>
      <w:pPr>
        <w:widowControl/>
        <w:spacing w:beforeAutospacing="1" w:afterAutospacing="1"/>
        <w:jc w:val="center"/>
        <w:outlineLvl w:val="1"/>
        <w:rPr>
          <w:rFonts w:hint="eastAsia" w:ascii="黑体" w:hAnsi="宋体" w:eastAsia="黑体" w:cs="黑体"/>
          <w:kern w:val="0"/>
          <w:sz w:val="44"/>
          <w:szCs w:val="44"/>
        </w:rPr>
      </w:pPr>
    </w:p>
    <w:p>
      <w:pPr>
        <w:widowControl/>
        <w:spacing w:beforeAutospacing="1" w:afterAutospacing="1"/>
        <w:jc w:val="center"/>
        <w:outlineLvl w:val="1"/>
        <w:rPr>
          <w:rFonts w:hint="eastAsia" w:ascii="黑体" w:hAnsi="宋体" w:eastAsia="黑体" w:cs="黑体"/>
          <w:kern w:val="0"/>
          <w:sz w:val="44"/>
          <w:szCs w:val="44"/>
        </w:rPr>
      </w:pPr>
    </w:p>
    <w:p>
      <w:pPr>
        <w:widowControl/>
        <w:spacing w:beforeAutospacing="1" w:afterAutospacing="1"/>
        <w:jc w:val="center"/>
        <w:outlineLvl w:val="1"/>
        <w:rPr>
          <w:rFonts w:hint="eastAsia" w:ascii="黑体" w:hAnsi="宋体" w:eastAsia="黑体" w:cs="黑体"/>
          <w:kern w:val="0"/>
          <w:sz w:val="44"/>
          <w:szCs w:val="44"/>
        </w:rPr>
      </w:pPr>
      <w:r>
        <w:rPr>
          <w:rFonts w:hint="eastAsia" w:ascii="黑体" w:hAnsi="宋体" w:eastAsia="黑体" w:cs="黑体"/>
          <w:kern w:val="0"/>
          <w:sz w:val="44"/>
          <w:szCs w:val="44"/>
        </w:rPr>
        <w:t>招标文件信息</w:t>
      </w:r>
    </w:p>
    <w:p/>
    <w:tbl>
      <w:tblPr>
        <w:tblStyle w:val="3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72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ascii="宋体" w:hAnsi="宋体" w:cs="宋体"/>
                <w:kern w:val="0"/>
                <w:sz w:val="30"/>
                <w:szCs w:val="30"/>
              </w:rPr>
              <w:t>项目编号：</w:t>
            </w:r>
          </w:p>
        </w:tc>
        <w:tc>
          <w:tcPr>
            <w:tcW w:w="5220" w:type="dxa"/>
            <w:vAlign w:val="center"/>
          </w:tcPr>
          <w:p>
            <w:pPr>
              <w:widowControl/>
              <w:jc w:val="center"/>
              <w:rPr>
                <w:rFonts w:ascii="宋体" w:hAnsi="宋体" w:cs="宋体"/>
                <w:kern w:val="0"/>
                <w:sz w:val="30"/>
                <w:szCs w:val="30"/>
              </w:rPr>
            </w:pPr>
            <w:bookmarkStart w:id="0" w:name="OLE_LINK2"/>
            <w:r>
              <w:rPr>
                <w:rFonts w:hint="eastAsia" w:ascii="宋体" w:hAnsi="宋体" w:cs="宋体"/>
                <w:kern w:val="0"/>
                <w:sz w:val="30"/>
                <w:szCs w:val="30"/>
                <w:lang w:eastAsia="zh-CN"/>
              </w:rPr>
              <w:t>BZZZZX(GK)2025-028</w:t>
            </w:r>
            <w:bookmarkEnd w:id="0"/>
            <w:r>
              <w:rPr>
                <w:rFonts w:hint="eastAsia" w:ascii="宋体" w:hAnsi="宋体" w:cs="宋体"/>
                <w:kern w:val="0"/>
                <w:sz w:val="30"/>
                <w:szCs w:val="3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ascii="宋体" w:hAnsi="宋体" w:cs="宋体"/>
                <w:kern w:val="0"/>
                <w:sz w:val="30"/>
                <w:szCs w:val="30"/>
              </w:rPr>
              <w:t>项目名称：</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新疆巴州卫生学校2025年现代职业教育质量提升（护理VR虚拟仿真实训室）项目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hint="eastAsia" w:ascii="宋体" w:hAnsi="宋体" w:cs="宋体"/>
                <w:kern w:val="0"/>
                <w:sz w:val="30"/>
                <w:szCs w:val="30"/>
              </w:rPr>
              <w:t>标项</w:t>
            </w:r>
            <w:r>
              <w:rPr>
                <w:rFonts w:ascii="宋体" w:hAnsi="宋体" w:cs="宋体"/>
                <w:kern w:val="0"/>
                <w:sz w:val="30"/>
                <w:szCs w:val="30"/>
              </w:rPr>
              <w:t>：</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blCellSpacing w:w="0" w:type="dxa"/>
          <w:jc w:val="center"/>
        </w:trPr>
        <w:tc>
          <w:tcPr>
            <w:tcW w:w="2723" w:type="dxa"/>
            <w:vAlign w:val="center"/>
          </w:tcPr>
          <w:p>
            <w:pPr>
              <w:widowControl/>
              <w:jc w:val="center"/>
              <w:rPr>
                <w:rFonts w:ascii="宋体" w:hAnsi="宋体" w:cs="宋体"/>
                <w:kern w:val="0"/>
                <w:sz w:val="30"/>
                <w:szCs w:val="30"/>
              </w:rPr>
            </w:pPr>
            <w:r>
              <w:rPr>
                <w:rFonts w:hint="eastAsia" w:ascii="宋体" w:hAnsi="宋体" w:cs="宋体"/>
                <w:kern w:val="0"/>
                <w:sz w:val="30"/>
                <w:szCs w:val="30"/>
              </w:rPr>
              <w:t>采购单位：</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新疆巴音郭楞蒙古自治州卫生学校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ascii="宋体" w:hAnsi="宋体" w:cs="宋体"/>
                <w:kern w:val="0"/>
                <w:sz w:val="30"/>
                <w:szCs w:val="30"/>
              </w:rPr>
              <w:t>项目类型：</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hint="eastAsia" w:ascii="宋体" w:hAnsi="宋体" w:cs="宋体"/>
                <w:kern w:val="0"/>
                <w:sz w:val="30"/>
                <w:szCs w:val="30"/>
              </w:rPr>
              <w:t>预算金额：</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ascii="宋体" w:hAnsi="宋体" w:cs="宋体"/>
                <w:kern w:val="0"/>
                <w:sz w:val="30"/>
                <w:szCs w:val="30"/>
              </w:rPr>
              <w:t>采购方式：</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ascii="宋体" w:hAnsi="宋体" w:cs="宋体"/>
                <w:kern w:val="0"/>
                <w:sz w:val="30"/>
                <w:szCs w:val="30"/>
              </w:rPr>
              <w:t>货币类型：</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blCellSpacing w:w="0" w:type="dxa"/>
          <w:jc w:val="center"/>
        </w:trPr>
        <w:tc>
          <w:tcPr>
            <w:tcW w:w="2723" w:type="dxa"/>
            <w:vAlign w:val="center"/>
          </w:tcPr>
          <w:p>
            <w:pPr>
              <w:widowControl/>
              <w:jc w:val="center"/>
              <w:rPr>
                <w:rFonts w:ascii="宋体" w:hAnsi="宋体" w:cs="宋体"/>
                <w:kern w:val="0"/>
                <w:sz w:val="30"/>
                <w:szCs w:val="30"/>
              </w:rPr>
            </w:pPr>
            <w:r>
              <w:rPr>
                <w:rFonts w:ascii="宋体" w:hAnsi="宋体" w:cs="宋体"/>
                <w:kern w:val="0"/>
                <w:sz w:val="30"/>
                <w:szCs w:val="30"/>
              </w:rPr>
              <w:t>评标方法：</w:t>
            </w:r>
          </w:p>
        </w:tc>
        <w:tc>
          <w:tcPr>
            <w:tcW w:w="5220" w:type="dxa"/>
            <w:vAlign w:val="center"/>
          </w:tcPr>
          <w:p>
            <w:pPr>
              <w:widowControl/>
              <w:jc w:val="center"/>
              <w:rPr>
                <w:rFonts w:ascii="宋体" w:hAnsi="宋体" w:cs="宋体"/>
                <w:kern w:val="0"/>
                <w:sz w:val="30"/>
                <w:szCs w:val="30"/>
              </w:rPr>
            </w:pPr>
            <w:r>
              <w:rPr>
                <w:rFonts w:hint="eastAsia" w:ascii="宋体" w:hAnsi="宋体" w:cs="宋体"/>
                <w:kern w:val="0"/>
                <w:sz w:val="30"/>
                <w:szCs w:val="30"/>
              </w:rPr>
              <w:t>综合评分法</w:t>
            </w:r>
          </w:p>
        </w:tc>
      </w:tr>
    </w:tbl>
    <w:p/>
    <w:p/>
    <w:p/>
    <w:p>
      <w:pPr>
        <w:pStyle w:val="13"/>
        <w:shd w:val="clear"/>
        <w:ind w:left="1260" w:hanging="420"/>
        <w:rPr>
          <w:rFonts w:ascii="宋体" w:hAnsi="宋体"/>
        </w:rPr>
      </w:pPr>
    </w:p>
    <w:p>
      <w:pPr>
        <w:rPr>
          <w:rFonts w:ascii="宋体" w:hAnsi="宋体"/>
        </w:rPr>
      </w:pPr>
    </w:p>
    <w:p>
      <w:pPr>
        <w:rPr>
          <w:rFonts w:ascii="宋体" w:hAnsi="宋体"/>
          <w:b/>
          <w:bCs/>
          <w:color w:val="FF0000"/>
          <w:kern w:val="44"/>
          <w:sz w:val="36"/>
          <w:szCs w:val="36"/>
        </w:rPr>
      </w:pPr>
    </w:p>
    <w:p>
      <w:pPr>
        <w:jc w:val="center"/>
        <w:rPr>
          <w:rFonts w:ascii="宋体" w:hAnsi="宋体"/>
          <w:b/>
          <w:bCs/>
          <w:color w:val="FF0000"/>
          <w:kern w:val="44"/>
          <w:sz w:val="36"/>
          <w:szCs w:val="36"/>
        </w:rPr>
      </w:pPr>
    </w:p>
    <w:p>
      <w:pPr>
        <w:jc w:val="center"/>
        <w:rPr>
          <w:rFonts w:hint="eastAsia" w:ascii="宋体" w:hAnsi="宋体"/>
          <w:b/>
          <w:bCs/>
          <w:color w:val="FF0000"/>
          <w:kern w:val="44"/>
          <w:sz w:val="36"/>
          <w:szCs w:val="36"/>
        </w:rPr>
      </w:pPr>
    </w:p>
    <w:p>
      <w:pPr>
        <w:jc w:val="center"/>
        <w:rPr>
          <w:rFonts w:hint="eastAsia" w:ascii="宋体" w:hAnsi="宋体"/>
          <w:b/>
          <w:bCs/>
          <w:color w:val="FF0000"/>
          <w:kern w:val="44"/>
          <w:sz w:val="36"/>
          <w:szCs w:val="36"/>
        </w:rPr>
      </w:pPr>
    </w:p>
    <w:p>
      <w:pPr>
        <w:jc w:val="center"/>
        <w:rPr>
          <w:rFonts w:ascii="宋体" w:hAnsi="宋体"/>
          <w:b/>
          <w:bCs/>
          <w:color w:val="FF0000"/>
          <w:kern w:val="44"/>
          <w:sz w:val="36"/>
          <w:szCs w:val="36"/>
        </w:rPr>
      </w:pPr>
      <w:r>
        <w:rPr>
          <w:rFonts w:hint="eastAsia" w:ascii="宋体" w:hAnsi="宋体"/>
          <w:b/>
          <w:bCs/>
          <w:color w:val="FF0000"/>
          <w:kern w:val="44"/>
          <w:sz w:val="36"/>
          <w:szCs w:val="36"/>
        </w:rPr>
        <w:t>警示条款</w:t>
      </w:r>
    </w:p>
    <w:p>
      <w:pPr>
        <w:jc w:val="center"/>
        <w:rPr>
          <w:rFonts w:ascii="宋体" w:hAnsi="宋体"/>
          <w:b/>
          <w:bCs/>
          <w:color w:val="FF0000"/>
          <w:kern w:val="44"/>
          <w:sz w:val="36"/>
          <w:szCs w:val="36"/>
        </w:rPr>
      </w:pPr>
    </w:p>
    <w:p>
      <w:pPr>
        <w:ind w:firstLine="402" w:firstLineChars="200"/>
        <w:rPr>
          <w:rFonts w:ascii="宋体" w:hAnsi="宋体"/>
          <w:b/>
          <w:bCs/>
          <w:color w:val="FF0000"/>
          <w:sz w:val="20"/>
          <w:szCs w:val="20"/>
        </w:rPr>
      </w:pPr>
      <w:r>
        <w:rPr>
          <w:rFonts w:hint="eastAsia" w:ascii="宋体" w:hAnsi="宋体"/>
          <w:b/>
          <w:bCs/>
          <w:color w:val="FF0000"/>
          <w:sz w:val="20"/>
          <w:szCs w:val="20"/>
        </w:rPr>
        <w:t>一、 供应商在本项目政府采购中，有下列行为之一的，报财政主管部门记入供应商诚信档案，在一至三年内禁止参加政府采购活动；有违法所得的，并处没收违法所得；情节严重的，由工商行政管理机关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800" w:firstLineChars="400"/>
        <w:rPr>
          <w:rFonts w:ascii="宋体" w:hAnsi="宋体"/>
          <w:color w:val="FF0000"/>
          <w:sz w:val="20"/>
          <w:szCs w:val="20"/>
        </w:rPr>
      </w:pPr>
      <w:r>
        <w:rPr>
          <w:rFonts w:hint="eastAsia" w:ascii="宋体" w:hAnsi="宋体"/>
          <w:color w:val="FF0000"/>
          <w:sz w:val="20"/>
          <w:szCs w:val="20"/>
        </w:rPr>
        <w:t>1.通过转让或者租借等方式从其他单位获取资格或者资质证书投标的；</w:t>
      </w:r>
    </w:p>
    <w:p>
      <w:pPr>
        <w:ind w:firstLine="800" w:firstLineChars="400"/>
        <w:rPr>
          <w:rFonts w:ascii="宋体" w:hAnsi="宋体"/>
          <w:color w:val="FF0000"/>
          <w:sz w:val="20"/>
          <w:szCs w:val="20"/>
        </w:rPr>
      </w:pPr>
      <w:r>
        <w:rPr>
          <w:rFonts w:hint="eastAsia" w:ascii="宋体" w:hAnsi="宋体"/>
          <w:color w:val="FF0000"/>
          <w:sz w:val="20"/>
          <w:szCs w:val="20"/>
        </w:rPr>
        <w:t>2.由其他单位或者其他单位负责人在投标供应商编制的投标文件上加盖印章或者签字的；</w:t>
      </w:r>
    </w:p>
    <w:p>
      <w:pPr>
        <w:ind w:left="399" w:leftChars="190" w:firstLine="400" w:firstLineChars="200"/>
        <w:rPr>
          <w:rFonts w:ascii="宋体" w:hAnsi="宋体"/>
          <w:color w:val="FF0000"/>
          <w:sz w:val="20"/>
          <w:szCs w:val="20"/>
        </w:rPr>
      </w:pPr>
      <w:r>
        <w:rPr>
          <w:rFonts w:hint="eastAsia" w:ascii="宋体" w:hAnsi="宋体"/>
          <w:color w:val="FF0000"/>
          <w:sz w:val="20"/>
          <w:szCs w:val="20"/>
        </w:rPr>
        <w:t>3.投标供应商的项目负责人或者主要技术人员不是本单位人员的，不能提供项目负责人或者主要技术人员的劳动合同、社会保险等劳动关系证明材料的。</w:t>
      </w:r>
    </w:p>
    <w:p>
      <w:pPr>
        <w:ind w:firstLine="800" w:firstLineChars="400"/>
        <w:rPr>
          <w:rFonts w:ascii="宋体" w:hAnsi="宋体"/>
          <w:color w:val="FF0000"/>
          <w:sz w:val="20"/>
          <w:szCs w:val="20"/>
        </w:rPr>
      </w:pPr>
      <w:r>
        <w:rPr>
          <w:rFonts w:hint="eastAsia" w:ascii="宋体" w:hAnsi="宋体"/>
          <w:color w:val="FF0000"/>
          <w:sz w:val="20"/>
          <w:szCs w:val="20"/>
        </w:rPr>
        <w:t>4.投标保证金不是从投标供应商基本账户转出的；</w:t>
      </w:r>
    </w:p>
    <w:p>
      <w:pPr>
        <w:ind w:firstLine="800" w:firstLineChars="400"/>
        <w:rPr>
          <w:rFonts w:ascii="宋体" w:hAnsi="宋体"/>
          <w:color w:val="FF0000"/>
          <w:sz w:val="20"/>
          <w:szCs w:val="20"/>
        </w:rPr>
      </w:pPr>
      <w:r>
        <w:rPr>
          <w:rFonts w:hint="eastAsia" w:ascii="宋体" w:hAnsi="宋体"/>
          <w:color w:val="FF0000"/>
          <w:sz w:val="20"/>
          <w:szCs w:val="20"/>
        </w:rPr>
        <w:t>5.其他隐瞒真实情况、提供虚假资料的行为。</w:t>
      </w:r>
    </w:p>
    <w:p>
      <w:pPr>
        <w:ind w:firstLine="400" w:firstLineChars="200"/>
        <w:rPr>
          <w:rFonts w:ascii="宋体" w:hAnsi="宋体"/>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20" w:firstLineChars="200"/>
        <w:rPr>
          <w:rFonts w:ascii="宋体" w:hAnsi="宋体"/>
          <w:color w:val="FF0000"/>
          <w:sz w:val="20"/>
          <w:szCs w:val="20"/>
        </w:rPr>
      </w:pPr>
      <w:r>
        <w:rPr>
          <w:rFonts w:hint="eastAsia" w:ascii="宋体" w:hAnsi="宋体"/>
        </w:rPr>
        <w:t xml:space="preserve">    </w:t>
      </w:r>
      <w:r>
        <w:rPr>
          <w:rFonts w:hint="eastAsia" w:ascii="宋体" w:hAnsi="宋体"/>
          <w:color w:val="FF0000"/>
        </w:rPr>
        <w:t>1.</w:t>
      </w:r>
      <w:r>
        <w:rPr>
          <w:rFonts w:hint="eastAsia" w:ascii="宋体" w:hAnsi="宋体"/>
          <w:color w:val="FF0000"/>
          <w:sz w:val="20"/>
          <w:szCs w:val="20"/>
        </w:rPr>
        <w:t>投标供应商之间相互约定给予未中标的供应商利益补偿；</w:t>
      </w:r>
    </w:p>
    <w:p>
      <w:pPr>
        <w:ind w:left="399" w:leftChars="190" w:firstLine="400" w:firstLineChars="200"/>
        <w:rPr>
          <w:rFonts w:ascii="宋体" w:hAnsi="宋体"/>
          <w:color w:val="FF0000"/>
          <w:sz w:val="20"/>
          <w:szCs w:val="20"/>
        </w:rPr>
      </w:pPr>
      <w:r>
        <w:rPr>
          <w:rFonts w:hint="eastAsia" w:ascii="宋体" w:hAnsi="宋体"/>
          <w:color w:val="FF0000"/>
          <w:sz w:val="20"/>
          <w:szCs w:val="20"/>
        </w:rPr>
        <w:t>2.不同投标供应商的法定代表人、主要经营负责人、项目投标授权代表人、项目负责人、</w:t>
      </w:r>
    </w:p>
    <w:p>
      <w:pPr>
        <w:rPr>
          <w:rFonts w:ascii="宋体" w:hAnsi="宋体"/>
          <w:color w:val="FF0000"/>
          <w:sz w:val="20"/>
          <w:szCs w:val="20"/>
        </w:rPr>
      </w:pPr>
      <w:r>
        <w:rPr>
          <w:rFonts w:hint="eastAsia" w:ascii="宋体" w:hAnsi="宋体"/>
          <w:color w:val="FF0000"/>
          <w:sz w:val="20"/>
          <w:szCs w:val="20"/>
        </w:rPr>
        <w:t>主要技术人员为同一人、属同一单位或者在同一单位缴纳社会保险；</w:t>
      </w:r>
    </w:p>
    <w:p>
      <w:pPr>
        <w:ind w:firstLine="800" w:firstLineChars="400"/>
        <w:rPr>
          <w:rFonts w:ascii="宋体" w:hAnsi="宋体"/>
          <w:color w:val="FF0000"/>
          <w:sz w:val="20"/>
          <w:szCs w:val="20"/>
        </w:rPr>
      </w:pPr>
      <w:r>
        <w:rPr>
          <w:rFonts w:hint="eastAsia" w:ascii="宋体" w:hAnsi="宋体"/>
          <w:color w:val="FF0000"/>
          <w:sz w:val="20"/>
          <w:szCs w:val="20"/>
        </w:rPr>
        <w:t>3.不同投标供应商的投标文件由同一单位或者同一人编制，或者由同一人分阶段参与编制的；</w:t>
      </w:r>
    </w:p>
    <w:p>
      <w:pPr>
        <w:ind w:firstLine="800" w:firstLineChars="400"/>
        <w:rPr>
          <w:rFonts w:ascii="宋体" w:hAnsi="宋体"/>
          <w:color w:val="FF0000"/>
          <w:sz w:val="20"/>
          <w:szCs w:val="20"/>
        </w:rPr>
      </w:pPr>
      <w:r>
        <w:rPr>
          <w:rFonts w:hint="eastAsia" w:ascii="宋体" w:hAnsi="宋体"/>
          <w:color w:val="FF0000"/>
          <w:sz w:val="20"/>
          <w:szCs w:val="20"/>
        </w:rPr>
        <w:t>4.不同投标供应商的投标文件或部分投标文件相互混装；</w:t>
      </w:r>
    </w:p>
    <w:p>
      <w:pPr>
        <w:ind w:firstLine="800" w:firstLineChars="400"/>
        <w:rPr>
          <w:rFonts w:ascii="宋体" w:hAnsi="宋体"/>
          <w:color w:val="FF0000"/>
          <w:sz w:val="20"/>
          <w:szCs w:val="20"/>
        </w:rPr>
      </w:pPr>
      <w:r>
        <w:rPr>
          <w:rFonts w:hint="eastAsia" w:ascii="宋体" w:hAnsi="宋体"/>
          <w:color w:val="FF0000"/>
          <w:sz w:val="20"/>
          <w:szCs w:val="20"/>
        </w:rPr>
        <w:t>5.不同投标供应商的投标文件内容存在非正常一致；</w:t>
      </w:r>
    </w:p>
    <w:p>
      <w:pPr>
        <w:ind w:firstLine="800" w:firstLineChars="400"/>
        <w:rPr>
          <w:rFonts w:ascii="宋体" w:hAnsi="宋体"/>
          <w:color w:val="FF0000"/>
          <w:sz w:val="20"/>
          <w:szCs w:val="20"/>
        </w:rPr>
      </w:pPr>
      <w:r>
        <w:rPr>
          <w:rFonts w:hint="eastAsia" w:ascii="宋体" w:hAnsi="宋体"/>
          <w:color w:val="FF0000"/>
          <w:sz w:val="20"/>
          <w:szCs w:val="20"/>
        </w:rPr>
        <w:t>6.由同一单位工作人员为两家以上（含两家）供应商进行同一项投标活动的；</w:t>
      </w:r>
    </w:p>
    <w:p>
      <w:pPr>
        <w:ind w:firstLine="800" w:firstLineChars="400"/>
        <w:rPr>
          <w:rFonts w:ascii="宋体" w:hAnsi="宋体"/>
          <w:color w:val="FF0000"/>
          <w:sz w:val="20"/>
          <w:szCs w:val="20"/>
        </w:rPr>
      </w:pPr>
      <w:r>
        <w:rPr>
          <w:rFonts w:hint="eastAsia" w:ascii="宋体" w:hAnsi="宋体"/>
          <w:color w:val="FF0000"/>
          <w:sz w:val="20"/>
          <w:szCs w:val="20"/>
        </w:rPr>
        <w:t>7.主管部门依照法律、法规认定的其他情形。</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2" w:firstLineChars="200"/>
        <w:rPr>
          <w:rFonts w:ascii="宋体" w:hAnsi="宋体"/>
          <w:b/>
          <w:bCs/>
          <w:color w:val="FF0000"/>
          <w:sz w:val="20"/>
          <w:szCs w:val="20"/>
        </w:rPr>
      </w:pPr>
      <w:r>
        <w:rPr>
          <w:rFonts w:hint="eastAsia" w:ascii="宋体" w:hAnsi="宋体"/>
          <w:b/>
          <w:bCs/>
          <w:color w:val="FF0000"/>
          <w:sz w:val="20"/>
          <w:szCs w:val="20"/>
        </w:rPr>
        <w:t>二、请投标供应商认真阅读《政府采购违法行为风险知悉确认书》，并经企业法人或投标授权代表签字并加盖单位公章后，扫描上传至投标文件一并提交。</w:t>
      </w:r>
    </w:p>
    <w:p>
      <w:pPr>
        <w:ind w:firstLine="400" w:firstLineChars="200"/>
        <w:rPr>
          <w:rFonts w:ascii="宋体" w:hAnsi="宋体"/>
          <w:color w:val="FF0000"/>
          <w:sz w:val="20"/>
          <w:szCs w:val="20"/>
        </w:rPr>
      </w:pPr>
      <w:r>
        <w:rPr>
          <w:rFonts w:hint="eastAsia" w:ascii="宋体" w:hAnsi="宋体"/>
          <w:color w:val="FF0000"/>
          <w:sz w:val="20"/>
          <w:szCs w:val="20"/>
        </w:rPr>
        <w:t>注：该风险知悉确认书用于对供应商违法行为的警示，不作为供应商资格性审查及符合性审查条件。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outlineLvl w:val="1"/>
        <w:rPr>
          <w:sz w:val="40"/>
          <w:szCs w:val="40"/>
        </w:rPr>
      </w:pPr>
    </w:p>
    <w:p>
      <w:pPr>
        <w:jc w:val="center"/>
        <w:outlineLvl w:val="1"/>
        <w:rPr>
          <w:sz w:val="40"/>
          <w:szCs w:val="40"/>
        </w:rPr>
      </w:pPr>
    </w:p>
    <w:p>
      <w:pPr>
        <w:jc w:val="center"/>
        <w:outlineLvl w:val="1"/>
        <w:rPr>
          <w:sz w:val="40"/>
          <w:szCs w:val="40"/>
        </w:rPr>
      </w:pPr>
      <w:r>
        <w:rPr>
          <w:rFonts w:hint="eastAsia"/>
          <w:sz w:val="40"/>
          <w:szCs w:val="40"/>
        </w:rPr>
        <w:t>资格性审查表</w:t>
      </w:r>
    </w:p>
    <w:p>
      <w:pPr>
        <w:jc w:val="center"/>
        <w:outlineLvl w:val="1"/>
        <w:rPr>
          <w:sz w:val="40"/>
          <w:szCs w:val="40"/>
        </w:rPr>
      </w:pP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80"/>
        <w:gridCol w:w="92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shd w:val="clear" w:color="auto" w:fill="DCE6F2"/>
            <w:vAlign w:val="center"/>
          </w:tcPr>
          <w:p>
            <w:pPr>
              <w:jc w:val="center"/>
              <w:rPr>
                <w:rFonts w:ascii="宋体" w:hAnsi="宋体" w:cs="宋体"/>
                <w:sz w:val="28"/>
                <w:szCs w:val="28"/>
              </w:rPr>
            </w:pPr>
            <w:r>
              <w:rPr>
                <w:rFonts w:ascii="宋体" w:hAnsi="宋体"/>
                <w:sz w:val="28"/>
                <w:szCs w:val="28"/>
              </w:rPr>
              <w:t>序号</w:t>
            </w:r>
          </w:p>
        </w:tc>
        <w:tc>
          <w:tcPr>
            <w:tcW w:w="9214" w:type="dxa"/>
            <w:tcBorders>
              <w:top w:val="single" w:color="000000" w:sz="8" w:space="0"/>
              <w:left w:val="single" w:color="000000" w:sz="8" w:space="0"/>
              <w:bottom w:val="single" w:color="000000" w:sz="8" w:space="0"/>
              <w:right w:val="single" w:color="000000" w:sz="8" w:space="0"/>
            </w:tcBorders>
            <w:shd w:val="clear" w:color="auto" w:fill="DCE6F2"/>
            <w:vAlign w:val="center"/>
          </w:tcPr>
          <w:p>
            <w:pPr>
              <w:jc w:val="center"/>
              <w:rPr>
                <w:rFonts w:ascii="宋体" w:hAnsi="宋体" w:cs="宋体"/>
                <w:sz w:val="28"/>
                <w:szCs w:val="28"/>
              </w:rPr>
            </w:pPr>
            <w:r>
              <w:rPr>
                <w:rFonts w:ascii="宋体" w:hAnsi="宋体"/>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tcPr>
          <w:p>
            <w:pPr>
              <w:pStyle w:val="13"/>
              <w:ind w:left="1260" w:hanging="420"/>
              <w:jc w:val="center"/>
              <w:rPr>
                <w:rFonts w:ascii="宋体" w:hAnsi="宋体" w:cs="宋体"/>
              </w:rPr>
            </w:pPr>
            <w:r>
              <w:rPr>
                <w:rFonts w:hint="eastAsia" w:ascii="宋体" w:hAnsi="宋体" w:cs="宋体"/>
              </w:rPr>
              <w:t>1</w:t>
            </w:r>
          </w:p>
        </w:tc>
        <w:tc>
          <w:tcPr>
            <w:tcW w:w="9214" w:type="dxa"/>
            <w:tcBorders>
              <w:top w:val="single" w:color="000000" w:sz="8" w:space="0"/>
              <w:left w:val="single" w:color="000000" w:sz="8" w:space="0"/>
              <w:bottom w:val="single" w:color="000000" w:sz="8" w:space="0"/>
              <w:right w:val="single" w:color="000000" w:sz="8" w:space="0"/>
            </w:tcBorders>
            <w:vAlign w:val="top"/>
          </w:tcPr>
          <w:p>
            <w:pPr>
              <w:rPr>
                <w:rFonts w:ascii="宋体" w:hAnsi="宋体"/>
                <w:b/>
                <w:bCs/>
              </w:rPr>
            </w:pPr>
            <w:r>
              <w:rPr>
                <w:rFonts w:hint="eastAsia" w:ascii="宋体" w:hAnsi="宋体"/>
                <w:b/>
                <w:bCs/>
              </w:rPr>
              <w:t>具有独立承担民事责任的能力：</w:t>
            </w:r>
          </w:p>
          <w:p>
            <w:pPr>
              <w:ind w:firstLine="210" w:firstLineChars="100"/>
              <w:rPr>
                <w:rFonts w:ascii="宋体" w:hAnsi="宋体"/>
              </w:rPr>
            </w:pPr>
            <w:r>
              <w:rPr>
                <w:rFonts w:ascii="宋体" w:hAnsi="宋体"/>
              </w:rPr>
              <w:t>在中华人民共和国境内注册的法人或其他组织或自然人，投标（响应）时提交有效的营业执照（或事业法人登记证或身份证等相关证明） 副本复印件。</w:t>
            </w:r>
          </w:p>
          <w:p>
            <w:pPr>
              <w:rPr>
                <w:rFonts w:ascii="宋体" w:hAnsi="宋体" w:cs="宋体"/>
              </w:rPr>
            </w:pPr>
            <w:r>
              <w:rPr>
                <w:rFonts w:hint="eastAsia" w:ascii="宋体" w:hAnsi="宋体"/>
              </w:rPr>
              <w:t>备注：分支机构投标的（仅限银行、保险、石油石化、电力、电信 、邮政、铁路等特殊行业），须提供总公司和分公司营业执照扫描件，总公司出具给分支机构的授权书。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r>
              <w:rPr>
                <w:rFonts w:hint="eastAsia" w:ascii="宋体" w:hAnsi="宋体" w:cs="宋体"/>
              </w:rPr>
              <w:t>2</w:t>
            </w:r>
          </w:p>
        </w:tc>
        <w:tc>
          <w:tcPr>
            <w:tcW w:w="921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rPr>
            </w:pPr>
            <w:r>
              <w:rPr>
                <w:rFonts w:hint="eastAsia" w:ascii="宋体" w:hAnsi="宋体" w:cs="宋体"/>
                <w:b/>
                <w:bCs/>
              </w:rPr>
              <w:t>具有健全的财务会计制度：</w:t>
            </w:r>
          </w:p>
          <w:p>
            <w:pPr>
              <w:rPr>
                <w:rFonts w:ascii="宋体" w:hAnsi="宋体" w:cs="宋体"/>
                <w:iCs/>
              </w:rPr>
            </w:pPr>
            <w:r>
              <w:rPr>
                <w:rFonts w:hint="eastAsia" w:ascii="宋体" w:hAnsi="宋体" w:cs="宋体"/>
              </w:rPr>
              <w:t>投标供应商须提供202</w:t>
            </w:r>
            <w:r>
              <w:rPr>
                <w:rFonts w:hint="eastAsia" w:ascii="宋体" w:hAnsi="宋体" w:cs="宋体"/>
                <w:lang w:val="en-US" w:eastAsia="zh-CN"/>
              </w:rPr>
              <w:t>4</w:t>
            </w:r>
            <w:r>
              <w:rPr>
                <w:rFonts w:hint="eastAsia" w:ascii="宋体" w:hAnsi="宋体" w:cs="宋体"/>
              </w:rPr>
              <w:t>年度财务状况报告（资产负债表、利润表）或财务审计报告，成立不满一年不需提供；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rPr>
            </w:pPr>
          </w:p>
          <w:p>
            <w:pPr>
              <w:jc w:val="center"/>
              <w:rPr>
                <w:rFonts w:ascii="宋体" w:hAnsi="宋体" w:cs="宋体"/>
              </w:rPr>
            </w:pPr>
            <w:r>
              <w:rPr>
                <w:rFonts w:hint="eastAsia" w:ascii="宋体" w:hAnsi="宋体" w:cs="宋体"/>
              </w:rPr>
              <w:t>3</w:t>
            </w:r>
          </w:p>
        </w:tc>
        <w:tc>
          <w:tcPr>
            <w:tcW w:w="921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iCs/>
              </w:rPr>
            </w:pPr>
            <w:r>
              <w:rPr>
                <w:rFonts w:hint="eastAsia" w:ascii="宋体" w:hAnsi="宋体" w:cs="宋体"/>
                <w:b/>
                <w:bCs/>
                <w:iCs/>
              </w:rPr>
              <w:t>具有依法缴纳税收和社会保障资金的良好记录：</w:t>
            </w:r>
          </w:p>
          <w:p>
            <w:pPr>
              <w:ind w:firstLine="210" w:firstLineChars="100"/>
              <w:rPr>
                <w:rFonts w:ascii="宋体" w:hAnsi="宋体" w:cs="宋体"/>
                <w:iCs/>
              </w:rPr>
            </w:pPr>
            <w:r>
              <w:rPr>
                <w:rFonts w:hint="eastAsia" w:ascii="宋体" w:hAnsi="宋体" w:cs="宋体"/>
                <w:iCs/>
              </w:rPr>
              <w:t>投标供应商须提供开标时间截止前6个月内至少三个月依法缴纳税收及缴纳社会保障资金的证明材料。</w:t>
            </w:r>
          </w:p>
          <w:p>
            <w:pPr>
              <w:rPr>
                <w:rFonts w:ascii="宋体" w:hAnsi="宋体" w:cs="宋体"/>
                <w:iCs/>
              </w:rPr>
            </w:pPr>
            <w:r>
              <w:rPr>
                <w:rFonts w:hint="eastAsia" w:ascii="宋体" w:hAnsi="宋体" w:cs="宋体"/>
                <w:iCs/>
              </w:rPr>
              <w:t>备注：依法享受缓缴、免缴税收、社会保障资金的需提供证明材料；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highlight w:val="none"/>
              </w:rPr>
            </w:pPr>
          </w:p>
          <w:p>
            <w:pPr>
              <w:jc w:val="center"/>
              <w:rPr>
                <w:rFonts w:ascii="宋体" w:hAnsi="宋体" w:cs="宋体"/>
                <w:highlight w:val="none"/>
              </w:rPr>
            </w:pPr>
            <w:r>
              <w:rPr>
                <w:rFonts w:hint="eastAsia" w:ascii="宋体" w:hAnsi="宋体" w:cs="宋体"/>
                <w:highlight w:val="none"/>
              </w:rPr>
              <w:t>4</w:t>
            </w:r>
          </w:p>
        </w:tc>
        <w:tc>
          <w:tcPr>
            <w:tcW w:w="921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highlight w:val="none"/>
              </w:rPr>
            </w:pPr>
            <w:r>
              <w:rPr>
                <w:rFonts w:hint="eastAsia" w:ascii="宋体" w:hAnsi="宋体" w:cs="宋体"/>
                <w:b/>
                <w:bCs/>
                <w:highlight w:val="none"/>
              </w:rPr>
              <w:t>参加政府采购活动前三年内，在经营活动中没有重大违法记录：</w:t>
            </w:r>
          </w:p>
          <w:p>
            <w:pPr>
              <w:ind w:firstLine="210" w:firstLineChars="100"/>
              <w:rPr>
                <w:rFonts w:ascii="宋体" w:hAnsi="宋体" w:cs="宋体"/>
                <w:iCs/>
                <w:highlight w:val="none"/>
              </w:rPr>
            </w:pPr>
            <w:r>
              <w:rPr>
                <w:rFonts w:hint="eastAsia" w:ascii="宋体" w:hAnsi="宋体" w:cs="宋体"/>
                <w:highlight w:val="none"/>
              </w:rPr>
              <w:t>投标供应商须提供未被“信用中国”网站（http://www.creditchina.gov.cn）、中国政府采购网(http://www.ccgp.gov.cn)、国家企业信用信息公示系统(</w:t>
            </w:r>
            <w:r>
              <w:rPr>
                <w:highlight w:val="none"/>
              </w:rPr>
              <w:fldChar w:fldCharType="begin"/>
            </w:r>
            <w:r>
              <w:rPr>
                <w:highlight w:val="none"/>
              </w:rPr>
              <w:instrText xml:space="preserve"> HYPERLINK "http://www/" \t "_blank" </w:instrText>
            </w:r>
            <w:r>
              <w:rPr>
                <w:highlight w:val="none"/>
              </w:rPr>
              <w:fldChar w:fldCharType="separate"/>
            </w:r>
            <w:r>
              <w:rPr>
                <w:rFonts w:hint="eastAsia" w:ascii="宋体" w:hAnsi="宋体" w:cs="宋体"/>
                <w:highlight w:val="none"/>
              </w:rPr>
              <w:t>http://www</w:t>
            </w:r>
            <w:r>
              <w:rPr>
                <w:rFonts w:hint="eastAsia" w:ascii="宋体" w:hAnsi="宋体" w:cs="宋体"/>
                <w:highlight w:val="none"/>
              </w:rPr>
              <w:fldChar w:fldCharType="end"/>
            </w:r>
            <w:r>
              <w:rPr>
                <w:rFonts w:hint="eastAsia" w:ascii="宋体" w:hAnsi="宋体" w:cs="宋体"/>
                <w:highlight w:val="none"/>
              </w:rPr>
              <w:t>.gsxt.gov.cn)</w:t>
            </w:r>
            <w:r>
              <w:rPr>
                <w:rFonts w:hint="eastAsia" w:ascii="宋体" w:hAnsi="宋体" w:cs="宋体"/>
                <w:kern w:val="0"/>
                <w:highlight w:val="none"/>
              </w:rPr>
              <w:t>列入失信被执行人、重大税收违法案件当事人名单、政府采购严重违法失信行为记录名单（提供开标截止时间前7日内网站查询截图）；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highlight w:val="none"/>
              </w:rPr>
            </w:pPr>
            <w:r>
              <w:rPr>
                <w:rFonts w:hint="eastAsia" w:ascii="宋体" w:hAnsi="宋体" w:cs="宋体"/>
                <w:highlight w:val="none"/>
              </w:rPr>
              <w:t>5</w:t>
            </w:r>
          </w:p>
        </w:tc>
        <w:tc>
          <w:tcPr>
            <w:tcW w:w="9214" w:type="dxa"/>
            <w:tcBorders>
              <w:top w:val="single" w:color="000000" w:sz="8" w:space="0"/>
              <w:left w:val="single" w:color="000000" w:sz="8" w:space="0"/>
              <w:bottom w:val="single" w:color="000000" w:sz="8" w:space="0"/>
              <w:right w:val="single" w:color="000000" w:sz="8" w:space="0"/>
            </w:tcBorders>
            <w:vAlign w:val="top"/>
          </w:tcPr>
          <w:p>
            <w:pPr>
              <w:pStyle w:val="138"/>
              <w:tabs>
                <w:tab w:val="left" w:pos="1170"/>
              </w:tabs>
              <w:jc w:val="both"/>
              <w:rPr>
                <w:rFonts w:ascii="宋体" w:hAnsi="宋体"/>
                <w:highlight w:val="none"/>
              </w:rPr>
            </w:pPr>
            <w:r>
              <w:rPr>
                <w:rFonts w:hint="eastAsia" w:ascii="宋体" w:hAnsi="宋体" w:cs="宋体"/>
                <w:b/>
                <w:bCs/>
                <w:iCs/>
                <w:kern w:val="2"/>
                <w:sz w:val="21"/>
                <w:szCs w:val="21"/>
                <w:highlight w:val="none"/>
              </w:rPr>
              <w:t>本项目特定资格要求证明文件：</w:t>
            </w:r>
            <w:r>
              <w:rPr>
                <w:rFonts w:hint="eastAsia" w:ascii="宋体" w:hAnsi="宋体" w:cs="宋体"/>
                <w:iCs/>
                <w:kern w:val="2"/>
                <w:sz w:val="21"/>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highlight w:val="none"/>
              </w:rPr>
            </w:pPr>
          </w:p>
          <w:p>
            <w:pPr>
              <w:jc w:val="center"/>
              <w:rPr>
                <w:rFonts w:ascii="宋体" w:hAnsi="宋体" w:cs="宋体"/>
                <w:highlight w:val="none"/>
              </w:rPr>
            </w:pPr>
            <w:r>
              <w:rPr>
                <w:rFonts w:hint="eastAsia" w:ascii="宋体" w:hAnsi="宋体" w:cs="宋体"/>
                <w:highlight w:val="none"/>
              </w:rPr>
              <w:t>6</w:t>
            </w:r>
          </w:p>
        </w:tc>
        <w:tc>
          <w:tcPr>
            <w:tcW w:w="921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落实政府采购政策：</w:t>
            </w:r>
          </w:p>
          <w:p>
            <w:pPr>
              <w:ind w:firstLine="210" w:firstLineChars="100"/>
              <w:rPr>
                <w:rFonts w:hint="eastAsia" w:ascii="宋体" w:hAnsi="宋体" w:cs="宋体"/>
                <w:highlight w:val="none"/>
                <w:lang w:bidi="ar"/>
              </w:rPr>
            </w:pPr>
            <w:r>
              <w:rPr>
                <w:rFonts w:ascii="宋体" w:hAnsi="宋体" w:cs="宋体"/>
                <w:highlight w:val="none"/>
                <w:lang w:bidi="ar"/>
              </w:rPr>
              <w:t xml:space="preserve">  </w:t>
            </w:r>
            <w:r>
              <w:rPr>
                <w:rFonts w:hint="eastAsia" w:ascii="宋体" w:hAnsi="宋体" w:cs="宋体"/>
                <w:highlight w:val="none"/>
                <w:lang w:bidi="ar"/>
              </w:rPr>
              <w:t>本项目部分面向中小企业，投标供应商</w:t>
            </w:r>
            <w:r>
              <w:rPr>
                <w:rFonts w:hint="eastAsia" w:ascii="宋体" w:hAnsi="宋体" w:cs="宋体"/>
                <w:color w:val="FF0000"/>
                <w:highlight w:val="none"/>
                <w:lang w:val="en-US" w:eastAsia="zh-CN" w:bidi="ar"/>
              </w:rPr>
              <w:t>须</w:t>
            </w:r>
            <w:r>
              <w:rPr>
                <w:rFonts w:hint="eastAsia" w:ascii="宋体" w:hAnsi="宋体" w:cs="宋体"/>
                <w:highlight w:val="none"/>
                <w:lang w:bidi="ar"/>
              </w:rPr>
              <w:t>将预算金额的120万元分包给具有相应资质的中小企业执行，其中的72万分包给小微企业执行</w:t>
            </w:r>
            <w:r>
              <w:rPr>
                <w:rFonts w:hint="eastAsia" w:ascii="宋体" w:hAnsi="宋体" w:cs="宋体"/>
                <w:highlight w:val="none"/>
                <w:lang w:eastAsia="zh-CN" w:bidi="ar"/>
              </w:rPr>
              <w:t>；</w:t>
            </w:r>
            <w:r>
              <w:rPr>
                <w:rFonts w:hint="eastAsia" w:ascii="宋体" w:hAnsi="宋体" w:cs="宋体"/>
                <w:highlight w:val="none"/>
                <w:lang w:bidi="ar"/>
              </w:rPr>
              <w:t>或承接该项目的供应商本身即为小微企业则无须分包。</w:t>
            </w:r>
          </w:p>
          <w:p>
            <w:pPr>
              <w:ind w:firstLine="210" w:firstLineChars="100"/>
              <w:rPr>
                <w:rFonts w:hint="eastAsia" w:ascii="宋体" w:hAnsi="宋体" w:cs="宋体"/>
                <w:highlight w:val="none"/>
                <w:lang w:bidi="ar"/>
              </w:rPr>
            </w:pPr>
            <w:r>
              <w:rPr>
                <w:rFonts w:hint="eastAsia" w:ascii="宋体" w:hAnsi="宋体" w:cs="宋体"/>
                <w:highlight w:val="none"/>
                <w:lang w:bidi="ar"/>
              </w:rPr>
              <w:t>（1）如需分包，须提供被分包的</w:t>
            </w:r>
            <w:r>
              <w:rPr>
                <w:rFonts w:hint="eastAsia" w:ascii="宋体" w:hAnsi="宋体" w:cs="宋体"/>
                <w:highlight w:val="none"/>
                <w:lang w:val="en-US" w:eastAsia="zh-CN" w:bidi="ar"/>
              </w:rPr>
              <w:t>中小</w:t>
            </w:r>
            <w:r>
              <w:rPr>
                <w:rFonts w:hint="eastAsia" w:ascii="宋体" w:hAnsi="宋体" w:cs="宋体"/>
                <w:highlight w:val="none"/>
                <w:lang w:bidi="ar"/>
              </w:rPr>
              <w:t>企业的营业执照、《中小企业声明函（服务类）》、分包协议及承诺函（承诺此部分内容不再分包，格式自拟）的扫描件作为依据，否则按资格审查不通过处理。</w:t>
            </w:r>
          </w:p>
          <w:p>
            <w:pPr>
              <w:ind w:firstLine="210" w:firstLineChars="100"/>
              <w:rPr>
                <w:rFonts w:ascii="宋体" w:hAnsi="宋体"/>
                <w:highlight w:val="none"/>
              </w:rPr>
            </w:pPr>
            <w:r>
              <w:rPr>
                <w:rFonts w:hint="eastAsia" w:ascii="宋体" w:hAnsi="宋体" w:cs="宋体"/>
                <w:highlight w:val="none"/>
                <w:lang w:bidi="ar"/>
              </w:rPr>
              <w:t>（2）如投标供应商本身为小微企业，则无需分包，投标人须提供本单位的《中小企业声明函（服务类）》及承诺函（承诺此部分内容不再分包，格式自拟）的扫描件作为依据，否则按资格审查不通过处理。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5" w:hRule="atLeast"/>
          <w:jc w:val="center"/>
        </w:trPr>
        <w:tc>
          <w:tcPr>
            <w:tcW w:w="88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highlight w:val="none"/>
              </w:rPr>
            </w:pPr>
            <w:r>
              <w:rPr>
                <w:rFonts w:hint="eastAsia" w:ascii="宋体" w:hAnsi="宋体" w:cs="宋体"/>
                <w:highlight w:val="none"/>
              </w:rPr>
              <w:t>7</w:t>
            </w:r>
          </w:p>
        </w:tc>
        <w:tc>
          <w:tcPr>
            <w:tcW w:w="9214" w:type="dxa"/>
            <w:tcBorders>
              <w:top w:val="single" w:color="000000" w:sz="8" w:space="0"/>
              <w:left w:val="single" w:color="000000" w:sz="8" w:space="0"/>
              <w:bottom w:val="single" w:color="000000" w:sz="8" w:space="0"/>
              <w:right w:val="single" w:color="000000" w:sz="8" w:space="0"/>
            </w:tcBorders>
            <w:vAlign w:val="top"/>
          </w:tcPr>
          <w:p>
            <w:pPr>
              <w:rPr>
                <w:rFonts w:ascii="宋体" w:hAnsi="宋体" w:cs="宋体"/>
                <w:iCs/>
                <w:highlight w:val="none"/>
              </w:rPr>
            </w:pPr>
            <w:r>
              <w:rPr>
                <w:rFonts w:hint="eastAsia" w:ascii="宋体" w:hAnsi="宋体" w:cs="宋体"/>
                <w:iCs/>
                <w:highlight w:val="none"/>
              </w:rPr>
              <w:t>法人授权委托书；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80"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highlight w:val="none"/>
              </w:rPr>
            </w:pPr>
            <w:r>
              <w:rPr>
                <w:rFonts w:hint="eastAsia" w:ascii="宋体" w:hAnsi="宋体" w:cs="宋体"/>
                <w:highlight w:val="none"/>
              </w:rPr>
              <w:t>8</w:t>
            </w:r>
          </w:p>
        </w:tc>
        <w:tc>
          <w:tcPr>
            <w:tcW w:w="9214" w:type="dxa"/>
            <w:tcBorders>
              <w:top w:val="single" w:color="000000" w:sz="8" w:space="0"/>
              <w:left w:val="single" w:color="000000" w:sz="8" w:space="0"/>
              <w:bottom w:val="single" w:color="000000" w:sz="8" w:space="0"/>
              <w:right w:val="single" w:color="000000" w:sz="8" w:space="0"/>
            </w:tcBorders>
            <w:vAlign w:val="top"/>
          </w:tcPr>
          <w:p>
            <w:pPr>
              <w:rPr>
                <w:rFonts w:ascii="宋体" w:hAnsi="宋体" w:cs="宋体"/>
                <w:highlight w:val="none"/>
              </w:rPr>
            </w:pPr>
            <w:r>
              <w:rPr>
                <w:rFonts w:hint="eastAsia" w:ascii="宋体" w:hAnsi="宋体" w:cs="宋体"/>
                <w:highlight w:val="none"/>
              </w:rPr>
              <w:t>是否按时足额的缴纳投标保证金</w:t>
            </w:r>
            <w:r>
              <w:rPr>
                <w:rFonts w:hint="eastAsia" w:ascii="宋体" w:hAnsi="宋体" w:cs="宋体"/>
                <w:highlight w:val="none"/>
                <w:lang w:val="en-US" w:eastAsia="zh-CN"/>
              </w:rPr>
              <w:t>或开具标投保函</w:t>
            </w:r>
            <w:r>
              <w:rPr>
                <w:rFonts w:hint="eastAsia" w:ascii="宋体" w:hAnsi="宋体" w:cs="宋体"/>
                <w:highlight w:val="none"/>
              </w:rPr>
              <w:t>（需提供投标保证金缴纳凭证/保函且加盖公章）</w:t>
            </w:r>
          </w:p>
          <w:p>
            <w:pPr>
              <w:rPr>
                <w:highlight w:val="none"/>
              </w:rPr>
            </w:pPr>
            <w:r>
              <w:rPr>
                <w:rFonts w:hint="eastAsia" w:cs="宋体"/>
                <w:highlight w:val="none"/>
              </w:rPr>
              <w:t>投标保证金：80000元整（大写：捌万元整）</w:t>
            </w:r>
          </w:p>
        </w:tc>
      </w:tr>
    </w:tbl>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before="280"/>
        <w:jc w:val="center"/>
        <w:outlineLvl w:val="1"/>
        <w:rPr>
          <w:highlight w:val="none"/>
        </w:rPr>
      </w:pPr>
      <w:r>
        <w:rPr>
          <w:rFonts w:hint="eastAsia"/>
          <w:highlight w:val="none"/>
        </w:rPr>
        <w:t xml:space="preserve"> </w:t>
      </w:r>
    </w:p>
    <w:p>
      <w:pPr>
        <w:spacing w:before="280"/>
        <w:jc w:val="center"/>
        <w:outlineLvl w:val="1"/>
        <w:rPr>
          <w:highlight w:val="none"/>
        </w:rPr>
      </w:pPr>
    </w:p>
    <w:p>
      <w:pPr>
        <w:spacing w:before="280"/>
        <w:jc w:val="center"/>
        <w:outlineLvl w:val="1"/>
        <w:rPr>
          <w:highlight w:val="none"/>
        </w:rPr>
      </w:pPr>
      <w:r>
        <w:rPr>
          <w:rFonts w:hint="eastAsia"/>
          <w:highlight w:val="none"/>
        </w:rPr>
        <w:t xml:space="preserve">  </w:t>
      </w:r>
    </w:p>
    <w:p>
      <w:pPr>
        <w:spacing w:before="280"/>
        <w:jc w:val="center"/>
        <w:outlineLvl w:val="1"/>
        <w:rPr>
          <w:rFonts w:hint="eastAsia"/>
          <w:sz w:val="40"/>
          <w:szCs w:val="40"/>
          <w:highlight w:val="none"/>
        </w:rPr>
      </w:pPr>
    </w:p>
    <w:p>
      <w:pPr>
        <w:spacing w:before="280"/>
        <w:jc w:val="center"/>
        <w:outlineLvl w:val="1"/>
        <w:rPr>
          <w:sz w:val="40"/>
          <w:szCs w:val="40"/>
          <w:highlight w:val="none"/>
        </w:rPr>
      </w:pPr>
      <w:r>
        <w:rPr>
          <w:rFonts w:hint="eastAsia"/>
          <w:sz w:val="40"/>
          <w:szCs w:val="40"/>
          <w:highlight w:val="none"/>
        </w:rPr>
        <w:t>符合性审查表</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ascii="宋体" w:hAnsi="宋体"/>
                <w:sz w:val="28"/>
                <w:szCs w:val="28"/>
                <w:highlight w:val="none"/>
              </w:rPr>
            </w:pPr>
            <w:r>
              <w:rPr>
                <w:rFonts w:ascii="宋体" w:hAnsi="宋体" w:cs="宋体"/>
                <w:kern w:val="0"/>
                <w:sz w:val="28"/>
                <w:szCs w:val="28"/>
                <w:highlight w:val="none"/>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ascii="宋体" w:hAnsi="宋体"/>
                <w:sz w:val="28"/>
                <w:szCs w:val="28"/>
                <w:highlight w:val="none"/>
              </w:rPr>
            </w:pPr>
            <w:r>
              <w:rPr>
                <w:rFonts w:ascii="宋体" w:hAnsi="宋体" w:cs="宋体"/>
                <w:kern w:val="0"/>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ind w:firstLine="210" w:firstLineChars="100"/>
              <w:textAlignment w:val="top"/>
              <w:rPr>
                <w:rFonts w:ascii="宋体" w:hAnsi="宋体" w:cs="宋体"/>
                <w:highlight w:val="none"/>
              </w:rPr>
            </w:pPr>
            <w:r>
              <w:rPr>
                <w:rFonts w:hint="eastAsia" w:ascii="宋体" w:hAnsi="宋体" w:cs="宋体"/>
                <w:highlight w:val="none"/>
              </w:rPr>
              <w:t>1</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是否按招标文件所提供的样式填写《投标函》；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ind w:firstLine="210" w:firstLineChars="100"/>
              <w:textAlignment w:val="top"/>
              <w:rPr>
                <w:rFonts w:ascii="宋体" w:hAnsi="宋体" w:cs="宋体"/>
                <w:highlight w:val="none"/>
              </w:rPr>
            </w:pPr>
            <w:r>
              <w:rPr>
                <w:rFonts w:hint="eastAsia" w:ascii="宋体" w:hAnsi="宋体" w:cs="宋体"/>
                <w:highlight w:val="none"/>
              </w:rPr>
              <w:t>2</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是否按招标文件所提供的《政府采购投标及履约承诺函》进行承诺或不符合承诺的；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kern w:val="0"/>
                <w:highlight w:val="none"/>
              </w:rPr>
            </w:pPr>
            <w:r>
              <w:rPr>
                <w:rFonts w:hint="eastAsia" w:ascii="宋体" w:hAnsi="宋体" w:cs="宋体"/>
                <w:kern w:val="0"/>
                <w:highlight w:val="none"/>
              </w:rPr>
              <w:t>3</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cs="宋体"/>
                <w:iCs/>
                <w:highlight w:val="none"/>
              </w:rPr>
              <w:t>是否具备履行合同所必需的设备和专业技术能力（提供书面声明函）；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kern w:val="0"/>
                <w:highlight w:val="none"/>
              </w:rPr>
            </w:pPr>
            <w:r>
              <w:rPr>
                <w:rFonts w:hint="eastAsia" w:ascii="宋体" w:hAnsi="宋体" w:cs="宋体"/>
                <w:kern w:val="0"/>
                <w:highlight w:val="none"/>
              </w:rPr>
              <w:t>4</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cs="宋体"/>
                <w:iCs/>
                <w:highlight w:val="none"/>
              </w:rPr>
            </w:pPr>
            <w:r>
              <w:rPr>
                <w:rFonts w:hint="eastAsia" w:ascii="宋体" w:hAnsi="宋体"/>
                <w:highlight w:val="none"/>
              </w:rPr>
              <w:t>是否按招标文件对投标文件组成的要求提供投标文件；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kern w:val="0"/>
                <w:highlight w:val="none"/>
              </w:rPr>
            </w:pPr>
            <w:r>
              <w:rPr>
                <w:rFonts w:hint="eastAsia" w:ascii="宋体" w:hAnsi="宋体" w:cs="宋体"/>
                <w:kern w:val="0"/>
                <w:highlight w:val="none"/>
              </w:rPr>
              <w:t>5</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cs="宋体"/>
                <w:iCs/>
                <w:highlight w:val="none"/>
              </w:rPr>
            </w:pPr>
            <w:r>
              <w:rPr>
                <w:rFonts w:hint="eastAsia" w:ascii="宋体" w:hAnsi="宋体" w:cs="宋体"/>
                <w:color w:val="000000"/>
                <w:highlight w:val="none"/>
              </w:rPr>
              <w:t>投标文件的编制、签署及盖章是否符合采购文件的要求；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r>
              <w:rPr>
                <w:rFonts w:hint="eastAsia" w:ascii="宋体" w:hAnsi="宋体" w:cs="宋体"/>
                <w:highlight w:val="none"/>
              </w:rPr>
              <w:t>6</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r>
              <w:rPr>
                <w:rFonts w:hint="eastAsia" w:ascii="宋体" w:hAnsi="宋体" w:cs="宋体"/>
                <w:highlight w:val="none"/>
              </w:rPr>
              <w:t>7</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投标文件载明的履约期限是否符合招标文件规定的期限；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r>
              <w:rPr>
                <w:rFonts w:hint="eastAsia" w:ascii="宋体" w:hAnsi="宋体" w:cs="宋体"/>
                <w:highlight w:val="none"/>
              </w:rPr>
              <w:t>8</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所投货物、服务在技术、商务等方面是否实质性满足招标文件要求（第三章用户需求书中附表四实质性条款要求），由评审委员会根据实质性条款响应情况作出评判；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r>
              <w:rPr>
                <w:rFonts w:hint="eastAsia" w:ascii="宋体" w:hAnsi="宋体" w:cs="宋体"/>
                <w:highlight w:val="none"/>
              </w:rPr>
              <w:t>9</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法律、法规、规章、规范性文件规定的其他情形。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7" w:hRule="atLeast"/>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r>
              <w:rPr>
                <w:rFonts w:hint="eastAsia" w:ascii="宋体" w:hAnsi="宋体" w:cs="宋体"/>
                <w:kern w:val="0"/>
                <w:highlight w:val="none"/>
              </w:rPr>
              <w:t>10</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hint="eastAsia" w:eastAsia="宋体"/>
                <w:highlight w:val="none"/>
                <w:lang w:eastAsia="zh-CN"/>
              </w:rPr>
            </w:pPr>
            <w:r>
              <w:rPr>
                <w:rFonts w:hint="eastAsia"/>
                <w:highlight w:val="none"/>
              </w:rPr>
              <w:t>（1）</w:t>
            </w:r>
            <w:r>
              <w:rPr>
                <w:rFonts w:hint="eastAsia"/>
                <w:color w:val="FF0000"/>
                <w:highlight w:val="none"/>
              </w:rPr>
              <w:t>教师机（国产商用机）</w:t>
            </w:r>
            <w:r>
              <w:rPr>
                <w:rFonts w:hint="eastAsia"/>
                <w:color w:val="FF0000"/>
                <w:highlight w:val="none"/>
                <w:lang w:eastAsia="zh-CN"/>
              </w:rPr>
              <w:t>、学生机（国产商用机）、超融合服务器</w:t>
            </w:r>
            <w:r>
              <w:rPr>
                <w:rFonts w:hint="eastAsia"/>
                <w:highlight w:val="none"/>
              </w:rPr>
              <w:t>（所投产品整机具有在有效期内的</w:t>
            </w:r>
            <w:r>
              <w:rPr>
                <w:rFonts w:hint="eastAsia"/>
                <w:color w:val="FF0000"/>
                <w:highlight w:val="none"/>
              </w:rPr>
              <w:t>CCC认证证书</w:t>
            </w:r>
            <w:r>
              <w:rPr>
                <w:rFonts w:hint="eastAsia"/>
                <w:highlight w:val="none"/>
              </w:rPr>
              <w:t>）须提供国家强制性CCC认证证书</w:t>
            </w:r>
            <w:r>
              <w:rPr>
                <w:rFonts w:hint="eastAsia"/>
                <w:highlight w:val="none"/>
                <w:lang w:eastAsia="zh-CN"/>
              </w:rPr>
              <w:t>；</w:t>
            </w:r>
          </w:p>
          <w:p>
            <w:pPr>
              <w:widowControl/>
              <w:jc w:val="left"/>
              <w:textAlignment w:val="top"/>
              <w:rPr>
                <w:rFonts w:ascii="宋体" w:hAnsi="宋体"/>
                <w:highlight w:val="none"/>
              </w:rPr>
            </w:pPr>
            <w:r>
              <w:rPr>
                <w:rFonts w:hint="eastAsia"/>
                <w:highlight w:val="none"/>
              </w:rPr>
              <w:t>（2）</w:t>
            </w:r>
            <w:r>
              <w:rPr>
                <w:rFonts w:hint="eastAsia"/>
                <w:color w:val="FF0000"/>
                <w:highlight w:val="none"/>
              </w:rPr>
              <w:t>教师机（国产商用机）</w:t>
            </w:r>
            <w:r>
              <w:rPr>
                <w:rFonts w:hint="eastAsia"/>
                <w:color w:val="FF0000"/>
                <w:highlight w:val="none"/>
                <w:lang w:eastAsia="zh-CN"/>
              </w:rPr>
              <w:t>、学生机（国产商用机）</w:t>
            </w:r>
            <w:r>
              <w:rPr>
                <w:rFonts w:hint="eastAsia"/>
                <w:highlight w:val="none"/>
              </w:rPr>
              <w:t>属于强制节能产品，须提供《参与实施政府采购节能产品认证机构名录》确定的认证机构出具的、处于有效期之内的</w:t>
            </w:r>
            <w:r>
              <w:rPr>
                <w:rFonts w:hint="eastAsia"/>
                <w:color w:val="FF0000"/>
                <w:highlight w:val="none"/>
              </w:rPr>
              <w:t>节能产品认证证书</w:t>
            </w:r>
            <w:r>
              <w:rPr>
                <w:rFonts w:hint="eastAsia"/>
                <w:highlight w:val="none"/>
              </w:rPr>
              <w:t>（复印件加盖供应商公章）。</w:t>
            </w:r>
          </w:p>
        </w:tc>
      </w:tr>
    </w:tbl>
    <w:p>
      <w:pPr>
        <w:spacing w:before="280"/>
        <w:outlineLvl w:val="1"/>
        <w:rPr>
          <w:sz w:val="40"/>
          <w:szCs w:val="40"/>
          <w:highlight w:val="none"/>
        </w:rPr>
      </w:pPr>
    </w:p>
    <w:p>
      <w:pPr>
        <w:spacing w:before="280"/>
        <w:ind w:firstLine="3200" w:firstLineChars="800"/>
        <w:outlineLvl w:val="1"/>
        <w:rPr>
          <w:sz w:val="40"/>
          <w:szCs w:val="40"/>
          <w:highlight w:val="none"/>
        </w:rPr>
      </w:pPr>
      <w:r>
        <w:rPr>
          <w:rFonts w:hint="eastAsia"/>
          <w:sz w:val="40"/>
          <w:szCs w:val="40"/>
          <w:highlight w:val="none"/>
        </w:rPr>
        <w:t>报价符合性审查表</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ascii="宋体" w:hAnsi="宋体"/>
                <w:sz w:val="28"/>
                <w:szCs w:val="28"/>
                <w:highlight w:val="none"/>
              </w:rPr>
            </w:pPr>
            <w:r>
              <w:rPr>
                <w:rFonts w:ascii="宋体" w:hAnsi="宋体" w:cs="宋体"/>
                <w:kern w:val="0"/>
                <w:sz w:val="28"/>
                <w:szCs w:val="28"/>
                <w:highlight w:val="none"/>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ascii="宋体" w:hAnsi="宋体"/>
                <w:sz w:val="28"/>
                <w:szCs w:val="28"/>
                <w:highlight w:val="none"/>
              </w:rPr>
            </w:pPr>
            <w:r>
              <w:rPr>
                <w:rFonts w:ascii="宋体" w:hAnsi="宋体" w:cs="宋体"/>
                <w:kern w:val="0"/>
                <w:sz w:val="28"/>
                <w:szCs w:val="28"/>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r>
              <w:rPr>
                <w:rFonts w:hint="eastAsia" w:ascii="宋体" w:hAnsi="宋体" w:cs="宋体"/>
                <w:highlight w:val="none"/>
              </w:rPr>
              <w:t>1</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《开标一览表》是否符合填写要求；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r>
              <w:rPr>
                <w:rFonts w:hint="eastAsia" w:ascii="宋体" w:hAnsi="宋体" w:cs="宋体"/>
                <w:highlight w:val="none"/>
              </w:rPr>
              <w:t>2</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highlight w:val="none"/>
              </w:rPr>
            </w:pPr>
          </w:p>
          <w:p>
            <w:pPr>
              <w:widowControl/>
              <w:jc w:val="center"/>
              <w:textAlignment w:val="top"/>
              <w:rPr>
                <w:rFonts w:ascii="宋体" w:hAnsi="宋体" w:cs="宋体"/>
                <w:highlight w:val="none"/>
              </w:rPr>
            </w:pPr>
            <w:r>
              <w:rPr>
                <w:rFonts w:hint="eastAsia" w:ascii="宋体" w:hAnsi="宋体" w:cs="宋体"/>
                <w:highlight w:val="none"/>
              </w:rPr>
              <w:t>3</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ascii="宋体" w:hAnsi="宋体"/>
                <w:highlight w:val="none"/>
              </w:rPr>
            </w:pPr>
            <w:r>
              <w:rPr>
                <w:rFonts w:hint="eastAsia" w:ascii="宋体" w:hAnsi="宋体"/>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8284"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rPr>
                <w:rFonts w:hint="eastAsia" w:ascii="宋体" w:hAnsi="宋体"/>
                <w:highlight w:val="none"/>
              </w:rPr>
            </w:pPr>
            <w:r>
              <w:rPr>
                <w:rFonts w:hint="eastAsia" w:ascii="宋体" w:hAnsi="宋体"/>
                <w:highlight w:val="none"/>
              </w:rPr>
              <w:t>投标报价有缺漏项目,或者对招标文件规定的项目需求内容或者需求数量进行修改，评审委员会判定投标响应不满足采购需求；</w:t>
            </w:r>
          </w:p>
        </w:tc>
      </w:tr>
    </w:tbl>
    <w:p>
      <w:pPr>
        <w:ind w:firstLine="3600" w:firstLineChars="900"/>
        <w:outlineLvl w:val="1"/>
        <w:rPr>
          <w:sz w:val="40"/>
          <w:szCs w:val="40"/>
          <w:highlight w:val="none"/>
        </w:rPr>
      </w:pPr>
    </w:p>
    <w:p>
      <w:pPr>
        <w:outlineLvl w:val="1"/>
        <w:rPr>
          <w:sz w:val="40"/>
          <w:szCs w:val="40"/>
          <w:highlight w:val="none"/>
        </w:rPr>
      </w:pPr>
    </w:p>
    <w:p>
      <w:pPr>
        <w:jc w:val="center"/>
        <w:outlineLvl w:val="1"/>
        <w:rPr>
          <w:sz w:val="40"/>
          <w:szCs w:val="40"/>
          <w:highlight w:val="none"/>
        </w:rPr>
      </w:pPr>
    </w:p>
    <w:p>
      <w:pPr>
        <w:jc w:val="center"/>
        <w:outlineLvl w:val="1"/>
        <w:rPr>
          <w:sz w:val="40"/>
          <w:szCs w:val="40"/>
          <w:highlight w:val="none"/>
        </w:rPr>
      </w:pPr>
      <w:r>
        <w:rPr>
          <w:rFonts w:hint="eastAsia"/>
          <w:sz w:val="40"/>
          <w:szCs w:val="40"/>
          <w:highlight w:val="none"/>
        </w:rPr>
        <w:t>评标信息</w:t>
      </w:r>
    </w:p>
    <w:tbl>
      <w:tblPr>
        <w:tblStyle w:val="3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560" w:type="dxa"/>
            <w:vAlign w:val="center"/>
          </w:tcPr>
          <w:p>
            <w:pPr>
              <w:jc w:val="left"/>
              <w:rPr>
                <w:rFonts w:ascii="宋体" w:hAnsi="宋体" w:cs="宋体"/>
                <w:b/>
                <w:bCs/>
                <w:sz w:val="24"/>
                <w:highlight w:val="none"/>
              </w:rPr>
            </w:pPr>
            <w:r>
              <w:rPr>
                <w:rFonts w:ascii="宋体" w:hAnsi="宋体"/>
                <w:b/>
                <w:bCs/>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560" w:type="dxa"/>
            <w:vAlign w:val="center"/>
          </w:tcPr>
          <w:p>
            <w:pPr>
              <w:spacing w:line="324" w:lineRule="auto"/>
              <w:ind w:firstLine="420"/>
              <w:rPr>
                <w:highlight w:val="none"/>
              </w:rPr>
            </w:pPr>
            <w:r>
              <w:rPr>
                <w:rFonts w:hint="eastAsia"/>
                <w:highlight w:val="none"/>
              </w:rPr>
              <w:t>综合评分法。在最大限度地满足招标文件实质性要求的前提下，按照招标文件中规定的各项因素进行综合评审，评标总得分排名前列的投标人，作为推荐的候选中标供应商</w:t>
            </w:r>
            <w:r>
              <w:rPr>
                <w:highlight w:val="none"/>
              </w:rPr>
              <w:t>。</w:t>
            </w:r>
          </w:p>
          <w:p>
            <w:pPr>
              <w:ind w:firstLine="420"/>
              <w:rPr>
                <w:highlight w:val="none"/>
              </w:rPr>
            </w:pPr>
            <w:r>
              <w:rPr>
                <w:highlight w:val="none"/>
              </w:rPr>
              <w:t>价格分计算方法：</w:t>
            </w:r>
          </w:p>
          <w:p>
            <w:pPr>
              <w:ind w:firstLine="420"/>
              <w:rPr>
                <w:highlight w:val="none"/>
              </w:rPr>
            </w:pPr>
            <w:r>
              <w:rPr>
                <w:highlight w:val="none"/>
              </w:rPr>
              <w:t>采用低价优先法计算，即满足招标文件要求且投标价格最低的投标报价为评标基准价，其价格分为满分。其他投标人的价格分统一按照下列公式计算：</w:t>
            </w:r>
          </w:p>
          <w:p>
            <w:pPr>
              <w:ind w:firstLine="420"/>
              <w:rPr>
                <w:highlight w:val="none"/>
              </w:rPr>
            </w:pPr>
            <w:r>
              <w:rPr>
                <w:highlight w:val="none"/>
              </w:rPr>
              <w:t>投标报价得分=(评标基准价／投标报价)×100</w:t>
            </w:r>
          </w:p>
          <w:p>
            <w:pPr>
              <w:ind w:firstLine="420"/>
              <w:rPr>
                <w:highlight w:val="none"/>
              </w:rPr>
            </w:pPr>
            <w:r>
              <w:rPr>
                <w:highlight w:val="none"/>
              </w:rPr>
              <w:t>评标总得分＝F1×A1＋F2×A2＋……＋Fn×An</w:t>
            </w:r>
          </w:p>
          <w:p>
            <w:pPr>
              <w:ind w:firstLine="420"/>
              <w:rPr>
                <w:highlight w:val="none"/>
              </w:rPr>
            </w:pPr>
            <w:r>
              <w:rPr>
                <w:highlight w:val="none"/>
              </w:rPr>
              <w:t>F1、F2……Fn分别为各项评审因素的得分；</w:t>
            </w:r>
          </w:p>
          <w:p>
            <w:pPr>
              <w:ind w:firstLine="420"/>
              <w:rPr>
                <w:highlight w:val="none"/>
              </w:rPr>
            </w:pPr>
            <w:r>
              <w:rPr>
                <w:highlight w:val="none"/>
              </w:rPr>
              <w:t>A1、A2、……An 分别为各项评审因素所占的权重(A1＋A2＋……＋An＝1)。</w:t>
            </w:r>
          </w:p>
          <w:p>
            <w:pPr>
              <w:ind w:firstLine="420"/>
              <w:rPr>
                <w:highlight w:val="none"/>
              </w:rPr>
            </w:pPr>
            <w:r>
              <w:rPr>
                <w:highlight w:val="none"/>
              </w:rPr>
              <w:t>评标过程中，不得去掉报价中的最高报价和最低报价。</w:t>
            </w:r>
          </w:p>
          <w:p>
            <w:pPr>
              <w:ind w:firstLine="420"/>
              <w:rPr>
                <w:highlight w:val="none"/>
              </w:rPr>
            </w:pPr>
            <w:r>
              <w:rPr>
                <w:highlight w:val="none"/>
              </w:rPr>
              <w:t>此方法适用于货物类、服务类、工程类项目。</w:t>
            </w:r>
          </w:p>
        </w:tc>
      </w:tr>
    </w:tbl>
    <w:p>
      <w:pPr>
        <w:rPr>
          <w:rFonts w:ascii="宋体" w:hAnsi="宋体"/>
          <w:vanish/>
          <w:highlight w:val="none"/>
        </w:rPr>
      </w:pPr>
    </w:p>
    <w:p>
      <w:pPr>
        <w:wordWrap w:val="0"/>
        <w:jc w:val="center"/>
        <w:rPr>
          <w:rFonts w:ascii="宋体" w:hAnsi="宋体"/>
          <w:b/>
          <w:bCs/>
          <w:highlight w:val="none"/>
        </w:rPr>
      </w:pPr>
    </w:p>
    <w:p>
      <w:pPr>
        <w:rPr>
          <w:rFonts w:ascii="宋体" w:hAnsi="宋体"/>
          <w:highlight w:val="none"/>
        </w:rPr>
      </w:pPr>
      <w:r>
        <w:rPr>
          <w:rFonts w:hint="eastAsia" w:ascii="宋体" w:hAnsi="宋体"/>
          <w:highlight w:val="none"/>
        </w:rPr>
        <w:t xml:space="preserve">   </w:t>
      </w:r>
    </w:p>
    <w:tbl>
      <w:tblPr>
        <w:tblStyle w:val="39"/>
        <w:tblpPr w:leftFromText="180" w:rightFromText="180" w:vertAnchor="text" w:horzAnchor="page" w:tblpX="1555" w:tblpY="305"/>
        <w:tblOverlap w:val="never"/>
        <w:tblW w:w="9072"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108" w:type="dxa"/>
          <w:bottom w:w="20" w:type="dxa"/>
          <w:right w:w="108" w:type="dxa"/>
        </w:tblCellMar>
      </w:tblPr>
      <w:tblGrid>
        <w:gridCol w:w="676"/>
        <w:gridCol w:w="453"/>
        <w:gridCol w:w="1752"/>
        <w:gridCol w:w="705"/>
        <w:gridCol w:w="54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shd w:val="clear" w:color="auto" w:fill="E6EFFA"/>
            <w:noWrap w:val="0"/>
            <w:vAlign w:val="center"/>
          </w:tcPr>
          <w:p>
            <w:pPr>
              <w:wordWrap w:val="0"/>
              <w:jc w:val="center"/>
              <w:rPr>
                <w:rFonts w:ascii="宋体" w:hAnsi="宋体" w:cs="宋体"/>
                <w:b/>
                <w:bCs/>
                <w:highlight w:val="none"/>
              </w:rPr>
            </w:pPr>
            <w:r>
              <w:rPr>
                <w:rFonts w:ascii="宋体" w:hAnsi="宋体"/>
                <w:b/>
                <w:bCs/>
                <w:highlight w:val="none"/>
              </w:rPr>
              <w:t>序号</w:t>
            </w:r>
          </w:p>
        </w:tc>
        <w:tc>
          <w:tcPr>
            <w:tcW w:w="2910" w:type="dxa"/>
            <w:gridSpan w:val="3"/>
            <w:shd w:val="clear" w:color="auto" w:fill="E6EFFA"/>
            <w:noWrap w:val="0"/>
            <w:vAlign w:val="center"/>
          </w:tcPr>
          <w:p>
            <w:pPr>
              <w:wordWrap w:val="0"/>
              <w:jc w:val="center"/>
              <w:rPr>
                <w:rFonts w:ascii="宋体" w:hAnsi="宋体" w:cs="宋体"/>
                <w:b/>
                <w:bCs/>
                <w:highlight w:val="none"/>
              </w:rPr>
            </w:pPr>
            <w:r>
              <w:rPr>
                <w:rFonts w:ascii="宋体" w:hAnsi="宋体"/>
                <w:b/>
                <w:bCs/>
                <w:highlight w:val="none"/>
              </w:rPr>
              <w:t>评分项</w:t>
            </w:r>
          </w:p>
        </w:tc>
        <w:tc>
          <w:tcPr>
            <w:tcW w:w="5486" w:type="dxa"/>
            <w:shd w:val="clear" w:color="auto" w:fill="E6EFFA"/>
            <w:noWrap w:val="0"/>
            <w:vAlign w:val="center"/>
          </w:tcPr>
          <w:p>
            <w:pPr>
              <w:wordWrap w:val="0"/>
              <w:jc w:val="center"/>
              <w:rPr>
                <w:rFonts w:ascii="宋体" w:hAnsi="宋体" w:cs="宋体"/>
                <w:b/>
                <w:bCs/>
                <w:highlight w:val="none"/>
              </w:rPr>
            </w:pPr>
            <w:r>
              <w:rPr>
                <w:rFonts w:ascii="宋体" w:hAnsi="宋体"/>
                <w:b/>
                <w:bCs/>
                <w:highlight w:val="none"/>
              </w:rPr>
              <w:t>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restart"/>
            <w:noWrap w:val="0"/>
            <w:vAlign w:val="center"/>
          </w:tcPr>
          <w:p>
            <w:pPr>
              <w:wordWrap w:val="0"/>
              <w:jc w:val="center"/>
              <w:rPr>
                <w:rFonts w:ascii="宋体" w:hAnsi="宋体" w:cs="宋体"/>
                <w:b/>
                <w:bCs/>
                <w:color w:val="0000FF"/>
                <w:highlight w:val="none"/>
              </w:rPr>
            </w:pPr>
            <w:r>
              <w:rPr>
                <w:rFonts w:ascii="宋体" w:hAnsi="宋体"/>
                <w:b/>
                <w:bCs/>
                <w:color w:val="0000FF"/>
                <w:highlight w:val="none"/>
              </w:rPr>
              <w:t>1</w:t>
            </w:r>
          </w:p>
        </w:tc>
        <w:tc>
          <w:tcPr>
            <w:tcW w:w="2910" w:type="dxa"/>
            <w:gridSpan w:val="3"/>
            <w:noWrap w:val="0"/>
            <w:vAlign w:val="center"/>
          </w:tcPr>
          <w:p>
            <w:pPr>
              <w:wordWrap w:val="0"/>
              <w:jc w:val="center"/>
              <w:rPr>
                <w:rFonts w:ascii="宋体" w:hAnsi="宋体" w:cs="宋体"/>
                <w:b/>
                <w:bCs/>
                <w:color w:val="0000FF"/>
                <w:highlight w:val="none"/>
              </w:rPr>
            </w:pPr>
            <w:r>
              <w:rPr>
                <w:rFonts w:ascii="宋体" w:hAnsi="宋体"/>
                <w:b/>
                <w:bCs/>
                <w:color w:val="0000FF"/>
                <w:highlight w:val="none"/>
              </w:rPr>
              <w:t>价格</w:t>
            </w:r>
          </w:p>
        </w:tc>
        <w:tc>
          <w:tcPr>
            <w:tcW w:w="5486" w:type="dxa"/>
            <w:noWrap w:val="0"/>
            <w:vAlign w:val="center"/>
          </w:tcPr>
          <w:p>
            <w:pPr>
              <w:wordWrap w:val="0"/>
              <w:jc w:val="center"/>
              <w:rPr>
                <w:rFonts w:ascii="宋体" w:hAnsi="宋体" w:cs="宋体"/>
                <w:b/>
                <w:bCs/>
                <w:color w:val="0000FF"/>
                <w:highlight w:val="none"/>
              </w:rPr>
            </w:pPr>
            <w:r>
              <w:rPr>
                <w:rFonts w:hint="eastAsia" w:ascii="宋体" w:hAnsi="宋体"/>
                <w:b/>
                <w:bCs/>
                <w:color w:val="FF0000"/>
                <w:highlight w:val="none"/>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8396" w:type="dxa"/>
            <w:gridSpan w:val="4"/>
            <w:noWrap w:val="0"/>
            <w:vAlign w:val="center"/>
          </w:tcPr>
          <w:p>
            <w:pPr>
              <w:wordWrap w:val="0"/>
              <w:rPr>
                <w:rFonts w:ascii="宋体" w:hAnsi="宋体" w:cs="宋体"/>
                <w:highlight w:val="none"/>
              </w:rPr>
            </w:pPr>
            <w:r>
              <w:rPr>
                <w:rFonts w:hint="eastAsia"/>
                <w:highlight w:val="none"/>
              </w:rPr>
              <w:t>综合评分法。在最大限度地满足招标文件实质性要求的前提下，按照招标文件中规定的各项因素进行综合评审，评标总得分排名前列的投标人，作为推荐的候选中标供应商</w:t>
            </w:r>
            <w:r>
              <w:rPr>
                <w:highlight w:val="none"/>
              </w:rPr>
              <w:t xml:space="preserve">。 </w:t>
            </w:r>
            <w:r>
              <w:rPr>
                <w:rFonts w:hint="eastAsia"/>
                <w:highlight w:val="none"/>
              </w:rPr>
              <w:t xml:space="preserve">   </w:t>
            </w:r>
            <w:r>
              <w:rPr>
                <w:highlight w:val="none"/>
              </w:rPr>
              <w:t xml:space="preserve">价格分计算方法：采用低价优先法计算，即满足招标文件要求且投标价格最低的投标报价为评标基准价，其价格分为满分。其他投标人的价格分统一按照下列公式计算： </w:t>
            </w:r>
            <w:r>
              <w:rPr>
                <w:rFonts w:hint="eastAsia"/>
                <w:highlight w:val="none"/>
              </w:rPr>
              <w:t xml:space="preserve">       </w:t>
            </w:r>
            <w:r>
              <w:rPr>
                <w:highlight w:val="none"/>
              </w:rPr>
              <w:t xml:space="preserve">投标报价得分=(评标基准价／投标报价)×100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restart"/>
            <w:noWrap w:val="0"/>
            <w:vAlign w:val="center"/>
          </w:tcPr>
          <w:p>
            <w:pPr>
              <w:wordWrap w:val="0"/>
              <w:jc w:val="center"/>
              <w:rPr>
                <w:rFonts w:ascii="宋体" w:hAnsi="宋体" w:cs="宋体"/>
                <w:b/>
                <w:bCs/>
                <w:color w:val="0000FF"/>
                <w:highlight w:val="none"/>
              </w:rPr>
            </w:pPr>
            <w:r>
              <w:rPr>
                <w:rFonts w:ascii="宋体" w:hAnsi="宋体"/>
                <w:b/>
                <w:bCs/>
                <w:color w:val="0000FF"/>
                <w:highlight w:val="none"/>
              </w:rPr>
              <w:t>2</w:t>
            </w:r>
          </w:p>
        </w:tc>
        <w:tc>
          <w:tcPr>
            <w:tcW w:w="2910" w:type="dxa"/>
            <w:gridSpan w:val="3"/>
            <w:noWrap w:val="0"/>
            <w:vAlign w:val="center"/>
          </w:tcPr>
          <w:p>
            <w:pPr>
              <w:wordWrap w:val="0"/>
              <w:jc w:val="center"/>
              <w:rPr>
                <w:rFonts w:ascii="宋体" w:hAnsi="宋体" w:cs="宋体"/>
                <w:b/>
                <w:bCs/>
                <w:color w:val="0000FF"/>
                <w:highlight w:val="none"/>
              </w:rPr>
            </w:pPr>
            <w:r>
              <w:rPr>
                <w:rFonts w:ascii="宋体" w:hAnsi="宋体"/>
                <w:b/>
                <w:bCs/>
                <w:color w:val="0000FF"/>
                <w:highlight w:val="none"/>
              </w:rPr>
              <w:t>技术</w:t>
            </w:r>
            <w:r>
              <w:rPr>
                <w:rFonts w:hint="eastAsia" w:ascii="宋体" w:hAnsi="宋体"/>
                <w:b/>
                <w:bCs/>
                <w:color w:val="0000FF"/>
                <w:highlight w:val="none"/>
              </w:rPr>
              <w:t>部分</w:t>
            </w:r>
          </w:p>
        </w:tc>
        <w:tc>
          <w:tcPr>
            <w:tcW w:w="5486" w:type="dxa"/>
            <w:noWrap w:val="0"/>
            <w:vAlign w:val="center"/>
          </w:tcPr>
          <w:p>
            <w:pPr>
              <w:wordWrap w:val="0"/>
              <w:jc w:val="center"/>
              <w:rPr>
                <w:rFonts w:hint="default" w:ascii="宋体" w:hAnsi="宋体" w:eastAsia="宋体" w:cs="宋体"/>
                <w:b/>
                <w:bCs/>
                <w:color w:val="0000FF"/>
                <w:highlight w:val="none"/>
                <w:lang w:val="en-US" w:eastAsia="zh-CN"/>
              </w:rPr>
            </w:pPr>
            <w:r>
              <w:rPr>
                <w:rFonts w:hint="eastAsia" w:ascii="宋体" w:hAnsi="宋体" w:cs="宋体"/>
                <w:color w:val="FF0000"/>
                <w:highlight w:val="none"/>
                <w:lang w:val="en-US" w:eastAsia="zh-CN"/>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8396" w:type="dxa"/>
            <w:gridSpan w:val="4"/>
            <w:noWrap w:val="0"/>
            <w:vAlign w:val="center"/>
          </w:tcPr>
          <w:p>
            <w:pPr>
              <w:wordWrap w:val="0"/>
              <w:rPr>
                <w:rFonts w:ascii="宋体" w:hAnsi="宋体" w:cs="宋体"/>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shd w:val="clear" w:color="auto" w:fill="E6EFFA"/>
            <w:noWrap w:val="0"/>
            <w:vAlign w:val="center"/>
          </w:tcPr>
          <w:p>
            <w:pPr>
              <w:rPr>
                <w:rFonts w:ascii="宋体" w:hAnsi="宋体" w:cs="宋体"/>
                <w:b/>
                <w:bCs/>
                <w:color w:val="0000FF"/>
                <w:highlight w:val="none"/>
              </w:rPr>
            </w:pPr>
          </w:p>
        </w:tc>
        <w:tc>
          <w:tcPr>
            <w:tcW w:w="453" w:type="dxa"/>
            <w:shd w:val="clear" w:color="auto" w:fill="E6EFFA"/>
            <w:noWrap w:val="0"/>
            <w:vAlign w:val="center"/>
          </w:tcPr>
          <w:p>
            <w:pPr>
              <w:wordWrap w:val="0"/>
              <w:jc w:val="center"/>
              <w:rPr>
                <w:rFonts w:ascii="宋体" w:hAnsi="宋体" w:cs="宋体"/>
                <w:highlight w:val="none"/>
              </w:rPr>
            </w:pPr>
            <w:r>
              <w:rPr>
                <w:rFonts w:ascii="宋体" w:hAnsi="宋体"/>
                <w:highlight w:val="none"/>
              </w:rPr>
              <w:t>序号</w:t>
            </w:r>
          </w:p>
        </w:tc>
        <w:tc>
          <w:tcPr>
            <w:tcW w:w="1752" w:type="dxa"/>
            <w:shd w:val="clear" w:color="auto" w:fill="E6EFFA"/>
            <w:noWrap w:val="0"/>
            <w:vAlign w:val="center"/>
          </w:tcPr>
          <w:p>
            <w:pPr>
              <w:wordWrap w:val="0"/>
              <w:jc w:val="center"/>
              <w:rPr>
                <w:rFonts w:ascii="宋体" w:hAnsi="宋体" w:cs="宋体"/>
                <w:highlight w:val="none"/>
              </w:rPr>
            </w:pPr>
            <w:r>
              <w:rPr>
                <w:rFonts w:ascii="宋体" w:hAnsi="宋体"/>
                <w:highlight w:val="none"/>
              </w:rPr>
              <w:t>评分因素</w:t>
            </w:r>
          </w:p>
        </w:tc>
        <w:tc>
          <w:tcPr>
            <w:tcW w:w="705" w:type="dxa"/>
            <w:shd w:val="clear" w:color="auto" w:fill="E6EFFA"/>
            <w:noWrap w:val="0"/>
            <w:vAlign w:val="center"/>
          </w:tcPr>
          <w:p>
            <w:pPr>
              <w:wordWrap w:val="0"/>
              <w:jc w:val="center"/>
              <w:rPr>
                <w:rFonts w:hint="eastAsia" w:ascii="宋体" w:hAnsi="宋体" w:cs="宋体"/>
                <w:highlight w:val="none"/>
              </w:rPr>
            </w:pPr>
            <w:r>
              <w:rPr>
                <w:rFonts w:hint="eastAsia" w:ascii="宋体" w:hAnsi="宋体"/>
                <w:highlight w:val="none"/>
              </w:rPr>
              <w:t>分值</w:t>
            </w:r>
          </w:p>
        </w:tc>
        <w:tc>
          <w:tcPr>
            <w:tcW w:w="5486" w:type="dxa"/>
            <w:shd w:val="clear" w:color="auto" w:fill="E6EFFA"/>
            <w:noWrap w:val="0"/>
            <w:vAlign w:val="center"/>
          </w:tcPr>
          <w:p>
            <w:pPr>
              <w:wordWrap w:val="0"/>
              <w:jc w:val="center"/>
              <w:rPr>
                <w:rFonts w:ascii="宋体" w:hAnsi="宋体" w:cs="宋体"/>
                <w:highlight w:val="none"/>
              </w:rPr>
            </w:pPr>
            <w:r>
              <w:rPr>
                <w:rFonts w:ascii="宋体" w:hAnsi="宋体"/>
                <w:highlight w:val="none"/>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ascii="宋体" w:hAnsi="宋体" w:cs="宋体"/>
                <w:highlight w:val="none"/>
              </w:rPr>
            </w:pPr>
            <w:r>
              <w:rPr>
                <w:rFonts w:ascii="宋体" w:hAnsi="宋体"/>
                <w:highlight w:val="none"/>
              </w:rPr>
              <w:t>1</w:t>
            </w:r>
          </w:p>
        </w:tc>
        <w:tc>
          <w:tcPr>
            <w:tcW w:w="1752" w:type="dxa"/>
            <w:noWrap w:val="0"/>
            <w:vAlign w:val="center"/>
          </w:tcPr>
          <w:p>
            <w:pPr>
              <w:wordWrap w:val="0"/>
              <w:jc w:val="center"/>
              <w:rPr>
                <w:rFonts w:hint="eastAsia" w:ascii="宋体" w:hAnsi="宋体" w:cs="宋体"/>
                <w:b/>
                <w:kern w:val="0"/>
                <w:highlight w:val="none"/>
              </w:rPr>
            </w:pPr>
            <w:r>
              <w:rPr>
                <w:rFonts w:hint="eastAsia" w:ascii="宋体" w:hAnsi="宋体" w:cs="宋体"/>
                <w:b/>
                <w:kern w:val="0"/>
                <w:highlight w:val="none"/>
              </w:rPr>
              <w:t>技术参数</w:t>
            </w:r>
          </w:p>
          <w:p>
            <w:pPr>
              <w:wordWrap w:val="0"/>
              <w:jc w:val="center"/>
              <w:rPr>
                <w:rFonts w:hint="eastAsia" w:ascii="宋体" w:hAnsi="宋体" w:cs="宋体"/>
                <w:highlight w:val="none"/>
              </w:rPr>
            </w:pPr>
            <w:r>
              <w:rPr>
                <w:rFonts w:hint="eastAsia" w:ascii="宋体" w:hAnsi="宋体" w:cs="宋体"/>
                <w:b/>
                <w:kern w:val="0"/>
                <w:highlight w:val="none"/>
              </w:rPr>
              <w:t>响应</w:t>
            </w:r>
          </w:p>
        </w:tc>
        <w:tc>
          <w:tcPr>
            <w:tcW w:w="705" w:type="dxa"/>
            <w:noWrap w:val="0"/>
            <w:vAlign w:val="center"/>
          </w:tcPr>
          <w:p>
            <w:pPr>
              <w:wordWrap w:val="0"/>
              <w:jc w:val="center"/>
              <w:rPr>
                <w:rFonts w:hint="default" w:ascii="宋体" w:hAnsi="宋体" w:eastAsia="宋体" w:cs="宋体"/>
                <w:highlight w:val="none"/>
                <w:lang w:val="en-US" w:eastAsia="zh-CN"/>
              </w:rPr>
            </w:pPr>
            <w:r>
              <w:rPr>
                <w:rFonts w:hint="eastAsia" w:ascii="宋体" w:hAnsi="宋体" w:cs="宋体"/>
                <w:color w:val="FF0000"/>
                <w:highlight w:val="none"/>
                <w:lang w:val="en-US" w:eastAsia="zh-CN"/>
              </w:rPr>
              <w:t>16</w:t>
            </w:r>
          </w:p>
        </w:tc>
        <w:tc>
          <w:tcPr>
            <w:tcW w:w="5486" w:type="dxa"/>
            <w:noWrap w:val="0"/>
            <w:vAlign w:val="center"/>
          </w:tcPr>
          <w:p>
            <w:pPr>
              <w:wordWrap w:val="0"/>
              <w:rPr>
                <w:rFonts w:hint="eastAsia" w:eastAsia="宋体"/>
                <w:b/>
                <w:bCs/>
                <w:highlight w:val="none"/>
              </w:rPr>
            </w:pPr>
            <w:r>
              <w:rPr>
                <w:rFonts w:hint="eastAsia" w:eastAsia="宋体"/>
                <w:b/>
                <w:bCs/>
                <w:highlight w:val="none"/>
                <w:lang w:eastAsia="zh-CN"/>
              </w:rPr>
              <w:t>（</w:t>
            </w:r>
            <w:r>
              <w:rPr>
                <w:rFonts w:hint="eastAsia" w:eastAsia="宋体"/>
                <w:b/>
                <w:bCs/>
                <w:highlight w:val="none"/>
                <w:lang w:val="en-US" w:eastAsia="zh-CN"/>
              </w:rPr>
              <w:t>一</w:t>
            </w:r>
            <w:r>
              <w:rPr>
                <w:rFonts w:hint="eastAsia" w:eastAsia="宋体"/>
                <w:b/>
                <w:bCs/>
                <w:highlight w:val="none"/>
                <w:lang w:eastAsia="zh-CN"/>
              </w:rPr>
              <w:t>）</w:t>
            </w:r>
            <w:r>
              <w:rPr>
                <w:rFonts w:hint="eastAsia" w:eastAsia="宋体"/>
                <w:b/>
                <w:bCs/>
                <w:highlight w:val="none"/>
              </w:rPr>
              <w:t>评审内容：</w:t>
            </w:r>
          </w:p>
          <w:p>
            <w:pPr>
              <w:wordWrap w:val="0"/>
              <w:ind w:firstLine="210" w:firstLineChars="100"/>
              <w:rPr>
                <w:rFonts w:hint="eastAsia" w:eastAsia="宋体"/>
                <w:highlight w:val="none"/>
              </w:rPr>
            </w:pPr>
            <w:r>
              <w:rPr>
                <w:rFonts w:hint="eastAsia" w:eastAsia="宋体"/>
                <w:highlight w:val="none"/>
              </w:rPr>
              <w:t>投标人须编制投标文件附件七《实质性条款响应情况表》及《重要技术参数响应情况表》，对照招标文件中规定的技术参数进行逐项应答，未逐项应答者按无效投标处理（不能简单的复制招标文件）。</w:t>
            </w:r>
          </w:p>
          <w:p>
            <w:pPr>
              <w:wordWrap w:val="0"/>
              <w:rPr>
                <w:rFonts w:eastAsia="宋体"/>
                <w:b/>
                <w:bCs/>
                <w:highlight w:val="none"/>
              </w:rPr>
            </w:pPr>
            <w:r>
              <w:rPr>
                <w:rFonts w:hint="eastAsia" w:eastAsia="宋体"/>
                <w:b/>
                <w:bCs/>
                <w:highlight w:val="none"/>
                <w:lang w:eastAsia="zh-CN"/>
              </w:rPr>
              <w:t>（</w:t>
            </w:r>
            <w:r>
              <w:rPr>
                <w:rFonts w:hint="eastAsia" w:eastAsia="宋体"/>
                <w:b/>
                <w:bCs/>
                <w:highlight w:val="none"/>
                <w:lang w:val="en-US" w:eastAsia="zh-CN"/>
              </w:rPr>
              <w:t>二</w:t>
            </w:r>
            <w:r>
              <w:rPr>
                <w:rFonts w:hint="eastAsia" w:eastAsia="宋体"/>
                <w:b/>
                <w:bCs/>
                <w:highlight w:val="none"/>
                <w:lang w:eastAsia="zh-CN"/>
              </w:rPr>
              <w:t>）</w:t>
            </w:r>
            <w:r>
              <w:rPr>
                <w:rFonts w:hint="eastAsia" w:eastAsia="宋体"/>
                <w:b/>
                <w:bCs/>
                <w:highlight w:val="none"/>
              </w:rPr>
              <w:t>评审标准：</w:t>
            </w:r>
          </w:p>
          <w:p>
            <w:pPr>
              <w:wordWrap w:val="0"/>
              <w:ind w:firstLine="210" w:firstLineChars="100"/>
              <w:rPr>
                <w:rFonts w:hint="eastAsia" w:eastAsia="宋体"/>
                <w:highlight w:val="none"/>
              </w:rPr>
            </w:pPr>
            <w:r>
              <w:rPr>
                <w:rFonts w:hint="eastAsia" w:eastAsia="宋体"/>
                <w:highlight w:val="none"/>
              </w:rPr>
              <w:t>1、完全响应即满足招标文件的指标要求、参数要求的得</w:t>
            </w:r>
            <w:r>
              <w:rPr>
                <w:rFonts w:hint="eastAsia" w:ascii="宋体" w:hAnsi="宋体" w:eastAsia="宋体" w:cs="宋体"/>
                <w:highlight w:val="none"/>
              </w:rPr>
              <w:t>2</w:t>
            </w:r>
            <w:r>
              <w:rPr>
                <w:rFonts w:hint="eastAsia" w:ascii="宋体" w:hAnsi="宋体" w:eastAsia="宋体" w:cs="宋体"/>
                <w:highlight w:val="none"/>
                <w:lang w:val="en-US" w:eastAsia="zh-CN"/>
              </w:rPr>
              <w:t>6</w:t>
            </w:r>
            <w:r>
              <w:rPr>
                <w:rFonts w:hint="eastAsia" w:eastAsia="宋体"/>
                <w:highlight w:val="none"/>
              </w:rPr>
              <w:t>分。</w:t>
            </w:r>
          </w:p>
          <w:p>
            <w:pPr>
              <w:wordWrap w:val="0"/>
              <w:ind w:firstLine="210" w:firstLineChars="100"/>
              <w:rPr>
                <w:rFonts w:hint="eastAsia" w:eastAsia="宋体"/>
                <w:highlight w:val="none"/>
              </w:rPr>
            </w:pPr>
            <w:r>
              <w:rPr>
                <w:rFonts w:hint="eastAsia" w:eastAsia="宋体"/>
                <w:highlight w:val="none"/>
              </w:rPr>
              <w:t>1.1、带“★”号技术条款为不可偏离条款，供应商必须完全响应满足并填写《实质性条款响应情况表》，否则将导致投标无效；</w:t>
            </w:r>
          </w:p>
          <w:p>
            <w:pPr>
              <w:wordWrap w:val="0"/>
              <w:ind w:firstLine="210" w:firstLineChars="100"/>
              <w:rPr>
                <w:rFonts w:hint="eastAsia" w:eastAsia="宋体"/>
                <w:highlight w:val="none"/>
              </w:rPr>
            </w:pPr>
            <w:r>
              <w:rPr>
                <w:rFonts w:hint="eastAsia" w:eastAsia="宋体"/>
                <w:highlight w:val="none"/>
              </w:rPr>
              <w:t>1.2、带“</w:t>
            </w:r>
            <w:r>
              <w:rPr>
                <w:rFonts w:eastAsia="宋体"/>
                <w:highlight w:val="none"/>
              </w:rPr>
              <w:t>▲</w:t>
            </w:r>
            <w:r>
              <w:rPr>
                <w:rFonts w:hint="eastAsia" w:eastAsia="宋体"/>
                <w:highlight w:val="none"/>
              </w:rPr>
              <w:t>”的技术条款为重要技术指标，供应商需填写《重要技术参数响应情况表》，并提供相应的证明材料。</w:t>
            </w:r>
          </w:p>
          <w:p>
            <w:pPr>
              <w:wordWrap w:val="0"/>
              <w:ind w:firstLine="420" w:firstLineChars="200"/>
              <w:rPr>
                <w:rFonts w:hint="eastAsia" w:ascii="Times New Roman" w:eastAsia="宋体"/>
                <w:sz w:val="21"/>
                <w:szCs w:val="21"/>
                <w:highlight w:val="none"/>
              </w:rPr>
            </w:pPr>
            <w:r>
              <w:rPr>
                <w:rFonts w:hint="eastAsia" w:eastAsia="宋体"/>
                <w:highlight w:val="none"/>
              </w:rPr>
              <w:t xml:space="preserve">每一条不满足扣 </w:t>
            </w:r>
            <w:r>
              <w:rPr>
                <w:rFonts w:hint="eastAsia" w:eastAsia="宋体"/>
                <w:highlight w:val="none"/>
                <w:lang w:val="en-US" w:eastAsia="zh-CN"/>
              </w:rPr>
              <w:t>0.5</w:t>
            </w:r>
            <w:r>
              <w:rPr>
                <w:rFonts w:hint="eastAsia" w:eastAsia="宋体"/>
                <w:highlight w:val="none"/>
              </w:rPr>
              <w:t>分，技术分</w:t>
            </w:r>
            <w:r>
              <w:rPr>
                <w:rFonts w:hint="eastAsia" w:ascii="宋体" w:hAnsi="宋体" w:eastAsia="宋体" w:cs="宋体"/>
                <w:highlight w:val="none"/>
                <w:lang w:val="en-US" w:eastAsia="zh-CN"/>
              </w:rPr>
              <w:t>16</w:t>
            </w:r>
            <w:r>
              <w:rPr>
                <w:rFonts w:hint="eastAsia" w:eastAsia="宋体"/>
                <w:highlight w:val="none"/>
              </w:rPr>
              <w:t>分扣完为止</w:t>
            </w:r>
            <w:r>
              <w:rPr>
                <w:rFonts w:hint="eastAsia" w:ascii="Times New Roman" w:eastAsia="宋体"/>
                <w:sz w:val="21"/>
                <w:szCs w:val="21"/>
                <w:highlight w:val="none"/>
              </w:rPr>
              <w:t>。</w:t>
            </w:r>
          </w:p>
          <w:p>
            <w:pPr>
              <w:wordWrap w:val="0"/>
              <w:ind w:firstLine="210" w:firstLineChars="100"/>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1.3、带“</w:t>
            </w:r>
            <w:r>
              <w:rPr>
                <w:rFonts w:hint="eastAsia" w:ascii="Times New Roman" w:hAnsi="Times New Roman" w:eastAsia="宋体" w:cs="Times New Roman"/>
                <w:highlight w:val="none"/>
                <w:lang w:val="zh-CN"/>
              </w:rPr>
              <w:t>●</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zh-CN"/>
              </w:rPr>
              <w:t>技术指标为</w:t>
            </w:r>
            <w:r>
              <w:rPr>
                <w:rFonts w:hint="eastAsia" w:ascii="Times New Roman" w:hAnsi="Times New Roman" w:eastAsia="宋体" w:cs="Times New Roman"/>
                <w:color w:val="FF0000"/>
                <w:highlight w:val="none"/>
                <w:lang w:val="zh-CN"/>
              </w:rPr>
              <w:t>演示</w:t>
            </w:r>
            <w:r>
              <w:rPr>
                <w:rFonts w:hint="eastAsia" w:ascii="Times New Roman" w:hAnsi="Times New Roman" w:eastAsia="宋体" w:cs="Times New Roman"/>
                <w:highlight w:val="none"/>
                <w:lang w:val="zh-CN"/>
              </w:rPr>
              <w:t>指标，单独计分，不在此项重复扣分。</w:t>
            </w:r>
          </w:p>
          <w:p>
            <w:pPr>
              <w:wordWrap w:val="0"/>
              <w:rPr>
                <w:rFonts w:hint="eastAsia" w:eastAsia="宋体"/>
                <w:b/>
                <w:bCs/>
                <w:highlight w:val="none"/>
              </w:rPr>
            </w:pPr>
            <w:r>
              <w:rPr>
                <w:rFonts w:hint="eastAsia" w:eastAsia="宋体"/>
                <w:b/>
                <w:bCs/>
                <w:highlight w:val="none"/>
                <w:lang w:eastAsia="zh-CN"/>
              </w:rPr>
              <w:t>（</w:t>
            </w:r>
            <w:r>
              <w:rPr>
                <w:rFonts w:hint="eastAsia" w:eastAsia="宋体"/>
                <w:b/>
                <w:bCs/>
                <w:highlight w:val="none"/>
                <w:lang w:val="en-US" w:eastAsia="zh-CN"/>
              </w:rPr>
              <w:t>三</w:t>
            </w:r>
            <w:r>
              <w:rPr>
                <w:rFonts w:hint="eastAsia" w:eastAsia="宋体"/>
                <w:b/>
                <w:bCs/>
                <w:highlight w:val="none"/>
                <w:lang w:eastAsia="zh-CN"/>
              </w:rPr>
              <w:t>）</w:t>
            </w:r>
            <w:r>
              <w:rPr>
                <w:rFonts w:hint="eastAsia" w:eastAsia="宋体"/>
                <w:b/>
                <w:bCs/>
                <w:highlight w:val="none"/>
              </w:rPr>
              <w:t>评审依据：</w:t>
            </w:r>
          </w:p>
          <w:p>
            <w:pPr>
              <w:wordWrap w:val="0"/>
              <w:ind w:firstLine="210" w:firstLineChars="100"/>
              <w:rPr>
                <w:rFonts w:hint="eastAsia" w:eastAsia="宋体"/>
                <w:highlight w:val="none"/>
              </w:rPr>
            </w:pPr>
            <w:r>
              <w:rPr>
                <w:rFonts w:hint="eastAsia" w:eastAsia="宋体"/>
                <w:highlight w:val="none"/>
              </w:rPr>
              <w:t>1、凡在技术参数中要求提供相应佐证材料的，如提供截图、检测报告复印件等相关佐证材料，投标人应当按要求提供并在相应评审内容处做标记并后附，未提供相应佐证材料的视为负偏离，不得分。</w:t>
            </w:r>
          </w:p>
          <w:p>
            <w:pPr>
              <w:wordWrap w:val="0"/>
              <w:rPr>
                <w:rFonts w:hint="eastAsia" w:ascii="宋体" w:hAnsi="宋体" w:cs="宋体"/>
                <w:highlight w:val="none"/>
              </w:rPr>
            </w:pPr>
            <w:r>
              <w:rPr>
                <w:rFonts w:hint="eastAsia" w:ascii="Times New Roman" w:hAnsi="Times New Roman" w:eastAsia="宋体" w:cs="Times New Roman"/>
                <w:kern w:val="2"/>
                <w:sz w:val="21"/>
                <w:szCs w:val="21"/>
                <w:highlight w:val="none"/>
                <w:lang w:val="en-US" w:eastAsia="zh-CN" w:bidi="ar-SA"/>
              </w:rPr>
              <w:t>2、所有证明材料如：提供的彩页或证明文件复印件应加盖投标供应商/厂家公章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hint="eastAsia" w:ascii="宋体" w:hAnsi="宋体" w:eastAsia="宋体"/>
                <w:highlight w:val="none"/>
                <w:lang w:val="en-US" w:eastAsia="zh-CN"/>
              </w:rPr>
            </w:pPr>
            <w:r>
              <w:rPr>
                <w:rFonts w:hint="eastAsia" w:ascii="宋体" w:hAnsi="宋体"/>
                <w:highlight w:val="none"/>
                <w:lang w:val="en-US" w:eastAsia="zh-CN"/>
              </w:rPr>
              <w:t>2</w:t>
            </w:r>
          </w:p>
        </w:tc>
        <w:tc>
          <w:tcPr>
            <w:tcW w:w="1752" w:type="dxa"/>
            <w:noWrap w:val="0"/>
            <w:vAlign w:val="center"/>
          </w:tcPr>
          <w:p>
            <w:pPr>
              <w:wordWrap w:val="0"/>
              <w:jc w:val="center"/>
              <w:rPr>
                <w:rFonts w:hint="default" w:ascii="宋体" w:hAnsi="宋体" w:eastAsia="宋体" w:cs="宋体"/>
                <w:b/>
                <w:kern w:val="0"/>
                <w:highlight w:val="none"/>
                <w:lang w:val="en-US" w:eastAsia="zh-CN"/>
              </w:rPr>
            </w:pPr>
            <w:r>
              <w:rPr>
                <w:rFonts w:hint="eastAsia" w:ascii="宋体" w:hAnsi="宋体" w:cs="宋体"/>
                <w:b/>
                <w:kern w:val="0"/>
                <w:highlight w:val="none"/>
                <w:lang w:val="en-US" w:eastAsia="zh-CN"/>
              </w:rPr>
              <w:t>产品演示</w:t>
            </w:r>
          </w:p>
        </w:tc>
        <w:tc>
          <w:tcPr>
            <w:tcW w:w="705" w:type="dxa"/>
            <w:noWrap w:val="0"/>
            <w:vAlign w:val="center"/>
          </w:tcPr>
          <w:p>
            <w:pPr>
              <w:wordWrap w:val="0"/>
              <w:jc w:val="center"/>
              <w:rPr>
                <w:rFonts w:hint="default" w:ascii="宋体" w:hAnsi="宋体" w:cs="宋体"/>
                <w:color w:val="FF0000"/>
                <w:highlight w:val="none"/>
                <w:lang w:val="en-US" w:eastAsia="zh-CN"/>
              </w:rPr>
            </w:pPr>
            <w:r>
              <w:rPr>
                <w:rFonts w:hint="eastAsia" w:ascii="宋体" w:hAnsi="宋体" w:cs="宋体"/>
                <w:color w:val="FF0000"/>
                <w:highlight w:val="none"/>
                <w:lang w:val="en-US" w:eastAsia="zh-CN"/>
              </w:rPr>
              <w:t>24</w:t>
            </w:r>
          </w:p>
        </w:tc>
        <w:tc>
          <w:tcPr>
            <w:tcW w:w="5486" w:type="dxa"/>
            <w:noWrap w:val="0"/>
            <w:vAlign w:val="center"/>
          </w:tcPr>
          <w:p>
            <w:pPr>
              <w:wordWrap w:val="0"/>
              <w:rPr>
                <w:rFonts w:hint="eastAsia"/>
                <w:b/>
                <w:bCs/>
                <w:highlight w:val="none"/>
              </w:rPr>
            </w:pPr>
            <w:r>
              <w:rPr>
                <w:rFonts w:hint="eastAsia"/>
                <w:b/>
                <w:bCs/>
                <w:highlight w:val="none"/>
              </w:rPr>
              <w:t>评审内容：</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投标人需在开标当天登录政采云平台从“视频会议”模块上提供线上演示，</w:t>
            </w:r>
            <w:r>
              <w:rPr>
                <w:rFonts w:hint="eastAsia" w:cs="Times New Roman"/>
                <w:kern w:val="2"/>
                <w:sz w:val="21"/>
                <w:szCs w:val="21"/>
                <w:highlight w:val="none"/>
                <w:lang w:val="en-US" w:eastAsia="zh-CN" w:bidi="ar-SA"/>
              </w:rPr>
              <w:t>现场</w:t>
            </w:r>
            <w:r>
              <w:rPr>
                <w:rFonts w:hint="eastAsia" w:ascii="Times New Roman" w:hAnsi="Times New Roman" w:eastAsia="宋体" w:cs="Times New Roman"/>
                <w:kern w:val="2"/>
                <w:sz w:val="21"/>
                <w:szCs w:val="21"/>
                <w:highlight w:val="none"/>
                <w:lang w:val="en-US" w:eastAsia="zh-CN" w:bidi="ar-SA"/>
              </w:rPr>
              <w:t>演示自备设备或提供预录制的操作视频二种方式，演示内容须过程完整，符合技术参数要求，不得出现专业性错误。共有8个演示模块，每个演示模块3分，共24分。投标人对单个模块内容完全演示且无专业性错误，该项得3分；有专业性错误、未按功能要求进行演示或演示不完整，该项不得分。演示总时长不超过20分钟，具体演示内容如下：</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1、护理技能虚拟仿真训练系统</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1-4、静脉采血技术</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软件操作结束后，自动生成个人训练报告，内容包括：训练成绩、核心操作正确率、胜任力维度评价、所用时长、扣分和错误详情，系统可针对本次训练给出点评，包含胜任力八维度、熟练程度、核心技能掌握情况等，并推荐下一步训练方案。</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1-13、气管插管术</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●操作中可观察虚拟患者面部形态；插管时通过矢状面能直观地看到插入气管的位置；插管过程深度实时检测。</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1-17、胃肠减压术</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●操作流程：核对患者、摆体位、清洁鼻腔、检查胃管、测量胃管、润滑胃管、开始插管、确定胃管、固定胃管、连接负压引流器。</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1-37、分娩机制</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●透视视角：通过调整透视效果、选择显示的分娩层次，可形象直观地展示胎儿、子宫、骨盆、胎盘、脐带的三维空间位置关系及相互运动变化。</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1-49、小儿头皮留置针</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●可模拟留置针注射时的使用方法及注意事项；穿刺操作步骤提供剖面图，可多角度显示入针角度、行程。</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1-72、心肺复苏（院内版）</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●系统涵盖院内场景下的心肺复苏操作流程，包括评估患者、胸外按压、人工通气、除颤仪的使用；软件系统可以在电脑端、pad端、手机端等多终端打开使用，满足不同场景教学需求；</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2、虚拟仿真综合管理平台</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●服务器管理</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包含中心服务器资源监控，监测中心服务器IP地址、CPU、内存、硬盘使用情况等，方便用户直观了解服务器运行健康状态，及时根据运行状况做相应调整。</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包含GPU Server资源管理，监测多台云加速服务器IP地址、CPU、GPU、内存、硬盘使用情况以及服务器发送和接收速率。每个云加速服务器可以进行单独设置是否主动同步中心服务器应用、服务器状态（上线、下线）、客户端最大连接数以及服务器中各个应用状态（上架、下架）和最大并发客户端。</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3、情景化综合急救仿真训练系统</w:t>
            </w:r>
          </w:p>
          <w:p>
            <w:pPr>
              <w:wordWrap w:val="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●在智能模型人上利用仿真除颤仪进行电除颤操作，虚拟场景同步显示除颤仪按压位置、除颤能量、充电、放电等操作。（提供利用除颤仪进行虚实结合除颤操作的视频）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hint="eastAsia" w:ascii="宋体" w:hAnsi="宋体" w:eastAsia="宋体" w:cs="宋体"/>
                <w:highlight w:val="none"/>
                <w:lang w:eastAsia="zh-CN"/>
              </w:rPr>
            </w:pPr>
            <w:r>
              <w:rPr>
                <w:rFonts w:hint="eastAsia" w:ascii="宋体" w:hAnsi="宋体"/>
                <w:highlight w:val="none"/>
                <w:lang w:val="en-US" w:eastAsia="zh-CN"/>
              </w:rPr>
              <w:t>3</w:t>
            </w:r>
          </w:p>
        </w:tc>
        <w:tc>
          <w:tcPr>
            <w:tcW w:w="1752" w:type="dxa"/>
            <w:noWrap w:val="0"/>
            <w:vAlign w:val="center"/>
          </w:tcPr>
          <w:p>
            <w:pPr>
              <w:wordWrap w:val="0"/>
              <w:jc w:val="center"/>
              <w:rPr>
                <w:rFonts w:ascii="宋体" w:hAnsi="宋体" w:cs="宋体"/>
                <w:highlight w:val="none"/>
              </w:rPr>
            </w:pPr>
            <w:r>
              <w:rPr>
                <w:rFonts w:hint="eastAsia" w:ascii="宋体" w:hAnsi="宋体" w:cs="宋体"/>
                <w:b/>
                <w:kern w:val="0"/>
                <w:highlight w:val="none"/>
              </w:rPr>
              <w:t>项目实施方案</w:t>
            </w:r>
          </w:p>
        </w:tc>
        <w:tc>
          <w:tcPr>
            <w:tcW w:w="705" w:type="dxa"/>
            <w:noWrap w:val="0"/>
            <w:vAlign w:val="center"/>
          </w:tcPr>
          <w:p>
            <w:pPr>
              <w:wordWrap w:val="0"/>
              <w:jc w:val="center"/>
              <w:rPr>
                <w:rFonts w:ascii="宋体" w:hAnsi="宋体" w:cs="宋体"/>
                <w:highlight w:val="none"/>
              </w:rPr>
            </w:pPr>
            <w:r>
              <w:rPr>
                <w:rFonts w:hint="eastAsia" w:ascii="宋体" w:hAnsi="宋体" w:cs="宋体"/>
                <w:color w:val="FF0000"/>
                <w:highlight w:val="none"/>
              </w:rPr>
              <w:t>5</w:t>
            </w:r>
          </w:p>
        </w:tc>
        <w:tc>
          <w:tcPr>
            <w:tcW w:w="5486" w:type="dxa"/>
            <w:noWrap w:val="0"/>
            <w:vAlign w:val="center"/>
          </w:tcPr>
          <w:p>
            <w:pPr>
              <w:tabs>
                <w:tab w:val="left" w:pos="2869"/>
                <w:tab w:val="left" w:pos="3010"/>
              </w:tabs>
              <w:rPr>
                <w:b/>
                <w:bCs/>
                <w:highlight w:val="none"/>
              </w:rPr>
            </w:pPr>
            <w:r>
              <w:rPr>
                <w:rFonts w:hint="eastAsia"/>
                <w:b/>
                <w:bCs/>
                <w:highlight w:val="none"/>
              </w:rPr>
              <w:t>（一）评审内容：</w:t>
            </w:r>
          </w:p>
          <w:p>
            <w:pPr>
              <w:wordWrap w:val="0"/>
              <w:ind w:firstLine="420" w:firstLineChars="200"/>
              <w:rPr>
                <w:rFonts w:hint="eastAsia"/>
                <w:highlight w:val="none"/>
              </w:rPr>
            </w:pPr>
            <w:r>
              <w:rPr>
                <w:rFonts w:hint="eastAsia"/>
                <w:highlight w:val="none"/>
              </w:rPr>
              <w:t>投标人根据本项目制定详细的供货保障方案 ，包含但不限于：</w:t>
            </w:r>
          </w:p>
          <w:p>
            <w:pPr>
              <w:wordWrap w:val="0"/>
              <w:ind w:firstLine="420" w:firstLineChars="200"/>
              <w:rPr>
                <w:rFonts w:hint="eastAsia"/>
                <w:highlight w:val="none"/>
              </w:rPr>
            </w:pPr>
            <w:r>
              <w:rPr>
                <w:rFonts w:hint="eastAsia"/>
                <w:highlight w:val="none"/>
              </w:rPr>
              <w:t>（1）供货保障措施；</w:t>
            </w:r>
          </w:p>
          <w:p>
            <w:pPr>
              <w:wordWrap w:val="0"/>
              <w:ind w:firstLine="420" w:firstLineChars="200"/>
              <w:rPr>
                <w:rFonts w:hint="eastAsia"/>
                <w:highlight w:val="none"/>
              </w:rPr>
            </w:pPr>
            <w:r>
              <w:rPr>
                <w:rFonts w:hint="eastAsia"/>
                <w:highlight w:val="none"/>
              </w:rPr>
              <w:t>（2）质量管控方案；</w:t>
            </w:r>
          </w:p>
          <w:p>
            <w:pPr>
              <w:wordWrap w:val="0"/>
              <w:ind w:firstLine="420" w:firstLineChars="200"/>
              <w:rPr>
                <w:rFonts w:hint="eastAsia"/>
                <w:highlight w:val="none"/>
              </w:rPr>
            </w:pPr>
            <w:r>
              <w:rPr>
                <w:rFonts w:hint="eastAsia"/>
                <w:highlight w:val="none"/>
              </w:rPr>
              <w:t>（3）供货进度安排；</w:t>
            </w:r>
          </w:p>
          <w:p>
            <w:pPr>
              <w:wordWrap w:val="0"/>
              <w:ind w:firstLine="420" w:firstLineChars="200"/>
              <w:rPr>
                <w:rFonts w:hint="eastAsia"/>
                <w:highlight w:val="none"/>
              </w:rPr>
            </w:pPr>
            <w:r>
              <w:rPr>
                <w:rFonts w:hint="eastAsia"/>
                <w:highlight w:val="none"/>
              </w:rPr>
              <w:t>（4）</w:t>
            </w:r>
            <w:r>
              <w:rPr>
                <w:rFonts w:hint="eastAsia"/>
                <w:highlight w:val="none"/>
                <w:lang w:val="en-US" w:eastAsia="zh-CN"/>
              </w:rPr>
              <w:t>拟安排团队人员</w:t>
            </w:r>
            <w:r>
              <w:rPr>
                <w:rFonts w:hint="eastAsia"/>
                <w:highlight w:val="none"/>
              </w:rPr>
              <w:t>情况；</w:t>
            </w:r>
          </w:p>
          <w:p>
            <w:pPr>
              <w:wordWrap w:val="0"/>
              <w:ind w:firstLine="420" w:firstLineChars="200"/>
              <w:rPr>
                <w:rFonts w:hint="eastAsia"/>
                <w:highlight w:val="none"/>
              </w:rPr>
            </w:pPr>
            <w:r>
              <w:rPr>
                <w:rFonts w:hint="eastAsia"/>
                <w:highlight w:val="none"/>
              </w:rPr>
              <w:t>（5）运输安排等；</w:t>
            </w:r>
          </w:p>
          <w:p>
            <w:pPr>
              <w:wordWrap w:val="0"/>
              <w:rPr>
                <w:rFonts w:hint="eastAsia"/>
                <w:b/>
                <w:bCs/>
                <w:highlight w:val="none"/>
              </w:rPr>
            </w:pPr>
            <w:r>
              <w:rPr>
                <w:rFonts w:hint="eastAsia"/>
                <w:b/>
                <w:bCs/>
                <w:highlight w:val="none"/>
              </w:rPr>
              <w:t>（二）评分标准：</w:t>
            </w:r>
          </w:p>
          <w:p>
            <w:pPr>
              <w:wordWrap w:val="0"/>
              <w:rPr>
                <w:highlight w:val="none"/>
              </w:rPr>
            </w:pPr>
            <w:r>
              <w:rPr>
                <w:rFonts w:hint="eastAsia"/>
                <w:highlight w:val="none"/>
              </w:rPr>
              <w:t xml:space="preserve">    评审专家对投标供应商提供的上述方案进行评价与比较</w:t>
            </w:r>
            <w:r>
              <w:rPr>
                <w:highlight w:val="none"/>
                <w:lang w:val="zh-CN"/>
              </w:rPr>
              <w:t>，</w:t>
            </w:r>
            <w:r>
              <w:rPr>
                <w:rFonts w:hint="eastAsia"/>
                <w:highlight w:val="none"/>
              </w:rPr>
              <w:t>并根据缺陷程度，给予综合评价：</w:t>
            </w:r>
          </w:p>
          <w:p>
            <w:pPr>
              <w:wordWrap w:val="0"/>
              <w:ind w:firstLine="420" w:firstLineChars="200"/>
              <w:rPr>
                <w:rFonts w:hint="eastAsia"/>
                <w:highlight w:val="none"/>
              </w:rPr>
            </w:pPr>
            <w:r>
              <w:rPr>
                <w:rFonts w:hint="eastAsia"/>
                <w:highlight w:val="none"/>
              </w:rPr>
              <w:t>无缺陷，评价为优，得5分；</w:t>
            </w:r>
          </w:p>
          <w:p>
            <w:pPr>
              <w:wordWrap w:val="0"/>
              <w:ind w:firstLine="420" w:firstLineChars="200"/>
              <w:rPr>
                <w:rFonts w:hint="eastAsia"/>
                <w:highlight w:val="none"/>
              </w:rPr>
            </w:pPr>
            <w:r>
              <w:rPr>
                <w:rFonts w:hint="eastAsia"/>
                <w:highlight w:val="none"/>
              </w:rPr>
              <w:t>存在下述1-2项缺陷，评价为良，得</w:t>
            </w:r>
            <w:r>
              <w:rPr>
                <w:rFonts w:hint="eastAsia"/>
                <w:highlight w:val="none"/>
                <w:lang w:val="en-US" w:eastAsia="zh-CN"/>
              </w:rPr>
              <w:t>3</w:t>
            </w:r>
            <w:r>
              <w:rPr>
                <w:rFonts w:hint="eastAsia"/>
                <w:highlight w:val="none"/>
              </w:rPr>
              <w:t>分；</w:t>
            </w:r>
          </w:p>
          <w:p>
            <w:pPr>
              <w:wordWrap w:val="0"/>
              <w:ind w:firstLine="420" w:firstLineChars="200"/>
              <w:rPr>
                <w:rFonts w:hint="eastAsia"/>
                <w:highlight w:val="none"/>
              </w:rPr>
            </w:pPr>
            <w:r>
              <w:rPr>
                <w:rFonts w:hint="eastAsia"/>
                <w:highlight w:val="none"/>
              </w:rPr>
              <w:t>存在下述3</w:t>
            </w:r>
            <w:r>
              <w:rPr>
                <w:rFonts w:hint="eastAsia"/>
                <w:highlight w:val="none"/>
                <w:lang w:val="en-US" w:eastAsia="zh-CN"/>
              </w:rPr>
              <w:t>-4</w:t>
            </w:r>
            <w:r>
              <w:rPr>
                <w:rFonts w:hint="eastAsia"/>
                <w:highlight w:val="none"/>
              </w:rPr>
              <w:t>项缺陷，评价为一般，得</w:t>
            </w:r>
            <w:r>
              <w:rPr>
                <w:rFonts w:hint="eastAsia"/>
                <w:highlight w:val="none"/>
                <w:lang w:val="en-US" w:eastAsia="zh-CN"/>
              </w:rPr>
              <w:t>1</w:t>
            </w:r>
            <w:r>
              <w:rPr>
                <w:rFonts w:hint="eastAsia"/>
                <w:highlight w:val="none"/>
              </w:rPr>
              <w:t>分；</w:t>
            </w:r>
          </w:p>
          <w:p>
            <w:pPr>
              <w:wordWrap w:val="0"/>
              <w:ind w:firstLine="420" w:firstLineChars="200"/>
              <w:rPr>
                <w:rFonts w:hint="eastAsia"/>
                <w:highlight w:val="none"/>
              </w:rPr>
            </w:pPr>
            <w:r>
              <w:rPr>
                <w:rFonts w:hint="eastAsia"/>
                <w:highlight w:val="none"/>
              </w:rPr>
              <w:t>存在下述5项及以上缺陷，评价为差，不得分</w:t>
            </w:r>
          </w:p>
          <w:p>
            <w:pPr>
              <w:wordWrap w:val="0"/>
              <w:rPr>
                <w:rFonts w:hint="eastAsia"/>
                <w:b/>
                <w:bCs/>
                <w:highlight w:val="none"/>
              </w:rPr>
            </w:pPr>
            <w:r>
              <w:rPr>
                <w:rFonts w:hint="eastAsia"/>
                <w:b/>
                <w:bCs/>
                <w:highlight w:val="none"/>
              </w:rPr>
              <w:t>（三）缺陷是指：</w:t>
            </w:r>
          </w:p>
          <w:p>
            <w:pPr>
              <w:tabs>
                <w:tab w:val="left" w:pos="2869"/>
                <w:tab w:val="left" w:pos="3010"/>
              </w:tabs>
              <w:rPr>
                <w:rFonts w:hint="eastAsia"/>
                <w:highlight w:val="none"/>
              </w:rPr>
            </w:pPr>
            <w:r>
              <w:rPr>
                <w:rFonts w:hint="eastAsia"/>
                <w:highlight w:val="none"/>
              </w:rPr>
              <w:t>1.缺少上述5项方案中任意一项情形；</w:t>
            </w:r>
          </w:p>
          <w:p>
            <w:pPr>
              <w:tabs>
                <w:tab w:val="left" w:pos="2869"/>
                <w:tab w:val="left" w:pos="3010"/>
              </w:tabs>
              <w:rPr>
                <w:rFonts w:hint="eastAsia"/>
                <w:highlight w:val="none"/>
              </w:rPr>
            </w:pPr>
            <w:r>
              <w:rPr>
                <w:rFonts w:hint="eastAsia"/>
                <w:highlight w:val="none"/>
              </w:rPr>
              <w:t>2.未制定详细的供货保障措施（如：未根据采购清单量，合理安排供货；缺少管理措施；未针对可能出现的供货中断情况，制定应急预案等）；</w:t>
            </w:r>
          </w:p>
          <w:p>
            <w:pPr>
              <w:tabs>
                <w:tab w:val="left" w:pos="2869"/>
                <w:tab w:val="left" w:pos="3010"/>
              </w:tabs>
              <w:rPr>
                <w:rFonts w:hint="eastAsia"/>
                <w:highlight w:val="none"/>
              </w:rPr>
            </w:pPr>
            <w:r>
              <w:rPr>
                <w:rFonts w:hint="eastAsia"/>
                <w:highlight w:val="none"/>
              </w:rPr>
              <w:t>3.质量控制及保障措施不得力（如：不是原厂出厂全新产品，未有明确的产品检验标准）；</w:t>
            </w:r>
          </w:p>
          <w:p>
            <w:pPr>
              <w:tabs>
                <w:tab w:val="left" w:pos="2869"/>
                <w:tab w:val="left" w:pos="3010"/>
              </w:tabs>
              <w:rPr>
                <w:rFonts w:hint="eastAsia"/>
                <w:highlight w:val="none"/>
              </w:rPr>
            </w:pPr>
            <w:r>
              <w:rPr>
                <w:rFonts w:hint="eastAsia"/>
                <w:highlight w:val="none"/>
              </w:rPr>
              <w:t>4.未制定明确的供货进度安排（如：未制定详细的供货时间表、未明确运输、安装、调试等环节的时间节点）；</w:t>
            </w:r>
          </w:p>
          <w:p>
            <w:pPr>
              <w:tabs>
                <w:tab w:val="left" w:pos="2869"/>
                <w:tab w:val="left" w:pos="3010"/>
              </w:tabs>
              <w:rPr>
                <w:rFonts w:hint="eastAsia"/>
                <w:highlight w:val="none"/>
              </w:rPr>
            </w:pPr>
            <w:r>
              <w:rPr>
                <w:rFonts w:hint="eastAsia"/>
                <w:highlight w:val="none"/>
              </w:rPr>
              <w:t>5.</w:t>
            </w:r>
            <w:r>
              <w:rPr>
                <w:rFonts w:hint="eastAsia"/>
                <w:highlight w:val="none"/>
                <w:lang w:val="en-US" w:eastAsia="zh-CN"/>
              </w:rPr>
              <w:t>未提供团队人员职责分工方案</w:t>
            </w:r>
            <w:r>
              <w:rPr>
                <w:rFonts w:hint="eastAsia"/>
                <w:highlight w:val="none"/>
              </w:rPr>
              <w:t>；</w:t>
            </w:r>
          </w:p>
          <w:p>
            <w:pPr>
              <w:wordWrap w:val="0"/>
              <w:rPr>
                <w:highlight w:val="none"/>
              </w:rPr>
            </w:pPr>
            <w:r>
              <w:rPr>
                <w:rFonts w:hint="eastAsia"/>
                <w:highlight w:val="none"/>
              </w:rPr>
              <w:t>6.未制定详细的运输、安装方案（如：运输方式、运输前检查、拆卸包装、到货验收、安装调试等）；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hint="eastAsia" w:ascii="宋体" w:hAnsi="宋体"/>
                <w:highlight w:val="none"/>
              </w:rPr>
            </w:pPr>
            <w:r>
              <w:rPr>
                <w:rFonts w:hint="eastAsia" w:ascii="宋体" w:hAnsi="宋体"/>
                <w:highlight w:val="none"/>
              </w:rPr>
              <w:t>4</w:t>
            </w:r>
          </w:p>
        </w:tc>
        <w:tc>
          <w:tcPr>
            <w:tcW w:w="1752" w:type="dxa"/>
            <w:noWrap w:val="0"/>
            <w:vAlign w:val="center"/>
          </w:tcPr>
          <w:p>
            <w:pPr>
              <w:wordWrap w:val="0"/>
              <w:jc w:val="center"/>
              <w:rPr>
                <w:rFonts w:hint="default" w:ascii="宋体" w:hAnsi="宋体" w:eastAsia="宋体"/>
                <w:highlight w:val="none"/>
                <w:lang w:val="en-US" w:eastAsia="zh-CN"/>
              </w:rPr>
            </w:pPr>
            <w:r>
              <w:rPr>
                <w:rFonts w:hint="eastAsia" w:ascii="宋体" w:hAnsi="宋体" w:cs="宋体"/>
                <w:b/>
                <w:kern w:val="0"/>
                <w:highlight w:val="none"/>
                <w:lang w:val="en-US" w:eastAsia="zh-CN"/>
              </w:rPr>
              <w:t>技术人员保障</w:t>
            </w:r>
          </w:p>
        </w:tc>
        <w:tc>
          <w:tcPr>
            <w:tcW w:w="705" w:type="dxa"/>
            <w:noWrap w:val="0"/>
            <w:vAlign w:val="center"/>
          </w:tcPr>
          <w:p>
            <w:pPr>
              <w:wordWrap w:val="0"/>
              <w:jc w:val="center"/>
              <w:rPr>
                <w:rFonts w:hint="eastAsia" w:ascii="宋体" w:hAnsi="宋体" w:eastAsia="宋体" w:cs="宋体"/>
                <w:highlight w:val="none"/>
                <w:lang w:eastAsia="zh-CN"/>
              </w:rPr>
            </w:pPr>
            <w:r>
              <w:rPr>
                <w:rFonts w:hint="eastAsia" w:ascii="宋体" w:hAnsi="宋体" w:cs="宋体"/>
                <w:color w:val="FF0000"/>
                <w:highlight w:val="none"/>
                <w:lang w:val="en-US" w:eastAsia="zh-CN"/>
              </w:rPr>
              <w:t>5</w:t>
            </w:r>
          </w:p>
        </w:tc>
        <w:tc>
          <w:tcPr>
            <w:tcW w:w="5486" w:type="dxa"/>
            <w:noWrap w:val="0"/>
            <w:vAlign w:val="center"/>
          </w:tcPr>
          <w:p>
            <w:pPr>
              <w:wordWrap w:val="0"/>
              <w:rPr>
                <w:rFonts w:hint="eastAsia"/>
                <w:highlight w:val="none"/>
              </w:rPr>
            </w:pPr>
            <w:r>
              <w:rPr>
                <w:rFonts w:hint="eastAsia"/>
                <w:b/>
                <w:bCs/>
                <w:highlight w:val="none"/>
                <w:lang w:eastAsia="zh-CN"/>
              </w:rPr>
              <w:t>（</w:t>
            </w:r>
            <w:r>
              <w:rPr>
                <w:rFonts w:hint="eastAsia"/>
                <w:b/>
                <w:bCs/>
                <w:highlight w:val="none"/>
                <w:lang w:val="en-US" w:eastAsia="zh-CN"/>
              </w:rPr>
              <w:t>一</w:t>
            </w:r>
            <w:r>
              <w:rPr>
                <w:rFonts w:hint="eastAsia"/>
                <w:b/>
                <w:bCs/>
                <w:highlight w:val="none"/>
                <w:lang w:eastAsia="zh-CN"/>
              </w:rPr>
              <w:t>）</w:t>
            </w:r>
            <w:r>
              <w:rPr>
                <w:rFonts w:hint="eastAsia"/>
                <w:b/>
                <w:bCs/>
                <w:highlight w:val="none"/>
              </w:rPr>
              <w:t>评审内容：</w:t>
            </w:r>
          </w:p>
          <w:p>
            <w:pPr>
              <w:wordWrap w:val="0"/>
              <w:rPr>
                <w:rFonts w:hint="eastAsia"/>
                <w:b w:val="0"/>
                <w:bCs w:val="0"/>
                <w:highlight w:val="none"/>
                <w:lang w:val="zh-CN"/>
              </w:rPr>
            </w:pPr>
            <w:r>
              <w:rPr>
                <w:rFonts w:hint="eastAsia"/>
                <w:b w:val="0"/>
                <w:bCs w:val="0"/>
                <w:highlight w:val="none"/>
                <w:lang w:val="zh-CN"/>
              </w:rPr>
              <w:t>投标人拟投入本次项目团队需要具备丰富的项目建设经验，要求投标人项目实施团队人员需具备3年以上同类项目经验，并提供案例证明和相关职业技能证书。</w:t>
            </w:r>
          </w:p>
          <w:p>
            <w:pPr>
              <w:wordWrap w:val="0"/>
              <w:rPr>
                <w:rFonts w:hint="eastAsia"/>
                <w:b w:val="0"/>
                <w:bCs w:val="0"/>
                <w:highlight w:val="none"/>
                <w:lang w:val="zh-CN"/>
              </w:rPr>
            </w:pPr>
            <w:r>
              <w:rPr>
                <w:rFonts w:hint="eastAsia"/>
                <w:b w:val="0"/>
                <w:bCs w:val="0"/>
                <w:highlight w:val="none"/>
                <w:lang w:val="zh-CN"/>
              </w:rPr>
              <w:t>相关职业技能证书包括但不限于：AR/VR技术应用及开发证书、AI算法工程师证书、</w:t>
            </w:r>
            <w:r>
              <w:rPr>
                <w:rFonts w:hint="eastAsia"/>
                <w:b w:val="0"/>
                <w:bCs w:val="0"/>
                <w:highlight w:val="none"/>
                <w:lang w:val="en-US" w:eastAsia="zh-CN"/>
              </w:rPr>
              <w:t>信息系统项目管理师</w:t>
            </w:r>
            <w:r>
              <w:rPr>
                <w:rFonts w:hint="eastAsia"/>
                <w:b w:val="0"/>
                <w:bCs w:val="0"/>
                <w:highlight w:val="none"/>
                <w:lang w:val="zh-CN"/>
              </w:rPr>
              <w:t>、系统分析师、系统架构师等；</w:t>
            </w:r>
          </w:p>
          <w:p>
            <w:pPr>
              <w:wordWrap w:val="0"/>
              <w:rPr>
                <w:rFonts w:hint="eastAsia"/>
                <w:b w:val="0"/>
                <w:bCs w:val="0"/>
                <w:highlight w:val="none"/>
                <w:lang w:val="zh-CN"/>
              </w:rPr>
            </w:pPr>
            <w:r>
              <w:rPr>
                <w:rFonts w:hint="eastAsia"/>
                <w:b w:val="0"/>
                <w:bCs w:val="0"/>
                <w:highlight w:val="none"/>
                <w:lang w:val="zh-CN"/>
              </w:rPr>
              <w:t>提供</w:t>
            </w:r>
            <w:r>
              <w:rPr>
                <w:rFonts w:hint="eastAsia"/>
                <w:b w:val="0"/>
                <w:bCs w:val="0"/>
                <w:highlight w:val="none"/>
                <w:lang w:val="en-US" w:eastAsia="zh-CN"/>
              </w:rPr>
              <w:t>团队人员中</w:t>
            </w:r>
            <w:r>
              <w:rPr>
                <w:rFonts w:hint="eastAsia"/>
                <w:b w:val="0"/>
                <w:bCs w:val="0"/>
                <w:highlight w:val="none"/>
                <w:lang w:val="zh-CN"/>
              </w:rPr>
              <w:t>1</w:t>
            </w:r>
            <w:r>
              <w:rPr>
                <w:rFonts w:hint="eastAsia"/>
                <w:b w:val="0"/>
                <w:bCs w:val="0"/>
                <w:highlight w:val="none"/>
                <w:lang w:val="en-US" w:eastAsia="zh-CN"/>
              </w:rPr>
              <w:t>类证书</w:t>
            </w:r>
            <w:r>
              <w:rPr>
                <w:rFonts w:hint="eastAsia"/>
                <w:b w:val="0"/>
                <w:bCs w:val="0"/>
                <w:highlight w:val="none"/>
                <w:lang w:val="zh-CN"/>
              </w:rPr>
              <w:t>得1分，最高5分；没有或未提供不得分。</w:t>
            </w:r>
          </w:p>
          <w:p>
            <w:pPr>
              <w:wordWrap w:val="0"/>
              <w:rPr>
                <w:rFonts w:hint="eastAsia"/>
                <w:b w:val="0"/>
                <w:bCs w:val="0"/>
                <w:highlight w:val="none"/>
                <w:lang w:val="zh-CN"/>
              </w:rPr>
            </w:pPr>
            <w:r>
              <w:rPr>
                <w:rFonts w:hint="eastAsia"/>
                <w:b/>
                <w:bCs/>
                <w:highlight w:val="none"/>
                <w:lang w:eastAsia="zh-CN"/>
              </w:rPr>
              <w:t>（</w:t>
            </w:r>
            <w:r>
              <w:rPr>
                <w:rFonts w:hint="eastAsia"/>
                <w:b/>
                <w:bCs/>
                <w:highlight w:val="none"/>
                <w:lang w:val="en-US" w:eastAsia="zh-CN"/>
              </w:rPr>
              <w:t>二</w:t>
            </w:r>
            <w:r>
              <w:rPr>
                <w:rFonts w:hint="eastAsia"/>
                <w:b/>
                <w:bCs/>
                <w:highlight w:val="none"/>
                <w:lang w:eastAsia="zh-CN"/>
              </w:rPr>
              <w:t>）</w:t>
            </w:r>
            <w:r>
              <w:rPr>
                <w:rFonts w:hint="eastAsia"/>
                <w:b/>
                <w:bCs/>
                <w:highlight w:val="none"/>
              </w:rPr>
              <w:t>评审依据：</w:t>
            </w:r>
          </w:p>
          <w:p>
            <w:pPr>
              <w:pStyle w:val="33"/>
              <w:jc w:val="left"/>
              <w:rPr>
                <w:rFonts w:hint="eastAsia" w:ascii="Times New Roman" w:eastAsia="宋体"/>
                <w:sz w:val="21"/>
                <w:szCs w:val="21"/>
                <w:highlight w:val="none"/>
              </w:rPr>
            </w:pPr>
            <w:r>
              <w:rPr>
                <w:rFonts w:hint="eastAsia" w:ascii="Times New Roman" w:eastAsia="宋体"/>
                <w:sz w:val="21"/>
                <w:szCs w:val="21"/>
                <w:highlight w:val="none"/>
              </w:rPr>
              <w:t>1.以上人员必须是投标人正式员工</w:t>
            </w:r>
            <w:r>
              <w:rPr>
                <w:rFonts w:hint="eastAsia" w:ascii="Times New Roman" w:eastAsia="宋体"/>
                <w:sz w:val="21"/>
                <w:szCs w:val="21"/>
                <w:highlight w:val="none"/>
                <w:lang w:eastAsia="zh-CN"/>
              </w:rPr>
              <w:t>，</w:t>
            </w:r>
            <w:r>
              <w:rPr>
                <w:rFonts w:hint="eastAsia" w:ascii="Times New Roman" w:eastAsia="宋体"/>
                <w:sz w:val="21"/>
                <w:szCs w:val="21"/>
                <w:highlight w:val="none"/>
              </w:rPr>
              <w:t>提供投标人为其缴纳的近3个月内任意一个月养老保险证明并加盖公章。因社保部门原因暂时无法提供，可往前顺延一个月。</w:t>
            </w:r>
          </w:p>
          <w:p>
            <w:pPr>
              <w:wordWrap w:val="0"/>
              <w:rPr>
                <w:rFonts w:hint="eastAsia" w:ascii="宋体" w:hAnsi="宋体" w:cs="宋体"/>
                <w:highlight w:val="none"/>
              </w:rPr>
            </w:pPr>
            <w:r>
              <w:rPr>
                <w:rFonts w:hint="eastAsia"/>
                <w:highlight w:val="none"/>
              </w:rPr>
              <w:t>2.以上证明文件均提供原件扫描件。未按要求提供有效证明材料或提供不清晰导致评委无法识别的不计得分。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rHeight w:val="90" w:hRule="atLeast"/>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ascii="宋体" w:hAnsi="宋体"/>
                <w:highlight w:val="none"/>
              </w:rPr>
            </w:pPr>
            <w:r>
              <w:rPr>
                <w:rFonts w:hint="eastAsia" w:ascii="宋体" w:hAnsi="宋体"/>
                <w:highlight w:val="none"/>
              </w:rPr>
              <w:t>5</w:t>
            </w:r>
          </w:p>
        </w:tc>
        <w:tc>
          <w:tcPr>
            <w:tcW w:w="1752" w:type="dxa"/>
            <w:noWrap w:val="0"/>
            <w:vAlign w:val="center"/>
          </w:tcPr>
          <w:p>
            <w:pPr>
              <w:wordWrap w:val="0"/>
              <w:jc w:val="center"/>
              <w:rPr>
                <w:rFonts w:hint="default" w:ascii="宋体" w:hAnsi="宋体" w:eastAsia="宋体"/>
                <w:highlight w:val="none"/>
                <w:lang w:val="en-US" w:eastAsia="zh-CN"/>
              </w:rPr>
            </w:pPr>
            <w:r>
              <w:rPr>
                <w:rFonts w:hint="eastAsia" w:ascii="宋体" w:hAnsi="宋体" w:eastAsia="宋体" w:cs="宋体"/>
                <w:b/>
                <w:kern w:val="0"/>
                <w:highlight w:val="none"/>
                <w:lang w:val="en-US" w:eastAsia="zh-CN"/>
              </w:rPr>
              <w:t>项目实施效果图</w:t>
            </w:r>
          </w:p>
        </w:tc>
        <w:tc>
          <w:tcPr>
            <w:tcW w:w="705" w:type="dxa"/>
            <w:noWrap w:val="0"/>
            <w:vAlign w:val="center"/>
          </w:tcPr>
          <w:p>
            <w:pPr>
              <w:wordWrap w:val="0"/>
              <w:jc w:val="center"/>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5486" w:type="dxa"/>
            <w:noWrap w:val="0"/>
            <w:vAlign w:val="center"/>
          </w:tcPr>
          <w:p>
            <w:pPr>
              <w:wordWrap w:val="0"/>
              <w:rPr>
                <w:rFonts w:hint="eastAsia" w:ascii="宋体" w:hAnsi="宋体" w:cs="宋体"/>
                <w:highlight w:val="none"/>
                <w:lang w:val="zh-CN"/>
              </w:rPr>
            </w:pPr>
            <w:r>
              <w:rPr>
                <w:rFonts w:hint="eastAsia" w:ascii="宋体" w:hAnsi="宋体" w:cs="宋体"/>
                <w:highlight w:val="none"/>
                <w:lang w:val="zh-CN"/>
              </w:rPr>
              <w:t>投标人提供本次虚拟仿真实训室、综合情景化急救实训室、楼道等施工区域的具体项目实施效果图，</w:t>
            </w:r>
          </w:p>
          <w:p>
            <w:pPr>
              <w:wordWrap w:val="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整体规划效果图契合实训室实际情况，效果图涵盖所有施工区域，标注详细，功能布布局合理，整体设计美观协调，风格统一；与实际建筑空间契合度高。设备配置齐全，符合教学</w:t>
            </w:r>
            <w:r>
              <w:rPr>
                <w:rFonts w:hint="eastAsia" w:ascii="宋体" w:hAnsi="宋体" w:cs="宋体"/>
                <w:highlight w:val="none"/>
                <w:lang w:val="en-US" w:eastAsia="zh-CN"/>
              </w:rPr>
              <w:t>/</w:t>
            </w:r>
            <w:r>
              <w:rPr>
                <w:rFonts w:hint="eastAsia" w:ascii="宋体" w:hAnsi="宋体" w:cs="宋体"/>
                <w:highlight w:val="none"/>
                <w:lang w:val="zh-CN"/>
              </w:rPr>
              <w:t>急救流程需求；楼道设计满足安全疏散与功能衔接，综合评定得5分；</w:t>
            </w:r>
          </w:p>
          <w:p>
            <w:pPr>
              <w:pStyle w:val="2"/>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kern w:val="2"/>
                <w:sz w:val="21"/>
                <w:szCs w:val="21"/>
                <w:highlight w:val="none"/>
                <w:lang w:val="zh-CN" w:eastAsia="zh-CN" w:bidi="ar-SA"/>
              </w:rPr>
              <w:t>内容不完整，关键区域未展示。局部不协调或风格冲突，功能分区混乱，</w:t>
            </w:r>
            <w:r>
              <w:rPr>
                <w:rFonts w:hint="eastAsia" w:ascii="宋体" w:hAnsi="宋体" w:eastAsia="宋体" w:cs="宋体"/>
                <w:kern w:val="2"/>
                <w:sz w:val="21"/>
                <w:szCs w:val="21"/>
                <w:highlight w:val="none"/>
                <w:lang w:val="en-US" w:eastAsia="zh-CN" w:bidi="ar-SA"/>
              </w:rPr>
              <w:t>未</w:t>
            </w:r>
            <w:r>
              <w:rPr>
                <w:rFonts w:hint="eastAsia" w:ascii="宋体" w:hAnsi="宋体" w:eastAsia="宋体" w:cs="宋体"/>
                <w:kern w:val="2"/>
                <w:sz w:val="21"/>
                <w:szCs w:val="21"/>
                <w:highlight w:val="none"/>
                <w:lang w:val="zh-CN" w:eastAsia="zh-CN" w:bidi="ar-SA"/>
              </w:rPr>
              <w:t>设计安全</w:t>
            </w:r>
            <w:r>
              <w:rPr>
                <w:rFonts w:hint="eastAsia" w:ascii="宋体" w:hAnsi="宋体" w:eastAsia="宋体" w:cs="宋体"/>
                <w:kern w:val="2"/>
                <w:sz w:val="21"/>
                <w:szCs w:val="21"/>
                <w:highlight w:val="none"/>
                <w:lang w:val="en-US" w:eastAsia="zh-CN" w:bidi="ar-SA"/>
              </w:rPr>
              <w:t>疏散</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得3分。</w:t>
            </w:r>
          </w:p>
          <w:p>
            <w:pPr>
              <w:wordWrap w:val="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lang w:val="zh-CN"/>
              </w:rPr>
              <w:t>布局规划一般，可实施性</w:t>
            </w:r>
            <w:r>
              <w:rPr>
                <w:rFonts w:hint="eastAsia" w:ascii="宋体" w:hAnsi="宋体" w:cs="宋体"/>
                <w:highlight w:val="none"/>
                <w:lang w:val="en-US" w:eastAsia="zh-CN"/>
              </w:rPr>
              <w:t>差</w:t>
            </w:r>
            <w:r>
              <w:rPr>
                <w:rFonts w:hint="eastAsia" w:ascii="宋体" w:hAnsi="宋体" w:cs="宋体"/>
                <w:highlight w:val="none"/>
                <w:lang w:val="zh-CN"/>
              </w:rPr>
              <w:t>的得1分，不提供效果图不得分。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restart"/>
            <w:noWrap w:val="0"/>
            <w:vAlign w:val="center"/>
          </w:tcPr>
          <w:p>
            <w:pPr>
              <w:wordWrap w:val="0"/>
              <w:jc w:val="center"/>
              <w:rPr>
                <w:rFonts w:ascii="宋体" w:hAnsi="宋体" w:cs="宋体"/>
                <w:b/>
                <w:bCs/>
                <w:color w:val="0000FF"/>
                <w:highlight w:val="none"/>
              </w:rPr>
            </w:pPr>
            <w:r>
              <w:rPr>
                <w:rFonts w:ascii="宋体" w:hAnsi="宋体"/>
                <w:b/>
                <w:bCs/>
                <w:color w:val="0000FF"/>
                <w:highlight w:val="none"/>
              </w:rPr>
              <w:t>3</w:t>
            </w:r>
          </w:p>
        </w:tc>
        <w:tc>
          <w:tcPr>
            <w:tcW w:w="2910" w:type="dxa"/>
            <w:gridSpan w:val="3"/>
            <w:noWrap w:val="0"/>
            <w:vAlign w:val="center"/>
          </w:tcPr>
          <w:p>
            <w:pPr>
              <w:wordWrap w:val="0"/>
              <w:jc w:val="center"/>
              <w:rPr>
                <w:rFonts w:ascii="宋体" w:hAnsi="宋体" w:cs="宋体"/>
                <w:b/>
                <w:bCs/>
                <w:color w:val="0000FF"/>
                <w:highlight w:val="none"/>
              </w:rPr>
            </w:pPr>
            <w:r>
              <w:rPr>
                <w:rFonts w:hint="eastAsia" w:ascii="宋体" w:hAnsi="宋体"/>
                <w:b/>
                <w:bCs/>
                <w:color w:val="0000FF"/>
                <w:highlight w:val="none"/>
              </w:rPr>
              <w:t>商务部分</w:t>
            </w:r>
          </w:p>
        </w:tc>
        <w:tc>
          <w:tcPr>
            <w:tcW w:w="5486" w:type="dxa"/>
            <w:noWrap w:val="0"/>
            <w:vAlign w:val="center"/>
          </w:tcPr>
          <w:p>
            <w:pPr>
              <w:wordWrap w:val="0"/>
              <w:jc w:val="center"/>
              <w:rPr>
                <w:rFonts w:hint="default" w:ascii="宋体" w:hAnsi="宋体" w:eastAsia="宋体" w:cs="宋体"/>
                <w:b/>
                <w:bCs/>
                <w:color w:val="0000FF"/>
                <w:highlight w:val="none"/>
                <w:lang w:val="en-US" w:eastAsia="zh-CN"/>
              </w:rPr>
            </w:pPr>
            <w:r>
              <w:rPr>
                <w:rFonts w:hint="eastAsia" w:ascii="宋体" w:hAnsi="宋体" w:cs="宋体"/>
                <w:b/>
                <w:bCs/>
                <w:color w:val="FF0000"/>
                <w:highlight w:val="none"/>
                <w:lang w:val="en-US" w:eastAsia="zh-CN"/>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8396" w:type="dxa"/>
            <w:gridSpan w:val="4"/>
            <w:noWrap w:val="0"/>
            <w:vAlign w:val="center"/>
          </w:tcPr>
          <w:p>
            <w:pPr>
              <w:wordWrap w:val="0"/>
              <w:rPr>
                <w:rFonts w:ascii="宋体" w:hAnsi="宋体" w:cs="宋体"/>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shd w:val="clear" w:color="auto" w:fill="E6EFFA"/>
            <w:noWrap w:val="0"/>
            <w:vAlign w:val="center"/>
          </w:tcPr>
          <w:p>
            <w:pPr>
              <w:rPr>
                <w:rFonts w:ascii="宋体" w:hAnsi="宋体" w:cs="宋体"/>
                <w:b/>
                <w:bCs/>
                <w:color w:val="0000FF"/>
                <w:highlight w:val="none"/>
              </w:rPr>
            </w:pPr>
          </w:p>
        </w:tc>
        <w:tc>
          <w:tcPr>
            <w:tcW w:w="453" w:type="dxa"/>
            <w:shd w:val="clear" w:color="auto" w:fill="E6EFFA"/>
            <w:noWrap w:val="0"/>
            <w:vAlign w:val="center"/>
          </w:tcPr>
          <w:p>
            <w:pPr>
              <w:wordWrap w:val="0"/>
              <w:jc w:val="center"/>
              <w:rPr>
                <w:rFonts w:ascii="宋体" w:hAnsi="宋体" w:cs="宋体"/>
                <w:highlight w:val="none"/>
              </w:rPr>
            </w:pPr>
            <w:r>
              <w:rPr>
                <w:rFonts w:ascii="宋体" w:hAnsi="宋体"/>
                <w:highlight w:val="none"/>
              </w:rPr>
              <w:t>序号</w:t>
            </w:r>
          </w:p>
        </w:tc>
        <w:tc>
          <w:tcPr>
            <w:tcW w:w="1752" w:type="dxa"/>
            <w:shd w:val="clear" w:color="auto" w:fill="E6EFFA"/>
            <w:noWrap w:val="0"/>
            <w:vAlign w:val="center"/>
          </w:tcPr>
          <w:p>
            <w:pPr>
              <w:wordWrap w:val="0"/>
              <w:jc w:val="center"/>
              <w:rPr>
                <w:rFonts w:ascii="宋体" w:hAnsi="宋体" w:cs="宋体"/>
                <w:highlight w:val="none"/>
              </w:rPr>
            </w:pPr>
            <w:r>
              <w:rPr>
                <w:rFonts w:ascii="宋体" w:hAnsi="宋体"/>
                <w:highlight w:val="none"/>
              </w:rPr>
              <w:t>评分因素</w:t>
            </w:r>
          </w:p>
        </w:tc>
        <w:tc>
          <w:tcPr>
            <w:tcW w:w="705" w:type="dxa"/>
            <w:shd w:val="clear" w:color="auto" w:fill="E6EFFA"/>
            <w:noWrap w:val="0"/>
            <w:vAlign w:val="center"/>
          </w:tcPr>
          <w:p>
            <w:pPr>
              <w:wordWrap w:val="0"/>
              <w:jc w:val="center"/>
              <w:rPr>
                <w:rFonts w:hint="eastAsia" w:ascii="宋体" w:hAnsi="宋体" w:cs="宋体"/>
                <w:highlight w:val="none"/>
              </w:rPr>
            </w:pPr>
            <w:r>
              <w:rPr>
                <w:rFonts w:hint="eastAsia" w:ascii="宋体" w:hAnsi="宋体" w:cs="宋体"/>
                <w:highlight w:val="none"/>
              </w:rPr>
              <w:t>分值</w:t>
            </w:r>
          </w:p>
        </w:tc>
        <w:tc>
          <w:tcPr>
            <w:tcW w:w="5486" w:type="dxa"/>
            <w:shd w:val="clear" w:color="auto" w:fill="E6EFFA"/>
            <w:noWrap w:val="0"/>
            <w:vAlign w:val="center"/>
          </w:tcPr>
          <w:p>
            <w:pPr>
              <w:wordWrap w:val="0"/>
              <w:jc w:val="center"/>
              <w:rPr>
                <w:rFonts w:ascii="宋体" w:hAnsi="宋体" w:cs="宋体"/>
                <w:highlight w:val="none"/>
              </w:rPr>
            </w:pPr>
            <w:r>
              <w:rPr>
                <w:rFonts w:ascii="宋体" w:hAnsi="宋体"/>
                <w:highlight w:val="none"/>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rHeight w:val="90" w:hRule="atLeast"/>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ascii="宋体" w:hAnsi="宋体" w:cs="宋体"/>
                <w:highlight w:val="none"/>
              </w:rPr>
            </w:pPr>
            <w:r>
              <w:rPr>
                <w:rFonts w:ascii="宋体" w:hAnsi="宋体"/>
                <w:highlight w:val="none"/>
              </w:rPr>
              <w:t>1</w:t>
            </w:r>
          </w:p>
        </w:tc>
        <w:tc>
          <w:tcPr>
            <w:tcW w:w="1752" w:type="dxa"/>
            <w:noWrap w:val="0"/>
            <w:vAlign w:val="center"/>
          </w:tcPr>
          <w:p>
            <w:pPr>
              <w:wordWrap w:val="0"/>
              <w:jc w:val="center"/>
              <w:rPr>
                <w:rFonts w:ascii="宋体" w:hAnsi="宋体" w:cs="宋体"/>
                <w:highlight w:val="none"/>
              </w:rPr>
            </w:pPr>
            <w:r>
              <w:rPr>
                <w:rFonts w:hint="eastAsia" w:ascii="宋体" w:hAnsi="宋体"/>
                <w:b/>
                <w:bCs/>
                <w:highlight w:val="none"/>
                <w:lang w:val="en-US" w:eastAsia="zh-CN"/>
              </w:rPr>
              <w:t>企业</w:t>
            </w:r>
            <w:r>
              <w:rPr>
                <w:rFonts w:hint="eastAsia" w:ascii="宋体" w:hAnsi="宋体"/>
                <w:b/>
                <w:bCs/>
                <w:highlight w:val="none"/>
              </w:rPr>
              <w:t>业绩</w:t>
            </w:r>
          </w:p>
        </w:tc>
        <w:tc>
          <w:tcPr>
            <w:tcW w:w="705" w:type="dxa"/>
            <w:noWrap w:val="0"/>
            <w:vAlign w:val="center"/>
          </w:tcPr>
          <w:p>
            <w:pPr>
              <w:wordWrap w:val="0"/>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5486" w:type="dxa"/>
            <w:noWrap w:val="0"/>
            <w:vAlign w:val="center"/>
          </w:tcPr>
          <w:p>
            <w:pPr>
              <w:wordWrap w:val="0"/>
              <w:rPr>
                <w:b/>
                <w:bCs/>
                <w:highlight w:val="none"/>
              </w:rPr>
            </w:pPr>
            <w:r>
              <w:rPr>
                <w:rFonts w:hint="eastAsia"/>
                <w:b/>
                <w:bCs/>
                <w:highlight w:val="none"/>
                <w:lang w:eastAsia="zh-CN"/>
              </w:rPr>
              <w:t>（</w:t>
            </w:r>
            <w:r>
              <w:rPr>
                <w:rFonts w:hint="eastAsia"/>
                <w:b/>
                <w:bCs/>
                <w:highlight w:val="none"/>
                <w:lang w:val="en-US" w:eastAsia="zh-CN"/>
              </w:rPr>
              <w:t>一</w:t>
            </w:r>
            <w:r>
              <w:rPr>
                <w:rFonts w:hint="eastAsia"/>
                <w:b/>
                <w:bCs/>
                <w:highlight w:val="none"/>
                <w:lang w:eastAsia="zh-CN"/>
              </w:rPr>
              <w:t>）</w:t>
            </w:r>
            <w:r>
              <w:rPr>
                <w:rFonts w:hint="eastAsia"/>
                <w:b/>
                <w:bCs/>
                <w:highlight w:val="none"/>
              </w:rPr>
              <w:t>评审标准：</w:t>
            </w:r>
          </w:p>
          <w:p>
            <w:pPr>
              <w:wordWrap w:val="0"/>
              <w:rPr>
                <w:rFonts w:hint="eastAsia"/>
                <w:highlight w:val="none"/>
              </w:rPr>
            </w:pPr>
            <w:r>
              <w:rPr>
                <w:rFonts w:hint="eastAsia"/>
                <w:highlight w:val="none"/>
              </w:rPr>
              <w:t>投标人自2022年</w:t>
            </w:r>
            <w:r>
              <w:rPr>
                <w:rFonts w:hint="eastAsia"/>
                <w:highlight w:val="none"/>
                <w:lang w:val="en-US" w:eastAsia="zh-CN"/>
              </w:rPr>
              <w:t>5</w:t>
            </w:r>
            <w:r>
              <w:rPr>
                <w:rFonts w:hint="eastAsia"/>
                <w:highlight w:val="none"/>
              </w:rPr>
              <w:t>月1日至投标截止时间前完成的</w:t>
            </w:r>
            <w:r>
              <w:rPr>
                <w:rFonts w:hint="eastAsia"/>
                <w:highlight w:val="none"/>
                <w:lang w:val="zh-CN"/>
              </w:rPr>
              <w:t>虚拟仿真实训基地相关</w:t>
            </w:r>
            <w:r>
              <w:rPr>
                <w:rFonts w:hint="eastAsia"/>
                <w:highlight w:val="none"/>
              </w:rPr>
              <w:t>项目业绩(以合同签订时间为准)，每项业绩得</w:t>
            </w:r>
            <w:r>
              <w:rPr>
                <w:rFonts w:hint="eastAsia" w:ascii="宋体" w:hAnsi="宋体" w:cs="宋体"/>
                <w:highlight w:val="none"/>
              </w:rPr>
              <w:t>1</w:t>
            </w:r>
            <w:r>
              <w:rPr>
                <w:rFonts w:hint="eastAsia"/>
                <w:highlight w:val="none"/>
              </w:rPr>
              <w:t>分；满分得</w:t>
            </w:r>
            <w:r>
              <w:rPr>
                <w:rFonts w:hint="eastAsia" w:ascii="宋体" w:hAnsi="宋体" w:cs="宋体"/>
                <w:highlight w:val="none"/>
                <w:lang w:val="en-US" w:eastAsia="zh-CN"/>
              </w:rPr>
              <w:t>5</w:t>
            </w:r>
            <w:r>
              <w:rPr>
                <w:rFonts w:hint="eastAsia"/>
                <w:highlight w:val="none"/>
              </w:rPr>
              <w:t>分。</w:t>
            </w:r>
          </w:p>
          <w:p>
            <w:pPr>
              <w:wordWrap w:val="0"/>
              <w:rPr>
                <w:b/>
                <w:bCs/>
                <w:highlight w:val="none"/>
              </w:rPr>
            </w:pPr>
            <w:r>
              <w:rPr>
                <w:rFonts w:hint="eastAsia"/>
                <w:b/>
                <w:bCs/>
                <w:highlight w:val="none"/>
                <w:lang w:eastAsia="zh-CN"/>
              </w:rPr>
              <w:t>（</w:t>
            </w:r>
            <w:r>
              <w:rPr>
                <w:rFonts w:hint="eastAsia"/>
                <w:b/>
                <w:bCs/>
                <w:highlight w:val="none"/>
                <w:lang w:val="en-US" w:eastAsia="zh-CN"/>
              </w:rPr>
              <w:t>二</w:t>
            </w:r>
            <w:r>
              <w:rPr>
                <w:rFonts w:hint="eastAsia"/>
                <w:b/>
                <w:bCs/>
                <w:highlight w:val="none"/>
                <w:lang w:eastAsia="zh-CN"/>
              </w:rPr>
              <w:t>）</w:t>
            </w:r>
            <w:r>
              <w:rPr>
                <w:rFonts w:hint="eastAsia"/>
                <w:b/>
                <w:bCs/>
                <w:highlight w:val="none"/>
              </w:rPr>
              <w:t>评审依据：</w:t>
            </w:r>
          </w:p>
          <w:p>
            <w:pPr>
              <w:pStyle w:val="15"/>
              <w:rPr>
                <w:rFonts w:ascii="宋体" w:hAnsi="宋体" w:cs="宋体"/>
                <w:highlight w:val="none"/>
              </w:rPr>
            </w:pPr>
            <w:r>
              <w:rPr>
                <w:rFonts w:hint="eastAsia"/>
                <w:highlight w:val="none"/>
              </w:rPr>
              <w:t>投标人须提供项目合同关键页（名称页、金额页、盖章页）或中标通知书</w:t>
            </w:r>
            <w:r>
              <w:rPr>
                <w:rFonts w:hint="eastAsia"/>
                <w:highlight w:val="none"/>
                <w:lang w:val="en-US" w:eastAsia="zh-CN"/>
              </w:rPr>
              <w:t>或</w:t>
            </w:r>
            <w:r>
              <w:rPr>
                <w:rFonts w:hint="eastAsia"/>
                <w:highlight w:val="none"/>
                <w:lang w:val="zh-CN"/>
              </w:rPr>
              <w:t>验收报告</w:t>
            </w:r>
            <w:r>
              <w:rPr>
                <w:rFonts w:hint="eastAsia"/>
                <w:highlight w:val="none"/>
              </w:rPr>
              <w:t>原件扫描件，并加盖供应商公章。未提供或提供不清晰导致无法判断的，不得分。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hint="eastAsia" w:ascii="宋体" w:hAnsi="宋体" w:eastAsia="宋体"/>
                <w:highlight w:val="none"/>
                <w:lang w:eastAsia="zh-CN"/>
              </w:rPr>
            </w:pPr>
            <w:r>
              <w:rPr>
                <w:rFonts w:hint="eastAsia" w:ascii="宋体" w:hAnsi="宋体"/>
                <w:highlight w:val="none"/>
                <w:lang w:val="en-US" w:eastAsia="zh-CN"/>
              </w:rPr>
              <w:t>2</w:t>
            </w:r>
          </w:p>
        </w:tc>
        <w:tc>
          <w:tcPr>
            <w:tcW w:w="1752" w:type="dxa"/>
            <w:noWrap w:val="0"/>
            <w:vAlign w:val="center"/>
          </w:tcPr>
          <w:p>
            <w:pPr>
              <w:wordWrap w:val="0"/>
              <w:ind w:firstLine="211" w:firstLineChars="100"/>
              <w:jc w:val="both"/>
              <w:rPr>
                <w:rFonts w:ascii="宋体" w:hAnsi="宋体" w:cs="宋体"/>
                <w:highlight w:val="none"/>
              </w:rPr>
            </w:pPr>
            <w:r>
              <w:rPr>
                <w:rFonts w:hint="eastAsia" w:ascii="宋体" w:hAnsi="宋体" w:cs="宋体"/>
                <w:b/>
                <w:bCs/>
                <w:highlight w:val="none"/>
                <w:lang w:val="zh-CN"/>
              </w:rPr>
              <w:t>产品技术实力</w:t>
            </w:r>
          </w:p>
        </w:tc>
        <w:tc>
          <w:tcPr>
            <w:tcW w:w="705" w:type="dxa"/>
            <w:noWrap w:val="0"/>
            <w:vAlign w:val="center"/>
          </w:tcPr>
          <w:p>
            <w:pPr>
              <w:wordWrap w:val="0"/>
              <w:ind w:firstLine="105" w:firstLineChars="50"/>
              <w:rPr>
                <w:rFonts w:hint="eastAsia" w:ascii="宋体" w:hAnsi="宋体" w:eastAsia="宋体" w:cs="宋体"/>
                <w:highlight w:val="none"/>
                <w:lang w:eastAsia="zh-CN"/>
              </w:rPr>
            </w:pPr>
            <w:r>
              <w:rPr>
                <w:rFonts w:hint="eastAsia" w:ascii="宋体" w:hAnsi="宋体" w:cs="宋体"/>
                <w:color w:val="FF0000"/>
                <w:highlight w:val="none"/>
                <w:lang w:val="en-US" w:eastAsia="zh-CN"/>
              </w:rPr>
              <w:t>5</w:t>
            </w:r>
          </w:p>
        </w:tc>
        <w:tc>
          <w:tcPr>
            <w:tcW w:w="5486" w:type="dxa"/>
            <w:noWrap w:val="0"/>
            <w:vAlign w:val="center"/>
          </w:tcPr>
          <w:p>
            <w:pPr>
              <w:textAlignment w:val="baseline"/>
              <w:rPr>
                <w:rFonts w:hint="eastAsia" w:ascii="宋体" w:hAnsi="宋体" w:cs="宋体"/>
                <w:b/>
                <w:bCs/>
                <w:highlight w:val="none"/>
              </w:rPr>
            </w:pPr>
            <w:r>
              <w:rPr>
                <w:rFonts w:hint="eastAsia" w:ascii="宋体" w:hAnsi="宋体" w:cs="宋体"/>
                <w:b/>
                <w:bCs/>
                <w:highlight w:val="none"/>
              </w:rPr>
              <w:t>（一）评审内容：</w:t>
            </w:r>
          </w:p>
          <w:p>
            <w:pPr>
              <w:textAlignment w:val="baseline"/>
              <w:rPr>
                <w:rFonts w:hint="eastAsia" w:ascii="宋体" w:hAnsi="宋体" w:cs="宋体"/>
                <w:kern w:val="0"/>
                <w:highlight w:val="none"/>
                <w:lang w:val="zh-CN"/>
              </w:rPr>
            </w:pPr>
            <w:r>
              <w:rPr>
                <w:rFonts w:hint="eastAsia" w:ascii="宋体" w:hAnsi="宋体" w:cs="宋体"/>
                <w:kern w:val="0"/>
                <w:highlight w:val="none"/>
                <w:lang w:val="zh-CN"/>
              </w:rPr>
              <w:t>投标</w:t>
            </w:r>
            <w:r>
              <w:rPr>
                <w:rFonts w:hint="eastAsia" w:ascii="宋体" w:hAnsi="宋体" w:cs="宋体"/>
                <w:kern w:val="0"/>
                <w:highlight w:val="none"/>
              </w:rPr>
              <w:t>人</w:t>
            </w:r>
            <w:r>
              <w:rPr>
                <w:rFonts w:hint="eastAsia" w:ascii="宋体" w:hAnsi="宋体" w:cs="宋体"/>
                <w:kern w:val="0"/>
                <w:highlight w:val="none"/>
                <w:lang w:val="zh-CN"/>
              </w:rPr>
              <w:t>须提供本单位所投产品包括但不限于以下核心模块计算机软件著作权登记证书：</w:t>
            </w:r>
            <w:r>
              <w:rPr>
                <w:rFonts w:hint="eastAsia" w:ascii="宋体" w:hAnsi="宋体" w:cs="宋体"/>
                <w:kern w:val="0"/>
                <w:highlight w:val="none"/>
              </w:rPr>
              <w:t>1</w:t>
            </w:r>
            <w:r>
              <w:rPr>
                <w:rFonts w:hint="eastAsia" w:ascii="宋体" w:hAnsi="宋体" w:cs="宋体"/>
                <w:kern w:val="0"/>
                <w:highlight w:val="none"/>
                <w:lang w:val="zh-CN"/>
              </w:rPr>
              <w:t>.护理技能虚拟仿真训练系统、</w:t>
            </w:r>
            <w:r>
              <w:rPr>
                <w:rFonts w:hint="eastAsia" w:ascii="宋体" w:hAnsi="宋体" w:cs="宋体"/>
                <w:kern w:val="0"/>
                <w:highlight w:val="none"/>
              </w:rPr>
              <w:t>2</w:t>
            </w:r>
            <w:r>
              <w:rPr>
                <w:rFonts w:hint="eastAsia" w:ascii="宋体" w:hAnsi="宋体" w:cs="宋体"/>
                <w:kern w:val="0"/>
                <w:highlight w:val="none"/>
                <w:lang w:val="zh-CN"/>
              </w:rPr>
              <w:t>.</w:t>
            </w:r>
            <w:r>
              <w:rPr>
                <w:rFonts w:hint="eastAsia" w:ascii="宋体" w:hAnsi="宋体" w:cs="宋体"/>
                <w:kern w:val="0"/>
                <w:highlight w:val="none"/>
              </w:rPr>
              <w:t>虚拟仿真管理</w:t>
            </w:r>
            <w:r>
              <w:rPr>
                <w:rFonts w:hint="eastAsia" w:ascii="宋体" w:hAnsi="宋体" w:cs="宋体"/>
                <w:kern w:val="0"/>
                <w:highlight w:val="none"/>
                <w:lang w:val="zh-CN"/>
              </w:rPr>
              <w:t>平台、</w:t>
            </w:r>
            <w:r>
              <w:rPr>
                <w:rFonts w:hint="eastAsia" w:ascii="宋体" w:hAnsi="宋体" w:cs="宋体"/>
                <w:kern w:val="0"/>
                <w:highlight w:val="none"/>
              </w:rPr>
              <w:t>3.</w:t>
            </w:r>
            <w:r>
              <w:rPr>
                <w:rFonts w:hint="eastAsia" w:ascii="宋体" w:hAnsi="宋体" w:cs="宋体"/>
                <w:kern w:val="0"/>
                <w:highlight w:val="none"/>
                <w:lang w:val="zh-CN"/>
              </w:rPr>
              <w:t>情景化综合急救仿真训练系统、</w:t>
            </w:r>
            <w:r>
              <w:rPr>
                <w:rFonts w:hint="eastAsia" w:ascii="宋体" w:hAnsi="宋体" w:cs="宋体"/>
                <w:kern w:val="0"/>
                <w:highlight w:val="none"/>
              </w:rPr>
              <w:t>4</w:t>
            </w:r>
            <w:r>
              <w:rPr>
                <w:rFonts w:hint="eastAsia" w:ascii="宋体" w:hAnsi="宋体" w:cs="宋体"/>
                <w:kern w:val="0"/>
                <w:highlight w:val="none"/>
                <w:lang w:val="zh-CN"/>
              </w:rPr>
              <w:t>.综合护理置管智能模拟人系统、</w:t>
            </w:r>
            <w:r>
              <w:rPr>
                <w:rFonts w:hint="eastAsia" w:ascii="宋体" w:hAnsi="宋体" w:cs="宋体"/>
                <w:kern w:val="0"/>
                <w:highlight w:val="none"/>
              </w:rPr>
              <w:t>5.</w:t>
            </w:r>
            <w:r>
              <w:rPr>
                <w:rFonts w:hint="eastAsia" w:ascii="宋体" w:hAnsi="宋体" w:cs="宋体"/>
                <w:kern w:val="0"/>
                <w:highlight w:val="none"/>
                <w:lang w:val="zh-CN"/>
              </w:rPr>
              <w:t>静脉穿刺智能训练系统。（投标人提供本单位功能等效的相关系统证书</w:t>
            </w:r>
            <w:r>
              <w:rPr>
                <w:rFonts w:hint="eastAsia" w:ascii="宋体" w:hAnsi="宋体" w:cs="宋体"/>
                <w:kern w:val="0"/>
                <w:highlight w:val="none"/>
                <w:lang w:val="en-US" w:eastAsia="zh-CN"/>
              </w:rPr>
              <w:t>扫描件</w:t>
            </w:r>
            <w:r>
              <w:rPr>
                <w:rFonts w:hint="eastAsia" w:ascii="宋体" w:hAnsi="宋体" w:cs="宋体"/>
                <w:kern w:val="0"/>
                <w:highlight w:val="none"/>
                <w:lang w:val="zh-CN"/>
              </w:rPr>
              <w:t>，加盖公章。每提供1项得1分。满分5分。）</w:t>
            </w:r>
          </w:p>
          <w:p>
            <w:pPr>
              <w:textAlignment w:val="baseline"/>
              <w:rPr>
                <w:rFonts w:hint="eastAsia" w:ascii="宋体" w:hAnsi="宋体" w:cs="宋体"/>
                <w:b/>
                <w:bCs/>
                <w:highlight w:val="none"/>
              </w:rPr>
            </w:pPr>
            <w:r>
              <w:rPr>
                <w:rFonts w:hint="eastAsia" w:ascii="宋体" w:hAnsi="宋体" w:cs="宋体"/>
                <w:b/>
                <w:bCs/>
                <w:highlight w:val="none"/>
              </w:rPr>
              <w:t>（二）评分依据</w:t>
            </w:r>
          </w:p>
          <w:p>
            <w:pPr>
              <w:textAlignment w:val="baseline"/>
              <w:rPr>
                <w:rFonts w:hint="eastAsia" w:ascii="宋体" w:hAnsi="宋体" w:cs="宋体"/>
                <w:highlight w:val="none"/>
              </w:rPr>
            </w:pPr>
            <w:r>
              <w:rPr>
                <w:rFonts w:hint="eastAsia" w:ascii="宋体" w:hAnsi="宋体" w:cs="宋体"/>
                <w:highlight w:val="none"/>
              </w:rPr>
              <w:t>1.要求提供有效的软件著作权或专利权证书扫描件等证明材料作为得分依据。</w:t>
            </w:r>
          </w:p>
          <w:p>
            <w:pPr>
              <w:jc w:val="left"/>
              <w:rPr>
                <w:rFonts w:ascii="宋体" w:hAnsi="宋体"/>
                <w:highlight w:val="none"/>
              </w:rPr>
            </w:pPr>
            <w:r>
              <w:rPr>
                <w:rFonts w:hint="eastAsia" w:ascii="宋体" w:hAnsi="宋体" w:cs="宋体"/>
                <w:highlight w:val="none"/>
              </w:rPr>
              <w:t>2.以上资料要求提供扫描件并加盖供应商公章。评分中出现无证明资料或专家无法凭所提供资料判断是否得分的情况，一律作不得分处理。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108" w:type="dxa"/>
            <w:bottom w:w="20" w:type="dxa"/>
            <w:right w:w="108" w:type="dxa"/>
          </w:tblCellMar>
        </w:tblPrEx>
        <w:trPr>
          <w:tblCellSpacing w:w="0" w:type="dxa"/>
        </w:trPr>
        <w:tc>
          <w:tcPr>
            <w:tcW w:w="676" w:type="dxa"/>
            <w:vMerge w:val="continue"/>
            <w:noWrap w:val="0"/>
            <w:vAlign w:val="center"/>
          </w:tcPr>
          <w:p>
            <w:pPr>
              <w:rPr>
                <w:rFonts w:ascii="宋体" w:hAnsi="宋体" w:cs="宋体"/>
                <w:b/>
                <w:bCs/>
                <w:color w:val="0000FF"/>
                <w:highlight w:val="none"/>
              </w:rPr>
            </w:pPr>
          </w:p>
        </w:tc>
        <w:tc>
          <w:tcPr>
            <w:tcW w:w="453" w:type="dxa"/>
            <w:noWrap w:val="0"/>
            <w:vAlign w:val="center"/>
          </w:tcPr>
          <w:p>
            <w:pPr>
              <w:wordWrap w:val="0"/>
              <w:jc w:val="center"/>
              <w:rPr>
                <w:rFonts w:hint="eastAsia" w:ascii="宋体" w:hAnsi="宋体" w:eastAsia="宋体"/>
                <w:highlight w:val="none"/>
                <w:lang w:eastAsia="zh-CN"/>
              </w:rPr>
            </w:pPr>
            <w:r>
              <w:rPr>
                <w:rFonts w:hint="eastAsia" w:ascii="宋体" w:hAnsi="宋体"/>
                <w:highlight w:val="none"/>
                <w:lang w:val="en-US" w:eastAsia="zh-CN"/>
              </w:rPr>
              <w:t>3</w:t>
            </w:r>
          </w:p>
        </w:tc>
        <w:tc>
          <w:tcPr>
            <w:tcW w:w="1752" w:type="dxa"/>
            <w:noWrap w:val="0"/>
            <w:vAlign w:val="center"/>
          </w:tcPr>
          <w:p>
            <w:pPr>
              <w:wordWrap w:val="0"/>
              <w:jc w:val="center"/>
              <w:rPr>
                <w:rFonts w:hint="eastAsia" w:ascii="宋体" w:hAnsi="宋体" w:cs="宋体"/>
                <w:highlight w:val="none"/>
              </w:rPr>
            </w:pPr>
            <w:r>
              <w:rPr>
                <w:rFonts w:hint="eastAsia" w:ascii="宋体" w:hAnsi="宋体" w:cs="宋体"/>
                <w:b/>
                <w:kern w:val="0"/>
                <w:highlight w:val="none"/>
              </w:rPr>
              <w:t>售后服务保障</w:t>
            </w:r>
          </w:p>
        </w:tc>
        <w:tc>
          <w:tcPr>
            <w:tcW w:w="705" w:type="dxa"/>
            <w:noWrap w:val="0"/>
            <w:vAlign w:val="center"/>
          </w:tcPr>
          <w:p>
            <w:pPr>
              <w:wordWrap w:val="0"/>
              <w:rPr>
                <w:rFonts w:hint="eastAsia" w:ascii="宋体" w:hAnsi="宋体" w:cs="宋体"/>
                <w:highlight w:val="none"/>
              </w:rPr>
            </w:pPr>
            <w:r>
              <w:rPr>
                <w:rFonts w:hint="eastAsia" w:ascii="宋体" w:hAnsi="宋体" w:cs="宋体"/>
                <w:highlight w:val="none"/>
              </w:rPr>
              <w:t>5</w:t>
            </w:r>
          </w:p>
        </w:tc>
        <w:tc>
          <w:tcPr>
            <w:tcW w:w="5486" w:type="dxa"/>
            <w:noWrap w:val="0"/>
            <w:vAlign w:val="center"/>
          </w:tcPr>
          <w:p>
            <w:pPr>
              <w:wordWrap w:val="0"/>
              <w:rPr>
                <w:rFonts w:hint="eastAsia"/>
                <w:highlight w:val="none"/>
              </w:rPr>
            </w:pPr>
            <w:r>
              <w:rPr>
                <w:rFonts w:hint="eastAsia"/>
                <w:b/>
                <w:bCs/>
                <w:highlight w:val="none"/>
              </w:rPr>
              <w:t>（一）评审内容：</w:t>
            </w:r>
          </w:p>
          <w:p>
            <w:pPr>
              <w:wordWrap w:val="0"/>
              <w:ind w:firstLine="420" w:firstLineChars="200"/>
              <w:rPr>
                <w:rFonts w:hint="eastAsia"/>
                <w:highlight w:val="none"/>
              </w:rPr>
            </w:pPr>
            <w:r>
              <w:rPr>
                <w:rFonts w:hint="eastAsia"/>
                <w:highlight w:val="none"/>
              </w:rPr>
              <w:t>售后保障方案应详细说明售后服务内容，包括但不仅限于①保修措施②售后保障方案③服务</w:t>
            </w:r>
            <w:r>
              <w:rPr>
                <w:rFonts w:hint="eastAsia"/>
                <w:highlight w:val="none"/>
                <w:lang w:val="en-US" w:eastAsia="zh-CN"/>
              </w:rPr>
              <w:t>和故障</w:t>
            </w:r>
            <w:r>
              <w:rPr>
                <w:rFonts w:hint="eastAsia"/>
                <w:highlight w:val="none"/>
              </w:rPr>
              <w:t>响应</w:t>
            </w:r>
            <w:r>
              <w:rPr>
                <w:rFonts w:hint="eastAsia"/>
                <w:highlight w:val="none"/>
                <w:lang w:eastAsia="zh-CN"/>
              </w:rPr>
              <w:t>、</w:t>
            </w:r>
            <w:r>
              <w:rPr>
                <w:rFonts w:hint="eastAsia"/>
                <w:highlight w:val="none"/>
                <w:lang w:val="en-US" w:eastAsia="zh-CN"/>
              </w:rPr>
              <w:t>修复</w:t>
            </w:r>
            <w:r>
              <w:rPr>
                <w:rFonts w:hint="eastAsia"/>
                <w:highlight w:val="none"/>
              </w:rPr>
              <w:t>时间④</w:t>
            </w:r>
            <w:r>
              <w:rPr>
                <w:rFonts w:hint="eastAsia"/>
                <w:highlight w:val="none"/>
                <w:lang w:val="en-US" w:eastAsia="zh-CN"/>
              </w:rPr>
              <w:t>本地化服务能力</w:t>
            </w:r>
            <w:r>
              <w:rPr>
                <w:rFonts w:hint="eastAsia"/>
                <w:highlight w:val="none"/>
              </w:rPr>
              <w:t>⑤应急处理等售后计划措施符合本项目情况。</w:t>
            </w:r>
          </w:p>
          <w:p>
            <w:pPr>
              <w:pStyle w:val="2"/>
              <w:rPr>
                <w:rFonts w:hint="eastAsia" w:ascii="Times New Roman" w:hAnsi="Times New Roman" w:eastAsia="宋体"/>
                <w:b/>
                <w:bCs/>
                <w:sz w:val="21"/>
                <w:szCs w:val="21"/>
                <w:highlight w:val="none"/>
              </w:rPr>
            </w:pPr>
            <w:r>
              <w:rPr>
                <w:rFonts w:hint="eastAsia" w:ascii="Times New Roman" w:hAnsi="Times New Roman" w:eastAsia="宋体"/>
                <w:b/>
                <w:bCs/>
                <w:sz w:val="21"/>
                <w:szCs w:val="21"/>
                <w:highlight w:val="none"/>
              </w:rPr>
              <w:t>（二）评分标准：</w:t>
            </w:r>
          </w:p>
          <w:p>
            <w:pPr>
              <w:pStyle w:val="2"/>
              <w:rPr>
                <w:rFonts w:hint="eastAsia"/>
                <w:highlight w:val="none"/>
              </w:rPr>
            </w:pPr>
            <w:r>
              <w:rPr>
                <w:rFonts w:hint="eastAsia" w:ascii="Times New Roman" w:hAnsi="Times New Roman" w:eastAsia="宋体"/>
                <w:b/>
                <w:bCs/>
                <w:sz w:val="21"/>
                <w:szCs w:val="21"/>
                <w:highlight w:val="none"/>
              </w:rPr>
              <w:t xml:space="preserve">  </w:t>
            </w:r>
            <w:r>
              <w:rPr>
                <w:rFonts w:hint="eastAsia" w:ascii="Times New Roman" w:hAnsi="Times New Roman" w:eastAsia="宋体"/>
                <w:sz w:val="21"/>
                <w:szCs w:val="21"/>
                <w:highlight w:val="none"/>
              </w:rPr>
              <w:t xml:space="preserve"> 评审专家对投标供应商提供的上述方案进行评价与比较，并根据缺陷程度，给予综合评价：</w:t>
            </w:r>
          </w:p>
          <w:p>
            <w:pPr>
              <w:wordWrap w:val="0"/>
              <w:rPr>
                <w:rFonts w:hint="eastAsia"/>
                <w:highlight w:val="none"/>
              </w:rPr>
            </w:pPr>
            <w:r>
              <w:rPr>
                <w:rFonts w:hint="eastAsia"/>
                <w:highlight w:val="none"/>
              </w:rPr>
              <w:t>1.无缺陷，评价为优，得5分；</w:t>
            </w:r>
          </w:p>
          <w:p>
            <w:pPr>
              <w:wordWrap w:val="0"/>
              <w:rPr>
                <w:rFonts w:hint="eastAsia"/>
                <w:highlight w:val="none"/>
              </w:rPr>
            </w:pPr>
            <w:r>
              <w:rPr>
                <w:rFonts w:hint="eastAsia"/>
                <w:highlight w:val="none"/>
              </w:rPr>
              <w:t>2.存在下述1-2项缺陷，评价为良，得3分；</w:t>
            </w:r>
          </w:p>
          <w:p>
            <w:pPr>
              <w:wordWrap w:val="0"/>
              <w:rPr>
                <w:rFonts w:hint="eastAsia"/>
                <w:highlight w:val="none"/>
              </w:rPr>
            </w:pPr>
            <w:r>
              <w:rPr>
                <w:rFonts w:hint="eastAsia"/>
                <w:highlight w:val="none"/>
              </w:rPr>
              <w:t>3.存在下述3-5项及以上缺陷，评价为中，得1分；</w:t>
            </w:r>
          </w:p>
          <w:p>
            <w:pPr>
              <w:wordWrap w:val="0"/>
              <w:rPr>
                <w:rFonts w:hint="eastAsia"/>
                <w:highlight w:val="none"/>
              </w:rPr>
            </w:pPr>
            <w:r>
              <w:rPr>
                <w:rFonts w:hint="eastAsia"/>
                <w:highlight w:val="none"/>
              </w:rPr>
              <w:t>4.存在下述5项及以上缺陷，评价为差，或未提供售后服务保障方案得0分。</w:t>
            </w:r>
          </w:p>
          <w:p>
            <w:pPr>
              <w:wordWrap w:val="0"/>
              <w:rPr>
                <w:rFonts w:hint="eastAsia"/>
                <w:highlight w:val="none"/>
              </w:rPr>
            </w:pPr>
            <w:r>
              <w:rPr>
                <w:rFonts w:hint="eastAsia"/>
                <w:b/>
                <w:bCs/>
                <w:highlight w:val="none"/>
              </w:rPr>
              <w:t>（三）缺陷是指：</w:t>
            </w:r>
          </w:p>
          <w:p>
            <w:pPr>
              <w:pStyle w:val="15"/>
              <w:ind w:firstLine="420" w:firstLineChars="200"/>
              <w:rPr>
                <w:rFonts w:hint="eastAsia" w:ascii="宋体" w:hAnsi="宋体" w:cs="宋体"/>
                <w:szCs w:val="22"/>
                <w:highlight w:val="none"/>
              </w:rPr>
            </w:pPr>
            <w:r>
              <w:rPr>
                <w:rFonts w:hint="eastAsia" w:ascii="宋体" w:hAnsi="宋体" w:cs="宋体"/>
                <w:szCs w:val="22"/>
                <w:highlight w:val="none"/>
              </w:rPr>
              <w:t>1.缺少上述5项方案中任意一项情形；</w:t>
            </w:r>
          </w:p>
          <w:p>
            <w:pPr>
              <w:pStyle w:val="15"/>
              <w:ind w:firstLine="420" w:firstLineChars="200"/>
              <w:rPr>
                <w:rFonts w:hint="eastAsia" w:ascii="宋体" w:hAnsi="宋体" w:cs="宋体"/>
                <w:szCs w:val="22"/>
                <w:highlight w:val="none"/>
              </w:rPr>
            </w:pPr>
            <w:r>
              <w:rPr>
                <w:rFonts w:ascii="宋体" w:hAnsi="宋体" w:cs="宋体"/>
                <w:szCs w:val="22"/>
                <w:highlight w:val="none"/>
              </w:rPr>
              <w:t>2.</w:t>
            </w:r>
            <w:r>
              <w:rPr>
                <w:rFonts w:hint="eastAsia" w:ascii="宋体" w:hAnsi="宋体" w:cs="宋体"/>
                <w:szCs w:val="22"/>
                <w:highlight w:val="none"/>
              </w:rPr>
              <w:t>售后人员服务体系不完善、未有专门的项目管理和售后团队</w:t>
            </w:r>
            <w:r>
              <w:rPr>
                <w:rFonts w:hint="eastAsia" w:ascii="宋体" w:hAnsi="宋体" w:cs="宋体"/>
                <w:szCs w:val="22"/>
                <w:highlight w:val="none"/>
                <w:lang w:eastAsia="zh-CN"/>
              </w:rPr>
              <w:t>，</w:t>
            </w:r>
            <w:r>
              <w:rPr>
                <w:rFonts w:hint="eastAsia" w:ascii="宋体" w:hAnsi="宋体" w:cs="宋体"/>
                <w:szCs w:val="22"/>
                <w:highlight w:val="none"/>
              </w:rPr>
              <w:t>例行维护、巡检、保养、升级等售后服务反馈处理机制不完善。</w:t>
            </w:r>
          </w:p>
          <w:p>
            <w:pPr>
              <w:pStyle w:val="15"/>
              <w:ind w:firstLine="420" w:firstLineChars="200"/>
              <w:rPr>
                <w:rFonts w:hint="eastAsia" w:ascii="宋体" w:hAnsi="宋体" w:cs="宋体"/>
                <w:szCs w:val="22"/>
                <w:highlight w:val="none"/>
              </w:rPr>
            </w:pPr>
            <w:r>
              <w:rPr>
                <w:rFonts w:hint="eastAsia" w:ascii="宋体" w:hAnsi="宋体" w:cs="宋体"/>
                <w:szCs w:val="22"/>
                <w:highlight w:val="none"/>
              </w:rPr>
              <w:t>3.响应时间长，修复速度慢、不及时更换零配件；</w:t>
            </w:r>
          </w:p>
          <w:p>
            <w:pPr>
              <w:pStyle w:val="15"/>
              <w:ind w:firstLine="420" w:firstLineChars="200"/>
              <w:rPr>
                <w:rFonts w:hint="eastAsia" w:ascii="宋体" w:hAnsi="宋体" w:cs="宋体"/>
                <w:szCs w:val="22"/>
                <w:highlight w:val="none"/>
              </w:rPr>
            </w:pPr>
            <w:r>
              <w:rPr>
                <w:rFonts w:hint="eastAsia" w:ascii="宋体" w:hAnsi="宋体" w:cs="宋体"/>
                <w:szCs w:val="22"/>
                <w:highlight w:val="none"/>
              </w:rPr>
              <w:t>4.故障应急响应机制不完善，不能够快速、正确、有效组织故障抢修；</w:t>
            </w:r>
          </w:p>
          <w:p>
            <w:pPr>
              <w:pStyle w:val="15"/>
              <w:ind w:firstLine="420" w:firstLineChars="200"/>
              <w:rPr>
                <w:rFonts w:hint="eastAsia" w:ascii="宋体" w:hAnsi="宋体" w:eastAsia="宋体"/>
                <w:highlight w:val="none"/>
                <w:lang w:val="en-US" w:eastAsia="zh-CN"/>
              </w:rPr>
            </w:pPr>
            <w:r>
              <w:rPr>
                <w:rFonts w:hint="eastAsia" w:ascii="宋体" w:hAnsi="宋体" w:cs="宋体"/>
                <w:szCs w:val="22"/>
                <w:highlight w:val="none"/>
              </w:rPr>
              <w:t>5.</w:t>
            </w:r>
            <w:r>
              <w:rPr>
                <w:rFonts w:hint="eastAsia" w:ascii="宋体" w:hAnsi="宋体" w:cs="宋体"/>
                <w:szCs w:val="22"/>
                <w:highlight w:val="none"/>
                <w:lang w:val="en-US" w:eastAsia="zh-CN"/>
              </w:rPr>
              <w:t>本地化</w:t>
            </w:r>
            <w:r>
              <w:rPr>
                <w:rFonts w:hint="eastAsia" w:ascii="宋体" w:hAnsi="宋体" w:cs="宋体"/>
                <w:szCs w:val="22"/>
                <w:highlight w:val="none"/>
              </w:rPr>
              <w:t>售后服务能力弱，</w:t>
            </w:r>
            <w:r>
              <w:rPr>
                <w:rFonts w:hint="eastAsia" w:ascii="宋体" w:hAnsi="宋体" w:cs="宋体"/>
                <w:szCs w:val="22"/>
                <w:highlight w:val="none"/>
                <w:lang w:val="en-US" w:eastAsia="zh-CN"/>
              </w:rPr>
              <w:t>无</w:t>
            </w:r>
            <w:r>
              <w:rPr>
                <w:rFonts w:hint="eastAsia" w:ascii="宋体" w:hAnsi="宋体" w:cs="宋体"/>
                <w:szCs w:val="22"/>
                <w:highlight w:val="none"/>
                <w:lang w:val="zh-CN"/>
              </w:rPr>
              <w:t>服务网点和充足的服务人员</w:t>
            </w:r>
            <w:r>
              <w:rPr>
                <w:rFonts w:hint="eastAsia" w:ascii="宋体" w:hAnsi="宋体" w:cs="宋体"/>
                <w:szCs w:val="22"/>
                <w:highlight w:val="none"/>
                <w:lang w:val="en-US" w:eastAsia="zh-CN"/>
              </w:rPr>
              <w:t>等。</w:t>
            </w:r>
          </w:p>
        </w:tc>
      </w:tr>
    </w:tbl>
    <w:p>
      <w:pPr>
        <w:pStyle w:val="2"/>
        <w:rPr>
          <w:rFonts w:ascii="宋体" w:hAnsi="宋体" w:eastAsia="宋体" w:cs="宋体"/>
          <w:sz w:val="24"/>
          <w:szCs w:val="21"/>
          <w:highlight w:val="none"/>
          <w:lang w:val="zh-CN"/>
        </w:rPr>
      </w:pPr>
    </w:p>
    <w:p>
      <w:pPr>
        <w:pStyle w:val="3"/>
        <w:jc w:val="both"/>
        <w:rPr>
          <w:rFonts w:ascii="宋体" w:hAnsi="宋体" w:eastAsia="宋体" w:cs="宋体"/>
          <w:bCs w:val="0"/>
          <w:sz w:val="30"/>
          <w:szCs w:val="30"/>
          <w:highlight w:val="none"/>
        </w:rPr>
      </w:pPr>
      <w:r>
        <w:rPr>
          <w:rFonts w:hint="eastAsia" w:ascii="宋体" w:hAnsi="宋体" w:eastAsia="宋体" w:cs="宋体"/>
          <w:bCs w:val="0"/>
          <w:sz w:val="30"/>
          <w:szCs w:val="30"/>
          <w:highlight w:val="none"/>
        </w:rPr>
        <w:br w:type="page"/>
      </w:r>
    </w:p>
    <w:p>
      <w:pPr>
        <w:pStyle w:val="3"/>
        <w:ind w:firstLine="3614" w:firstLineChars="1200"/>
        <w:jc w:val="both"/>
        <w:rPr>
          <w:rFonts w:ascii="宋体" w:hAnsi="宋体" w:eastAsia="宋体"/>
          <w:bCs w:val="0"/>
          <w:sz w:val="30"/>
          <w:szCs w:val="30"/>
          <w:highlight w:val="none"/>
        </w:rPr>
      </w:pPr>
      <w:r>
        <w:rPr>
          <w:rFonts w:hint="eastAsia" w:ascii="宋体" w:hAnsi="宋体" w:eastAsia="宋体" w:cs="宋体"/>
          <w:bCs w:val="0"/>
          <w:sz w:val="30"/>
          <w:szCs w:val="30"/>
          <w:highlight w:val="none"/>
        </w:rPr>
        <w:t>目   录</w:t>
      </w:r>
    </w:p>
    <w:p>
      <w:pPr>
        <w:ind w:firstLine="482" w:firstLineChars="200"/>
        <w:outlineLvl w:val="0"/>
        <w:rPr>
          <w:rFonts w:ascii="宋体" w:hAnsi="宋体"/>
          <w:b/>
          <w:sz w:val="24"/>
          <w:highlight w:val="none"/>
        </w:rPr>
      </w:pPr>
      <w:r>
        <w:rPr>
          <w:rFonts w:hint="eastAsia" w:ascii="宋体" w:hAnsi="宋体"/>
          <w:b/>
          <w:sz w:val="24"/>
          <w:highlight w:val="none"/>
        </w:rPr>
        <w:t>第一册  专用条款</w:t>
      </w:r>
    </w:p>
    <w:p>
      <w:pPr>
        <w:rPr>
          <w:rFonts w:ascii="宋体" w:hAnsi="宋体"/>
          <w:sz w:val="24"/>
          <w:highlight w:val="none"/>
        </w:rPr>
      </w:pPr>
      <w:r>
        <w:rPr>
          <w:rFonts w:hint="eastAsia" w:ascii="宋体" w:hAnsi="宋体"/>
          <w:sz w:val="24"/>
          <w:highlight w:val="none"/>
        </w:rPr>
        <w:t xml:space="preserve">            关键信息</w:t>
      </w:r>
    </w:p>
    <w:p>
      <w:pPr>
        <w:ind w:firstLine="1470" w:firstLineChars="700"/>
        <w:rPr>
          <w:rFonts w:ascii="宋体" w:hAnsi="宋体"/>
          <w:highlight w:val="none"/>
        </w:rPr>
      </w:pPr>
      <w:r>
        <w:rPr>
          <w:rFonts w:hint="eastAsia" w:ascii="宋体" w:hAnsi="宋体"/>
          <w:highlight w:val="none"/>
        </w:rPr>
        <w:t>第一章  招标公告</w:t>
      </w:r>
    </w:p>
    <w:p>
      <w:pPr>
        <w:ind w:left="630" w:leftChars="300" w:firstLine="840" w:firstLineChars="400"/>
        <w:rPr>
          <w:rFonts w:ascii="宋体" w:hAnsi="宋体"/>
          <w:highlight w:val="none"/>
        </w:rPr>
      </w:pPr>
      <w:r>
        <w:rPr>
          <w:rFonts w:hint="eastAsia" w:ascii="宋体" w:hAnsi="宋体"/>
          <w:highlight w:val="none"/>
        </w:rPr>
        <w:t xml:space="preserve">第二章  </w:t>
      </w:r>
      <w:bookmarkStart w:id="1" w:name="_Hlk71994379"/>
      <w:r>
        <w:rPr>
          <w:rFonts w:hint="eastAsia" w:ascii="宋体" w:hAnsi="宋体"/>
          <w:highlight w:val="none"/>
        </w:rPr>
        <w:t>对通用条款的补充内容及其他关键信息</w:t>
      </w:r>
      <w:bookmarkEnd w:id="1"/>
    </w:p>
    <w:p>
      <w:pPr>
        <w:ind w:left="630" w:leftChars="300" w:firstLine="840" w:firstLineChars="400"/>
        <w:rPr>
          <w:rFonts w:ascii="宋体" w:hAnsi="宋体"/>
          <w:highlight w:val="none"/>
        </w:rPr>
      </w:pPr>
      <w:r>
        <w:rPr>
          <w:rFonts w:hint="eastAsia" w:ascii="宋体" w:hAnsi="宋体"/>
          <w:highlight w:val="none"/>
        </w:rPr>
        <w:t xml:space="preserve">第三章 </w:t>
      </w:r>
      <w:r>
        <w:rPr>
          <w:rFonts w:ascii="宋体" w:hAnsi="宋体"/>
          <w:highlight w:val="none"/>
        </w:rPr>
        <w:t xml:space="preserve"> </w:t>
      </w:r>
      <w:r>
        <w:rPr>
          <w:rFonts w:hint="eastAsia" w:ascii="宋体" w:hAnsi="宋体"/>
          <w:highlight w:val="none"/>
        </w:rPr>
        <w:t>用户需求书</w:t>
      </w:r>
    </w:p>
    <w:p>
      <w:pPr>
        <w:ind w:left="630" w:leftChars="300" w:firstLine="840" w:firstLineChars="400"/>
        <w:rPr>
          <w:rFonts w:ascii="宋体" w:hAnsi="宋体"/>
          <w:highlight w:val="none"/>
        </w:rPr>
      </w:pPr>
      <w:r>
        <w:rPr>
          <w:rFonts w:hint="eastAsia" w:ascii="宋体" w:hAnsi="宋体"/>
          <w:highlight w:val="none"/>
        </w:rPr>
        <w:t xml:space="preserve">第四章 </w:t>
      </w:r>
      <w:r>
        <w:rPr>
          <w:rFonts w:ascii="宋体" w:hAnsi="宋体"/>
          <w:highlight w:val="none"/>
        </w:rPr>
        <w:t xml:space="preserve"> </w:t>
      </w:r>
      <w:r>
        <w:rPr>
          <w:rFonts w:hint="eastAsia" w:ascii="宋体" w:hAnsi="宋体"/>
          <w:highlight w:val="none"/>
        </w:rPr>
        <w:t>投标文件组成要求及格式</w:t>
      </w:r>
    </w:p>
    <w:p>
      <w:pPr>
        <w:ind w:left="630" w:leftChars="300" w:firstLine="840" w:firstLineChars="400"/>
        <w:rPr>
          <w:rFonts w:ascii="宋体" w:hAnsi="宋体"/>
          <w:highlight w:val="none"/>
        </w:rPr>
      </w:pPr>
      <w:r>
        <w:rPr>
          <w:rFonts w:hint="eastAsia" w:ascii="宋体" w:hAnsi="宋体"/>
          <w:highlight w:val="none"/>
        </w:rPr>
        <w:t>第五章  合同条款及格式</w:t>
      </w:r>
    </w:p>
    <w:p>
      <w:pPr>
        <w:rPr>
          <w:rFonts w:ascii="宋体" w:hAnsi="宋体"/>
          <w:b/>
          <w:sz w:val="24"/>
          <w:highlight w:val="none"/>
        </w:rPr>
      </w:pPr>
    </w:p>
    <w:p>
      <w:pPr>
        <w:ind w:firstLine="482" w:firstLineChars="200"/>
        <w:outlineLvl w:val="0"/>
        <w:rPr>
          <w:rFonts w:ascii="宋体" w:hAnsi="宋体"/>
          <w:b/>
          <w:sz w:val="24"/>
          <w:highlight w:val="none"/>
        </w:rPr>
      </w:pPr>
      <w:r>
        <w:rPr>
          <w:rFonts w:hint="eastAsia" w:ascii="宋体" w:hAnsi="宋体"/>
          <w:b/>
          <w:sz w:val="24"/>
          <w:highlight w:val="none"/>
        </w:rPr>
        <w:t>第二册  通用条款</w:t>
      </w:r>
    </w:p>
    <w:p>
      <w:pPr>
        <w:ind w:firstLine="1470" w:firstLineChars="700"/>
        <w:rPr>
          <w:rFonts w:ascii="宋体" w:hAnsi="宋体"/>
          <w:highlight w:val="none"/>
        </w:rPr>
      </w:pPr>
      <w:r>
        <w:rPr>
          <w:rFonts w:hint="eastAsia" w:ascii="宋体" w:hAnsi="宋体"/>
          <w:highlight w:val="none"/>
        </w:rPr>
        <w:t>第一章  总则</w:t>
      </w:r>
    </w:p>
    <w:p>
      <w:pPr>
        <w:ind w:left="630" w:leftChars="300" w:firstLine="831" w:firstLineChars="396"/>
        <w:rPr>
          <w:rFonts w:ascii="宋体" w:hAnsi="宋体"/>
          <w:highlight w:val="none"/>
        </w:rPr>
      </w:pPr>
      <w:r>
        <w:rPr>
          <w:rFonts w:hint="eastAsia" w:ascii="宋体" w:hAnsi="宋体"/>
          <w:highlight w:val="none"/>
        </w:rPr>
        <w:t>第二章  招标文件</w:t>
      </w:r>
    </w:p>
    <w:p>
      <w:pPr>
        <w:ind w:left="630" w:leftChars="300" w:firstLine="831" w:firstLineChars="396"/>
        <w:rPr>
          <w:rFonts w:ascii="宋体" w:hAnsi="宋体"/>
          <w:highlight w:val="none"/>
        </w:rPr>
      </w:pPr>
      <w:r>
        <w:rPr>
          <w:rFonts w:hint="eastAsia" w:ascii="宋体" w:hAnsi="宋体"/>
          <w:highlight w:val="none"/>
        </w:rPr>
        <w:t>第三章  投标文件的编制</w:t>
      </w:r>
    </w:p>
    <w:p>
      <w:pPr>
        <w:ind w:left="630" w:leftChars="300" w:firstLine="831" w:firstLineChars="396"/>
        <w:rPr>
          <w:rFonts w:ascii="宋体" w:hAnsi="宋体"/>
          <w:highlight w:val="none"/>
        </w:rPr>
      </w:pPr>
      <w:r>
        <w:rPr>
          <w:rFonts w:hint="eastAsia" w:ascii="宋体" w:hAnsi="宋体"/>
          <w:highlight w:val="none"/>
        </w:rPr>
        <w:t>第四章  投标文件的递交</w:t>
      </w:r>
    </w:p>
    <w:p>
      <w:pPr>
        <w:ind w:left="630" w:leftChars="300" w:firstLine="831" w:firstLineChars="396"/>
        <w:rPr>
          <w:rFonts w:ascii="宋体" w:hAnsi="宋体"/>
          <w:highlight w:val="none"/>
        </w:rPr>
      </w:pPr>
      <w:r>
        <w:rPr>
          <w:rFonts w:hint="eastAsia" w:ascii="宋体" w:hAnsi="宋体"/>
          <w:highlight w:val="none"/>
        </w:rPr>
        <w:t>第五章  开标</w:t>
      </w:r>
    </w:p>
    <w:p>
      <w:pPr>
        <w:ind w:left="630" w:leftChars="300" w:firstLine="831" w:firstLineChars="396"/>
        <w:rPr>
          <w:rFonts w:ascii="宋体" w:hAnsi="宋体"/>
          <w:highlight w:val="none"/>
        </w:rPr>
      </w:pPr>
      <w:r>
        <w:rPr>
          <w:rFonts w:hint="eastAsia" w:ascii="宋体" w:hAnsi="宋体"/>
          <w:highlight w:val="none"/>
        </w:rPr>
        <w:t>第六章  评审要求</w:t>
      </w:r>
    </w:p>
    <w:p>
      <w:pPr>
        <w:ind w:left="630" w:leftChars="300" w:firstLine="831" w:firstLineChars="396"/>
        <w:rPr>
          <w:rFonts w:ascii="宋体" w:hAnsi="宋体"/>
          <w:highlight w:val="none"/>
        </w:rPr>
      </w:pPr>
      <w:r>
        <w:rPr>
          <w:rFonts w:hint="eastAsia" w:ascii="宋体" w:hAnsi="宋体"/>
          <w:highlight w:val="none"/>
        </w:rPr>
        <w:t>第七章  评审程序及评审方法</w:t>
      </w:r>
    </w:p>
    <w:p>
      <w:pPr>
        <w:ind w:left="630" w:leftChars="300" w:firstLine="831" w:firstLineChars="396"/>
        <w:rPr>
          <w:rFonts w:ascii="宋体" w:hAnsi="宋体"/>
          <w:highlight w:val="none"/>
        </w:rPr>
      </w:pPr>
      <w:r>
        <w:rPr>
          <w:rFonts w:hint="eastAsia" w:ascii="宋体" w:hAnsi="宋体"/>
          <w:highlight w:val="none"/>
        </w:rPr>
        <w:t>第八章  定标及公示</w:t>
      </w:r>
    </w:p>
    <w:p>
      <w:pPr>
        <w:ind w:left="630" w:leftChars="300" w:firstLine="831" w:firstLineChars="396"/>
        <w:rPr>
          <w:rFonts w:ascii="宋体" w:hAnsi="宋体"/>
          <w:highlight w:val="none"/>
        </w:rPr>
      </w:pPr>
      <w:r>
        <w:rPr>
          <w:rFonts w:hint="eastAsia" w:ascii="宋体" w:hAnsi="宋体"/>
          <w:highlight w:val="none"/>
        </w:rPr>
        <w:t>第九章  公开招标失败的后续处理</w:t>
      </w:r>
    </w:p>
    <w:p>
      <w:pPr>
        <w:ind w:left="630" w:leftChars="300" w:firstLine="831" w:firstLineChars="396"/>
        <w:rPr>
          <w:rFonts w:ascii="宋体" w:hAnsi="宋体"/>
          <w:highlight w:val="none"/>
        </w:rPr>
      </w:pPr>
      <w:r>
        <w:rPr>
          <w:rFonts w:hint="eastAsia" w:ascii="宋体" w:hAnsi="宋体"/>
          <w:highlight w:val="none"/>
        </w:rPr>
        <w:t>第十章  合同的授予与备案</w:t>
      </w:r>
    </w:p>
    <w:p>
      <w:pPr>
        <w:ind w:firstLine="1470" w:firstLineChars="700"/>
        <w:outlineLvl w:val="0"/>
        <w:rPr>
          <w:rFonts w:ascii="宋体" w:hAnsi="宋体"/>
          <w:b/>
          <w:sz w:val="24"/>
          <w:highlight w:val="none"/>
        </w:rPr>
      </w:pPr>
      <w:r>
        <w:rPr>
          <w:rFonts w:hint="eastAsia" w:ascii="宋体" w:hAnsi="宋体"/>
          <w:highlight w:val="none"/>
        </w:rPr>
        <w:t>第十一章  质疑处理</w:t>
      </w:r>
    </w:p>
    <w:p>
      <w:pPr>
        <w:pStyle w:val="131"/>
        <w:rPr>
          <w:rFonts w:cs="方正小标宋_GBK"/>
          <w:b/>
          <w:color w:val="FF0000"/>
          <w:sz w:val="32"/>
          <w:szCs w:val="32"/>
          <w:highlight w:val="none"/>
        </w:rPr>
      </w:pPr>
      <w:bookmarkStart w:id="2" w:name="_Toc494375077"/>
      <w:bookmarkStart w:id="3" w:name="_Toc120614210"/>
      <w:bookmarkStart w:id="4" w:name="_Toc513029200"/>
      <w:bookmarkStart w:id="5" w:name="_Toc523127445"/>
      <w:bookmarkStart w:id="6" w:name="_Toc16938516"/>
      <w:bookmarkStart w:id="7" w:name="_Toc479757206"/>
      <w:bookmarkStart w:id="8" w:name="_Toc20823272"/>
    </w:p>
    <w:p>
      <w:pPr>
        <w:pStyle w:val="131"/>
        <w:rPr>
          <w:rFonts w:cs="方正小标宋_GBK"/>
          <w:b/>
          <w:sz w:val="36"/>
          <w:szCs w:val="36"/>
          <w:highlight w:val="none"/>
        </w:rPr>
      </w:pPr>
      <w:r>
        <w:rPr>
          <w:rFonts w:hint="eastAsia" w:cs="方正小标宋_GBK"/>
          <w:b/>
          <w:color w:val="FF0000"/>
          <w:sz w:val="32"/>
          <w:szCs w:val="32"/>
          <w:highlight w:val="none"/>
        </w:rPr>
        <w:br w:type="page"/>
      </w:r>
      <w:bookmarkEnd w:id="2"/>
      <w:bookmarkEnd w:id="3"/>
      <w:r>
        <w:rPr>
          <w:rFonts w:hint="eastAsia" w:cs="方正小标宋_GBK"/>
          <w:b/>
          <w:color w:val="FF0000"/>
          <w:sz w:val="32"/>
          <w:szCs w:val="32"/>
          <w:highlight w:val="none"/>
        </w:rPr>
        <w:t>第一册专用条款</w:t>
      </w:r>
    </w:p>
    <w:p>
      <w:pPr>
        <w:pStyle w:val="5"/>
        <w:rPr>
          <w:rFonts w:ascii="宋体" w:hAnsi="宋体" w:eastAsia="宋体" w:cs="方正黑体_GBK"/>
          <w:b w:val="0"/>
          <w:sz w:val="32"/>
          <w:szCs w:val="32"/>
          <w:highlight w:val="none"/>
        </w:rPr>
      </w:pPr>
      <w:r>
        <w:rPr>
          <w:rFonts w:hint="eastAsia" w:ascii="宋体" w:hAnsi="宋体" w:eastAsia="宋体" w:cs="方正黑体_GBK"/>
          <w:b w:val="0"/>
          <w:sz w:val="32"/>
          <w:szCs w:val="32"/>
          <w:highlight w:val="none"/>
        </w:rPr>
        <w:t>第一章  招标公告</w:t>
      </w:r>
    </w:p>
    <w:p>
      <w:pPr>
        <w:pStyle w:val="140"/>
        <w:spacing w:before="0" w:after="0"/>
        <w:ind w:firstLine="630" w:firstLineChars="300"/>
        <w:jc w:val="both"/>
        <w:rPr>
          <w:rFonts w:hint="eastAsia" w:ascii="宋体" w:hAnsi="宋体" w:cs="宋体"/>
          <w:sz w:val="21"/>
          <w:szCs w:val="21"/>
          <w:highlight w:val="none"/>
        </w:rPr>
      </w:pPr>
      <w:r>
        <w:rPr>
          <w:rFonts w:hint="eastAsia" w:ascii="宋体" w:hAnsi="宋体" w:cs="宋体"/>
          <w:sz w:val="21"/>
          <w:szCs w:val="21"/>
          <w:highlight w:val="none"/>
        </w:rPr>
        <w:t>巴音郭楞蒙古自治州政务服务和公共资源交易中心（以下简称“集采代理机构”）受</w:t>
      </w:r>
      <w:r>
        <w:rPr>
          <w:rFonts w:hint="eastAsia" w:ascii="宋体" w:hAnsi="宋体" w:cs="宋体"/>
          <w:color w:val="FF0000"/>
          <w:sz w:val="21"/>
          <w:szCs w:val="21"/>
          <w:highlight w:val="none"/>
          <w:u w:val="single"/>
        </w:rPr>
        <w:t xml:space="preserve"> 新疆巴音郭楞蒙古自治州卫生学校 </w:t>
      </w:r>
      <w:r>
        <w:rPr>
          <w:rFonts w:hint="eastAsia" w:ascii="宋体" w:hAnsi="宋体" w:cs="宋体"/>
          <w:sz w:val="21"/>
          <w:szCs w:val="21"/>
          <w:highlight w:val="none"/>
        </w:rPr>
        <w:t>（以下简称“采购人”）的委托，对</w:t>
      </w:r>
      <w:r>
        <w:rPr>
          <w:rFonts w:hint="eastAsia" w:ascii="宋体" w:hAnsi="宋体" w:cs="宋体"/>
          <w:color w:val="FF0000"/>
          <w:sz w:val="21"/>
          <w:szCs w:val="21"/>
          <w:highlight w:val="none"/>
          <w:u w:val="single"/>
        </w:rPr>
        <w:t xml:space="preserve"> 新疆巴州卫生学校2025年现代职业教育质量提升（护理VR虚拟仿真实训室）项目 </w:t>
      </w:r>
      <w:r>
        <w:rPr>
          <w:rFonts w:hint="eastAsia" w:ascii="宋体" w:hAnsi="宋体" w:cs="宋体"/>
          <w:sz w:val="21"/>
          <w:szCs w:val="21"/>
          <w:highlight w:val="none"/>
        </w:rPr>
        <w:t>进行</w:t>
      </w:r>
      <w:r>
        <w:rPr>
          <w:rFonts w:hint="eastAsia" w:ascii="宋体" w:hAnsi="宋体" w:cs="宋体"/>
          <w:color w:val="FF0000"/>
          <w:sz w:val="21"/>
          <w:szCs w:val="21"/>
          <w:highlight w:val="none"/>
          <w:u w:val="single"/>
        </w:rPr>
        <w:t>公开招标</w:t>
      </w:r>
      <w:r>
        <w:rPr>
          <w:rFonts w:hint="eastAsia" w:ascii="宋体" w:hAnsi="宋体" w:cs="宋体"/>
          <w:sz w:val="21"/>
          <w:szCs w:val="21"/>
          <w:highlight w:val="none"/>
        </w:rPr>
        <w:t>采购，欢迎符合相关条件的合格供应商参加投标。</w:t>
      </w:r>
    </w:p>
    <w:p>
      <w:pPr>
        <w:rPr>
          <w:highlight w:val="none"/>
        </w:rPr>
      </w:pPr>
    </w:p>
    <w:p>
      <w:pPr>
        <w:pBdr>
          <w:top w:val="single" w:color="auto" w:sz="4" w:space="1"/>
          <w:left w:val="single" w:color="auto" w:sz="4" w:space="4"/>
          <w:bottom w:val="single" w:color="auto" w:sz="4" w:space="1"/>
          <w:right w:val="single" w:color="auto" w:sz="4" w:space="4"/>
        </w:pBdr>
        <w:spacing w:line="360" w:lineRule="auto"/>
        <w:rPr>
          <w:rFonts w:ascii="宋体" w:hAnsi="宋体" w:cs="宋体"/>
          <w:kern w:val="0"/>
          <w:highlight w:val="none"/>
        </w:rPr>
      </w:pPr>
      <w:r>
        <w:rPr>
          <w:rFonts w:hint="eastAsia" w:ascii="宋体" w:hAnsi="宋体" w:cs="宋体"/>
          <w:kern w:val="0"/>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630" w:firstLineChars="300"/>
        <w:rPr>
          <w:rFonts w:ascii="宋体" w:hAnsi="宋体" w:cs="宋体"/>
          <w:highlight w:val="none"/>
        </w:rPr>
      </w:pPr>
      <w:r>
        <w:rPr>
          <w:rFonts w:hint="eastAsia" w:ascii="宋体" w:hAnsi="宋体" w:cs="宋体"/>
          <w:highlight w:val="none"/>
          <w:u w:val="single"/>
        </w:rPr>
        <w:t xml:space="preserve"> 新疆巴州卫生学校2025年现代职业教育质量提升（护理VR虚拟仿真实训室）项目 </w:t>
      </w:r>
      <w:r>
        <w:rPr>
          <w:rFonts w:hint="eastAsia" w:ascii="宋体" w:hAnsi="宋体" w:cs="宋体"/>
          <w:kern w:val="0"/>
          <w:highlight w:val="none"/>
        </w:rPr>
        <w:t xml:space="preserve">招标项目的潜在投标人应在 </w:t>
      </w:r>
      <w:bookmarkStart w:id="9" w:name="OLE_LINK5"/>
      <w:r>
        <w:rPr>
          <w:rFonts w:hint="eastAsia" w:ascii="宋体" w:hAnsi="宋体" w:cs="宋体"/>
          <w:kern w:val="0"/>
          <w:highlight w:val="none"/>
          <w:u w:val="single"/>
        </w:rPr>
        <w:t xml:space="preserve">政采云平台 </w:t>
      </w:r>
      <w:r>
        <w:rPr>
          <w:rFonts w:hint="eastAsia" w:ascii="宋体" w:hAnsi="宋体" w:cs="宋体"/>
          <w:kern w:val="0"/>
          <w:highlight w:val="none"/>
        </w:rPr>
        <w:t>获取</w:t>
      </w:r>
      <w:bookmarkEnd w:id="9"/>
      <w:r>
        <w:rPr>
          <w:rFonts w:hint="eastAsia" w:ascii="宋体" w:hAnsi="宋体" w:cs="宋体"/>
          <w:kern w:val="0"/>
          <w:highlight w:val="none"/>
        </w:rPr>
        <w:t>招标文件，并于</w:t>
      </w:r>
      <w:bookmarkStart w:id="10" w:name="OLE_LINK4"/>
      <w:r>
        <w:rPr>
          <w:rFonts w:hint="eastAsia" w:ascii="宋体" w:hAnsi="宋体" w:cs="宋体"/>
          <w:color w:val="FF0000"/>
          <w:kern w:val="0"/>
          <w:highlight w:val="none"/>
          <w:u w:val="single"/>
        </w:rPr>
        <w:t>2025年</w:t>
      </w:r>
      <w:r>
        <w:rPr>
          <w:rFonts w:hint="eastAsia" w:ascii="宋体" w:hAnsi="宋体" w:cs="宋体"/>
          <w:color w:val="FF0000"/>
          <w:kern w:val="0"/>
          <w:highlight w:val="none"/>
          <w:u w:val="single"/>
          <w:lang w:eastAsia="zh-CN"/>
        </w:rPr>
        <w:t>06月05日</w:t>
      </w:r>
      <w:r>
        <w:rPr>
          <w:rFonts w:hint="eastAsia" w:ascii="宋体" w:hAnsi="宋体" w:cs="宋体"/>
          <w:color w:val="FF0000"/>
          <w:kern w:val="0"/>
          <w:highlight w:val="none"/>
          <w:u w:val="single"/>
        </w:rPr>
        <w:t xml:space="preserve"> 上午 10：30时（北京时间）</w:t>
      </w:r>
      <w:bookmarkEnd w:id="10"/>
      <w:r>
        <w:rPr>
          <w:rFonts w:hint="eastAsia" w:ascii="宋体" w:hAnsi="宋体" w:cs="宋体"/>
          <w:kern w:val="0"/>
          <w:highlight w:val="none"/>
        </w:rPr>
        <w:t>前递交投标文件。</w:t>
      </w:r>
    </w:p>
    <w:p>
      <w:pPr>
        <w:tabs>
          <w:tab w:val="left" w:pos="900"/>
        </w:tabs>
        <w:ind w:firstLine="422" w:firstLineChars="200"/>
        <w:rPr>
          <w:rFonts w:ascii="宋体" w:hAnsi="宋体" w:cs="宋体"/>
          <w:b/>
          <w:bCs/>
          <w:highlight w:val="none"/>
        </w:rPr>
      </w:pPr>
      <w:bookmarkStart w:id="11" w:name="_Toc28359079"/>
      <w:bookmarkStart w:id="12" w:name="_Toc35393621"/>
      <w:bookmarkStart w:id="13" w:name="_Toc28359002"/>
      <w:bookmarkStart w:id="14" w:name="_Toc35393790"/>
      <w:bookmarkStart w:id="15" w:name="_Hlk24379207"/>
      <w:bookmarkStart w:id="16" w:name="_Toc28359004"/>
      <w:bookmarkStart w:id="17" w:name="_Toc35393792"/>
      <w:bookmarkStart w:id="18" w:name="_Toc28359081"/>
      <w:bookmarkStart w:id="19" w:name="_Toc35393623"/>
      <w:r>
        <w:rPr>
          <w:rFonts w:hint="eastAsia" w:ascii="宋体" w:hAnsi="宋体" w:cs="宋体"/>
          <w:b/>
          <w:bCs/>
          <w:highlight w:val="none"/>
        </w:rPr>
        <w:t>一、项目基本情况</w:t>
      </w:r>
      <w:bookmarkEnd w:id="11"/>
      <w:bookmarkEnd w:id="12"/>
      <w:bookmarkEnd w:id="13"/>
      <w:bookmarkEnd w:id="14"/>
    </w:p>
    <w:p>
      <w:pPr>
        <w:tabs>
          <w:tab w:val="left" w:pos="900"/>
        </w:tabs>
        <w:ind w:firstLine="420" w:firstLineChars="200"/>
        <w:rPr>
          <w:rFonts w:hint="default" w:ascii="宋体" w:hAnsi="宋体" w:eastAsia="宋体" w:cs="宋体"/>
          <w:color w:val="FF0000"/>
          <w:highlight w:val="none"/>
          <w:u w:val="single"/>
          <w:lang w:val="en-US" w:eastAsia="zh-CN"/>
        </w:rPr>
      </w:pPr>
      <w:r>
        <w:rPr>
          <w:rFonts w:hint="eastAsia" w:ascii="宋体" w:hAnsi="宋体" w:cs="宋体"/>
          <w:highlight w:val="none"/>
        </w:rPr>
        <w:t>1.项目编号：</w:t>
      </w:r>
      <w:r>
        <w:rPr>
          <w:rFonts w:hint="eastAsia" w:ascii="宋体" w:hAnsi="宋体" w:cs="宋体"/>
          <w:color w:val="FF0000"/>
          <w:highlight w:val="none"/>
          <w:lang w:eastAsia="zh-CN"/>
        </w:rPr>
        <w:t>BZZZZX(GK)2025-028</w:t>
      </w:r>
      <w:r>
        <w:rPr>
          <w:rFonts w:hint="eastAsia" w:ascii="宋体" w:hAnsi="宋体" w:cs="宋体"/>
          <w:color w:val="FF0000"/>
          <w:highlight w:val="none"/>
          <w:lang w:val="en-US" w:eastAsia="zh-CN"/>
        </w:rPr>
        <w:t>号</w:t>
      </w:r>
    </w:p>
    <w:p>
      <w:pPr>
        <w:tabs>
          <w:tab w:val="left" w:pos="900"/>
        </w:tabs>
        <w:ind w:firstLine="420" w:firstLineChars="200"/>
        <w:rPr>
          <w:rFonts w:ascii="宋体" w:hAnsi="宋体" w:cs="宋体"/>
          <w:highlight w:val="none"/>
        </w:rPr>
      </w:pPr>
      <w:r>
        <w:rPr>
          <w:rFonts w:hint="eastAsia" w:ascii="宋体" w:hAnsi="宋体" w:cs="宋体"/>
          <w:highlight w:val="none"/>
        </w:rPr>
        <w:t>2.项目名称</w:t>
      </w:r>
      <w:bookmarkStart w:id="20" w:name="OLE_LINK3"/>
      <w:r>
        <w:rPr>
          <w:rFonts w:hint="eastAsia" w:ascii="宋体" w:hAnsi="宋体" w:cs="宋体"/>
          <w:highlight w:val="none"/>
        </w:rPr>
        <w:t>：</w:t>
      </w:r>
      <w:bookmarkEnd w:id="15"/>
      <w:bookmarkEnd w:id="20"/>
      <w:r>
        <w:rPr>
          <w:rFonts w:hint="eastAsia" w:ascii="宋体" w:hAnsi="宋体" w:cs="宋体"/>
          <w:highlight w:val="none"/>
        </w:rPr>
        <w:t>新疆巴州卫生学校2025年现代职业教育质量提升（护理VR虚拟仿真实训室）项目</w:t>
      </w:r>
    </w:p>
    <w:p>
      <w:pPr>
        <w:tabs>
          <w:tab w:val="left" w:pos="900"/>
        </w:tabs>
        <w:ind w:firstLine="420" w:firstLineChars="200"/>
        <w:rPr>
          <w:rFonts w:ascii="宋体" w:hAnsi="宋体" w:cs="宋体"/>
          <w:highlight w:val="none"/>
        </w:rPr>
      </w:pPr>
      <w:r>
        <w:rPr>
          <w:rFonts w:hint="eastAsia" w:ascii="宋体" w:hAnsi="宋体" w:cs="宋体"/>
          <w:highlight w:val="none"/>
        </w:rPr>
        <w:t>3.预算金额：400万元</w:t>
      </w:r>
    </w:p>
    <w:p>
      <w:pPr>
        <w:tabs>
          <w:tab w:val="left" w:pos="900"/>
        </w:tabs>
        <w:ind w:firstLine="420" w:firstLineChars="200"/>
        <w:rPr>
          <w:rFonts w:ascii="宋体" w:hAnsi="宋体" w:cs="宋体"/>
          <w:highlight w:val="none"/>
        </w:rPr>
      </w:pPr>
      <w:r>
        <w:rPr>
          <w:rFonts w:hint="eastAsia" w:ascii="宋体" w:hAnsi="宋体" w:cs="宋体"/>
          <w:highlight w:val="none"/>
        </w:rPr>
        <w:t>4.最高限价: 400万元</w:t>
      </w:r>
    </w:p>
    <w:p>
      <w:pPr>
        <w:tabs>
          <w:tab w:val="left" w:pos="900"/>
        </w:tabs>
        <w:ind w:firstLine="420" w:firstLineChars="200"/>
        <w:rPr>
          <w:rFonts w:ascii="宋体" w:hAnsi="宋体" w:cs="宋体"/>
          <w:color w:val="FF0000"/>
          <w:highlight w:val="none"/>
        </w:rPr>
      </w:pPr>
      <w:r>
        <w:rPr>
          <w:rFonts w:hint="eastAsia" w:ascii="宋体" w:hAnsi="宋体" w:cs="宋体"/>
          <w:highlight w:val="none"/>
        </w:rPr>
        <w:t>5.采购需求：</w:t>
      </w:r>
      <w:bookmarkStart w:id="21" w:name="OLE_LINK51"/>
      <w:r>
        <w:rPr>
          <w:rFonts w:hint="eastAsia" w:ascii="宋体" w:hAnsi="宋体" w:cs="宋体"/>
          <w:highlight w:val="none"/>
        </w:rPr>
        <w:t>详细需求见招标文件。</w:t>
      </w:r>
      <w:bookmarkEnd w:id="21"/>
    </w:p>
    <w:p>
      <w:pPr>
        <w:tabs>
          <w:tab w:val="left" w:pos="900"/>
        </w:tabs>
        <w:ind w:firstLine="420" w:firstLineChars="200"/>
        <w:rPr>
          <w:rFonts w:ascii="宋体" w:hAnsi="宋体" w:cs="宋体"/>
          <w:highlight w:val="none"/>
        </w:rPr>
      </w:pPr>
      <w:r>
        <w:rPr>
          <w:rFonts w:hint="eastAsia" w:ascii="宋体" w:hAnsi="宋体" w:cs="宋体"/>
          <w:highlight w:val="none"/>
        </w:rPr>
        <w:t>6.合同履行期限：</w:t>
      </w:r>
      <w:bookmarkStart w:id="22" w:name="OLE_LINK54"/>
      <w:r>
        <w:rPr>
          <w:rFonts w:hint="eastAsia" w:ascii="宋体" w:hAnsi="宋体" w:cs="宋体"/>
          <w:highlight w:val="none"/>
        </w:rPr>
        <w:t>自签订合同后50天内供货安装调试完毕。软硬件至少提供60个月免费维保服务</w:t>
      </w:r>
      <w:bookmarkEnd w:id="22"/>
      <w:r>
        <w:rPr>
          <w:rFonts w:hint="eastAsia" w:ascii="宋体" w:hAnsi="宋体" w:cs="宋体"/>
          <w:highlight w:val="none"/>
        </w:rPr>
        <w:t>。</w:t>
      </w:r>
    </w:p>
    <w:p>
      <w:pPr>
        <w:tabs>
          <w:tab w:val="left" w:pos="900"/>
        </w:tabs>
        <w:ind w:firstLine="420" w:firstLineChars="200"/>
        <w:rPr>
          <w:rFonts w:ascii="宋体" w:hAnsi="宋体" w:cs="宋体"/>
          <w:highlight w:val="none"/>
        </w:rPr>
      </w:pPr>
      <w:r>
        <w:rPr>
          <w:rFonts w:hint="eastAsia" w:ascii="宋体" w:hAnsi="宋体" w:cs="宋体"/>
          <w:highlight w:val="none"/>
        </w:rPr>
        <w:t>7.本项目</w:t>
      </w:r>
      <w:r>
        <w:rPr>
          <w:rFonts w:hint="eastAsia" w:ascii="宋体" w:hAnsi="宋体" w:cs="宋体"/>
          <w:color w:val="FF0000"/>
          <w:highlight w:val="none"/>
        </w:rPr>
        <w:t>不接受</w:t>
      </w:r>
      <w:r>
        <w:rPr>
          <w:rFonts w:hint="eastAsia" w:ascii="宋体" w:hAnsi="宋体" w:cs="宋体"/>
          <w:highlight w:val="none"/>
        </w:rPr>
        <w:t>联合体投标</w:t>
      </w:r>
    </w:p>
    <w:p>
      <w:pPr>
        <w:ind w:firstLine="420" w:firstLineChars="200"/>
        <w:rPr>
          <w:rFonts w:hint="eastAsia" w:ascii="宋体" w:hAnsi="宋体" w:cs="宋体"/>
          <w:highlight w:val="none"/>
          <w:lang w:bidi="ar"/>
        </w:rPr>
      </w:pPr>
      <w:r>
        <w:rPr>
          <w:rFonts w:hint="eastAsia" w:ascii="宋体" w:hAnsi="宋体" w:cs="宋体"/>
          <w:highlight w:val="none"/>
        </w:rPr>
        <w:t>8.本项目</w:t>
      </w:r>
      <w:r>
        <w:rPr>
          <w:rFonts w:hint="eastAsia" w:ascii="宋体" w:hAnsi="宋体" w:cs="宋体"/>
          <w:color w:val="FF0000"/>
          <w:highlight w:val="none"/>
        </w:rPr>
        <w:t>接受</w:t>
      </w:r>
      <w:r>
        <w:rPr>
          <w:rFonts w:hint="eastAsia" w:ascii="宋体" w:hAnsi="宋体" w:cs="宋体"/>
          <w:highlight w:val="none"/>
        </w:rPr>
        <w:t>项目分包</w:t>
      </w:r>
      <w:r>
        <w:rPr>
          <w:rFonts w:hint="eastAsia" w:ascii="宋体" w:hAnsi="宋体" w:cs="宋体"/>
          <w:highlight w:val="none"/>
          <w:lang w:eastAsia="zh-CN"/>
        </w:rPr>
        <w:t>，</w:t>
      </w:r>
      <w:r>
        <w:rPr>
          <w:rFonts w:hint="eastAsia" w:ascii="宋体" w:hAnsi="宋体" w:cs="宋体"/>
          <w:highlight w:val="none"/>
          <w:lang w:bidi="ar"/>
        </w:rPr>
        <w:t>投标供应商</w:t>
      </w:r>
      <w:r>
        <w:rPr>
          <w:rFonts w:hint="eastAsia" w:ascii="宋体" w:hAnsi="宋体" w:cs="宋体"/>
          <w:color w:val="FF0000"/>
          <w:highlight w:val="none"/>
          <w:lang w:val="en-US" w:eastAsia="zh-CN" w:bidi="ar"/>
        </w:rPr>
        <w:t>须</w:t>
      </w:r>
      <w:r>
        <w:rPr>
          <w:rFonts w:hint="eastAsia" w:ascii="宋体" w:hAnsi="宋体" w:cs="宋体"/>
          <w:highlight w:val="none"/>
          <w:lang w:bidi="ar"/>
        </w:rPr>
        <w:t>将预算金额的120万元分包给具有相应资质的中小企业执行，其中的72万分包给小微企业执行</w:t>
      </w:r>
      <w:r>
        <w:rPr>
          <w:rFonts w:hint="eastAsia" w:ascii="宋体" w:hAnsi="宋体" w:cs="宋体"/>
          <w:highlight w:val="none"/>
          <w:lang w:eastAsia="zh-CN" w:bidi="ar"/>
        </w:rPr>
        <w:t>；</w:t>
      </w:r>
      <w:r>
        <w:rPr>
          <w:rFonts w:hint="eastAsia" w:ascii="宋体" w:hAnsi="宋体" w:cs="宋体"/>
          <w:highlight w:val="none"/>
          <w:lang w:bidi="ar"/>
        </w:rPr>
        <w:t>或承接该项目的供应商本身即为小微企业则无须分包。</w:t>
      </w:r>
    </w:p>
    <w:p>
      <w:pPr>
        <w:tabs>
          <w:tab w:val="left" w:pos="900"/>
        </w:tabs>
        <w:ind w:firstLine="422" w:firstLineChars="200"/>
        <w:rPr>
          <w:rFonts w:ascii="宋体" w:hAnsi="宋体" w:cs="宋体"/>
          <w:b/>
          <w:bCs/>
          <w:highlight w:val="none"/>
        </w:rPr>
      </w:pPr>
      <w:bookmarkStart w:id="23" w:name="_Toc28359003"/>
      <w:bookmarkStart w:id="24" w:name="_Toc35393791"/>
      <w:bookmarkStart w:id="25" w:name="_Toc35393622"/>
      <w:bookmarkStart w:id="26" w:name="_Toc28359080"/>
      <w:r>
        <w:rPr>
          <w:rFonts w:hint="eastAsia" w:ascii="宋体" w:hAnsi="宋体" w:cs="宋体"/>
          <w:b/>
          <w:bCs/>
          <w:highlight w:val="none"/>
        </w:rPr>
        <w:t>二、合格投标供应商资格要求：</w:t>
      </w:r>
      <w:bookmarkEnd w:id="23"/>
      <w:bookmarkEnd w:id="24"/>
      <w:bookmarkEnd w:id="25"/>
      <w:bookmarkEnd w:id="26"/>
    </w:p>
    <w:p>
      <w:pPr>
        <w:tabs>
          <w:tab w:val="left" w:pos="900"/>
        </w:tabs>
        <w:ind w:firstLine="420" w:firstLineChars="200"/>
        <w:rPr>
          <w:rFonts w:ascii="宋体" w:hAnsi="宋体" w:cs="宋体"/>
          <w:highlight w:val="none"/>
        </w:rPr>
      </w:pPr>
      <w:r>
        <w:rPr>
          <w:rFonts w:hint="eastAsia" w:ascii="宋体" w:hAnsi="宋体" w:cs="宋体"/>
          <w:highlight w:val="none"/>
        </w:rPr>
        <w:t>1.满足《中华人民共和国政府采购法》第二十二条规定；</w:t>
      </w:r>
    </w:p>
    <w:p>
      <w:pPr>
        <w:tabs>
          <w:tab w:val="left" w:pos="900"/>
        </w:tabs>
        <w:ind w:firstLine="420" w:firstLineChars="200"/>
        <w:rPr>
          <w:rFonts w:ascii="宋体" w:hAnsi="宋体" w:cs="宋体"/>
          <w:highlight w:val="none"/>
        </w:rPr>
      </w:pPr>
      <w:r>
        <w:rPr>
          <w:rFonts w:hint="eastAsia" w:ascii="宋体" w:hAnsi="宋体" w:cs="宋体"/>
          <w:highlight w:val="none"/>
        </w:rPr>
        <w:t>（1）</w:t>
      </w:r>
      <w:r>
        <w:rPr>
          <w:rFonts w:ascii="宋体" w:hAnsi="宋体"/>
          <w:highlight w:val="none"/>
        </w:rPr>
        <w:t>具有独立承担民事责任的能力：</w:t>
      </w:r>
      <w:r>
        <w:rPr>
          <w:rFonts w:hint="eastAsia" w:ascii="宋体" w:hAnsi="宋体" w:cs="宋体"/>
          <w:highlight w:val="none"/>
        </w:rPr>
        <w:t>在中华人民共和国境内注册的法人或其他组织或自然人， 投标（响应）时提交有效的营业执照（或事业法人登记证或身份证等相关证明）复印件。</w:t>
      </w:r>
      <w:r>
        <w:rPr>
          <w:rFonts w:hint="eastAsia" w:ascii="宋体" w:hAnsi="宋体"/>
          <w:highlight w:val="none"/>
        </w:rPr>
        <w:t>分支机构投标的（仅限银行、保险、石油石化、电力、电信 、邮政、铁路等特殊行业），须提供总公司和分公司营业执照扫描件，总公司出具给分支机构的授权书</w:t>
      </w:r>
    </w:p>
    <w:p>
      <w:pPr>
        <w:ind w:firstLine="420" w:firstLineChars="200"/>
        <w:rPr>
          <w:rFonts w:ascii="宋体" w:hAnsi="宋体" w:cs="宋体"/>
          <w:kern w:val="0"/>
          <w:highlight w:val="none"/>
        </w:rPr>
      </w:pPr>
      <w:r>
        <w:rPr>
          <w:rFonts w:hint="eastAsia" w:ascii="宋体" w:hAnsi="宋体" w:cs="宋体"/>
          <w:kern w:val="0"/>
          <w:highlight w:val="none"/>
        </w:rPr>
        <w:t>（2）参与本项目投标前三年内，在经营活动中没有重大违法记录（由供应商在《政府采购投标及履约承诺函》中作出声明）；</w:t>
      </w:r>
    </w:p>
    <w:p>
      <w:pPr>
        <w:ind w:firstLine="420" w:firstLineChars="200"/>
        <w:rPr>
          <w:rFonts w:ascii="宋体" w:hAnsi="宋体" w:cs="宋体"/>
          <w:kern w:val="0"/>
          <w:highlight w:val="none"/>
        </w:rPr>
      </w:pPr>
      <w:r>
        <w:rPr>
          <w:rFonts w:hint="eastAsia" w:ascii="宋体" w:hAnsi="宋体" w:cs="宋体"/>
          <w:kern w:val="0"/>
          <w:highlight w:val="none"/>
        </w:rPr>
        <w:t>（3）参与本项目政府采购活动时不存在被有关部门禁止参与政府采购活动且在有效期内的情况（由供应商在《政府采购投标及履约承诺函》中作出声明）；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kern w:val="0"/>
          <w:highlight w:val="none"/>
        </w:rPr>
      </w:pPr>
      <w:r>
        <w:rPr>
          <w:rFonts w:hint="eastAsia" w:ascii="宋体" w:hAnsi="宋体" w:cs="宋体"/>
          <w:kern w:val="0"/>
          <w:highlight w:val="none"/>
        </w:rPr>
        <w:t>（4）</w:t>
      </w:r>
      <w:r>
        <w:rPr>
          <w:rFonts w:hint="eastAsia" w:ascii="宋体" w:hAnsi="宋体" w:cs="宋体"/>
          <w:highlight w:val="none"/>
        </w:rPr>
        <w:t>未被“信用中国”网站（http://www.creditchina.gov.cn）、中国政府采购网(http://www.ccgp.gov.cn)、国家企业信用信息公示系统(</w:t>
      </w:r>
      <w:r>
        <w:rPr>
          <w:highlight w:val="none"/>
        </w:rPr>
        <w:fldChar w:fldCharType="begin"/>
      </w:r>
      <w:r>
        <w:rPr>
          <w:highlight w:val="none"/>
        </w:rPr>
        <w:instrText xml:space="preserve"> HYPERLINK "http://www/" \t "_blank" </w:instrText>
      </w:r>
      <w:r>
        <w:rPr>
          <w:highlight w:val="none"/>
        </w:rPr>
        <w:fldChar w:fldCharType="separate"/>
      </w:r>
      <w:r>
        <w:rPr>
          <w:rFonts w:hint="eastAsia" w:ascii="宋体" w:hAnsi="宋体" w:cs="宋体"/>
          <w:highlight w:val="none"/>
        </w:rPr>
        <w:t>http://www</w:t>
      </w:r>
      <w:r>
        <w:rPr>
          <w:rFonts w:hint="eastAsia" w:ascii="宋体" w:hAnsi="宋体" w:cs="宋体"/>
          <w:highlight w:val="none"/>
        </w:rPr>
        <w:fldChar w:fldCharType="end"/>
      </w:r>
      <w:r>
        <w:rPr>
          <w:rFonts w:hint="eastAsia" w:ascii="宋体" w:hAnsi="宋体" w:cs="宋体"/>
          <w:highlight w:val="none"/>
        </w:rPr>
        <w:t>.gsxt.gov.cn)列</w:t>
      </w:r>
      <w:r>
        <w:rPr>
          <w:rFonts w:hint="eastAsia" w:ascii="宋体" w:hAnsi="宋体" w:cs="宋体"/>
          <w:kern w:val="0"/>
          <w:highlight w:val="none"/>
        </w:rPr>
        <w:t>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highlight w:val="none"/>
        </w:rPr>
      </w:pPr>
      <w:r>
        <w:rPr>
          <w:rFonts w:hint="eastAsia" w:ascii="宋体" w:hAnsi="宋体" w:cs="宋体"/>
          <w:kern w:val="0"/>
          <w:highlight w:val="none"/>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tabs>
          <w:tab w:val="left" w:pos="900"/>
        </w:tabs>
        <w:ind w:firstLine="420" w:firstLineChars="200"/>
        <w:rPr>
          <w:rFonts w:hint="eastAsia" w:ascii="宋体" w:hAnsi="宋体"/>
          <w:highlight w:val="none"/>
        </w:rPr>
      </w:pPr>
      <w:r>
        <w:rPr>
          <w:rFonts w:hint="eastAsia" w:ascii="宋体" w:hAnsi="宋体" w:cs="宋体"/>
          <w:highlight w:val="none"/>
        </w:rPr>
        <w:t>2.落实政府采购政策需满足的资格要求：</w:t>
      </w:r>
      <w:r>
        <w:rPr>
          <w:rFonts w:hint="eastAsia" w:ascii="宋体" w:hAnsi="宋体" w:cs="宋体"/>
          <w:highlight w:val="none"/>
          <w:lang w:bidi="ar"/>
        </w:rPr>
        <w:t>本项目</w:t>
      </w:r>
      <w:r>
        <w:rPr>
          <w:rFonts w:hint="eastAsia" w:ascii="宋体" w:hAnsi="宋体" w:cs="宋体"/>
          <w:color w:val="FF0000"/>
          <w:highlight w:val="none"/>
          <w:lang w:bidi="ar"/>
        </w:rPr>
        <w:t>部分面向中小企业</w:t>
      </w:r>
      <w:r>
        <w:rPr>
          <w:rFonts w:hint="eastAsia" w:ascii="宋体" w:hAnsi="宋体" w:cs="宋体"/>
          <w:highlight w:val="none"/>
          <w:lang w:bidi="ar"/>
        </w:rPr>
        <w:t>，</w:t>
      </w:r>
      <w:r>
        <w:rPr>
          <w:rFonts w:hint="eastAsia" w:ascii="宋体" w:hAnsi="宋体"/>
          <w:highlight w:val="none"/>
        </w:rPr>
        <w:t>投标供应商</w:t>
      </w:r>
      <w:r>
        <w:rPr>
          <w:rFonts w:hint="eastAsia" w:ascii="宋体" w:hAnsi="宋体"/>
          <w:highlight w:val="none"/>
          <w:lang w:val="en-US" w:eastAsia="zh-CN"/>
        </w:rPr>
        <w:t>须</w:t>
      </w:r>
      <w:r>
        <w:rPr>
          <w:rFonts w:hint="eastAsia" w:ascii="宋体" w:hAnsi="宋体"/>
          <w:highlight w:val="none"/>
        </w:rPr>
        <w:t>将预算金额的120万元分包给具有相应资质的中小企业执行，其中的72万分包给小微企业执行，或承接该项目的供应商本身即为小微企业则无须分包。</w:t>
      </w:r>
    </w:p>
    <w:p>
      <w:pPr>
        <w:tabs>
          <w:tab w:val="left" w:pos="900"/>
        </w:tabs>
        <w:ind w:firstLine="420" w:firstLineChars="200"/>
        <w:rPr>
          <w:rFonts w:ascii="宋体" w:hAnsi="宋体" w:cs="宋体"/>
          <w:highlight w:val="none"/>
        </w:rPr>
      </w:pPr>
      <w:r>
        <w:rPr>
          <w:rFonts w:hint="eastAsia" w:ascii="宋体" w:hAnsi="宋体" w:cs="宋体"/>
          <w:highlight w:val="none"/>
        </w:rPr>
        <w:t>本项目采购标的对应的中小企业划分标准所属行业为</w:t>
      </w:r>
      <w:r>
        <w:rPr>
          <w:rFonts w:hint="eastAsia" w:ascii="宋体" w:hAnsi="宋体" w:cs="宋体"/>
          <w:color w:val="FF0000"/>
          <w:highlight w:val="none"/>
        </w:rPr>
        <w:t>“软件和信息技术服务业”</w:t>
      </w:r>
      <w:r>
        <w:rPr>
          <w:rFonts w:hint="eastAsia" w:ascii="宋体" w:hAnsi="宋体" w:cs="宋体"/>
          <w:highlight w:val="none"/>
        </w:rPr>
        <w:t>。行业划分标准按《国民经济行业分类》执行。中小企业划分标准按《中小企业划型标准规定》（工信部联企业[2011]300号）文件规定执行。</w:t>
      </w:r>
    </w:p>
    <w:p>
      <w:pPr>
        <w:pStyle w:val="13"/>
        <w:ind w:left="197" w:leftChars="47" w:hanging="98" w:hangingChars="47"/>
        <w:rPr>
          <w:rFonts w:ascii="宋体" w:hAnsi="宋体" w:cs="宋体"/>
          <w:color w:val="FF0000"/>
          <w:highlight w:val="none"/>
        </w:rPr>
      </w:pPr>
      <w:r>
        <w:rPr>
          <w:rFonts w:hint="eastAsia" w:ascii="宋体" w:hAnsi="宋体" w:cs="宋体"/>
          <w:highlight w:val="none"/>
        </w:rPr>
        <w:t>3.本项目的特定资格要求：</w:t>
      </w:r>
      <w:r>
        <w:rPr>
          <w:rFonts w:hint="eastAsia" w:ascii="宋体" w:hAnsi="宋体" w:cs="宋体"/>
          <w:color w:val="FF0000"/>
          <w:highlight w:val="none"/>
        </w:rPr>
        <w:t>无。</w:t>
      </w:r>
    </w:p>
    <w:p>
      <w:pPr>
        <w:tabs>
          <w:tab w:val="left" w:pos="900"/>
        </w:tabs>
        <w:ind w:firstLine="422" w:firstLineChars="200"/>
        <w:rPr>
          <w:rFonts w:ascii="宋体" w:hAnsi="宋体" w:cs="宋体"/>
          <w:b/>
          <w:bCs/>
          <w:highlight w:val="none"/>
        </w:rPr>
      </w:pPr>
      <w:r>
        <w:rPr>
          <w:rFonts w:hint="eastAsia" w:ascii="宋体" w:hAnsi="宋体" w:cs="宋体"/>
          <w:b/>
          <w:bCs/>
          <w:highlight w:val="none"/>
        </w:rPr>
        <w:t>三、获取</w:t>
      </w:r>
      <w:bookmarkEnd w:id="16"/>
      <w:bookmarkEnd w:id="17"/>
      <w:bookmarkEnd w:id="18"/>
      <w:bookmarkEnd w:id="19"/>
      <w:r>
        <w:rPr>
          <w:rFonts w:hint="eastAsia" w:ascii="宋体" w:hAnsi="宋体" w:cs="宋体"/>
          <w:b/>
          <w:bCs/>
          <w:highlight w:val="none"/>
        </w:rPr>
        <w:t>招标文件时间及方式</w:t>
      </w:r>
    </w:p>
    <w:p>
      <w:pPr>
        <w:tabs>
          <w:tab w:val="left" w:pos="900"/>
        </w:tabs>
        <w:ind w:firstLine="420" w:firstLineChars="200"/>
        <w:rPr>
          <w:rFonts w:ascii="宋体" w:hAnsi="宋体" w:cs="宋体"/>
          <w:highlight w:val="none"/>
        </w:rPr>
      </w:pPr>
      <w:r>
        <w:rPr>
          <w:rFonts w:hint="eastAsia" w:ascii="宋体" w:hAnsi="宋体" w:cs="宋体"/>
          <w:highlight w:val="none"/>
        </w:rPr>
        <w:t>时间：</w:t>
      </w:r>
      <w:r>
        <w:rPr>
          <w:rFonts w:hint="eastAsia" w:ascii="宋体" w:hAnsi="宋体" w:cs="宋体"/>
          <w:color w:val="FF0000"/>
          <w:highlight w:val="none"/>
        </w:rPr>
        <w:t>2025年05月1</w:t>
      </w:r>
      <w:r>
        <w:rPr>
          <w:rFonts w:hint="eastAsia" w:ascii="宋体" w:hAnsi="宋体" w:cs="宋体"/>
          <w:color w:val="FF0000"/>
          <w:highlight w:val="none"/>
          <w:lang w:val="en-US" w:eastAsia="zh-CN"/>
        </w:rPr>
        <w:t>5</w:t>
      </w:r>
      <w:r>
        <w:rPr>
          <w:rFonts w:hint="eastAsia" w:ascii="宋体" w:hAnsi="宋体" w:cs="宋体"/>
          <w:color w:val="FF0000"/>
          <w:highlight w:val="none"/>
        </w:rPr>
        <w:t>日至2025年05月</w:t>
      </w:r>
      <w:r>
        <w:rPr>
          <w:rFonts w:hint="eastAsia" w:ascii="宋体" w:hAnsi="宋体" w:cs="宋体"/>
          <w:color w:val="FF0000"/>
          <w:highlight w:val="none"/>
          <w:lang w:val="en-US" w:eastAsia="zh-CN"/>
        </w:rPr>
        <w:t>22</w:t>
      </w:r>
      <w:r>
        <w:rPr>
          <w:rFonts w:hint="eastAsia" w:ascii="宋体" w:hAnsi="宋体" w:cs="宋体"/>
          <w:color w:val="FF0000"/>
          <w:highlight w:val="none"/>
        </w:rPr>
        <w:t>日，</w:t>
      </w:r>
      <w:r>
        <w:rPr>
          <w:rFonts w:hint="eastAsia" w:ascii="宋体" w:hAnsi="宋体" w:cs="宋体"/>
          <w:highlight w:val="none"/>
        </w:rPr>
        <w:t>每天上午</w:t>
      </w:r>
      <w:r>
        <w:rPr>
          <w:rFonts w:hint="eastAsia" w:ascii="宋体" w:hAnsi="宋体" w:cs="宋体"/>
          <w:color w:val="FF0000"/>
          <w:highlight w:val="none"/>
        </w:rPr>
        <w:t>00:00</w:t>
      </w:r>
      <w:r>
        <w:rPr>
          <w:rFonts w:hint="eastAsia" w:ascii="宋体" w:hAnsi="宋体" w:cs="宋体"/>
          <w:highlight w:val="none"/>
        </w:rPr>
        <w:t>至</w:t>
      </w:r>
      <w:r>
        <w:rPr>
          <w:rFonts w:hint="eastAsia" w:ascii="宋体" w:hAnsi="宋体" w:cs="宋体"/>
          <w:color w:val="FF0000"/>
          <w:highlight w:val="none"/>
        </w:rPr>
        <w:t>1</w:t>
      </w:r>
      <w:r>
        <w:rPr>
          <w:rFonts w:hint="eastAsia" w:ascii="宋体" w:hAnsi="宋体" w:cs="宋体"/>
          <w:color w:val="FF0000"/>
          <w:highlight w:val="none"/>
          <w:lang w:val="en-US" w:eastAsia="zh-CN"/>
        </w:rPr>
        <w:t>4</w:t>
      </w:r>
      <w:r>
        <w:rPr>
          <w:rFonts w:hint="eastAsia" w:ascii="宋体" w:hAnsi="宋体" w:cs="宋体"/>
          <w:color w:val="FF0000"/>
          <w:highlight w:val="none"/>
        </w:rPr>
        <w:t>:00</w:t>
      </w:r>
      <w:r>
        <w:rPr>
          <w:rFonts w:hint="eastAsia" w:ascii="宋体" w:hAnsi="宋体" w:cs="宋体"/>
          <w:highlight w:val="none"/>
        </w:rPr>
        <w:t>，下午</w:t>
      </w:r>
      <w:r>
        <w:rPr>
          <w:rFonts w:hint="eastAsia" w:ascii="宋体" w:hAnsi="宋体" w:cs="宋体"/>
          <w:color w:val="FF0000"/>
          <w:highlight w:val="none"/>
        </w:rPr>
        <w:t>1</w:t>
      </w:r>
      <w:r>
        <w:rPr>
          <w:rFonts w:hint="eastAsia" w:ascii="宋体" w:hAnsi="宋体" w:cs="宋体"/>
          <w:color w:val="FF0000"/>
          <w:highlight w:val="none"/>
          <w:lang w:val="en-US" w:eastAsia="zh-CN"/>
        </w:rPr>
        <w:t>4</w:t>
      </w:r>
      <w:r>
        <w:rPr>
          <w:rFonts w:hint="eastAsia" w:ascii="宋体" w:hAnsi="宋体" w:cs="宋体"/>
          <w:color w:val="FF0000"/>
          <w:highlight w:val="none"/>
        </w:rPr>
        <w:t>：00</w:t>
      </w:r>
      <w:r>
        <w:rPr>
          <w:rFonts w:hint="eastAsia" w:ascii="宋体" w:hAnsi="宋体" w:cs="宋体"/>
          <w:highlight w:val="none"/>
        </w:rPr>
        <w:t>至</w:t>
      </w:r>
      <w:r>
        <w:rPr>
          <w:rFonts w:hint="eastAsia" w:ascii="宋体" w:hAnsi="宋体" w:cs="宋体"/>
          <w:color w:val="FF0000"/>
          <w:highlight w:val="none"/>
        </w:rPr>
        <w:t>23：59</w:t>
      </w:r>
      <w:r>
        <w:rPr>
          <w:rFonts w:hint="eastAsia" w:ascii="宋体" w:hAnsi="宋体" w:cs="宋体"/>
          <w:highlight w:val="none"/>
        </w:rPr>
        <w:t>（提供期限自本公告发布之日起不得少于5个工作日，北京时间，法定节假日除外）</w:t>
      </w:r>
    </w:p>
    <w:p>
      <w:pPr>
        <w:tabs>
          <w:tab w:val="left" w:pos="900"/>
        </w:tabs>
        <w:ind w:firstLine="420" w:firstLineChars="200"/>
        <w:rPr>
          <w:rFonts w:ascii="宋体" w:hAnsi="宋体" w:cs="宋体"/>
          <w:highlight w:val="none"/>
        </w:rPr>
      </w:pPr>
      <w:r>
        <w:rPr>
          <w:rFonts w:hint="eastAsia" w:ascii="宋体" w:hAnsi="宋体" w:cs="宋体"/>
          <w:highlight w:val="none"/>
        </w:rPr>
        <w:t>地点：</w:t>
      </w:r>
      <w:r>
        <w:rPr>
          <w:rFonts w:hint="eastAsia" w:ascii="宋体" w:hAnsi="宋体" w:cs="宋体"/>
          <w:color w:val="FF0000"/>
          <w:highlight w:val="none"/>
        </w:rPr>
        <w:t>新疆政采云平台</w:t>
      </w:r>
    </w:p>
    <w:p>
      <w:pPr>
        <w:tabs>
          <w:tab w:val="left" w:pos="900"/>
        </w:tabs>
        <w:ind w:firstLine="420" w:firstLineChars="200"/>
        <w:rPr>
          <w:rFonts w:ascii="宋体" w:hAnsi="宋体" w:cs="宋体"/>
          <w:highlight w:val="none"/>
        </w:rPr>
      </w:pPr>
      <w:r>
        <w:rPr>
          <w:rFonts w:hint="eastAsia" w:ascii="宋体" w:hAnsi="宋体" w:cs="宋体"/>
          <w:highlight w:val="none"/>
        </w:rPr>
        <w:t>方式：供应商登陆政采云平台http://www.zcygov.cn/，在线申请获取采购文件（登录政府采购云平台 → 项目采购 → 获取采购文件 → 申请，审核通过后可下载招标文件，如有操作性问题，可与政采云在线客服进行咨询，咨询电话：95763）</w:t>
      </w:r>
    </w:p>
    <w:p>
      <w:pPr>
        <w:tabs>
          <w:tab w:val="left" w:pos="900"/>
        </w:tabs>
        <w:ind w:firstLine="420" w:firstLineChars="200"/>
        <w:rPr>
          <w:rFonts w:ascii="宋体" w:hAnsi="宋体" w:cs="宋体"/>
          <w:highlight w:val="none"/>
        </w:rPr>
      </w:pPr>
      <w:r>
        <w:rPr>
          <w:rFonts w:hint="eastAsia" w:ascii="宋体" w:hAnsi="宋体" w:cs="宋体"/>
          <w:highlight w:val="none"/>
        </w:rPr>
        <w:t>售价：0元</w:t>
      </w:r>
    </w:p>
    <w:p>
      <w:pPr>
        <w:tabs>
          <w:tab w:val="left" w:pos="900"/>
        </w:tabs>
        <w:ind w:firstLine="422" w:firstLineChars="200"/>
        <w:rPr>
          <w:rFonts w:ascii="宋体" w:hAnsi="宋体" w:cs="宋体"/>
          <w:b/>
          <w:bCs/>
          <w:highlight w:val="none"/>
        </w:rPr>
      </w:pPr>
      <w:bookmarkStart w:id="27" w:name="_Toc28359082"/>
      <w:bookmarkStart w:id="28" w:name="_Toc28359005"/>
      <w:bookmarkStart w:id="29" w:name="_Toc35393793"/>
      <w:bookmarkStart w:id="30" w:name="_Toc35393624"/>
      <w:r>
        <w:rPr>
          <w:rFonts w:hint="eastAsia" w:ascii="宋体" w:hAnsi="宋体" w:cs="宋体"/>
          <w:b/>
          <w:bCs/>
          <w:highlight w:val="none"/>
        </w:rPr>
        <w:t>四、提交投标文件</w:t>
      </w:r>
      <w:bookmarkEnd w:id="27"/>
      <w:bookmarkEnd w:id="28"/>
      <w:r>
        <w:rPr>
          <w:rFonts w:hint="eastAsia" w:ascii="宋体" w:hAnsi="宋体" w:cs="宋体"/>
          <w:b/>
          <w:bCs/>
          <w:highlight w:val="none"/>
        </w:rPr>
        <w:t>截止时间、开标时间和地点</w:t>
      </w:r>
      <w:bookmarkEnd w:id="29"/>
      <w:bookmarkEnd w:id="30"/>
    </w:p>
    <w:p>
      <w:pPr>
        <w:tabs>
          <w:tab w:val="left" w:pos="900"/>
        </w:tabs>
        <w:ind w:firstLine="420" w:firstLineChars="200"/>
        <w:rPr>
          <w:rFonts w:ascii="宋体" w:hAnsi="宋体" w:cs="宋体"/>
          <w:highlight w:val="none"/>
        </w:rPr>
      </w:pPr>
      <w:r>
        <w:rPr>
          <w:rFonts w:hint="eastAsia" w:ascii="宋体" w:hAnsi="宋体" w:cs="宋体"/>
          <w:highlight w:val="none"/>
        </w:rPr>
        <w:t>提交投标文件截止时间：</w:t>
      </w:r>
      <w:r>
        <w:rPr>
          <w:rFonts w:hint="eastAsia" w:ascii="宋体" w:hAnsi="宋体" w:cs="宋体"/>
          <w:color w:val="FF0000"/>
          <w:highlight w:val="none"/>
        </w:rPr>
        <w:t>2025年06月</w:t>
      </w:r>
      <w:r>
        <w:rPr>
          <w:rFonts w:hint="eastAsia" w:ascii="宋体" w:hAnsi="宋体" w:cs="宋体"/>
          <w:color w:val="FF0000"/>
          <w:highlight w:val="none"/>
          <w:lang w:val="en-US" w:eastAsia="zh-CN"/>
        </w:rPr>
        <w:t>05</w:t>
      </w:r>
      <w:r>
        <w:rPr>
          <w:rFonts w:hint="eastAsia" w:ascii="宋体" w:hAnsi="宋体" w:cs="宋体"/>
          <w:color w:val="FF0000"/>
          <w:highlight w:val="none"/>
        </w:rPr>
        <w:t>日 10:30</w:t>
      </w:r>
      <w:r>
        <w:rPr>
          <w:rFonts w:hint="eastAsia" w:ascii="宋体" w:hAnsi="宋体" w:cs="宋体"/>
          <w:highlight w:val="none"/>
        </w:rPr>
        <w:t>（北京时间）（自招标文件开始发出之日起至投标人提交投标文件截止之日止，不得少于10日）</w:t>
      </w:r>
    </w:p>
    <w:p>
      <w:pPr>
        <w:tabs>
          <w:tab w:val="left" w:pos="900"/>
        </w:tabs>
        <w:ind w:firstLine="420" w:firstLineChars="200"/>
        <w:rPr>
          <w:rFonts w:ascii="宋体" w:hAnsi="宋体" w:cs="宋体"/>
          <w:highlight w:val="none"/>
        </w:rPr>
      </w:pPr>
      <w:r>
        <w:rPr>
          <w:rFonts w:hint="eastAsia" w:ascii="宋体" w:hAnsi="宋体" w:cs="宋体"/>
          <w:highlight w:val="none"/>
        </w:rPr>
        <w:t>投标地点：政采云平台客户端投标</w:t>
      </w:r>
    </w:p>
    <w:p>
      <w:pPr>
        <w:tabs>
          <w:tab w:val="left" w:pos="900"/>
        </w:tabs>
        <w:ind w:firstLine="420" w:firstLineChars="200"/>
        <w:rPr>
          <w:rFonts w:ascii="宋体" w:hAnsi="宋体" w:cs="宋体"/>
          <w:highlight w:val="none"/>
        </w:rPr>
      </w:pPr>
      <w:r>
        <w:rPr>
          <w:rFonts w:hint="eastAsia" w:ascii="宋体" w:hAnsi="宋体" w:cs="宋体"/>
          <w:highlight w:val="none"/>
        </w:rPr>
        <w:t>开标时间：</w:t>
      </w:r>
      <w:r>
        <w:rPr>
          <w:rFonts w:hint="eastAsia" w:ascii="宋体" w:hAnsi="宋体" w:cs="宋体"/>
          <w:color w:val="FF0000"/>
          <w:highlight w:val="none"/>
        </w:rPr>
        <w:t>2025年</w:t>
      </w:r>
      <w:r>
        <w:rPr>
          <w:rFonts w:hint="eastAsia" w:ascii="宋体" w:hAnsi="宋体" w:cs="宋体"/>
          <w:color w:val="FF0000"/>
          <w:highlight w:val="none"/>
          <w:lang w:eastAsia="zh-CN"/>
        </w:rPr>
        <w:t>06月05日</w:t>
      </w:r>
      <w:r>
        <w:rPr>
          <w:rFonts w:hint="eastAsia" w:ascii="宋体" w:hAnsi="宋体" w:cs="宋体"/>
          <w:color w:val="FF0000"/>
          <w:highlight w:val="none"/>
        </w:rPr>
        <w:t xml:space="preserve"> 10:30</w:t>
      </w:r>
      <w:r>
        <w:rPr>
          <w:rFonts w:hint="eastAsia" w:ascii="宋体" w:hAnsi="宋体" w:cs="宋体"/>
          <w:highlight w:val="none"/>
        </w:rPr>
        <w:t>（北京时间）</w:t>
      </w:r>
    </w:p>
    <w:p>
      <w:pPr>
        <w:tabs>
          <w:tab w:val="left" w:pos="900"/>
        </w:tabs>
        <w:ind w:firstLine="420" w:firstLineChars="200"/>
        <w:rPr>
          <w:rFonts w:ascii="宋体" w:hAnsi="宋体" w:cs="宋体"/>
          <w:color w:val="FF0000"/>
          <w:highlight w:val="none"/>
        </w:rPr>
      </w:pPr>
      <w:r>
        <w:rPr>
          <w:rFonts w:hint="eastAsia" w:ascii="宋体" w:hAnsi="宋体" w:cs="宋体"/>
          <w:highlight w:val="none"/>
        </w:rPr>
        <w:t>开标地点：</w:t>
      </w:r>
      <w:r>
        <w:rPr>
          <w:rFonts w:hint="eastAsia" w:ascii="宋体" w:hAnsi="宋体" w:cs="宋体"/>
          <w:color w:val="FF0000"/>
          <w:highlight w:val="none"/>
        </w:rPr>
        <w:t>政采云电子开标大厅</w:t>
      </w:r>
    </w:p>
    <w:p>
      <w:pPr>
        <w:tabs>
          <w:tab w:val="left" w:pos="900"/>
        </w:tabs>
        <w:ind w:firstLine="422" w:firstLineChars="200"/>
        <w:rPr>
          <w:rFonts w:ascii="宋体" w:hAnsi="宋体" w:cs="宋体"/>
          <w:b/>
          <w:bCs/>
          <w:highlight w:val="none"/>
        </w:rPr>
      </w:pPr>
      <w:bookmarkStart w:id="31" w:name="_Toc35393794"/>
      <w:bookmarkStart w:id="32" w:name="_Toc28359084"/>
      <w:bookmarkStart w:id="33" w:name="_Toc35393625"/>
      <w:bookmarkStart w:id="34" w:name="_Toc28359007"/>
      <w:r>
        <w:rPr>
          <w:rFonts w:hint="eastAsia" w:ascii="宋体" w:hAnsi="宋体" w:cs="宋体"/>
          <w:b/>
          <w:bCs/>
          <w:highlight w:val="none"/>
        </w:rPr>
        <w:t>五、公告期限</w:t>
      </w:r>
      <w:bookmarkEnd w:id="31"/>
      <w:bookmarkEnd w:id="32"/>
      <w:bookmarkEnd w:id="33"/>
      <w:bookmarkEnd w:id="34"/>
    </w:p>
    <w:p>
      <w:pPr>
        <w:tabs>
          <w:tab w:val="left" w:pos="900"/>
        </w:tabs>
        <w:ind w:firstLine="420" w:firstLineChars="200"/>
        <w:rPr>
          <w:rFonts w:ascii="宋体" w:hAnsi="宋体" w:cs="宋体"/>
          <w:highlight w:val="none"/>
        </w:rPr>
      </w:pPr>
      <w:r>
        <w:rPr>
          <w:rFonts w:hint="eastAsia" w:ascii="宋体" w:hAnsi="宋体" w:cs="宋体"/>
          <w:highlight w:val="none"/>
        </w:rPr>
        <w:t>自本公告发布之日起</w:t>
      </w:r>
      <w:r>
        <w:rPr>
          <w:rFonts w:hint="eastAsia" w:ascii="宋体" w:hAnsi="宋体" w:cs="宋体"/>
          <w:color w:val="FF0000"/>
          <w:highlight w:val="none"/>
          <w:u w:val="single"/>
        </w:rPr>
        <w:t xml:space="preserve"> 5个</w:t>
      </w:r>
      <w:r>
        <w:rPr>
          <w:rFonts w:hint="eastAsia" w:ascii="宋体" w:hAnsi="宋体" w:cs="宋体"/>
          <w:highlight w:val="none"/>
        </w:rPr>
        <w:t>工作日</w:t>
      </w:r>
      <w:bookmarkStart w:id="35" w:name="_Toc35393626"/>
      <w:bookmarkStart w:id="36" w:name="_Toc35393795"/>
    </w:p>
    <w:p>
      <w:pPr>
        <w:tabs>
          <w:tab w:val="left" w:pos="900"/>
        </w:tabs>
        <w:ind w:firstLine="422" w:firstLineChars="200"/>
        <w:rPr>
          <w:rFonts w:ascii="宋体" w:hAnsi="宋体" w:cs="宋体"/>
          <w:b/>
          <w:bCs/>
          <w:highlight w:val="none"/>
        </w:rPr>
      </w:pPr>
      <w:r>
        <w:rPr>
          <w:rFonts w:hint="eastAsia" w:ascii="宋体" w:hAnsi="宋体" w:cs="宋体"/>
          <w:b/>
          <w:bCs/>
          <w:highlight w:val="none"/>
        </w:rPr>
        <w:t>六、其他补充事宜</w:t>
      </w:r>
      <w:bookmarkEnd w:id="35"/>
      <w:bookmarkEnd w:id="36"/>
    </w:p>
    <w:p>
      <w:pPr>
        <w:tabs>
          <w:tab w:val="left" w:pos="900"/>
        </w:tabs>
        <w:ind w:firstLine="420" w:firstLineChars="200"/>
        <w:rPr>
          <w:rFonts w:ascii="宋体" w:hAnsi="宋体" w:cs="宋体"/>
          <w:highlight w:val="none"/>
        </w:rPr>
      </w:pPr>
      <w:bookmarkStart w:id="37" w:name="_Toc28359008"/>
      <w:bookmarkStart w:id="38" w:name="_Toc35393796"/>
      <w:bookmarkStart w:id="39" w:name="_Toc28359085"/>
      <w:bookmarkStart w:id="40" w:name="_Toc35393627"/>
      <w:r>
        <w:rPr>
          <w:rFonts w:hint="eastAsia" w:ascii="宋体" w:hAnsi="宋体" w:cs="宋体"/>
          <w:highlight w:val="none"/>
        </w:rPr>
        <w:t>1.本项目实行网上投标，采用投标文件电子标书；</w:t>
      </w:r>
    </w:p>
    <w:p>
      <w:pPr>
        <w:tabs>
          <w:tab w:val="left" w:pos="900"/>
        </w:tabs>
        <w:ind w:firstLine="420" w:firstLineChars="200"/>
        <w:rPr>
          <w:rFonts w:ascii="宋体" w:hAnsi="宋体" w:cs="宋体"/>
          <w:highlight w:val="none"/>
        </w:rPr>
      </w:pPr>
      <w:r>
        <w:rPr>
          <w:rFonts w:hint="eastAsia" w:ascii="宋体" w:hAnsi="宋体" w:cs="宋体"/>
          <w:highlight w:val="none"/>
        </w:rPr>
        <w:t>2.各供应商在开标前应确保成为新疆政府采购网正式注册入库供应商，并完成CA数字证书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pPr>
        <w:tabs>
          <w:tab w:val="left" w:pos="900"/>
        </w:tabs>
        <w:ind w:firstLine="420" w:firstLineChars="200"/>
        <w:rPr>
          <w:rFonts w:ascii="宋体" w:hAnsi="宋体" w:cs="宋体"/>
          <w:highlight w:val="none"/>
        </w:rPr>
      </w:pPr>
      <w:r>
        <w:rPr>
          <w:rFonts w:hint="eastAsia" w:ascii="宋体" w:hAnsi="宋体" w:cs="宋体"/>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tabs>
          <w:tab w:val="left" w:pos="900"/>
        </w:tabs>
        <w:ind w:firstLine="420" w:firstLineChars="200"/>
        <w:rPr>
          <w:rFonts w:ascii="宋体" w:hAnsi="宋体" w:cs="宋体"/>
          <w:highlight w:val="none"/>
        </w:rPr>
      </w:pPr>
      <w:r>
        <w:rPr>
          <w:rFonts w:hint="eastAsia" w:ascii="宋体" w:hAnsi="宋体" w:cs="宋体"/>
          <w:highlight w:val="none"/>
        </w:rPr>
        <w:t>4.供应商应当在投标截止时间前,将生成的“电子加密投标文件”上传递交至“政府采购云平台”,投标截止时间以后上传递交的投标文件将被“政府采购云平台”拒收；</w:t>
      </w:r>
    </w:p>
    <w:p>
      <w:pPr>
        <w:tabs>
          <w:tab w:val="left" w:pos="900"/>
        </w:tabs>
        <w:ind w:firstLine="420" w:firstLineChars="200"/>
        <w:rPr>
          <w:rFonts w:ascii="宋体" w:hAnsi="宋体" w:cs="宋体"/>
          <w:highlight w:val="none"/>
        </w:rPr>
      </w:pPr>
      <w:r>
        <w:rPr>
          <w:rFonts w:hint="eastAsia" w:ascii="宋体" w:hAnsi="宋体" w:cs="宋体"/>
          <w:highlight w:val="none"/>
        </w:rPr>
        <w:t>5.供应商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w:t>
      </w:r>
    </w:p>
    <w:p>
      <w:pPr>
        <w:tabs>
          <w:tab w:val="left" w:pos="900"/>
        </w:tabs>
        <w:ind w:firstLine="420" w:firstLineChars="200"/>
        <w:rPr>
          <w:rFonts w:ascii="宋体" w:hAnsi="宋体" w:cs="宋体"/>
          <w:highlight w:val="none"/>
        </w:rPr>
      </w:pPr>
      <w:r>
        <w:rPr>
          <w:rFonts w:hint="eastAsia" w:ascii="宋体" w:hAnsi="宋体" w:cs="宋体"/>
          <w:highlight w:val="none"/>
        </w:rPr>
        <w:t>6.供应商登录政采云平台，在开标时间后30分钟内用“项目采购-开标评标”功能进行解密投标文件。若供应商在规定时间内未按时解密的，视为无效投标，解密与加密投标文件须使用同一个 CA。</w:t>
      </w:r>
    </w:p>
    <w:p>
      <w:pPr>
        <w:tabs>
          <w:tab w:val="left" w:pos="900"/>
        </w:tabs>
        <w:ind w:firstLine="420" w:firstLineChars="200"/>
        <w:rPr>
          <w:rFonts w:ascii="宋体" w:hAnsi="宋体" w:cs="宋体"/>
          <w:highlight w:val="none"/>
        </w:rPr>
      </w:pPr>
      <w:r>
        <w:rPr>
          <w:rFonts w:hint="eastAsia" w:ascii="宋体" w:hAnsi="宋体" w:cs="宋体"/>
          <w:highlight w:val="none"/>
        </w:rPr>
        <w:t>7.本项目需要系统演示：</w:t>
      </w:r>
    </w:p>
    <w:p>
      <w:pPr>
        <w:tabs>
          <w:tab w:val="left" w:pos="900"/>
        </w:tabs>
        <w:ind w:firstLine="420" w:firstLineChars="200"/>
        <w:rPr>
          <w:rFonts w:ascii="宋体" w:hAnsi="宋体" w:cs="宋体"/>
          <w:highlight w:val="none"/>
        </w:rPr>
      </w:pPr>
      <w:r>
        <w:rPr>
          <w:rFonts w:hint="eastAsia" w:ascii="宋体" w:hAnsi="宋体" w:cs="宋体"/>
          <w:highlight w:val="none"/>
        </w:rPr>
        <w:t>演示要求：系统演示需基于真实运行环境进行操作演示，演示总时长在20分钟以内。系统演示操作：</w:t>
      </w:r>
    </w:p>
    <w:p>
      <w:pPr>
        <w:tabs>
          <w:tab w:val="left" w:pos="900"/>
        </w:tabs>
        <w:ind w:firstLine="420" w:firstLineChars="200"/>
        <w:rPr>
          <w:rFonts w:ascii="宋体" w:hAnsi="宋体" w:cs="宋体"/>
          <w:highlight w:val="none"/>
        </w:rPr>
      </w:pPr>
      <w:r>
        <w:rPr>
          <w:rFonts w:hint="eastAsia" w:ascii="宋体" w:hAnsi="宋体" w:cs="宋体"/>
          <w:highlight w:val="none"/>
        </w:rPr>
        <w:t>演示要求作为评分项，不作为废标条款，投标人可选择是否进行演示，若不演示，则不得分。</w:t>
      </w:r>
    </w:p>
    <w:p>
      <w:pPr>
        <w:tabs>
          <w:tab w:val="left" w:pos="900"/>
        </w:tabs>
        <w:ind w:firstLine="420" w:firstLineChars="200"/>
        <w:rPr>
          <w:rFonts w:ascii="宋体" w:hAnsi="宋体" w:cs="宋体"/>
          <w:highlight w:val="none"/>
        </w:rPr>
      </w:pPr>
      <w:r>
        <w:rPr>
          <w:rFonts w:hint="eastAsia" w:ascii="宋体" w:hAnsi="宋体" w:cs="宋体"/>
          <w:highlight w:val="none"/>
        </w:rPr>
        <w:t>8.有关本次公开招标的事项若存在变动或修改，敬请及时关注新疆政府采购网发布的澄清变更公告，网址为“http://www.ccgp-xinjiang.gov.cn”。</w:t>
      </w:r>
    </w:p>
    <w:p>
      <w:pPr>
        <w:tabs>
          <w:tab w:val="left" w:pos="900"/>
        </w:tabs>
        <w:ind w:firstLine="420" w:firstLineChars="200"/>
        <w:rPr>
          <w:rFonts w:ascii="宋体" w:hAnsi="宋体" w:cs="宋体"/>
          <w:highlight w:val="none"/>
        </w:rPr>
      </w:pPr>
      <w:r>
        <w:rPr>
          <w:rFonts w:hint="eastAsia" w:ascii="宋体" w:hAnsi="宋体" w:cs="宋体"/>
          <w:highlight w:val="none"/>
        </w:rPr>
        <w:t>七、对本次</w:t>
      </w:r>
      <w:r>
        <w:rPr>
          <w:rFonts w:hint="eastAsia" w:ascii="宋体" w:hAnsi="宋体" w:cs="宋体"/>
          <w:highlight w:val="none"/>
          <w:lang w:val="en-US" w:eastAsia="zh-CN"/>
        </w:rPr>
        <w:t>招标</w:t>
      </w:r>
      <w:r>
        <w:rPr>
          <w:rFonts w:hint="eastAsia" w:ascii="宋体" w:hAnsi="宋体" w:cs="宋体"/>
          <w:highlight w:val="none"/>
        </w:rPr>
        <w:t>提出询问，请按以下方式联系。</w:t>
      </w:r>
      <w:bookmarkEnd w:id="37"/>
      <w:bookmarkEnd w:id="38"/>
      <w:bookmarkEnd w:id="39"/>
      <w:bookmarkEnd w:id="40"/>
    </w:p>
    <w:p>
      <w:pPr>
        <w:tabs>
          <w:tab w:val="left" w:pos="900"/>
        </w:tabs>
        <w:ind w:firstLine="420" w:firstLineChars="200"/>
        <w:rPr>
          <w:rFonts w:ascii="宋体" w:hAnsi="宋体" w:cs="宋体"/>
          <w:highlight w:val="none"/>
        </w:rPr>
      </w:pPr>
      <w:r>
        <w:rPr>
          <w:rFonts w:hint="eastAsia" w:ascii="宋体" w:hAnsi="宋体" w:cs="宋体"/>
          <w:highlight w:val="none"/>
        </w:rPr>
        <w:t>1.采购人信息</w:t>
      </w:r>
    </w:p>
    <w:p>
      <w:pPr>
        <w:tabs>
          <w:tab w:val="left" w:pos="900"/>
        </w:tabs>
        <w:ind w:firstLine="420" w:firstLineChars="200"/>
        <w:rPr>
          <w:rFonts w:ascii="宋体" w:hAnsi="宋体" w:cs="宋体"/>
          <w:highlight w:val="none"/>
        </w:rPr>
      </w:pPr>
      <w:r>
        <w:rPr>
          <w:rFonts w:ascii="宋体" w:hAnsi="宋体" w:cs="宋体"/>
          <w:highlight w:val="none"/>
        </w:rPr>
        <w:t>名 称：新疆巴音郭楞蒙古自治州卫生学校</w:t>
      </w:r>
    </w:p>
    <w:p>
      <w:pPr>
        <w:tabs>
          <w:tab w:val="left" w:pos="900"/>
        </w:tabs>
        <w:ind w:firstLine="420" w:firstLineChars="200"/>
        <w:rPr>
          <w:rFonts w:ascii="宋体" w:hAnsi="宋体" w:cs="宋体"/>
          <w:highlight w:val="none"/>
        </w:rPr>
      </w:pPr>
      <w:r>
        <w:rPr>
          <w:rFonts w:ascii="宋体" w:hAnsi="宋体" w:cs="宋体"/>
          <w:highlight w:val="none"/>
        </w:rPr>
        <w:t>地 址：新疆库尔勒市永安辖区永安大道北段113号</w:t>
      </w:r>
    </w:p>
    <w:p>
      <w:pPr>
        <w:tabs>
          <w:tab w:val="left" w:pos="900"/>
        </w:tabs>
        <w:ind w:firstLine="420" w:firstLineChars="200"/>
        <w:rPr>
          <w:rFonts w:ascii="宋体" w:hAnsi="宋体" w:cs="宋体"/>
          <w:highlight w:val="none"/>
        </w:rPr>
      </w:pPr>
      <w:r>
        <w:rPr>
          <w:rFonts w:ascii="宋体" w:hAnsi="宋体" w:cs="宋体"/>
          <w:highlight w:val="none"/>
        </w:rPr>
        <w:t>项目联系人：杰老师</w:t>
      </w:r>
      <w:r>
        <w:rPr>
          <w:rFonts w:hint="eastAsia" w:ascii="宋体" w:hAnsi="宋体" w:cs="宋体"/>
          <w:highlight w:val="none"/>
        </w:rPr>
        <w:t xml:space="preserve"> </w:t>
      </w:r>
    </w:p>
    <w:p>
      <w:pPr>
        <w:tabs>
          <w:tab w:val="left" w:pos="900"/>
        </w:tabs>
        <w:ind w:firstLine="420" w:firstLineChars="200"/>
        <w:rPr>
          <w:rFonts w:ascii="宋体" w:hAnsi="宋体" w:cs="宋体"/>
          <w:highlight w:val="none"/>
        </w:rPr>
      </w:pPr>
      <w:r>
        <w:rPr>
          <w:rFonts w:ascii="宋体" w:hAnsi="宋体" w:cs="宋体"/>
          <w:highlight w:val="none"/>
        </w:rPr>
        <w:t xml:space="preserve">联系方式： 13899027114 </w:t>
      </w:r>
    </w:p>
    <w:p>
      <w:pPr>
        <w:tabs>
          <w:tab w:val="left" w:pos="900"/>
        </w:tabs>
        <w:ind w:firstLine="420" w:firstLineChars="200"/>
        <w:rPr>
          <w:rFonts w:ascii="宋体" w:hAnsi="宋体" w:cs="宋体"/>
          <w:highlight w:val="none"/>
        </w:rPr>
      </w:pPr>
      <w:r>
        <w:rPr>
          <w:rFonts w:ascii="宋体" w:hAnsi="宋体" w:cs="宋体"/>
          <w:highlight w:val="none"/>
        </w:rPr>
        <w:t>2.采购代理机构信息</w:t>
      </w:r>
    </w:p>
    <w:p>
      <w:pPr>
        <w:tabs>
          <w:tab w:val="left" w:pos="900"/>
        </w:tabs>
        <w:ind w:firstLine="420" w:firstLineChars="200"/>
        <w:rPr>
          <w:rFonts w:ascii="宋体" w:hAnsi="宋体" w:cs="宋体"/>
          <w:highlight w:val="none"/>
        </w:rPr>
      </w:pPr>
      <w:r>
        <w:rPr>
          <w:rFonts w:ascii="宋体" w:hAnsi="宋体" w:cs="宋体"/>
          <w:highlight w:val="none"/>
        </w:rPr>
        <w:t>名 称：巴州政务服务和公共资源交易中心　　　　　　　　　　　　</w:t>
      </w:r>
    </w:p>
    <w:p>
      <w:pPr>
        <w:tabs>
          <w:tab w:val="left" w:pos="900"/>
        </w:tabs>
        <w:ind w:firstLine="420" w:firstLineChars="200"/>
        <w:rPr>
          <w:rFonts w:ascii="宋体" w:hAnsi="宋体" w:cs="宋体"/>
          <w:highlight w:val="none"/>
        </w:rPr>
      </w:pPr>
      <w:r>
        <w:rPr>
          <w:rFonts w:ascii="宋体" w:hAnsi="宋体" w:cs="宋体"/>
          <w:highlight w:val="none"/>
        </w:rPr>
        <w:t>地　址：库尔勒市索克巴</w:t>
      </w:r>
      <w:bookmarkStart w:id="41" w:name="OLE_LINK8"/>
      <w:r>
        <w:rPr>
          <w:rFonts w:ascii="宋体" w:hAnsi="宋体" w:cs="宋体"/>
          <w:highlight w:val="none"/>
        </w:rPr>
        <w:t>格路州</w:t>
      </w:r>
      <w:bookmarkEnd w:id="41"/>
      <w:r>
        <w:rPr>
          <w:rFonts w:ascii="宋体" w:hAnsi="宋体" w:cs="宋体"/>
          <w:highlight w:val="none"/>
        </w:rPr>
        <w:t>住建大厦14楼　　　　　　　　　　　　</w:t>
      </w:r>
    </w:p>
    <w:p>
      <w:pPr>
        <w:tabs>
          <w:tab w:val="left" w:pos="900"/>
        </w:tabs>
        <w:ind w:firstLine="420" w:firstLineChars="200"/>
        <w:rPr>
          <w:rFonts w:ascii="宋体" w:hAnsi="宋体" w:cs="宋体"/>
          <w:highlight w:val="none"/>
        </w:rPr>
      </w:pPr>
      <w:r>
        <w:rPr>
          <w:rFonts w:ascii="宋体" w:hAnsi="宋体" w:cs="宋体"/>
          <w:highlight w:val="none"/>
        </w:rPr>
        <w:t>联系方式：0996-2035295　0996-2704855　　　　　　　　　　　</w:t>
      </w:r>
    </w:p>
    <w:p>
      <w:pPr>
        <w:tabs>
          <w:tab w:val="left" w:pos="900"/>
        </w:tabs>
        <w:ind w:firstLine="420" w:firstLineChars="200"/>
        <w:rPr>
          <w:rFonts w:ascii="宋体" w:hAnsi="宋体" w:cs="宋体"/>
          <w:highlight w:val="none"/>
        </w:rPr>
      </w:pPr>
      <w:r>
        <w:rPr>
          <w:rFonts w:ascii="宋体" w:hAnsi="宋体" w:cs="宋体"/>
          <w:highlight w:val="none"/>
        </w:rPr>
        <w:t>3.项目联系方式</w:t>
      </w:r>
    </w:p>
    <w:p>
      <w:pPr>
        <w:tabs>
          <w:tab w:val="left" w:pos="900"/>
        </w:tabs>
        <w:ind w:firstLine="420" w:firstLineChars="200"/>
        <w:rPr>
          <w:rFonts w:ascii="宋体" w:hAnsi="宋体"/>
          <w:highlight w:val="none"/>
        </w:rPr>
      </w:pPr>
      <w:r>
        <w:rPr>
          <w:rFonts w:ascii="宋体" w:hAnsi="宋体" w:cs="宋体"/>
          <w:highlight w:val="none"/>
        </w:rPr>
        <w:t>项目负责人：</w:t>
      </w:r>
      <w:r>
        <w:rPr>
          <w:rFonts w:hint="eastAsia" w:ascii="宋体" w:hAnsi="宋体" w:cs="宋体"/>
          <w:highlight w:val="none"/>
          <w:lang w:val="en-US" w:eastAsia="zh-CN"/>
        </w:rPr>
        <w:t>乌仁</w:t>
      </w:r>
      <w:r>
        <w:rPr>
          <w:rFonts w:ascii="宋体" w:hAnsi="宋体" w:cs="宋体"/>
          <w:highlight w:val="none"/>
        </w:rPr>
        <w:t xml:space="preserve">    联系电话</w:t>
      </w:r>
      <w:bookmarkStart w:id="42" w:name="OLE_LINK9"/>
      <w:r>
        <w:rPr>
          <w:rFonts w:ascii="宋体" w:hAnsi="宋体" w:cs="宋体"/>
          <w:highlight w:val="none"/>
        </w:rPr>
        <w:t>：0996-2704855</w:t>
      </w:r>
    </w:p>
    <w:bookmarkEnd w:id="42"/>
    <w:p>
      <w:pPr>
        <w:rPr>
          <w:highlight w:val="none"/>
        </w:rPr>
      </w:pPr>
    </w:p>
    <w:p>
      <w:pPr>
        <w:pStyle w:val="5"/>
        <w:rPr>
          <w:rFonts w:ascii="宋体" w:hAnsi="宋体" w:eastAsia="宋体" w:cs="方正小标宋_GBK"/>
          <w:sz w:val="32"/>
          <w:szCs w:val="32"/>
          <w:highlight w:val="none"/>
        </w:rPr>
      </w:pPr>
    </w:p>
    <w:p>
      <w:pPr>
        <w:pStyle w:val="5"/>
        <w:rPr>
          <w:rFonts w:ascii="宋体" w:hAnsi="宋体" w:eastAsia="宋体" w:cs="方正小标宋_GBK"/>
          <w:sz w:val="32"/>
          <w:szCs w:val="32"/>
          <w:highlight w:val="none"/>
        </w:rPr>
      </w:pPr>
      <w:r>
        <w:rPr>
          <w:rFonts w:hint="eastAsia" w:ascii="宋体" w:hAnsi="宋体" w:eastAsia="宋体" w:cs="方正小标宋_GBK"/>
          <w:sz w:val="32"/>
          <w:szCs w:val="32"/>
          <w:highlight w:val="none"/>
        </w:rPr>
        <w:br w:type="page"/>
      </w:r>
      <w:r>
        <w:rPr>
          <w:rFonts w:hint="eastAsia" w:ascii="宋体" w:hAnsi="宋体" w:eastAsia="宋体" w:cs="方正小标宋_GBK"/>
          <w:sz w:val="32"/>
          <w:szCs w:val="32"/>
          <w:highlight w:val="none"/>
        </w:rPr>
        <w:t>第二章 对通用条款的补充内容及其他关键信息</w:t>
      </w:r>
    </w:p>
    <w:p>
      <w:pPr>
        <w:pStyle w:val="5"/>
        <w:spacing w:before="145" w:beforeLines="50" w:after="145" w:afterLines="50"/>
        <w:rPr>
          <w:rFonts w:ascii="宋体" w:hAnsi="宋体" w:eastAsia="宋体" w:cs="方正小标宋_GBK"/>
          <w:bCs w:val="0"/>
          <w:sz w:val="32"/>
          <w:szCs w:val="32"/>
          <w:highlight w:val="none"/>
        </w:rPr>
      </w:pPr>
      <w:bookmarkStart w:id="43" w:name="_Toc73521635"/>
      <w:bookmarkStart w:id="44" w:name="_Toc73517639"/>
      <w:bookmarkStart w:id="45" w:name="_Toc101074876"/>
      <w:bookmarkStart w:id="46" w:name="_Toc100052364"/>
      <w:bookmarkStart w:id="47" w:name="_Toc73518117"/>
      <w:bookmarkStart w:id="48" w:name="_Toc60560625"/>
      <w:bookmarkStart w:id="49" w:name="_Toc73521547"/>
      <w:bookmarkStart w:id="50" w:name="_Toc60631620"/>
      <w:r>
        <w:rPr>
          <w:rFonts w:hint="eastAsia" w:ascii="宋体" w:hAnsi="宋体" w:eastAsia="宋体" w:cs="方正小标宋_GBK"/>
          <w:bCs w:val="0"/>
          <w:sz w:val="32"/>
          <w:szCs w:val="32"/>
          <w:highlight w:val="none"/>
        </w:rPr>
        <w:t>一、对通用条款的补充内容</w:t>
      </w:r>
    </w:p>
    <w:bookmarkEnd w:id="43"/>
    <w:bookmarkEnd w:id="44"/>
    <w:bookmarkEnd w:id="45"/>
    <w:bookmarkEnd w:id="46"/>
    <w:bookmarkEnd w:id="47"/>
    <w:bookmarkEnd w:id="48"/>
    <w:bookmarkEnd w:id="49"/>
    <w:bookmarkEnd w:id="50"/>
    <w:tbl>
      <w:tblPr>
        <w:tblStyle w:val="3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9"/>
        <w:gridCol w:w="2249"/>
        <w:gridCol w:w="63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9" w:type="dxa"/>
            <w:vAlign w:val="center"/>
          </w:tcPr>
          <w:p>
            <w:pPr>
              <w:jc w:val="center"/>
              <w:rPr>
                <w:rFonts w:ascii="宋体" w:hAnsi="宋体"/>
                <w:b/>
                <w:bCs/>
                <w:highlight w:val="none"/>
              </w:rPr>
            </w:pPr>
            <w:r>
              <w:rPr>
                <w:rFonts w:hint="eastAsia" w:ascii="宋体" w:hAnsi="宋体"/>
                <w:b/>
                <w:bCs/>
                <w:highlight w:val="none"/>
              </w:rPr>
              <w:t>通用条款序号</w:t>
            </w:r>
          </w:p>
        </w:tc>
        <w:tc>
          <w:tcPr>
            <w:tcW w:w="2249" w:type="dxa"/>
            <w:vAlign w:val="center"/>
          </w:tcPr>
          <w:p>
            <w:pPr>
              <w:jc w:val="center"/>
              <w:rPr>
                <w:rFonts w:ascii="宋体" w:hAnsi="宋体"/>
                <w:b/>
                <w:bCs/>
                <w:highlight w:val="none"/>
              </w:rPr>
            </w:pPr>
            <w:r>
              <w:rPr>
                <w:rFonts w:hint="eastAsia" w:ascii="宋体" w:hAnsi="宋体"/>
                <w:b/>
                <w:bCs/>
                <w:highlight w:val="none"/>
              </w:rPr>
              <w:t>涉及事项</w:t>
            </w:r>
          </w:p>
        </w:tc>
        <w:tc>
          <w:tcPr>
            <w:tcW w:w="6390" w:type="dxa"/>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79" w:type="dxa"/>
            <w:vAlign w:val="center"/>
          </w:tcPr>
          <w:p>
            <w:pPr>
              <w:jc w:val="center"/>
              <w:rPr>
                <w:rFonts w:ascii="宋体" w:hAnsi="宋体"/>
                <w:highlight w:val="none"/>
              </w:rPr>
            </w:pPr>
            <w:r>
              <w:rPr>
                <w:rFonts w:hint="eastAsia" w:ascii="宋体" w:hAnsi="宋体"/>
                <w:highlight w:val="none"/>
              </w:rPr>
              <w:t>3.1</w:t>
            </w:r>
          </w:p>
        </w:tc>
        <w:tc>
          <w:tcPr>
            <w:tcW w:w="2249" w:type="dxa"/>
            <w:vAlign w:val="center"/>
          </w:tcPr>
          <w:p>
            <w:pPr>
              <w:jc w:val="center"/>
              <w:rPr>
                <w:rFonts w:ascii="宋体" w:hAnsi="宋体"/>
                <w:highlight w:val="none"/>
              </w:rPr>
            </w:pPr>
            <w:r>
              <w:rPr>
                <w:rFonts w:hint="eastAsia" w:ascii="宋体" w:hAnsi="宋体"/>
                <w:highlight w:val="none"/>
              </w:rPr>
              <w:t>采购人</w:t>
            </w:r>
          </w:p>
        </w:tc>
        <w:tc>
          <w:tcPr>
            <w:tcW w:w="6390" w:type="dxa"/>
            <w:vAlign w:val="center"/>
          </w:tcPr>
          <w:p>
            <w:pPr>
              <w:jc w:val="center"/>
              <w:rPr>
                <w:rFonts w:ascii="宋体" w:hAnsi="宋体"/>
                <w:highlight w:val="none"/>
              </w:rPr>
            </w:pPr>
            <w:r>
              <w:rPr>
                <w:rFonts w:ascii="宋体" w:hAnsi="宋体"/>
                <w:highlight w:val="none"/>
              </w:rPr>
              <w:t>新疆巴音郭楞蒙古自治州卫生学校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79" w:type="dxa"/>
            <w:vAlign w:val="center"/>
          </w:tcPr>
          <w:p>
            <w:pPr>
              <w:jc w:val="center"/>
              <w:rPr>
                <w:rFonts w:ascii="宋体" w:hAnsi="宋体"/>
                <w:highlight w:val="none"/>
              </w:rPr>
            </w:pPr>
            <w:r>
              <w:rPr>
                <w:rFonts w:hint="eastAsia" w:ascii="宋体" w:hAnsi="宋体"/>
                <w:highlight w:val="none"/>
              </w:rPr>
              <w:t>3.2</w:t>
            </w:r>
          </w:p>
        </w:tc>
        <w:tc>
          <w:tcPr>
            <w:tcW w:w="2249" w:type="dxa"/>
            <w:vAlign w:val="center"/>
          </w:tcPr>
          <w:p>
            <w:pPr>
              <w:jc w:val="center"/>
              <w:rPr>
                <w:rFonts w:ascii="宋体" w:hAnsi="宋体"/>
                <w:highlight w:val="none"/>
              </w:rPr>
            </w:pPr>
            <w:r>
              <w:rPr>
                <w:rFonts w:hint="eastAsia" w:ascii="宋体" w:hAnsi="宋体"/>
                <w:highlight w:val="none"/>
              </w:rPr>
              <w:t>政府集中采购机构</w:t>
            </w:r>
          </w:p>
        </w:tc>
        <w:tc>
          <w:tcPr>
            <w:tcW w:w="6390" w:type="dxa"/>
            <w:vAlign w:val="center"/>
          </w:tcPr>
          <w:p>
            <w:pPr>
              <w:jc w:val="center"/>
              <w:rPr>
                <w:rStyle w:val="68"/>
                <w:rFonts w:ascii="宋体" w:hAnsi="宋体" w:cs="宋体"/>
                <w:color w:val="FF0000"/>
                <w:highlight w:val="none"/>
              </w:rPr>
            </w:pPr>
            <w:r>
              <w:rPr>
                <w:rStyle w:val="68"/>
                <w:rFonts w:hint="eastAsia" w:ascii="宋体" w:hAnsi="宋体" w:cs="宋体"/>
                <w:highlight w:val="none"/>
              </w:rPr>
              <w:t>巴音郭楞蒙古自治州政务服务和公共资源交易中心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04" w:hRule="atLeast"/>
          <w:jc w:val="center"/>
        </w:trPr>
        <w:tc>
          <w:tcPr>
            <w:tcW w:w="979" w:type="dxa"/>
            <w:vAlign w:val="center"/>
          </w:tcPr>
          <w:p>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2249" w:type="dxa"/>
            <w:vAlign w:val="center"/>
          </w:tcPr>
          <w:p>
            <w:pPr>
              <w:jc w:val="center"/>
              <w:rPr>
                <w:rFonts w:ascii="宋体" w:hAnsi="宋体"/>
                <w:highlight w:val="none"/>
              </w:rPr>
            </w:pPr>
            <w:r>
              <w:rPr>
                <w:rFonts w:hint="eastAsia" w:ascii="宋体" w:hAnsi="宋体"/>
                <w:highlight w:val="none"/>
              </w:rPr>
              <w:t>联合体投标</w:t>
            </w:r>
          </w:p>
        </w:tc>
        <w:tc>
          <w:tcPr>
            <w:tcW w:w="6390" w:type="dxa"/>
            <w:vAlign w:val="center"/>
          </w:tcPr>
          <w:p>
            <w:pPr>
              <w:jc w:val="left"/>
              <w:rPr>
                <w:rFonts w:ascii="宋体" w:hAnsi="宋体"/>
                <w:highlight w:val="none"/>
              </w:rPr>
            </w:pPr>
            <w:r>
              <w:rPr>
                <w:rFonts w:hint="eastAsia" w:ascii="宋体" w:hAnsi="宋体"/>
                <w:highlight w:val="none"/>
              </w:rPr>
              <w:sym w:font="Wingdings" w:char="00FE"/>
            </w:r>
            <w:r>
              <w:rPr>
                <w:rFonts w:hint="eastAsia" w:ascii="宋体" w:hAnsi="宋体"/>
                <w:highlight w:val="none"/>
              </w:rPr>
              <w:t>不接受</w:t>
            </w:r>
          </w:p>
          <w:p>
            <w:pPr>
              <w:jc w:val="left"/>
              <w:rPr>
                <w:rFonts w:ascii="宋体" w:hAnsi="宋体"/>
                <w:highlight w:val="none"/>
              </w:rPr>
            </w:pPr>
            <w:r>
              <w:rPr>
                <w:rFonts w:hint="eastAsia" w:ascii="宋体" w:hAnsi="宋体"/>
                <w:highlight w:val="none"/>
              </w:rPr>
              <w:sym w:font="Wingdings" w:char="00A8"/>
            </w:r>
            <w:r>
              <w:rPr>
                <w:rFonts w:hint="eastAsia" w:ascii="宋体" w:hAnsi="宋体"/>
                <w:highlight w:val="none"/>
              </w:rPr>
              <w:t>接受，以联合体形式投标的，投标人还必须提供《联合体共同投标协议》（格式见附件，加盖联合体各方公章），并在协议中明确牵头人和各参与方各自承担的工作和义务。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67" w:hRule="atLeast"/>
          <w:jc w:val="center"/>
        </w:trPr>
        <w:tc>
          <w:tcPr>
            <w:tcW w:w="979" w:type="dxa"/>
            <w:vAlign w:val="center"/>
          </w:tcPr>
          <w:p>
            <w:pPr>
              <w:jc w:val="center"/>
              <w:rPr>
                <w:rFonts w:ascii="宋体" w:hAnsi="宋体"/>
                <w:highlight w:val="none"/>
              </w:rPr>
            </w:pPr>
            <w:r>
              <w:rPr>
                <w:rFonts w:hint="eastAsia" w:ascii="宋体" w:hAnsi="宋体"/>
                <w:highlight w:val="none"/>
              </w:rPr>
              <w:t>5.3</w:t>
            </w:r>
          </w:p>
        </w:tc>
        <w:tc>
          <w:tcPr>
            <w:tcW w:w="2249" w:type="dxa"/>
            <w:vAlign w:val="center"/>
          </w:tcPr>
          <w:p>
            <w:pPr>
              <w:jc w:val="center"/>
              <w:rPr>
                <w:rFonts w:ascii="宋体" w:hAnsi="宋体"/>
                <w:highlight w:val="none"/>
              </w:rPr>
            </w:pPr>
            <w:r>
              <w:rPr>
                <w:rFonts w:hint="eastAsia" w:ascii="宋体" w:hAnsi="宋体"/>
                <w:highlight w:val="none"/>
              </w:rPr>
              <w:t>项目分包</w:t>
            </w:r>
          </w:p>
        </w:tc>
        <w:tc>
          <w:tcPr>
            <w:tcW w:w="6390" w:type="dxa"/>
            <w:vAlign w:val="center"/>
          </w:tcPr>
          <w:p>
            <w:pPr>
              <w:jc w:val="left"/>
              <w:rPr>
                <w:rFonts w:ascii="宋体" w:hAnsi="宋体"/>
                <w:highlight w:val="none"/>
              </w:rPr>
            </w:pPr>
            <w:r>
              <w:rPr>
                <w:rFonts w:hint="eastAsia" w:ascii="宋体" w:hAnsi="宋体"/>
                <w:highlight w:val="none"/>
              </w:rPr>
              <w:sym w:font="Wingdings" w:char="00A8"/>
            </w:r>
            <w:r>
              <w:rPr>
                <w:rFonts w:hint="eastAsia" w:ascii="宋体" w:hAnsi="宋体"/>
                <w:highlight w:val="none"/>
              </w:rPr>
              <w:t>不允许</w:t>
            </w:r>
          </w:p>
          <w:p>
            <w:pPr>
              <w:ind w:firstLine="210" w:firstLineChars="100"/>
              <w:rPr>
                <w:rFonts w:hint="eastAsia" w:ascii="宋体" w:hAnsi="宋体" w:cs="宋体"/>
                <w:highlight w:val="none"/>
                <w:lang w:bidi="ar"/>
              </w:rPr>
            </w:pPr>
            <w:r>
              <w:rPr>
                <w:rFonts w:hint="eastAsia" w:ascii="宋体" w:hAnsi="宋体"/>
                <w:highlight w:val="none"/>
              </w:rPr>
              <w:sym w:font="Wingdings" w:char="00FE"/>
            </w:r>
            <w:bookmarkStart w:id="51" w:name="OLE_LINK6"/>
            <w:r>
              <w:rPr>
                <w:rFonts w:hint="eastAsia" w:ascii="宋体" w:hAnsi="宋体" w:cs="宋体"/>
                <w:highlight w:val="none"/>
                <w:lang w:bidi="ar"/>
              </w:rPr>
              <w:t>本项目</w:t>
            </w:r>
            <w:r>
              <w:rPr>
                <w:rFonts w:hint="eastAsia" w:ascii="宋体" w:hAnsi="宋体" w:cs="宋体"/>
                <w:color w:val="FF0000"/>
                <w:highlight w:val="none"/>
                <w:lang w:bidi="ar"/>
              </w:rPr>
              <w:t>部分面向</w:t>
            </w:r>
            <w:r>
              <w:rPr>
                <w:rFonts w:hint="eastAsia" w:ascii="宋体" w:hAnsi="宋体" w:cs="宋体"/>
                <w:color w:val="FF0000"/>
                <w:highlight w:val="none"/>
                <w:lang w:val="en-US" w:eastAsia="zh-CN" w:bidi="ar"/>
              </w:rPr>
              <w:t>中小</w:t>
            </w:r>
            <w:r>
              <w:rPr>
                <w:rFonts w:hint="eastAsia" w:ascii="宋体" w:hAnsi="宋体" w:cs="宋体"/>
                <w:color w:val="FF0000"/>
                <w:highlight w:val="none"/>
                <w:lang w:bidi="ar"/>
              </w:rPr>
              <w:t>企业</w:t>
            </w:r>
            <w:bookmarkEnd w:id="51"/>
            <w:r>
              <w:rPr>
                <w:rFonts w:hint="eastAsia" w:ascii="宋体" w:hAnsi="宋体" w:cs="宋体"/>
                <w:highlight w:val="none"/>
                <w:lang w:bidi="ar"/>
              </w:rPr>
              <w:t>，投标供应商</w:t>
            </w:r>
            <w:r>
              <w:rPr>
                <w:rFonts w:hint="eastAsia" w:ascii="宋体" w:hAnsi="宋体" w:cs="宋体"/>
                <w:color w:val="FF0000"/>
                <w:highlight w:val="none"/>
                <w:lang w:val="en-US" w:eastAsia="zh-CN" w:bidi="ar"/>
              </w:rPr>
              <w:t>须</w:t>
            </w:r>
            <w:r>
              <w:rPr>
                <w:rFonts w:hint="eastAsia" w:ascii="宋体" w:hAnsi="宋体" w:cs="宋体"/>
                <w:highlight w:val="none"/>
                <w:lang w:bidi="ar"/>
              </w:rPr>
              <w:t>将预算金额的120万元分包给具有相应资质的中小企业执行，其中的72万分包给小微企业执行</w:t>
            </w:r>
            <w:r>
              <w:rPr>
                <w:rFonts w:hint="eastAsia" w:ascii="宋体" w:hAnsi="宋体" w:cs="宋体"/>
                <w:highlight w:val="none"/>
                <w:lang w:eastAsia="zh-CN" w:bidi="ar"/>
              </w:rPr>
              <w:t>；</w:t>
            </w:r>
            <w:r>
              <w:rPr>
                <w:rFonts w:hint="eastAsia" w:ascii="宋体" w:hAnsi="宋体" w:cs="宋体"/>
                <w:highlight w:val="none"/>
                <w:lang w:bidi="ar"/>
              </w:rPr>
              <w:t>或承接该项目的供应商本身即为小微企业则无须分包。</w:t>
            </w:r>
          </w:p>
          <w:p>
            <w:pPr>
              <w:ind w:firstLine="210" w:firstLineChars="100"/>
              <w:rPr>
                <w:rFonts w:hint="eastAsia" w:ascii="宋体" w:hAnsi="宋体" w:cs="宋体"/>
                <w:highlight w:val="none"/>
                <w:lang w:bidi="ar"/>
              </w:rPr>
            </w:pPr>
            <w:r>
              <w:rPr>
                <w:rFonts w:hint="eastAsia" w:ascii="宋体" w:hAnsi="宋体" w:cs="宋体"/>
                <w:highlight w:val="none"/>
                <w:lang w:bidi="ar"/>
              </w:rPr>
              <w:t>（1）如需分包，须提供被分包的</w:t>
            </w:r>
            <w:r>
              <w:rPr>
                <w:rFonts w:hint="eastAsia" w:ascii="宋体" w:hAnsi="宋体" w:cs="宋体"/>
                <w:highlight w:val="none"/>
                <w:lang w:val="en-US" w:eastAsia="zh-CN" w:bidi="ar"/>
              </w:rPr>
              <w:t>中小</w:t>
            </w:r>
            <w:r>
              <w:rPr>
                <w:rFonts w:hint="eastAsia" w:ascii="宋体" w:hAnsi="宋体" w:cs="宋体"/>
                <w:highlight w:val="none"/>
                <w:lang w:bidi="ar"/>
              </w:rPr>
              <w:t>企业的营业执照、《中小企业声明函（服务类）》、分包协议及承诺函（承诺此部分内容不再分包，格式自拟）的扫描件作为依据，否则按资格审查不通过处理。</w:t>
            </w:r>
          </w:p>
          <w:p>
            <w:pPr>
              <w:jc w:val="left"/>
              <w:rPr>
                <w:rFonts w:ascii="宋体" w:hAnsi="宋体"/>
                <w:highlight w:val="none"/>
              </w:rPr>
            </w:pPr>
            <w:r>
              <w:rPr>
                <w:rFonts w:hint="eastAsia" w:ascii="宋体" w:hAnsi="宋体" w:cs="宋体"/>
                <w:highlight w:val="none"/>
                <w:lang w:bidi="ar"/>
              </w:rPr>
              <w:t>（2）如投标供应商本身为小微企业，则无需分包，投标人须提供本单位的《中小企业声明函（服务类）》及承诺函（承诺此部分内容不再分包，格式自拟）的扫描件作为依据，否则按资格审查不通过处理。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80" w:hRule="atLeast"/>
          <w:jc w:val="center"/>
        </w:trPr>
        <w:tc>
          <w:tcPr>
            <w:tcW w:w="979" w:type="dxa"/>
            <w:vAlign w:val="center"/>
          </w:tcPr>
          <w:p>
            <w:pPr>
              <w:jc w:val="center"/>
              <w:rPr>
                <w:rFonts w:ascii="宋体" w:hAnsi="宋体"/>
                <w:highlight w:val="none"/>
              </w:rPr>
            </w:pPr>
            <w:r>
              <w:rPr>
                <w:rFonts w:hint="eastAsia" w:ascii="宋体" w:hAnsi="宋体"/>
                <w:highlight w:val="none"/>
              </w:rPr>
              <w:t>9</w:t>
            </w:r>
          </w:p>
        </w:tc>
        <w:tc>
          <w:tcPr>
            <w:tcW w:w="2249" w:type="dxa"/>
            <w:vAlign w:val="center"/>
          </w:tcPr>
          <w:p>
            <w:pPr>
              <w:jc w:val="center"/>
              <w:rPr>
                <w:rFonts w:ascii="宋体" w:hAnsi="宋体"/>
                <w:highlight w:val="none"/>
              </w:rPr>
            </w:pPr>
            <w:r>
              <w:rPr>
                <w:rFonts w:hint="eastAsia" w:ascii="宋体" w:hAnsi="宋体"/>
                <w:highlight w:val="none"/>
              </w:rPr>
              <w:t>踏勘现场</w:t>
            </w:r>
          </w:p>
        </w:tc>
        <w:tc>
          <w:tcPr>
            <w:tcW w:w="6390" w:type="dxa"/>
            <w:vAlign w:val="center"/>
          </w:tcPr>
          <w:p>
            <w:pPr>
              <w:spacing w:line="440" w:lineRule="exact"/>
              <w:jc w:val="left"/>
              <w:rPr>
                <w:rFonts w:ascii="宋体" w:hAnsi="宋体"/>
                <w:highlight w:val="none"/>
              </w:rPr>
            </w:pPr>
            <w:r>
              <w:rPr>
                <w:rFonts w:hint="eastAsia" w:ascii="宋体" w:hAnsi="宋体"/>
                <w:highlight w:val="none"/>
              </w:rPr>
              <w:sym w:font="Wingdings" w:char="00A8"/>
            </w:r>
            <w:r>
              <w:rPr>
                <w:rFonts w:hint="eastAsia" w:ascii="宋体" w:hAnsi="宋体"/>
                <w:highlight w:val="none"/>
              </w:rPr>
              <w:t>不组织</w:t>
            </w:r>
          </w:p>
          <w:p>
            <w:pPr>
              <w:tabs>
                <w:tab w:val="left" w:pos="900"/>
              </w:tabs>
              <w:rPr>
                <w:rFonts w:ascii="宋体" w:hAnsi="宋体" w:cs="宋体"/>
                <w:highlight w:val="none"/>
              </w:rPr>
            </w:pPr>
            <w:r>
              <w:rPr>
                <w:rFonts w:hint="eastAsia" w:ascii="宋体" w:hAnsi="宋体" w:cs="宋体"/>
                <w:highlight w:val="none"/>
              </w:rPr>
              <w:sym w:font="Wingdings" w:char="00FE"/>
            </w:r>
            <w:r>
              <w:rPr>
                <w:rFonts w:hint="eastAsia" w:ascii="宋体" w:hAnsi="宋体" w:cs="宋体"/>
                <w:highlight w:val="none"/>
              </w:rPr>
              <w:t>组织，踏勘时间：各投标单位需在(</w:t>
            </w:r>
            <w:bookmarkStart w:id="52" w:name="OLE_LINK12"/>
            <w:r>
              <w:rPr>
                <w:rFonts w:hint="eastAsia" w:ascii="宋体" w:hAnsi="宋体" w:cs="宋体"/>
                <w:color w:val="FF0000"/>
                <w:highlight w:val="none"/>
              </w:rPr>
              <w:t>2025年</w:t>
            </w:r>
            <w:r>
              <w:rPr>
                <w:rFonts w:ascii="宋体" w:hAnsi="宋体" w:cs="宋体"/>
                <w:color w:val="FF0000"/>
                <w:highlight w:val="none"/>
              </w:rPr>
              <w:t>5</w:t>
            </w:r>
            <w:r>
              <w:rPr>
                <w:rFonts w:hint="eastAsia" w:ascii="宋体" w:hAnsi="宋体" w:cs="宋体"/>
                <w:color w:val="FF0000"/>
                <w:highlight w:val="none"/>
              </w:rPr>
              <w:t>月27日至5月29日早上10：00至13：30下午16:00至19:30</w:t>
            </w:r>
            <w:r>
              <w:rPr>
                <w:rFonts w:hint="eastAsia" w:ascii="宋体" w:hAnsi="宋体" w:cs="宋体"/>
                <w:color w:val="000000"/>
                <w:highlight w:val="none"/>
              </w:rPr>
              <w:t>前</w:t>
            </w:r>
            <w:bookmarkEnd w:id="52"/>
            <w:r>
              <w:rPr>
                <w:rFonts w:hint="eastAsia" w:ascii="宋体" w:hAnsi="宋体" w:cs="宋体"/>
                <w:highlight w:val="none"/>
              </w:rPr>
              <w:t>）至采购方领取现场踏勘表并进行现场踏勘。踏勘地点：</w:t>
            </w:r>
            <w:r>
              <w:rPr>
                <w:rFonts w:ascii="宋体" w:hAnsi="宋体" w:cs="宋体"/>
                <w:highlight w:val="none"/>
              </w:rPr>
              <w:t>新疆巴音郭楞蒙古自治州卫生学校</w:t>
            </w:r>
            <w:r>
              <w:rPr>
                <w:rFonts w:hint="eastAsia" w:ascii="宋体" w:hAnsi="宋体" w:cs="宋体"/>
                <w:kern w:val="0"/>
                <w:highlight w:val="none"/>
              </w:rPr>
              <w:t>；</w:t>
            </w:r>
            <w:r>
              <w:rPr>
                <w:rFonts w:hint="eastAsia" w:ascii="宋体" w:hAnsi="宋体" w:cs="宋体"/>
                <w:highlight w:val="none"/>
              </w:rPr>
              <w:t>联系人：</w:t>
            </w:r>
            <w:bookmarkStart w:id="53" w:name="OLE_LINK23"/>
            <w:bookmarkStart w:id="54" w:name="OLE_LINK22"/>
            <w:r>
              <w:rPr>
                <w:rFonts w:hint="eastAsia" w:ascii="宋体" w:hAnsi="宋体" w:cs="宋体"/>
                <w:highlight w:val="none"/>
              </w:rPr>
              <w:t>杰老师</w:t>
            </w:r>
            <w:bookmarkEnd w:id="53"/>
            <w:bookmarkEnd w:id="54"/>
            <w:r>
              <w:rPr>
                <w:rFonts w:hint="eastAsia" w:ascii="宋体" w:hAnsi="宋体" w:cs="宋体"/>
                <w:highlight w:val="none"/>
              </w:rPr>
              <w:t>；联系电话：</w:t>
            </w:r>
            <w:bookmarkStart w:id="55" w:name="OLE_LINK26"/>
            <w:bookmarkStart w:id="56" w:name="OLE_LINK27"/>
            <w:r>
              <w:rPr>
                <w:rFonts w:ascii="宋体" w:hAnsi="宋体" w:cs="宋体"/>
                <w:highlight w:val="none"/>
              </w:rPr>
              <w:t>13899027114</w:t>
            </w:r>
            <w:bookmarkEnd w:id="55"/>
            <w:bookmarkEnd w:id="56"/>
          </w:p>
          <w:p>
            <w:pPr>
              <w:jc w:val="left"/>
              <w:rPr>
                <w:rFonts w:ascii="宋体" w:hAnsi="宋体"/>
                <w:color w:val="FF0000"/>
                <w:highlight w:val="none"/>
              </w:rPr>
            </w:pPr>
            <w:r>
              <w:rPr>
                <w:rFonts w:hint="eastAsia" w:ascii="宋体" w:hAnsi="宋体"/>
                <w:color w:val="FF0000"/>
                <w:highlight w:val="none"/>
              </w:rPr>
              <w:t>踏勘要求：</w:t>
            </w:r>
          </w:p>
          <w:p>
            <w:pPr>
              <w:pStyle w:val="13"/>
              <w:ind w:left="0" w:leftChars="0" w:firstLine="0" w:firstLineChars="0"/>
              <w:rPr>
                <w:rFonts w:ascii="宋体" w:hAnsi="宋体"/>
                <w:highlight w:val="none"/>
              </w:rPr>
            </w:pPr>
            <w:r>
              <w:rPr>
                <w:rFonts w:hint="eastAsia" w:ascii="宋体" w:hAnsi="宋体" w:cs="宋体"/>
                <w:highlight w:val="none"/>
              </w:rPr>
              <w:t>踏勘人员须携带加盖投标单位公章的</w:t>
            </w:r>
            <w:r>
              <w:rPr>
                <w:rFonts w:hint="eastAsia" w:ascii="宋体" w:hAnsi="宋体" w:cs="宋体"/>
                <w:color w:val="FF0000"/>
                <w:highlight w:val="none"/>
              </w:rPr>
              <w:t>授权委托书原件</w:t>
            </w:r>
            <w:r>
              <w:rPr>
                <w:rFonts w:hint="eastAsia" w:ascii="宋体" w:hAnsi="宋体" w:cs="宋体"/>
                <w:highlight w:val="none"/>
              </w:rPr>
              <w:t>及</w:t>
            </w:r>
            <w:r>
              <w:rPr>
                <w:rFonts w:hint="eastAsia" w:ascii="宋体" w:hAnsi="宋体" w:cs="宋体"/>
                <w:color w:val="FF0000"/>
                <w:highlight w:val="none"/>
              </w:rPr>
              <w:t>本人身份证（须人证相符）</w:t>
            </w:r>
            <w:r>
              <w:rPr>
                <w:rFonts w:hint="eastAsia" w:ascii="宋体" w:hAnsi="宋体" w:cs="宋体"/>
                <w:highlight w:val="none"/>
              </w:rPr>
              <w:t>，由采购人核验身份，并填写《项目采购前期现场踏勘记录表》回执一份（详见后附表）。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979" w:type="dxa"/>
            <w:vAlign w:val="center"/>
          </w:tcPr>
          <w:p>
            <w:pPr>
              <w:jc w:val="center"/>
              <w:rPr>
                <w:rFonts w:ascii="宋体" w:hAnsi="宋体"/>
              </w:rPr>
            </w:pPr>
            <w:r>
              <w:rPr>
                <w:rFonts w:hint="eastAsia" w:ascii="宋体" w:hAnsi="宋体"/>
              </w:rPr>
              <w:t>1</w:t>
            </w:r>
            <w:r>
              <w:rPr>
                <w:rFonts w:ascii="宋体" w:hAnsi="宋体"/>
              </w:rPr>
              <w:t>0</w:t>
            </w:r>
          </w:p>
        </w:tc>
        <w:tc>
          <w:tcPr>
            <w:tcW w:w="2249" w:type="dxa"/>
            <w:vAlign w:val="center"/>
          </w:tcPr>
          <w:p>
            <w:pPr>
              <w:jc w:val="center"/>
              <w:rPr>
                <w:rFonts w:ascii="宋体" w:hAnsi="宋体"/>
              </w:rPr>
            </w:pPr>
            <w:r>
              <w:rPr>
                <w:rFonts w:hint="eastAsia" w:ascii="宋体" w:hAnsi="宋体"/>
              </w:rPr>
              <w:t>标前会议</w:t>
            </w:r>
          </w:p>
        </w:tc>
        <w:tc>
          <w:tcPr>
            <w:tcW w:w="6390" w:type="dxa"/>
            <w:vAlign w:val="center"/>
          </w:tcPr>
          <w:p>
            <w:pPr>
              <w:jc w:val="left"/>
              <w:rPr>
                <w:rFonts w:ascii="宋体" w:hAnsi="宋体"/>
              </w:rPr>
            </w:pPr>
            <w:r>
              <w:rPr>
                <w:rFonts w:hint="eastAsia" w:ascii="宋体" w:hAnsi="宋体"/>
              </w:rPr>
              <w:sym w:font="Wingdings" w:char="00FE"/>
            </w:r>
            <w:r>
              <w:rPr>
                <w:rFonts w:hint="eastAsia" w:ascii="宋体" w:hAnsi="宋体"/>
              </w:rPr>
              <w:t>不组织</w:t>
            </w:r>
          </w:p>
          <w:p>
            <w:pPr>
              <w:rPr>
                <w:rFonts w:ascii="宋体" w:hAnsi="宋体"/>
              </w:rPr>
            </w:pPr>
            <w:r>
              <w:rPr>
                <w:rFonts w:hint="eastAsia" w:ascii="宋体" w:hAnsi="宋体"/>
              </w:rPr>
              <w:sym w:font="Wingdings" w:char="00A8"/>
            </w:r>
            <w:r>
              <w:rPr>
                <w:rFonts w:hint="eastAsia" w:ascii="宋体" w:hAnsi="宋体"/>
              </w:rPr>
              <w:t>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979"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249" w:type="dxa"/>
            <w:vAlign w:val="center"/>
          </w:tcPr>
          <w:p>
            <w:pPr>
              <w:jc w:val="center"/>
              <w:rPr>
                <w:rFonts w:ascii="宋体" w:hAnsi="宋体"/>
              </w:rPr>
            </w:pPr>
            <w:r>
              <w:rPr>
                <w:rFonts w:hint="eastAsia" w:ascii="宋体" w:hAnsi="宋体"/>
              </w:rPr>
              <w:t>招标文件的澄清和修改</w:t>
            </w:r>
          </w:p>
        </w:tc>
        <w:tc>
          <w:tcPr>
            <w:tcW w:w="6390" w:type="dxa"/>
            <w:vAlign w:val="center"/>
          </w:tcPr>
          <w:p>
            <w:pPr>
              <w:jc w:val="left"/>
              <w:rPr>
                <w:rFonts w:ascii="宋体" w:hAnsi="宋体"/>
              </w:rPr>
            </w:pPr>
            <w:r>
              <w:rPr>
                <w:rFonts w:hint="eastAsia" w:ascii="宋体" w:hAnsi="宋体"/>
              </w:rPr>
              <w:t>不晚于投标截止日十五日前（详见招标公告），投标人有义务在招标期间在政府集中采购机构网站浏览与本项目有关的澄清和修改信息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979" w:type="dxa"/>
            <w:vAlign w:val="center"/>
          </w:tcPr>
          <w:p>
            <w:pPr>
              <w:jc w:val="center"/>
              <w:rPr>
                <w:rFonts w:ascii="宋体" w:hAnsi="宋体"/>
              </w:rPr>
            </w:pPr>
            <w:r>
              <w:rPr>
                <w:rFonts w:hint="eastAsia" w:ascii="宋体" w:hAnsi="宋体"/>
              </w:rPr>
              <w:t>2</w:t>
            </w:r>
            <w:r>
              <w:rPr>
                <w:rFonts w:ascii="宋体" w:hAnsi="宋体"/>
              </w:rPr>
              <w:t>0</w:t>
            </w:r>
          </w:p>
        </w:tc>
        <w:tc>
          <w:tcPr>
            <w:tcW w:w="2249" w:type="dxa"/>
            <w:vAlign w:val="center"/>
          </w:tcPr>
          <w:p>
            <w:pPr>
              <w:jc w:val="center"/>
              <w:rPr>
                <w:rFonts w:ascii="宋体" w:hAnsi="宋体"/>
              </w:rPr>
            </w:pPr>
            <w:r>
              <w:rPr>
                <w:rFonts w:hint="eastAsia" w:ascii="宋体" w:hAnsi="宋体"/>
              </w:rPr>
              <w:t>投标有效期</w:t>
            </w:r>
          </w:p>
        </w:tc>
        <w:tc>
          <w:tcPr>
            <w:tcW w:w="639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979" w:type="dxa"/>
            <w:vAlign w:val="center"/>
          </w:tcPr>
          <w:p>
            <w:pPr>
              <w:jc w:val="center"/>
              <w:rPr>
                <w:rFonts w:ascii="宋体" w:hAnsi="宋体"/>
              </w:rPr>
            </w:pPr>
            <w:r>
              <w:rPr>
                <w:rFonts w:hint="eastAsia" w:ascii="宋体" w:hAnsi="宋体"/>
              </w:rPr>
              <w:t>2</w:t>
            </w:r>
            <w:r>
              <w:rPr>
                <w:rFonts w:ascii="宋体" w:hAnsi="宋体"/>
              </w:rPr>
              <w:t>2</w:t>
            </w:r>
          </w:p>
        </w:tc>
        <w:tc>
          <w:tcPr>
            <w:tcW w:w="2249" w:type="dxa"/>
            <w:vAlign w:val="center"/>
          </w:tcPr>
          <w:p>
            <w:pPr>
              <w:jc w:val="center"/>
              <w:rPr>
                <w:rFonts w:ascii="宋体" w:hAnsi="宋体"/>
              </w:rPr>
            </w:pPr>
            <w:r>
              <w:rPr>
                <w:rFonts w:hint="eastAsia" w:ascii="宋体" w:hAnsi="宋体"/>
              </w:rPr>
              <w:t>投标人的替代方案</w:t>
            </w:r>
          </w:p>
        </w:tc>
        <w:tc>
          <w:tcPr>
            <w:tcW w:w="639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979" w:type="dxa"/>
            <w:vAlign w:val="center"/>
          </w:tcPr>
          <w:p>
            <w:pPr>
              <w:jc w:val="center"/>
              <w:rPr>
                <w:rFonts w:ascii="宋体" w:hAnsi="宋体"/>
              </w:rPr>
            </w:pPr>
            <w:r>
              <w:rPr>
                <w:rFonts w:hint="eastAsia" w:ascii="宋体" w:hAnsi="宋体"/>
              </w:rPr>
              <w:t>2</w:t>
            </w:r>
            <w:r>
              <w:rPr>
                <w:rFonts w:ascii="宋体" w:hAnsi="宋体"/>
              </w:rPr>
              <w:t>5</w:t>
            </w:r>
          </w:p>
        </w:tc>
        <w:tc>
          <w:tcPr>
            <w:tcW w:w="2249" w:type="dxa"/>
            <w:vAlign w:val="center"/>
          </w:tcPr>
          <w:p>
            <w:pPr>
              <w:jc w:val="center"/>
              <w:rPr>
                <w:rFonts w:ascii="宋体" w:hAnsi="宋体"/>
              </w:rPr>
            </w:pPr>
            <w:r>
              <w:rPr>
                <w:rFonts w:hint="eastAsia" w:ascii="宋体" w:hAnsi="宋体"/>
              </w:rPr>
              <w:t>投标文件递交形式</w:t>
            </w:r>
          </w:p>
        </w:tc>
        <w:tc>
          <w:tcPr>
            <w:tcW w:w="6390" w:type="dxa"/>
            <w:vAlign w:val="center"/>
          </w:tcPr>
          <w:p>
            <w:pPr>
              <w:jc w:val="center"/>
              <w:rPr>
                <w:rFonts w:ascii="宋体" w:hAnsi="宋体"/>
              </w:rPr>
            </w:pPr>
            <w:r>
              <w:rPr>
                <w:rFonts w:hint="eastAsia" w:ascii="宋体" w:hAnsi="宋体"/>
              </w:rPr>
              <w:t>电子投标文件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979" w:type="dxa"/>
            <w:vAlign w:val="center"/>
          </w:tcPr>
          <w:p>
            <w:pPr>
              <w:jc w:val="center"/>
              <w:rPr>
                <w:rFonts w:ascii="宋体" w:hAnsi="宋体"/>
              </w:rPr>
            </w:pPr>
            <w:r>
              <w:rPr>
                <w:rFonts w:hint="eastAsia" w:ascii="宋体" w:hAnsi="宋体"/>
              </w:rPr>
              <w:t>2</w:t>
            </w:r>
            <w:r>
              <w:rPr>
                <w:rFonts w:ascii="宋体" w:hAnsi="宋体"/>
              </w:rPr>
              <w:t>6</w:t>
            </w:r>
          </w:p>
        </w:tc>
        <w:tc>
          <w:tcPr>
            <w:tcW w:w="2249" w:type="dxa"/>
            <w:vAlign w:val="center"/>
          </w:tcPr>
          <w:p>
            <w:pPr>
              <w:jc w:val="center"/>
              <w:rPr>
                <w:rFonts w:ascii="宋体" w:hAnsi="宋体"/>
              </w:rPr>
            </w:pPr>
            <w:bookmarkStart w:id="57" w:name="_Hlk71664860"/>
            <w:r>
              <w:rPr>
                <w:rFonts w:hint="eastAsia" w:ascii="宋体" w:hAnsi="宋体"/>
              </w:rPr>
              <w:t>样品、演示、方案讲解</w:t>
            </w:r>
            <w:bookmarkEnd w:id="57"/>
          </w:p>
        </w:tc>
        <w:tc>
          <w:tcPr>
            <w:tcW w:w="6390" w:type="dxa"/>
            <w:vAlign w:val="center"/>
          </w:tcPr>
          <w:p>
            <w:pPr>
              <w:jc w:val="center"/>
              <w:rPr>
                <w:rFonts w:ascii="宋体" w:hAnsi="宋体"/>
                <w:b/>
              </w:rPr>
            </w:pPr>
            <w:r>
              <w:rPr>
                <w:rFonts w:ascii="宋体" w:hAnsi="宋体"/>
                <w:b/>
                <w:color w:val="FF0000"/>
              </w:rPr>
              <w:t>有</w:t>
            </w:r>
            <w:r>
              <w:rPr>
                <w:rFonts w:hint="eastAsia" w:ascii="宋体" w:hAnsi="宋体"/>
                <w:b/>
                <w:lang w:val="en-US" w:eastAsia="zh-CN"/>
              </w:rPr>
              <w:t>视频演示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79" w:type="dxa"/>
            <w:vAlign w:val="center"/>
          </w:tcPr>
          <w:p>
            <w:pPr>
              <w:jc w:val="center"/>
              <w:rPr>
                <w:rFonts w:ascii="宋体" w:hAnsi="宋体"/>
              </w:rPr>
            </w:pPr>
            <w:r>
              <w:rPr>
                <w:rFonts w:hint="eastAsia" w:ascii="宋体" w:hAnsi="宋体"/>
              </w:rPr>
              <w:t>3</w:t>
            </w:r>
            <w:r>
              <w:rPr>
                <w:rFonts w:ascii="宋体" w:hAnsi="宋体"/>
              </w:rPr>
              <w:t>7</w:t>
            </w:r>
          </w:p>
        </w:tc>
        <w:tc>
          <w:tcPr>
            <w:tcW w:w="2249" w:type="dxa"/>
            <w:vAlign w:val="center"/>
          </w:tcPr>
          <w:p>
            <w:pPr>
              <w:jc w:val="center"/>
              <w:rPr>
                <w:rFonts w:ascii="宋体" w:hAnsi="宋体"/>
              </w:rPr>
            </w:pPr>
            <w:r>
              <w:rPr>
                <w:rFonts w:hint="eastAsia" w:ascii="宋体" w:hAnsi="宋体"/>
              </w:rPr>
              <w:t>评审方法</w:t>
            </w:r>
          </w:p>
        </w:tc>
        <w:tc>
          <w:tcPr>
            <w:tcW w:w="6390" w:type="dxa"/>
            <w:vAlign w:val="center"/>
          </w:tcPr>
          <w:p>
            <w:pPr>
              <w:jc w:val="center"/>
              <w:rPr>
                <w:rFonts w:ascii="宋体" w:hAnsi="宋体"/>
              </w:rPr>
            </w:pPr>
            <w:r>
              <w:rPr>
                <w:rFonts w:hint="eastAsia" w:ascii="宋体" w:hAnsi="宋体"/>
                <w:color w:val="FF0000"/>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979" w:type="dxa"/>
            <w:vAlign w:val="center"/>
          </w:tcPr>
          <w:p>
            <w:pPr>
              <w:jc w:val="center"/>
              <w:rPr>
                <w:rFonts w:ascii="宋体" w:hAnsi="宋体"/>
              </w:rPr>
            </w:pPr>
            <w:r>
              <w:rPr>
                <w:rFonts w:hint="eastAsia" w:ascii="宋体" w:hAnsi="宋体"/>
              </w:rPr>
              <w:t>3</w:t>
            </w:r>
            <w:r>
              <w:rPr>
                <w:rFonts w:ascii="宋体" w:hAnsi="宋体"/>
              </w:rPr>
              <w:t>8</w:t>
            </w:r>
          </w:p>
        </w:tc>
        <w:tc>
          <w:tcPr>
            <w:tcW w:w="2249" w:type="dxa"/>
            <w:vAlign w:val="center"/>
          </w:tcPr>
          <w:p>
            <w:pPr>
              <w:jc w:val="center"/>
              <w:rPr>
                <w:rFonts w:ascii="宋体" w:hAnsi="宋体"/>
              </w:rPr>
            </w:pPr>
            <w:r>
              <w:rPr>
                <w:rFonts w:hint="eastAsia" w:ascii="宋体" w:hAnsi="宋体"/>
              </w:rPr>
              <w:t>定标方法</w:t>
            </w:r>
          </w:p>
        </w:tc>
        <w:tc>
          <w:tcPr>
            <w:tcW w:w="6390" w:type="dxa"/>
            <w:vAlign w:val="center"/>
          </w:tcPr>
          <w:p>
            <w:pPr>
              <w:jc w:val="left"/>
              <w:rPr>
                <w:rFonts w:ascii="宋体" w:hAnsi="宋体"/>
              </w:rPr>
            </w:pPr>
            <w:r>
              <w:rPr>
                <w:rFonts w:hint="eastAsia" w:ascii="宋体" w:hAnsi="宋体"/>
              </w:rPr>
              <w:sym w:font="Wingdings" w:char="00A8"/>
            </w:r>
            <w:r>
              <w:rPr>
                <w:rFonts w:hint="eastAsia" w:ascii="宋体" w:hAnsi="宋体"/>
              </w:rPr>
              <w:t>评定分离</w:t>
            </w:r>
          </w:p>
          <w:p>
            <w:pPr>
              <w:jc w:val="left"/>
              <w:rPr>
                <w:rFonts w:ascii="宋体" w:hAnsi="宋体"/>
              </w:rPr>
            </w:pPr>
            <w:r>
              <w:rPr>
                <w:rFonts w:hint="eastAsia" w:ascii="宋体" w:hAnsi="宋体"/>
              </w:rPr>
              <w:sym w:font="Wingdings" w:char="00FE"/>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43" w:hRule="atLeast"/>
          <w:jc w:val="center"/>
        </w:trPr>
        <w:tc>
          <w:tcPr>
            <w:tcW w:w="979" w:type="dxa"/>
            <w:vAlign w:val="center"/>
          </w:tcPr>
          <w:p>
            <w:pPr>
              <w:jc w:val="center"/>
              <w:rPr>
                <w:rFonts w:ascii="宋体" w:hAnsi="宋体"/>
              </w:rPr>
            </w:pPr>
            <w:r>
              <w:rPr>
                <w:rFonts w:hint="eastAsia" w:ascii="宋体" w:hAnsi="宋体"/>
              </w:rPr>
              <w:t>4</w:t>
            </w:r>
            <w:r>
              <w:rPr>
                <w:rFonts w:ascii="宋体" w:hAnsi="宋体"/>
              </w:rPr>
              <w:t>6</w:t>
            </w:r>
          </w:p>
        </w:tc>
        <w:tc>
          <w:tcPr>
            <w:tcW w:w="2249" w:type="dxa"/>
            <w:vAlign w:val="center"/>
          </w:tcPr>
          <w:p>
            <w:pPr>
              <w:jc w:val="center"/>
              <w:rPr>
                <w:rFonts w:ascii="宋体" w:hAnsi="宋体"/>
              </w:rPr>
            </w:pPr>
            <w:r>
              <w:rPr>
                <w:rFonts w:hint="eastAsia" w:ascii="宋体" w:hAnsi="宋体"/>
              </w:rPr>
              <w:t>投标保证金</w:t>
            </w:r>
          </w:p>
        </w:tc>
        <w:tc>
          <w:tcPr>
            <w:tcW w:w="6390" w:type="dxa"/>
            <w:vAlign w:val="center"/>
          </w:tcPr>
          <w:p>
            <w:pPr>
              <w:spacing w:line="440" w:lineRule="exact"/>
              <w:jc w:val="left"/>
              <w:rPr>
                <w:rFonts w:ascii="宋体" w:hAnsi="宋体" w:cs="宋体"/>
              </w:rPr>
            </w:pPr>
            <w:r>
              <w:rPr>
                <w:rFonts w:hint="eastAsia" w:ascii="宋体" w:hAnsi="宋体" w:cs="宋体"/>
              </w:rPr>
              <w:sym w:font="Wingdings" w:char="00A8"/>
            </w:r>
            <w:r>
              <w:rPr>
                <w:rFonts w:hint="eastAsia" w:ascii="宋体" w:hAnsi="宋体" w:cs="宋体"/>
              </w:rPr>
              <w:t>不需要缴纳</w:t>
            </w:r>
          </w:p>
          <w:p>
            <w:pPr>
              <w:jc w:val="left"/>
              <w:rPr>
                <w:rFonts w:ascii="宋体" w:hAnsi="宋体"/>
              </w:rPr>
            </w:pPr>
            <w:r>
              <w:rPr>
                <w:rFonts w:hint="eastAsia" w:ascii="宋体" w:hAnsi="宋体"/>
              </w:rPr>
              <w:sym w:font="Wingdings" w:char="00FE"/>
            </w:r>
            <w:r>
              <w:rPr>
                <w:rFonts w:hint="eastAsia" w:ascii="宋体" w:hAnsi="宋体"/>
              </w:rPr>
              <w:t>需要缴纳，投标保证金金额：</w:t>
            </w:r>
            <w:r>
              <w:rPr>
                <w:rFonts w:hint="eastAsia" w:ascii="宋体" w:hAnsi="宋体"/>
                <w:color w:val="FF0000"/>
              </w:rPr>
              <w:t>大写：捌万元整；小写：80000元</w:t>
            </w:r>
            <w:r>
              <w:rPr>
                <w:rFonts w:hint="eastAsia" w:ascii="宋体" w:hAnsi="宋体"/>
              </w:rPr>
              <w:t xml:space="preserve"> </w:t>
            </w:r>
          </w:p>
          <w:p>
            <w:pPr>
              <w:ind w:firstLine="420" w:firstLineChars="200"/>
              <w:jc w:val="left"/>
              <w:rPr>
                <w:rFonts w:ascii="宋体" w:hAnsi="宋体"/>
              </w:rPr>
            </w:pPr>
            <w:r>
              <w:rPr>
                <w:rFonts w:hint="eastAsia" w:ascii="宋体" w:hAnsi="宋体"/>
              </w:rPr>
              <w:t>投标保证金缴纳形式：供应商自主选择以电汇、网银、支票、汇票、本票或者金融机构、担保机构出具的保函等非现金形式提交投标保证金。以保函形式（银行保函、担保保函）提交的，</w:t>
            </w:r>
            <w:r>
              <w:rPr>
                <w:rFonts w:hint="eastAsia" w:ascii="宋体" w:hAnsi="宋体"/>
                <w:color w:val="FF0000"/>
              </w:rPr>
              <w:t>保函有效期开具不少于4个月</w:t>
            </w:r>
            <w:r>
              <w:rPr>
                <w:rFonts w:hint="eastAsia" w:ascii="宋体" w:hAnsi="宋体"/>
              </w:rPr>
              <w:t>。以电子保函形式提交的，请登录政府采购云平台-金融服务中心-保险保函服务，进行在线保函申请、受理、费用支付。</w:t>
            </w:r>
          </w:p>
          <w:p>
            <w:pPr>
              <w:ind w:firstLine="420" w:firstLineChars="200"/>
              <w:jc w:val="left"/>
              <w:rPr>
                <w:rFonts w:ascii="宋体" w:hAnsi="宋体"/>
                <w:b/>
                <w:bCs/>
                <w:color w:val="FF0000"/>
              </w:rPr>
            </w:pPr>
            <w:r>
              <w:rPr>
                <w:rFonts w:hint="eastAsia" w:ascii="宋体" w:hAnsi="宋体"/>
              </w:rPr>
              <w:t>供应商须在汇款凭证上的用途栏注明所投标的项目名称或项目编号，</w:t>
            </w:r>
            <w:r>
              <w:rPr>
                <w:rFonts w:hint="eastAsia" w:ascii="宋体" w:hAnsi="宋体"/>
                <w:b/>
                <w:bCs/>
                <w:color w:val="FF0000"/>
              </w:rPr>
              <w:t>标准格式为：</w:t>
            </w:r>
            <w:r>
              <w:rPr>
                <w:rFonts w:hint="eastAsia" w:ascii="宋体" w:hAnsi="宋体"/>
                <w:b/>
                <w:bCs/>
                <w:color w:val="FF0000"/>
                <w:lang w:eastAsia="zh-CN"/>
              </w:rPr>
              <w:t>BZZZZX(GK)2025-028</w:t>
            </w:r>
            <w:r>
              <w:rPr>
                <w:rFonts w:hint="eastAsia" w:ascii="宋体" w:hAnsi="宋体"/>
                <w:b/>
                <w:bCs/>
                <w:color w:val="FF0000"/>
              </w:rPr>
              <w:t>号投标保证金。</w:t>
            </w:r>
          </w:p>
          <w:p>
            <w:pPr>
              <w:jc w:val="left"/>
              <w:rPr>
                <w:rFonts w:ascii="宋体" w:hAnsi="宋体"/>
              </w:rPr>
            </w:pPr>
            <w:r>
              <w:rPr>
                <w:rFonts w:hint="eastAsia" w:ascii="宋体" w:hAnsi="宋体"/>
              </w:rPr>
              <w:t>账户名称：巴音郭楞蒙古自治州政务服务和公共资源交易中心</w:t>
            </w:r>
          </w:p>
          <w:p>
            <w:pPr>
              <w:jc w:val="left"/>
              <w:rPr>
                <w:rFonts w:ascii="宋体" w:hAnsi="宋体"/>
              </w:rPr>
            </w:pPr>
            <w:r>
              <w:rPr>
                <w:rFonts w:hint="eastAsia" w:ascii="宋体" w:hAnsi="宋体"/>
              </w:rPr>
              <w:t>开户银行：中国工商银行股份有限公司库尔勒香梨大道支行</w:t>
            </w:r>
          </w:p>
          <w:p>
            <w:pPr>
              <w:jc w:val="left"/>
              <w:rPr>
                <w:rFonts w:ascii="宋体" w:hAnsi="宋体"/>
              </w:rPr>
            </w:pPr>
            <w:r>
              <w:rPr>
                <w:rFonts w:hint="eastAsia" w:ascii="宋体" w:hAnsi="宋体"/>
              </w:rPr>
              <w:t>银行行号：102888000216</w:t>
            </w:r>
          </w:p>
          <w:p>
            <w:pPr>
              <w:jc w:val="left"/>
              <w:rPr>
                <w:rFonts w:ascii="宋体" w:hAnsi="宋体"/>
              </w:rPr>
            </w:pPr>
            <w:r>
              <w:rPr>
                <w:rFonts w:hint="eastAsia" w:ascii="宋体" w:hAnsi="宋体"/>
              </w:rPr>
              <w:t>银行账号：3010029129200100817-000000004</w:t>
            </w:r>
          </w:p>
          <w:p>
            <w:pPr>
              <w:jc w:val="left"/>
              <w:rPr>
                <w:rFonts w:ascii="宋体" w:hAnsi="宋体"/>
                <w:b/>
                <w:bCs/>
              </w:rPr>
            </w:pPr>
            <w:r>
              <w:rPr>
                <w:rFonts w:hint="eastAsia" w:ascii="宋体" w:hAnsi="宋体"/>
              </w:rPr>
              <w:t>供应商应于</w:t>
            </w:r>
            <w:r>
              <w:rPr>
                <w:rFonts w:hint="eastAsia" w:ascii="宋体" w:hAnsi="宋体"/>
                <w:color w:val="FF0000"/>
              </w:rPr>
              <w:t>2025年</w:t>
            </w:r>
            <w:r>
              <w:rPr>
                <w:rFonts w:hint="eastAsia" w:ascii="宋体" w:hAnsi="宋体"/>
                <w:color w:val="FF0000"/>
                <w:lang w:val="en-US" w:eastAsia="zh-CN"/>
              </w:rPr>
              <w:t>6</w:t>
            </w:r>
            <w:r>
              <w:rPr>
                <w:rFonts w:hint="eastAsia" w:ascii="宋体" w:hAnsi="宋体"/>
                <w:color w:val="FF0000"/>
              </w:rPr>
              <w:t>月</w:t>
            </w:r>
            <w:r>
              <w:rPr>
                <w:rFonts w:hint="eastAsia" w:ascii="宋体" w:hAnsi="宋体"/>
                <w:color w:val="FF0000"/>
                <w:lang w:val="en-US" w:eastAsia="zh-CN"/>
              </w:rPr>
              <w:t>05</w:t>
            </w:r>
            <w:r>
              <w:rPr>
                <w:rFonts w:hint="eastAsia" w:ascii="宋体" w:hAnsi="宋体"/>
                <w:color w:val="FF0000"/>
              </w:rPr>
              <w:t>日 上午10：30 时</w:t>
            </w:r>
            <w:r>
              <w:rPr>
                <w:rFonts w:hint="eastAsia" w:ascii="宋体" w:hAnsi="宋体"/>
              </w:rPr>
              <w:t>前（北京时间）将投标保证金缴纳至集采机构指定账户，非现金形式的电汇、网银支付等方式必须从供应商的基本账户汇出(个体工商户除外)。</w:t>
            </w:r>
          </w:p>
          <w:p>
            <w:pPr>
              <w:jc w:val="left"/>
              <w:rPr>
                <w:rFonts w:ascii="宋体" w:hAnsi="宋体"/>
                <w:b/>
                <w:bCs/>
              </w:rPr>
            </w:pPr>
            <w:r>
              <w:rPr>
                <w:rFonts w:hint="eastAsia" w:ascii="宋体" w:hAnsi="宋体"/>
                <w:b/>
                <w:bCs/>
              </w:rPr>
              <w:t>备注：</w:t>
            </w:r>
          </w:p>
          <w:p>
            <w:pPr>
              <w:ind w:firstLine="420" w:firstLineChars="200"/>
              <w:jc w:val="left"/>
              <w:rPr>
                <w:rFonts w:ascii="宋体" w:hAnsi="宋体"/>
              </w:rPr>
            </w:pPr>
            <w:r>
              <w:rPr>
                <w:rFonts w:hint="eastAsia" w:ascii="宋体" w:hAnsi="宋体"/>
              </w:rPr>
              <w:t>1.投标保证金/电子保函未按规定时间缴纳或提交金额（担保金额）不足的，将被视为无效投标,其投标文件将不予接受（供应商应充分考虑资金在途时间）；</w:t>
            </w:r>
          </w:p>
          <w:p>
            <w:pPr>
              <w:ind w:firstLine="420" w:firstLineChars="200"/>
              <w:jc w:val="left"/>
              <w:rPr>
                <w:rFonts w:ascii="宋体" w:hAnsi="宋体"/>
              </w:rPr>
            </w:pPr>
            <w:r>
              <w:rPr>
                <w:rFonts w:hint="eastAsia" w:ascii="宋体" w:hAnsi="宋体"/>
              </w:rPr>
              <w:t>2.未中标供应商的投标保证金自中标通知书发出之日起5个工作日内原路退还；中标供应商的投标保证金在缴纳完成履约保证金并签订合同后，我中心自收到材料之日起5个工作日内原路退还。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080" w:hRule="atLeast"/>
          <w:jc w:val="center"/>
        </w:trPr>
        <w:tc>
          <w:tcPr>
            <w:tcW w:w="979" w:type="dxa"/>
            <w:vAlign w:val="center"/>
          </w:tcPr>
          <w:p>
            <w:pPr>
              <w:jc w:val="center"/>
              <w:rPr>
                <w:rFonts w:ascii="宋体" w:hAnsi="宋体"/>
              </w:rPr>
            </w:pPr>
            <w:r>
              <w:rPr>
                <w:rFonts w:hint="eastAsia" w:ascii="宋体" w:hAnsi="宋体"/>
              </w:rPr>
              <w:t>46</w:t>
            </w:r>
          </w:p>
        </w:tc>
        <w:tc>
          <w:tcPr>
            <w:tcW w:w="2249" w:type="dxa"/>
            <w:vAlign w:val="center"/>
          </w:tcPr>
          <w:p>
            <w:pPr>
              <w:jc w:val="center"/>
              <w:rPr>
                <w:rFonts w:ascii="宋体" w:hAnsi="宋体"/>
              </w:rPr>
            </w:pPr>
            <w:r>
              <w:rPr>
                <w:rFonts w:hint="eastAsia" w:ascii="宋体" w:hAnsi="宋体"/>
              </w:rPr>
              <w:t>履约保证金</w:t>
            </w:r>
          </w:p>
        </w:tc>
        <w:tc>
          <w:tcPr>
            <w:tcW w:w="6390" w:type="dxa"/>
            <w:vAlign w:val="center"/>
          </w:tcPr>
          <w:p>
            <w:pPr>
              <w:jc w:val="left"/>
              <w:rPr>
                <w:rFonts w:ascii="宋体" w:hAnsi="宋体"/>
              </w:rPr>
            </w:pPr>
            <w:r>
              <w:rPr>
                <w:rFonts w:hint="eastAsia" w:ascii="宋体" w:hAnsi="宋体"/>
              </w:rPr>
              <w:sym w:font="Wingdings" w:char="00A8"/>
            </w:r>
            <w:r>
              <w:rPr>
                <w:rFonts w:hint="eastAsia" w:ascii="宋体" w:hAnsi="宋体"/>
              </w:rPr>
              <w:t>不需要缴纳</w:t>
            </w:r>
          </w:p>
          <w:p>
            <w:pPr>
              <w:jc w:val="left"/>
              <w:rPr>
                <w:rFonts w:ascii="宋体" w:hAnsi="宋体"/>
              </w:rPr>
            </w:pPr>
            <w:r>
              <w:rPr>
                <w:rFonts w:hint="eastAsia" w:ascii="宋体" w:hAnsi="宋体"/>
              </w:rPr>
              <w:sym w:font="Wingdings" w:char="00FE"/>
            </w:r>
            <w:r>
              <w:rPr>
                <w:rFonts w:hint="eastAsia" w:ascii="宋体" w:hAnsi="宋体"/>
              </w:rPr>
              <w:t>需要缴纳</w:t>
            </w:r>
          </w:p>
          <w:p>
            <w:pPr>
              <w:ind w:firstLine="420" w:firstLineChars="200"/>
              <w:jc w:val="left"/>
              <w:rPr>
                <w:rFonts w:ascii="宋体" w:hAnsi="宋体"/>
              </w:rPr>
            </w:pPr>
            <w:r>
              <w:rPr>
                <w:rFonts w:hint="eastAsia" w:ascii="宋体" w:hAnsi="宋体"/>
              </w:rPr>
              <w:t>1.履约保证金为中标金额的5 %；</w:t>
            </w:r>
          </w:p>
          <w:p>
            <w:pPr>
              <w:ind w:firstLine="420" w:firstLineChars="200"/>
              <w:jc w:val="left"/>
              <w:rPr>
                <w:rFonts w:hint="eastAsia" w:ascii="宋体" w:hAnsi="宋体"/>
                <w:b/>
                <w:bCs/>
                <w:color w:val="FF0000"/>
              </w:rPr>
            </w:pPr>
            <w:r>
              <w:rPr>
                <w:rFonts w:hint="eastAsia" w:ascii="宋体" w:hAnsi="宋体"/>
              </w:rPr>
              <w:t>2.履约保证金缴纳形式及账号同上（投标保证金账户），中标供应商须在汇款凭证上的用途栏注明中标项目名称或项目编号，标准格式为：</w:t>
            </w:r>
            <w:r>
              <w:rPr>
                <w:rFonts w:hint="eastAsia" w:ascii="宋体" w:hAnsi="宋体"/>
                <w:b/>
                <w:bCs/>
                <w:color w:val="FF0000"/>
                <w:lang w:eastAsia="zh-CN"/>
              </w:rPr>
              <w:t>BZZZZX(GK)2025-028</w:t>
            </w:r>
            <w:r>
              <w:rPr>
                <w:rFonts w:hint="eastAsia" w:ascii="宋体" w:hAnsi="宋体"/>
                <w:b/>
                <w:bCs/>
                <w:color w:val="FF0000"/>
              </w:rPr>
              <w:t>号履约保证金。</w:t>
            </w:r>
          </w:p>
          <w:p>
            <w:pPr>
              <w:jc w:val="left"/>
              <w:rPr>
                <w:rFonts w:ascii="宋体" w:hAnsi="宋体"/>
              </w:rPr>
            </w:pPr>
            <w:r>
              <w:rPr>
                <w:rFonts w:hint="eastAsia" w:ascii="宋体" w:hAnsi="宋体"/>
              </w:rPr>
              <w:t>账户名称：巴音郭楞蒙古自治州政务服务和公共资源交易中心</w:t>
            </w:r>
          </w:p>
          <w:p>
            <w:pPr>
              <w:jc w:val="left"/>
              <w:rPr>
                <w:rFonts w:ascii="宋体" w:hAnsi="宋体"/>
              </w:rPr>
            </w:pPr>
            <w:r>
              <w:rPr>
                <w:rFonts w:hint="eastAsia" w:ascii="宋体" w:hAnsi="宋体"/>
              </w:rPr>
              <w:t>开户银行：中国建设银行股份有限公司库尔勒香梨大道支行</w:t>
            </w:r>
          </w:p>
          <w:p>
            <w:pPr>
              <w:jc w:val="left"/>
              <w:rPr>
                <w:rFonts w:ascii="宋体" w:hAnsi="宋体"/>
              </w:rPr>
            </w:pPr>
            <w:r>
              <w:rPr>
                <w:rFonts w:hint="eastAsia" w:ascii="宋体" w:hAnsi="宋体"/>
              </w:rPr>
              <w:t>银行行号：105888000160</w:t>
            </w:r>
          </w:p>
          <w:p>
            <w:pPr>
              <w:jc w:val="left"/>
            </w:pPr>
            <w:r>
              <w:rPr>
                <w:rFonts w:hint="eastAsia" w:ascii="宋体" w:hAnsi="宋体"/>
              </w:rPr>
              <w:t>银行账号：65050170604600000534-00004</w:t>
            </w:r>
          </w:p>
          <w:p>
            <w:pPr>
              <w:ind w:firstLine="420" w:firstLineChars="200"/>
              <w:jc w:val="left"/>
              <w:rPr>
                <w:rFonts w:ascii="宋体" w:hAnsi="宋体"/>
              </w:rPr>
            </w:pPr>
            <w:r>
              <w:rPr>
                <w:rFonts w:hint="eastAsia" w:ascii="宋体" w:hAnsi="宋体"/>
              </w:rPr>
              <w:t>3.以保函形式（银行保函、担保保函）提交的，保函有效期开具不少于12个月。</w:t>
            </w:r>
          </w:p>
          <w:p>
            <w:pPr>
              <w:ind w:firstLine="420" w:firstLineChars="200"/>
              <w:jc w:val="left"/>
              <w:rPr>
                <w:rFonts w:ascii="宋体" w:hAnsi="宋体"/>
              </w:rPr>
            </w:pPr>
            <w:r>
              <w:rPr>
                <w:rFonts w:hint="eastAsia" w:ascii="宋体" w:hAnsi="宋体"/>
              </w:rPr>
              <w:t>4.履约保证金退付：项目质量达合格验收标准后，由采购人出具验收单及无质量问题证明原件后，由中标（成交）供应商至我中心办理无息退付手续。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79" w:type="dxa"/>
            <w:vAlign w:val="center"/>
          </w:tcPr>
          <w:p>
            <w:pPr>
              <w:jc w:val="center"/>
              <w:rPr>
                <w:rFonts w:ascii="宋体" w:hAnsi="宋体"/>
              </w:rPr>
            </w:pPr>
          </w:p>
        </w:tc>
        <w:tc>
          <w:tcPr>
            <w:tcW w:w="2249" w:type="dxa"/>
            <w:vAlign w:val="center"/>
          </w:tcPr>
          <w:p>
            <w:pPr>
              <w:jc w:val="center"/>
              <w:rPr>
                <w:rFonts w:ascii="宋体" w:hAnsi="宋体"/>
              </w:rPr>
            </w:pPr>
            <w:r>
              <w:rPr>
                <w:rFonts w:hint="eastAsia" w:ascii="宋体" w:hAnsi="宋体"/>
              </w:rPr>
              <w:t>付款方式</w:t>
            </w:r>
          </w:p>
        </w:tc>
        <w:tc>
          <w:tcPr>
            <w:tcW w:w="6390" w:type="dxa"/>
            <w:vAlign w:val="center"/>
          </w:tcPr>
          <w:p>
            <w:r>
              <w:rPr>
                <w:rFonts w:hint="eastAsia"/>
              </w:rPr>
              <w:t>项目合同签订支付合同价款</w:t>
            </w:r>
            <w:r>
              <w:rPr>
                <w:rFonts w:hint="eastAsia"/>
                <w:lang w:val="en-US" w:eastAsia="zh-CN"/>
              </w:rPr>
              <w:t>5</w:t>
            </w:r>
            <w:r>
              <w:rPr>
                <w:rFonts w:hint="eastAsia"/>
              </w:rPr>
              <w:t>0%，项目进度达到整体50%支付合同价款30%，剩余</w:t>
            </w:r>
            <w:r>
              <w:rPr>
                <w:rFonts w:hint="eastAsia"/>
                <w:lang w:val="en-US" w:eastAsia="zh-CN"/>
              </w:rPr>
              <w:t>2</w:t>
            </w:r>
            <w:r>
              <w:rPr>
                <w:rFonts w:hint="eastAsia"/>
              </w:rPr>
              <w:t>0%审计通过，验收合格后支付。</w:t>
            </w:r>
          </w:p>
        </w:tc>
      </w:tr>
    </w:tbl>
    <w:p>
      <w:pPr>
        <w:jc w:val="left"/>
        <w:rPr>
          <w:rFonts w:ascii="宋体" w:hAnsi="宋体"/>
          <w:b/>
        </w:rPr>
      </w:pPr>
      <w:r>
        <w:rPr>
          <w:rFonts w:hint="eastAsia" w:ascii="宋体" w:hAnsi="宋体"/>
        </w:rPr>
        <w:t>备注：本表是通用条款相关条款的补充和明确，如与通用条款内容相冲突的，以本表为准。</w:t>
      </w:r>
    </w:p>
    <w:p>
      <w:pPr>
        <w:pStyle w:val="5"/>
        <w:rPr>
          <w:rFonts w:ascii="宋体" w:hAnsi="宋体" w:eastAsia="宋体" w:cs="方正小标宋_GBK"/>
          <w:bCs w:val="0"/>
          <w:sz w:val="32"/>
          <w:szCs w:val="32"/>
        </w:rPr>
      </w:pPr>
      <w:r>
        <w:rPr>
          <w:rFonts w:hint="eastAsia" w:ascii="宋体" w:hAnsi="宋体" w:eastAsia="宋体" w:cs="方正小标宋_GBK"/>
          <w:bCs w:val="0"/>
          <w:sz w:val="32"/>
          <w:szCs w:val="32"/>
        </w:rPr>
        <w:t>二、其他关键信息</w:t>
      </w:r>
    </w:p>
    <w:p>
      <w:pPr>
        <w:ind w:firstLine="422" w:firstLineChars="200"/>
        <w:rPr>
          <w:rFonts w:ascii="宋体" w:hAnsi="宋体"/>
          <w:b/>
          <w:bCs/>
        </w:rPr>
      </w:pPr>
      <w:r>
        <w:rPr>
          <w:rFonts w:hint="eastAsia" w:ascii="宋体" w:hAnsi="宋体"/>
          <w:b/>
          <w:bCs/>
        </w:rPr>
        <w:t>（一）与“对通用条款的补充内容”章节相关的事项</w:t>
      </w:r>
    </w:p>
    <w:p>
      <w:pPr>
        <w:ind w:firstLine="422" w:firstLineChars="200"/>
        <w:rPr>
          <w:rFonts w:ascii="宋体" w:hAnsi="宋体"/>
          <w:b/>
          <w:bCs/>
        </w:rPr>
      </w:pPr>
    </w:p>
    <w:tbl>
      <w:tblPr>
        <w:tblStyle w:val="39"/>
        <w:tblpPr w:leftFromText="180" w:rightFromText="180" w:vertAnchor="text" w:horzAnchor="page" w:tblpX="1270"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069" w:type="dxa"/>
          </w:tcPr>
          <w:p>
            <w:pPr>
              <w:rPr>
                <w:rFonts w:ascii="宋体" w:hAnsi="宋体"/>
              </w:rPr>
            </w:pPr>
            <w:bookmarkStart w:id="58" w:name="_Hlk72579465"/>
          </w:p>
          <w:p>
            <w:pPr>
              <w:ind w:firstLine="630" w:firstLineChars="300"/>
              <w:rPr>
                <w:rFonts w:ascii="宋体" w:hAnsi="宋体"/>
              </w:rPr>
            </w:pPr>
            <w:r>
              <w:rPr>
                <w:rFonts w:hint="eastAsia" w:ascii="宋体" w:hAnsi="宋体"/>
              </w:rPr>
              <w:t>评审专家组建及抽取</w:t>
            </w:r>
          </w:p>
        </w:tc>
        <w:tc>
          <w:tcPr>
            <w:tcW w:w="6767" w:type="dxa"/>
          </w:tcPr>
          <w:p>
            <w:pPr>
              <w:rPr>
                <w:rFonts w:ascii="宋体" w:hAnsi="宋体"/>
                <w:szCs w:val="24"/>
              </w:rPr>
            </w:pPr>
            <w:r>
              <w:rPr>
                <w:rFonts w:hint="eastAsia" w:ascii="宋体" w:hAnsi="宋体" w:cs="宋体"/>
              </w:rPr>
              <w:t>专家抽取共</w:t>
            </w:r>
            <w:r>
              <w:rPr>
                <w:rFonts w:hint="eastAsia" w:ascii="宋体" w:hAnsi="宋体" w:cs="宋体"/>
                <w:color w:val="FF0000"/>
              </w:rPr>
              <w:t>5</w:t>
            </w:r>
            <w:r>
              <w:rPr>
                <w:rFonts w:hint="eastAsia" w:ascii="宋体" w:hAnsi="宋体" w:cs="宋体"/>
              </w:rPr>
              <w:t>人，其中采购人代表</w:t>
            </w:r>
            <w:r>
              <w:rPr>
                <w:rFonts w:hint="eastAsia" w:ascii="宋体" w:hAnsi="宋体" w:cs="宋体"/>
                <w:color w:val="FF0000"/>
              </w:rPr>
              <w:t>1</w:t>
            </w:r>
            <w:r>
              <w:rPr>
                <w:rFonts w:hint="eastAsia" w:ascii="宋体" w:hAnsi="宋体" w:cs="宋体"/>
              </w:rPr>
              <w:t>人，政采云评标专家库中随机抽取</w:t>
            </w:r>
            <w:r>
              <w:rPr>
                <w:rFonts w:hint="eastAsia" w:ascii="宋体" w:hAnsi="宋体" w:cs="宋体"/>
                <w:color w:val="FF0000"/>
              </w:rPr>
              <w:t>4</w:t>
            </w:r>
            <w:r>
              <w:rPr>
                <w:rFonts w:hint="eastAsia" w:ascii="宋体" w:hAnsi="宋体" w:cs="宋体"/>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69" w:type="dxa"/>
          </w:tcPr>
          <w:p>
            <w:pPr>
              <w:jc w:val="center"/>
              <w:rPr>
                <w:rFonts w:ascii="宋体" w:hAnsi="宋体"/>
              </w:rPr>
            </w:pPr>
            <w:r>
              <w:rPr>
                <w:rFonts w:hint="eastAsia" w:ascii="宋体" w:hAnsi="宋体"/>
              </w:rPr>
              <w:t>评标方法</w:t>
            </w:r>
          </w:p>
        </w:tc>
        <w:tc>
          <w:tcPr>
            <w:tcW w:w="6767" w:type="dxa"/>
          </w:tcPr>
          <w:p>
            <w:pPr>
              <w:jc w:val="center"/>
              <w:rPr>
                <w:rFonts w:ascii="宋体" w:hAnsi="宋体"/>
                <w:szCs w:val="24"/>
              </w:rPr>
            </w:pP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069" w:type="dxa"/>
          </w:tcPr>
          <w:p>
            <w:pPr>
              <w:jc w:val="center"/>
              <w:rPr>
                <w:rFonts w:ascii="宋体" w:hAnsi="宋体"/>
              </w:rPr>
            </w:pPr>
          </w:p>
          <w:p>
            <w:pPr>
              <w:jc w:val="center"/>
              <w:rPr>
                <w:rFonts w:ascii="宋体" w:hAnsi="宋体"/>
              </w:rPr>
            </w:pPr>
            <w:r>
              <w:rPr>
                <w:rFonts w:hint="eastAsia" w:ascii="宋体" w:hAnsi="宋体"/>
              </w:rPr>
              <w:t>定标方法</w:t>
            </w:r>
          </w:p>
        </w:tc>
        <w:tc>
          <w:tcPr>
            <w:tcW w:w="6767" w:type="dxa"/>
          </w:tcPr>
          <w:p>
            <w:pPr>
              <w:ind w:firstLine="420" w:firstLineChars="200"/>
              <w:rPr>
                <w:rFonts w:ascii="宋体" w:hAnsi="宋体"/>
              </w:rPr>
            </w:pPr>
            <w:r>
              <w:rPr>
                <w:rFonts w:hint="eastAsia" w:ascii="宋体" w:hAnsi="宋体"/>
              </w:rPr>
              <w:t>在最大限度地满足招标文件实质性要求的前提下，按照招标文件中规定的各项因素进行综合评审，评标总得分排名前列的投标人，作为推荐的候选中标供应商。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69" w:type="dxa"/>
          </w:tcPr>
          <w:p>
            <w:pPr>
              <w:jc w:val="center"/>
              <w:rPr>
                <w:rFonts w:ascii="宋体" w:hAnsi="宋体"/>
              </w:rPr>
            </w:pPr>
            <w:r>
              <w:rPr>
                <w:rFonts w:hint="eastAsia" w:ascii="宋体" w:hAnsi="宋体"/>
              </w:rPr>
              <w:t>候选中标供应商家数</w:t>
            </w:r>
          </w:p>
        </w:tc>
        <w:tc>
          <w:tcPr>
            <w:tcW w:w="6767" w:type="dxa"/>
          </w:tcPr>
          <w:p>
            <w:pPr>
              <w:jc w:val="center"/>
              <w:rPr>
                <w:rFonts w:ascii="宋体" w:hAnsi="宋体"/>
              </w:rPr>
            </w:pPr>
            <w:r>
              <w:rPr>
                <w:rFonts w:hint="eastAsia"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69" w:type="dxa"/>
          </w:tcPr>
          <w:p>
            <w:pPr>
              <w:jc w:val="center"/>
              <w:rPr>
                <w:rFonts w:ascii="宋体" w:hAnsi="宋体"/>
              </w:rPr>
            </w:pPr>
            <w:r>
              <w:rPr>
                <w:rFonts w:hint="eastAsia" w:ascii="宋体" w:hAnsi="宋体"/>
              </w:rPr>
              <w:t>中标供应商家数</w:t>
            </w:r>
          </w:p>
        </w:tc>
        <w:tc>
          <w:tcPr>
            <w:tcW w:w="6767" w:type="dxa"/>
          </w:tcPr>
          <w:p>
            <w:pPr>
              <w:jc w:val="center"/>
              <w:rPr>
                <w:rFonts w:ascii="宋体" w:hAnsi="宋体"/>
              </w:rPr>
            </w:pPr>
            <w:r>
              <w:rPr>
                <w:rFonts w:hint="eastAsia" w:ascii="宋体" w:hAnsi="宋体"/>
              </w:rPr>
              <w:t>1</w:t>
            </w:r>
          </w:p>
        </w:tc>
      </w:tr>
    </w:tbl>
    <w:p>
      <w:pPr>
        <w:jc w:val="center"/>
        <w:rPr>
          <w:rFonts w:ascii="宋体" w:hAnsi="宋体"/>
          <w:b/>
        </w:rPr>
      </w:pPr>
      <w:r>
        <w:rPr>
          <w:rFonts w:hint="eastAsia" w:ascii="宋体" w:hAnsi="宋体"/>
          <w:b/>
        </w:rPr>
        <w:t>评标定标信息</w:t>
      </w:r>
    </w:p>
    <w:p>
      <w:pPr>
        <w:ind w:firstLine="420" w:firstLineChars="200"/>
        <w:rPr>
          <w:rFonts w:ascii="宋体" w:hAnsi="宋体"/>
        </w:rPr>
      </w:pPr>
    </w:p>
    <w:p>
      <w:pPr>
        <w:spacing w:line="276" w:lineRule="auto"/>
        <w:rPr>
          <w:rFonts w:ascii="宋体" w:hAnsi="宋体"/>
          <w:b/>
        </w:rPr>
      </w:pPr>
      <w:r>
        <w:rPr>
          <w:rFonts w:hint="eastAsia" w:ascii="宋体" w:hAnsi="宋体"/>
          <w:b/>
        </w:rPr>
        <w:t>投标报价要求：</w:t>
      </w:r>
    </w:p>
    <w:p>
      <w:pPr>
        <w:ind w:firstLine="420" w:firstLineChars="200"/>
        <w:rPr>
          <w:rFonts w:ascii="宋体" w:hAnsi="宋体"/>
        </w:rPr>
      </w:pPr>
      <w:r>
        <w:rPr>
          <w:rFonts w:hint="eastAsia" w:ascii="宋体" w:hAnsi="宋体"/>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2" w:firstLineChars="200"/>
        <w:rPr>
          <w:rFonts w:ascii="宋体" w:hAnsi="宋体"/>
          <w:b/>
          <w:bCs/>
          <w:color w:val="FF0000"/>
        </w:rPr>
      </w:pPr>
      <w:bookmarkStart w:id="59" w:name="OLE_LINK77"/>
      <w:r>
        <w:rPr>
          <w:rFonts w:hint="eastAsia" w:ascii="宋体" w:hAnsi="宋体"/>
          <w:b/>
          <w:bCs/>
          <w:color w:val="FF0000"/>
        </w:rPr>
        <w:t>（2）投标人应充分了解项目基本情况及任何其它足以影响投标报价的情况，</w:t>
      </w:r>
      <w:bookmarkEnd w:id="59"/>
      <w:r>
        <w:rPr>
          <w:rFonts w:hint="eastAsia" w:ascii="宋体" w:hAnsi="宋体"/>
          <w:b/>
          <w:bCs/>
          <w:color w:val="FF0000"/>
        </w:rPr>
        <w:t>任何因忽视或误解项目情况而导致的索赔或服务期限延长申请将不获批准。</w:t>
      </w:r>
    </w:p>
    <w:p>
      <w:pPr>
        <w:ind w:firstLine="420" w:firstLineChars="200"/>
        <w:rPr>
          <w:rFonts w:ascii="宋体" w:hAnsi="宋体"/>
        </w:rPr>
      </w:pPr>
      <w:r>
        <w:rPr>
          <w:rFonts w:hint="eastAsia" w:ascii="宋体" w:hAnsi="宋体"/>
        </w:rPr>
        <w:t>（3）投标报价超出财政预算，或者项目报价表中单个采购预算条目报价超过对应的财政预算的，投标将被否决。</w:t>
      </w:r>
    </w:p>
    <w:p>
      <w:pPr>
        <w:ind w:firstLine="420" w:firstLineChars="200"/>
        <w:rPr>
          <w:rFonts w:ascii="宋体" w:hAnsi="宋体"/>
        </w:rPr>
      </w:pPr>
      <w:r>
        <w:rPr>
          <w:rFonts w:hint="eastAsia" w:ascii="宋体" w:hAnsi="宋体"/>
        </w:rPr>
        <w:t>（4）合理评判供应商报价；</w:t>
      </w:r>
    </w:p>
    <w:p>
      <w:pPr>
        <w:ind w:firstLine="420" w:firstLineChars="200"/>
        <w:rPr>
          <w:rFonts w:ascii="宋体" w:hAnsi="宋体"/>
        </w:rPr>
      </w:pPr>
      <w:r>
        <w:rPr>
          <w:rFonts w:hint="eastAsia" w:ascii="宋体" w:hAnsi="宋体"/>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ind w:firstLine="420" w:firstLineChars="200"/>
        <w:rPr>
          <w:rFonts w:ascii="宋体" w:hAnsi="宋体"/>
        </w:rPr>
      </w:pPr>
      <w:r>
        <w:rPr>
          <w:rFonts w:hint="eastAsia" w:ascii="宋体" w:hAnsi="宋体"/>
        </w:rPr>
        <w:t>若评标委员会成员对是否须由投标人作出报价合理性说明，以及书面说明是否采纳等判断不一致的，按照“少数服从多数”的原则确定评标委员会的意见。</w:t>
      </w:r>
      <w:bookmarkStart w:id="60" w:name="_Hlk81898283"/>
    </w:p>
    <w:p>
      <w:pPr>
        <w:ind w:firstLine="420" w:firstLineChars="200"/>
        <w:rPr>
          <w:rFonts w:ascii="宋体" w:hAnsi="宋体"/>
          <w:b/>
        </w:rPr>
      </w:pPr>
      <w:r>
        <w:rPr>
          <w:rFonts w:hint="eastAsia" w:ascii="宋体" w:hAnsi="宋体"/>
        </w:rPr>
        <w:t>（5）除政府采购合同继续履行将损害国家利益和社会公共利益外，双方当事人不得擅自变更、中止或者终止合同。</w:t>
      </w:r>
      <w:bookmarkEnd w:id="58"/>
      <w:bookmarkEnd w:id="60"/>
    </w:p>
    <w:p>
      <w:pPr>
        <w:ind w:firstLine="211" w:firstLineChars="100"/>
        <w:rPr>
          <w:rFonts w:ascii="宋体" w:hAnsi="宋体"/>
          <w:b/>
          <w:bCs/>
        </w:rPr>
      </w:pPr>
      <w:r>
        <w:rPr>
          <w:rFonts w:hint="eastAsia" w:ascii="宋体" w:hAnsi="宋体"/>
          <w:b/>
        </w:rPr>
        <w:t>（二）其他事项</w:t>
      </w:r>
    </w:p>
    <w:p>
      <w:pPr>
        <w:ind w:firstLine="422" w:firstLineChars="200"/>
        <w:rPr>
          <w:rFonts w:ascii="宋体" w:hAnsi="宋体"/>
          <w:b/>
          <w:bCs/>
        </w:rPr>
      </w:pPr>
      <w:r>
        <w:rPr>
          <w:rFonts w:ascii="宋体" w:hAnsi="宋体"/>
          <w:b/>
          <w:bCs/>
        </w:rPr>
        <w:t>1</w:t>
      </w:r>
      <w:r>
        <w:rPr>
          <w:rFonts w:hint="eastAsia" w:ascii="宋体" w:hAnsi="宋体"/>
          <w:b/>
          <w:bCs/>
        </w:rPr>
        <w:t>、关于享受优惠政策的主体及价格扣除比例</w:t>
      </w:r>
    </w:p>
    <w:p>
      <w:pPr>
        <w:ind w:firstLine="420" w:firstLineChars="200"/>
        <w:rPr>
          <w:rFonts w:ascii="宋体" w:hAnsi="宋体"/>
        </w:rPr>
      </w:pPr>
      <w:r>
        <w:rPr>
          <w:rFonts w:hint="eastAsia" w:ascii="宋体" w:hAnsi="宋体"/>
        </w:rPr>
        <w:t>（1）专门面向中小企业采购项目（不享受价格扣除）；非专门面向中小企业采购项目，服务类、工程类项目投标人提供的服务全部均由优惠主体承接，货物类项目投标人提供的货物全部均由优惠主题承接，则对其投标总价给予</w:t>
      </w:r>
      <w:r>
        <w:rPr>
          <w:rFonts w:hint="eastAsia" w:ascii="宋体" w:hAnsi="宋体"/>
          <w:b/>
          <w:bCs/>
          <w:color w:val="FF0000"/>
          <w:u w:val="single"/>
        </w:rPr>
        <w:t xml:space="preserve"> </w:t>
      </w:r>
      <w:r>
        <w:rPr>
          <w:rFonts w:hint="eastAsia" w:ascii="宋体" w:hAnsi="宋体"/>
          <w:b/>
          <w:bCs/>
          <w:color w:val="FF0000"/>
          <w:u w:val="single"/>
          <w:lang w:val="en-US" w:eastAsia="zh-CN"/>
        </w:rPr>
        <w:t>/</w:t>
      </w:r>
      <w:r>
        <w:rPr>
          <w:rFonts w:hint="eastAsia" w:ascii="宋体" w:hAnsi="宋体"/>
          <w:b/>
          <w:bCs/>
          <w:color w:val="FF0000"/>
          <w:u w:val="single"/>
        </w:rPr>
        <w:t xml:space="preserve"> </w:t>
      </w:r>
      <w:r>
        <w:rPr>
          <w:rFonts w:ascii="宋体" w:hAnsi="宋体"/>
          <w:b/>
          <w:bCs/>
          <w:color w:val="FF0000"/>
          <w:u w:val="single"/>
        </w:rPr>
        <w:t>%</w:t>
      </w:r>
      <w:r>
        <w:rPr>
          <w:rFonts w:hint="eastAsia" w:ascii="宋体" w:hAnsi="宋体"/>
          <w:color w:val="FF0000"/>
        </w:rPr>
        <w:t xml:space="preserve">（请在/ </w:t>
      </w:r>
      <w:r>
        <w:rPr>
          <w:rFonts w:ascii="宋体" w:hAnsi="宋体"/>
          <w:color w:val="FF0000"/>
        </w:rPr>
        <w:t>%-</w:t>
      </w:r>
      <w:r>
        <w:rPr>
          <w:rFonts w:hint="eastAsia" w:ascii="宋体" w:hAnsi="宋体"/>
          <w:color w:val="FF0000"/>
        </w:rPr>
        <w:t xml:space="preserve">/ </w:t>
      </w:r>
      <w:r>
        <w:rPr>
          <w:rFonts w:ascii="宋体" w:hAnsi="宋体"/>
          <w:color w:val="FF0000"/>
        </w:rPr>
        <w:t>%</w:t>
      </w:r>
      <w:r>
        <w:rPr>
          <w:rFonts w:hint="eastAsia" w:ascii="宋体" w:hAnsi="宋体"/>
          <w:color w:val="FF0000"/>
        </w:rPr>
        <w:t>范围内选择）</w:t>
      </w:r>
      <w:r>
        <w:rPr>
          <w:rFonts w:hint="eastAsia" w:ascii="宋体" w:hAnsi="宋体"/>
        </w:rPr>
        <w:t>的价格扣除，用扣除后的价格参与评审。满足多项优惠政策的企业，不重复享受多项价格扣除政策。</w:t>
      </w:r>
      <w:r>
        <w:rPr>
          <w:rFonts w:hint="eastAsia" w:ascii="宋体" w:hAnsi="宋体"/>
          <w:color w:val="FF0000"/>
        </w:rPr>
        <w:t>联合协议/分包协议</w:t>
      </w:r>
      <w:r>
        <w:rPr>
          <w:rFonts w:hint="eastAsia" w:ascii="宋体" w:hAnsi="宋体"/>
        </w:rPr>
        <w:t>中约定，小型、微型企业的协议合同金额占到联合体协议合同总金额</w:t>
      </w:r>
      <w:r>
        <w:rPr>
          <w:rFonts w:hint="eastAsia" w:ascii="宋体" w:hAnsi="宋体"/>
          <w:b/>
          <w:bCs/>
          <w:color w:val="FF0000"/>
          <w:u w:val="single"/>
        </w:rPr>
        <w:t xml:space="preserve">/ % </w:t>
      </w:r>
      <w:r>
        <w:rPr>
          <w:rFonts w:hint="eastAsia" w:ascii="宋体" w:hAnsi="宋体"/>
        </w:rPr>
        <w:t>以上的，可给予</w:t>
      </w:r>
      <w:r>
        <w:rPr>
          <w:rFonts w:hint="eastAsia" w:ascii="宋体" w:hAnsi="宋体"/>
          <w:b/>
        </w:rPr>
        <w:t>联合体</w:t>
      </w:r>
      <w:r>
        <w:rPr>
          <w:rFonts w:hint="eastAsia" w:ascii="宋体" w:hAnsi="宋体"/>
          <w:b/>
          <w:color w:val="FF0000"/>
          <w:u w:val="single"/>
        </w:rPr>
        <w:t xml:space="preserve"> / </w:t>
      </w:r>
      <w:r>
        <w:rPr>
          <w:rFonts w:hint="eastAsia" w:ascii="宋体" w:hAnsi="宋体"/>
          <w:b/>
          <w:color w:val="FF0000"/>
        </w:rPr>
        <w:t>%</w:t>
      </w:r>
      <w:r>
        <w:rPr>
          <w:rFonts w:ascii="宋体" w:hAnsi="宋体"/>
          <w:b/>
        </w:rPr>
        <w:t xml:space="preserve"> </w:t>
      </w:r>
      <w:r>
        <w:rPr>
          <w:rFonts w:hint="eastAsia" w:ascii="宋体" w:hAnsi="宋体"/>
          <w:bCs/>
          <w:color w:val="FF0000"/>
        </w:rPr>
        <w:t xml:space="preserve">（请在/ </w:t>
      </w:r>
      <w:r>
        <w:rPr>
          <w:rFonts w:ascii="宋体" w:hAnsi="宋体"/>
          <w:bCs/>
          <w:color w:val="FF0000"/>
        </w:rPr>
        <w:t>%-</w:t>
      </w:r>
      <w:r>
        <w:rPr>
          <w:rFonts w:hint="eastAsia" w:ascii="宋体" w:hAnsi="宋体"/>
          <w:bCs/>
          <w:color w:val="FF0000"/>
        </w:rPr>
        <w:t xml:space="preserve">/ </w:t>
      </w:r>
      <w:r>
        <w:rPr>
          <w:rFonts w:ascii="宋体" w:hAnsi="宋体"/>
          <w:bCs/>
          <w:color w:val="FF0000"/>
        </w:rPr>
        <w:t>%</w:t>
      </w:r>
      <w:r>
        <w:rPr>
          <w:rFonts w:hint="eastAsia" w:ascii="宋体" w:hAnsi="宋体"/>
          <w:bCs/>
          <w:color w:val="FF0000"/>
        </w:rPr>
        <w:t>范围内选择）</w:t>
      </w:r>
      <w:r>
        <w:rPr>
          <w:rFonts w:hint="eastAsia" w:ascii="宋体" w:hAnsi="宋体"/>
        </w:rPr>
        <w:t>的价格扣除。</w:t>
      </w:r>
    </w:p>
    <w:p>
      <w:pPr>
        <w:ind w:firstLine="420" w:firstLineChars="200"/>
        <w:rPr>
          <w:rFonts w:ascii="宋体" w:hAnsi="宋体"/>
        </w:rPr>
      </w:pPr>
      <w:r>
        <w:rPr>
          <w:rFonts w:hint="eastAsia" w:ascii="宋体" w:hAnsi="宋体"/>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hAnsi="宋体"/>
        </w:rPr>
        <w:t>b)</w:t>
      </w:r>
      <w:r>
        <w:rPr>
          <w:rFonts w:hint="eastAsia" w:ascii="宋体" w:hAnsi="宋体"/>
        </w:rPr>
        <w:t>优惠主体承接是指提供服务的人员为中小企业依照《中华人民共和国劳动合同法》订立劳动合同的从业人员。</w:t>
      </w:r>
    </w:p>
    <w:p>
      <w:pPr>
        <w:ind w:firstLine="420" w:firstLineChars="200"/>
        <w:rPr>
          <w:rFonts w:ascii="宋体" w:hAnsi="宋体"/>
        </w:rPr>
      </w:pPr>
      <w:r>
        <w:rPr>
          <w:rFonts w:hint="eastAsia" w:ascii="宋体" w:hAnsi="宋体"/>
        </w:rPr>
        <w:t>（2）根据</w:t>
      </w:r>
      <w:r>
        <w:rPr>
          <w:rFonts w:hint="eastAsia" w:ascii="宋体" w:hAnsi="宋体"/>
          <w:szCs w:val="22"/>
        </w:rPr>
        <w:t>《工业和信息化部、国家统计局、国家发展和改革委员会、财政部关于印发中小企业划型标准规定的通知》（工信部联企业〔2011〕300 号）</w:t>
      </w:r>
      <w:r>
        <w:rPr>
          <w:rFonts w:hint="eastAsia" w:ascii="宋体" w:hAnsi="宋体"/>
        </w:rPr>
        <w:t>，</w:t>
      </w:r>
      <w:bookmarkStart w:id="61" w:name="_Hlk71970739"/>
      <w:r>
        <w:rPr>
          <w:rFonts w:hint="eastAsia" w:ascii="宋体" w:hAnsi="宋体"/>
        </w:rPr>
        <w:t>本项目</w:t>
      </w:r>
      <w:bookmarkStart w:id="62" w:name="_Hlk71924718"/>
      <w:r>
        <w:rPr>
          <w:rFonts w:hint="eastAsia" w:ascii="宋体" w:hAnsi="宋体"/>
        </w:rPr>
        <w:t>采购标的（服务需求）对应的中小企业划分标准所属行业</w:t>
      </w:r>
      <w:bookmarkEnd w:id="62"/>
      <w:r>
        <w:rPr>
          <w:rFonts w:hint="eastAsia" w:ascii="宋体" w:hAnsi="宋体"/>
        </w:rPr>
        <w:t>为</w:t>
      </w:r>
      <w:r>
        <w:rPr>
          <w:rFonts w:hint="eastAsia" w:ascii="宋体" w:hAnsi="宋体"/>
          <w:color w:val="FF0000"/>
          <w:shd w:val="clear" w:color="auto" w:fill="C7DAF1"/>
        </w:rPr>
        <w:t>“软件和信息</w:t>
      </w:r>
      <w:bookmarkStart w:id="63" w:name="OLE_LINK11"/>
      <w:r>
        <w:rPr>
          <w:rFonts w:hint="eastAsia" w:ascii="宋体" w:hAnsi="宋体"/>
          <w:color w:val="FF0000"/>
          <w:shd w:val="clear" w:color="auto" w:fill="C7DAF1"/>
        </w:rPr>
        <w:t>技术服</w:t>
      </w:r>
      <w:bookmarkEnd w:id="63"/>
      <w:r>
        <w:rPr>
          <w:rFonts w:hint="eastAsia" w:ascii="宋体" w:hAnsi="宋体"/>
          <w:color w:val="FF0000"/>
          <w:shd w:val="clear" w:color="auto" w:fill="C7DAF1"/>
        </w:rPr>
        <w:t>务”</w:t>
      </w:r>
      <w:r>
        <w:rPr>
          <w:rFonts w:hint="eastAsia" w:ascii="宋体" w:hAnsi="宋体"/>
        </w:rPr>
        <w:t>业。</w:t>
      </w:r>
      <w:bookmarkEnd w:id="61"/>
    </w:p>
    <w:p>
      <w:pPr>
        <w:ind w:firstLine="420" w:firstLineChars="200"/>
        <w:rPr>
          <w:rFonts w:ascii="宋体" w:hAnsi="宋体"/>
        </w:rPr>
      </w:pPr>
      <w:r>
        <w:rPr>
          <w:rFonts w:hint="eastAsia" w:ascii="宋体" w:hAnsi="宋体"/>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pPr>
        <w:ind w:firstLine="420" w:firstLineChars="200"/>
        <w:rPr>
          <w:rFonts w:ascii="宋体" w:hAnsi="宋体"/>
        </w:rPr>
      </w:pPr>
      <w:r>
        <w:rPr>
          <w:rFonts w:hint="eastAsia" w:ascii="宋体" w:hAnsi="宋体"/>
        </w:rPr>
        <w:t>（4）享受价格扣除获得政府采购合同的，小微企业不得将合同分包给大中型企业。</w:t>
      </w:r>
    </w:p>
    <w:p>
      <w:pPr>
        <w:ind w:firstLine="422" w:firstLineChars="200"/>
        <w:rPr>
          <w:rFonts w:ascii="宋体" w:hAnsi="宋体"/>
          <w:b/>
        </w:rPr>
      </w:pPr>
      <w:r>
        <w:rPr>
          <w:rFonts w:hint="eastAsia" w:ascii="宋体" w:hAnsi="宋体"/>
          <w:b/>
        </w:rPr>
        <w:t>2.关于政府采购订单融资政策</w:t>
      </w:r>
    </w:p>
    <w:p>
      <w:pPr>
        <w:ind w:firstLine="420" w:firstLineChars="200"/>
        <w:rPr>
          <w:rFonts w:ascii="宋体" w:hAnsi="宋体"/>
        </w:rPr>
      </w:pPr>
      <w:r>
        <w:rPr>
          <w:rFonts w:hint="eastAsia" w:ascii="宋体" w:hAnsi="宋体"/>
        </w:rPr>
        <w:t>为进一步拓宽企业融资渠道，降低企业融资成本，根据《新疆维吾尔自治区政府采购合同融资工作方案》(新财购[2022]17号)，现推出政府采购订单融资服务，中标（成交）供应商可以凭借中标（成交）通知书或政府采购合同，通过自治区财政厅搭建的“政采云”平台，向参与政府采购合同融资业务的金融机构申请线上融资。金融机构在政策范围内，以供应商信用审查和政府采购信誉为基础，无财产抵押、按便捷贷款程序和优惠利率，为供应商提供一站式融资服务，订单融资具体流程可登录新疆政采云服务平台政采贷。</w:t>
      </w:r>
    </w:p>
    <w:p>
      <w:pPr>
        <w:ind w:firstLine="422" w:firstLineChars="200"/>
        <w:rPr>
          <w:rFonts w:ascii="宋体" w:hAnsi="宋体"/>
          <w:b/>
        </w:rPr>
      </w:pPr>
      <w:r>
        <w:rPr>
          <w:rFonts w:hint="eastAsia" w:ascii="宋体" w:hAnsi="宋体"/>
          <w:b/>
        </w:rPr>
        <w:t>3.代理服务费</w:t>
      </w:r>
    </w:p>
    <w:p>
      <w:pPr>
        <w:ind w:firstLine="420" w:firstLineChars="200"/>
        <w:rPr>
          <w:rFonts w:ascii="宋体" w:hAnsi="宋体"/>
          <w:bCs/>
        </w:rPr>
      </w:pPr>
      <w:r>
        <w:rPr>
          <w:rFonts w:hint="eastAsia" w:ascii="宋体" w:hAnsi="宋体"/>
          <w:bCs/>
        </w:rPr>
        <w:t>本项目不向中标供应商收取代理服务费</w:t>
      </w:r>
    </w:p>
    <w:p>
      <w:pPr>
        <w:ind w:firstLine="422" w:firstLineChars="200"/>
        <w:rPr>
          <w:rFonts w:ascii="宋体" w:hAnsi="宋体"/>
          <w:b/>
          <w:bCs/>
        </w:rPr>
      </w:pPr>
      <w:r>
        <w:rPr>
          <w:rFonts w:hint="eastAsia" w:ascii="宋体" w:hAnsi="宋体"/>
          <w:b/>
          <w:bCs/>
        </w:rPr>
        <w:t>4.节能环保产品说明</w:t>
      </w:r>
    </w:p>
    <w:p>
      <w:pPr>
        <w:ind w:firstLine="420" w:firstLineChars="200"/>
        <w:rPr>
          <w:rFonts w:ascii="宋体" w:hAnsi="宋体"/>
          <w:sz w:val="28"/>
          <w:szCs w:val="28"/>
        </w:rPr>
      </w:pPr>
      <w:r>
        <w:rPr>
          <w:rFonts w:hint="eastAsia" w:ascii="宋体" w:hAnsi="宋体"/>
        </w:rPr>
        <w:t>拟采购的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w:t>
      </w:r>
      <w:r>
        <w:rPr>
          <w:rFonts w:hint="eastAsia" w:ascii="宋体" w:hAnsi="宋体"/>
          <w:color w:val="FF0000"/>
        </w:rPr>
        <w:t>认证机构出具的、处于有效期之内的节能产品、环境标志产品认证证书</w:t>
      </w:r>
      <w:r>
        <w:rPr>
          <w:rFonts w:hint="eastAsia" w:ascii="宋体" w:hAnsi="宋体"/>
        </w:rPr>
        <w:t>，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pStyle w:val="5"/>
        <w:rPr>
          <w:rFonts w:ascii="宋体" w:hAnsi="宋体" w:eastAsia="宋体" w:cs="方正小标宋_GBK"/>
          <w:bCs w:val="0"/>
          <w:sz w:val="32"/>
          <w:szCs w:val="32"/>
        </w:rPr>
      </w:pPr>
      <w:r>
        <w:rPr>
          <w:rFonts w:hint="eastAsia" w:ascii="宋体" w:hAnsi="宋体" w:eastAsia="宋体" w:cs="方正小标宋_GBK"/>
          <w:bCs w:val="0"/>
          <w:sz w:val="32"/>
          <w:szCs w:val="32"/>
        </w:rPr>
        <w:br w:type="page"/>
      </w:r>
      <w:r>
        <w:rPr>
          <w:rFonts w:hint="eastAsia" w:ascii="宋体" w:hAnsi="宋体" w:eastAsia="宋体" w:cs="方正小标宋_GBK"/>
          <w:bCs w:val="0"/>
          <w:sz w:val="32"/>
          <w:szCs w:val="32"/>
        </w:rPr>
        <w:t>第三章 用户需求书</w:t>
      </w:r>
    </w:p>
    <w:p>
      <w:pPr>
        <w:ind w:firstLine="420" w:firstLineChars="200"/>
        <w:jc w:val="left"/>
        <w:outlineLvl w:val="0"/>
        <w:rPr>
          <w:rFonts w:ascii="宋体" w:hAnsi="宋体"/>
          <w:color w:val="0000FF"/>
        </w:rPr>
      </w:pPr>
      <w:r>
        <w:rPr>
          <w:rFonts w:hint="eastAsia" w:ascii="宋体" w:hAnsi="宋体"/>
          <w:color w:val="0000FF"/>
        </w:rPr>
        <w:t>1.本章带★号条款为不可偏离条款，供应商必须完全响应满足，否则将导致投标无效。供应商是否满足本章带★号条款要求，以附件《实质性条款响应表》响应为准。</w:t>
      </w:r>
    </w:p>
    <w:p>
      <w:pPr>
        <w:ind w:firstLine="420" w:firstLineChars="200"/>
        <w:jc w:val="left"/>
        <w:outlineLvl w:val="0"/>
        <w:rPr>
          <w:rFonts w:ascii="宋体" w:hAnsi="宋体"/>
          <w:color w:val="0000FF"/>
        </w:rPr>
      </w:pPr>
      <w:r>
        <w:rPr>
          <w:rFonts w:hint="eastAsia" w:ascii="宋体" w:hAnsi="宋体"/>
          <w:color w:val="0000FF"/>
        </w:rPr>
        <w:t>2.如供应商中标后被发现不能满足本章带★号条款要求的，采购方有权拒绝签订合同，一切后果由供应商承担。</w:t>
      </w:r>
    </w:p>
    <w:p>
      <w:pPr>
        <w:ind w:firstLine="420" w:firstLineChars="200"/>
        <w:jc w:val="left"/>
        <w:outlineLvl w:val="0"/>
        <w:rPr>
          <w:rFonts w:ascii="宋体" w:hAnsi="宋体"/>
          <w:sz w:val="24"/>
        </w:rPr>
      </w:pPr>
      <w:r>
        <w:rPr>
          <w:rFonts w:hint="eastAsia" w:ascii="宋体" w:hAnsi="宋体"/>
          <w:color w:val="0000FF"/>
        </w:rPr>
        <w:t>3.带“▲”指标项标注的商务技术条款为要求提供证明资料的条款，以附件《重要技术参数响应情况表》为准，其余为未要求提供证明资料的条款，无需提供相关证明资料。</w:t>
      </w:r>
    </w:p>
    <w:p>
      <w:pPr>
        <w:pStyle w:val="4"/>
        <w:jc w:val="center"/>
        <w:rPr>
          <w:rFonts w:ascii="宋体" w:hAnsi="宋体"/>
          <w:color w:val="FF0000"/>
          <w:szCs w:val="21"/>
        </w:rPr>
      </w:pPr>
      <w:r>
        <w:rPr>
          <w:rFonts w:hint="eastAsia" w:ascii="宋体" w:hAnsi="宋体"/>
          <w:bCs w:val="0"/>
          <w:sz w:val="24"/>
        </w:rPr>
        <w:t>一、项目基本信息</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95"/>
        <w:gridCol w:w="2136"/>
        <w:gridCol w:w="3011"/>
        <w:gridCol w:w="121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2" w:type="dxa"/>
            <w:vAlign w:val="center"/>
          </w:tcPr>
          <w:p>
            <w:pPr>
              <w:spacing w:line="276" w:lineRule="auto"/>
              <w:jc w:val="center"/>
              <w:rPr>
                <w:rFonts w:ascii="宋体" w:hAnsi="宋体"/>
                <w:bCs/>
              </w:rPr>
            </w:pPr>
            <w:r>
              <w:rPr>
                <w:rFonts w:hint="eastAsia" w:ascii="宋体" w:hAnsi="宋体"/>
                <w:bCs/>
              </w:rPr>
              <w:t>序号</w:t>
            </w:r>
          </w:p>
        </w:tc>
        <w:tc>
          <w:tcPr>
            <w:tcW w:w="1395" w:type="dxa"/>
            <w:vAlign w:val="center"/>
          </w:tcPr>
          <w:p>
            <w:pPr>
              <w:spacing w:line="276" w:lineRule="auto"/>
              <w:jc w:val="center"/>
              <w:rPr>
                <w:rFonts w:ascii="宋体" w:hAnsi="宋体"/>
                <w:bCs/>
              </w:rPr>
            </w:pPr>
            <w:r>
              <w:rPr>
                <w:rFonts w:hint="eastAsia" w:ascii="宋体" w:hAnsi="宋体"/>
              </w:rPr>
              <w:t>采购计划编号</w:t>
            </w:r>
          </w:p>
        </w:tc>
        <w:tc>
          <w:tcPr>
            <w:tcW w:w="2136" w:type="dxa"/>
            <w:vAlign w:val="center"/>
          </w:tcPr>
          <w:p>
            <w:pPr>
              <w:spacing w:line="276" w:lineRule="auto"/>
              <w:jc w:val="center"/>
              <w:rPr>
                <w:rFonts w:ascii="宋体" w:hAnsi="宋体"/>
                <w:bCs/>
              </w:rPr>
            </w:pPr>
            <w:r>
              <w:rPr>
                <w:rFonts w:hint="eastAsia" w:ascii="宋体" w:hAnsi="宋体"/>
                <w:bCs/>
              </w:rPr>
              <w:t>项目名称</w:t>
            </w:r>
          </w:p>
        </w:tc>
        <w:tc>
          <w:tcPr>
            <w:tcW w:w="3011" w:type="dxa"/>
            <w:vAlign w:val="center"/>
          </w:tcPr>
          <w:p>
            <w:pPr>
              <w:spacing w:line="276" w:lineRule="auto"/>
              <w:jc w:val="center"/>
              <w:rPr>
                <w:rFonts w:ascii="宋体" w:hAnsi="宋体"/>
                <w:bCs/>
              </w:rPr>
            </w:pPr>
            <w:r>
              <w:rPr>
                <w:rFonts w:hint="eastAsia" w:ascii="宋体" w:hAnsi="宋体"/>
                <w:bCs/>
              </w:rPr>
              <w:t>服务期限或完成时间</w:t>
            </w:r>
          </w:p>
        </w:tc>
        <w:tc>
          <w:tcPr>
            <w:tcW w:w="1214" w:type="dxa"/>
            <w:vAlign w:val="center"/>
          </w:tcPr>
          <w:p>
            <w:pPr>
              <w:spacing w:line="276" w:lineRule="auto"/>
              <w:jc w:val="center"/>
              <w:rPr>
                <w:rFonts w:ascii="宋体" w:hAnsi="宋体"/>
                <w:bCs/>
              </w:rPr>
            </w:pPr>
            <w:r>
              <w:rPr>
                <w:rFonts w:hint="eastAsia" w:ascii="宋体" w:hAnsi="宋体"/>
                <w:bCs/>
              </w:rPr>
              <w:t>所属行业</w:t>
            </w:r>
          </w:p>
        </w:tc>
        <w:tc>
          <w:tcPr>
            <w:tcW w:w="1379" w:type="dxa"/>
            <w:vAlign w:val="center"/>
          </w:tcPr>
          <w:p>
            <w:pPr>
              <w:spacing w:line="276" w:lineRule="auto"/>
              <w:jc w:val="center"/>
              <w:rPr>
                <w:rFonts w:ascii="宋体" w:hAnsi="宋体"/>
                <w:bCs/>
              </w:rPr>
            </w:pPr>
            <w:r>
              <w:rPr>
                <w:rFonts w:hint="eastAsia" w:ascii="宋体" w:hAnsi="宋体"/>
                <w:bCs/>
              </w:rPr>
              <w:t>财政预算限额（元/年）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02" w:type="dxa"/>
            <w:vAlign w:val="center"/>
          </w:tcPr>
          <w:p>
            <w:pPr>
              <w:spacing w:line="276" w:lineRule="auto"/>
              <w:jc w:val="center"/>
              <w:rPr>
                <w:rFonts w:ascii="宋体" w:hAnsi="宋体"/>
                <w:bCs/>
              </w:rPr>
            </w:pPr>
            <w:r>
              <w:rPr>
                <w:rFonts w:hint="eastAsia" w:ascii="宋体" w:hAnsi="宋体"/>
                <w:bCs/>
              </w:rPr>
              <w:t>1</w:t>
            </w:r>
          </w:p>
        </w:tc>
        <w:tc>
          <w:tcPr>
            <w:tcW w:w="1395" w:type="dxa"/>
            <w:vAlign w:val="center"/>
          </w:tcPr>
          <w:p>
            <w:pPr>
              <w:jc w:val="center"/>
              <w:rPr>
                <w:rFonts w:ascii="宋体" w:hAnsi="宋体" w:cs="宋体"/>
                <w:bCs/>
                <w:color w:val="FF0000"/>
              </w:rPr>
            </w:pPr>
            <w:bookmarkStart w:id="64" w:name="OLE_LINK16"/>
            <w:r>
              <w:rPr>
                <w:rFonts w:ascii="宋体" w:hAnsi="宋体" w:cs="宋体"/>
                <w:bCs/>
                <w:color w:val="FF0000"/>
              </w:rPr>
              <w:fldChar w:fldCharType="begin"/>
            </w:r>
            <w:r>
              <w:rPr>
                <w:rFonts w:ascii="宋体" w:hAnsi="宋体" w:cs="宋体"/>
                <w:bCs/>
                <w:color w:val="FF0000"/>
              </w:rPr>
              <w:instrText xml:space="preserve"> HYPERLINK "https://pay.zcygov.cn/purchaseplan_front/" \l "/plan/list/view?id=1000000000014064548" \t "https://www.zcygov.cn/delegation-order/_procurement_/order/orderInfo/check/_blank" </w:instrText>
            </w:r>
            <w:r>
              <w:rPr>
                <w:rFonts w:ascii="宋体" w:hAnsi="宋体" w:cs="宋体"/>
                <w:bCs/>
                <w:color w:val="FF0000"/>
              </w:rPr>
              <w:fldChar w:fldCharType="separate"/>
            </w:r>
            <w:r>
              <w:rPr>
                <w:rFonts w:ascii="宋体" w:hAnsi="宋体" w:cs="宋体"/>
                <w:bCs/>
                <w:color w:val="FF0000"/>
              </w:rPr>
              <w:t>[202</w:t>
            </w:r>
            <w:r>
              <w:rPr>
                <w:rFonts w:hint="eastAsia" w:ascii="宋体" w:hAnsi="宋体" w:cs="宋体"/>
                <w:bCs/>
                <w:color w:val="FF0000"/>
              </w:rPr>
              <w:t>5</w:t>
            </w:r>
            <w:r>
              <w:rPr>
                <w:rFonts w:ascii="宋体" w:hAnsi="宋体" w:cs="宋体"/>
                <w:bCs/>
                <w:color w:val="FF0000"/>
              </w:rPr>
              <w:t>]号</w:t>
            </w:r>
            <w:r>
              <w:rPr>
                <w:rFonts w:ascii="宋体" w:hAnsi="宋体" w:cs="宋体"/>
                <w:bCs/>
                <w:color w:val="FF0000"/>
              </w:rPr>
              <w:fldChar w:fldCharType="end"/>
            </w:r>
            <w:bookmarkEnd w:id="64"/>
          </w:p>
        </w:tc>
        <w:tc>
          <w:tcPr>
            <w:tcW w:w="2136" w:type="dxa"/>
            <w:vAlign w:val="center"/>
          </w:tcPr>
          <w:p>
            <w:pPr>
              <w:spacing w:line="276" w:lineRule="auto"/>
              <w:rPr>
                <w:rFonts w:ascii="宋体" w:hAnsi="宋体"/>
                <w:bCs/>
                <w:color w:val="FF0000"/>
              </w:rPr>
            </w:pPr>
            <w:r>
              <w:rPr>
                <w:rFonts w:hint="eastAsia" w:ascii="宋体" w:hAnsi="宋体" w:cs="宋体"/>
              </w:rPr>
              <w:t>新疆巴州卫生学校2025年现代职业教育质量提升（护理VR虚拟仿真实训室）项目</w:t>
            </w:r>
          </w:p>
        </w:tc>
        <w:tc>
          <w:tcPr>
            <w:tcW w:w="3011" w:type="dxa"/>
            <w:vAlign w:val="center"/>
          </w:tcPr>
          <w:p>
            <w:pPr>
              <w:spacing w:line="276" w:lineRule="auto"/>
              <w:jc w:val="center"/>
              <w:rPr>
                <w:rFonts w:ascii="宋体" w:hAnsi="宋体"/>
              </w:rPr>
            </w:pPr>
            <w:r>
              <w:rPr>
                <w:rFonts w:hint="eastAsia" w:ascii="宋体" w:hAnsi="宋体"/>
                <w:color w:val="FF0000"/>
              </w:rPr>
              <w:t>服务类：</w:t>
            </w:r>
            <w:bookmarkStart w:id="65" w:name="OLE_LINK19"/>
            <w:bookmarkStart w:id="66" w:name="OLE_LINK13"/>
            <w:r>
              <w:rPr>
                <w:rFonts w:hint="eastAsia" w:ascii="宋体" w:hAnsi="宋体" w:cs="宋体"/>
              </w:rPr>
              <w:t>自签订合同后50天内供货安装调试完毕。软硬件至少提供</w:t>
            </w:r>
            <w:bookmarkStart w:id="67" w:name="OLE_LINK32"/>
            <w:r>
              <w:rPr>
                <w:rFonts w:hint="eastAsia" w:ascii="宋体" w:hAnsi="宋体" w:cs="宋体"/>
              </w:rPr>
              <w:t>60</w:t>
            </w:r>
            <w:bookmarkEnd w:id="67"/>
            <w:r>
              <w:rPr>
                <w:rFonts w:hint="eastAsia" w:ascii="宋体" w:hAnsi="宋体" w:cs="宋体"/>
              </w:rPr>
              <w:t>个月免费维保服务。</w:t>
            </w:r>
            <w:bookmarkEnd w:id="65"/>
            <w:r>
              <w:rPr>
                <w:rFonts w:hint="eastAsia" w:ascii="宋体" w:hAnsi="宋体" w:cs="宋体"/>
              </w:rPr>
              <w:t xml:space="preserve"> </w:t>
            </w:r>
            <w:bookmarkEnd w:id="66"/>
          </w:p>
        </w:tc>
        <w:tc>
          <w:tcPr>
            <w:tcW w:w="1214" w:type="dxa"/>
            <w:vAlign w:val="center"/>
          </w:tcPr>
          <w:p>
            <w:pPr>
              <w:spacing w:line="276" w:lineRule="auto"/>
              <w:jc w:val="center"/>
              <w:rPr>
                <w:rFonts w:ascii="宋体" w:hAnsi="宋体"/>
                <w:bCs/>
              </w:rPr>
            </w:pPr>
            <w:r>
              <w:rPr>
                <w:rFonts w:ascii="宋体" w:hAnsi="宋体"/>
                <w:bCs/>
              </w:rPr>
              <w:t>软件和信息技术服务业</w:t>
            </w:r>
          </w:p>
        </w:tc>
        <w:tc>
          <w:tcPr>
            <w:tcW w:w="1379" w:type="dxa"/>
            <w:vAlign w:val="center"/>
          </w:tcPr>
          <w:p>
            <w:pPr>
              <w:jc w:val="center"/>
              <w:rPr>
                <w:rFonts w:ascii="宋体" w:hAnsi="宋体"/>
                <w:bCs/>
              </w:rPr>
            </w:pPr>
            <w:bookmarkStart w:id="68" w:name="OLE_LINK17"/>
            <w:r>
              <w:rPr>
                <w:rFonts w:hint="eastAsia" w:ascii="宋体" w:hAnsi="宋体"/>
                <w:bCs/>
              </w:rPr>
              <w:t>400万元</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58" w:type="dxa"/>
            <w:gridSpan w:val="5"/>
          </w:tcPr>
          <w:p>
            <w:pPr>
              <w:spacing w:line="276" w:lineRule="auto"/>
              <w:jc w:val="center"/>
              <w:rPr>
                <w:rFonts w:ascii="宋体" w:hAnsi="宋体"/>
                <w:bCs/>
              </w:rPr>
            </w:pPr>
            <w:r>
              <w:rPr>
                <w:rFonts w:hint="eastAsia" w:ascii="宋体" w:hAnsi="宋体"/>
                <w:bCs/>
              </w:rPr>
              <w:t>合计</w:t>
            </w:r>
          </w:p>
        </w:tc>
        <w:tc>
          <w:tcPr>
            <w:tcW w:w="1379" w:type="dxa"/>
          </w:tcPr>
          <w:p>
            <w:pPr>
              <w:spacing w:line="276" w:lineRule="auto"/>
              <w:jc w:val="center"/>
              <w:rPr>
                <w:rFonts w:ascii="宋体" w:hAnsi="宋体"/>
                <w:bCs/>
              </w:rPr>
            </w:pPr>
            <w:bookmarkStart w:id="69" w:name="OLE_LINK18"/>
            <w:r>
              <w:rPr>
                <w:rFonts w:hint="eastAsia" w:ascii="宋体" w:hAnsi="宋体"/>
                <w:bCs/>
              </w:rPr>
              <w:t>400万元</w:t>
            </w:r>
            <w:bookmarkEnd w:id="69"/>
          </w:p>
        </w:tc>
      </w:tr>
    </w:tbl>
    <w:p>
      <w:pPr>
        <w:pStyle w:val="4"/>
        <w:numPr>
          <w:ilvl w:val="0"/>
          <w:numId w:val="5"/>
        </w:numPr>
        <w:jc w:val="center"/>
        <w:rPr>
          <w:rFonts w:ascii="宋体" w:hAnsi="宋体"/>
          <w:bCs w:val="0"/>
          <w:sz w:val="24"/>
        </w:rPr>
      </w:pPr>
      <w:r>
        <w:rPr>
          <w:rFonts w:hint="eastAsia" w:ascii="宋体" w:hAnsi="宋体"/>
          <w:bCs w:val="0"/>
          <w:sz w:val="24"/>
        </w:rPr>
        <w:t>项目概况</w:t>
      </w:r>
    </w:p>
    <w:p>
      <w:pPr>
        <w:spacing w:line="276" w:lineRule="auto"/>
        <w:ind w:firstLine="420" w:firstLineChars="200"/>
        <w:rPr>
          <w:rFonts w:ascii="宋体" w:hAnsi="宋体" w:cs="宋体"/>
        </w:rPr>
      </w:pPr>
      <w:r>
        <w:rPr>
          <w:rFonts w:hint="eastAsia" w:ascii="宋体" w:hAnsi="宋体" w:cs="宋体"/>
        </w:rPr>
        <w:t>为更好地适应中等职业教育发展和区域经济发展需要，我校始终以习近平新时代中国特色社会主义理论、党的二十大精神为指引，全面深入贯彻国务院《关于印发国家职业教育改革实施方案》的通知，国发〔2019〕4号，国务院印发《深化新时代教育评价改革总体方案》（2020年10月13日）；教育部印发《提质培优行动计划（2020～2023年）》的通知；教职成〔2020〕7号，《加快推进教育现代化实施方案》、《国家产教融合建设试点实施方案》；教高函〔2018〕5号《关于申报 2021-2023 学年虚拟仿真实验教学一流课程的通知》、《健康中国2030》文件精神。《教育部关于开展&lt;职业教育示范性虚拟仿真实训基地建设工作&gt;的通知》中提出：建设职业教育虚拟仿真实训基地，既是改革传统教学育人手段，推进人才培养模式创新的迫切需要，也是强化教学、学习、实训相融合的教育教学活动，有效弥补职业教育实训中看不到、进不去、成本高、危险性大等特殊困难的重要措施。以社会和市场需求为导向，用新思路、新机制、新模式设计基地建设实施方案，融合多方资源，探索建立院校主导、企业协同、各具特色的实训基地创新建设模式，搭建校企合作桥梁。</w:t>
      </w:r>
      <w:bookmarkStart w:id="70" w:name="OLE_LINK38"/>
      <w:bookmarkStart w:id="71" w:name="OLE_LINK39"/>
      <w:r>
        <w:rPr>
          <w:rFonts w:hint="eastAsia" w:ascii="宋体" w:hAnsi="宋体" w:cs="宋体"/>
        </w:rPr>
        <w:t>巴州卫生学校拟进行护理VR虚拟仿真实训室项目建设</w:t>
      </w:r>
      <w:bookmarkEnd w:id="70"/>
      <w:bookmarkEnd w:id="71"/>
      <w:r>
        <w:rPr>
          <w:rFonts w:hint="eastAsia" w:ascii="宋体" w:hAnsi="宋体" w:cs="宋体"/>
        </w:rPr>
        <w:t>。</w:t>
      </w:r>
    </w:p>
    <w:p>
      <w:pPr>
        <w:spacing w:line="276" w:lineRule="auto"/>
        <w:ind w:firstLine="420" w:firstLineChars="200"/>
        <w:rPr>
          <w:rFonts w:ascii="宋体" w:hAnsi="宋体" w:cs="宋体"/>
        </w:rPr>
      </w:pPr>
      <w:r>
        <w:rPr>
          <w:rFonts w:hint="eastAsia" w:ascii="宋体" w:hAnsi="宋体" w:cs="宋体"/>
        </w:rPr>
        <w:t>巴州卫生学校护理VR虚拟仿真实训室项目建设，学生可通过虚拟仿真系统进行模拟实训操作和技能训练，实训课程的完成不再受限于时间及空间，随时可依靠虚拟仿真医疗器械、材料进行训练，学生通过反复练习，仔细揣摩，掌握实训课程内容。低成本、低风险、绿色教学，虚拟仿真技术为学生提供了更多的实践机会，大大减少了耗材的使用，降低教学成本；对于有创操作、高风险操作，大大降低了有创操作直接在人体训练的风险性，规避了现实操作中的安全隐患，使学生对于传统教学过程中难以学习的有创操作、高危操作变得容易学习和掌握，实现了绿色教学。实践实验教学方式的改革，创新型教学改革，结合当前时代信息化，充分利用现在手机等低成本设备，共同实现浸入式学习，降低全体使用VR（虚拟现实）的高成本现象；通过讨论式学习模式，可灵活组织课堂，配合LED大屏、互动大屏等设备，增强学生或小组的参与度，实现感官、操作的全面提升；使用服务器同步教师端、学生端、VR端、大屏端等方法，加强教师对课程的控制，提高学生的参与度、兴趣度，使学生在课堂真正的在学习、在讨论、在思考、在实践，实现了群体互动式学习。</w:t>
      </w:r>
    </w:p>
    <w:p>
      <w:pPr>
        <w:spacing w:line="276" w:lineRule="auto"/>
        <w:rPr>
          <w:rFonts w:ascii="宋体" w:hAnsi="宋体" w:cs="宋体"/>
        </w:rPr>
      </w:pPr>
      <w:r>
        <w:rPr>
          <w:rFonts w:hint="eastAsia" w:ascii="宋体" w:hAnsi="宋体" w:cs="宋体"/>
        </w:rPr>
        <w:t>1、搭建平台，功能完善，运行顺畅稳定</w:t>
      </w:r>
    </w:p>
    <w:p>
      <w:pPr>
        <w:spacing w:line="276" w:lineRule="auto"/>
        <w:rPr>
          <w:rFonts w:ascii="宋体" w:hAnsi="宋体" w:cs="宋体"/>
        </w:rPr>
      </w:pPr>
      <w:r>
        <w:rPr>
          <w:rFonts w:hint="eastAsia" w:ascii="宋体" w:hAnsi="宋体" w:cs="宋体"/>
        </w:rPr>
        <w:t>搭建具有护理专业特色的虚拟仿真教学智慧平台，实现资源建设、使用、考核、多元评价等建管评一体化管理，统一身份认证、同一账号管理，建立功能完善、运行顺畅，安全高效、可借鉴、可推广的示范性平台。</w:t>
      </w:r>
    </w:p>
    <w:p>
      <w:pPr>
        <w:spacing w:line="276" w:lineRule="auto"/>
        <w:rPr>
          <w:rFonts w:ascii="宋体" w:hAnsi="宋体" w:cs="宋体"/>
        </w:rPr>
      </w:pPr>
      <w:r>
        <w:rPr>
          <w:rFonts w:hint="eastAsia" w:ascii="宋体" w:hAnsi="宋体" w:cs="宋体"/>
        </w:rPr>
        <w:t>2、降低风险，提高效率</w:t>
      </w:r>
    </w:p>
    <w:p>
      <w:pPr>
        <w:spacing w:line="276" w:lineRule="auto"/>
        <w:rPr>
          <w:rFonts w:ascii="宋体" w:hAnsi="宋体" w:cs="宋体"/>
        </w:rPr>
      </w:pPr>
      <w:r>
        <w:rPr>
          <w:rFonts w:hint="eastAsia" w:ascii="宋体" w:hAnsi="宋体" w:cs="宋体"/>
        </w:rPr>
        <w:t>传统的医学实验需要耗费大量的时间和精力，而且无法重复进行。但是数字化资源虚拟仿真可以快速、反复地进行实验，提高实验效率。建设护理实践技能虚拟仿真教学系统，采用线上+线下虚实一体。线上不受时间地点实验设备的限制，可反复训练，极大提高了学生的学习兴趣，有效提高了教学质量。</w:t>
      </w:r>
    </w:p>
    <w:p>
      <w:pPr>
        <w:spacing w:line="276" w:lineRule="auto"/>
        <w:rPr>
          <w:rFonts w:ascii="宋体" w:hAnsi="宋体" w:cs="宋体"/>
        </w:rPr>
      </w:pPr>
      <w:r>
        <w:rPr>
          <w:rFonts w:hint="eastAsia" w:ascii="宋体" w:hAnsi="宋体" w:cs="宋体"/>
        </w:rPr>
        <w:t>3、传统专业改造，新专业建设刚需</w:t>
      </w:r>
    </w:p>
    <w:p>
      <w:pPr>
        <w:spacing w:line="276" w:lineRule="auto"/>
        <w:rPr>
          <w:rFonts w:ascii="宋体" w:hAnsi="宋体" w:cs="宋体"/>
        </w:rPr>
      </w:pPr>
      <w:r>
        <w:rPr>
          <w:rFonts w:hint="eastAsia" w:ascii="宋体" w:hAnsi="宋体" w:cs="宋体"/>
        </w:rPr>
        <w:t>随着科学技术的发展，新技术、新设备、大数据、物联网、人工智能在各个领域的广泛应用，护理岗位对人才知识、能力、素质的需求也发生了深刻的变革，传统专业课程增减融合，数字化转型势在必行，人口老龄化日趋严重，老年护理、康复、幼儿照护、家政服务等专业不断新增，实训设备高投入，这些专业有些实训项目无法在实训室训练，如失智老人如厕、幼儿照护等项目难实施，VR虚拟仿真实训如亲临其境，很好的解决了教学的困境。</w:t>
      </w:r>
    </w:p>
    <w:p>
      <w:pPr>
        <w:spacing w:line="276" w:lineRule="auto"/>
        <w:rPr>
          <w:rFonts w:ascii="宋体" w:hAnsi="宋体" w:cs="宋体"/>
        </w:rPr>
      </w:pPr>
      <w:r>
        <w:rPr>
          <w:rFonts w:hint="eastAsia" w:ascii="宋体" w:hAnsi="宋体" w:cs="宋体"/>
        </w:rPr>
        <w:t>4、实现全方位、全过程管理的必要手段</w:t>
      </w:r>
    </w:p>
    <w:p>
      <w:pPr>
        <w:spacing w:line="276" w:lineRule="auto"/>
        <w:rPr>
          <w:rFonts w:ascii="宋体" w:hAnsi="宋体" w:cs="宋体"/>
        </w:rPr>
      </w:pPr>
      <w:r>
        <w:rPr>
          <w:rFonts w:hint="eastAsia" w:ascii="宋体" w:hAnsi="宋体" w:cs="宋体"/>
        </w:rPr>
        <w:t>近年大量扩招，生源质量下降，尤其是中职学生学生自主学习能力不足，执业资格通过率逐年下降。 国家近年来连续出台了“职教20条”《教育评价改革实施方案》明确提出：加强信息化建设，强化过程管理， 提高教学质量，如果没有数字化教学资源、信息化教学平台，三教改革难于落实，过程管理难于实现，教学质量难于保障。</w:t>
      </w:r>
    </w:p>
    <w:p>
      <w:pPr>
        <w:spacing w:line="276" w:lineRule="auto"/>
        <w:ind w:firstLine="420" w:firstLineChars="200"/>
        <w:rPr>
          <w:rFonts w:ascii="宋体" w:hAnsi="宋体" w:cs="宋体"/>
        </w:rPr>
      </w:pPr>
      <w:r>
        <w:rPr>
          <w:rFonts w:hint="eastAsia" w:ascii="宋体" w:hAnsi="宋体" w:cs="宋体"/>
        </w:rPr>
        <w:t>护理专业是实践性极强的学科，担负着为医疗岗位培养高素质技能型人才的重担。由于医患关系紧张，学生学习期间很难有机会在医院接触到真实的病人，还有一些隐私部位的医护诊疗过程难实施，难观摩、难再现，另有应急抢救过程分秒必争，医生无法在有限的时间内再给学生讲解抢救要领，建设虚拟仿真内外妇儿科护理、心肺复苏、应急救援演练系统。</w:t>
      </w:r>
    </w:p>
    <w:p>
      <w:pPr>
        <w:spacing w:line="276" w:lineRule="auto"/>
        <w:ind w:firstLine="420" w:firstLineChars="200"/>
        <w:rPr>
          <w:rFonts w:ascii="宋体" w:hAnsi="宋体" w:cs="宋体"/>
        </w:rPr>
      </w:pPr>
      <w:r>
        <w:rPr>
          <w:rFonts w:hint="eastAsia" w:ascii="宋体" w:hAnsi="宋体" w:cs="宋体"/>
        </w:rPr>
        <w:t>VR护理虚拟仿真实训室通过技术赋能，打破资源壁垒、提升安全性、降低成本、强化技能标准化，最终目标是培养具备扎实操作能力、临床思维和人文素养的护理人才，缩短从课堂到临床的适应周期。这一模式符合职业教育“产教融合、虚实结合”的改革方向，是护理教育数字化转型的重要实践。</w:t>
      </w:r>
    </w:p>
    <w:p>
      <w:pPr>
        <w:spacing w:line="276" w:lineRule="auto"/>
        <w:ind w:firstLine="420" w:firstLineChars="200"/>
        <w:rPr>
          <w:rFonts w:ascii="宋体" w:hAnsi="宋体" w:cs="宋体"/>
        </w:rPr>
      </w:pPr>
      <w:r>
        <w:rPr>
          <w:rFonts w:hint="eastAsia" w:ascii="宋体" w:hAnsi="宋体" w:cs="宋体"/>
        </w:rPr>
        <w:t>我校建设VR护理虚拟仿真实训室的核心目的确实是通过虚拟现实技术解决传统护理实训中的痛点问题，具体如下：</w:t>
      </w:r>
    </w:p>
    <w:p>
      <w:pPr>
        <w:spacing w:line="276" w:lineRule="auto"/>
        <w:ind w:firstLine="420" w:firstLineChars="200"/>
        <w:rPr>
          <w:rFonts w:ascii="宋体" w:hAnsi="宋体" w:cs="宋体"/>
        </w:rPr>
      </w:pPr>
      <w:r>
        <w:rPr>
          <w:rFonts w:hint="eastAsia" w:ascii="宋体" w:hAnsi="宋体" w:cs="宋体"/>
        </w:rPr>
        <w:t>实训资源有限：传统护理实训中，实训设备和模型数量有限，难以满足学生的实践需求。而VR护理虚拟仿真实训室通过软件模拟，可提供大量的虚拟护理场景和操作对象，让学生随时进行实践操作。</w:t>
      </w:r>
    </w:p>
    <w:p>
      <w:pPr>
        <w:spacing w:line="276" w:lineRule="auto"/>
        <w:ind w:firstLine="420" w:firstLineChars="200"/>
        <w:rPr>
          <w:rFonts w:ascii="宋体" w:hAnsi="宋体" w:cs="宋体"/>
        </w:rPr>
      </w:pPr>
      <w:r>
        <w:rPr>
          <w:rFonts w:hint="eastAsia" w:ascii="宋体" w:hAnsi="宋体" w:cs="宋体"/>
        </w:rPr>
        <w:t>一些先进的医疗设备价格昂贵，中职院校难以大量配备，学生接触和练习的机会少。VR技术可模拟这些设备的操作界面和使用方法，让学生在虚拟环境中熟悉设备操作。</w:t>
      </w:r>
    </w:p>
    <w:p>
      <w:pPr>
        <w:spacing w:line="276" w:lineRule="auto"/>
        <w:ind w:firstLine="420" w:firstLineChars="200"/>
        <w:rPr>
          <w:rFonts w:ascii="宋体" w:hAnsi="宋体" w:cs="宋体"/>
        </w:rPr>
      </w:pPr>
      <w:r>
        <w:rPr>
          <w:rFonts w:hint="eastAsia" w:ascii="宋体" w:hAnsi="宋体" w:cs="宋体"/>
        </w:rPr>
        <w:t>实践风险较高：护理操作直接作用于患者，学生在实践初期因操作不熟练可能会给患者带来痛苦和风险。在VR虚拟仿真实训室中，学生可在虚拟患者上反复练习，熟练掌握技能后再应用于临床，降低对真实患者的伤害风险。</w:t>
      </w:r>
    </w:p>
    <w:p>
      <w:pPr>
        <w:spacing w:line="276" w:lineRule="auto"/>
        <w:ind w:firstLine="420" w:firstLineChars="200"/>
        <w:rPr>
          <w:rFonts w:ascii="宋体" w:hAnsi="宋体" w:cs="宋体"/>
        </w:rPr>
      </w:pPr>
      <w:r>
        <w:rPr>
          <w:rFonts w:hint="eastAsia" w:ascii="宋体" w:hAnsi="宋体" w:cs="宋体"/>
        </w:rPr>
        <w:t>一些高难度、高风险的护理操作，如心脏穿刺等，在真实场景中难以让学生进行实践。VR虚拟仿真实训室可模拟这些操作的全过程，让学生在安全的虚拟环境中进行训练。</w:t>
      </w:r>
    </w:p>
    <w:p>
      <w:pPr>
        <w:spacing w:line="276" w:lineRule="auto"/>
        <w:ind w:firstLine="420" w:firstLineChars="200"/>
        <w:rPr>
          <w:rFonts w:ascii="宋体" w:hAnsi="宋体" w:cs="宋体"/>
        </w:rPr>
      </w:pPr>
      <w:r>
        <w:rPr>
          <w:rFonts w:hint="eastAsia" w:ascii="宋体" w:hAnsi="宋体" w:cs="宋体"/>
        </w:rPr>
        <w:t>教学场景受限：临床护理工作中的一些特殊场景，如重大疫情防控、罕见病护理等，在传统实训中难以模拟。VR护理虚拟仿真实训室可通过软件编程，构建各种特殊场景，让学生了解和掌握不同场景下的护理技能和应对方法。</w:t>
      </w:r>
    </w:p>
    <w:p>
      <w:pPr>
        <w:spacing w:line="276" w:lineRule="auto"/>
        <w:ind w:firstLine="420" w:firstLineChars="200"/>
        <w:rPr>
          <w:rFonts w:ascii="宋体" w:hAnsi="宋体" w:cs="宋体"/>
        </w:rPr>
      </w:pPr>
      <w:r>
        <w:rPr>
          <w:rFonts w:hint="eastAsia" w:ascii="宋体" w:hAnsi="宋体" w:cs="宋体"/>
        </w:rPr>
        <w:t>传统护理实训场景相对固定，难以随时调整和变化。VR虚拟仿真实训室可根据教学需求，快速切换不同的护理场景，如从病房场景切换到手术室场景，为学生提供多样化的实践环境。</w:t>
      </w:r>
    </w:p>
    <w:p>
      <w:pPr>
        <w:spacing w:line="276" w:lineRule="auto"/>
        <w:ind w:firstLine="420" w:firstLineChars="200"/>
        <w:rPr>
          <w:rFonts w:ascii="宋体" w:hAnsi="宋体" w:cs="宋体"/>
        </w:rPr>
      </w:pPr>
      <w:r>
        <w:rPr>
          <w:rFonts w:hint="eastAsia" w:ascii="宋体" w:hAnsi="宋体" w:cs="宋体"/>
        </w:rPr>
        <w:t>我校高标准建设VR护理虚拟仿真实训室，最终能达成多维度显著成效：</w:t>
      </w:r>
    </w:p>
    <w:p>
      <w:pPr>
        <w:spacing w:line="276" w:lineRule="auto"/>
        <w:rPr>
          <w:rFonts w:ascii="宋体" w:hAnsi="宋体" w:cs="宋体"/>
        </w:rPr>
      </w:pPr>
      <w:r>
        <w:rPr>
          <w:rFonts w:hint="eastAsia" w:ascii="宋体" w:hAnsi="宋体" w:cs="宋体"/>
        </w:rPr>
        <w:t>教学体验革新：借助高沉浸感的VR设备与超逼真场景模拟，学生仿若置身真实护理一线，彻底告别传统教学的枯燥，激发浓厚学习兴趣，让学习从被动接受转为主动探索 。</w:t>
      </w:r>
    </w:p>
    <w:p>
      <w:pPr>
        <w:spacing w:line="276" w:lineRule="auto"/>
        <w:rPr>
          <w:rFonts w:ascii="宋体" w:hAnsi="宋体" w:cs="宋体"/>
        </w:rPr>
      </w:pPr>
      <w:r>
        <w:rPr>
          <w:rFonts w:hint="eastAsia" w:ascii="宋体" w:hAnsi="宋体" w:cs="宋体"/>
        </w:rPr>
        <w:t xml:space="preserve"> 技能掌握高效：学生可在虚拟环境中反复练习各类护理操作，系统精准记录操作数据，及时反馈错误与不足，助力学生快速提升操作精准度和熟练度，扎实掌握护理技能。</w:t>
      </w:r>
    </w:p>
    <w:p>
      <w:pPr>
        <w:spacing w:line="276" w:lineRule="auto"/>
        <w:rPr>
          <w:rFonts w:ascii="宋体" w:hAnsi="宋体" w:cs="宋体"/>
        </w:rPr>
      </w:pPr>
      <w:r>
        <w:rPr>
          <w:rFonts w:hint="eastAsia" w:ascii="宋体" w:hAnsi="宋体" w:cs="宋体"/>
        </w:rPr>
        <w:t xml:space="preserve"> 教学资源优化：虚拟教学资源打破时空局限，随时供学生使用，避免设备损耗与场地限制。同时，标准化虚拟课程确保教学质量统一，让不同学生都能接受优质教学。</w:t>
      </w:r>
    </w:p>
    <w:p>
      <w:pPr>
        <w:spacing w:line="276" w:lineRule="auto"/>
        <w:rPr>
          <w:rFonts w:ascii="宋体" w:hAnsi="宋体" w:cs="宋体"/>
        </w:rPr>
      </w:pPr>
      <w:r>
        <w:rPr>
          <w:rFonts w:hint="eastAsia" w:ascii="宋体" w:hAnsi="宋体" w:cs="宋体"/>
        </w:rPr>
        <w:t xml:space="preserve"> 临床应变提升：模拟多样复杂的临床突发状况，如患者病情急剧恶化、医疗设备突发故障等，锻炼学生应急处理与临床思维能力，使其面对真实场景时更从容自信。</w:t>
      </w:r>
    </w:p>
    <w:p>
      <w:pPr>
        <w:spacing w:line="276" w:lineRule="auto"/>
        <w:rPr>
          <w:rFonts w:ascii="宋体" w:hAnsi="宋体" w:cs="宋体"/>
        </w:rPr>
      </w:pPr>
      <w:r>
        <w:rPr>
          <w:rFonts w:hint="eastAsia" w:ascii="宋体" w:hAnsi="宋体" w:cs="宋体"/>
        </w:rPr>
        <w:t xml:space="preserve"> 职业素养养成：沉浸式体验让学生提前适应护理职业环境，培养责任感、同理心和团队协作精神，全方位提升职业素养，为未来职业发展筑牢根基。</w:t>
      </w:r>
    </w:p>
    <w:p>
      <w:pPr>
        <w:pStyle w:val="13"/>
        <w:ind w:left="1260" w:hanging="420"/>
        <w:jc w:val="center"/>
        <w:rPr>
          <w:rFonts w:ascii="宋体" w:hAnsi="宋体"/>
        </w:rPr>
      </w:pPr>
      <w:r>
        <w:rPr>
          <w:rFonts w:hint="eastAsia" w:ascii="宋体" w:hAnsi="宋体"/>
        </w:rPr>
        <w:t>采购内容及要求</w:t>
      </w:r>
    </w:p>
    <w:p>
      <w:pPr>
        <w:spacing w:line="276" w:lineRule="auto"/>
        <w:rPr>
          <w:rFonts w:ascii="宋体" w:hAnsi="宋体" w:cs="宋体"/>
        </w:rPr>
      </w:pPr>
      <w:r>
        <w:rPr>
          <w:rFonts w:hint="eastAsia" w:ascii="宋体" w:hAnsi="宋体" w:cs="宋体"/>
        </w:rPr>
        <w:t>1、整体设计，环境改造</w:t>
      </w:r>
    </w:p>
    <w:p>
      <w:pPr>
        <w:spacing w:line="276" w:lineRule="auto"/>
        <w:rPr>
          <w:rFonts w:ascii="宋体" w:hAnsi="宋体" w:cs="宋体"/>
        </w:rPr>
      </w:pPr>
      <w:r>
        <w:rPr>
          <w:rFonts w:hint="eastAsia" w:ascii="宋体" w:hAnsi="宋体" w:cs="宋体"/>
        </w:rPr>
        <w:t>结合教育部新医科互联网+教育，人工智能+教育的要求，将现有的护理实训中心进行整体设计，环境改造，采用ARBOOK物联网模式将医学人文、红医精神、南丁格尔精神融入职业学习氛围，打造一个基于临床实际工作流程的融“智能化管理、VR/AR虚实一体化、线上线下融合、多人互动、自主学习、泛在学习的智慧学习空间、学习岛”“教学管练考评”全过程管理，实现文化育人、环境育人。</w:t>
      </w:r>
    </w:p>
    <w:p>
      <w:pPr>
        <w:spacing w:line="276" w:lineRule="auto"/>
        <w:rPr>
          <w:rFonts w:ascii="宋体" w:hAnsi="宋体" w:cs="宋体"/>
        </w:rPr>
      </w:pPr>
      <w:bookmarkStart w:id="193" w:name="_GoBack"/>
      <w:bookmarkEnd w:id="193"/>
      <w:r>
        <w:rPr>
          <w:rFonts w:hint="eastAsia" w:ascii="宋体" w:hAnsi="宋体" w:cs="宋体"/>
        </w:rPr>
        <w:t>2、数字化提升，虚拟化提档</w:t>
      </w:r>
    </w:p>
    <w:p>
      <w:pPr>
        <w:spacing w:line="276" w:lineRule="auto"/>
        <w:rPr>
          <w:rFonts w:ascii="宋体" w:hAnsi="宋体" w:cs="宋体"/>
        </w:rPr>
      </w:pPr>
      <w:r>
        <w:rPr>
          <w:rFonts w:hint="eastAsia" w:ascii="宋体" w:hAnsi="宋体" w:cs="宋体"/>
        </w:rPr>
        <w:t>2.1建设具有校本特色的大数据智能化理虚实一体化教学管理云平台。</w:t>
      </w:r>
    </w:p>
    <w:p>
      <w:pPr>
        <w:spacing w:line="276" w:lineRule="auto"/>
        <w:rPr>
          <w:rFonts w:ascii="宋体" w:hAnsi="宋体" w:cs="宋体"/>
        </w:rPr>
      </w:pPr>
      <w:r>
        <w:rPr>
          <w:rFonts w:hint="eastAsia" w:ascii="宋体" w:hAnsi="宋体" w:cs="宋体"/>
        </w:rPr>
        <w:t>平台设计理念：结合医学教学与实践教学的规律，建设</w:t>
      </w:r>
      <w:bookmarkStart w:id="72" w:name="_Hlk100303023"/>
      <w:r>
        <w:rPr>
          <w:rFonts w:hint="eastAsia" w:ascii="宋体" w:hAnsi="宋体" w:cs="宋体"/>
        </w:rPr>
        <w:t>具有校本特色的大数据智能化理虚实一体教学管理云平台</w:t>
      </w:r>
      <w:bookmarkEnd w:id="72"/>
      <w:r>
        <w:rPr>
          <w:rFonts w:hint="eastAsia" w:ascii="宋体" w:hAnsi="宋体" w:cs="宋体"/>
        </w:rPr>
        <w:t>。平台采用B/S网络系统架构，基于混合在线学习模式设计开发而成，不限使用场地，支持远程登陆，可支持海量用户访问，支持互联网大数据访问无延迟，局域网内访问无延时、支持PC端、平板、</w:t>
      </w:r>
      <w:r>
        <w:rPr>
          <w:rFonts w:hint="eastAsia" w:ascii="宋体" w:hAnsi="宋体" w:cs="宋体"/>
          <w:color w:val="FF0000"/>
        </w:rPr>
        <w:t>手机登录</w:t>
      </w:r>
      <w:r>
        <w:rPr>
          <w:rFonts w:hint="eastAsia" w:ascii="宋体" w:hAnsi="宋体" w:cs="宋体"/>
        </w:rPr>
        <w:t>。</w:t>
      </w:r>
    </w:p>
    <w:p>
      <w:pPr>
        <w:spacing w:line="360" w:lineRule="auto"/>
        <w:jc w:val="center"/>
        <w:rPr>
          <w:rFonts w:ascii="宋体" w:hAnsi="宋体" w:cs="仿宋"/>
          <w:kern w:val="24"/>
          <w:sz w:val="24"/>
          <w:szCs w:val="24"/>
        </w:rPr>
      </w:pPr>
    </w:p>
    <w:p>
      <w:pPr>
        <w:pStyle w:val="120"/>
        <w:spacing w:before="0" w:line="360" w:lineRule="auto"/>
        <w:ind w:firstLine="470"/>
        <w:jc w:val="center"/>
        <w:rPr>
          <w:rFonts w:cs="宋体"/>
          <w:sz w:val="21"/>
          <w:szCs w:val="21"/>
        </w:rPr>
      </w:pPr>
    </w:p>
    <w:p>
      <w:pPr>
        <w:pStyle w:val="120"/>
        <w:spacing w:before="0" w:line="360" w:lineRule="auto"/>
        <w:ind w:firstLine="470"/>
        <w:jc w:val="center"/>
        <w:rPr>
          <w:rFonts w:cs="宋体"/>
          <w:sz w:val="21"/>
          <w:szCs w:val="21"/>
        </w:rPr>
      </w:pPr>
      <w:r>
        <w:rPr>
          <w:rFonts w:cs="宋体"/>
          <w:sz w:val="21"/>
          <w:szCs w:val="21"/>
        </w:rPr>
        <w:t>平台设计理念</w:t>
      </w:r>
    </w:p>
    <w:p>
      <w:pPr>
        <w:pStyle w:val="120"/>
        <w:spacing w:before="0" w:line="360" w:lineRule="auto"/>
        <w:ind w:firstLine="420" w:firstLineChars="200"/>
        <w:rPr>
          <w:rFonts w:cs="宋体"/>
          <w:sz w:val="21"/>
          <w:szCs w:val="21"/>
        </w:rPr>
      </w:pPr>
      <w:r>
        <w:rPr>
          <w:rFonts w:cs="宋体"/>
          <w:sz w:val="21"/>
          <w:szCs w:val="21"/>
        </w:rPr>
        <w:t>2.2平台功能概述：</w:t>
      </w:r>
    </w:p>
    <w:p>
      <w:pPr>
        <w:pStyle w:val="120"/>
        <w:spacing w:before="0" w:line="360" w:lineRule="auto"/>
        <w:ind w:firstLine="420" w:firstLineChars="200"/>
        <w:rPr>
          <w:rFonts w:cs="宋体"/>
          <w:sz w:val="21"/>
          <w:szCs w:val="21"/>
        </w:rPr>
      </w:pPr>
      <w:r>
        <w:rPr>
          <w:rFonts w:cs="宋体"/>
          <w:sz w:val="21"/>
          <w:szCs w:val="21"/>
        </w:rPr>
        <w:t>1）支持教师账号、学生账号登陆。</w:t>
      </w:r>
    </w:p>
    <w:p>
      <w:pPr>
        <w:pStyle w:val="120"/>
        <w:spacing w:before="0" w:line="360" w:lineRule="auto"/>
        <w:ind w:firstLine="420" w:firstLineChars="200"/>
        <w:rPr>
          <w:rFonts w:cs="宋体"/>
          <w:sz w:val="21"/>
          <w:szCs w:val="21"/>
        </w:rPr>
      </w:pPr>
      <w:r>
        <w:rPr>
          <w:rFonts w:cs="宋体"/>
          <w:sz w:val="21"/>
          <w:szCs w:val="21"/>
        </w:rPr>
        <w:t>2）支持数据统计、演练统计、考核管理、病例管理。</w:t>
      </w:r>
    </w:p>
    <w:p>
      <w:pPr>
        <w:pStyle w:val="120"/>
        <w:spacing w:before="0" w:line="360" w:lineRule="auto"/>
        <w:ind w:firstLine="420" w:firstLineChars="200"/>
        <w:rPr>
          <w:rFonts w:cs="宋体"/>
          <w:sz w:val="21"/>
          <w:szCs w:val="21"/>
        </w:rPr>
      </w:pPr>
      <w:r>
        <w:rPr>
          <w:rFonts w:cs="宋体"/>
          <w:sz w:val="21"/>
          <w:szCs w:val="21"/>
        </w:rPr>
        <w:t>2.3平台应用价值：</w:t>
      </w:r>
    </w:p>
    <w:p>
      <w:pPr>
        <w:pStyle w:val="120"/>
        <w:spacing w:before="0" w:line="360" w:lineRule="auto"/>
        <w:ind w:firstLine="420" w:firstLineChars="200"/>
        <w:rPr>
          <w:rFonts w:cs="宋体"/>
          <w:sz w:val="21"/>
          <w:szCs w:val="21"/>
        </w:rPr>
      </w:pPr>
      <w:r>
        <w:rPr>
          <w:rFonts w:cs="宋体"/>
          <w:sz w:val="21"/>
          <w:szCs w:val="21"/>
        </w:rPr>
        <w:t xml:space="preserve">1）面向学校层面。学校教育教学信息化水平整体提升，形成示范效应。为学校提供一个契合教育部《教育信息化2.0行动计划》中倡导的以学习者为中心的智慧学习环境建设，利用智能环境加快推动人才培养模式、教学方法改革，打造样板形成示范效应。 </w:t>
      </w:r>
    </w:p>
    <w:p>
      <w:pPr>
        <w:pStyle w:val="120"/>
        <w:spacing w:before="0" w:line="360" w:lineRule="auto"/>
        <w:ind w:firstLine="420" w:firstLineChars="200"/>
        <w:rPr>
          <w:rFonts w:cs="宋体"/>
          <w:sz w:val="21"/>
          <w:szCs w:val="21"/>
        </w:rPr>
      </w:pPr>
      <w:r>
        <w:rPr>
          <w:rFonts w:cs="宋体"/>
          <w:sz w:val="21"/>
          <w:szCs w:val="21"/>
        </w:rPr>
        <w:t>2）面向管理部门。</w:t>
      </w:r>
    </w:p>
    <w:p>
      <w:pPr>
        <w:pStyle w:val="120"/>
        <w:spacing w:before="0" w:line="360" w:lineRule="auto"/>
        <w:ind w:firstLine="420" w:firstLineChars="200"/>
        <w:rPr>
          <w:rFonts w:cs="宋体"/>
          <w:sz w:val="21"/>
          <w:szCs w:val="21"/>
        </w:rPr>
      </w:pPr>
      <w:r>
        <w:rPr>
          <w:rFonts w:cs="宋体"/>
          <w:sz w:val="21"/>
          <w:szCs w:val="21"/>
        </w:rPr>
        <w:t>智慧管控，多实验教学系统变单平台化管理。在同一个平台内集中管理多学科实验教学内容模块、考试系统、统计系统、资源管理系统等，统一门户，统一身份，课程间互联互通，大大提升教学管理效率。</w:t>
      </w:r>
    </w:p>
    <w:p>
      <w:pPr>
        <w:pStyle w:val="120"/>
        <w:spacing w:before="0" w:line="360" w:lineRule="auto"/>
        <w:ind w:firstLine="420" w:firstLineChars="200"/>
        <w:rPr>
          <w:rFonts w:cs="宋体"/>
          <w:sz w:val="21"/>
          <w:szCs w:val="21"/>
        </w:rPr>
      </w:pPr>
      <w:r>
        <w:rPr>
          <w:rFonts w:cs="宋体"/>
          <w:sz w:val="21"/>
          <w:szCs w:val="21"/>
        </w:rPr>
        <w:t xml:space="preserve">运维管理，同一平台管理，能极大的减轻管理人员的工作量，让日常系统维护管理更高效，更轻松。 </w:t>
      </w:r>
    </w:p>
    <w:p>
      <w:pPr>
        <w:pStyle w:val="120"/>
        <w:spacing w:before="0" w:line="360" w:lineRule="auto"/>
        <w:ind w:firstLine="420" w:firstLineChars="200"/>
        <w:rPr>
          <w:rFonts w:cs="宋体"/>
          <w:sz w:val="21"/>
          <w:szCs w:val="21"/>
        </w:rPr>
      </w:pPr>
      <w:r>
        <w:rPr>
          <w:rFonts w:cs="宋体"/>
          <w:sz w:val="21"/>
          <w:szCs w:val="21"/>
        </w:rPr>
        <w:t>面向教师层面： 自主研发，老师可根据不同的教学场景，同一平台登录一步到位，实现最佳教学环境。</w:t>
      </w:r>
    </w:p>
    <w:p>
      <w:pPr>
        <w:pStyle w:val="120"/>
        <w:spacing w:before="0" w:line="360" w:lineRule="auto"/>
        <w:ind w:firstLine="470"/>
        <w:rPr>
          <w:rFonts w:cs="宋体"/>
          <w:sz w:val="21"/>
          <w:szCs w:val="21"/>
        </w:rPr>
      </w:pPr>
      <w:r>
        <w:rPr>
          <w:rFonts w:cs="宋体"/>
          <w:sz w:val="21"/>
          <w:szCs w:val="21"/>
        </w:rPr>
        <w:t>面向学生层面：智慧学习环境，丰富小组讨论学习。可将手机、PAD等移动设备上的内容，无线投屏至小组显示屏，满足小组成员之间课堂实时互动讨论的效果。激发学生学习的兴趣，提升学生的参与度。</w:t>
      </w:r>
    </w:p>
    <w:p>
      <w:pPr>
        <w:pStyle w:val="120"/>
        <w:spacing w:before="0" w:line="360" w:lineRule="auto"/>
        <w:ind w:firstLine="470"/>
        <w:rPr>
          <w:rFonts w:cs="宋体"/>
          <w:sz w:val="21"/>
          <w:szCs w:val="21"/>
        </w:rPr>
      </w:pPr>
      <w:r>
        <w:rPr>
          <w:rFonts w:cs="宋体"/>
          <w:sz w:val="21"/>
          <w:szCs w:val="21"/>
        </w:rPr>
        <w:t>2.4智能互动护理仿真虚实一体化实训室</w:t>
      </w:r>
    </w:p>
    <w:p>
      <w:pPr>
        <w:pStyle w:val="120"/>
        <w:spacing w:before="0" w:line="360" w:lineRule="auto"/>
        <w:ind w:firstLine="470"/>
        <w:rPr>
          <w:rFonts w:cs="宋体"/>
          <w:sz w:val="21"/>
          <w:szCs w:val="21"/>
        </w:rPr>
      </w:pPr>
      <w:r>
        <w:rPr>
          <w:rFonts w:cs="宋体"/>
          <w:sz w:val="21"/>
          <w:szCs w:val="21"/>
        </w:rPr>
        <w:t>仿真虚拟教学软件系列：针对护理核心课程，依据护理岗位能力需求、执业资格考纲和技能大赛规范要求、职业资格技能鉴定证书要求，定制开发了“课-岗-证-赛”四融通仿真虚拟实训系列软件，涵盖了基础护理、外科护理、急诊急救等课程的实训操作项目库，每一个项目均基于真实护理工作流程，3D建模开发而成，操作动作精准，每一项均经护理专家鉴定，具有PC版、VR版、手机版。VR版通过VR设备实现沉浸式学习，PC版可进行按流程从用物准备整个流程实现人机交互操作，可进行实时评分。</w:t>
      </w:r>
    </w:p>
    <w:p>
      <w:pPr>
        <w:pStyle w:val="120"/>
        <w:spacing w:before="0" w:line="360" w:lineRule="auto"/>
        <w:ind w:firstLine="482"/>
        <w:rPr>
          <w:rFonts w:cs="仿宋"/>
        </w:rPr>
      </w:pPr>
    </w:p>
    <w:p>
      <w:pPr>
        <w:pStyle w:val="120"/>
        <w:spacing w:before="0" w:line="360" w:lineRule="auto"/>
        <w:ind w:firstLine="482"/>
        <w:rPr>
          <w:rFonts w:cs="仿宋"/>
        </w:rPr>
      </w:pPr>
      <w:r>
        <w:rPr>
          <w:rFonts w:cs="仿宋"/>
        </w:rPr>
        <w:drawing>
          <wp:inline distT="0" distB="0" distL="114300" distR="114300">
            <wp:extent cx="5593080" cy="3757930"/>
            <wp:effectExtent l="0" t="0" r="7620" b="13970"/>
            <wp:docPr id="7" name="图片 8" descr="e8dbf03143f130fbccafc53ef943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e8dbf03143f130fbccafc53ef943bec"/>
                    <pic:cNvPicPr>
                      <a:picLocks noChangeAspect="1"/>
                    </pic:cNvPicPr>
                  </pic:nvPicPr>
                  <pic:blipFill>
                    <a:blip r:embed="rId14"/>
                    <a:stretch>
                      <a:fillRect/>
                    </a:stretch>
                  </pic:blipFill>
                  <pic:spPr>
                    <a:xfrm>
                      <a:off x="0" y="0"/>
                      <a:ext cx="5593080" cy="3757930"/>
                    </a:xfrm>
                    <a:prstGeom prst="rect">
                      <a:avLst/>
                    </a:prstGeom>
                    <a:noFill/>
                    <a:ln>
                      <a:noFill/>
                    </a:ln>
                  </pic:spPr>
                </pic:pic>
              </a:graphicData>
            </a:graphic>
          </wp:inline>
        </w:drawing>
      </w:r>
    </w:p>
    <w:p>
      <w:pPr>
        <w:pStyle w:val="4"/>
        <w:numPr>
          <w:ilvl w:val="0"/>
          <w:numId w:val="5"/>
        </w:numPr>
        <w:jc w:val="center"/>
        <w:rPr>
          <w:rFonts w:ascii="宋体" w:hAnsi="宋体" w:cs="Arial"/>
          <w:sz w:val="24"/>
        </w:rPr>
      </w:pPr>
      <w:r>
        <w:rPr>
          <w:rFonts w:hint="eastAsia" w:ascii="宋体" w:hAnsi="宋体" w:cs="Arial"/>
          <w:sz w:val="24"/>
        </w:rPr>
        <w:t>服务/货物需求明细</w:t>
      </w:r>
    </w:p>
    <w:p>
      <w:pPr>
        <w:pStyle w:val="100"/>
        <w:spacing w:before="145" w:beforeLines="50" w:after="145" w:afterLines="50"/>
        <w:ind w:firstLine="0" w:firstLineChars="0"/>
        <w:rPr>
          <w:rFonts w:ascii="宋体" w:hAnsi="宋体" w:cs="Arial"/>
          <w:b/>
          <w:bCs/>
        </w:rPr>
      </w:pPr>
      <w:bookmarkStart w:id="73" w:name="_Hlk72073432"/>
      <w:r>
        <w:rPr>
          <w:rFonts w:ascii="宋体" w:hAnsi="宋体" w:cs="Arial"/>
          <w:b/>
          <w:bCs/>
        </w:rPr>
        <w:t>软硬件配套设备：</w:t>
      </w:r>
    </w:p>
    <w:p>
      <w:pPr>
        <w:pStyle w:val="100"/>
        <w:spacing w:before="145" w:beforeLines="50" w:after="145" w:afterLines="50"/>
        <w:ind w:firstLine="0" w:firstLineChars="0"/>
        <w:rPr>
          <w:rFonts w:ascii="宋体" w:hAnsi="宋体" w:cs="宋体"/>
          <w:b/>
          <w:bCs/>
          <w:sz w:val="21"/>
        </w:rPr>
      </w:pPr>
      <w:r>
        <w:rPr>
          <w:rFonts w:ascii="宋体" w:hAnsi="宋体" w:cs="Arial"/>
          <w:b/>
          <w:bCs/>
        </w:rPr>
        <w:t>一</w:t>
      </w:r>
      <w:r>
        <w:rPr>
          <w:rFonts w:ascii="宋体" w:hAnsi="宋体" w:cs="Arial"/>
        </w:rPr>
        <w:t>、</w:t>
      </w:r>
      <w:r>
        <w:rPr>
          <w:rFonts w:ascii="宋体" w:hAnsi="宋体" w:cs="宋体"/>
          <w:b/>
          <w:bCs/>
          <w:sz w:val="21"/>
        </w:rPr>
        <w:t>VR虚拟仿真教学系统（教师端软硬件)</w:t>
      </w:r>
      <w:r>
        <w:rPr>
          <w:rFonts w:ascii="宋体" w:hAnsi="宋体" w:cs="宋体"/>
          <w:sz w:val="21"/>
        </w:rPr>
        <w:t>：1、讲台1个：尺寸≥ 900*600*1000mm, 材质为优质冷轧钢板，实木扶手。2、教师座椅1把。 3、教师端主机  4、快门式3D眼镜50副。5、全彩LED显示系统。 6、显示屏驱动节能电源。7、显示屏控制接收系统。8、 显示屏图像视频控制器.9、音频系统。</w:t>
      </w:r>
    </w:p>
    <w:p>
      <w:pPr>
        <w:pStyle w:val="100"/>
        <w:spacing w:before="145" w:beforeLines="50" w:after="145" w:afterLines="50"/>
        <w:ind w:firstLine="0" w:firstLineChars="0"/>
        <w:rPr>
          <w:rFonts w:ascii="宋体" w:hAnsi="宋体" w:cs="宋体"/>
          <w:sz w:val="21"/>
        </w:rPr>
      </w:pPr>
      <w:r>
        <w:rPr>
          <w:rFonts w:ascii="宋体" w:hAnsi="宋体" w:cs="宋体"/>
          <w:b/>
          <w:bCs/>
          <w:sz w:val="21"/>
        </w:rPr>
        <w:t>二、VR虚拟仿真教学系统（学生端软硬件）：</w:t>
      </w:r>
      <w:r>
        <w:rPr>
          <w:rFonts w:ascii="宋体" w:hAnsi="宋体" w:cs="宋体"/>
          <w:sz w:val="21"/>
        </w:rPr>
        <w:t>1、提供配套多媒体学生课桌椅。2、学生端电脑显示屏及主机。</w:t>
      </w:r>
    </w:p>
    <w:p>
      <w:pPr>
        <w:pStyle w:val="100"/>
        <w:spacing w:before="145" w:beforeLines="50" w:after="145" w:afterLines="50"/>
        <w:ind w:firstLine="0" w:firstLineChars="0"/>
        <w:rPr>
          <w:rFonts w:ascii="宋体" w:hAnsi="宋体" w:cs="宋体"/>
          <w:sz w:val="21"/>
        </w:rPr>
      </w:pPr>
      <w:r>
        <w:rPr>
          <w:rFonts w:ascii="宋体" w:hAnsi="宋体" w:cs="宋体"/>
          <w:b/>
          <w:bCs/>
          <w:sz w:val="21"/>
        </w:rPr>
        <w:t>三、3D虚实融合情景化综合急救仿真训练系统（显示终端</w:t>
      </w:r>
      <w:r>
        <w:rPr>
          <w:rFonts w:ascii="宋体" w:hAnsi="宋体" w:cs="宋体"/>
          <w:sz w:val="21"/>
        </w:rPr>
        <w:t>）、</w:t>
      </w:r>
      <w:r>
        <w:rPr>
          <w:rFonts w:ascii="宋体" w:hAnsi="宋体" w:cs="宋体"/>
          <w:b/>
          <w:bCs/>
          <w:sz w:val="21"/>
        </w:rPr>
        <w:t>3D虚实融合情景化综合急救仿真训练系统（学生交互终端</w:t>
      </w:r>
      <w:r>
        <w:rPr>
          <w:rFonts w:ascii="宋体" w:hAnsi="宋体" w:cs="宋体"/>
          <w:sz w:val="21"/>
        </w:rPr>
        <w:t>：1、全彩LED显示系统。2、显示屏驱动节能电源、  3、显示屏控制接收系统。4、显示屏控制接收系统。5、 LED显示屏钢结构。6、音频系统。7、LED显示高性能工作站。8、AR显示系统。9、智能模拟人。10、示教大屏。11、控制工作站。12、平板控制系统。13、摄录系统。</w:t>
      </w:r>
    </w:p>
    <w:p>
      <w:pPr>
        <w:pStyle w:val="100"/>
        <w:spacing w:before="58" w:after="58"/>
        <w:ind w:firstLine="0" w:firstLineChars="0"/>
        <w:rPr>
          <w:rFonts w:ascii="宋体" w:hAnsi="宋体" w:cs="宋体"/>
          <w:sz w:val="21"/>
        </w:rPr>
      </w:pPr>
      <w:r>
        <w:rPr>
          <w:rFonts w:ascii="宋体" w:hAnsi="宋体" w:cs="宋体"/>
          <w:b/>
          <w:bCs/>
          <w:sz w:val="21"/>
        </w:rPr>
        <w:t>四、VR虚拟仿真操作资源包（服务器端）：</w:t>
      </w:r>
      <w:r>
        <w:rPr>
          <w:rFonts w:ascii="宋体" w:hAnsi="宋体" w:cs="宋体"/>
          <w:sz w:val="21"/>
        </w:rPr>
        <w:t>1</w:t>
      </w:r>
      <w:r>
        <w:rPr>
          <w:rFonts w:ascii="宋体" w:hAnsi="宋体" w:cs="宋体"/>
          <w:b/>
          <w:bCs/>
          <w:sz w:val="21"/>
        </w:rPr>
        <w:t>、</w:t>
      </w:r>
      <w:r>
        <w:rPr>
          <w:rFonts w:ascii="宋体" w:hAnsi="宋体" w:cs="宋体"/>
          <w:sz w:val="21"/>
        </w:rPr>
        <w:t>2U机架式服务器。2、网络交换机。3、机柜。</w:t>
      </w:r>
    </w:p>
    <w:p>
      <w:pPr>
        <w:pStyle w:val="147"/>
        <w:rPr>
          <w:rFonts w:cs="宋体"/>
          <w:sz w:val="21"/>
          <w:szCs w:val="21"/>
        </w:rPr>
      </w:pPr>
      <w:r>
        <w:rPr>
          <w:rFonts w:cs="宋体"/>
          <w:sz w:val="21"/>
          <w:szCs w:val="21"/>
        </w:rPr>
        <w:t>项目建设内容</w:t>
      </w:r>
    </w:p>
    <w:tbl>
      <w:tblPr>
        <w:tblStyle w:val="39"/>
        <w:tblW w:w="10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
        <w:gridCol w:w="669"/>
        <w:gridCol w:w="1573"/>
        <w:gridCol w:w="6887"/>
        <w:gridCol w:w="756"/>
        <w:gridCol w:w="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86" w:type="dxa"/>
            <w:vAlign w:val="center"/>
          </w:tcPr>
          <w:p>
            <w:pPr>
              <w:widowControl/>
              <w:kinsoku w:val="0"/>
              <w:adjustRightInd w:val="0"/>
              <w:snapToGrid w:val="0"/>
              <w:jc w:val="center"/>
              <w:textAlignment w:val="baseline"/>
              <w:rPr>
                <w:rFonts w:ascii="宋体" w:hAnsi="宋体" w:cs="宋体"/>
                <w:snapToGrid w:val="0"/>
                <w:color w:val="000000"/>
                <w:spacing w:val="-9"/>
                <w:sz w:val="18"/>
                <w:szCs w:val="18"/>
              </w:rPr>
            </w:pPr>
            <w:r>
              <w:rPr>
                <w:rFonts w:hint="eastAsia" w:ascii="宋体" w:hAnsi="宋体" w:cs="宋体"/>
                <w:snapToGrid w:val="0"/>
                <w:color w:val="000000"/>
                <w:spacing w:val="-9"/>
                <w:kern w:val="0"/>
                <w:sz w:val="18"/>
                <w:szCs w:val="18"/>
                <w:lang w:eastAsia="en-US"/>
              </w:rPr>
              <w:t>序号</w:t>
            </w:r>
          </w:p>
        </w:tc>
        <w:tc>
          <w:tcPr>
            <w:tcW w:w="669" w:type="dxa"/>
            <w:vAlign w:val="center"/>
          </w:tcPr>
          <w:p>
            <w:pPr>
              <w:widowControl/>
              <w:kinsoku w:val="0"/>
              <w:adjustRightInd w:val="0"/>
              <w:snapToGrid w:val="0"/>
              <w:jc w:val="left"/>
              <w:textAlignment w:val="baseline"/>
              <w:rPr>
                <w:rFonts w:ascii="宋体" w:hAnsi="宋体" w:cs="宋体"/>
                <w:snapToGrid w:val="0"/>
                <w:color w:val="000000"/>
                <w:spacing w:val="-9"/>
                <w:kern w:val="0"/>
                <w:sz w:val="18"/>
                <w:szCs w:val="18"/>
              </w:rPr>
            </w:pPr>
            <w:r>
              <w:rPr>
                <w:rFonts w:hint="eastAsia" w:ascii="宋体" w:hAnsi="宋体" w:cs="宋体"/>
                <w:snapToGrid w:val="0"/>
                <w:color w:val="000000"/>
                <w:spacing w:val="-9"/>
                <w:kern w:val="0"/>
                <w:sz w:val="18"/>
                <w:szCs w:val="18"/>
              </w:rPr>
              <w:t>产品名称</w:t>
            </w:r>
          </w:p>
        </w:tc>
        <w:tc>
          <w:tcPr>
            <w:tcW w:w="1573" w:type="dxa"/>
            <w:vAlign w:val="center"/>
          </w:tcPr>
          <w:p>
            <w:pPr>
              <w:widowControl/>
              <w:kinsoku w:val="0"/>
              <w:adjustRightInd w:val="0"/>
              <w:snapToGrid w:val="0"/>
              <w:jc w:val="left"/>
              <w:textAlignment w:val="baseline"/>
              <w:rPr>
                <w:rFonts w:ascii="宋体" w:hAnsi="宋体" w:cs="宋体"/>
                <w:snapToGrid w:val="0"/>
                <w:color w:val="000000"/>
                <w:spacing w:val="-9"/>
                <w:kern w:val="0"/>
                <w:sz w:val="18"/>
                <w:szCs w:val="18"/>
              </w:rPr>
            </w:pPr>
            <w:r>
              <w:rPr>
                <w:rFonts w:hint="eastAsia" w:ascii="宋体" w:hAnsi="宋体" w:cs="宋体"/>
                <w:snapToGrid w:val="0"/>
                <w:color w:val="000000"/>
                <w:spacing w:val="-9"/>
                <w:kern w:val="0"/>
                <w:sz w:val="18"/>
                <w:szCs w:val="18"/>
              </w:rPr>
              <w:t>建设内容</w:t>
            </w:r>
          </w:p>
        </w:tc>
        <w:tc>
          <w:tcPr>
            <w:tcW w:w="6887" w:type="dxa"/>
            <w:vAlign w:val="center"/>
          </w:tcPr>
          <w:p>
            <w:pPr>
              <w:widowControl/>
              <w:kinsoku w:val="0"/>
              <w:adjustRightInd w:val="0"/>
              <w:snapToGrid w:val="0"/>
              <w:jc w:val="both"/>
              <w:textAlignment w:val="baseline"/>
              <w:rPr>
                <w:rFonts w:ascii="宋体" w:hAnsi="宋体" w:cs="宋体"/>
                <w:snapToGrid w:val="0"/>
                <w:color w:val="000000"/>
                <w:spacing w:val="-9"/>
                <w:kern w:val="0"/>
                <w:sz w:val="18"/>
                <w:szCs w:val="18"/>
              </w:rPr>
            </w:pPr>
            <w:r>
              <w:rPr>
                <w:rFonts w:hint="eastAsia" w:ascii="宋体" w:hAnsi="宋体" w:cs="宋体"/>
                <w:snapToGrid w:val="0"/>
                <w:color w:val="000000"/>
                <w:spacing w:val="-9"/>
                <w:kern w:val="0"/>
                <w:sz w:val="18"/>
                <w:szCs w:val="18"/>
              </w:rPr>
              <w:t>主要参数</w:t>
            </w:r>
          </w:p>
        </w:tc>
        <w:tc>
          <w:tcPr>
            <w:tcW w:w="756" w:type="dxa"/>
            <w:vAlign w:val="center"/>
          </w:tcPr>
          <w:p>
            <w:pPr>
              <w:widowControl/>
              <w:kinsoku w:val="0"/>
              <w:adjustRightInd w:val="0"/>
              <w:snapToGrid w:val="0"/>
              <w:jc w:val="both"/>
              <w:textAlignment w:val="baseline"/>
              <w:rPr>
                <w:rFonts w:ascii="宋体" w:hAnsi="宋体" w:cs="宋体"/>
                <w:snapToGrid w:val="0"/>
                <w:color w:val="000000"/>
                <w:spacing w:val="-9"/>
                <w:kern w:val="0"/>
                <w:sz w:val="18"/>
                <w:szCs w:val="18"/>
                <w:lang w:eastAsia="en-US"/>
              </w:rPr>
            </w:pPr>
            <w:r>
              <w:rPr>
                <w:rFonts w:hint="eastAsia" w:ascii="宋体" w:hAnsi="宋体" w:cs="宋体"/>
                <w:snapToGrid w:val="0"/>
                <w:color w:val="000000"/>
                <w:spacing w:val="-9"/>
                <w:kern w:val="0"/>
                <w:sz w:val="18"/>
                <w:szCs w:val="18"/>
                <w:lang w:eastAsia="en-US"/>
              </w:rPr>
              <w:t>数量</w:t>
            </w:r>
            <w:r>
              <w:rPr>
                <w:rFonts w:hint="eastAsia" w:ascii="宋体" w:hAnsi="宋体" w:cs="宋体"/>
                <w:snapToGrid w:val="0"/>
                <w:color w:val="000000"/>
                <w:spacing w:val="-9"/>
                <w:kern w:val="0"/>
                <w:sz w:val="18"/>
                <w:szCs w:val="18"/>
                <w:lang w:eastAsia="en-US"/>
              </w:rPr>
              <w:br w:type="textWrapping"/>
            </w:r>
            <w:r>
              <w:rPr>
                <w:rFonts w:hint="eastAsia" w:ascii="宋体" w:hAnsi="宋体" w:cs="宋体"/>
                <w:snapToGrid w:val="0"/>
                <w:color w:val="000000"/>
                <w:spacing w:val="-9"/>
                <w:kern w:val="0"/>
                <w:sz w:val="18"/>
                <w:szCs w:val="18"/>
                <w:lang w:eastAsia="en-US"/>
              </w:rPr>
              <w:t>（台套）</w:t>
            </w:r>
          </w:p>
        </w:tc>
        <w:tc>
          <w:tcPr>
            <w:tcW w:w="418" w:type="dxa"/>
            <w:vAlign w:val="center"/>
          </w:tcPr>
          <w:p>
            <w:pPr>
              <w:widowControl/>
              <w:kinsoku w:val="0"/>
              <w:adjustRightInd w:val="0"/>
              <w:snapToGrid w:val="0"/>
              <w:jc w:val="center"/>
              <w:textAlignment w:val="baseline"/>
              <w:rPr>
                <w:rFonts w:ascii="宋体" w:hAnsi="宋体" w:cs="宋体"/>
                <w:snapToGrid w:val="0"/>
                <w:color w:val="000000"/>
                <w:spacing w:val="-9"/>
                <w:kern w:val="0"/>
                <w:sz w:val="18"/>
                <w:szCs w:val="18"/>
                <w:lang w:eastAsia="en-US"/>
              </w:rPr>
            </w:pPr>
            <w:r>
              <w:rPr>
                <w:rFonts w:hint="eastAsia" w:ascii="宋体" w:hAnsi="宋体" w:cs="宋体"/>
                <w:snapToGrid w:val="0"/>
                <w:color w:val="000000"/>
                <w:spacing w:val="-9"/>
                <w:kern w:val="0"/>
                <w:sz w:val="18"/>
                <w:szCs w:val="18"/>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86" w:type="dxa"/>
            <w:vMerge w:val="restart"/>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w:t>
            </w:r>
          </w:p>
        </w:tc>
        <w:tc>
          <w:tcPr>
            <w:tcW w:w="669" w:type="dxa"/>
            <w:vMerge w:val="restart"/>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护理技能虚拟仿真训练系统</w:t>
            </w: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（1）、男性导尿术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系统要求以三维动态形式，完整地展示给男性患者留置导尿的完整过程。每个三维动态场景模型面数不少于100000面。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1.三维动态展示男病人留置导尿的概念、适应症与禁忌症。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2.三维动态展示护士双人核对医嘱。</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3.三维动态展示治疗车与留置导尿所需物品，均为真实1:1建模，可做示教，垃圾分类处理。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4.全真实三维全景展示病房场景，护士与患者核对解释。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5.三维动态展示护士关闭门窗，屏风遮挡。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6.三维动态展示护士辅助病患安置体位，暴露外阴。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7.三维动态展示护士将治疗巾垫于患者臀下，弯盘置于会阴处，检查并打开导尿包，取出初步消毒用物，放于弯盘后方，将消毒液棉球倒入小方盘内。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8.三维动态展示初次消毒。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9.三维动态展示七步洗手法洗手再次消毒双手后取无菌导尿包置于病人两腿之间，按无菌要求打开导尿包。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10.三维动态展示护士戴无菌手套，铺洞巾于病人的外阴处。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11.三维动态展示护士将集尿袋连接于导尿管尾端。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12.三维动态展示护士取出导尿管，用润滑油棉球润滑导尿管前端。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13.三维动态展示护士再次消毒尿道口、龟头及冠状沟数次，污棉球、弯盘、镊子放床尾弯盘内。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14.三维动态展示护士开始插导尿管。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15.三维动态展示护士将注射器连接于导尿管尾端，根据导尿管上注明的气囊容积，向气囊内注入等量无菌生理盐水；轻拉导尿管有阻力，即证实导尿管已固定于膀胱内。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16.三维动态展示护士用安全别针将集尿袋固定于低于膀胱高度的床边。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17.三维动态展示告知患者及其家属有关注意事项和疾病的相关健康知识。</w:t>
            </w:r>
          </w:p>
        </w:tc>
        <w:tc>
          <w:tcPr>
            <w:tcW w:w="756" w:type="dxa"/>
            <w:vAlign w:val="center"/>
          </w:tcPr>
          <w:p>
            <w:pPr>
              <w:pStyle w:val="148"/>
              <w:jc w:val="both"/>
              <w:rPr>
                <w:rFonts w:ascii="宋体" w:hAnsi="宋体" w:cs="宋体"/>
                <w:color w:val="FF0000"/>
                <w:sz w:val="18"/>
                <w:szCs w:val="18"/>
              </w:rPr>
            </w:pPr>
            <w:r>
              <w:rPr>
                <w:rFonts w:hint="eastAsia" w:ascii="宋体" w:hAnsi="宋体" w:cs="宋体"/>
                <w:sz w:val="18"/>
                <w:szCs w:val="18"/>
              </w:rPr>
              <w:t>1</w:t>
            </w:r>
          </w:p>
        </w:tc>
        <w:tc>
          <w:tcPr>
            <w:tcW w:w="418" w:type="dxa"/>
            <w:vAlign w:val="center"/>
          </w:tcPr>
          <w:p>
            <w:pPr>
              <w:pStyle w:val="148"/>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（2）女性导尿术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系统要求以三维动态形式，完整地展示给女性患者导尿的完整过程。每个三维动态场景模型面数不少于100000面。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1.三维动态展示女病人留置导尿的概念、适应症与禁忌症。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2.三维动态展示护士双人核对医嘱。</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3.三维动态展示治疗车与留置导尿所需物品，均为真实1:1建模，可做示教，垃圾分类处理。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4.全真实三维全景展示病房场景，护士与患者核对解释。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5.三维动态展示护士关闭门窗，屏风遮挡。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6.三维动态展示护士辅助病患安置体位，暴露外阴。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7.三维动态展示护士将治疗巾垫于患者臀下，弯盘置于会阴处，检查并打开导尿包，取出初步消毒用物，放于弯盘后方，将消毒液棉球倒入小方盘内。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8.三维动态展示初次消毒。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9.三维动态展示七步洗手法洗手再次消毒双手后取无菌导尿包置于病人两腿之间，按无菌要求打开导尿包。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10.三维动态展示护士戴无菌手套，铺洞巾于病人的外阴处。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11.三维动态展示护士取出导尿管，用润滑油棉球润滑导尿管前端。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12.三维动态展示护士再次消毒尿道口→小阴唇→尿道口，污棉球、弯盘、镊子放床尾弯盘内。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13.三维动态展示护士开始插导尿管。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14.三维动态展示护士松开固定小阴唇的手下移固定导尿管，将尿液引流到方盘内，如做尿培养用无菌标本瓶从尿管尾端接取中段尿液5ml。</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15.三维动态展示导尿完毕后，拔出导尿管，撤去洞巾，擦净会阴，收拾导尿用物弃于医疗垃圾筒内。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16.三维动态展示告知患者及其家属有关注意事项和疾病的相关健康知识。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17.三维动态展示护士操作后的处理，垃圾分类处理，洗手记录。</w:t>
            </w:r>
          </w:p>
        </w:tc>
        <w:tc>
          <w:tcPr>
            <w:tcW w:w="756" w:type="dxa"/>
            <w:vAlign w:val="center"/>
          </w:tcPr>
          <w:p>
            <w:pPr>
              <w:pStyle w:val="148"/>
              <w:jc w:val="both"/>
              <w:rPr>
                <w:rFonts w:ascii="宋体" w:hAnsi="宋体" w:cs="宋体"/>
                <w:color w:val="FF0000"/>
                <w:sz w:val="18"/>
                <w:szCs w:val="18"/>
              </w:rPr>
            </w:pPr>
            <w:r>
              <w:rPr>
                <w:rFonts w:hint="eastAsia" w:ascii="宋体" w:hAnsi="宋体" w:cs="宋体"/>
                <w:sz w:val="18"/>
                <w:szCs w:val="18"/>
              </w:rPr>
              <w:t>1</w:t>
            </w:r>
          </w:p>
        </w:tc>
        <w:tc>
          <w:tcPr>
            <w:tcW w:w="418" w:type="dxa"/>
            <w:vAlign w:val="center"/>
          </w:tcPr>
          <w:p>
            <w:pPr>
              <w:pStyle w:val="148"/>
              <w:rPr>
                <w:rFonts w:ascii="宋体" w:hAnsi="宋体" w:cs="宋体"/>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（3）、静脉输液技术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系统要求以三维动态形式，完整地展示静脉输液技术的完整过程。每个三维动态场景模型面数不少于100000面。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1.三维动态展示静脉输液的目的。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2.三维动态展示治疗车与静脉输液所需物品，均为真实1：1建模，可做示教，垃圾分类处理。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3.全真实三维全景展示病房场景，护士与患者核对解释。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4.三维动态展示护士选择注射部位。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5.全真实三维全景展示护士返回治疗室途中，评估环境。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6.三维动态展示七步洗手法洗手，戴口罩。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7.三维动态展示双人核对医嘱。</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8.三维动态展示护士对光检查液体。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9.三维动态展示护士取出已准备好的输液瓶贴，贴在液体背面，打开拉环，将液体放于无菌盘一侧，注意保护好瓶口，不能跨越。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10.三维动态展示护士检查消毒液，消毒瓶口。</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11.三维动态展示护士检查输液器质量。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12.三维动态展示护士插输液器于瓶口。</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13.三维动态展示护士再次核对医嘱，签加药者姓名及时间。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14.三维动态展示护士携用物至床旁，核对腕带。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15.三维动态展示护士挂瓶、排气。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16.三维动态展示再次评估血管。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17.三维动态展示备输液贴、扎止血带。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18.三维动态展示护士使用快速手消快速洗手。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19.三维动态显示护士消毒患者穿刺部位两遍，核对腕带。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20.三维动态展示从输液架上取下输液器二次排气。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21.三维动态展示护士穿刺成功。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22.三维动态展示护士松止血带、嘱患者松拳、松调节器。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23.三维动态展示护士依次固定针翼---针头--剩余部分（U形固定）。</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24.三维动态展示护士整理用物，一次性物品置于黄色垃圾桶内，小垫枕置于治疗车下层。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25.三维动态展示护士根据病人病情、年龄、药物性质调节滴速。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26.三维动态展示护士取医嘱本、治疗本与溶液再次核对，核对腕带。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27.三维动态展示护士协助患者于舒适卧位，整理呼叫器放于患者能看到的地方，拉起床档。</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28.三维动态展示护士七步洗手法洗手，交代注意事项。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29.三维动态展示护士看时间，记录签名，将治疗卡悬挂于输液架上。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30.三维动态展示护士携带医嘱本返回治疗室途中，口述：每15-30分钟巡视病房一次。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31.三维动态展示拔针时护士核对床尾、液体、腕带。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32.三维动态展示护士取下一片输液贴，交代注意事项。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33.三维动态展示护士关闭调节器，并撕下第二片输液贴。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34.三维动态展示护士协助患者按压，嘱患者不要揉搓。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35.三维动态展示护士取下输液器，将针头和输液器针剪至利器盒中，其余垃圾放于黄色垃圾桶内。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36.三维动态展示护士取下最后一条输液贴，整理床单位，助患者于合适体位。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37.三维动态展示护士七步洗手法洗手，交代注意事项。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38.三维动态展示护士取下口罩，看时间记录输液结束时间，签名。</w:t>
            </w:r>
          </w:p>
        </w:tc>
        <w:tc>
          <w:tcPr>
            <w:tcW w:w="756" w:type="dxa"/>
            <w:vAlign w:val="center"/>
          </w:tcPr>
          <w:p>
            <w:pPr>
              <w:pStyle w:val="148"/>
              <w:jc w:val="both"/>
              <w:rPr>
                <w:rFonts w:ascii="宋体" w:hAnsi="宋体" w:cs="宋体"/>
                <w:color w:val="FF0000"/>
                <w:sz w:val="18"/>
                <w:szCs w:val="18"/>
              </w:rPr>
            </w:pPr>
            <w:r>
              <w:rPr>
                <w:rFonts w:hint="eastAsia" w:ascii="宋体" w:hAnsi="宋体" w:cs="宋体"/>
                <w:sz w:val="18"/>
                <w:szCs w:val="18"/>
              </w:rPr>
              <w:t>1</w:t>
            </w:r>
          </w:p>
        </w:tc>
        <w:tc>
          <w:tcPr>
            <w:tcW w:w="418" w:type="dxa"/>
            <w:vAlign w:val="center"/>
          </w:tcPr>
          <w:p>
            <w:pPr>
              <w:pStyle w:val="148"/>
              <w:rPr>
                <w:rFonts w:ascii="宋体" w:hAnsi="宋体" w:cs="宋体"/>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（4）、静脉采血技术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系统要求以三维动态形式，完整地展示静脉采血技术的完整过程。每个三维动态场景模型面数不少于100000面。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1.三维动态展示静脉采血技术的目的。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2.三维动态展示核对医嘱、检验单上的姓名、床号、住院号、检验项目，检查标本容器有无破损，是否符合检验要求。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3.三维动态展示护士个人准备，七步洗手法洗手，戴口罩。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4.三维动态逐步展示治疗盘及静脉采血技术所需物品，均为三维建模，模型均与真实物品1：1比例呈现。物品准备齐全。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5.全真实三维全景展示病房场景，护士携用物至床旁，核对患者。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6.三维动态展示告知患者抽血目的以及取得患者配合。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7.三维动态展示护士协助患者取舒适体位，选择合适的采血部位。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8.三维动态展示选择合适静脉消毒。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9.三维动态展示消毒后第二次核对患者。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10.三维动态展示按静脉注射术将针头刺入静脉。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11.三维动态展示抽血后按压。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12.三维动态展示采血完毕，协助患者去舒适卧位，整理床单位，处理用物。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13.三维动态展示将血标本贴上标签连同检验单及时送到检验室，并记录执行时间。</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14.●软件操作结束后，自动生成个人训练报告，内容包括：训练成绩、核心操作正确率、胜任力维度评价、所用时长、扣分和错误详情， 系统可针对本次训练给出点评，包含胜任力八维度、熟练程度、核心技能掌握情况等，并推荐下一步训练方案；（需提供现场演示）</w:t>
            </w:r>
          </w:p>
        </w:tc>
        <w:tc>
          <w:tcPr>
            <w:tcW w:w="756" w:type="dxa"/>
            <w:vAlign w:val="center"/>
          </w:tcPr>
          <w:p>
            <w:pPr>
              <w:pStyle w:val="148"/>
              <w:jc w:val="both"/>
              <w:rPr>
                <w:rFonts w:ascii="宋体" w:hAnsi="宋体" w:cs="宋体"/>
                <w:color w:val="FF0000"/>
                <w:sz w:val="18"/>
                <w:szCs w:val="18"/>
              </w:rPr>
            </w:pPr>
            <w:r>
              <w:rPr>
                <w:rFonts w:hint="eastAsia" w:ascii="宋体" w:hAnsi="宋体" w:cs="宋体"/>
                <w:sz w:val="18"/>
                <w:szCs w:val="18"/>
              </w:rPr>
              <w:t>1</w:t>
            </w:r>
          </w:p>
        </w:tc>
        <w:tc>
          <w:tcPr>
            <w:tcW w:w="418" w:type="dxa"/>
            <w:vAlign w:val="center"/>
          </w:tcPr>
          <w:p>
            <w:pPr>
              <w:pStyle w:val="148"/>
              <w:rPr>
                <w:rFonts w:ascii="宋体" w:hAnsi="宋体" w:cs="宋体"/>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（5）、静脉注射术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系统要求以三维动态形式，完整地展示静脉注射的完整过程。每个三维动态场景模型面数不少于100000面。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1.三维动态展示静脉注射的目的。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2.三维动态展示医生七步洗手法、戴口罩、帽子，着装整齐。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3.三维动态展示物品准备，物品均3D建模，可用以示范教学。通过拖动物品到治疗车，考核静脉输液所需物品的知识点。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4.三维动态展示药液准备，按照三查七对原则核对药物；按照无菌技术原则抽吸药液等后续操作。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5.三维动态展示确认医嘱及静脉注射卡，核对患者床号、姓名、药名、剂量、注射时间等。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6.全真实三维全景展示病房场景，了解患者病情，治疗情况，意识状态并取得患者配合。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7.三维动态展示向患者解释静脉注射的目的、方法、注意事项、配合要点、药物名称及基本作用。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8.三维动态展示评估患者注射部位皮肤情况：病人全身有无异常，穿刺部位是否符合要求。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9.文字展示护理目标。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10.三维动态展示协助患者采取舒适卧位，露出注射部位，将治疗巾置于其下，选择合适静脉。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11.全真实三维全景展示病房场景，护士携用物至床旁，再次核对患者信息。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12.三维动态展示穿刺部位消毒及嘱咐患者注意事项。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13.三维动态展示再次核对注射器及药物。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14.三维动态展示注射药物并嘱咐患者注意事项。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15.三维动态展示注射完毕后的操作事项、医患沟通并进行健康宣教。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16.三维动态展示操作后再次进行核对。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17.三维动态展示对物品进行分类处理。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18.三维动态展示医生再次进行七步洗手法彻底清洗双手。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19.三维动态展示医生在记录单上详细记录。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20.学生手动填写健康知识。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21.系统支持操作过程中穿插单选/多选题的形式考核知识点。</w:t>
            </w:r>
          </w:p>
        </w:tc>
        <w:tc>
          <w:tcPr>
            <w:tcW w:w="756" w:type="dxa"/>
            <w:vAlign w:val="center"/>
          </w:tcPr>
          <w:p>
            <w:pPr>
              <w:pStyle w:val="148"/>
              <w:jc w:val="both"/>
              <w:rPr>
                <w:rFonts w:ascii="宋体" w:hAnsi="宋体" w:cs="宋体"/>
                <w:color w:val="FF0000"/>
                <w:sz w:val="18"/>
                <w:szCs w:val="18"/>
              </w:rPr>
            </w:pPr>
            <w:r>
              <w:rPr>
                <w:rFonts w:hint="eastAsia" w:ascii="宋体" w:hAnsi="宋体" w:cs="宋体"/>
                <w:sz w:val="18"/>
                <w:szCs w:val="18"/>
              </w:rPr>
              <w:t>1</w:t>
            </w:r>
          </w:p>
        </w:tc>
        <w:tc>
          <w:tcPr>
            <w:tcW w:w="418" w:type="dxa"/>
            <w:vAlign w:val="center"/>
          </w:tcPr>
          <w:p>
            <w:pPr>
              <w:pStyle w:val="148"/>
              <w:rPr>
                <w:rFonts w:ascii="宋体" w:hAnsi="宋体" w:cs="宋体"/>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（6）、清创术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系统要求以三维动态形式，完整地展示清创术的完整过程。每个三维动态场景模型面数不少于100000面。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1.三维动态展示清创术的目的。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2.三维动态展示医师基础准备，戴帽子、口罩（头发、鼻子不外露），洗手，戴无菌手套。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3.三维动态展示病人危重状态，医师与病人及家属解释并签署有创操作知情同意书。清创术所需物品，均为真实1:1建模，可做示教。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4.全真实三维全景动态逐步展示手术室场景，手术台上病人伤口暴露，器械台整齐摆放所需的清创缝合物品，手术医生穿戴整齐。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5.全真实三维全景动态逐步展示手术室场景，手术医生与助手站位准确，器械台置于手术床尾，台上无菌区整齐摆放各种清创用品，手术台上平卧清创模拟人。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6.三维动态展示医生对患者的伤情判断。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7.三维动态展示医生用肥皂水刷洗伤口周围皮肤，初步检查伤口，语音提示注意事项。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8.画中画特写显示冲洗伤口时的两个错误手法。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9.三维动态展示消毒、铺巾、麻醉。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10.三维动态展示皮肤清创、清理伤口、组织修复、伤口缝合，伤口覆盖无菌纱布，胶布或绷带固定。</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11.画中画特写显示在伤口清创中容易出现的两处错误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12.三维动态展示术后对患者的处理。</w:t>
            </w:r>
          </w:p>
        </w:tc>
        <w:tc>
          <w:tcPr>
            <w:tcW w:w="756" w:type="dxa"/>
            <w:vAlign w:val="center"/>
          </w:tcPr>
          <w:p>
            <w:pPr>
              <w:pStyle w:val="148"/>
              <w:jc w:val="both"/>
              <w:rPr>
                <w:rFonts w:ascii="宋体" w:hAnsi="宋体" w:cs="宋体"/>
                <w:sz w:val="18"/>
                <w:szCs w:val="18"/>
              </w:rPr>
            </w:pPr>
            <w:r>
              <w:rPr>
                <w:rFonts w:hint="eastAsia" w:ascii="宋体" w:hAnsi="宋体" w:cs="宋体"/>
                <w:sz w:val="18"/>
                <w:szCs w:val="18"/>
              </w:rPr>
              <w:t>1</w:t>
            </w:r>
          </w:p>
        </w:tc>
        <w:tc>
          <w:tcPr>
            <w:tcW w:w="418" w:type="dxa"/>
            <w:vAlign w:val="center"/>
          </w:tcPr>
          <w:p>
            <w:pPr>
              <w:pStyle w:val="148"/>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（7）、气管切开气道护理术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系统要求以三维动态形式，完整地展示气管切开气道护理的完整过程。每个三维动态场景模型面数不少于100000面。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1.三维动态展示气管切开患者气道护理的目的，弹出案例展示。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2.三维动态依次展示气管切开气道护理的物品准备，模型均与真实物品1：1比例呈现。物品准备齐全。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3.全真实三维全景动态展示取手消使用七步洗手法洗手、戴口罩，对患者核对解释。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4.三维动态展示评估患者病情、意识、肢体活动能力、生命体征、SPO2，查看心电监护。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5.三维动态展示气道湿化前的准备，患者取安全舒适体位，铺治疗巾。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6.三维动态展示核对医嘱、治疗单、药物，确认无误后将药液注入雾化杯内连接雾化管路。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7.三维动态展示开始气道湿化，20分钟后取下面罩、治疗巾，关闭电源。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8.三维动态展示协助患者翻身并助其叩背以促进痰液排出。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9.三维动态展示为患者翻身叩背时叩背的手法，时刻关注患者状态，叩背完毕后协助患者予舒适体位。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10.三维动态展示向患者解释吸痰的目的，取得配合。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11.三维动态展示吸痰准备，给予患者高流量吸氧3~5分钟，检查吸引器，患者取去枕仰卧位，七步洗手法洗手，打开吸痰包，铺治疗巾，核对检查药液，倒溶液，记录开瓶日期与时间。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开始吸痰前检查吸痰管型号、有效期，确认在有效期后打开包装，戴无菌手套、取出吸痰管，连接好吸痰管与吸引器并检查管路是否通畅。开始吸痰，与患者保持沟通，密切关注患者状态。吸痰后给予其高流量吸氧3~5分钟。随后正确处理吸痰管，关闭吸引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13.三维动态展示痰液排出后的再次听诊。听诊后协助患者取舒适体位，告知清醒的患者咳嗽、咳痰的方法，整理用物，七步洗手法洗手、摘口罩，记录。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（8）、换药技术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系统要求以三维动态形式，完整地展示换药与拆线的完整过程。每个三维动态场景模型面数不少于100000面。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1.三维动态展示伤口拆线的适应症。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2.三维动态展示伤口拆线前的准备，显示推车以及推车上换药与拆线的所需物品，均为真实1：1建模，可做示教，垃圾分类处理。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3.三维动态展示医生戴口罩、帽子。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4.三维动态展示七步洗手法。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5.全真实三维全景动态展示医患沟通场景。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6.全真实三维全景动态展示病房或外科处置室的场景，病人取仰卧位，充分暴露需要拆线换药的部位。画中画特写显示麦氏手术切口。</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7.三维动态动态展示医生手由外向里揭开胶布与敷料，垃圾分类处理，语音提示注意事项。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8.画中画特细显示揭开敷料的错误手法。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9.三维动态展示患者无感染的伤口。</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10.三维动态展示医生七步洗手法洗手。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11.三维动态动态展示医生消毒伤口。</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12.三维动态展示拆除缝合线与再次消毒。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13.画中画特写显示拆线时的错误手法、拉出线结的错误手法。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14.三维动态展示覆盖辅料。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15.三维动态展示医患沟通的场景。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16.三维动态展示拆线后医生对于患者的帮助，处理污物。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17.画中画特写显示医生将换下来的污染敷料、棉球等污物的错误处理方法。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（9）、腰椎穿刺术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系统要求以三维动态形式，完整地展示腰椎穿刺术的完整过程。不少于29个场景，每个三维动画场景模型面数不少于100000面，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1.腰椎穿刺适应症与禁忌症，通过动画演示、视频教学、声音讲解、文字描述等形式展示实习目的，明确实训任务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2.术前准备，三维场景动态展示医患沟通过程，谈话场景舒适，谈话内容完整准确。详细了解患者病情，并签署知情同意书。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3.物品及器械准备，全真实三维场景展示腰椎穿刺术车及腰椎穿刺术所需物品，均为真实1：1三维建模，穿刺包，免洗手消毒液，利多卡因等，均在有效期内。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4.医患准备，三维重建医患人物模型，医生带口罩，帽子，着装整齐，站立位置准确，病房场景清洁整齐。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5.洗手，三维动态完整展示七步洗手法每一步过程，并配有真人同步动画演示。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6.三维重建真实病房场景，展示患者穿刺体位，同画面对比个类型穿刺体位，模型建模逼真，模型动作精细准确。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7.三维动态展示叩诊操作，三维模型结构逼真，手部候诊动作流畅，无卡顿，叩诊部位准确。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 xml:space="preserve">8.采用透视技术可多角度展示常见穿刺部位，高度还原真实人体叩诊部位选择过程，将模拟人无法展现的一些视角、教学盲点，通过U3D、虚拟现实技术完美直观呈现。 </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9.三维动态展示带无菌手套过程，并配有真人动作展示，特性镜头展示。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 三维动态标记穿刺部位及消毒过程，消毒器械均为真实1：1三维建模，动作准确，流畅无卡顿。消毒次数准确，并配有错误提示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11.三维动态展示麻醉过程，采用透视及断面展示进针部位及层次，动作逼真，无卡顿。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12.三维动态展示穿刺操作完整过程，重点展示穿刺手法及助手操作注意事项，整个操作过程顺序准确完整，动作逼真，无卡顿。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13.测压过程流畅准确，度数完整准确，术后穿刺部位消毒准确。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14.整个操作过程配有真实语音实时提示手术注意事项，语音流畅，操作动作流畅无卡顿。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15.实训结束，配有互动问答，突出腰椎穿刺术操作的重点内容。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（10）、胸腔穿刺术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系统要求以三维动态形式，完整地展示胸腔穿刺术的完整过程。每个三维动态场景模型面数不少于100000面。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1、患者准备：通过对话形式展示医患沟通并签署知情同意书。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2、物品准备：选择胸腔穿刺所需用物，选择完成后在治疗车上展示并可以查看每个用物的信息。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3、着装准备：通过三维虚拟仿真展示护士洗手、戴口罩、戴帽子内容。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4、标记穿刺点：通过三维虚拟仿真展示经过叩诊后标记穿刺点，过程中可透视患者并可移动视角。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5、消毒：可进行实时自由消毒，对每次消毒结果进行判断，总共需要消毒3次。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6、佩戴无菌手套：通过以答题的形式学习佩戴无菌手套的顺序。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7、铺巾、检查器械：通过三维虚拟仿真展示铺巾、放置巾钳、连接穿刺针内容。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8、局部麻醉：通过三维虚拟仿真展示抽取麻醉药、逐层麻醉过程，麻醉过程中可透视并可通过患者皮肤剖视图来展示麻醉的原理。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9、穿刺：通过三维虚拟仿真展示穿刺过程，可自主调节进针角度、进针深度，过程中可透视患者并可移动视角。穿刺过程中可通过患者皮肤剖视图来展示穿刺针的位置。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10、抽液：通过三维虚拟仿真展示连接注射器、抽液过程。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11、拔针：通过三维虚拟仿真展示夹闭硅胶管、拔针过程。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12、患者整理：通过对话展示告知患者穿刺过程已结束并询问其有无不适。</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（11）、骨髓穿刺术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系统要求以三维动态形式，完整地展示骨髓穿刺术的完整过程。每个三维动态场景模型面数不少于100000面。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1、患者准备：通过对话形式展示医患沟通并签署知情同意书。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2、物品准备：以考核的方式选择所需用物，选择完成后在治疗车上展示并可以查看每个用物的信息。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3、着装准备：通过三维虚拟仿真展示护士洗手、戴口罩、戴帽子内容。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4、标记穿刺点：选择正确的穿刺点，此过程中可手动透视皮肤，观察内部器官结构。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5、消毒：可进行实时自由消毒，对每次消毒结果进行判断，总共需要消毒3次。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6、佩戴无菌手套：通过考核的方式选择正确的手套佩戴顺序。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7、铺巾、检查器械：通过手动交互操作，放置铺巾于患者身上。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8、局部麻醉：抽取麻醉药、逐层麻醉。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（1）抽取麻醉药：三维虚拟展示抽取麻醉药的全过程，并通过考核的方式选择需要抽取麻醉药的剂量。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（2）逐层麻醉：手动控制进针、退针及回抽，过程中可随意透视患者，通过小窗口观察进针的实时位置。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9、穿刺：通过考核的方式选择进针角度，手动控制进针、退针，过程中可随意透视患者及进行视角移动，通过小窗口观察进针的实时位置。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10、抽髓、涂片：操作通过三维虚拟仿真动画展示抽髓、涂片的内容。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11、拔针：操作通过三维虚拟仿真动画展示拔针的内容，可交互操作。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12、患者整理：通过对话的方式交代患者注意事项等。</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（12）、腹腔穿刺术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系统要求以三维动态形式，完整地展示腹腔穿刺术的完整过程。每个三维动态场景模型面数不少于100000面。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1、患者准备：通过对话形式展示医患沟通并签署知情同意书。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2、物品准备：以考核的方式选择所需用物，选择完成后在治疗车上展示并可以查看每个用物的信息。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3、着装准备：通过三维虚拟仿真展示护士洗手、戴口罩、戴帽子内容。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4、标记穿刺点：选择正确的穿刺点，此过程中可手动透视皮肤，观察内部器官结构。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5、消毒：可进行实时自由消毒，对每次消毒结果进行判断，总共需要消毒3次。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6、佩戴无菌手套：通过考核的方式选择正确的手套佩戴顺序。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7、铺巾检查器械：通过手动交互操作，放置铺巾于患者身上；将橡胶管与穿刺针连接，检查器材连通性。</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8、局部麻醉：抽取麻醉药、逐层麻醉。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（1）抽取麻醉药：三维虚拟展示抽取麻醉药的全过程，并通过考核的方式选择需要抽取麻醉药的剂量。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（2）逐层麻醉：手动控制进针、退针及回抽，过程中可随意透视患者，通过小窗口观察进针的实时位置。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9、穿刺：通过考核的方式选择进针角度，手动控制进针、退针，过程中可随意透视患者及进行视角移动，通过小窗口观察进针的实时位置。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10、抽液：通过三维虚拟仿真动画展示抽液的内容。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11、拔针：通过三维虚拟仿真动画展示拔针的内容。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12、患者整理：通过三维虚拟仿真动画展示患者整理的内容。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（13）、气管插管术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1、3D交互式虚拟仿真软件教学系统，将传统教学无法展现的一些视角盲点，使用计算机图形模拟技术通过软件直观呈现出来。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3、软件通过三维仿真技术手段详细全方位体现不同功能模块涉及的插管、拔管变化关系。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4、统计时长：软件开启时开始计时，统计使用时长。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5、标记功能：如插管时，可实时标记气管导管的位置。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6、物品点击触发：在用物准备中，当鼠标滑过物品设备的时候会显示提示信息，并可以点击触发物品名称。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7、设置：可设置系统的分辨率、屏幕、音量的操作。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8、软件操作结束后，系统将及时反馈总成绩、操作用时、得分属性、得分与失分点；以及各章节的分别得分情况，帮助教师全面了解学员的学习状态。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10、答题机制：在进行软件操作过程中，会进行知识问答，系统自动进行答题判断。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11、气管插管操作中，自由控制管芯插入的深度，实时显示插入的刻度。</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12、系统涵盖气管插管操作的步骤流程；明确气管插管术的临床适应症；用物选择步骤需要判断、选择气管插管所需的物品和耗材；模拟插管的解剖结构逼真。</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13、●操作中可观察虚拟患者面部形态；插管时通过矢状面能直观地看到插入气管的位置；插管过程深度实时检测。（需提供现场演示）</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14、用物处理步骤需要判断废物如何处理。</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（14）、吸痰术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2、运动变化过程，需要完整通过三维技术表达出来，且必须可以在运动过程中360°任意角度观察整个动态过程。即可实现边旋转视角边运动变化。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3、自由视角：部分步骤可通过鼠标右键实现360°旋转功能。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4、不同功能视角清楚展示吸痰过程中体内喉道等内部解剖学结构。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5、可通过鼠标实现上下左右的平移，放大及缩小。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6、透视视角：通过360°旋转透视观看患者体内状态，在插管时可以清楚的查看插管位置变化等。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7、身体部位查看：提供了多个身体部位的视角的查看功能，通过点击面板上的黄色按钮，视角可以切换到身体的相应位置，方便用户的操作。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8、物品点击触发：在用物准备中，当鼠标滑过物品设备的时候会显示提示信息，并可以点击触发物品名称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9、核对医嘱单时，展示医嘱单与执行单的表单，医嘱内容下划线提示。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10、核对患者手腕带时，三维技术放大展示手腕带，同时显示腕带的具体信息。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11、听诊时使用鼠标控制听诊器，鼠标点击患者胸廓的高亮部位，可听诊患者肺部的湿罗音的效果。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12、检查口鼻腔时使用鼠标控制笔灯，点击鼠标可点亮笔灯进行检查患者的口鼻腔，通过360°旋转视角来实时查看患者口鼻腔。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13、排背过程中，鼠标控制手部，鼠标点击患者背部的高亮部位，呈现为患者拍背的动作效果。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14、为患者排背的过程中，特写窗显示患者气道痰液变化的效果。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15、吸痰：方法1-经口吸痰、方法2-经鼻吸痰。可透视患者的喉道内部结构，吸痰时可实时展示插管的位置变化以及痰液吸出的效果。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16、询问患者有何不适：三维虚拟仿真动画展示护士询问患者有什么不适并放置呼叫器至患者床旁。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17、处理用物：三维虚拟仿真动画展示护士关闭吸引器，将用物带回治疗室处理。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18、操作结束后，针对操作过程中所作答的问答题及交互题显示评分结果。同时展示作答的结果及正确答案。</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（15）、洗胃术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2、运动变化过程，需要完整通过三维技术表达出来，可实现边旋转视角边运动变化。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3、操作自由性和可重复性：在操作过程中，可自由切换到任意步骤或重复操作任何步骤。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4、软件必须通过三维仿真技术手段详细全方位体现。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6、核对、评估、解释：核对医嘱单、核对患者、评估患者。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①核对医嘱单时通过三维虚拟仿真交互方式展示护士双人核对医嘱单。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②核对患者时通过三维虚拟仿真展示核对患者床头卡、询问患者姓名并查看患者手腕带。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③评估患者时通过三维虚拟仿真展示询问患者情况、评估患者口鼻、解释说明、评估环境内容。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7、护士准备包括洗手、戴口罩、用物准备。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8、再次核对患者通过三维虚拟仿真展示核对患者床头卡、询问患者姓名并查看患者手腕带。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9、设备准备时通过温度测试、连接管道、排空气体。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①温度测试时通过三维虚拟仿真交互方式展示测量洗胃液桶温度内容，测量过程中可实时显示温度。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②连接管道时通过三维虚拟仿真交互方式展示洗胃机各个按钮功能内容并连接导管。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③排空气体时通过三维虚拟仿真交互方式展示排空气体过程。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10、患者准备包括铺巾置盘、测量导管长度。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①铺巾置盘时通过三维虚拟仿真交互方式展示为患者调整体位、铺巾置盘、放置牙垫内容。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②测量导管长度时通过三维虚拟仿真交互方式展示测量导管长度过程并显示测量的长度。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11、插管时使用主场景视角和局部重点的小窗口视角三维虚拟仿真展示插管过程，过程中可自由调节插管深度并可通过小窗口中的透视视角来清楚查看胃管的实时位置。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12、检查胃管通过方法一、方法二、方法三。通过三维虚拟仿真交互方式展示检查胃管是否在胃内的三种方法，分别为方法一-抽吸胃液，方法二-听诊胃部，方法三-检查气泡。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13、固定胃管通过三维虚拟仿真交互展示了胃管固定的过程。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14、灌洗时通过三维虚拟仿真交互方式展示灌洗过程。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15、拔管时使用主场景视角和局部重点的小窗口视角三维虚拟仿真展示拔管过程，过程中可自由调节拔管深度并可通过小窗口中的透视视角来清楚查看胃管的实时位置。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16、操作后处理包括整理用物、整理患者、洗手记录。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（16）、灌肠术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1.2、软件必须通过三维仿真技术手段详细全方位体现灌肠的整个过程。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1.4、查看：在操作过程中可以选择对场景中的人和物品房间等进行隐藏和显示控制，方便特殊视角的查看。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1.5、局部透视视角：通过局部透视患者体内状态，清楚地查看病人内部三维结构的变化情况。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2.1、操作前准备：核对床尾卡、核对患者姓名、核对手腕带。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2.2、用物准备：护士准备灌肠法所需的物品，点击物品会触发显示物品名称和物品详细图。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2.3、灌肠前准备：核对床尾卡、核对患者姓名、核对手腕带、调整体位、铺垫巾、放置弯盘、灌肠袋准备、调节输液架、灌肠溶液准备、戴手套、润滑肛管前端、检查肛管。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2.4、插管灌肠：大量不保留灌肠、小量不保留灌肠、保留灌肠、调节滴速。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大量不保留灌肠：使用题目及文字的形式来展示大量不保留灌肠的注意事项，并用主场景视角和局部重点的小窗口视角三维虚拟仿真展示大量不保留灌肠的插管过程。通过透视视角透视患者肛门和直肠，直观的观看护士插管的过程，插管过程中实时显示讲解插管的深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小量不保留灌肠：使用题目及文字的形式来展示小量不保留灌肠的注意事项，并用主场景视角和局部重点的小窗口视角三维虚拟仿真展示小量不保留灌肠的插管过程。通过透视视角透视患者肛门和直肠，直观的观看护士插管的过程，插管过程中实时显示讲解插管的深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保留灌肠：使用题目及文字的形式来展示保留灌肠的注意事项，并用主场景视角和局部重点的小窗口视角三维虚拟仿真展示保留灌肠的插管过程。通过透视视角透视患者肛门和直肠，直观的观看护士插管的过程，插管过程中实时显示讲解插管的深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2.5、拔管：关闭调节器、拔管。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①关闭调节器：三维虚拟动画展示关闭调节器内容。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②拔管：用主场景视角和局部重点的小窗口视角三维虚拟仿真展示拔管的内容。护士使用纱布拔出肛管。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2.6、操作后处理：护士交代患者注意事项。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（17）、胃肠减压术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1.1、本系统包含三种模式包括：实例演示、自主练习、在线考核。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1.2、透视视角：部分步骤可透视患者体内结构，清楚展示对应三维空间位置关系。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1.3、操作自由性：在自主练习模式中，可自由切换到任意步骤。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1.4、实例演示：自动播放软件流程，便于用户学习观察。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1.5、五种插管情况：正常情况、昏迷插管、恶心反应、插入口腔、插入气管。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1.6、三种检查胃管是否在胃内的方式：抽吸胃液、有无气泡溢出、气过水声。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1.7、两种测量胃管长度的方式：发际线→剑突，鼻尖→耳垂→剑突。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1.8、设置按钮：可以查看患者病例信息、调节音量大小、重置软件。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1.9、自由视角：部分步骤中可通过鼠标右键实现360°旋转视角功能。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1.10、考核功能：在线考核模式中，部分步骤中会出现相对应的交互操作考核，软件操作完后会有相关知识点试题考核。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2.1、软件的步骤流程包含：</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2.1.1、核对评估：核对医嘱、核对患者、评估患者、评估环境；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核对医嘱：根据医嘱单、执行单核对医嘱正确性。</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核对患者：核对患者床头卡、手腕带、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评估患者: 检查患者鼻腔以及通气情况。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 评估环境：评估环境宽敞、明亮，适宜操作。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2.1.2、操作前准备：护士准备、洗手、准备用物；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护士准备：护士穿戴整齐。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洗手：七步洗手。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准备用物：选择操作中所需用物。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2.1.3、</w:t>
            </w:r>
            <w:r>
              <w:rPr>
                <w:rFonts w:hint="eastAsia" w:ascii="宋体" w:hAnsi="宋体" w:cs="宋体"/>
                <w:color w:val="000000"/>
                <w:sz w:val="18"/>
                <w:szCs w:val="18"/>
              </w:rPr>
              <w:t>●</w:t>
            </w:r>
            <w:r>
              <w:rPr>
                <w:rFonts w:ascii="宋体" w:hAnsi="宋体" w:cs="宋体"/>
                <w:color w:val="000000"/>
                <w:sz w:val="18"/>
                <w:szCs w:val="18"/>
              </w:rPr>
              <w:t>操作流程：核对患者、摆体位、清洁鼻腔、检查胃管、测量胃管、润滑胃管、开始插管、确定胃管、固定胃管、连接负压引流器。</w:t>
            </w:r>
            <w:r>
              <w:rPr>
                <w:rFonts w:hint="eastAsia" w:ascii="宋体" w:hAnsi="宋体" w:cs="宋体"/>
                <w:color w:val="000000"/>
                <w:sz w:val="18"/>
                <w:szCs w:val="18"/>
              </w:rPr>
              <w:t>（需提供现场演示）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核对患者：确认患者信息。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摆体位：按照操作要求为患者摆好合适体位。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清洁鼻腔：操作前清洁患者鼻腔。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 检查胃管：检查胃管的完整性、完好性情况。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 测量胃管：测量插管的长度，两种方式：发际线→剑突，鼻尖→耳垂→剑突。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⑥ 润滑胃管：交互操作拾取棉球润滑胃管前端。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⑦ 开始插管：五种不同情况的插管供选择：正常情况、昏迷插管、恶心反应、插入口腔、插入气管。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⑧ 确定胃管：三种不同方式确定胃管是否插入胃内：抽吸胃液、有无气泡溢出、气过水声。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⑨ 固定胃管：选择胶布固定胃管，并粘贴胃管标签。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⑩ 连接负压引流器：交互操作排尽负压引流器内的空气，反折负压引流器管道并取下盖帽，将引流器与胃管相连接；观察引流通畅后，将引流器挂于床下。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2.1.4、操作后处理：洗手、健康宣教、记录；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洗手：七步洗手。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健康宣教：交代患者留置负压引流器的注意事项。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记录：做好相应记录。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2.1.5、拔管：拔管前准备、拔除胃管、拔管后处理。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拔管前准备：选择所需用物。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拔除胃管：核对患者信息之后为其拔除胃管以及负压引流器，并处理相应用物。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拔管后处理：为患者擦拭面部、调整体位、然后洗手记录。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（18）、皮内注射</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1.1.3D交互式虚拟仿真软件教学系统，釆用三维仿真技术，所有的三维场景和动作均可以被操作者介入进行交互式操作，将传统模拟人无法展现的一些视角盲点，使用计算机图形模拟技术通过软件直观呈现出来。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1.2.操作自由性和可重复性：在操作过程中，可自由切换到任意步骤或重复操作任何步骤。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1.3.操作定制流程化：通过对人物、用物进行正确的流程操作；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1.4.与操作视频相互结合练习正确的操作步骤；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1.5.提示功能：对一些关键步骤进行详细内容解说。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1.6.题目考核：操作步骤中的重点难点以题目形式展现进行考核，软件最后进行统计并生成成绩单。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1.7.自由问答：在核对患者信息等步骤中可通过选择合适的问句完成一问一答的效果，高端模拟真实临床操作，同时考核操作者人文关怀素质。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1.8.多维度成绩单：操作结束后，针对操作结果进行一个评价，同时具有不少于五个的维度分析。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1.9.多模式操作：软件具有实例演示、练习模式、考核模式。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1.10.实现完整演示整个操作流程，可供操作者反复观看学习。</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1.11.练习模式具有相关的操作提示，以及可重复跳转步骤进行反复操作。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1.12.考核模式不具有相关的操作提示，同时操作过程中对于操作结果进行一个实时反馈，具有相关的得分特效及音效。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2.1.软件具有四个大步骤：核对评估解释、操作前准备、操作过程、操作后处理。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2.2.核对评估解释步骤中通过三维虚拟展示核对医嘱、核对患者、评估患者、评估环境。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2.2.1.核对医嘱：通过三维虚拟展示病例夹，展开医嘱单逐字显示医嘱单的填写内容。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2.2.2.核对患者：通过三维虚拟展示床头卡信息内容，可实现点击选择合适的问句，与患者进行完成一问一答。同时具有问句的判定。</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2.2.3.评估患者：点击视角拉近至手臂处完成评估。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2.2.4.评估环境：实现自转视角完成评估环境。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2.3.操作前准备步骤中通过三维虚拟展示护士准备、用物准备、药液准备。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2.3.1.护士准备：通过三维虚拟展示护士着装穿戴，以及具有正确的七步洗手法的操作视频演示。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2.3.2.用物准备：通过三维虚拟展示用物准备的内容，实现点击选择用物，用物具有相应的图标及名称。选择完毕后进行判断。并展示完整摆放在治疗车上的状态，鼠标移入后可触发用物的名称及语音。</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2.3.3.配置药液操作通过三维虚拟仿真展示配药过程。第一步先进行一个铺无菌盘的操作，可进行一个交互性操作。第二步核对药物无误后完成一个消毒瓶口的操作。第三步抽吸配置药液：拾取注射器进行一个抽吸药液，过程中可进行交互性操作，实时显示抽吸药液的剂量。摇匀青霉素时同样也可进行一个交互点击完成摇匀药液的操作。排尽药液时可进行交互性操作，实时显示剩余药液的剂量同时可对排尽药液的剂量进行一个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2.4.操作过程步骤中通过三维虚拟展示再次核对患者、患者准备、消毒、皮内注射。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2.4.1.再次核对患者：可通过三维虚拟展示患者的内容，具有交互性操作，比如核对床头卡已经手腕带等，实现操作者自由选择合适问句对患者进行一问一答。同时可进行判断记录操作数据。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2.4.2.患者准备：实现交互点击完成患者准备。完成掀开被子及袖子的操作，具有动画效果。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2.4.3.消毒：实现自由消毒，实时显示消毒范围。可进行判断，消毒具有痕迹，且两次消毒效果具有加深的效果。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2.4.4.皮内注射：具有再次核对和注射两个部分。注射的时候对针尖斜面的具有考核，可进行交互点击调节，具有小窗口局部放大；调整针尖斜面时具有交互性操作，实现实时拖拽完成调节并显示对应的角度，同时具有判断考核；进针过程中可进行交互性拖拽进针，同时具有透视效果实时查看注射效果，具有注射完毕后皮丘隆起的状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2.5.操作后处理：具有注射后处理、查看结果、注意事项。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2.5.1.注射后处理包括对于使用完毕的注射器进行分类处理：针头、针柄等，具有相应的考核。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2.5.2.查看结果：具有核对患者、阴性结果、阳性结果。①核对患者步骤通过三维虚拟仿真动画展示护士核对患者内容。②青霉素皮试呈阴性步骤通过三维虚拟仿真动画展示青霉素皮试呈阴性内容。查看患者手臂皮试结果若为阴性，患者局部皮丘大小无改变。⑦青霉素皮试呈阳性步骤通过三维虚拟仿真动画展示青霉素皮试呈阳性内容。查看患者手臂皮试结果若为阳性，患者局部皮丘隆起增大，出现红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2.5.3.注意事项：展开相关的注意事项的面板，具有文本及语音效果。</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（19）、皮下注射</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1.1.软件易用性：采用虚拟仿真技术自由搭建虚拟场景，制作真实操作行为和特殊动作，模拟实际操作情景、流程。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1.2.采用交互式学习的设计原在操作体验中，实验步骤会有对应的操作文字提示和语音提示，使相关人员了解操作的流程，在正确的流程中提升操作流程的熟悉度。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1.3.完整性：产品系统的完整性，采用虚拟仿真技术自由搭建虚拟场景，制作真实操作行为和特殊动作，模拟实际操作情景、流程；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1.2.自由视角：部分步骤可通过鼠标右键实现360°旋转功能。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1.3.局部透视视角：在扎针时通过360°旋转局部透视功能可以清楚的查看注射部位进针情况的位置。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1.4.注射步骤提供透视图效果，学生在注射过程中可于透视图中清晰看到针尖刺入过程。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1.5.物品准备不止进行所选物品是否正确的考察，还包括所选物品摆放区域是否正确的无菌观念的考察。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1.6.物品点击触发：鼠标点击选取物品时都具有高亮提示。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1.7.软件不止仅限于单部位的注射，可选择上臂三角肌下缘、股外侧、腹部和后背区域进行皮下注射。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1.8.多模式选择：软件包含三种模式，实操模式、练习模式、考核模式，考核模式具有成绩单，可对接平台上读取配置题目。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1.9.操作自由性和可重复性：软件可自由切换到任意步骤或重复操作任何步骤。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1.10.自动播放：实操模式可一键播放操作流程，便于用户学习及观看。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2.1.核对医嘱及患者：包括核对医嘱、核对患者、评估患者、环境评估等。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①核对医嘱：通过三维虚拟仿真显示展开核对医嘱单的内容，同时具有语音效果，高度模拟临床显示操作。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②核对患者：可通过点击对话框内的护士对话，完成核对患者的内容。具有正误判断，实现考核操作者在操作过程中的人文关怀内容。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③评估患者：可展示评估患者注射部位的情况，具有旁白语音提示。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④环境准备：360°旋转环视病房，以第一人称视角检查环境。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2.2.操作前准备：包括护士准备、用物准备、药液准备。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①护士准备：通过视频演示真人七步洗手法的视频，供操作者进行学习。完整展示护士准备的全部内容。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②用物准备：可实现鼠标点击选中将用物移至相应的位置，并展示用物合理的摆放位置，遵守无菌要求。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③药液准备：药物准备步骤可进行消毒药瓶口、检查注射器、抽取药物、排气等操作。实现鼠标实时移动点击进行交互，如：鼠标拖拽注射器针筒完成排气。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2.3.操作流程：包括核对患者及皮下注射。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①核对患者：通过鼠标点击床头卡及手腕带，以及选择对话框内的护士对话，完成再核对患者的内容。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②皮下注射：可选择上臂三角肌下缘、股外侧、腹部和后背区域进行皮下注射。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a.可使用标记笔进行注射点的标记，软件智能判断标记点所在区域是否正确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b.需要使用碘伏棉签对注射点进行两次消毒，软件智能判断消毒方式是否正确，包括消毒方向、消毒面积和消毒起点的判定</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c.软件可模拟注射过程，学生可使用鼠标完成针尖斜面确定、进针角度调节、进针深度调节、回抽注射器和注射等操作，软件智能检测上述操作是否正确。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d.注射过程中具有实时透视效果，以及小窗口剖面图显示注射的过程。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e.注射完成后，鼠标点击选择干棉签按压穿刺点，鼠标拖动注射器完成拔针。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 整理记录：演示真人正确的七步洗手法视频教学。以及鼠标点击放置床头铃。同时语音与患者进行交流说明注意事项内容。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（20）、肌肉注射</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（2）操作自由性：在操作过程中，可自由切换到任意步骤。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（3）自由视角：部分步骤可通过鼠标右键实现360°旋转功能。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（4）可通过鼠标中键实现上下左右的平移，放大及缩小。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（5）查看：在操作过程中可以选择对场景中的人和物品房间等进行隐藏和显示控制，方便特殊视角的查看。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（6）标记功能：如肌肉注射时，注射位置的定位标记，并纳入操作考核。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（7）透视视角：通过360°旋转透视观看患者体内状态，清楚地查看臀部肌肉、脂肪、骨盆的位置关系等。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（9）多模式：包括实操模式、练习模式、考核模式，考核模式记录交互及理论考核，纳入成绩单。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（10）多维度：从人文关怀、综合素质、技能重点、基础操作、知识拓展五个维度考核学生理论与操作技能。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2.1操作前准备：包括病例及目的、评估解释、环境准备、护士准备、用物准备、抽吸药液。</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（1）核对医嘱：通过三维虚拟仿真动画展示核对医嘱内容。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（2）评估解释：通过三维虚拟仿真动画展示核对患者以及评估患者内容。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（3）环境准备：通过三维虚拟仿真动画180°视角旋转展示环境评估内容。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（4）用物准备：展开治疗车上层准备好的肌肉注射所需用物，点击物品会触发显示物品名称和语音说明。</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（5）配药：三维虚拟仿真动画展示护士配药过程。第一步，消毒安剖；第二步，取出注射器；第三步，抽吸药液。</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2.2操作步骤：包括床边核对、定位消毒、核对排气、进针推药、拔针按压、再次核对。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（1）床边核对：通过三维虚拟仿真动画展示床边核对患者内容。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定位：肌肉注射定位时分为十字法和连线法。十字法定位是从臀裂定点向右侧划一水平线，从髂嵴最高点作一垂直线，将一侧臀部划分为四个象限，其外上象限，避开内角为注射区。连线法定位是从髂前上棘至尾骨做一连线，其外1/3处为注射区。语音讲解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（3）消毒：通过三维虚拟仿真动画展示消毒过程。铺巾、弯盘、棉签、碘伏依次高亮显示，点击指针变为棉签图标可进行消毒，消毒时实时显示消毒痕迹。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（4）进针推药：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①准备注射时通过三维虚拟仿真动画展示准备注射过程。注射器、针帽依次高亮显示，点击排尽注射器内的气体。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②进针时三维虚拟仿真动画展示扎针过程，在进针过程中可以一层层局部透视注射位置的皮下、皮下脂肪、肌肉层，且小窗口中显示扎针的原理。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③注射时三维虚拟仿真动画展示注射内容，护士左手放开回抽针筒缓慢注射药液，注射过程中局部透视注射位置的肌肉层且小窗口中显示注射的原理。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（5）拔针按压：通过三维虚拟仿真动画展示拔针过程，拔针过程中注射位置的局部透视慢慢恢复，从肌肉层到皮下脂肪再到皮下恢复正常皮肤。小窗口中显示拔针的原理。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2.3操作后处理：通过三维虚拟仿真展示整理床单位、处理用物、洗手记录操作。</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（21）、皮试液配制</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1.2、软件必须通过三维仿真技术手段详细全方位体现皮试液配置的整个过程。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1.4、交互操作：操作者能够自由控制软件中的部分物体进行推注、抽取、医疗垃圾分类等动作。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2.1、通过语音及文本介绍皮试液配制，皮试液配制包括：青霉素过敏试验、头孢菌素过敏试验、破伤风抗毒素试验、碘过敏试验、链霉素过敏试验、普鲁卡因过敏试验。</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2.2、、实验介绍：概述相关知识讲解内容。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2.3、用物准备：三维虚拟仿真展示用物准备。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2.4、操作方法：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（1）洗手：选择手消毒液进行七步洗手法，采用试题形式考核学生七步洗手法顺序。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（2）配制药液：展示青霉素、头孢霉素、破伤风抗毒素、碘、链霉素的配置。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（3）填写护理记录单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2.5、试验方法：选中注射部位后，选择注射角度后刺入皮肤，20min后观察试验结果，进行试验结果的判断。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2.6、结果判断：患者皮肤局部皮丘隆起,并出现红晕硬块,直径大于1cm, 考核过敏反应内容，展示结果判断的内容。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2.7、注意事项：说明注意事项。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（22）、静脉留置针</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（1）3D交互式虚拟仿真软件教学系统，将传统模拟人无法展现的一些视角盲点，使用计算机图形模拟技术直观呈现出可交互式三维动画设计。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（3）软件通过三维仿真技术手段详细全方位体现静脉留置针操作的具体操作流程和重点注意事项。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（4）软件的中心内容：穿刺过程均是交互设计。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（5）所需的用物都在用物栏中，在步骤中可选择相应对的用物进行相应的操作。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（6）目录：点击目录按钮可展开目录的菜单，通过点击菜单中的按钮来执行相对应的内容。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（7）设置：可调节音量、重置软件。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2、软件包含的步骤内容有：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（1）操作前准备：核对医嘱、准备用物、核对患者。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（2）操作流程：初步排气、消毒皮肤、静脉穿刺、固定针头、调节滴速。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（3）操作后处理：整理床单位、洗手记录。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（4）封管：准备用物、核对信息、解释目的、管路连接、封管、操作后处理。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（5）拔针：核对解释、拔针、操作后处理、洗手记录。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（6）知识考核。</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（23）、吸氧术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1.1、本系统包含三种模式包括：实操模式、练习模式、考核模式。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1.2、本系统完整全面涵盖了双侧鼻导管吸氧法的全部流程和操作要点。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1.3、操作自由性：在练习模式中，可自由切换到任意步骤。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1.4、自由视角：部分步骤可通过鼠标右键实现360°旋转视角功能。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1.5、部分步骤可通过鼠标实现上下左右的平移，放大及缩小。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1.6、设置功能按钮：可以查看患者病例信息、调节音量大小、重置软件。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1.7、实操模式：自动播放软件流程，便于用户学习观察。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1.8、考核功能：考核模式中，部分步骤中会出现相对应的交互操作考核，软件操作完后会有相关知识点试题考核，从五个维度做出相应的考核分析。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2.1、软件的步骤流程包含：</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2.1.1、核对医嘱：双人核对医嘱无误。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2.1.2、操作前准备：评估患者、患者准备、环境准备、护士准备、用物准备。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评估患者：核对患者床头卡、手腕带、口头询问确认患者信息，并向其解释说明面罩给氧法的目的和过程。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患者准备：冷开水蘸湿过的棉签湿润患者两侧鼻腔，手电筒照射两侧鼻腔，确认患者鼻腔通畅，鼻中隔无偏曲，鼻粘膜完好无破损。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环境准备：检查中心供氧装置并清洁，以供使用。检查病室环境安静、光线充足、远离火源，适宜操作。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 护士准备：护士七步洗手、佩戴口罩。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 用物准备：根据操作要求选择所需用物。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2.1.3、吸氧：核对患者、连接、调节、吸氧、固定、记录。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核对患者：再次核对患者信息。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连接：完成安装氧流量表、连接湿化瓶、连接通气管。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调节：根据医嘱调节氧流量，检查通气管的通畅性。</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 吸氧：为患者戴上鼻导管。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 固定：为患者固定好鼻导管，适宜松紧度佩戴好，湿化瓶上粘贴好标签。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⑥ 记录：为患者进行健康宣教，记录。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2.1.4、停氧：准备用物、取鼻导管、清洁面部、卸表、记录。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准备用物：选择停氧所需的用物。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取鼻导管：按照提示为患者取下鼻导管。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清洁面部：从用物栏拾取纱布为患者清洁面部。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 卸表：按照提示取下流量表，将鼻导管扔入医疗垃圾桶。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 记录：七步洗手、记录。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2.1.5、注意事项：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介绍用氧的相关注意事项。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（24）、鼻饲术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1.1、本训练系统根据鼻饲法的不同案例，给学生观察和操作，让学生多次学习、熟练掌握流程。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1.2、本系统包含三种模式包括：实例演示、自主练习、在线考核。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1.3、透视视角：部分步骤可透视患者体内结构，清楚展示对应三维空间位置关系。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1.4、操作自由性：在自主练习模式中，可自由切换到任意步骤。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1.5、实例演示：自动播放软件流程，便于用户学习观察。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1.6、病例设置：本软件设置了两个病例，分别是：清醒患者、昏迷患者。其中清醒患者包含四种插管情况：正常情况、恶心反应、插入口腔、插入气管。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1.7、设置按钮：可以查看患者病例信息、调节音量大小、重置软件。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1.8、自由视角：部分步骤中可通过鼠标右键实现360°旋转视角功能。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1.9、考核功能：在线考核模式中，部分步骤中会出现相对应的交互操作考核，软件操作完后会有相关知识点试题考核。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2.1、病例设置：清醒患者、昏迷患者。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2.2、软件的步骤流程包含：</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2.2.1、核对评估：核对医嘱、核对患者、评估患者、评估环境；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2.2.2、操作前准备：护士准备、洗手、准备用物；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2.2.3、操作流程：核对患者、摆体位、清洁鼻腔、检查胃管、测量胃管、润滑胃管、开始插管、确定胃管、固定胃管、注入鼻饲液、处理末端。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2.2.4、操作后处理：洗手、健康宣教、记录；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2.2.5、拔管：拔管前准备、拔除胃管、拔管后处理。</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（25）、除颤术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1.2、操作自由性：在操作过程中，可自由切换到任意步骤。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1.3、运动变化过程，需要完整通过三维技术表达出来，可实现边旋转视角边运动变化。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1.4、自由视角：部分步骤可通过鼠标右键实现360°旋转功能。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1.5、软件必须通过三维仿真技术手段详细全方位体现。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1.6、可通过鼠标中键实现上下左右的平移，放大及缩小。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2.1、核对、评估、解释：用主场景视角和局部重点的小窗口视角三维虚拟仿真展示突发事件内容。护士发现患者心跳停止，立即实施心肺复苏并进行呼救。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2.2、操作过程：护士准备、用物准备、除颤前准备、除颤、操作后准备。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2.2.1、护士准备：洗手、戴口罩。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①洗手：三维虚拟仿真展示护士按照七步洗手法洗手。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②戴口罩：三维虚拟仿真展示护士戴上口罩。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2.2.2、用物准备：护士准备生命体征测量所需的用物。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2.2.3、除颤前准备：三维虚拟仿真展示连接除颤仪电源、涂导电糊、选择能量、充电内容。过程中可根据虚线进行自主涂抹导电糊并可自主旋转按钮选择能量，若选择正确的能量则进行对除颤仪的充电。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2.2.4、除颤：用主场景视角和局部重点的小窗口视角三维虚拟仿真展示选择除颤位置、电除颤、胸外按压内容。过程中可自动透视患者胸腔能实时看清胸部内部心脏跳动变化。在选择除颤位置过程中也可透视患者胸腔能清楚看清除颤的位置所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2.2.5、操作后准备：清洁皮肤、整理患者、洗手记录、推车出病房。</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（26）、无菌</w:t>
            </w:r>
            <w:r>
              <w:rPr>
                <w:rFonts w:hint="eastAsia" w:ascii="宋体" w:hAnsi="宋体" w:cs="宋体"/>
                <w:color w:val="000000"/>
                <w:sz w:val="18"/>
                <w:szCs w:val="18"/>
              </w:rPr>
              <w:t>技</w:t>
            </w:r>
            <w:r>
              <w:rPr>
                <w:rFonts w:ascii="宋体" w:hAnsi="宋体" w:cs="宋体"/>
                <w:color w:val="000000"/>
                <w:sz w:val="18"/>
                <w:szCs w:val="18"/>
              </w:rPr>
              <w:t>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1.1、3D交互式虚拟仿真软件教学系统，釆用三维仿真技术，所有的三维场景和动作均可以被操作者介入进行交互式操作，将传统模拟人无法展现的一些视角盲点，使用计算机图形模拟技术通过软件直观呈现出来。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1.2、操作自由性和可重复性：在操作过程中，可自由切换到任意步骤或重复操作任何步骤。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1.3、操作定制流程化：通过对人物、用物进行正确的流程操作；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1.4、与操作视频相互结合练习正确的操作步骤；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1.5、可通过键盘填写无菌治疗碗、无菌治疗巾、无菌持物镊、无菌纱布管的有效期与开启时间。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1.6、提示功能：对一些关键步骤进行详细内容解说。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1.7、题目考核：操作步骤中的重点难点以题目形式展现进行考核，软件最后进行统计并生成成绩单。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2.1、人物核对：三维虚拟仿真动画展示护士核对衣服、指甲、口罩进行核对。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2.2、治疗车上用物准备：无菌持物筒、纱布罐、无菌溶液、无菌治疗巾、无菌手套、碘伏消毒液、医用棉签以虚拟模型展示；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2.3、操作前准备：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①护士准备（无菌检查、衣帽检查、七步洗手法能观看正确的操作视频、口罩的正确佩戴方式）。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②用物准备（持物镊、治疗盘、氯化钠溶液、消毒毛巾等）。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③治疗台擦拭（鼠标变化成对应物品进行擦拭操作）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③治疗车擦拭（鼠标变化成对应物品进行擦拭操作分为四个步骤顺序）治疗车下层、下层栏杆、上层栏杆、治疗车下层需完成操作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2.4、知识点拓展：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①无菌治疗巾的2种方法：纵折法与横折法；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②无菌盘的注意事项共四点；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2.5、系统评分（成绩）：软件操作结束后，系统将及时反馈总成绩、操作用时、得分与失分点；以及各章节的分别得分情况，帮助教师全面了解学员的学习状态。</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（27）、三腔二囊</w:t>
            </w:r>
            <w:r>
              <w:rPr>
                <w:rFonts w:hint="eastAsia" w:ascii="宋体" w:hAnsi="宋体" w:cs="宋体"/>
                <w:color w:val="000000"/>
                <w:sz w:val="18"/>
                <w:szCs w:val="18"/>
              </w:rPr>
              <w:t>止血术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1.1、3D交互式虚拟仿真软件教学系统，将传统教学无法展现的一些视角盲点，使用计算机图形模拟技术通过软件直观呈现出来。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1.2、操作自由性：在操作过程中，可自由切换到任意步骤。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1.3、统计时长：软件开启时开始计时，统计使用时长。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1.4、透视视角：部分步骤可透视观看患者体内状态，清楚的查看插管时三腔二囊管所在的位置等。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1.5、病人身体部位触发事件：当鼠标点击病人的身体部位高亮位置的时候，对身体部位进行相对应的操作。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2.1、病例选择：该软件含有两个不同病情患者的病例可供选择，根据选择不同的病例完成相应的操作内容。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2.2、介绍三腔二囊管的目的、适应症、禁忌症。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2.3、患者病历：展示患者病史信息、体格检查、辅助检查。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病史信息：包含患者个人信息、主诉、现病史、既往史、婚姻史。</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体格检查：患者生命体征信息、体格检查结果详情。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辅助检查：展示相关检查诊断结果。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2.4、准备：核对患者信息、解释说明、评估患者、操作者准备、用物准备。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（1）核对患者：核对患者的床头卡、询问患者姓名并查看患者的手腕带。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（2）解释说明：向患者解释、说明情况、签署知情同意书。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（3）评估患者：电筒照射检查患者的鼻腔情况。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（4）操作者准备：洗手戴口罩、选择操作所需用物。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2.5、体位：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（1）为患者摆放合适体位。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2.6、检查：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（1）检查三腔二囊管整体外观：观察管道无明显的断裂和破损。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（2）检查胃管通畅性：向胃管内注入30ml空气，检查胃管通畅、完好。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（3）检查胃气囊、食管气囊：胃气囊以容积为主，注气量为200-300ml；食管气囊以压力为主，注气量为50-100ml。</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（4）检查两个气囊压力：测定胃气囊压力维持在40-60mmHg，测定食管气囊压力维持在20-40mmHg。</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（5）检查完之后，将胃气囊、食管气囊中的气体抽尽，用止血钳夹闭末端后备用。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2.7、测量长度：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（1）测量患者发际线至剑突的长度，在此基础上增加10cm即为此次插管长度。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2.8、润滑：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（1）为患者铺好治疗巾、放置弯盘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（2）石蜡油润滑患者鼻腔、三腔二囊管。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2.9、插管：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（1）为患者插入三腔二囊管，达咽喉部时嘱患者做吞咽动作，注意勿插入气道。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（2）插入管约12-15cm时用压舌板检查患者口腔以防反折。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（3）继续插管至目标深度。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（4）注射器抽吸出血性液体，表明三腔二囊管头端已达胃内。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2.10、胃囊注气：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（1）注射器向胃气囊注入200ml空气，使胃气囊膨胀。</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（2）血压计连接胃气囊末端，测定囊内压力为50mmHg。</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（3）将三腔二囊管往外牵引，使已膨胀的胃气囊压在胃底部，牵引时感到有中等阻力感为止。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（4）用胶布在患者鼻腔外侧固定住三腔二囊管。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（5）安置牵引架，用绳子连接三腔二囊管汇集总管处，选择0.5kg的盐水系挂在绳子另一端，完成牵引。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（6）完成相应记录。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2.11、抽胃内容物：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（1）选择注射器连接胃管腔，尽可能抽尽胃内积血。</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（2）选择负压引流器连接胃管腔末端，可自引流器中了解止血是否有效。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2.12、食管气囊注气：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（1）当患者胃气囊不能有效止血时，应进行食管气囊注气。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（2）选择注射器连接食管气囊，注入100ml空气，使食管气囊膨胀。</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（3）血压计连接食管气囊末端，测定囊内压力为30mmHg。</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2.13、拔管：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（1）根据患者病情的好转，按照医嘱予以拔出三腔二囊管。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（2）放松牵引架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（3）放气囊气体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（4）拔管前患者口服液体石蜡20ml。</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（5）将三腔二囊管拔出。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（6）交代注意事项。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2.14、知识拓展：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（1）介绍并发症、相关知识。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2.15、知识考核：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（1）进行相关知识点考核。</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（28）、膀胱冲洗术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1.2.软件必须通过三维仿真技术手段详细全方位体现膀胱冲洗的整个过程。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1.4.局部透视视角：通过局部透视患者体内状态，清楚地查看病人内部三维结构的变化情况。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2.1.具有三个模式选择：实操模式、练习模式、考核模式。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2.2.目的案例：通过语音及文本介绍膀胱冲洗术的操作目的、展示患者案例。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2.3.核对评估解释：核对医嘱单、核对患者、评估患者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（1）核对医嘱单：三维虚拟仿真展示核对医嘱单、治疗执行单。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（2）核对患者：三维虚拟仿真展示护士核对患者床头卡、询问患者床号姓名及核对患者手腕带信息。可通过点击选择合适的问句与患者进行沟通。</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（3）评估患者：通过三维虚拟仿真展示护士询问患者详细情况并解释说明膀胱冲洗术的原理。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2.4.操作前准备：护士准备、用物准备、再次核对患者。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（1）护士准备：包括检查仪容、衣帽整洁、指甲以修剪。以视频的形式展示正确的七步洗手法的视频。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（2）用物准备：可实现操作者自由选择操作所需的用物。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（3）再次核对患者：可点击床头卡以及选择合适的问句完成再次核对患者。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2.5.冲洗前准备：带手套、排空膀胱、核对冲洗液、铺巾置盘、冲洗液准备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（1）戴手套：操作者可通过拖拽完成排序正确的戴手套顺序。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（2）排空膀胱：说明根据患者情况进行排空膀胱的操作。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（3）核对冲洗液：核对治疗执行单、膀胱冲洗液。</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（4）铺巾置盘：通过操作者交互操作实现铺一次性治疗巾后放置弯盘。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（5）冲洗液准备：操作者可通过鼠标拖拽完成调节冲洗液瓶内液面距离床面高约60cm。</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2.6.膀胱冲洗：消毒、连接Y型管、冲洗观察。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（1）消毒：止血钳断开导尿管与引流管连接，操作者交互采用无菌棉签和消毒液进行消毒接口处。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（2）连接Y型管：通过题目考核的形式，操作者选择冲洗导管、引流管、导尿管与“Y型管”管口的连接。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冲洗观察：冲洗膀胱时，选择止血钳放置位置。交互实现调节滴速操作。局部透视展示膀胱冲洗、引流的过程，引流时选择止血钳放置位置。局部窗口展示冲洗液的液面变化。再次冲洗膀胱时止血钳放置的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2.7.操作后处理：整理用物、洗手记录。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（1）整理用物：取下“Y型管”，选择止血钳放置位置、无菌棉签和消毒液消毒导尿端口与引流管接口处，根据医疗垃圾分类原则对医疗用物进行垃圾分类。护士交代患者注意事项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（2）洗手记录：通过七步洗手法题目考核学生七步洗手法的过程，填写记录膀胱冲洗记录单。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2.8.成绩单：膀胱冲洗术所有题目，内容包括步骤、操作内容、你的选择、正确答案、得分、总分。具有多个维度分析答题情况。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2.9.题目配置：实现可通过平台配置题目，软件读取平台内编辑的题目，并进行考核。</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2.10.考核模式：考核模式下，操作者不可跳转步骤。实时可点击展开查看考核内容，考核点不止有选择题考核，也具有交互性操作的考核。操作过程中答错答对均具有反馈。</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（29）、</w:t>
            </w:r>
            <w:r>
              <w:rPr>
                <w:rFonts w:hint="eastAsia" w:ascii="宋体" w:hAnsi="宋体" w:cs="宋体"/>
                <w:color w:val="000000"/>
                <w:sz w:val="18"/>
                <w:szCs w:val="18"/>
              </w:rPr>
              <w:t>手术基本技能：切开、缝合、打结</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软件依据国内权威高等院校教材编制，为操作者构建一个交互式三维虚拟现实医疗场景，操作者通过电脑终端开展学习、训练，帮助其快速掌握完整技能操作流程，提升认知能力、临床思维能力，可满足虚拟仿真教学、训练、考核的需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1.虚拟仿真项目内容要求：</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1.1.系统包含切开、缝合、打结、拆线四个模块；</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1.2.模拟手术室场景；</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1.3.切开步骤包含刀片安装和持笔试持刀法切开皮肤；</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1.4.缝合步骤考核持针位置、入针角度、拔针位置；</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1.5.打结步骤包含完整的打结动画；</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1.6.拆线步骤包含完整的剪线、抽线步骤。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2.项目具备教学模式和挑战模式，教学模式下，系统内置的AI虚拟教师通过语音、文字、动画等形式，实时对操作者给予指导、纠错；挑战模式下，学生可以在没有提示的情况下测试自己对流程的掌握程度；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 操作区分一般训练步骤和核心操作步骤，可以单独统计核心操作的正确率，更准确评估操作者对核心技能的掌握情况；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4.关键操作步骤，系统会提供生理结构剖面图、透视图，方便操作者全面掌握核心技能；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5.不同操作步骤可以任意跳转，且每个操作步骤均包含该步骤的知识点说明，帮助操作者该步骤操作的意义、要求；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 操作结束后，自动生成个人训练报告，内容包括：训练成绩、核心操作正确率、胜任力维度评价、所用时长、扣分和错误详情， 系统可针对本次训练给出点评，包含胜任力八维度、熟练程度、核心技能掌握情况等，并推荐下一步训练方案；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7.项目具备课前学习模块，提供文档、视频、图片等格式的学习资料，支持教师自行上传、删除资料，支持教师将资料分享给指定的班级；</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8.项目具备课后巩固模块，可进行技能项目相关的理论答题，题目类型包含：单句型、病例摘要型、标准配伍题、多选题和判断题；支持教师自行上传、修改题目；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项目包含操作者提供个人训练数据统计分析页面，操作者可以查看：个人课前学习和虚拟仿真训练累计时长；个人虚拟仿真训练次数，并分别统计教学模式和挑战模式的次数；个人挑战模式平均成绩、排名；完成课后巩固试题的数量，并汇总计算正确率；以及该技能项目的技能胜任力蛛网图、成长曲线、典型错误汇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项目为教师提供训练数据统计分析页面，教师可以查看该虚拟仿真项目：累计训练人次；挑战模式下的平均成绩；课前学习资料的浏览人次；课后巩固习题的平均正确率，技能胜任力汇总数据蛛网图；所有操作者教学模式和挑战模式的成绩分布饼图；以及典型错误汇总分析柱状图等。</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（30）、穿脱隔离衣</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1.1、3D交互式虚拟仿真软件教学系统，釆用三维仿真技术，所有的三维场景和动作均可以被操作者介入进行交互式操作，将传统模拟人无法展现的一些视角盲点，使用计算机图形模拟技术通过软件直观呈现出来。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1.2、操作自由性和可重复性：在操作过程中，可自由切换到任意步骤或重复操作任何步骤。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1.3、在进行软件操作时，操作步骤模块中具有提示功能，可以帮助用户在不熟悉穿脱隔离衣流程的情况下，根据操作步骤的引导，逐步完成步骤的学习，帮助用户快速掌握相关步骤知识。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1.4、用主视角和局部重点的小窗口视角展示穿脱隔离衣的操作步骤。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1.5、题目考核：操作步骤中的重点难点以题目形式展现进行考核，软件最后进行统计并生成成绩单。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2.1、软件至少包含条件评估、操作者准备、操作步骤、重点考核、考核评价五大模块。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（1）条件评估至少包含：评估、患者评估、隔离类别、环境评估的步骤。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（2）操作者准备步骤需至少包含：个人准备、七步洗手、用物准备的步骤。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（3）操作步骤至少包含：取衣、穿衣、系衣领、系袖口、系腰带、戴手套、双手置于胸前、解腰带、摘手套、解袖口、卷衣袖、清洁手部、解衣领、反脱衣、防护服处理、再次清洁手部的步骤。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2.2、在患者评估、隔离类别、环境评估设置考核测试，并能显示正确答案。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2.3、七步洗手步骤中，设置顺序考核测试，可以查看每个步骤的洗手动画，并能显示正确七步洗手顺序。</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（31）、生命体征测量</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1.1、3D交互式虚拟仿真软件教学系统，釆用三维仿真技术，所有的三维场景和动作均可以被操作者介入进行交互式操作，将传统模拟人无法展现的一些视角盲点，使用计算机图形模拟技术通过软件直观呈现出来。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1.2、操作自由性和可重复性：在操作过程中，可自由切换到任意步骤或重复操作任何步骤。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1.3、题目考核：操作步骤中的重点难点以题目形式展现进行考核，软件最后进行统计并生成成绩单。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1.4、运动变化过程，需要完整通过三维技术表达出来，可实现边旋转视角边运动变化。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1.5、3D动画：通过透视视角，清晰地查看心脏搏动、肺部肋骨运动变化过程。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1.6、透视视角：部分步骤可通过透视患者体内状态，清楚地查看病人内部三维结构的变化情况。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2.1、核对、评估：三维虚拟仿真技术展示核对医嘱、核对患者以及评估患者内容。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（1）核对医嘱：三维虚拟仿真技术展示临时医嘱单、治疗执行单，并显示已填写好医嘱单核对者。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（2）核对患者：三维虚拟仿真技术展示从对话框中选择对话核对患者床头卡及手腕带信息。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（3）评估患者：询问患者30分钟内是否有做剧烈运动、饮用热水、洗热水澡等；评估患者手臂皮肤及关节活动度。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2.2、操作前准备：包含环境准备、护士准备、用物准备操作。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（1）环境准备：交互式操作，拖动鼠标360度旋转巡视病房。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（2）护士准备:三维虚拟仿真技术展示护士准备内容，播放洗手视频，检查衣着、佩戴口罩等操作。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（3）用物准备:三维虚拟仿真技术展示用物准备内容，点击正确用物摆放在治疗车上，鼠标触碰显示用物名称及语音。点击用物，物品放大显示在屏幕中间，并且可拖动、旋转物品查看模型细节。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2.3、操作过程：再次核对患者、测量体温、测量脉搏呼吸、测量血压。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2.3.1、再次核对患者：三维虚拟仿真展示护士核对再次核对患者患者床头卡、询问患者姓名并查看患者手腕带内容。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2.3.2、测量体温：三维虚拟仿真展示护士清洁患者腋下、测量体温过程。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擦拭汗液：从用物栏选择纱布擦拭患者腋下汗液，汗液痕迹消失前后的对比，擦拭完毕将纱布放置于弯盘内。（2）放置体温计：从消毒盒内拿取消毒后的体温计夹至患者腋下；查看体温计时可360度旋转体温计，查看刻度细节。选择体温计夹闭位置，并给出正误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 xml:space="preserve">（3）夹体温计：3D动画展示患者弯曲手臂过胸部，夹紧体温计操作内容。 </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（4）课外拓展：使用图文方法学习口温测量方法、肛温测量方法；显示测量体温注意事项、测量体温的健康教育、知识拓展，婴幼儿体温测量部位、 体温的临床分级、常见热型、包括稽留热、弛张热、间歇热、不规则热等4种热型。发热患者的护理措施、体温过低患者的护理措施。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2.3.3、测量脉搏呼吸：三维虚拟仿真展示护士测量脉搏、测量呼吸过程。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（1）选择常用诊脉部位：包含颈动脉、颞动脉、股动脉、肱动脉、腘动脉、桡动脉、胫骨后动脉、足背动脉等8个常用诊脉部位。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（2）摆体位：患者翻转右手，掌心向上。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（3）选择动脉：透视视角查看患者手臂动静脉，手臂骨骼。通过点击桡动脉与尺动脉选择正确的测量血管。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测量脉搏：三维虚拟仿真技术展示拾取用物栏中胸表测量脉搏30秒，乘以2。测量过程中，可以通过透视清楚地看到桡动脉、尺动脉的搏动动画。语音文本展示异常脉搏患者测量方法；通过小窗口展示秒针转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（5）测量呼吸：三维虚拟仿真技术展示测量患者呼吸操作过程。患者胸部延伸出一条虚线与视线水平，观察患者呼吸，胸廓起伏动画。通过小窗口展示秒针转动。语音文本展示呼吸微弱患者测量方法。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（6）记录：测量完毕记录测量结果。操作者可自由手动输入，记录完毕，判断正误。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（7）知识扩展：语音文本展示异常脉搏的评估及护理方法、异常脉搏患者的护理措施、呼吸异常患者的护理措施。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2.3.4、测量血压：用主场景视角和局部重点的小窗口视角三维虚拟仿真展示测量血压的过程。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（1）定位置：三维虚拟仿真技术展示选择血压计的正确放置位置，选择完毕出现正误提示。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（2）定部位：三维虚拟仿真技术展示血压计与肱动脉、心脏三者处于同一水平线。此步骤可通过透视查看患者胸廓起伏及心脏跳动。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（3）打开血压计：3D动画展示打开血压计盖子，检查水银柱是否归零，挤压气囊检查袖带气密性。</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（4）绑袖带：三维虚拟仿真技术展示将袖带绑在患者手臂上的内容，并且可以自由调节袖带放置位置。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（5）判断松紧度：三维虚拟仿真技术展示护士食指、中指伸进袖带内判断松紧度的操作。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测量脉搏：三维虚拟仿真技术展示用用物栏点击听诊器，放置于脉搏搏动最明显位置，鼠标点击挤压气囊动画，实时显示水银上升过程，并且模拟真实脉搏搏动声音。操作过程可以通过小窗口观察血压计水银的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（7）知识拓展：语音文本展示学习高血压患者的护理措施。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2.3.5、操作后处理：三维虚拟仿真技术展示操作后整理用物、核对患者、洗手记录操作内容。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（1）整理用物：展示拖动血压计调节血压计倾斜角度使水银归零，此操作可180度旋转血压计。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（2）核对患者：三维虚拟仿真技术展示操作后核对患者床头卡及腕带信息、放置床头铃内容。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（3）洗手记录：三维虚拟仿真技术展示播放七步洗手法视频，展示生命体征记录单与治疗执行单。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（32）、心电监护</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（1）3D交互式虚拟仿真软件教学系统，将传统模拟人无法展现的一些视角盲点，使用计算机图形模拟技术通过软件直观呈现出来,可交互式三维动画设计。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（3）软件必须通过三维仿真技术手段详细全方位体现不同功能模块涉及的心跳血压变化关系。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（4）局部透视视角：通过局部透视患者体内状态，清楚地查看病人内部三维结构的变化情况。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（5）双视角：部分步骤可同时查看主界面和小窗口视角。主界面显示主视角，小窗口展示设备界面，突出局部的重点。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（6）心电监护所需的用物都在用物栏中，在步骤中可选择相应对的用物进行相应的操作。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（7）核对医嘱：三维虚拟仿真展示双人核对医嘱内容。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（8）用物准备：三维虚拟仿真展示心电监护所需的物品。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（9）检查设备：核对患者、接通电源、检查袖带、检查探头、检查导联。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①检查袖带时，可根据袖带发光闪烁，进行检查袖带交互操作，并可用主场景视角和局部重点的小窗口视角三维虚拟仿真展示检查袖带的内容。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②检查探头，用主场景视角和局部重点的小窗口视角三维虚拟仿真展示检查探头的内容。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③检查导联，可根据提示检查导线的导联有无破损，用主场景视角和局部重点的小窗口视角三维虚拟仿真展示检查导联的内容。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（10）操作：绑袖带、夹探头、消毒、贴电极片、启动报警开关、放呼叫铃、整理用物。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①绑袖带时，可根据语音提示和身体部位发光闪烁，进行佩戴袖带交互操作，用主场景视角和局部重点的小窗口视角三维虚拟仿真展示绑袖带的内容。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②夹探头，可根据探头发光闪烁，进行夹探头交互操作。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③消毒后可实时显示消毒痕迹。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④贴电极片，三维虚拟仿真展示贴电极片过程，并可通过局部透视视角透视患者胸腔情况，根据身体发光部位的额提示，进行电极片的正确放置交互操作，并可直观的看见锁骨、肋骨以及心肺的运动。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⑤启动报警开关，根据发光提示，启动报警开关，同时有心电监护报警参数设置对照表对照，三维虚拟仿真展示设置报警数值过程。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⑥放呼叫铃，根据呼叫铃的发光闪烁提示，并通过三维虚拟仿真动画展示护士向患者交代注意事项并放置呼叫器内容。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⑦整理用物，鼠标依次点击高亮的电极片纸、医疗垃圾桶，将电极片纸丢入医疗垃圾桶中。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（11）回收设备：携用物至床旁、核对患者、取下电极片、撤去仪器、整理用物。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（12）心电监护的特点：可以完整、清楚、准确地展示对患者的评估核对，用物准备，设备检查，操作过程。可以从多个方位观看如何检查心电监护仪上的各个设备以及如何给患者带上心电监护仪的操作等。</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（33）、超声雾化</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1.1、3D交互式虚拟仿真软件教学系统，釆用三维仿真技术，所有的三维场景和动作均可以被操作者介入进行交互式操作，将传统模拟人无法展现的一些视角盲点，使用计算机图形模拟技术通过软件直观呈现出来。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1.2、操作自由性和可重复性：在操作过程中，可自由切换到任意步骤或重复操作任何步骤。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1.3、透视视角：部分步骤可通过透视患者体内状态，清楚地查看病人内部三维结构的变化情况。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1.6、题目考核：操作步骤中的重点难点以题目形式展现进行考核，软件最后进行统计并生成成绩单。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1.7、自由视角：可通过鼠标右键实现360°旋转、缩放功能。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1.8、双视角：部分步骤可同时查看主界面和小窗口视角。主界面显示主视角，小窗口显示另一视角，突出局部的重点。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2.1、核对、评估、解释：双人核对医嘱、评估。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①双人核对医嘱：三维虚拟仿真展示护士双人核对医嘱内容。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②评估：三维虚拟仿真展示核对患者、查看手腕带、评估患者过程。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2.2、操作过程：护士准备、用物准备、再次核对、雾化吸入过程。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①护士准备：三维虚拟仿真动画展示护士按照七步洗手法洗手并戴上口罩内容。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②用物准备：护士准备超声雾化所需的用物，点击物品会触发显示物品名称和语音说明。并三维虚拟仿真展示准备药液的过程。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③再次核对：三维虚拟仿真展示护士询问患者姓名、查看患者手腕带并可通过双视角来查看调整患者体位过程。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雾化吸入过程：三维虚拟仿真展示雾化吸入完整过程，包括雾化机的准备、雾化吸入、雾化结束关闭开关、清洁患者。在雾化吸入过程中可局部透视患者胸部，清楚的看见水雾沿着气管进入肺部。在清洁患者过程中可按照箭头提示使用鼠标控制纱布清洁患者唇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2.3、操作后处理：整理、洗手记录。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lang w:val="zh-CN"/>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（34）、心电图检查</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1.1、3D交互式虚拟仿真软件教学系统，将传统模拟人无法展现的一些视角盲点，使用计算机图形模拟技术直观呈现出可交互式三维动画设计。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1.2、操作自由性和可重复性：软件可自由切换到任意步骤或重复操作任何步骤。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1.3、软件通过三维仿真技术手段详细全方位体现连接肢体导联与胸导联的具体操作流程。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1.4、局部透视视角：通过局部透视患者胸前，清楚地查看病人内部三维结构。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2.1、软件包含实例演示、自主练习、在线考核三种模式。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（1）实例演示：全程自动演示软件操作的全过程。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（2）自主练习：可重复练习，熟悉心电图检查的操作过程。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（3）在线考核：记录每次操作和答题的结果，并在最后显示成绩单。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2.2、核对评估：核对医嘱、核对患者、评估患者、评估环境。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（1）核对医嘱：核对临时医嘱单和治疗执行单的内容。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（2）核对患者：核对床头卡、询问患者信息、核对患者手腕带、解释说明。</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（3）评估患者：协助患者取平卧位。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（4）评估环境：环顾病房，评估周围环境。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2.3、操作前准备：护士准备、洗手、准备用物。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（1）护士准备：护士戴口罩。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（2）洗手：七步洗手法洗手。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（3）准备用物：选择需要使用的用物。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2.4、操作流程：皮肤清洁、连接肢体导联、连接胸导联、心电图描记。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（1）皮肤清洁：清洁患者的四肢和胸部。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（2）连接肢体导联：通过考核的方式正确连接肢体导联。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（3）连接胸导联：通过考核的方式正确连接胸导联。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（4）心电图描记：操作心电图机、生成结果。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2.5、操作后处理：处理用物、洗手、记录。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（1）处理用物：取下患者身上的肢体导联和胸导联，拔下插头。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（2）洗手：七步洗手法洗手。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（3）记录：在治疗执行单上做记录。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2.6、注意事项；通过文字的形式展示需要注意的事项。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2.7、知识考核：在考核模式中，软件操作最后进行答题，最后生成成绩单。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（35）、PICC照护</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1.2、软件必须通过三维仿真技术手段详细全方位体现。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1.3、软件易用性：采用虚拟仿真技术自由搭建虚拟场景，制作真实操作行为和特殊动作，模拟实际的操作情景、流程。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1.4、多模式学习:多种模式学习,包含实操模式、练习模式、考核模式。练习模式供学生自由练习;考核模式涉及交互考核及理论考核，在操作结束后显示操作记录并生成考核成绩单。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2.1、案例描述：显示案例。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2.2护士准备：包括穿戴衣物、洗手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①穿戴衣物:设置交互题目考核学生的理论知识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②洗手:设置交互题目考核学生的理论知识，展示正确七步洗手法。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2.3用物准备：通过三维虚拟仿真交互方式核对用物，鼠标触及相关用物会显示用物名称。</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2.4维护流程包含导管评估、测量臂围、更换接头、冲、压封管、更换敷料、尾管固定、用物处理。（需提供截图证明）</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①导管评估：通过三维虚拟仿真展示护士与患者的对话，导管敷料、胶布高亮后点击评估，并回答相关问题。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②测量臂围：通过三维虚拟仿真交互方式展示患者测量臂围。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更换接头：通过三维虚拟仿真交互方式更换患者的旧接口，并展示揭开胶布、移除旧接头、消毒导管口横截面等过程，在消毒过程中可实时显示消毒痕迹并对操作进行判断，例如检测每次消毒的方向是否一致、消毒区域内是否有间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④冲、压封管：通过三维虚拟仿真交互方式展示冲、压患者手臂封管。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⑤更换敷料：通过三维虚拟仿真交互方式展示更换患者敷料。展示除外交带、撕除旧粘膜、洗手、佩戴无菌手套、酒精消毒、氯己定棉棒消毒过程。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⑥尾管固定：通过三维虚拟仿真交互方式展示固定患者尾管，尾管固定包括选择导管摆放位置、粘贴敷料贴。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⑦用物处理：对部分用物进行垃圾分类处理。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2.5、海报展示：通过对话进行健康宣教后，利用海报方式展示PICC置管后的注意事项。</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2.6、成绩单：展示整个PICC操作流程评分。成绩单内容涵盖操作者姓名、学号、班级、用时等基础信息。支持连接智能评价系统，进行数据上传和分析，形成各项教学质量监测指标。当次操作评价包括知识扩展、技能重点、基础操作、人文关怀、综合素质等方面，成绩单能够罗列操作过程中的错误详情，可说明错误操作和正确操作知识点。（需提供截图证明）</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（36）、搬运术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1.1、3D交互式虚拟仿真软件教学系统，釆用三维仿真技术，所有的三维场景和动作均可以被操作者介入进行交互式操作，将传统模拟人无法展现的一些视角盲点，使用计算机图形模拟技术通过软件直观呈现出来。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1.2、软件通过三维仿真技术手段详细全方位体现搬运术的整个过程。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1.3、目录：可通过点击目录中的按钮来自由切换到任意步骤或重复操作任何步骤。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1.4、伤员的部分身体变化过程，包括伤员腹腔脏器脱出、骨盆、脊柱骨折、身体带有刺入物、掩埋倒塌物下，多方位展示需要搬运术操作的伤员状况。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1.5、点击交互播放：3D动画随着用户按正确顺序点击正确用物和部位交互自动播放，相关操作的3D动画会自动播放，加强用户对知识的理解和巩固。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1.6、状态切换：不同的3D状态随着用户指针移入选择改变为相关的搬运姿势，或当用户选择正确的选项时，相关操作的3D状态会自动切换。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1.7、沉浸式学习：用户可以移动或点击场景中的特定医疗模型，将其放在正确的伤员部位，同时可以按顺序点击伤员部位，观看救护人员进行相关搬运术操作，如驾驶室伤员搬运的操作，实现沉浸式学习。</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1.8、回答题目：在步骤中会出现相对应的题目，在回答题目后方可进行下一步操作，可选择跳过回答该问题。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2.1、操作方法：根据阶段进行现场救护的分析、判断及操作，分为三个阶段模块，常用搬运方法、伤员搬运、特殊搬运法。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2.1.1、常用搬运方法：徒手搬运法、单人搬运法、两人搬运法、多人搬运法、担架搬运等内容。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2.1.2、伤员搬运：驾驶室搬运、废墟中搬运、床至平车之间的转移。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2.1.3、特殊搬运法：腹腔脏器脱出伤员的搬运、骨盆骨折伤员的搬运、脊柱脊髓损伤伤员的搬运、身体带有刺入物伤员的搬运。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2.2、成绩单：展示软件操作使用情况。</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（37）、分娩机制</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软件依据国内权威高等院校教材编制，为操作者构建一个交互式三维虚拟现实医疗场景，操作者通过电脑终端开展学习、训练，帮助其快速掌握完整技能操作流程，提升认知能力、临床思维能力，可满足虚拟仿真教学、训练、考核的需要。</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1.完整、清楚地展示了孕妇分娩机制的8个步骤；</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2.所有运动变化过程，可以在运动过程中720°任意角度观察整个动态过程。即可现实边旋转视角边运动变化；</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3.操作自由性：在操作过程中，可自由切换到任意步骤，允许步骤之间的来回跳转；</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4.可以任意旋转、缩放3D模型；</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5. ●透视视角：通过调整透视效果、选择显示的分娩层次，可形象直观地展示胎儿、子宫、骨盆、胎盘、脐带的三维空间位置关系及相互运动变化；（需提供现场演示）</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6.可以显示或者隐藏骨盆及胎头指示线，包括骨盆出口前后径、入口前后径、胎头双顶径、枕下前囟径等；</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7.衔接：通过三维虚拟仿真动画展示衔接的内容，也可通过指示线展示胎头双顶径进入骨盆入口平面，胎头颅骨最低点到达坐骨棘水平；</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8.下降：通过三维虚拟仿真动画展示下降的内容；</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9.俯屈：通过三维虚拟仿真动画展示俯屈的内容，也可通过指示线展示枕额径转为枕下前囟径；</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10.内旋转：通过三维虚拟仿真动画展示内旋转的内容，也可通过指示线展示胎头到达中骨盆时为适应骨盆纵轴而旋转，使其矢状缝与中骨盆及骨盆出口前后径相一致；</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11.仰伸：通过三维虚拟仿真动画展示仰伸的内容，也可通过指示线展示胎头继续娩出至阴道口；</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12.复位：通过三维虚拟仿真动画展示复位的内容，也可通过指示线展示胎头继旋转与双肩径平行；</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13.娩出前肩：通过三维虚拟仿真动画展示前肩娩出阴道口的内容；</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14.娩出后肩：通过三维虚拟仿真动画展示后肩娩出阴道口的内容；</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15.分娩过程控制：用户可自行控制分娩过程进展，可暂停、回退、快进、重复等；</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16.提供多个视角同步动画，剖视视角、骨盆出口视角；</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17.项目具备教学模式和挑战模式，教学模式下，系统内置的AI虚拟教师通过语音、文字、动画等形式，实时对操作者给予指导、纠错；挑战模式下，学生可以在没有提示的情况下测试自己对流程的掌握程度；</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18. 操作区分一般训练步骤和核心操作步骤，可以单独统计核心操作的正确率，更准确评估操作者对核心技能的掌握情况；</w:t>
            </w:r>
          </w:p>
        </w:tc>
        <w:tc>
          <w:tcPr>
            <w:tcW w:w="756" w:type="dxa"/>
            <w:vAlign w:val="center"/>
          </w:tcPr>
          <w:p>
            <w:pPr>
              <w:pStyle w:val="148"/>
              <w:jc w:val="both"/>
              <w:rPr>
                <w:rFonts w:ascii="宋体" w:hAnsi="宋体" w:eastAsia="华文楷体" w:cs="宋体"/>
                <w:color w:val="000000"/>
                <w:sz w:val="18"/>
                <w:szCs w:val="18"/>
              </w:rPr>
            </w:pPr>
            <w:r>
              <w:rPr>
                <w:rFonts w:hint="eastAsia" w:ascii="宋体" w:hAnsi="宋体" w:eastAsia="华文楷体" w:cs="宋体"/>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（38）、自然分娩</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1、不同功能视角清楚展示自然分娩过程中第一、二、三产程的产妇变化过程。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2、将分娩环节的各种因素相互协同关系充分直观的仿真出来，而不是单独作为孤立的系统进行模拟。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3、所有运动变化过程，包括子宫收缩、胎盘及脐带的运动、胎儿在子宫内的运动变化均需要完整通过三维技术表达出来，且可以在运动过程中360°任意角度观察整个动态过程。即可实现边旋转视角边运动变化。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4、手动播放：部分运动变化可手动拖动滑动条实现任意播放控制。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从接产前准备：评估孕妇情况、评估产程进展、冲洗外阴、消毒外阴、铺巾、听胎心，再到接产步骤：指导用力、保护会阴、会阴侧切、助娩胎头、助娩胎身、断脐、清理新生儿呼吸道，完整、清楚地展示分娩护理的步骤，从多个模式、多个方位对操作步骤逐一进行观看，例如，可以在透视模式下观看分娩手法、能任意切换操作者视角旁观者视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6、透视视角：通过720°旋转透视产妇体内胎儿状态，清楚地掌握胎儿、子宫、骨盆、胎盘、脐带的三维空间位置关系及相互运动反馈变化。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7、旋转视角：点击旋转按钮后可以通过鼠标右键点击拖动旋转视角。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8、软件具备两种模式选择，分别为考核模式和练习模式。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9、回答题目：在步骤中会出现相对应的题目，在回答题目后方可进行下一步操作，可选择放弃回答该问题。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10、护理文书：点击可显示或隐藏护理文书，主要包括产程图、分娩记录单、入院记录单、待产记录单、胎心监护图。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11、病历：可以导入自然分娩病例，包含年龄、体重、身高、体温、脉搏、呼吸、血压、产次、孕周、宫高、腹围、胎位、骨盆外测量、胎心率、宫缩、阴道检查、B超检查等内容。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12、可以根据阶段进行分娩记录，分为三个阶段模块，分别为第一产程、第二产程、第三产程。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13、第一产程包括潜伏期、活跃期。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①潜伏期步骤通过三维虚拟仿真接收产妇、测量生命体征（测量血压、脉搏、体温）、专科检查（阴道指诊、胎心监护）、健康宣教（饮食指导、休息与活动指导、排尿与排便指导、疼痛指导）。</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②活跃期步骤通过三维虚拟仿真进行专科检查（阴道指诊、听胎心、评估子宫收缩）、健康宣教（饮食指导、休息与活动指导、排尿与排便指导、疼痛指导）。</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14、第二产程包括产前准备、接产步骤。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产前准备包括冲洗外阴、消毒外阴、铺巾。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①冲洗外阴步骤通过三维虚拟仿真展示护士为产妇冲洗外阴的过程并回答相应的问题。在物品栏中选择便盆、卵圆钳、纱布棉球、温开水来对外阴进行冲洗。并使用卵圆钳夹取纱布棉球按照正确的顺序进行擦洗。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②消毒外阴步骤通过三维虚拟仿真展示护士为产妇消毒外阴的过程并回答相应的问题。在物品栏中选择棉球、碘伏棉球、便盆、消毒巾来对外阴进行消毒。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③铺巾步骤通过三维虚拟仿真展示护士为产妇铺巾的过程。在物品栏中选择臀垫、腿套、治疗巾、洞巾，为孕妇铺巾。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接产步骤包括胎头拨露、着冠、保护会阴、助娩胎头、助娩胎身、断脐。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①胎头拨露步骤通过三维虚拟仿真展示胎头拨露的过程并回答相应的问题。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②着冠步骤通过三维虚拟仿真展示着冠的过程并回答相应的问题。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③保护会阴操作在娩出胎头过程中，实时展示手势变化过程，体现了如何保护会阴的具体操作。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④助娩胎头时，实时展示手势变化过程，体现了协助胎头娩出和清除口鼻的粘液和羊水的具体操作。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⑤助娩胎身时，实时展示手势变化过程，体现了如何娩出前肩继而娩出后肩的具体操作并回答相应的问题。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⑥断脐操作中通过三维虚拟仿真展示断脐的过程并回答相应的问题。在物品栏中选择止血钳、脐带剪进行断脐。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15、第三产程：新生儿处理、产妇护理。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新生儿处理包括初步处理（清理呼吸道、擦拭身体、Apgar评分、二次断脐）、新生儿一般处理。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①清理呼吸道步骤通过三维虚拟仿真展示清理呼吸道的过程并回答相应的问题。护士使用吸球吸尽口、鼻腔内黏液。</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②擦拭身体步骤通过三维虚拟仿真展示擦拭身体的过程。点击选择物品栏中的毛巾，护士擦拭新生儿的身体并检查身体。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③Apgar评分步骤根据新生儿的文字描述来进行Apgar评分，分别对肤色、每分钟心率、刺激后反应、肌张力、每分钟呼吸进行评分。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④二次断脐步骤通过三维虚拟仿真展示二次断脐的过程。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⑤新生儿一般处理步骤通过三维虚拟仿真展示新生儿一般处理的过程。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产妇护理：胎盘剥离、协助胎盘娩出、检查胎盘胎膜脐带、预防产后出血、检查软产道、用物整理。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①胎盘剥离步骤通过三维虚拟仿真展示胎盘剥离的过程，希氏法、邓氏法。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②协助胎盘娩出步骤通过娩出胎盘过程中，实时展示手势变化过程，体现了娩出胎盘和胎膜的具体操作并回答相应的问题。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③检查胎盘胎膜、脐带步骤通过三维虚拟仿真展示检查胎盘胎膜、脐带的内容。</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④预防产后包括缩宫素、按摩子宫、记录出血量操作。缩宫素：阐述缩宫剂的作用和用法。按摩子宫：三维虚拟仿真展示按摩子宫的过程。记录出血量：阐述分娩结束后记录阴道出血量以及需要观察产妇2小时并回答相应的问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⑤检查软产道步骤通过三维虚拟仿真展示检查软产道的过程。若有裂伤，应立即缝合。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⑥用物整理步骤通过三维虚拟仿真展示用物整理的内容。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（39）、产后出血</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1.2、所有运动变化过程，可以在运动过程中360°任意角度观察整个动态过程。实现边旋转视角边运动变化。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1.3、自由视角：可任意720°旋转、缩放，可通过鼠标中键实现上下左右的平移。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1.4、操作自由性和可重复性：在操作过程中，可自由切换到任意步骤，例如在执行第三步操作后可直接跳至第六步或者第一步等其他步骤。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1.5、将产后出血的各种因素相互协同关系充分直观的仿真出来，而不是单独作为孤立的系统进行模拟。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2.1、宫缩乏力：表征、处置。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①表征包括子宫状态和出血状态。子宫通过三维仿真体现出正常子宫和乏力子宫的状态。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②处置包括子宫按摩和注射宫缩剂。其中子宫按摩能够三维体现两种按摩手法。注射宫缩剂能够三维体现四个注射部位，以及常用宫缩剂药品及使用方式。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2.2、胎盘因素：胎盘滞留、胎盘植入、胎盘残留。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①胎盘滞留能够三维体现膀胱充盈、胎盘嵌顿、剥离不全三种状态。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②胎盘植入能够三维体现胎盘粘粘、胎盘植入两种状态。且胎盘植入又分为胎盘部分植入和胎盘完全植入。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③胎盘残留能够三维体现小叶残留和副胎盘残留。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2.3、软产道裂伤：阴道会阴裂伤、宫颈裂伤。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①阴道、会阴裂伤通过三维仿真体现出正常会阴、一级裂伤（会阴皮肤粘膜裂伤）、二级裂伤（会阴肌层裂伤）、三级裂伤（肛门括约肌裂伤）、四级裂伤（直肠前壁裂伤）的状态。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②宫颈裂伤通过三维仿真体现出3点裂伤、9点裂伤的状态。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2.4、凝血功能障碍：表征、处置。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①表征：凝血功能障碍通过三维仿真体现出瘀点、阴道出血无凝血块、瘀斑的情况。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②处置：为预防凝血功能障碍，可尽快输新鲜全血、补充血小板、纤维蛋白原、凝血酶原复合物、凝血因子。</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（40）、会阴</w:t>
            </w:r>
            <w:r>
              <w:rPr>
                <w:rFonts w:hint="eastAsia" w:ascii="宋体" w:hAnsi="宋体" w:cs="宋体"/>
                <w:color w:val="000000"/>
                <w:sz w:val="18"/>
                <w:szCs w:val="18"/>
              </w:rPr>
              <w:t>消毒</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1.1、3D交互式虚拟仿真软件教学系统，采用三维仿真技术，将传统模拟人无法展现的一些视角盲点，使用计算机图形模拟技术通过软件直观呈现出来。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1.2、操作自由性和可重复性：在操作过程中，可自由切换到任意步骤或重复操作任何步骤。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1.3、运动变化过程，完整通过三维技术表达出来，部分步骤可实现边旋转视角边运动变化。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1.4、自由视角：部分步骤中模型可通过鼠标右键实现360°旋转功能。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2.1、核对、评估、解释：三维虚拟仿真展示核对医嘱、核对患者、评估患者。</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2.2、护士准备：三维虚拟仿真展示护士按照七步洗手法洗手并戴上口罩。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2.3、用物准备：护士准备会阴擦洗所需的用物，点击物品会触发显示物品名称和语音说明。</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2.4、操作前准备：再次核对患者、摆体位。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①再次核对患者：三维虚拟仿真展示护士询问患者姓名并查看患者手腕带。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②摆体位：三维虚拟仿真展示护士协助患者脱下对侧裤子并盖在近侧腿上，取屈膝仰卧位。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2.5、铺巾：三维虚拟仿真展示护士在患者臀下铺上治疗巾。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2.6、备碘伏棉球：三维虚拟仿真展示护士备碘伏棉球过程，医疗垃圾分类放置。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2.7、会阴擦洗：戴手套、擦洗。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①戴手套：三维虚拟仿真展示护士戴上无菌手套。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擦洗：擦洗部位包括阴阜（从左到右）、阴阜（从右到左）、对侧大腿内侧上1/3、近侧大腿内侧上1/3、对侧大阴唇、近侧大阴唇、对侧小阴唇、近侧小阴唇、尿道口、阴道口、肛门、会阴伤口。可随意点击位置进行消毒相应部分。且消毒时可显示消毒的方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2.8、整理：①整理用物；②整理患者；③洗手记录。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2.9、推车出病房：三维虚拟仿真展示护士推车出病房并文字、语音说明注意事项内容。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（41）、剖腹产</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1、以真实的治疗室、病房场景为模板，构建出高仿真的医院场景，操作者可以以第一视角在场景中进行体验剖腹产操作；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2、剖腹产虚拟仿真训练系统项目涵盖剖腹产操作的全流程，包括对患者病情的评估、手术的操作以及术后的处理；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3、患者取平卧位，麻醉成功后，常规消毒、铺单，下腹部横切口采用Joel-Cohen切口，髂前上棘连线下3cm或pfannenstial皱襞上2～3cm的横形切口，长约 12-15cm；</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4、切开皮肤前，表明切口位置；切开皮肤时，左手绷紧皮肤，右手持手术刀切开皮肤；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5、手术过程中：手术刀、血管钳、组织钳、手术剪的使用；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6、胎儿娩出后对胎盘、宫腔、子宫的检查以及皮肤的缝合的操作步骤；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7、术后处理步骤：剖宫产切口处理以及术后的相关注意事项；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（42）、产科检查</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1、系统涵盖产科检查操作的步骤流程，从接收医嘱执行单到用物处理；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2、可测量宫高、腹围，并对测量结果进行判断；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3、可听诊胎心，闻及胎心音；</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4、进行四部触诊，每步步骤具有3D动画演示并显示触诊结果；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5、进行骨盆外测量，需选择正确的测量点，并显示测量结果。</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（43）、妇科检查</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1、系统涵盖门诊妇科检查的步骤流程，包括病史采集、视诊、双合诊、三合诊操作；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2、通过问诊的方式进行病史采集，包括主诉、现病史、既往史、生育史、家族史、个人史等；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3、视诊外阴及阴道，掌握窥阴器的使用方法；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4、学习双合诊的操作手法，检查子宫及附件检查：可以触摸子宫的大小、形态、质地、活动度等，同时检查附件区有无肿块、增厚或压痛等；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5、对于检查结果进行评估和判断。</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（44）、阴道分泌物检查</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1、系统涵盖妇科阴道分泌物检查的步骤流程，掌握白带常规、TCT、HPV的采样方法；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2、通过问诊对患者进行病史采集，了解患者宫颈癌的高危因素；</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3、视诊外阴及阴道，掌握窥阴器的使用方法；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4、模拟白带常规、TCT、HPV的采样；</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5、对采样结果进行判断及选择治疗方案</w:t>
            </w:r>
          </w:p>
        </w:tc>
        <w:tc>
          <w:tcPr>
            <w:tcW w:w="756" w:type="dxa"/>
            <w:vAlign w:val="center"/>
          </w:tcPr>
          <w:p>
            <w:pPr>
              <w:pStyle w:val="148"/>
              <w:jc w:val="both"/>
              <w:rPr>
                <w:rFonts w:ascii="宋体" w:hAnsi="宋体" w:cs="宋体"/>
                <w:snapToGrid w:val="0"/>
                <w:color w:val="000000"/>
                <w:sz w:val="18"/>
                <w:szCs w:val="18"/>
              </w:rPr>
            </w:pP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（45）、产后出血-宫腔填塞</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1.1、3D交互式虚拟仿真软件教学系统，将传统模拟人无法展现的一些视角盲点，使用计算机图形模拟技术通过软件直观呈现出来。</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1.2、自由视角：部分步骤可通过鼠标右键实现360°旋转功能。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1.3、软件必须通过三维仿真技术手段详细全方位体现。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1.4、可通过鼠标中键实现上下左右的平移。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1.5、视角：视角包括子宫透视、透视、剖析、默认视角。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2.1、情景病例：根据病例情景自动匹配生成对应的初始场景，过程中可回答相应的问题并配置正确孕妇状态、治疗行为以及相关医疗设备。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2.2、子宫按摩包括腹壁子宫按摩法、腹部-阴道子宫按摩法。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（1）腹部子宫按摩法操作包括三维虚拟仿真展示选择正确的手势以及子宫位置进行腹壁子宫按摩，过程中可局部透视腹部来清楚的查看并可切换透视或剖析视角。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（2）腹部-阴道子宫按摩法操作三维虚拟仿真展示选择正确的手势以及放置阴道的位置进行腹部-阴道子宫按摩，过程中可局部透视腹部来清楚的查看并可切换透视或剖析视角。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2.3、宫缩剂使用包括静脉滴注、静脉推注、宫颈注射。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（1）静脉滴注通过三维虚拟仿真展示使用静脉滴注的方法进行注射缩宫剂。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（2）静脉推注通过三维虚拟仿真展示使用静脉推注的方法进行注射缩宫剂，过程中可拖拽注射器进行缓慢推注。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（3）宫颈注射通过三维虚拟仿真展示使用宫颈注射的方法进行注射缩宫剂，过程中可拖拽卵圆钳和注射器至宫颈口进行注射。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2.4、宫腔填塞包括纱条填塞法、球囊填塞法。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（1）纱条填塞法通过三维虚拟仿真展示使用纱条填塞法进行宫腔填塞，过程中可拖拽卵圆钳和纱条至相应位置后按照箭头提示进行左右填塞纱条。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（2）球囊填塞法通过用主场景视角和局部重点的小窗口视角三维虚拟仿真展示使用球囊填塞法进行宫腔填塞，过程中可拖拽球囊至相应位置进行充气，并回答相应的问题。</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（46）、新生儿心肺复苏</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1、系统涵盖临床新生儿复苏的完整操作流程，包括复苏准备、建立呼吸、恢复循环、药物治疗、复苏后监护等;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2、能够展示新生儿复苏需要用到的医用耗材；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3、可对早产儿进行复苏前评估，并对评估结果进行判断；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4、可拍打患儿足底、按摩患儿背部刺激患儿；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5、进行正压通气，可判断通气手法与通气频率；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6、展示气管插管过程动画；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7、胸外按压需选择按压频率、深度和时间；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8、可进行脐静脉穿刺注入肾上腺素。</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（47）、新生儿脐部护理</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1、系统涵盖新生儿脐部护理操作的步骤流程，从接收医嘱执行单到用物处理完整操作；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2、能够展示新生儿脐部护理需要用到的医用耗材；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3、可对新生儿进行核对评估；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4、可检查脐带有无红肿、渗血、渗液、异常气味；</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5、使用75%酒精棉签消毒脐轮及残端；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6、用无菌纱布包扎脐带；</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r>
              <w:rPr>
                <w:rFonts w:hint="eastAsia" w:ascii="宋体" w:hAnsi="宋体" w:cs="宋体"/>
                <w:color w:val="000000"/>
                <w:sz w:val="18"/>
                <w:szCs w:val="18"/>
              </w:rPr>
              <w:t>VR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（48）、新生儿脐带结扎</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1、系统涵盖新生儿脐部结扎操作的步骤流程；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2、需要操作者判断、选择皮下注射操作需要的物品、耗材；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3、可模拟脐带夹结扎法；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4、系统可实时判断及反馈脐带结扎的位置；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5、可模拟气门芯套扎脐带的方法；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6、可模拟挤尽脐带断端残留血液，将残端用聚维酮碘溶液消毒后用无菌敷料包扎。</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（49）、小儿头皮留置针</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1、系统涵盖留置针输液操作的步骤流程，从接收医嘱执行单到用物处理完整操作；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2、提供适应症、禁忌症病例选择判断；具备准备间、病房两个场景，每个场景均对应留置针输液不同的操作步骤；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3、操作者需要评估穿刺部位血管、皮肤情况并答题；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4、操作者需要判断、选择输液操作需要的物品、耗材；用物处理步骤需要判断不同废物如何丢弃；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5、消毒步骤能够判断消毒留白、污染、消毒范围、方向；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w:t>
            </w:r>
            <w:r>
              <w:rPr>
                <w:rFonts w:hint="eastAsia" w:ascii="宋体" w:hAnsi="宋体" w:cs="宋体"/>
                <w:color w:val="000000"/>
                <w:sz w:val="18"/>
                <w:szCs w:val="18"/>
              </w:rPr>
              <w:t>●</w:t>
            </w:r>
            <w:r>
              <w:rPr>
                <w:rFonts w:ascii="宋体" w:hAnsi="宋体" w:cs="宋体"/>
                <w:color w:val="000000"/>
                <w:sz w:val="18"/>
                <w:szCs w:val="18"/>
              </w:rPr>
              <w:t>可模拟留置针注射时的使用方法及注意事项；穿刺操作步骤提供剖面图，可多角度显示入针角度、行程；</w:t>
            </w:r>
            <w:r>
              <w:rPr>
                <w:rFonts w:hint="eastAsia" w:ascii="宋体" w:hAnsi="宋体" w:cs="宋体"/>
                <w:color w:val="000000"/>
                <w:sz w:val="18"/>
                <w:szCs w:val="18"/>
              </w:rPr>
              <w:t>（需提供现场演示）</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（50）、新生儿抚触</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1、系统明确新生儿抚触的临床适应症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2、用物选择步骤需要判断、选择新生儿抚触所需的物品；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3、模拟新生儿身体结构，操作中可观察虚拟新生儿面部形态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4、在整个操作中可对新生儿头部、腹部、背部、手腕与踝部进行抚触；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5、腹部抚触时，操作者两手依次从被抚触者的右下腹 —上腹 —左下腹沿顺时针方向画半圆,用右手在被抚触者左腹从上画“L”,由左至右画一个倒的“L”,示指、中指、无名指指腹,从两臀的内侧向外侧做环形滑动。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6、胸部抚触时，操作者两手分别从胸部的外上侧向对侧滑动至肩。</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（51）、暖箱使用法</w:t>
            </w:r>
          </w:p>
        </w:tc>
        <w:tc>
          <w:tcPr>
            <w:tcW w:w="6887" w:type="dxa"/>
            <w:vAlign w:val="center"/>
          </w:tcPr>
          <w:p>
            <w:pPr>
              <w:pStyle w:val="100"/>
              <w:spacing w:before="58" w:after="58"/>
              <w:ind w:firstLine="0" w:firstLineChars="0"/>
              <w:jc w:val="both"/>
              <w:rPr>
                <w:rFonts w:ascii="宋体" w:hAnsi="宋体" w:cs="宋体"/>
                <w:color w:val="FF0000"/>
                <w:sz w:val="18"/>
                <w:szCs w:val="18"/>
              </w:rPr>
            </w:pPr>
            <w:r>
              <w:rPr>
                <w:rFonts w:ascii="宋体" w:hAnsi="宋体" w:cs="宋体"/>
                <w:color w:val="000000"/>
                <w:sz w:val="18"/>
                <w:szCs w:val="18"/>
              </w:rPr>
              <w:t>1、检查暖箱，暖箱水槽内加入蒸馏水。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2、接通电源，预热暖箱，根据患儿体重及出生日龄设置所需的温、湿度。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3、预定温度后，核对患儿，将患儿穿单衣、裹尿布放置于暖箱内。</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4、</w:t>
            </w:r>
            <w:r>
              <w:rPr>
                <w:rFonts w:ascii="宋体" w:hAnsi="宋体" w:cs="宋体"/>
                <w:sz w:val="18"/>
                <w:szCs w:val="18"/>
              </w:rPr>
              <w:t>配备蓝光治疗仪的操作使用。</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（52）、新生儿换尿布</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1、需要评估婴儿的病情、年龄、精神状态、饮食、两便、臀部皮肤情况。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2、包含准备用物： 基础护理车、尿布、尿布桶、护臀霜、棉签、平整的操作台、小毛巾、温水或湿纸巾；</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3、需要观察排泄物性状，根据需要称量尿布。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4、操作后需理用物， 洗手， 记录观察内容。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（53）、</w:t>
            </w:r>
            <w:r>
              <w:rPr>
                <w:rFonts w:hint="eastAsia" w:ascii="宋体" w:hAnsi="宋体" w:cs="宋体"/>
                <w:color w:val="000000"/>
                <w:sz w:val="18"/>
                <w:szCs w:val="18"/>
              </w:rPr>
              <w:t>乳房的评估</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1.取坐位或者仰卧位；</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2.充分暴露胸部；</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3.先视诊，再触诊；</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4.按顺序全面检查；</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5.评估乳房+评估引流乳房部位的淋巴。</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（54）、氧气雾化吸入</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1、系统涵盖超声雾化吸入的全部操作流程：评估患者、用物准备、连接雾化装置、吸入操作、操作后处置等；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2、评估患者病情、意识状态、呼吸功能（有无气道痉挛、痰液黏稠度）、用药史及过敏史（尤其是吸入药物）；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3、将药液注入雾化器杯，连接雾化器与氧气流量表；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4、指导患者用 口含嘴 紧闭嘴唇深呼吸（或使用面罩贴合面部），吸入时间：10-15分钟，或直至药液雾化完毕；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5、结束操作后关闭氧气，取下雾化器，协助患者漱口。</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（55）、消毒铺巾</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1、系统涵盖消毒铺巾操作的步骤流程；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2、模拟上腹部手术切口消毒过程；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3、系统可对于消毒范围、顺序、次数、是否有留白等进行判断；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4、可进行铺小单、中单、大单操作；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5、铺单过程系统可检测铺单的顺序、位置是否正确；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6、模拟巾钳操作。</w:t>
            </w:r>
          </w:p>
        </w:tc>
        <w:tc>
          <w:tcPr>
            <w:tcW w:w="756" w:type="dxa"/>
            <w:vAlign w:val="center"/>
          </w:tcPr>
          <w:p>
            <w:pPr>
              <w:pStyle w:val="148"/>
              <w:jc w:val="both"/>
              <w:rPr>
                <w:rFonts w:ascii="宋体" w:hAnsi="宋体" w:cs="宋体"/>
                <w:snapToGrid w:val="0"/>
                <w:color w:val="000000"/>
                <w:sz w:val="18"/>
                <w:szCs w:val="18"/>
              </w:rPr>
            </w:pP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（56）、外科洗手及刷手</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1、系统涵盖外科洗手及刷手的全部操作流程：准备、卷袖、冲手、七步洗手、冲手、肥皂液刷手、冲手、擦手；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2、考核人员刷手前的穿戴是否合规；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3、可拖动选择七步洗手法步骤，完成后动画演示过程；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4、可拖动选择刷手步骤，完成后动画演示过程；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5、包含标准的视频演示。</w:t>
            </w:r>
          </w:p>
        </w:tc>
        <w:tc>
          <w:tcPr>
            <w:tcW w:w="756" w:type="dxa"/>
            <w:vAlign w:val="center"/>
          </w:tcPr>
          <w:p>
            <w:pPr>
              <w:pStyle w:val="148"/>
              <w:jc w:val="both"/>
              <w:rPr>
                <w:rFonts w:ascii="宋体" w:hAnsi="宋体" w:cs="宋体"/>
                <w:snapToGrid w:val="0"/>
                <w:color w:val="000000"/>
                <w:sz w:val="18"/>
                <w:szCs w:val="18"/>
              </w:rPr>
            </w:pP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（57）、四肢骨折现场急救外固定技术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1、系统涵盖上臂骨折、前臂骨折、小腿骨折三个模块；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2、上臂骨折固定：将夹板放在骨折上臂的外侧，用绷带固定；再固定肩肘关节，用一条三角巾折叠成燕尾式悬吊前臂于胸前，另一条三角巾围绕患肢于健侧腋下打结。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3、前臂骨折固定：将夹板置于前臂四侧，然后固定腕、肘关节，用三角巾将前臂屈曲悬吊于胸前，用另一条三角巾将伤肢固定于胸廓。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4、小腿骨折固定：用长度由脚跟至大腿中部的两块夹板，分别置于小腿内外侧，再用三角巾或绷带固定。</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（58）、</w:t>
            </w:r>
            <w:r>
              <w:rPr>
                <w:rFonts w:hint="eastAsia" w:ascii="宋体" w:hAnsi="宋体" w:cs="宋体"/>
                <w:color w:val="000000"/>
                <w:sz w:val="18"/>
                <w:szCs w:val="18"/>
              </w:rPr>
              <w:t>宫颈癌筛查</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1.系统涵盖妇科门诊宫颈癌筛查的步骤流程，熟悉宫颈癌三阶梯筛查知识；</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2.通过问诊对患者进行病史采集，了解患者宫颈癌的高危因素；</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3.进行双合诊检查及白带常规、TCT、HPV的采样；</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4.进行阴道镜检查和宫颈癌活检；</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5.基于阴道镜检查和宫颈癌活检病理结果，做出最终诊断和进一步的治疗方案。</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（59）、</w:t>
            </w:r>
            <w:r>
              <w:rPr>
                <w:rFonts w:hint="eastAsia" w:ascii="宋体" w:hAnsi="宋体" w:cs="宋体"/>
                <w:color w:val="000000"/>
                <w:sz w:val="18"/>
                <w:szCs w:val="18"/>
              </w:rPr>
              <w:t>输液泵使用</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1.系统涵盖输液泵使用的步骤流程，包括评估患者、用物准备、安装输液泵、设置参数、连接患者静脉通路、启动输液、观察记录等；</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2.安装输液管：将输液泵管装入泵槽，确保管路走向正确，关闭流量调节器，排气至管路无气泡，检查滴壶液面在1/3-1/2处；</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3.开机自检后，按医嘱设置：输液总量（VTBI）、输液速率（ml/h）；</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4.消毒输液接头，连接患者静脉通路；</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5.启动输液：按"开始"键启动输液；</w:t>
            </w:r>
          </w:p>
          <w:p>
            <w:pPr>
              <w:pStyle w:val="100"/>
              <w:spacing w:before="58" w:after="58"/>
              <w:ind w:firstLine="0" w:firstLineChars="0"/>
              <w:jc w:val="both"/>
              <w:rPr>
                <w:rFonts w:ascii="宋体" w:hAnsi="宋体" w:cs="宋体"/>
                <w:color w:val="000000"/>
                <w:sz w:val="18"/>
                <w:szCs w:val="18"/>
              </w:rPr>
            </w:pPr>
            <w:r>
              <w:rPr>
                <w:rFonts w:hint="eastAsia" w:ascii="宋体" w:hAnsi="宋体" w:cs="宋体"/>
                <w:color w:val="000000"/>
                <w:sz w:val="18"/>
                <w:szCs w:val="18"/>
              </w:rPr>
              <w:t>6.每小时巡视，记录实际入量，观察穿刺部位情况，监测患者生命体征。</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（60）、戴无菌手套</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1、系统涵盖戴脱无菌手套操作的步骤流程；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2、戴脱无菌手套包含接触式、非接触式两种戴手套方式；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3、可拖动选择戴手套步骤，完成后动画演示过程；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4、可拖动选择脱手套步骤，完成后动画演示过程；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5、需要操作者判断使用过的手套丢弃位置；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6、操作过程严格遵守无菌原则。</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（61）、痰标本采集</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1、系统涵盖痰标本采集操作的步骤流程，从接收医嘱执行单到用物处理；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2、评估咳嗽能力及痰液性状，确认采集目的；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3、患者准备：晨起第一口痰最佳（细菌培养），采集前用清水漱口2-3次（去除口腔杂菌）；</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4、指导患者深呼吸2-3次，屏气1-2秒后用力咳出深部痰，将痰液直接吐入无菌容器；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5、标本处理：立即盖紧容器（厌氧菌培养需特殊处理），粘贴标签（患者信息、采集时间），30分钟内送检（室温放置≤2小时）；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6、协助漱口清洁口腔。</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（62）、咽拭子采集</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1、系统涵盖咽拭子采集操作的步骤流程，从接收医嘱执行单到用物处理；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2、执行三级防护（口罩、护目镜、隔离衣等），患者佩戴外科口罩（仅暴露口部）；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3、嘱患者头部微仰，发"啊"音，用压舌板轻压舌前2/3处，拭子越过舌根到达咽后壁及双侧扁桃体隐窝，适度用力旋转擦拭3-5次（获取黏膜脱落细胞），迅速将拭子放入保存液，折断多余部分；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4、检查拭子头完全浸入保存液，旋紧管盖防止泄漏，外层用密封袋包装。</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（63）、造口护理技术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1、系统涵盖为肠造瘘老年人更换造口袋完整流程，包括：环境与老人评估、沟通解释、物品准备、摆放体位、更换造口袋、操作后处理；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2、环境与老人评估环节需要对室内环境，老年人的造口袋进行评估，判断是否需要更换造口袋；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3、沟通解释环节需要通过询问进食时间，评估更换造口袋的时间，并取得患者配合；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4、协助老年人取舒适体位，暴露造痿口，取下造口袋和底盘；</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5、检查造口及周围皮肤用卫生纸擦拭，再用热毛巾清洗擦干；</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6、测量造口直径剪裁合适尺寸的底盘，换上新的造口袋；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7、整理用物，开窗通风，记录，进行更换造口袋后指导</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（64）、跌倒老人现场处置</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1、通过案件引入的方式，展现了老年人跌倒后应急处理的完整流程；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2、老年人跌倒后进行初步评估，准备救护物品，分别针对三种情况进行现场处置；</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3、对跌倒后意识不清的老年人测量生命体征；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4、对跌倒后意识不清，伴随呕吐抽搐的的老年人清理口腔异物、处理受伤部位后，转运至医院；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5、对跌倒后意识清楚的老年人测量生命体征、处理受伤部位后，扶起老年人。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6、具备教学模式和挑战模式，教学模式下，系统内置的AI虚拟教师通过语音、文字、动画等形式，实时对操作者给予指导、纠错；挑战模式下，学生可以在没有提示的情况下测试自己对流程的掌握程度。</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（65）、失智老人的安全照护</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1、系统涵盖为失智老人进行安全照护的完整流程，包括：老人认知能力评估，居住环境的评估，环境改造，防走失照护；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2、通过对老年人进行简易智能精神状态检查量表(Mini-Mental State Examination, MMSE)评分，评估老年人的认知能力水平；</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3、根据老年人的认知能力，找出居家环境中可能会导致意外的危险的因素，并进行改造，提供安全的环境；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4、给老人随身携带含有老人相关信息的信息牌，防止老人走失。</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5、具备教学模式和挑战模式，教学模式下，系统内置的AI虚拟教师通过语音、文字、动画等形式，实时对操作者给予指导、纠错；挑战模式下，学生可以在没有提示的情况下测试自己对流程的掌握程度。</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（66）、糖尿病老人护理</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1、系统涵盖护理评估、饮食运动护理、糖尿病监测、胰岛素注射、足部护理五个模块；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2、护理评估通过询问患者，判断糖尿病的严重程度，为护理措施提供依据，包括：主诉、现病史、目前用药情况、日常生活状况、既往史、家族史、心理状况；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3、饮食运动护理指导老人合理的饮食和运动；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糖尿病的监测包括：血糖监测、辅助检查、体格检查。血糖监测展示了血糖监测仪的使用方法，完整的采血步骤。辅助检查中重点监测糖化血红蛋白、尿糖的数值变化。体格检查主要是对生命体征、精神状态、足部、神经和肌肉进行检查，掌握病情控制程度，有无并发症的发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5、胰岛素注射展示了胰岛素的皮下注射方法，从安装笔芯到取下针头的完整步骤；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6、足部护理需要为老年人的足部溃疡进行清洗换药的操作。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7、具备教学模式和挑战模式，教学模式下，系统内置的AI虚拟教师通过语音、文字、动画等形式，实时对操作者给予指导、纠错；挑战模式下，学生可以在没有提示的情况下测试自己对流程的掌握程度。</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（67）烫伤老人现场处置</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1、通过案件引入的方式，展现了老年人发生烫伤后处理的操作步骤：物品准备、冷却治疗、涂抹烫伤膏、健康指导；</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2.评估老人烫伤程度后，首先对老人烫伤部位进行冷却治疗；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3.冷却治疗后，在烫伤创面涂抹烫伤膏，并用无菌纱布包扎；</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4.整理用物并记录，进行烫伤知识健康指导。</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（68）、 老人异物卡喉急救</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1、通过案件引入的方式，展现了老年人异物卡喉急救的完整流程；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2、评估老年人气道梗阻情况，立即使用海姆立克手法进行急救；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3、采取正确的海姆立克急救体位后，实施抢救；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4、双手按照剪刀、石头、布的手法，持续冲击老年人腹部，直到异物排出；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5、操作后评估急救效果并记录。</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（69）、</w:t>
            </w:r>
            <w:r>
              <w:rPr>
                <w:rFonts w:ascii="宋体" w:hAnsi="宋体" w:cs="宋体"/>
                <w:sz w:val="18"/>
                <w:szCs w:val="18"/>
              </w:rPr>
              <w:t>老人心肺复苏</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了老人突发性出现心脏骤停、呼吸停止，对老人实施心肺复苏操作的全流程，包括：突发性过渡动画、现场环境评估、判断老人意识，呼吸，脉搏、调整老人体位、胸外按压、开放气道、人工呼吸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2、判断老人意识：采用轻拍重喊的方法判断老人意识是否丧失，拨打急救电话；</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3、判断老人的颈动脉，观察老人胸部起伏的呼吸情况；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4、胸外按压：需要判断按压位置、按压频率、按压深度；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5、开发气道：清除老人口鼻分泌物；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6、人工呼吸：口对口进行人工呼吸操作，按压通气比为30:2；</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7、操作后，对老人的状况进行判断，协助医务人员对老人进行转运。</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（70）、老人生命体征测量</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1、系统涵盖了对老人进行常规生命体征测量的全部流程，包括：环境及老人评估、用物准备、测量老人脉搏、呼吸、测量老人血压、操作后处理；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2、评估老人的环境、测量部位和皮肤情况、老人的配合意识以及影响测量的因素；</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3、协助老人采取平卧位，用干净的毛巾擦拭腋窝，将体温计水银端放于腋窝处紧贴皮肤，使老人夹紧上臂，前臂弯曲放于胸部；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4、老人的同侧手臂伸展，按压老人的桡动脉处对老人进行测量；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5、保持测量脉搏姿势不动，眼睛观察老人胸、腹部起伏，进行老人呼吸测量；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6、血压计测量血压：戴好袖带，放置好听诊器元件在合适的位置，加压充气然后缓慢放气，进行测量；</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7.整理好操作用物，洗手，记录；对老人进行说明并宣教。</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（71）、老人用药护理</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1、系统涵盖老人用药护理的完整流程，包括：环境与老人评估、沟通解释、物品准备、不同类型药剂的配置方法、指导老人正确用药、药效观察及宣教；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 xml:space="preserve">2、评估环节需要对环境和老人的意识、身体状态进行评估； </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3、沟通内容包括解释目的和方法，以及取得配合；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4、利用3D动画的形式展示取固体药、取液体药、取油剂的方法；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5、对于用药后常见不良反应的指导。</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（72）、心肺复苏（院内版）</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w:t>
            </w:r>
            <w:r>
              <w:rPr>
                <w:rFonts w:ascii="宋体" w:hAnsi="宋体" w:cs="宋体"/>
                <w:color w:val="000000"/>
                <w:sz w:val="18"/>
                <w:szCs w:val="18"/>
              </w:rPr>
              <w:t>系统涵盖院内场景下的心肺复苏操作流程，包括评估患者、胸外按压、人工通气、除颤仪的使用；</w:t>
            </w:r>
            <w:r>
              <w:rPr>
                <w:rFonts w:hint="eastAsia" w:ascii="宋体" w:hAnsi="宋体" w:cs="宋体"/>
                <w:color w:val="000000"/>
                <w:sz w:val="18"/>
                <w:szCs w:val="18"/>
              </w:rPr>
              <w:t>软件系统可以在电脑端、pad端、手机端等多终端打开使用，满足不同场景教学需求；（需提供现场演示）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2.通过3D动画展示病案发生场景；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3.可实时判断心肺复苏的深度、频率、次数；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4.指导学生选择正确的按压手势、按压姿势；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5.模拟口对口人工通气，通气量实时检测；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6.指导学生正确使用除颤仪，包括能量的调节、如何安放电极、如何操作除颤仪。</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（73）、呼吸</w:t>
            </w:r>
            <w:r>
              <w:rPr>
                <w:rFonts w:hint="eastAsia" w:ascii="宋体" w:hAnsi="宋体" w:cs="宋体"/>
                <w:color w:val="000000"/>
                <w:sz w:val="18"/>
                <w:szCs w:val="18"/>
              </w:rPr>
              <w:t>机的</w:t>
            </w:r>
            <w:r>
              <w:rPr>
                <w:rFonts w:ascii="宋体" w:hAnsi="宋体" w:cs="宋体"/>
                <w:color w:val="000000"/>
                <w:sz w:val="18"/>
                <w:szCs w:val="18"/>
              </w:rPr>
              <w:t>使用</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1.系统涵盖呼吸</w:t>
            </w:r>
            <w:r>
              <w:rPr>
                <w:rFonts w:hint="eastAsia" w:ascii="宋体" w:hAnsi="宋体" w:cs="宋体"/>
                <w:color w:val="000000"/>
                <w:sz w:val="18"/>
                <w:szCs w:val="18"/>
              </w:rPr>
              <w:t>机</w:t>
            </w:r>
            <w:r>
              <w:rPr>
                <w:rFonts w:ascii="宋体" w:hAnsi="宋体" w:cs="宋体"/>
                <w:color w:val="000000"/>
                <w:sz w:val="18"/>
                <w:szCs w:val="18"/>
              </w:rPr>
              <w:t>使用的全操作流程；</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2.通过3D动画展示病案发生场景；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3.可实时判断简易呼吸器使用挤压的频率、次数；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4.指导学生选择正确的使用手势、按压姿势；</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5.指导学生掌握简易呼吸器使用的正确指标；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6.操作完成后洗手记录相关。</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（74）、经鼻吸痰术</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1.系统涵盖吸痰术操作的步骤流程，从接收医嘱执行单到用物处理完整操作；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2.能够展示吸痰需要用到的医用耗材；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3.能在模拟的负压吸引器的操作面板上进行相应参数的调节；</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4.可以提供术前、术后听诊的功能，听到临床真实的病理呼吸音和改善后的正常呼吸音；</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5.插管时能够通过数值的形式显示插入长度；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6.系统能够自动判断单次吸痰时间是否超过15s、是否有旋转并上提吸痰管等吸痰操作要点。</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rPr>
                <w:rFonts w:ascii="宋体" w:hAnsi="宋体" w:cs="宋体"/>
                <w:color w:val="000000"/>
                <w:sz w:val="18"/>
                <w:szCs w:val="18"/>
              </w:rPr>
            </w:pPr>
          </w:p>
        </w:tc>
        <w:tc>
          <w:tcPr>
            <w:tcW w:w="1573"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（75）、静脉输血</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1.系统涵盖静脉输血操作的步骤流程，从接收医嘱执行单到用物处理；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2.床旁双人核对：患者信息（姓名、住院号、腕带）、血袋信息（血型、血袋号、有效期）、交叉配血结果、检查血制品质量（无凝块、溶血、气泡）；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3.建立静脉通路，使用生理盐水冲管；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4连接血袋与输血器，排气，初始15分钟缓慢输注（不超过20滴/分）；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5.记录输血开始时间、速度、患者反应；</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6.输血完毕用生理盐水冲管，记录输血结束时间及输注量，保留血袋24小时备查。</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2</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sz w:val="18"/>
                <w:szCs w:val="18"/>
              </w:rPr>
              <w:t>虚拟仿真综合管理平台</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一、平台功能：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 支持教师账号、学生账号登陆。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 支持数据统计、演练统计、考核管理、病例管理。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 数据统计为考核分析、演练统计。可总览考核分析参考率的统计、成绩分布的统计，演练统计演练次数的统计、演练成绩的统计、演练场景的统计、演练项目的统计，支持按照开始/结束月份时间、考试类目、班级进行统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 演练统计支持对不同学生演练情况的统计。可显示学生姓名、学号、班级、照护等级、演练次数、演练最好成绩、最近演练时间。支持查看学生具体演练的情况，可显示演练项目、项目等级、演练日期、演练开始时间、演练结束时间、得分。支持查看学生演练项目下的护理计划、反思报告、健康知识，支持查看护理记录单、演练项目得分详情，得分详情可显示考核点、得分、实际操作、正确操作/评价。</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 演练统计支持按照班级、照护等级、开始/结束时间区间筛选显示，同时支持按照学生姓名/学号搜索筛选。查看演练支持按照项目等级、开始/结束时间区间筛选显示。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 考核管理支持按照考核状态、考核班级、开始/结束时间区间筛选显示，同时支持按照搜索内容搜索筛选，可显示考核名称、考核项目、考核班级、考核状态、考核时间区间（开始-结束）、发布时间，支持对已结束的考核进行查看考核信息、查看考生、删除操作，支持对待开始的考核进行查看考核信息、查看考生、编辑、删除操作，支持对进行中的考核进行查看考核信息、查看考生、结束考核、删除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1.7 查看考核信息可显示基础设置、考核对象、考核时间。基础设置可显示考核名称、考核项目，考核对象可显示考核班级、考核学生，考核时间可显示开始时间、结束时间、发布时间、签到时间、最晚签到时间、最早交卷时间、成绩公布时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1.8 查看考生支持按照考核状态、考核班级筛选显示，同时支持按照学生姓名搜索筛选。可显示名称、班级、考核状态、成绩、考核用时（分钟）、签到时间、结束时间。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1.9 病例管理可显示项目详细信息。支持对病例进行新增、编辑、删除。</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1.10 病例管理可显示项目、病例、时间、操作。支持对病例进行编辑、删除。编辑支持对对应项目、情景任务进行编辑，情景任务信息包括：病例头像、病例姓名、病例年龄、病例描述。</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1.11 支持新增考核，支持选择病例对应项目、添加具体情景任务，设置病例头像、病例姓名、病例年龄、病例描述。支持设置护理目标。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二、平台架构：</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采用B/S架构即浏览器和服务器架构模式；支持360极速/兼容，支持IE，谷歌，火狐等主流浏览器；Server端程序运行在服务器，软件运行稳定，安全性高。内置后台管理系统，用户登录账户，可实现应用管理与硬件资源监控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平台是基于CPU、GPU、音视频实时编解码、高效并发服务器、网络传输等核心技术的标准化平台，兼容全系列浏览器，无需下载资源，输入网址直接web端运行，无需等待，几秒内即可打开应用。支持多终端客户端、网页端、移动端等多个平台使用，无需对应用二次开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2.1.预置了流畅、高清、超清、蓝光四种画质设置，默认高清画质。根据网络环境，选择合适画质，提供使用流畅度。</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2.2.预置了全屏按钮，多终端适应全屏，提高视觉效果。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2.3.移动端预置了工具箱，内含摇杆及快捷键绑定。</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2.4.移动端预置了缩放功能，可用双指对应用画面缩放。适用特殊需要放大缩小场景，提高交互性。</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2.5.移动端预置了鼠标与键盘按钮，可切换鼠标左右键与唤醒键盘，方便交互。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后端功能：</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●2.6.服务器管理（</w:t>
            </w:r>
            <w:r>
              <w:rPr>
                <w:rFonts w:hint="eastAsia" w:ascii="宋体" w:hAnsi="宋体" w:cs="宋体"/>
                <w:color w:val="000000"/>
                <w:sz w:val="18"/>
                <w:szCs w:val="18"/>
              </w:rPr>
              <w:t>需提供现场</w:t>
            </w:r>
            <w:r>
              <w:rPr>
                <w:rFonts w:ascii="宋体" w:hAnsi="宋体" w:cs="宋体"/>
                <w:color w:val="000000"/>
                <w:sz w:val="18"/>
                <w:szCs w:val="18"/>
              </w:rPr>
              <w:t>演示）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包含中心服务器资源监控，监测中心服务器IP地址、CPU、内存、硬盘使用情况等，方便用户直观了解服务器运行健康状态，及时根据运行状况做相应调整。</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包含GPU Server资源管理，监测多台云加速服务器IP地址、CPU、GPU、内存、硬盘使用情况以及服务器发送和接收速率。每个云加速服务器可以进行单独设置是否主动同步中心服务器应用、服务器状态（上线、下线）、客户端最大连接数以及服务器中各个应用状态（上架、下架）和最大并发客户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2.7.应用管理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通过后台管理应用，选择需要部署的云加速服务器，设置应用名称、最大并发客户端、备用链接（在原有链接不能访问时，调用备用链接）、对已经上传的应用可以进行上架、下架、删除等操作，支持应用类型、状态筛选和应用名称模糊查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2.8. 应用类型同时支持桌面应用（EXE版）和Web应用（WebGL版）。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2.9.客户端管理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监测客户端IP、客户端MAC地址、服务器端IP、应用状态、运行</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应用名称，支持模糊查询，通过客户端ID、客户端IP快速定位。可通过性能监控查看每个客户端运行状况，显示服务器渲染时延、编码时延、传输时延、解码时延、客户端渲染时延、指令上传时延、总时延等。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三、管理权限：</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3.1.系统具备角色权限、院系、班级、课程、用户管理功能，支持新建、修改、删除操作，支持批量导入、删除学生、教师。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3.2.师可以向学生发布课程任务，安排课前预习和训练，根据课程任务报告有针对性地开展教学活动：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课程任务内容包含训练形式、训练内容、次数和分数要求等；发布课程任务后，教师可以实时查看当前课程任务完成情况；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课程任务报告内容包含任务完成情况、成绩统计、每个步骤的错误人次，可以切换查看不同项目、不同训练形式的报告，以及成绩排名。</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3.3.具备资料管理功能，教师可以上传视频、文本、图片等形式的课件，分享给特定的班级、学生；</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3.4.</w:t>
            </w:r>
            <w:r>
              <w:rPr>
                <w:rFonts w:hint="eastAsia" w:ascii="宋体" w:hAnsi="宋体"/>
                <w:sz w:val="18"/>
                <w:szCs w:val="18"/>
              </w:rPr>
              <w:t>▲</w:t>
            </w:r>
            <w:r>
              <w:rPr>
                <w:rFonts w:ascii="宋体" w:hAnsi="宋体" w:cs="宋体"/>
                <w:color w:val="000000"/>
                <w:sz w:val="18"/>
                <w:szCs w:val="18"/>
              </w:rPr>
              <w:t>系统提供理论题库和自定义题库：</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系统提供不少于2万道理论试题，题目类型至少包含：单句型、病例摘要型、病例组型、病例串行、标准配伍题、判断题、多选题；用户可以自定义题库，添加题目，对题目进行管理；（提供</w:t>
            </w:r>
            <w:r>
              <w:rPr>
                <w:rFonts w:hint="eastAsia" w:ascii="宋体" w:hAnsi="宋体" w:cs="宋体"/>
                <w:color w:val="000000"/>
                <w:sz w:val="18"/>
                <w:szCs w:val="18"/>
              </w:rPr>
              <w:t>不少于5张</w:t>
            </w:r>
            <w:r>
              <w:rPr>
                <w:rFonts w:ascii="宋体" w:hAnsi="宋体" w:cs="宋体"/>
                <w:color w:val="000000"/>
                <w:sz w:val="18"/>
                <w:szCs w:val="18"/>
              </w:rPr>
              <w:t>截图</w:t>
            </w:r>
            <w:r>
              <w:rPr>
                <w:rFonts w:hint="eastAsia" w:ascii="宋体" w:hAnsi="宋体" w:cs="宋体"/>
                <w:color w:val="000000"/>
                <w:sz w:val="18"/>
                <w:szCs w:val="18"/>
              </w:rPr>
              <w:t>加盖公章</w:t>
            </w:r>
            <w:r>
              <w:rPr>
                <w:rFonts w:ascii="宋体" w:hAnsi="宋体" w:cs="宋体"/>
                <w:color w:val="000000"/>
                <w:sz w:val="18"/>
                <w:szCs w:val="18"/>
              </w:rPr>
              <w:t>）</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3.5.具备题库挑战功能，学生可以在理论题库或者自定义题库中进行答题挑战，可以根据章节、题目类型、是否做过、历史错误选择挑战题目范围，系统自动排名，并显示在个人桌面上；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3.6.教师可以进行理论考试：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① 支持手工组卷试卷、随机自动组卷；支持跨专业组卷，按题型、知识点、难易度等不同维度筛选出题目；支持试卷预览与重新编辑、筛选；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② 可以设置考试地点、监考老师、考生、日期时间等；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③ 考试时，学生可以查看剩余题数和考试剩余时间；结束后，可以查看考试成绩、排名，错题自动收录进个人错题集；支持全部、部分人员的成绩导出。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3.7.</w:t>
            </w:r>
            <w:r>
              <w:rPr>
                <w:rFonts w:hint="eastAsia" w:ascii="宋体" w:hAnsi="宋体"/>
                <w:sz w:val="18"/>
                <w:szCs w:val="18"/>
              </w:rPr>
              <w:t>▲</w:t>
            </w:r>
            <w:r>
              <w:rPr>
                <w:rFonts w:ascii="宋体" w:hAnsi="宋体" w:cs="宋体"/>
                <w:color w:val="000000"/>
                <w:sz w:val="18"/>
                <w:szCs w:val="18"/>
              </w:rPr>
              <w:t>系统可以和虚拟仿真、技能互助软件对接，可以组织在线虚拟仿真考试和模型操作考试；（提供</w:t>
            </w:r>
            <w:r>
              <w:rPr>
                <w:rFonts w:hint="eastAsia" w:ascii="宋体" w:hAnsi="宋体" w:cs="宋体"/>
                <w:color w:val="000000"/>
                <w:sz w:val="18"/>
                <w:szCs w:val="18"/>
              </w:rPr>
              <w:t>不少于5张</w:t>
            </w:r>
            <w:r>
              <w:rPr>
                <w:rFonts w:ascii="宋体" w:hAnsi="宋体" w:cs="宋体"/>
                <w:color w:val="000000"/>
                <w:sz w:val="18"/>
                <w:szCs w:val="18"/>
              </w:rPr>
              <w:t>截图</w:t>
            </w:r>
            <w:r>
              <w:rPr>
                <w:rFonts w:hint="eastAsia" w:ascii="宋体" w:hAnsi="宋体" w:cs="宋体"/>
                <w:color w:val="000000"/>
                <w:sz w:val="18"/>
                <w:szCs w:val="18"/>
              </w:rPr>
              <w:t>加盖公章</w:t>
            </w:r>
            <w:r>
              <w:rPr>
                <w:rFonts w:ascii="宋体" w:hAnsi="宋体" w:cs="宋体"/>
                <w:color w:val="000000"/>
                <w:sz w:val="18"/>
                <w:szCs w:val="18"/>
              </w:rPr>
              <w:t>）</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3.8.</w:t>
            </w:r>
            <w:r>
              <w:rPr>
                <w:rFonts w:hint="eastAsia" w:ascii="宋体" w:hAnsi="宋体"/>
                <w:sz w:val="18"/>
                <w:szCs w:val="18"/>
              </w:rPr>
              <w:t>▲</w:t>
            </w:r>
            <w:r>
              <w:rPr>
                <w:rFonts w:ascii="宋体" w:hAnsi="宋体" w:cs="宋体"/>
                <w:color w:val="000000"/>
                <w:sz w:val="18"/>
                <w:szCs w:val="18"/>
              </w:rPr>
              <w:t>为每个学生提供个性化桌面：系统为学生提供个人中心，登录后应可以查看个人训练、学习情况：应可查看个人训练记录以及对应的训练的报告，可查看每个技能训练项目的累计训练次数、时长、平均耗时、教学模式和挑战模式的平均成绩，以及挑战排名、成长曲线和典型错误统计等信息；应可查看个人资料学习的次数、时长、课后习题（题库挑战）答题次数和正确率等信息。（提供</w:t>
            </w:r>
            <w:r>
              <w:rPr>
                <w:rFonts w:hint="eastAsia" w:ascii="宋体" w:hAnsi="宋体" w:cs="宋体"/>
                <w:color w:val="000000"/>
                <w:sz w:val="18"/>
                <w:szCs w:val="18"/>
              </w:rPr>
              <w:t>不少于5张</w:t>
            </w:r>
            <w:r>
              <w:rPr>
                <w:rFonts w:ascii="宋体" w:hAnsi="宋体" w:cs="宋体"/>
                <w:color w:val="000000"/>
                <w:sz w:val="18"/>
                <w:szCs w:val="18"/>
              </w:rPr>
              <w:t>截图</w:t>
            </w:r>
            <w:r>
              <w:rPr>
                <w:rFonts w:hint="eastAsia" w:ascii="宋体" w:hAnsi="宋体" w:cs="宋体"/>
                <w:color w:val="000000"/>
                <w:sz w:val="18"/>
                <w:szCs w:val="18"/>
              </w:rPr>
              <w:t>加盖公章</w:t>
            </w:r>
            <w:r>
              <w:rPr>
                <w:rFonts w:ascii="宋体" w:hAnsi="宋体" w:cs="宋体"/>
                <w:color w:val="000000"/>
                <w:sz w:val="18"/>
                <w:szCs w:val="18"/>
              </w:rPr>
              <w:t>）</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可以查看个人课前学习和训练累计时长；可以查看个人训练次数，并分别统计教学模式和挑战模式的次数；可以查看个人挑战模式平均成绩、排名；可以记录完成课后巩固试题的数量、次数，汇总计算正确率；可以查看个人对该技能项目的技能胜任力蛛网图、成长曲线，以及典型错误汇总；</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3.9. 为教师提供个人工作桌面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可查看个人工作成就统计：安排课程任务数量、组织考试数量、编辑上传资料/题目数量；可查看当前自己即将开始、正在进行和已经完结的任务、计划；并可以快速进行新建课程任务、上传资料、组织考试等工作；可按照技能训练项目，查看下辖所有学生的综合技能胜任力蛛网图；可按照授课班级，查看资料学习、题库挑战、虚拟仿真训练的次数、时长、成绩等汇总平均数据；可查看每个学生的实时学习、训练动态。</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3.10为教学管理人员提供个人工作桌面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可查看学生的训练汇总数据：技能训练人次、自主学习人次、累计访问人次、教师上传资料数量；可以查看每位教师的工作量数据；可按照技能训练项目，查看所有学生的综合技能胜任力蛛网图；可查看所有学生的资料学习、题库挑战、虚拟仿真训练的次数、时长、成绩等汇总平均数据；可查看当日不同时段在线人数统计。</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3.11 教学训练数据展示页面</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视频模块：由客户自行配置，主要展示宣传、介绍类视频；视频模块：由客户自行配置，主要展示宣传、介绍类图片；单项目实时训练统计分析模块：展示训练报告、成绩分布、胜任力分析、典型错误；班级实时训练统计分析模块：成绩分析、胜任力分析、典型错误分析等；不同模块内容可以自行配置、组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3.12. 具备师生交流功能，学生可以发帖提问，教师、同学解答疑问；教师可以管理学生的发帖。</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3.13.</w:t>
            </w:r>
            <w:r>
              <w:rPr>
                <w:rFonts w:hint="eastAsia" w:ascii="宋体" w:hAnsi="宋体"/>
                <w:sz w:val="18"/>
                <w:szCs w:val="18"/>
              </w:rPr>
              <w:t>▲</w:t>
            </w:r>
            <w:r>
              <w:rPr>
                <w:rFonts w:ascii="宋体" w:hAnsi="宋体" w:cs="宋体"/>
                <w:color w:val="000000"/>
                <w:sz w:val="18"/>
                <w:szCs w:val="18"/>
              </w:rPr>
              <w:t>教学切片资源库，切片内容至少包括：主动脉、主动脉单纯鳞状上皮、乳腺、乳腺癌、假复层纤毛柱状上皮、前列腺、前列腺增生、前列腺正常、动脉和静脉、动脉硬化、十二指肠、卵巢、卵巢初级卵泡和次级卵泡、回肠、垂体、子宫、子宫肌瘤、密质骨纵切、小肠切片、小脑、尿道、平滑肌纵切、幽门十二指肠交界处、弹性动脉、弹性软骨、急性心肌梗死、扁桃体、末梢神经、梗死、正常主动脉瓣、正常大脑切片、正常大脑（底部）、正常心脏、正常的睾丸和附睾、正常睾丸、正常结肠、正常肝、正常肺等。</w:t>
            </w:r>
            <w:r>
              <w:rPr>
                <w:rFonts w:hint="eastAsia" w:ascii="宋体" w:hAnsi="宋体" w:cs="宋体"/>
                <w:color w:val="000000"/>
                <w:sz w:val="18"/>
                <w:szCs w:val="18"/>
              </w:rPr>
              <w:t>（</w:t>
            </w:r>
            <w:r>
              <w:rPr>
                <w:rFonts w:ascii="宋体" w:hAnsi="宋体" w:cs="宋体"/>
                <w:color w:val="000000"/>
                <w:sz w:val="18"/>
                <w:szCs w:val="18"/>
              </w:rPr>
              <w:t>提供</w:t>
            </w:r>
            <w:r>
              <w:rPr>
                <w:rFonts w:hint="eastAsia" w:ascii="宋体" w:hAnsi="宋体" w:cs="宋体"/>
                <w:color w:val="000000"/>
                <w:sz w:val="18"/>
                <w:szCs w:val="18"/>
              </w:rPr>
              <w:t>能体现任意切片内容不少于5张的</w:t>
            </w:r>
            <w:r>
              <w:rPr>
                <w:rFonts w:ascii="宋体" w:hAnsi="宋体" w:cs="宋体"/>
                <w:color w:val="000000"/>
                <w:sz w:val="18"/>
                <w:szCs w:val="18"/>
              </w:rPr>
              <w:t>截图</w:t>
            </w:r>
            <w:r>
              <w:rPr>
                <w:rFonts w:hint="eastAsia" w:ascii="宋体" w:hAnsi="宋体" w:cs="宋体"/>
                <w:color w:val="000000"/>
                <w:sz w:val="18"/>
                <w:szCs w:val="18"/>
              </w:rPr>
              <w:t>加盖公章）</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highlight w:val="yellow"/>
              </w:rPr>
            </w:pPr>
            <w:r>
              <w:rPr>
                <w:rFonts w:hint="eastAsia" w:ascii="宋体" w:hAnsi="宋体" w:cs="宋体"/>
                <w:color w:val="000000"/>
                <w:sz w:val="18"/>
                <w:szCs w:val="18"/>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3</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情景化综合急救仿真训练系统</w:t>
            </w:r>
          </w:p>
        </w:tc>
        <w:tc>
          <w:tcPr>
            <w:tcW w:w="6887" w:type="dxa"/>
            <w:vAlign w:val="center"/>
          </w:tcPr>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情景化综合急救智能训练系统利用沉浸式</w:t>
            </w:r>
            <w:r>
              <w:rPr>
                <w:rFonts w:hint="eastAsia" w:ascii="宋体" w:hAnsi="宋体" w:cs="宋体"/>
                <w:color w:val="000000"/>
                <w:sz w:val="18"/>
                <w:szCs w:val="18"/>
              </w:rPr>
              <w:t>三折屏</w:t>
            </w:r>
            <w:r>
              <w:rPr>
                <w:rFonts w:ascii="宋体" w:hAnsi="宋体" w:cs="宋体"/>
                <w:color w:val="000000"/>
                <w:sz w:val="18"/>
                <w:szCs w:val="18"/>
              </w:rPr>
              <w:t>LED显示系统、虚拟仿真、混合现实技术，模拟真实急救场景以及急救场景下的伤员状态，学员能够采用虚实结合的方感受近乎真实的急救流程，并在不同急救场景下培养学生完整地急救思维，在伤员（病人）不同状态下采取不同急救手段，充分训练学员的急救应对能力以及急救手段的规范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一、情景化综合急救智能训练系统软件</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w:t>
            </w:r>
            <w:r>
              <w:rPr>
                <w:rFonts w:hint="eastAsia" w:ascii="宋体" w:hAnsi="宋体"/>
                <w:sz w:val="18"/>
                <w:szCs w:val="18"/>
              </w:rPr>
              <w:t>▲</w:t>
            </w:r>
            <w:r>
              <w:rPr>
                <w:rFonts w:ascii="宋体" w:hAnsi="宋体" w:cs="宋体"/>
                <w:color w:val="000000"/>
                <w:sz w:val="18"/>
                <w:szCs w:val="18"/>
              </w:rPr>
              <w:t>利用沉浸式融合显示技术、虚拟现实技术、混合现实技术模拟各类急救场景，创造逼真的院前、院内交互急救场景，包括火灾、车祸、溺水、公园、广场、地铁站、地震、急救大厅、坠楼事件等，在给操作者提供更多的环境与病例，进行不同急救技能的单独或者综合训练；（上述9个场景，每个场景提供不少于3张照片，加盖公章。）</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2.可以开展高级生命支持虚实结合操作，包括心肺复苏、电除颤、气管插管、静脉开放等：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2.1 拍打智能模型人双肩，场景动画同步显示，可以检测、提示拍打单肩</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2.2按压智能模型人颈动脉，场景动画同步显示，可以检测、提示按压颈动脉时间，不满5秒系统要给予提示；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2.3 在智能模型人上进行心肺复苏操作，虚拟场景同步显示胸外按压位置、按压深度、按压频率、及胸廓回弹状况、通气量、通气速率；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2.4 ●在智能模型人上利用仿真除颤仪进行电除颤操作，虚拟场景同步显示除颤仪按压位置、除颤能量、充电、放电等操作（提供利用除颤仪进行虚实结合除颤操作的视频）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2.5 在智能模型人上进行气管插管操作，虚拟场景同步可以显示，可以检测气管插管过程中喉镜是否挤压上门齿，还可以通过仿真听诊器进行判断；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2.6 进行静脉开放、药物推注操作，虚拟场景同步可以显示；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可以开展基础生命支持虚实结合操作：拍打模型双肩，判断患者意识；按压模型颈动脉，检查心跳呼吸；在模型双乳连线中央胸外按压；检查口腔异物，口对口吹气两次；按照正确步骤完成多个抢救循环，直至患者恢复意识；</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4.可以在灾难场景中进行大规模检伤分类操作：提供多人受伤场景如骨折、出血、心跳呼吸骤停等病情，在急救环境下，学员需对不同伤员的伤情进行评估，选择优先抢救病人，选择错误时，系统会给予提示；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 系统包含全流程急救技能病例：患者受伤后进行伤口包扎止血、骨折固定；期间突发心脏骤停，开展基础生命支持；专业急救人员出车、现场救治、到安全转运，包含转运过程的人员急救；以及到达急救室后的院内急救；</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6.系统支持进阶式教学演练：单技能项目的反复训练，院前以及院内急救全流程、多技能训练，团队急救训练，不同场景均包含临床思维、环境压力的锻炼；</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7.提供具有“情节”的病例，根据操作者操作的正确性与抢救的及时性，该病例的“剧情”会有不同走向，抢救病人的病情将出现不同转归；</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8.教师可以设定急救成功的条件，为不同学习阶段的训练人员设定不同的难度，循序渐进地提高学生的技能水平；</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9.虚拟场景中的虚拟病人与实物抢救模拟人同步，具有相同的病例和生命体征；学员对实物抢救模拟人进行抢救操作，在虚拟场景中同步对应的虚拟操作显示；</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10.系统具备虚拟导师功能：在各个操作步骤中，根据学员的操作实时以图形、语音、文字等形式反馈纠错；</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12. 提供操作标准视频，学员可边看边练；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13. 具备操作复盘和视频回溯功能，系统实时记录学员在模型上急救操作轨迹，并可回放操作过程录屏，以及各个时间节点上操作的文字记录；</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14.系统可以与混合现实头盔（MR）结合，为操作者提供沉浸式院前急救场景，支持模型与混合现实头盔单独组合使用；</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14.1 佩戴MR头盔后，操作者佩戴混合现实头盔可以在场景内自由移动，参与急救操作；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14.2 操作训练数据同步显示在混合现实场景中，包括：按压位置、按压深度、按压频率、及胸廓回弹状况、通气量、通气速率等；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14.3 混合现实场景中的人物、物品可以自由关闭、开启；</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14.4智能模型操作数据实时反馈在混合现实场景内，操作过程系统实时给予语音、动画指导；</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15.配置评分系统，指导老师可使用PAD进行评分，评价完成后生成报告单，包括总分、各项目得分、能力维度分布等指标；</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16.系统提供访客模式，操作者无需登录即可训练。</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二、智能化模型及仿真设备一套</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1.情景化综合急救智能化模型及仿真设备包括：智能模型人、仿真除颤仪、喉镜、仿真耗材等；</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2.智能模型人可以实时检测胸外按压位置、按压深度、按压频率以及胸廓回弹状况；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3.智能模型人支持使用真实的简易呼吸器进行通气，通气量、通气速率可实时检测并纠错反馈；</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4.智能模型人可以检测气管插管过程中喉镜是否挤压上门齿，区分导管插入气管、食道，还可以通过仿真听诊器进行判断；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5.智能模拟人可以检测气道开放，具备真实的动脉搏动，并可以进行触诊；</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6.仿真除颤仪，可进行调节除颤能量、充电、放电等操作，并对操作的正确性进行判断；</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7.提供仿真心电监护，连接模型人后可监测急救过程中患者心脏搏动情况；</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8.配有模拟留置针，支持开放静脉操作；</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9.</w:t>
            </w:r>
            <w:r>
              <w:rPr>
                <w:rFonts w:hint="eastAsia" w:ascii="宋体" w:hAnsi="宋体"/>
                <w:sz w:val="18"/>
                <w:szCs w:val="18"/>
              </w:rPr>
              <w:t>▲</w:t>
            </w:r>
            <w:r>
              <w:rPr>
                <w:rFonts w:ascii="宋体" w:hAnsi="宋体" w:cs="宋体"/>
                <w:color w:val="000000"/>
                <w:sz w:val="18"/>
                <w:szCs w:val="18"/>
              </w:rPr>
              <w:t>常见的仿真急救药物一组，如肾上腺素、胺碘酮等，系统可检测药物的选择是否正确、推注剂量是否合适；（提供产品使用照片，不少于5张，并加盖公章）</w:t>
            </w:r>
          </w:p>
          <w:p>
            <w:pPr>
              <w:pStyle w:val="100"/>
              <w:spacing w:before="58" w:after="58"/>
              <w:ind w:firstLine="0" w:firstLineChars="0"/>
              <w:jc w:val="both"/>
              <w:rPr>
                <w:rFonts w:ascii="宋体" w:hAnsi="宋体" w:cs="宋体"/>
                <w:color w:val="000000"/>
                <w:sz w:val="18"/>
                <w:szCs w:val="18"/>
              </w:rPr>
            </w:pPr>
            <w:r>
              <w:rPr>
                <w:rFonts w:ascii="宋体" w:hAnsi="宋体" w:cs="宋体"/>
                <w:color w:val="000000"/>
                <w:sz w:val="18"/>
                <w:szCs w:val="18"/>
              </w:rPr>
              <w:t>10. 真实急救器械*1组：包含喉镜套装*1套、通气球囊*1个、石蜡棉球*2包、气管插管*2根、半身人*6组。</w:t>
            </w:r>
          </w:p>
        </w:tc>
        <w:tc>
          <w:tcPr>
            <w:tcW w:w="756" w:type="dxa"/>
            <w:vAlign w:val="center"/>
          </w:tcPr>
          <w:p>
            <w:pPr>
              <w:pStyle w:val="148"/>
              <w:jc w:val="both"/>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r>
              <w:rPr>
                <w:rFonts w:hint="eastAsia" w:ascii="宋体" w:hAnsi="宋体" w:cs="宋体"/>
                <w:color w:val="000000"/>
                <w:sz w:val="18"/>
                <w:szCs w:val="18"/>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4</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混合现实全息影像系统</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一、系统介绍：</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本软件是一款DICOM影像浏览和影像处理软件，可对CT和MRI医学影像信息进行显示、三维重建、标注测量等进行处理。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支持CT/MR数据的单模态三视图显示、多模态主辅视图显示和三维立体显示，并提供基本的交互、测量、窗宽/窗位调节、面绘制、体绘制、分割及配准等功能，从而帮助用户更好地观察分析影像。</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软件界面包含菜单栏，影像显示与处理区域，数据列表和切换单/双模态显示的按钮。菜单栏包含文件、显示、测量、分割、配准和帮助六大模块。影像显示与处理区域包括三视图窗口（单模态）和主/辅助视图（多模态），以及一个三维视图。</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2.针对单个二维或者三维视图，还可以放大显示。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3.在二维视图中，可以调节窗宽/窗位，可以平移影像，可以对影像进行缩放，可以切换切片。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4.在三维视图三正交影像以外的地方，可以旋转、缩放、平移。在三正交影像上，可以调整观察的部位、窗宽/窗位；</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w:t>
            </w:r>
            <w:r>
              <w:rPr>
                <w:rFonts w:hint="eastAsia" w:ascii="宋体" w:hAnsi="宋体"/>
                <w:sz w:val="18"/>
                <w:szCs w:val="18"/>
              </w:rPr>
              <w:t>▲</w:t>
            </w:r>
            <w:r>
              <w:rPr>
                <w:rFonts w:ascii="宋体" w:hAnsi="宋体" w:cs="宋体"/>
                <w:color w:val="000000"/>
                <w:sz w:val="18"/>
                <w:szCs w:val="18"/>
              </w:rPr>
              <w:t>CT断层影像包含预设的6种窗宽/窗位以便于观察不同的组织，分别为“肝脏”、“造影”、“骨骼”、“肺”、“胸腔”和“腹腔”。 “自动”模式会根据输入影像的灰度值范围自动地设置一个窗宽/窗位。（提供</w:t>
            </w:r>
            <w:r>
              <w:rPr>
                <w:rFonts w:hint="eastAsia" w:ascii="宋体" w:hAnsi="宋体" w:cs="宋体"/>
                <w:color w:val="000000"/>
                <w:sz w:val="18"/>
                <w:szCs w:val="18"/>
              </w:rPr>
              <w:t>任意不少于5张功能截图，并加盖公章</w:t>
            </w:r>
            <w:r>
              <w:rPr>
                <w:rFonts w:ascii="宋体" w:hAnsi="宋体" w:cs="宋体"/>
                <w:color w:val="000000"/>
                <w:sz w:val="18"/>
                <w:szCs w:val="18"/>
              </w:rPr>
              <w:t>）</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w:t>
            </w:r>
            <w:r>
              <w:rPr>
                <w:rFonts w:hint="eastAsia" w:ascii="宋体" w:hAnsi="宋体"/>
                <w:sz w:val="18"/>
                <w:szCs w:val="18"/>
              </w:rPr>
              <w:t>▲</w:t>
            </w:r>
            <w:r>
              <w:rPr>
                <w:rFonts w:ascii="宋体" w:hAnsi="宋体" w:cs="宋体"/>
                <w:color w:val="000000"/>
                <w:sz w:val="18"/>
                <w:szCs w:val="18"/>
              </w:rPr>
              <w:t>CT体渲染包含7种模式，分别“骨骼”、“肌肉”、“肝脏造影”、“胸部造影”、“心脏”、“彩色”、“灰度”和“自定义”。（提供</w:t>
            </w:r>
            <w:r>
              <w:rPr>
                <w:rFonts w:hint="eastAsia" w:ascii="宋体" w:hAnsi="宋体" w:cs="宋体"/>
                <w:color w:val="000000"/>
                <w:sz w:val="18"/>
                <w:szCs w:val="18"/>
              </w:rPr>
              <w:t>任意不少于5张功能截图，并加盖公章</w:t>
            </w:r>
            <w:r>
              <w:rPr>
                <w:rFonts w:ascii="宋体" w:hAnsi="宋体" w:cs="宋体"/>
                <w:color w:val="000000"/>
                <w:sz w:val="18"/>
                <w:szCs w:val="18"/>
              </w:rPr>
              <w:t>）</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7.十字光标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7.1单模态显示：在三视图中任意位置单击，另外两个视图及3D视图会相应地切换到对应的位置进行显示。通过十字光标能够清晰地呈现与其他三个视图的对应关系，系统还支持对十字光标进行拖动查看与其他三个视图的对应关系。在视图中任意位置可通过滑动滑条滚动滚轮切换切片，3D视图会同步更新切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7.2十字光标关闭下的联动：该模式下十字光标不显示，其他联动效果同十字光标开启下的联动。在视图中任意位置左键点击。</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8.通过滑动滑条滚动滚轮切换切片，3D视图会同步更新切片。在该模式下，依然可以调整窗宽/窗位。</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9.普通浏览模式：在该模式下，三视图中任意位置单击，另外两个视图会相应地切换到对应的位置进行显示。在二位视图中滑动滑条滚动滚轮切换切片时，三维视图中不联动显示。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10.三维视图：三维视图中包含了五个常用按钮，用于控制显示的内容。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三正交中的横断面、冠状面和矢状面单独显示：在选择横断面、冠状面和矢状面单独显示后，可以分别通过按键“1”、“2”和“3”一键调整至正对视角，并且可以通过按住鼠标滚轮拖动切换不同切片进行浏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12.重置三正交显示：重置恢复初始位置。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 可控制三维视图中体渲染结果的可见与不可见。。</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14.测量功能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14.1长度：用于长度测量</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14.2角度：用于角度测量.</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14.3矩形：使用矩形选中目标区域，显示该矩形区域的平均灰度值及其方差，最大和最小灰度值，以及面积和像素个数。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14.4 椭圆：使用椭圆选中目标区域，显示该椭圆区域的平均灰度值及其方差，最大和最小灰度值，以及面积和像素个数。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15 注释功能：选中目标区域，可用文字对选中的区域进行注释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16.</w:t>
            </w:r>
            <w:r>
              <w:rPr>
                <w:rFonts w:hint="eastAsia" w:ascii="宋体" w:hAnsi="宋体"/>
                <w:sz w:val="18"/>
                <w:szCs w:val="18"/>
              </w:rPr>
              <w:t>▲</w:t>
            </w:r>
            <w:r>
              <w:rPr>
                <w:rFonts w:ascii="宋体" w:hAnsi="宋体" w:cs="宋体"/>
                <w:color w:val="000000"/>
                <w:sz w:val="18"/>
                <w:szCs w:val="18"/>
              </w:rPr>
              <w:t>分割功能：对模型可进行分割，得到融合显示在二维视图中，并自动进行体渲染的结果。自动分割功能只针对部分器官（肺部、支气管、心脏、冠脉、肝脏、胆囊、胃、肾脏、前列腺、皮肤、骨骼），不能自动分割部位提供手动分割功能。（提供</w:t>
            </w:r>
            <w:r>
              <w:rPr>
                <w:rFonts w:hint="eastAsia" w:ascii="宋体" w:hAnsi="宋体" w:cs="宋体"/>
                <w:color w:val="000000"/>
                <w:sz w:val="18"/>
                <w:szCs w:val="18"/>
              </w:rPr>
              <w:t>任意不少于5张功能截图，并加盖公章</w:t>
            </w:r>
            <w:r>
              <w:rPr>
                <w:rFonts w:ascii="宋体" w:hAnsi="宋体" w:cs="宋体"/>
                <w:color w:val="000000"/>
                <w:sz w:val="18"/>
                <w:szCs w:val="18"/>
              </w:rPr>
              <w:t>）</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17.配准功能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17.1.标记点配准：在主二维视图和辅助二维视图上生成选择标记点，根据标记点进行配准。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17.2.体素配准：单击配准--体素配准。体素配准无需设置参数，用于在标记点配准后进一步配准，提高配准精度。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17.3.多模态影像联合分析：右键点击配准后的标签图像，选择同步到基准图像，可将辅助视图中的标注结果同步显示于基准图像，便于多模态影像的联合分析</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18.数据管理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18.1 2D/3D编辑：单击该选项或选中需要的标签影像后点击工具栏中“2D/3D编辑”按钮，可获得编辑对话框，包括2D和3D选项，Mask（掩模）和Erase（擦除）选项，半径的设值框用来设置Mask或者Erase的作用半径。选中2D后，Mask或者Erase只会在当前显示的切片中生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18.2.阈值分割：单击该选项或选中标签影像后点击工具栏中阈值分割按钮，弹出阈值分割窗口，窗口中会显示当前影像的灰度值直方图，通过拖动直方图下的两个箭头可以调节高低阈值。</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18.3.保存DCMDICOM标签影像：单击该选项，可以将标签影像保存在本地文件夹中。当有多个标签影像需要保存时，需将每个标签影像保存在单独的文件夹中。</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18.4.目标提取：单击该选项，在标签影像中有多个不连通的影像时，放置标记点的标签影像被保留。</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18.5.空洞填充：单击该选项，弹出选择对话框，用户选择对某一个面进行填充，可以对选择视图中标记影像中有空洞的位置进行填充。</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18.6.生成/更新三维模型：单击该选项或点击工具栏中“生成三维模型”按钮，弹出对话框，可以通过设置游离面阈值、平滑迭代次数、松弛因子等参数对三维模型进行平滑，在三维视图中生成对应于标签影像的三维模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18.7.复制影像：单击该选项，可以将标签影像图像及其属性一并复制到同一原始影像列表下。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18.8.复制到基准影像：单击该选项，可以将标签影像及其属性一并复制在基准影像下。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18.9.保存三维模型：单击该选项或选择工具栏中“保存三维模型”按钮，可以将生成的三维模型，以stl或obj的格式保存在本地。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二、混合现实医学影像3D数据管理云平台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管理医学影像数据生成的3D内容，系统可按照解剖系统分类、自定义排序、3D模型搜索，强调术前规划场景的使用逻辑与习惯，让用户在使用过程中更直观、更便捷、更高效。具体功能如下：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1.创建病例并上传医学影像处理系统生成的三维模型。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2.对上传的三维模型可命名和描述。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3.对上传的三维模型可以在电脑上预览，可以单独预览某一器官模型，也可对同一病例下的所有器官3D模型进行预览。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4.对上传的三维模型可以自定义颜色。</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5.对上传的三维模型可以一键下发至MR头显。</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6.支持最多10人在线的多人组队线上MR头显教学演练。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三、混合现实医学影像3D模型交互导览系统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对接混合现实医学影像3D数据管理平台，在MR设备中观察3D影像模型结构，可以对CT及核磁生成的3D器官和组织结构模型进行放大、缩小、旋转、抓取等操作，可以对CT及核磁生成的3D器官和组织结构模型各个部位进行自定义着色，进行透明或者半透明处理，可以自定义命名，保存个人独有调节数据，支持多个模型同视野展示操作，支持多机多人交互操作。可以对同一病例下所有的医学3D模型整体载入MR视野场景中，可以实现对多个器官部位3D模型整体放大、缩小、旋转也可以选择单独的一个器官放大、缩小、旋转。</w:t>
            </w:r>
          </w:p>
        </w:tc>
        <w:tc>
          <w:tcPr>
            <w:tcW w:w="756" w:type="dxa"/>
            <w:vAlign w:val="center"/>
          </w:tcPr>
          <w:p>
            <w:pPr>
              <w:pStyle w:val="148"/>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5</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技能互助训练系统</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技能互助训练系统是为了解决利用模型人开展技能训练过程中，无数据、缺少指导问题的互助式评价考核系统，学生可以利用系统软件互助评判、互助指导，也单人可以边学边练、上传训练视频；教师也可以利用软件指导、考核学生的技能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1.系统教学、训练所需的评分表，评分表数量不少于50份，所有评分表均依据“十四五”规划教材编制，内容严谨，要求详尽，可作为教学、考试、技能训练的依据；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2.软件使用不受到操作环境限制，可以在Windows、Ios、Android系统中使用，可以通过浏览器、钉钉/微信等即时通讯软件中打开；</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3.系统应具备评分表管理功能，教师可以自行添加、编辑、删除评分表，用户可以为关键、复杂步骤上传图文说明，为评价者提供客观准确的标准；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4.用户可以将每个操作步骤均细化为若干评分条目，设定每个条目的分值，并与胜任力维度评价关联；</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5.教师可以开启/关闭评分表，可以复制已有评分表，并在此基础上修改成为新的评分表；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6.互助评价功能：两名用户分别以评价者、操作者身份登录，一人操作，另一人评价；</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7.一评多功能：教师登录后，可以任意选择评价一个或者多个学生；多人评价采用扣分制；</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8.视频作业功能：学生可以上传自己的操作视频，发送给教师；教师根据学生视频进行评分；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9.分组评分功能：教师可以将班级学生分为若干小组，小组内成员互助训练；或者指定特定的人员（教师）对小组成员进行考核；</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10.边学边练功能：教师上传教学视频，学生在移动端根据视频自己训练；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11.所有训练形式，训练完成均自动生成评价报告，内容包含：成绩、耗时、技能胜任力、操作详情、步骤得分以及核心技能掌握情况；</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12.考试功能：老师可以随时组织指定的班级、学生考试，考试过程中，老师可以同时对多名学生的操作评分；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13.数据查看功能：学生单人登录可查看个人技能胜任力、训练次数、时长、成绩和训练报告，教师单人登录可查看所有学生的技能胜任力、训练次数、时长、成绩和训练报告；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14.课程任务功能：教师发布课程任务，学生通过移动端接收任务，开展两两互助训练、视频上传、边学边练等；训练数据实时反馈给教师，并形成课程任务报告；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15.训练数据可以对接上传管理平台，学生可以查阅历史数据，教师可以按照班级进行数据统计分析。</w:t>
            </w:r>
          </w:p>
        </w:tc>
        <w:tc>
          <w:tcPr>
            <w:tcW w:w="756" w:type="dxa"/>
            <w:vAlign w:val="center"/>
          </w:tcPr>
          <w:p>
            <w:pPr>
              <w:pStyle w:val="148"/>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6</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hint="eastAsia" w:ascii="宋体" w:hAnsi="宋体" w:eastAsia="宋体" w:cs="宋体"/>
                <w:color w:val="000000"/>
                <w:sz w:val="18"/>
                <w:szCs w:val="18"/>
                <w:lang w:val="zh-CN"/>
              </w:rPr>
              <w:t>综合护理置管智能模拟人系统</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综合护理置管虚实结合训练系统是一款基于虚拟与现实结合的智能化教学训练模拟人。系统模拟临床操作过程中的不同手感和患者生理反应，通过虚拟仿真和智能传感技术提供智能化的检测和反馈。该系统涵盖了鼻饲、吸痰、洗胃、胃肠减压术、三腔两囊术、灌肠术、导尿术等临床技能的智能训练。模拟人采用高分子硅胶材料制造，具有真实的外形特征和手感。系统支持不同模式的自主练习和选择正常或昏迷病人状态进行训练。通过透视和剖视模式展示内部结构，智能传感芯片检测插管长度和速度，并提供力反馈模拟手感。系统还支持语音识别和交互，并能实时显示操作过程的变化。综合置管虚实结合训练系统通过结合虚拟技术与实际操作，为医学院学生和实习护士提供了全面的技能培训和操作体验。</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功能详细要求：</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一、鼻饲法</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1、产品使用计算机仿真技术，能够模拟鼻饲法流程。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2、模拟现实，贴近临床实际：仿真模拟人、真实的器械，操作过程中能感受到临床操作中的手感。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3、系统自主练习模式，操作者可根据不同模式反复练习。</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4、系统包含2个病人状态选择，插管包含不同情况（随机插管、正常插管、昏迷插管、恶心反应、插入口腔、插入气管）。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5、系统能够提供流程式智能引导学员完成整体鼻饲法的操作。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6、插管时使用临床真实鼻饲管进行插管的操作。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7、透视模式，软件选择透视视角，三维模拟人皮肤呈透视状态，可以看到模拟人内部消化系统，操作时可以直观看到原理内容。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8、剖视模式，软件选择剖视视角，三维模拟人消化系统器官呈剖视状态，操作时可以直观看到原理内容。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9、在使用临床真实器械插管时，可通过智能传感芯片自动检测鼻饲管的插入长度及位置。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10、在使用真实器械插管时，可通过智能传感芯片和数据算法能够自动识别插管的速度。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11、系统采用力反馈技术模拟操作手感，在插管过程不同的生理结构中，插管阻力会发生相应的变化。</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12、语音识别，操作过程中与病人语言沟通环节，系统可以识别操作者语音沟通的关键词，识别正确后继续操作。自由视角，三维虚拟模拟人可360度旋转，放大、缩小视角。</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具备两种判断胃管是否在胃内的方案，可以使用专用注射器回抽判断是否胃管在胃内，如果胃管已经在胃内，注射器针筒回抽时会呈现黄绿色，屏幕的三维仿真软件实时同步显示虚拟病人吸出胃液及胃液颜色。</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14、软件功能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14.1完整、清楚、准确地展示鼻饲法的具体操作流程，在操作过程中可360°旋转、缩放场景并加以语音说明。操作步骤内容如下：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14.2</w:t>
            </w:r>
            <w:r>
              <w:rPr>
                <w:rFonts w:hint="eastAsia" w:ascii="宋体" w:hAnsi="宋体"/>
                <w:sz w:val="18"/>
                <w:szCs w:val="18"/>
              </w:rPr>
              <w:t>▲</w:t>
            </w:r>
            <w:r>
              <w:rPr>
                <w:rFonts w:ascii="宋体" w:hAnsi="宋体" w:cs="宋体"/>
                <w:color w:val="000000"/>
                <w:sz w:val="18"/>
                <w:szCs w:val="18"/>
              </w:rPr>
              <w:t>正常插管：操作者用真实鼻饲管插入模拟人直至插入模拟人胃内，插管过程中在屏幕上可以实时且同步通过透视或剖视视角的任意位置来查看胃管的实时位置并显示插入长度、插入位置和自动识别插管的速度。（提供</w:t>
            </w:r>
            <w:r>
              <w:rPr>
                <w:rFonts w:hint="eastAsia" w:ascii="宋体" w:hAnsi="宋体" w:cs="宋体"/>
                <w:color w:val="000000"/>
                <w:sz w:val="18"/>
                <w:szCs w:val="18"/>
              </w:rPr>
              <w:t>任意不少于5张功能截图，并加盖公章</w:t>
            </w:r>
            <w:r>
              <w:rPr>
                <w:rFonts w:ascii="宋体" w:hAnsi="宋体" w:cs="宋体"/>
                <w:color w:val="000000"/>
                <w:sz w:val="18"/>
                <w:szCs w:val="18"/>
              </w:rPr>
              <w:t>）</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二、吸痰法</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1、系统结合力反馈技术，操作时可通过智能传感芯片自动检测吸痰管的插入长度，数据算法能够自动识别插管的速度。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2、可提供三种吸痰的方式，分别为经口吸痰和经鼻吸痰、经气管切开吸痰。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3、插管时使用临床真实器械进行插管的操作。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4、透视视角，三维人体选择透视视角，皮肤呈透视状态，可以看到人体内部呼吸系统及消化系统的解剖结构。</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5、剖视视角，三维人体选择剖视视角，人体内部结构呈半剖状态，吸痰操作时可以清晰看到吸痰管的位置及操作原理内容。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6、设置病历内容，病历内容显示病人病情，操作者根据病历内容操作吸痰法，更符合临床情景。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7、提示性操作，操作结合力反馈技术，系统智能判断操作流程并提示接下来的操作内容，如智能判断插管位置，吸痰管插入正确后提示松开负压处旋转提拉吸痰管。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8、三维人体模型可720度任意视角旋转查看。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9、系统可以识别真实的负压，吸痰过程种能够智能判定是否反折吸痰管。并在三维仿真软件上作出相应反馈。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10、智能传感芯片和数据算法自动判断单次吸痰时间是否超过15s、是否有上提吸痰管等吸痰操作要点。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11、系统采用力反馈技术模拟操作手感，在插管过程不同的生理结构中，插管阻力会发生相应的变化。</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12.1、完整、清楚、准确地展示吸痰的具体操作流程，在操作过程中可360°旋转、缩放场景并加以语音说明。</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12.2、方法1--经口吸痰，操作者用真实吸痰管插入模拟人口腔深度10-15cm后进行吸痰操作，吸痰过程中在屏幕上可以实时且同步通过透视视角的任意位置来查看吸痰管的实时位置并显示插入长度、插入位置和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12.3、方法2--经鼻吸痰，操作者用真实吸痰管插入模拟人鼻腔深度20-25cm后进行吸痰操作，吸痰过程中在屏幕上可以实时且同步通过透视视角的任意位置来查看吸痰管的实时位置并显示插入长度、插入位置和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12.4、方法3--经气管切开吸痰，操作者用真实吸痰管插入模拟人气管深度10-12cm后进行吸痰操作，吸痰过程中在屏幕上可以实时且同步通过透视视角的任意位置来查看吸痰管的实时位置并显示插入长度、插入位置和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12.5、配备负压吸引器，可以设置调节负压，系统会自动判断吸引器是否打开开关。</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12.6、系统可以自动判定插入吸痰管过程中是否反折吸痰管末端。若未反折系统会提示先反折吸痰管末端再进行调节负压值。</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12.7、系统会自动判断插入过程中是否保持无负压状态，若未保持会提示阻断负压后继续插入吸痰管。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12.8、系统会判断吸痰管是否左右旋转，如未旋转系统会提示操作错误，需要边左右旋转，边向上提拉才可以正确完成操作。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三、洗胃术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1、系统的功能概述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洗胃术虚实结合训练系统是一款基于虚拟与现实结合的智能化教学训练模拟人，采用虚拟仿真、智能传感器等技术，进行智能化的检测和反馈，模拟临床患者的不同生理反应和操作过程中的不同手感。系统以操作指南为依据，在模拟人上可进行洗胃术临床基本技能的智能训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2.1、产品使用计算机仿真技术，能够模拟洗胃术流程。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2.2、模拟现实，贴近临床实际：仿真模拟人、真实的器械，操作过程中能感受到临床操作中的手感。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2.3、系统自主练习模式，操作者可根据不同模式反复练习。</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2.4、系统包含2个病人状态选择（正常病人、昏迷病人）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2.5、系统能够提供流程式智能引导学员完成整体洗胃术的操作。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2.6、插管时使用临床真实器械进行插管的操作。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2.7、透视模式，软件选择透视视角，三维模拟人皮肤呈透视状态，可以看到模拟人内部消化系统，操作时可以直观看到原理内容。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 8剖视模式，软件选择剖视视角，三维模拟人消化系统器官呈剖视状态，操作时可以直观看到原理内容。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2.9、在使用临床真实器械插管时，可通过智能传感芯片自动检测胃管的插入长度及位置。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2.10、在使用真实器械插管时，可通过智能传感芯片和数据算法能够自动识别插管的速度。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2.11、系统采用力反馈技术模拟操作手感，在插管过程不同的生理结构中，插管阻力会发生相应的变化。</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2.12语音识别，操作过程中与病人语言沟通环节，系统可以识别操作者语音沟通的关键词，识别正确后继续操作。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2.13自由视角，三维模拟人可360度旋转，放大、缩小视角。</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2.14、计算机图形渲染技术实现实时显示洗出胃液的颜色变化，展示洗胃效果。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2.15、洗胃过程中洗胃机出液管胃液颜色不断变化，系统能够实现计算机液体水流与实际洗胃机液体水流同步变化。</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3、软件功能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完整、清楚、准确地展示洗胃术的具体操作流程，在部分操作过程中可360°旋转、缩放场景并加以语音说明。操作步骤内容如下：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3.1、目的案例：展示洗胃术的目的及对应案例，包含两种病例可选择昏迷病人和清醒病人；可在洗胃过程中选择是否出现意外情况，包含两种意外情况：出血、患者喊痛。</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3.2、检查安装：连接各管，检查洗胃机功能，计算机能够识别手吸键、手冲键、自动键、关机键，实现虚拟及现实模拟液体的同步流动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3.3、用物准备：选择洗胃所需要的用物，选择后可对用物进行查看。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3.4、体位准备：清醒病人采用去枕平卧位；昏迷病人采用侧卧位操作体位。</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3.5、插胃管：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3.5.1、三维虚拟仿真模拟测量患者需要插管的深度，测量插入长度为前额发际至剑突的距离。</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3.5.2、三维虚拟仿真交互实现为患者铺治疗巾、防水布、口垫。</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3.5.3、插胃管至咽喉部：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①清醒病人：当插入10-15厘米，嘱患者做吞咽动作，语音识别“吞”后，方可将胃管继续插入至所需长度。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②昏迷病人：当插入10-15厘米，左手托起模拟人头部，使下颌靠近胸骨柄，使得胃管能够继续插入至所需长度。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3.5.4、系统可以检查胃管是否在胃内：</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①可以使用专用注射器插入洗胃管抽吸硅胶模拟人胃液，如果胃管已经在胃内注射器针筒会呈现黄绿色，屏幕的三维仿真软件实时同步显示虚拟病人吸出胃液及胃液颜色。</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②专用电子注射器向胃内注射10ml空气，听诊胃部有气过水声，可以将听诊器放置在模拟人胃部，能够听到气过水声。操作时三维虚拟仿真软件可以直观看到内部解剖结构。操作结束后答题判断胃管是否在胃内。</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3.6、连接胃管：系统会智能识别进液管、出液管是否放置到对应的洗胃溶液桶内、排污桶内，并连接胃管。若未正确放置到对应的桶内，软件会报警提示。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3.7、抽吸胃液：长按手吸键，吸出全部胃内容物。再按自动键，洗胃机开始对胃进行自动冲洗，冲洗过程中胃液颜色不断变化，三维虚拟仿真软件可以模拟真实洗胃颜色变化过程，待澄清无味时，按关机键停止洗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3.8、洗胃过程可以实时在真实的洗胃机上看到进液管、出液管的颜色变化。三维虚拟仿真软件可以实时同步显示虚拟洗胃机进液管、出液管的颜色变化过程。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四、灌肠法</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1、产品使用计算机仿真技术，能够模拟完整的灌肠法流程。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2、模拟现实，贴近临床实际：仿真模拟人、真实的器械，操作过程中能感受到临床操作中的手感。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3、系统能够智能引导学员完成整体灌肠法的操作。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4、系统将自动记录学员操作信息，包括错误项、正确项、操作顺序等信息。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5、系统在训练结束后，自动给出分值，并列出所有的得分明细。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6、插管时使用真实器械进行插管的操作。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7、计算机图形学和渲染算法实时显示调整的灌肠速度，灌肠液的灌液过程效果。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8、进行排空灌肠袋内空气的操作，计算机图形学技术支持画面同步显示。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9、在使用真实器械插管时，可通过智能传感芯片自动检测灌肠管的插入长度。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10、在使用真实器械插管时，可通过智能传感芯片和数据算法能够自动识别插管的速度。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11、系统采用力反馈技术模拟操作手感，在插管过程不同的生理结构中，插管阻力会发生相应的变化。</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13、能够进行灌肠袋悬挂高度的自动识别和判断。</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14、插管灌肠：插管灌肠、调节滴速。操作者用真实灌肠管插入模拟人肛门，插管过程中在屏幕上可以实时通过透视视角来查看灌肠管的实时位置并显示插入长度、插入位置和自动识别插管的速度。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五、导尿术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1、系统的功能概述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女性导尿虚实结合训练系统是一款基于虚拟与现实结合的智能化教学训练模拟人，采用虚拟仿真、智能传感器等技术，进行智能化的检测和反馈，模拟临床患者的不同生理反应和操作过程中的不同手感。系统以操作指南为依据,在模拟人上可进行女性导尿术临床基本技能的智能训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2、女性导尿术模拟人的外形特征</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采用高分子硅胶材料研发而成，耐用、不易破碎和防水。真实大小，采用生物仿真技术生产制造，解剖结构特征明显，手感真实，形态逼真美观。</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3、系统参数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具备使用镊子夹专用棉球在触摸屏上实现实时消毒功能：可以进行初次消毒：消毒阴阜、消毒大阴唇、消毒小阴唇、消毒尿道口、消毒尿道口到肛门、用物整理。消毒阴阜：护士左手戴上手套，取出第一次消毒的消毒棉球，用镊子夹取消毒棉球，消毒阴阜。消毒时实时显示消毒痕迹。消毒大阴唇：护士用力反馈镊子夹取消毒棉球，消毒大阴唇。消毒时实时显示消毒痕迹。消毒小阴唇：分开阴唇和消毒小阴唇，消毒时实时显示消毒痕迹。护士左手撑开阴唇，暴露尿道口，用镊子夹取消毒棉球，消毒小阴唇。消毒尿道口：用镊子夹取专用消毒棉球，在虚拟尿道口做轻轻的停留。消毒时实时显示消毒痕迹。消毒尿道口到肛门：用镊子夹专用取消毒棉球，从尿道口消毒到肛门，实现在三维虚拟人身上的消毒，消毒时实时显示消毒痕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（2）插入尿道：操作者用真实尿管插入模拟人，当插入至模拟人尿道4-6cm时，可见三维虚拟软件中尿流出，而后再插入7-10cm。</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（3）导尿管插管过程中在屏幕上可以实时且同步通过透视视角来查看尿管的实时位置并显示插入长度、插入位置和自动识别插管的速度。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六、三腔两囊止血术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技术指标：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1、软件功能：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1.1、产品使用计算机仿真技术，能够模拟三腔二囊管流程。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1.2、模拟现实，贴近临床实际：仿真模拟人、真实的器械，操作过程中能感受到临床操作中的手感。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1.3、系统分为实操模式、练习模式和考核模式，操作者可根据不同模式反复练习。</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1.4、系统能够提供流程式智能引导学员完成整体三腔二囊管的操作。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1.5、操作自由性：在操作过程中，可自由切换到任意步骤。</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1.6、插管时使用临床真实三腔二囊管进行插管的操作。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1.7、透视视角：部分步骤可透视观看患者体内状态，清楚的查看插管时三腔二囊管所在的位置等。</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1.8、统计时长：软件开启时开始计时，统计使用时长。</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1.9、在使用临床真实器械插管时，可通过智能传感芯片自动检测三腔二囊管的插入长度及位置。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1.10、系统采用力反馈技术模拟操作手感，在插管过程不同的生理结构中，插管阻力会发生相应的变化。</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2、系统参数：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2.1、病例选择：该软件含有多个不同病情患者的病例可供选择，根据选择不同的病例完成相应的操作内容。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2.2、介绍三腔二囊管的目的、适应症、禁忌症。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2.3、患者病历：展示患者病史信息、体格检查、辅助检查。</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 病史信息：包含患者个人信息、主诉、现病史、既往史、婚姻史。</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 体格检查：患者生命体征信息、体格检查结果详情。</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③ 辅助检查：展示相关检查诊断结果。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2.4、准备：核对患者信息、解释说明、评估患者、操作者准备、用物准备。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（1）核对患者：核对患者的床头卡、询问患者姓名并查看患者的手腕带。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（2）解释说明：向患者解释、说明情况、签署知情同意书。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（3）评估患者：电筒照射检查患者的鼻腔情况。</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（4）操作者准备：洗手戴口罩、选择操作所需用物。</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2.5、体位：为患者摆放合适体位。</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2.6、检查：</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（1）检查三腔二囊管整体外观：观察管道无明显的断裂和破损。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（2）检查胃管通畅性：向胃管内注入30ml空气，检查胃管通畅、完好。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（3）检查胃气囊、食管气囊：胃气囊以容积为主，注气量为200-300ml；食管气囊以压力为主，注气量为50-100ml。</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（4）检查两个气囊压力：测定胃气囊压力维持在40-60mmHg，测定食管气囊压力维持在20-40mmHg。</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（5）检查完之后，将胃气囊、食管气囊中的气体抽尽，用止血钳夹闭末端后备用。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2.7、测量长度：测量患者发际线至剑突的长度，在此基础上增加10cm即为此次插管长度。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2.8、润滑：</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（1）为患者铺好治疗巾、放置弯盘</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（2）石蜡油润滑患者鼻腔、三腔二囊管。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2.9、虚实结合功能：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（1）插管操作智能反馈系统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定位追踪：模拟人内置高精度传感器，插管过程实时显示插管位置与深度，虚实结合三维软件实时同步显示胃管实时位置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AI语音互动：可以与模拟人对话，当插入至模拟人咽喉部时需要嘱咐虚拟病人吞咽，否则会误入气管内未，系统自动警示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AI生理反馈：若系统检测到误入气管，虚拟病人会咳嗽反应，提示操作失误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（2）智能判断系统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腔室连接智能识别:系统可以准确判断注射器连接的腔室，可以分别出胃管腔（用于吸引胃液、冲洗、注药或输液等操作，可将胃内容物排出，以便观察和治疗）、食管气囊腔（连接食管气囊，充气后压迫食管下段的曲张静脉，以达到止血的目的）、胃气囊腔（连接胃气囊，充气后压迫胃底的曲张静脉，辅助止血）。若注射器插入错误的腔室时，会提示报警，直到选择正确的腔室。</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胃管位置确认：使用专用注射器回抽判断是否胃管在胃内，如果胃管已经在胃内，注射器针筒回抽时,针筒会呈现血性液体，屏幕的三维仿真软件实时同步显示虚拟病人吸出血性液体。</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2.10、虚拟仿真注气功能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（1）可使用专用注射器向胃气囊或食管气囊注入空气，虚拟仿真软件中的胃气囊或食管气囊腔会同步膨胀。并可以准确识别注入气量。</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（2）血压计连接胃气囊末端，测定囊内压力为50mmHg。</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（3）囊管牵引力反馈功能，可将三腔二囊管往外牵引，三维虚拟软件同步显示牵拉的效果，使已膨胀的胃气囊压在胃底部，牵引时可通过力反馈功能体验到有中等阻力感为止。</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2.11、抽胃内容物：</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（1）使用专用注射器连接胃管腔，尽可能抽尽胃内积血。</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（2）负压引流器连接胃管腔末端，可自引流器中了解止血是否有效。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2.12、食管气囊注气：</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（1）若患者胃气囊不能有效止血时，可进行食管气囊注气。</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（2）使用专用注射器连接食管气囊，注入100ml空气，虚拟仿真软件中的食管气囊会同步膨胀。</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（3）血压计连接食管气囊末端，测定囊内压力为30mmHg。</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2.13、拔管：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（1）根据患者病情的好转，按照医嘱予以拔出三腔二囊管。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（2）放松牵引架</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（3）放气囊气体</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（4）拔管前患者口服液体石蜡20ml。</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（5）将三腔二囊管拔出。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（6）交代注意事项。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2.14、知识拓展：介绍并发症、相关知识。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2.15、知识考核：进行相关知识点考核。</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七、胃肠减压术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技术指标：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1、功能概述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胃肠减压虚实结合训练系统是一款基于虚拟与现实结合的智能化教学训练模拟人，采用虚拟仿真、智能传感器等技术，进行智能化的检测和反馈，模拟临床患者的不同生理反应和操作过程中的不同手感。系统以操作指南为依据,在模拟人上可进行胃肠减压临床基本技能的智能训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2、模拟人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模型采用上半身设计，方便更换和移动。采用世界先进的设备和优质高分子硅胶材料研发而成，耐用、不易破碎和防水。真实大小，采用生物仿真技术生产制造，解剖结构特征明显，手感真实，形态逼真美观。</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3、软件功能：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3.1、本系统包含三种模式包括：实操、练习、考核。</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3.2、透视视角：部分步骤可透视患者体内结构，清楚展示对应三维空间位置关系。</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3.3、操作自由性：在自主练习模式中，可自由切换到任意步骤。</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3.4、五种插管情况：正常情况、昏迷插管、恶心反应、插入口腔、插入气管。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3.5、三种检查胃管是否在胃内的方式：抽吸胃液、有无气泡溢出、气过水声。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3.6、两种测量胃管长度的方式：发际线→剑突，鼻尖→耳垂→剑突。</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3.7、设置按钮：可以查看患者病例信息、调节音量大小、重置软件。</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3.8、自由视角：部分步骤中可通过鼠标右键实现360°旋转视角功能。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3.9、考核功能：在线考核模式中，部分步骤中会出现相对应的交互操作考核，软件操作完后会有相关知识点试题考核。</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3.10、系统采用力反馈技术模拟操作手感，在插管过程不同的生理结构中，插管阻力会发生相应的变化。</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3.11、模拟现实，贴近临床实际：使用临床真实的管进行操作，操作过程中能感受到临床操作中的手感。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3.12、实时识别插管深度、位置、速度：在使用临床真实器械插管时，可通过智能传感芯片自动检测管的插入深度及位置，软件同步展示管的插入深度及位置。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3.13、模拟气过水声：系统能够识别操作者用专用智能注射器推注空气后，听诊模拟人胃部有气过水声。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3.14、识别抽吸：专用智能注射器抽吸、推注动作与软件内注射器同步，抽吸胃液时为淡黄色灯光，抽吸空气时为无灯光，推注后灯光逐渐消失。</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4、系统参数：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4.1、软件的步骤流程包含：</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4.1.1、核对评估：核对医嘱、核对患者、评估患者、评估环境；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 核对医嘱：根据医嘱单、执行单核对医嘱正确性。</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 核对患者：核对患者床头卡、手腕带、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③ 评估患者: 检查患者鼻腔以及通气情况。</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④ 评估环境：评估环境宽敞、明亮，适宜操作。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4.1.2、操作前准备：护士准备、洗手、准备用物；</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 护士准备：护士穿戴整齐。</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 洗手：七步洗手。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③ 准备用物：选择操作中所需用物。</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4.1.3、操作流程：核对患者、摆体位、清洁鼻腔、检查胃管、测量胃管、润滑胃管、开始插管、确定胃管、固定胃管、连接负压引流器。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 核对患者：确认患者信息。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 摆体位：按照操作要求为患者摆好合适体位。</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③ 清洁鼻腔：操作前清洁患者鼻腔。</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④ 检查胃管：检查胃管的完整性、完好性情况。</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⑤ 测量胃管：测量插管的长度，两种方式：发际线→剑突，鼻尖→耳垂→剑突。</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⑥ 润滑胃管：交互操作拾取棉球润滑胃管前端。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⑦ 开始插管：五种不同情况的插管供选择：正常情况、昏迷插管、恶心反应、插入口腔、插入气管。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正常情况：患者不会出现其他反应，顺利插入胃管至胃内。</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昏迷插管：操作者用真实管插入模拟人后，在屏幕上可以实时且同步查看胃管的实时位置并显示插入长度和自动识别插管的速度。与正常插管不同的是，插入10-15cm到达咽喉部时，需将模拟人的头部托起，使其下颌靠近胸骨柄。模拟人头部可以自由抬起。</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恶心反应：操作者用真实管插入模拟人，当插入至模拟人咽喉部时，患者出现恶心干呕，操作者需语音嘱患者做深呼吸，系统识别后患者恶心反应结束，方可继续插管至胃内。</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插入口腔：操作者用真实管插入模拟人，当插入至模拟人咽喉部时插入口腔内，检查口腔后拔出胃管。</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插入气管：操作者用真实管插入模拟人，当真实的管进入咽喉部位，如果会厌软骨不关闭，此时直接插管会进入气管，并发生咳呛。</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⑧ 确定胃管：三种不同方式确定胃管是否插入胃内：抽吸胃液、有无气泡溢出、气过水声。</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抽吸胃液法：系统识别抽吸胃液，专用智能注射器逐渐发光，三维虚拟仿真软件实时同步抽吸胃液动作。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气过水声法：硬件识别向胃内注射空气，听诊模拟人胃部有气过水声，三维虚拟仿真软件实时同步推注注射器。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⑨ 固定胃管：选择胶布固定胃管，并粘贴胃管标签。</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⑩ 连接负压引流器：交互操作排尽负压引流器内的空气，反折负压引流器管道并取下盖帽，将引流器与胃管相连接；观察引流通畅后，将引流器挂于床下。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4.1.4、操作后处理：洗手、健康宣教、记录；</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 洗手：七步洗手。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 健康宣教：交代患者留置负压引流器的注意事项。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③ 记录：做好相应记录。</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4.1.5、拔管：拔管前准备、拔除胃管、拔管后处理。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 拔管前准备：选择所需用物。</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 拔除胃管：核对患者信息之后为其拔除胃管以及负压引流器，并处理相应用物。</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③ 拔管后处理：为患者擦拭面部、调整体位、然后洗手记录。</w:t>
            </w:r>
          </w:p>
        </w:tc>
        <w:tc>
          <w:tcPr>
            <w:tcW w:w="756" w:type="dxa"/>
            <w:vAlign w:val="center"/>
          </w:tcPr>
          <w:p>
            <w:pPr>
              <w:pStyle w:val="148"/>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7</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hint="eastAsia" w:ascii="宋体" w:hAnsi="宋体" w:eastAsia="宋体" w:cs="宋体"/>
                <w:color w:val="000000"/>
                <w:sz w:val="18"/>
                <w:szCs w:val="18"/>
                <w:lang w:val="zh-CN"/>
              </w:rPr>
              <w:t>静脉穿刺智能训练系统</w:t>
            </w:r>
          </w:p>
        </w:tc>
        <w:tc>
          <w:tcPr>
            <w:tcW w:w="6887" w:type="dxa"/>
            <w:vAlign w:val="center"/>
          </w:tcPr>
          <w:p>
            <w:pPr>
              <w:pStyle w:val="100"/>
              <w:spacing w:before="58" w:after="58"/>
              <w:ind w:firstLine="0" w:firstLineChars="0"/>
              <w:rPr>
                <w:rFonts w:ascii="宋体" w:hAnsi="宋体" w:cs="宋体"/>
                <w:color w:val="000000"/>
                <w:sz w:val="18"/>
                <w:szCs w:val="18"/>
              </w:rPr>
            </w:pPr>
            <w:r>
              <w:rPr>
                <w:rFonts w:hint="eastAsia" w:ascii="宋体" w:hAnsi="宋体" w:eastAsia="宋体" w:cs="宋体"/>
                <w:color w:val="000000"/>
                <w:sz w:val="18"/>
                <w:szCs w:val="18"/>
                <w:lang w:val="zh-CN"/>
              </w:rPr>
              <w:t>静脉穿刺智能训练系统</w:t>
            </w:r>
            <w:r>
              <w:rPr>
                <w:rFonts w:ascii="宋体" w:hAnsi="宋体" w:cs="宋体"/>
                <w:color w:val="000000"/>
                <w:sz w:val="18"/>
                <w:szCs w:val="18"/>
              </w:rPr>
              <w:t>，利用虚实结合和力反馈技术，模拟真实的穿刺操作环境和操作步骤；提供人体部位的穿刺模型；外设器械同步实时地仿真穿刺，并提供真实的力反馈突破感；完整的穿刺流程可满足医学院护理类学生、医院实习护士等做临床实习之前的技能培训和考核。本系统采用先进的虚拟现实和力反馈技术研发而成，系统包括两部分：外设器械模拟（含：一套成人手臂和力反馈穿刺针）和虚实结合三维仿真训练软件。</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一、静脉留置针虚实结合训练系统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1、外设器械模拟：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进行静脉留置针时使用专用力反馈静脉留置针穿刺针进行穿刺的操作。外设器械模拟部分可实现，有两个静脉上穿刺点可以选择，完整的穿刺过程，配备的力反馈系统，操作者穿刺时可体会到针进入皮肤时的阻力和进入血管时的落空感。操作正确穿刺针上有1颗LED灯亮起，表示回血功能，软件同步操作。设备可模拟调节滴速，软件实时进行滴速调节。</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2、虚实结合穿刺教学系统：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系统支持完整的穿刺流程，包含同临床一致的穿刺操作、封管操作等；交互式力反馈技术，可提供每一个解剖层次的精准力感；丰富的血管模型，让操作者随意选择穿刺位置，更加贴近临床。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具备一套成人手臂模型，模型内置智能芯片，能感知针头插入的角度和是否识别插入血管，并通过剖视窗口可以实时看到针穿刺入的位置，展示血管及周边肌肉、脂肪解剖结构。手臂具备2个不同位置穿刺模组。穿刺模组可以更换。手臂模型可以自由旋转调节注射位置，当手臂模型旋转时，三维虚拟仿真手臂也实时同步旋转调整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2、操作者可以直接在硅胶手臂上进行消毒，消毒痕迹可以显示在三维虚拟软件的手臂上。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内置智能传感芯片力反馈穿刺针，可通过智能传感芯片和数据算法能够自动识别针穿刺的角度，并实时在电脑屏幕上显示持针角度的变化。如果角度不正确会提示操作错误。在静脉穿刺刺破皮肤时，刺穿血管时有突破落空感，与实际相符，并提供准确的操作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3、虚实结合操作功能点：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完整、清楚、准确地展示静脉穿刺的具体操作流程，在部分操作过程中可360°旋转、缩放视角。系统能够智能引导学员完成整体静脉穿刺的操作。操作步骤内容如下：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3.1、用物准备：选择准备静脉留置针所需的用物，若选择有误，会弹出错误提示，并显示正确答案。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3.2、选择常用的浅静脉，并选择需要练习的静脉，评估血管弹性。</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3.3、穿刺操作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（1）扎止血带：在穿刺点上方6-10cm处扎上止血带。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（2）消毒：使用棉签蘸取安尔碘消毒穿刺部位，范围不小于5cm，，消毒时显示消毒痕迹。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（3）排气：操作者可以通过调节输液滚轮进行排气的操作，调节时电脑屏幕上实时显示滴速。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（4）穿刺：操作者使用力反馈静脉留置针穿刺针，可以直接调整针尖斜面朝上。与皮肤呈15-30°进针穿刺模拟手臂，穿刺过程中在屏幕上可以实时且同步通过剖视窗口视角来查看穿刺的位置和角度。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（5）突破血管：穿刺针上的灯亮红色，表示回血，见回血后降低角度5°~15°沿静脉进入0.2cm，穿刺过程三维仿真软件实时同步穿刺的角度，角度错误则提示调整角度。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w:t>
            </w:r>
            <w:r>
              <w:rPr>
                <w:rFonts w:hint="eastAsia" w:ascii="宋体" w:hAnsi="宋体" w:eastAsia="宋体" w:cs="宋体"/>
                <w:color w:val="000000"/>
                <w:sz w:val="18"/>
                <w:szCs w:val="18"/>
              </w:rPr>
              <w:t>▲</w:t>
            </w:r>
            <w:r>
              <w:rPr>
                <w:rFonts w:ascii="宋体" w:hAnsi="宋体" w:cs="宋体"/>
                <w:color w:val="000000"/>
                <w:sz w:val="18"/>
                <w:szCs w:val="18"/>
              </w:rPr>
              <w:t>退针芯：操作者可以左手持Y接口，右手先退出针芯少许。再将外套管沿血管方向送入的同时退针芯，左手固定两翼，右手迅速将针芯抽出。退针芯的操作实时与三维虚拟仿真软件同步，在真实手臂模型上的退针芯操作会同步显示在屏幕上。（提供</w:t>
            </w:r>
            <w:r>
              <w:rPr>
                <w:rFonts w:hint="eastAsia" w:ascii="宋体" w:hAnsi="宋体" w:cs="宋体"/>
                <w:color w:val="000000"/>
                <w:sz w:val="18"/>
                <w:szCs w:val="18"/>
              </w:rPr>
              <w:t>任意不少于5张功能截图，并加盖公章</w:t>
            </w:r>
            <w:r>
              <w:rPr>
                <w:rFonts w:ascii="宋体" w:hAnsi="宋体" w:cs="宋体"/>
                <w:color w:val="000000"/>
                <w:sz w:val="18"/>
                <w:szCs w:val="18"/>
              </w:rPr>
              <w:t>）</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（7）固定：透明敷贴固定留置针、胶布留置针三叉接口、头皮钢针管及针柄。</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（8）调节滴速：操作者调节输液滚轮，调节时电脑屏幕上实时显示当前滴速并进行判断滴速调节是否正确。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（9）封管：操作者用专用的注射器连接静脉留置针，进行推注封管液的操作，电脑屏幕上可同步显示连接、拔除注射器以及推注的操作。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（10）拔针：输液完毕，去除胶布和无菌敷贴。关闭调节器，迅速拔出留置针，纵向按压穿刺点至不出血为止。</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二、静脉输液虚实结合训练系统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 外设器械模拟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进行静脉输液时使用专用力反馈穿刺针进行穿刺的操作。外设器械模拟部分可实现，任意静脉上穿刺点的选择，完整的穿刺过程，配备的力反馈系统，操作者穿刺时可体会到针进入皮肤时的阻力和进入血管时的落空感。操作正确穿刺针上有1颗LED灯亮起，表示回血功能，软件同步操作。设备可模拟调节滴速，软件实时进行滴速调节。</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 虚实结合穿刺教学系统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系统支持完整的穿刺流程，包含同临床一致的穿刺操作、术后处理、应急处置等；交互式力反馈技术，可提供每一个解剖层次的精准力感；丰富的血管模型，让操作者随意选择穿刺位置，更加贴近临床。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可训练的穿刺部位，上臂部位自由选择。</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1、具备一套成人手臂模型，模型内置智能芯片，能感知针头插入的位置即深度和角度，并通过剖视窗口可以实时看到针穿刺入的位置，展示血管及周边肌肉、脂肪解剖结构。</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穿刺硅胶手臂逼真，配套使用专用力反馈的手指插件，操作者可以用手自由在硅胶手臂上选择穿刺点，并可以用手触摸硅胶手臂触及血管弹性，系统会实时感知触摸位置，并在三维虚拟软件上实时同步呈现手指触摸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3、操作者可以使用力反馈设备直接在硅胶手臂上进行消毒，消毒过程和消毒痕迹可以显示在三维虚拟软件的手臂上。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内置智能传感芯片力反馈穿刺针，可通过智能传感芯片和数据算法能够自动识别针穿刺的角度，并实时在电脑屏幕上显示持针角度的变化。如果角度不正确会报警提示操作错误。在静脉穿刺刺破皮肤时，刺穿血管时有突破落空感，与实际相符，并提供准确的操作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 虚实结合操作功能点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完整、清楚、准确地展示静脉穿刺的具体操作流程，在部分操作过程中可360°旋转、缩放场景并加以语音说明。系统能够智能引导学员完成整体静脉穿刺的操作。操作步骤内容如下：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3.1、用物准备：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选择准备输液所需的用物，若选择有误，会弹出错误信息。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3.2、选择常用的浅静脉。并选择需要练习的静脉。</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3.3、用力反馈手指插件评估血管弹性。</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3.4、选择最佳穿刺点。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3.5、穿刺：铺垫巾扎止血带、消毒穿刺部分、核对患者及药液、穿刺。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（1）铺枕垫扎止血带：穿刺下方铺上枕垫，并在穿刺部位6-8cm处扎上止血带。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消毒穿刺部分：使用棉签蘸取安尔碘消毒穿刺部位两次，范围不小于5cm，并将棉签丢入医疗垃圾桶中。通过力反馈触摸传感器技术实现在硅胶模拟手臂上的消毒与电脑屏幕上虚拟手臂的消毒同步，消毒时实时显示消毒痕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（3）穿刺：操作者使用力反馈穿刺针，并可以直接调整针尖斜面朝上。与皮肤呈15-30°进针穿刺模拟手臂，穿刺过程中在屏幕上可以实时且同步通过剖视窗口视角来查看穿刺的位置、角度和深度。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三、动脉采血虚实结合训练系统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1.外设器械模拟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动脉采血时使用专用力反馈注射模块进行穿刺的操作。外设器械模拟部分可实现，动脉上任意穿刺点的选择，完整的穿刺过程，配备的力反馈系统，操作者穿刺时可体会到针进入皮肤时的阻力和进入血管时的落空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 虚实结合动脉采血教学系统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系统支持完整的采血流程，包含同临床一致的采血操作、术后处理、应急处置等；交互式力反馈技术，可提供每一个解剖层次的精准力感；丰富的血管模型，让操作者选择穿刺位置，更加贴近临床。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可训练的采血部位，上肢动脉采血。</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①、具备一套成人手臂模型，模型内置智能芯片，能感知针头插入的位置和角度，并通过剖视窗口可以实时看到针穿刺入的位置，展示血管及周边肌肉、脂肪解剖结构。</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②、模型内置搏动设备模拟真实动脉搏动频率、力度。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③、内置智能传感芯片力反馈穿刺针，可通过智能传感芯片和数据算法能够自动识别针穿刺的角度和深度，并实时在电脑屏幕上显示持针角度和深度的变化。如果角度不正确会报警提示操作错误。刺穿动脉血管时有突破落空感，与实际相符，并提供准确的操作手感。操作正确穿刺针上有LED灯亮起，表示回血功能，软件同步显示回血。</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 系统功能点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完整、清楚、准确地展示动脉采血的具体操作流程，在部分操作过程中可360°旋转、缩放场景并加以语音说明。系统能够智能引导学员完成整体静脉穿刺的操作。操作步骤内容如下：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3.1、用物准备：选择准备动脉采血所需的用物，若选择有误，会弹出错误信息。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3.2、选择穿刺动脉：选择上肢常用的动脉，并选择需要练习的动脉。</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3.3、评估桡动脉：可以语音嘱咐患者握拳后，操作者可以用双手在模拟人硅胶手臂上按压尺动脉及桡动脉，此时三维仿真软件中可以观察手掌颜色变化，嘱咐患者张开五指，三维仿真软件会同步显示张开五指的动作。继续在模拟人硅胶手臂上按压桡动脉并松开按压尺动脉的手，此时三维仿真软件中可以观察手掌的颜色恢复变化。手掌颜色5-15秒之内恢复，表示该动脉可用于动脉穿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3.4、选择最佳穿刺点：可以局部透视桡动脉，并可视动脉的搏动。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3.5、二次消毒：使用棉签蘸取安尔碘消毒穿刺部位两次，消毒直径为8厘米，通过力反馈触摸传感器技术实现在硅胶模拟手臂上的消毒与电脑屏幕上虚拟手臂的消毒同步，消毒时实时显示消毒痕迹。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3.5、穿刺准备：穿刺下方放置垫枕、铺上治疗巾。</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3.5、采血、拔针：选择动脉采血装置动脉血气针。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动脉血气针：动脉血气针预设位置1.6ml，操作者使用力反馈穿刺针，调整针尖斜面朝上。与皮肤呈45-90°进针穿刺模拟手臂，穿刺过程中在屏幕上可以实时且同步通过剖视窗口视角来查看穿刺的位置、角度和深度，固定角度，见血后停止进针,血液自动涌入采血器，到达预设位置后拔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3.6、穿刺后处理：无菌纱布加压止血5-10分钟，用物按医疗垃圾分类处理。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四、小儿头皮针静脉穿刺虚实结合训练系统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 外设器械模拟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进行静脉输液时使用专用力反馈穿刺针进行穿刺的操作。外设器械模拟部分可实现，任意静脉上穿刺点的选择，完整的穿刺过程，配备的力反馈系统，操作者穿刺时可体会到针进入皮肤时的阻力和进入血管时的落空感。操作正确穿刺针上有LED灯亮起，表示回血功能，软件同步操作。设备可模拟调节滴速，软件实时进行滴速调节。</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 虚实结合穿刺教学系统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系统支持完整的穿刺流程，包含同临床一致的穿刺操作、术后处理、应急处置等；交互式力反馈技术，可提供每一个解剖层次的精准力感；丰富的血管模型，让操作者随意选择穿刺位置，更加贴近临床。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具备一套小儿全身模型，在进行头皮静脉穿刺时，小儿会哭闹，小儿模型头部会使劲摇晃，模型手部也会晃动。需要操作者人文关怀，安慰小儿，并固定小儿模型头部，则小儿模型头部和手部会逐渐停止晃动，才可以进行头皮静脉穿刺。同时三维虚拟仿真系统实时同步显示操作过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2.2、模型内置智能芯片，能感知针头插入的位置和角度，并通过剖视窗口可以实时看到针穿刺入的位置，展示血管及周边肌肉、脂肪解剖结构。幼儿可供选择部位包括：头皮静脉（额正中静脉，额浅静脉和颞浅静脉）。</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2.3、穿刺硅胶头皮逼真，操作者可以用手在硅胶手臂上选择穿刺点，并可以用手触摸硅胶头皮触及血管弹性，系统会实时感知触摸位置，并在三维虚拟软件上实时同步呈现手指触摸位置。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2.4、操作者可以使用力反馈消毒模块直接在硅胶头皮上进行消毒，消毒过程和消毒痕迹可以实时显示在三维虚拟软件的小儿头部上。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2.5、内置智能传感芯片力反馈穿刺针，可通过智能传感芯片和数据算法能够自动识别针穿刺的角度，并实时在电脑屏幕上显示持针角度的变化。如果角度不正确会报警提示操作错误。在静脉穿刺刺破皮肤时，刺穿血管时有突破落空感，与实际相符，并提供准确的操作手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 系统功能点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完整、清楚、准确地展示静脉穿刺的具体操作流程，在部分操作过程中可360°旋转、缩放场景并加以语音说明。系统能够智能引导学员完成整体静脉穿刺的操作。操作步骤内容如下：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3.1、用物准备：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选择准备输液所需的用物，若选择有误，会弹出错误信息。</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3.2、选择常用的浅静脉。并选择需要练习的静脉。</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3.3、用力反馈手指插件评估血管弹性。</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3.4、选择最佳穿刺点。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3.5、穿刺：铺垫巾扎止血带、消毒穿刺部分、核对患者及药液、穿刺。</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消毒穿刺部分：使用棉签蘸取安尔碘消毒穿刺部位两次，范围不小于5cm，并将棉签丢入医疗垃圾桶中。通过力反馈触摸传感器技术实现在硅胶模拟婴儿头皮上的消毒与电脑屏幕上虚拟手臂的消毒同步，消毒时实时显示消毒痕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（2）穿刺：操作者使用力反馈穿刺针，并可以直接调整针尖斜面朝上。与皮肤呈正确进针穿刺模拟小儿头部模型，穿刺过程中在屏幕上可以实时且同步通过剖视窗口视角来查看穿刺的位置、角度和深度。</w:t>
            </w:r>
          </w:p>
        </w:tc>
        <w:tc>
          <w:tcPr>
            <w:tcW w:w="756" w:type="dxa"/>
            <w:vAlign w:val="center"/>
          </w:tcPr>
          <w:p>
            <w:pPr>
              <w:pStyle w:val="148"/>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8</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心肺复苏智能模拟人系统</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1.实时显示学生心肺复苏操作情况，包括胸外按压、人工通气操作。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 胸外按压：系统可对按压深度、按压频率、按压次数、按压位置进行检测，根据学生操作实时显示训练情况，反馈操作效果。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3.人工通气：系统可检测是否开放气道、通气量是否正确、通气频率多少，根据学生操作实时显示训练情况，反馈操作效果。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4.同时查看多个学生训练情况。</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 操作完成后，系统将对学生操作情况进行评价分析生成训练报告。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6.针对按压频率、按压次数、按压深度、按压位置、按压回弹、通气频率、通气次数、通气量八个方面操作情况展示训练能力分布图。</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7.硬件配置：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7.1 CPR半身模型*2：内置智能传感元件，可与云端服务无线连接，充电式设计，可随意移动。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7.2 显示控制终端*1：10寸安卓控制终端</w:t>
            </w:r>
          </w:p>
        </w:tc>
        <w:tc>
          <w:tcPr>
            <w:tcW w:w="756" w:type="dxa"/>
            <w:vAlign w:val="center"/>
          </w:tcPr>
          <w:p>
            <w:pPr>
              <w:pStyle w:val="148"/>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9</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虚拟现实课件编辑平台</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平台需包含基于Web3D、可视化编程等技术的虚拟仿真课件制作工具，软件不需要专业的开发人员，内置美术资源库，场景自由搭建，用制作幻灯片的方式实现编程，且随时随地在浏览器中制作和运行，满足教师虚拟仿真课程开发的需求。</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1.1系统采用B/S架构，支持360极速，谷歌，火狐等主流浏览器，运行稳定，安全性高；</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1.2系统可流畅运行于CPU不低于i5、内存不低于4G、拥有2G以上独立显卡的台式或笔记本电脑上；</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1.3系统预置病房、手术间、治疗间、野外等各类3D场景，支持3dmax场景导入；</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1.4系统预置医生、护士、患者、医疗器械、设备、教具等各种模型及对应动画，支持通用3D模型格式导入；</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1.5系统预置基于物理渲染的材质，发光，淡入淡出等特效</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1.6预置了背景音效和指令音效，支持本地上传；</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1.7预置各类模型动画，支持3Dmax动画导入；</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1.8提供碰撞，旋转，显隐，透明，移动等交互指令；</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1.9美术资源库和交互功能库支持关键字分类搜索</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1.10具备预览功能，在拖入场景前，可对模型和模型自带动画进行预览，支持三维旋转查看，动画播放；</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1.11具备属性窗口，属性包括名称，大小，位置，旋转角度，关联动画等，支持指令，动画，模型等属性的查看和修改；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1.12</w:t>
            </w:r>
            <w:r>
              <w:rPr>
                <w:rFonts w:hint="eastAsia" w:ascii="宋体" w:hAnsi="宋体"/>
                <w:sz w:val="18"/>
                <w:szCs w:val="18"/>
              </w:rPr>
              <w:t>▲</w:t>
            </w:r>
            <w:r>
              <w:rPr>
                <w:rFonts w:ascii="宋体" w:hAnsi="宋体" w:cs="宋体"/>
                <w:color w:val="000000"/>
                <w:sz w:val="18"/>
                <w:szCs w:val="18"/>
              </w:rPr>
              <w:t>在场景编辑窗口，自由搭建模型，内置移动，旋转，缩放，吸附，视图切换，镜头调节，复制，删除等工具；（提供不少于5张截图，并加盖公章）</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1.13场景中所有物体按树形结构显示在场景图层中，支持增删改，显示隐藏等操作；</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1.14</w:t>
            </w:r>
            <w:r>
              <w:rPr>
                <w:rFonts w:hint="eastAsia" w:ascii="宋体" w:hAnsi="宋体"/>
                <w:sz w:val="18"/>
                <w:szCs w:val="18"/>
              </w:rPr>
              <w:t>▲</w:t>
            </w:r>
            <w:r>
              <w:rPr>
                <w:rFonts w:ascii="宋体" w:hAnsi="宋体" w:cs="宋体"/>
                <w:color w:val="000000"/>
                <w:sz w:val="18"/>
                <w:szCs w:val="18"/>
              </w:rPr>
              <w:t>具备逻辑轴功能，支持顺序，并列，事件，循环，等待，选择等交互逻辑，支持增删改，支持无限拉伸；（提供不少于5张截图，并加盖公章）</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1.15具备路径编辑功能，支持点线连接，贝塞尔曲线，自由画笔三种路径编辑；</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1.16.可以为场景物体添加碰撞盒，自定义旋转，位移，缩放；支持碰撞事件；</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1.17内置笔刷工具，自由画出路径，会在路径上批量添加模型；</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1.18内置截图工具，可选任意相机角度，对搭建好的场景进行拍摄；</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1.19内置天气系统，包含雨、雾、日出日落、雪等天气系统；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1.20内置灯光系统，包含平行光，点光源，环境光等光照系统；</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2.1可视化指令编程，在逻辑轴上组合各类控制指令，即可实现传统编程才能实现的交互功能；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2.2一键发布，生成链接，可分享给其他用户，通过浏览器即可打开运行。</w:t>
            </w:r>
          </w:p>
        </w:tc>
        <w:tc>
          <w:tcPr>
            <w:tcW w:w="756" w:type="dxa"/>
            <w:vAlign w:val="center"/>
          </w:tcPr>
          <w:p>
            <w:pPr>
              <w:pStyle w:val="148"/>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10</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AI智能问答平台</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AI人工智能知识问答系统深耕医教领域，打造垂直领域专业知识库。系统持续内置相关专业文献、案例数据和教学资源，并结合行业专家经验进行深度学习和训练，确保回答的专业性和准确性，为用户提供可靠、权威的知识服务。系统兼容市面上常见的AI大模型，并支持教师根据自身教学需求进行自定义训练。教师可以上传专业教材、文献、论文等资料，训练出更符合自身教学特色的AI模型，让AI助力个性化教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知识库知识管理和训练功能：系统通过持续内置专业课程资源，结合深度学习和机器训练，确保回答的专业性和准确性，帮助师生及时获取最新行业、专业知识，以便学生和教师利用系统进行互动问答，激发学生学习兴趣，提高学习效率；</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w:t>
            </w:r>
            <w:r>
              <w:rPr>
                <w:rFonts w:hint="eastAsia" w:ascii="宋体" w:hAnsi="宋体"/>
                <w:sz w:val="18"/>
                <w:szCs w:val="18"/>
              </w:rPr>
              <w:t>▲</w:t>
            </w:r>
            <w:r>
              <w:rPr>
                <w:rFonts w:ascii="宋体" w:hAnsi="宋体" w:cs="宋体"/>
                <w:color w:val="000000"/>
                <w:sz w:val="18"/>
                <w:szCs w:val="18"/>
              </w:rPr>
              <w:t>系统具有新建知识库功能，用户可以自定义知识库的名称，知识库的模型，可以选择知识库的向量模型和知识库的类型，可以关联应用；（提供不少于5张截图，并加盖公章）</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 知识库支持多种格式文档的上传和训练：包括PDF、docx、xls、xlsx、csv、TXT、Markdown、HTML、zip等多的导入、训练、管理；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4、知识库支持模板上传功能，包括Excel模板和csv模板的上传，单次上传数量≥40个，单个文档大小支持≥90M；</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5、知识库支持QA问答模板上传功能；</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6、知识库支持直接创建问题并关联知识库内文档分段；问题可批量删除；</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7、知识库内文档支持按标题搜索和按内容搜索等多种搜索方式；</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8、知识库支持对用户上传文档一键生成问题；</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9、知识库支持对用户上传文档进行模型优化和直接回答；</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10、知识库支持对用户上传文档进行内容的命中测试；</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11、支持对用户上传的文档一键迁移；</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12、知识库文档检索支持向量检索、全文检索和混合检索等多种检索方式，支持高相似度值的设定，支持返回分段数的设定；</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13、系统支持创建人工智能问答应用和导入智能问答应用；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14、系统支持简单配置和高级编排两种方式创建人工智能问答应用；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15、系统创建的人工智能问答应用同时支持PC端和移动端设备访问；</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16、系统对创建的人工智能问答应用提供一键访问地址；</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17、系统对创建的人工智能问答应用支持访问限制，可自定义没客户端每天提问次数和应用访问白名单IP地址，以保证数据安全和服务器响应速度；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18、系统支持对创建的人工智能问答应用进行数据汇总和统计，系统支持按日、周、月、年统计提问人数，支持按日、周、月、年一键导出学生提问问题，方便教师进行针对性的教学；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19、系统对创建的人工智能问答应用支持问答规避功能：系统可以设置对于学科知识以外的问题拒绝回答，可以更好的提高系统的使用效率，提高学生对于学习的专注度。</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20、系统对创建的人工智能问答应用可以一键生成嵌入第三方平台或网站的代码；支持一键生成全屏模式和浮窗模式等多种嵌入模式的代码；</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21、系统对创建的人工智能问答应用可同时关联多个知识库；</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22、系统对创建的人工智能问答应用可设置只从知识库内容回答的专业模式；</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23、系统对创建的人工智能问答应用可设置问题优化和指定回答内容；</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24、系统对创建的人工智能问答应用可设置问答提示词和问答开场词；</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25、系统对创建的人工智能问答应用可设置应用名称、应用logo和语音播报模式；</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26、支持校内部署，所有数据和信息均存储在本地服务器，无需担心数据泄露风险，保障学校和用户的数据安全。</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26、权限管理功能：系统支持对不同用户分别设置不同知识库和应用的查看和管理权限。</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28、系统兼容包括DEEPSEEK、openAI、通义千问、Kimi、腾讯混元、火山引擎、千帆大模型、讯飞星火、智谱AI等多个市面主流大模型，支持自定义训练；</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29、系统支持Windows Server、CentOS、Ubuntu、macOS等多个主流操作系统部署；</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30、系统兼容Chrome、Edge、QQ、360安全、搜狗等主流浏览器。</w:t>
            </w:r>
          </w:p>
        </w:tc>
        <w:tc>
          <w:tcPr>
            <w:tcW w:w="756" w:type="dxa"/>
            <w:vAlign w:val="center"/>
          </w:tcPr>
          <w:p>
            <w:pPr>
              <w:pStyle w:val="148"/>
              <w:rPr>
                <w:rFonts w:ascii="宋体" w:hAnsi="宋体" w:cs="宋体"/>
                <w:snapToGrid w:val="0"/>
                <w:color w:val="000000"/>
                <w:sz w:val="18"/>
                <w:szCs w:val="18"/>
              </w:rPr>
            </w:pPr>
            <w:r>
              <w:rPr>
                <w:rFonts w:hint="eastAsia" w:ascii="宋体" w:hAnsi="宋体" w:cs="宋体"/>
                <w:snapToGrid w:val="0"/>
                <w:color w:val="000000"/>
                <w:sz w:val="18"/>
                <w:szCs w:val="18"/>
              </w:rPr>
              <w:t>1</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bookmarkStart w:id="74" w:name="_Hlk197631025"/>
            <w:r>
              <w:rPr>
                <w:rFonts w:ascii="宋体" w:hAnsi="宋体" w:cs="宋体"/>
                <w:color w:val="000000"/>
                <w:sz w:val="18"/>
                <w:szCs w:val="18"/>
              </w:rPr>
              <w:t>11</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多媒体讲桌</w:t>
            </w:r>
          </w:p>
        </w:tc>
        <w:tc>
          <w:tcPr>
            <w:tcW w:w="6887" w:type="dxa"/>
            <w:vAlign w:val="center"/>
          </w:tcPr>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媒体智能讲台：讲台尺寸（长×宽×高）：1030×630×1180mm（±50mm）。讲台柜体和台面采用分体式设计，外壳材质采用冷轧钢板制成，钢板厚度≥1.2mm，牢固不变形，需经过酸洗磷化防腐防锈工艺处理后静电喷塑。讲台靠近教师的台面区域采用优质木材，表面耐划且触感不冰冷。（投标人需提供所投产品实物照片作为佐证）</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讲台须为未来教学应用管理扩容升级预留放置空间，至少预留12U设备放置区域，同时配备独立的电脑主机专属放置空间；</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柜体须具有机箱小窗，便于通过窗门实现电脑的应急开关。（投标人需提供所投产品实物照片作为佐证）</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柜体须采用后开门设计，便于学校后期对于讲台内部设备的管理与维护。</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讲台须支持连接讲台电脑、笔记本电脑、投屏设备等至少4路HDMI信号接入，同时支持至少4路HDMI信号输出。</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6、</w:t>
            </w:r>
            <w:r>
              <w:rPr>
                <w:rFonts w:ascii="宋体" w:hAnsi="宋体" w:cs="宋体"/>
                <w:color w:val="000000"/>
                <w:sz w:val="18"/>
                <w:szCs w:val="18"/>
              </w:rPr>
              <w:t>讲台须采用隐藏式抽拉键鼠托盘，屏幕书写与键盘操作互不影响，托盘可放置标准键盘鼠标。</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7、</w:t>
            </w:r>
            <w:r>
              <w:rPr>
                <w:rFonts w:ascii="宋体" w:hAnsi="宋体" w:cs="宋体"/>
                <w:color w:val="000000"/>
                <w:sz w:val="18"/>
                <w:szCs w:val="18"/>
              </w:rPr>
              <w:t>讲台须支持多种开锁方式，包含但不限于：手机二维码、IC卡、手机NFC、传统机械钥匙、网络远程开锁等，既方便任课老师，也便于教室管理部门远程管理维护。</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产品技术要求：整合集成双触控书写屏、键盘鼠标、门禁读卡器、无线话筒、有线话筒、功放音响、智能中控、时序电源分配器等设备，并提供所有设备的一键启动、一键关闭和统一收纳管理功能。（投标人需提供所投产品实物照片作为佐证）</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双触控书写屏：书写屏采用电磁+电容双触控触感应方式，须支持手写笔触控和手指触控两种操作方式，并自动识别触控方式。支持在配套的双控书写屏上实现PPT翻页、书写批注、图片放大/缩小等教学动作，画面同步展示到外接的大屏显示设备上。设备参数要求如下：21.5寸10点触控书写屏，无源电磁技术手写笔，19英寸标准机架式中控主机具备4进5出HDMI矩阵、RJ45端口、HDMI输入接口、USB3.0接口、RS232等接口；时序电源分配器具备5路独立220V 10A输出功能，包含4个新国标5孔插座，支持智能分路控制外部设备通电与断电顺序和间隔时间。多功能门禁读卡器；2*30W音响及配套功放；鹅颈话筒和2个无线麦克。配套的软件功能具有双屏自动检测功能，支持复制屏幕、扩展屏幕等，当检测到环境中为单屏时自动连接单屏，设置副屏与主屏同步显示相同内容或副屏显示上页内容，根据教学需求设置双屏显示相同或不同教学内容从而实现同屏教学、分屏教学，在具有2个显示屏的教学环境中，可以一屏播放PPT、另一屏显示黑板板书教学笔记，在播放PPT过程中保持PPT原有的版式、内容、动画效果。</w:t>
            </w:r>
          </w:p>
        </w:tc>
        <w:tc>
          <w:tcPr>
            <w:tcW w:w="756" w:type="dxa"/>
            <w:vAlign w:val="center"/>
          </w:tcPr>
          <w:p>
            <w:pPr>
              <w:pStyle w:val="148"/>
              <w:rPr>
                <w:rFonts w:ascii="宋体" w:hAnsi="宋体" w:cs="宋体"/>
                <w:color w:val="FF0000"/>
                <w:sz w:val="18"/>
                <w:szCs w:val="18"/>
              </w:rPr>
            </w:pPr>
            <w:r>
              <w:rPr>
                <w:rFonts w:hint="eastAsia" w:ascii="宋体" w:hAnsi="宋体" w:cs="宋体"/>
                <w:snapToGrid w:val="0"/>
                <w:color w:val="000000"/>
                <w:sz w:val="18"/>
                <w:szCs w:val="18"/>
              </w:rPr>
              <w:t>1张</w:t>
            </w:r>
          </w:p>
        </w:tc>
        <w:tc>
          <w:tcPr>
            <w:tcW w:w="418" w:type="dxa"/>
            <w:vAlign w:val="center"/>
          </w:tcPr>
          <w:p>
            <w:pPr>
              <w:pStyle w:val="148"/>
              <w:rPr>
                <w:rFonts w:ascii="宋体" w:hAnsi="宋体" w:cs="宋体"/>
                <w:color w:val="000000"/>
                <w:sz w:val="18"/>
                <w:szCs w:val="18"/>
              </w:rPr>
            </w:pPr>
          </w:p>
        </w:tc>
      </w:tr>
      <w:bookmarkEnd w:id="7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12</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教师椅</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椅架：圆方管32*18*1.5mm厚，220度高温静电喷涂，采用冷轧钢管，抗冲击不变形，防锈防腐；采用进口焊接机器人无缝焊接工艺，焊口精确牢固、平滑美观。胶壳：采用工程PP塑料、质地轻、抗裂性强、耐腐蚀、耐老化、无毒环保。扶手：工程PP塑胶固定扶手，工程PP塑胶前后移动扶手，铝合金机构升降扶手（3种扶手</w:t>
            </w:r>
            <w:r>
              <w:rPr>
                <w:rFonts w:hint="eastAsia" w:ascii="宋体" w:hAnsi="宋体" w:cs="宋体"/>
                <w:color w:val="000000"/>
                <w:sz w:val="18"/>
                <w:szCs w:val="18"/>
              </w:rPr>
              <w:t>任意1种即可</w:t>
            </w:r>
            <w:r>
              <w:rPr>
                <w:rFonts w:ascii="宋体" w:hAnsi="宋体" w:cs="宋体"/>
                <w:color w:val="000000"/>
                <w:sz w:val="18"/>
                <w:szCs w:val="18"/>
              </w:rPr>
              <w:t>）网背座垫：椅背采用华宇双层网系列，透气舒适；椅座采用一次成型的定型海棉，久用不塌。脚垫：PP塑料材质，加高固定胶垫，保护地板，移动时减少噪音。颜色 椅架、胶壳，扶手颜色有黑白灰3色可选</w:t>
            </w:r>
            <w:r>
              <w:rPr>
                <w:rFonts w:hint="eastAsia" w:ascii="宋体" w:hAnsi="宋体" w:cs="宋体"/>
                <w:color w:val="000000"/>
                <w:sz w:val="18"/>
                <w:szCs w:val="18"/>
              </w:rPr>
              <w:t>任意1种</w:t>
            </w:r>
            <w:r>
              <w:rPr>
                <w:rFonts w:ascii="宋体" w:hAnsi="宋体" w:cs="宋体"/>
                <w:color w:val="000000"/>
                <w:sz w:val="18"/>
                <w:szCs w:val="18"/>
              </w:rPr>
              <w:t>，座胶颜色有黑，白，灰，橙，绿5色可选</w:t>
            </w:r>
            <w:r>
              <w:rPr>
                <w:rFonts w:hint="eastAsia" w:ascii="宋体" w:hAnsi="宋体" w:cs="宋体"/>
                <w:color w:val="000000"/>
                <w:sz w:val="18"/>
                <w:szCs w:val="18"/>
              </w:rPr>
              <w:t>任意1种</w:t>
            </w:r>
            <w:r>
              <w:rPr>
                <w:rFonts w:ascii="宋体" w:hAnsi="宋体" w:cs="宋体"/>
                <w:color w:val="000000"/>
                <w:sz w:val="18"/>
                <w:szCs w:val="18"/>
              </w:rPr>
              <w:t>；座垫颜色可定制。靠背设计：由2个宽200mm长395mm半月弧形组成的双背，椅背后方采用凸字型环绕加固（最厚处达20mm)，符合人体工学原理，根据脊椎曲线设计，能有效降低疲劳，达到护脊作用；靠背处增加便捷手提功能。尺寸规格（mm)：整椅高≥ 850，座高≥ 455，椅宽</w:t>
            </w:r>
            <w:bookmarkStart w:id="75" w:name="OLE_LINK20"/>
            <w:bookmarkStart w:id="76" w:name="OLE_LINK14"/>
            <w:r>
              <w:rPr>
                <w:rFonts w:ascii="宋体" w:hAnsi="宋体" w:cs="宋体"/>
                <w:color w:val="000000"/>
                <w:sz w:val="18"/>
                <w:szCs w:val="18"/>
              </w:rPr>
              <w:t>≥</w:t>
            </w:r>
            <w:bookmarkEnd w:id="75"/>
            <w:bookmarkEnd w:id="76"/>
            <w:r>
              <w:rPr>
                <w:rFonts w:ascii="宋体" w:hAnsi="宋体" w:cs="宋体"/>
                <w:color w:val="000000"/>
                <w:sz w:val="18"/>
                <w:szCs w:val="18"/>
              </w:rPr>
              <w:t xml:space="preserve"> 585，椅深≥ 565，座深≥ 460，背宽≥ 390，扶手宽≥ 585mm。座包翻起可连排堆叠，椅架可全折叠、节省收纳空间。</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1把</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13</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教师机（国产商用机）</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国产商用机，CPU：8核/16线程 3.3/3.0GHz 16MB缓存 及以上，主板芯片组：Hygon C86；32G DDR4内存，4个DIMM插槽，最大支持 128 GB；M.2 PCIex4 SSD 1024G 固态，支持固态+机械硬盘的双硬盘模式；6G独立显卡；千兆网卡；接口：前置4个USB 3.2 Gen1，1个耳机，1个麦克；1个COM，1个RJ45，≥</w:t>
            </w:r>
            <w:r>
              <w:rPr>
                <w:rFonts w:hint="eastAsia" w:ascii="宋体" w:hAnsi="宋体" w:cs="宋体"/>
                <w:color w:val="000000"/>
                <w:sz w:val="18"/>
                <w:szCs w:val="18"/>
              </w:rPr>
              <w:t>4</w:t>
            </w:r>
            <w:r>
              <w:rPr>
                <w:rFonts w:ascii="宋体" w:hAnsi="宋体" w:cs="宋体"/>
                <w:color w:val="000000"/>
                <w:sz w:val="18"/>
                <w:szCs w:val="18"/>
              </w:rPr>
              <w:t>个USB3.2 Gen1，1*Audio-Out, Mic-in, Line-out；集成声卡；原厂USB键盘/鼠标；电源≥550W；机箱≥15L，后面板有串并口专用扩展位，前置开关键、Reset键；插槽：1 x PCIex16；1 x PCIex1；1 x PCIex8；1 x PCIex16；操作系统：配置国产操作系统、流式软件、版式软件、防病毒软件，全部软件免费三年升级服务；27英寸2K IPS屏2560x1440,可升降旋转底座（HDMI+DP+SPK+Audio Out ）120HZ高刷显示器；投标产品通过电磁辐射B级试验，低于国家标准10dB；投标产品通过外壳防护等级试验，达到IP5X的要求，提供认证证书</w:t>
            </w:r>
            <w:r>
              <w:rPr>
                <w:rFonts w:hint="eastAsia" w:ascii="宋体" w:hAnsi="宋体" w:cs="宋体"/>
                <w:color w:val="000000"/>
                <w:sz w:val="18"/>
                <w:szCs w:val="18"/>
              </w:rPr>
              <w:t>，</w:t>
            </w:r>
            <w:r>
              <w:rPr>
                <w:rFonts w:ascii="宋体" w:hAnsi="宋体" w:cs="宋体"/>
                <w:color w:val="000000"/>
                <w:sz w:val="18"/>
                <w:szCs w:val="18"/>
              </w:rPr>
              <w:t>五年原厂质保服务承诺。</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1套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14</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学生机（国产商用机）</w:t>
            </w:r>
          </w:p>
        </w:tc>
        <w:tc>
          <w:tcPr>
            <w:tcW w:w="6887" w:type="dxa"/>
            <w:vAlign w:val="center"/>
          </w:tcPr>
          <w:p>
            <w:pPr>
              <w:pStyle w:val="100"/>
              <w:spacing w:before="58" w:after="58"/>
              <w:ind w:firstLine="0" w:firstLineChars="0"/>
              <w:rPr>
                <w:rFonts w:ascii="宋体" w:hAnsi="宋体" w:cs="宋体"/>
                <w:color w:val="000000"/>
                <w:sz w:val="18"/>
                <w:szCs w:val="18"/>
              </w:rPr>
            </w:pPr>
            <w:bookmarkStart w:id="77" w:name="OLE_LINK1"/>
            <w:r>
              <w:rPr>
                <w:rFonts w:ascii="宋体" w:hAnsi="宋体" w:cs="宋体"/>
                <w:color w:val="000000"/>
                <w:sz w:val="18"/>
                <w:szCs w:val="18"/>
              </w:rPr>
              <w:t>学生台式机性能配置：</w:t>
            </w:r>
            <w:bookmarkEnd w:id="77"/>
            <w:r>
              <w:rPr>
                <w:rFonts w:ascii="宋体" w:hAnsi="宋体" w:cs="宋体"/>
                <w:color w:val="000000"/>
                <w:sz w:val="18"/>
                <w:szCs w:val="18"/>
              </w:rPr>
              <w:t>国产化商用机，CPU：8核/16线程 3.3/3.0GHz 16MB缓存 及以上，主板芯片组：Hygon C86；16G DDR4内存，4个DIMM插槽，最大支持 128 GB；M.2 PCIex4 SSD 1024G 固态，支持固态+机械硬盘的双硬盘模式；4G 独立显卡；千兆网卡；接口：前置4个USB 3.2 Gen1，1个耳机，1个麦克；1个COM，1个RJ45，≥</w:t>
            </w:r>
            <w:r>
              <w:rPr>
                <w:rFonts w:hint="eastAsia" w:ascii="宋体" w:hAnsi="宋体" w:cs="宋体"/>
                <w:color w:val="000000"/>
                <w:sz w:val="18"/>
                <w:szCs w:val="18"/>
              </w:rPr>
              <w:t>4</w:t>
            </w:r>
            <w:r>
              <w:rPr>
                <w:rFonts w:ascii="宋体" w:hAnsi="宋体" w:cs="宋体"/>
                <w:color w:val="000000"/>
                <w:sz w:val="18"/>
                <w:szCs w:val="18"/>
              </w:rPr>
              <w:t>个USB3.2 Gen1，1*Audio-Out, Mic-in, Line-out；集成声卡；原厂USB键盘/鼠标；电源</w:t>
            </w:r>
            <w:bookmarkStart w:id="78" w:name="OLE_LINK24"/>
            <w:r>
              <w:rPr>
                <w:rFonts w:ascii="宋体" w:hAnsi="宋体" w:cs="宋体"/>
                <w:color w:val="000000"/>
                <w:sz w:val="18"/>
                <w:szCs w:val="18"/>
              </w:rPr>
              <w:t>≥</w:t>
            </w:r>
            <w:bookmarkEnd w:id="78"/>
            <w:r>
              <w:rPr>
                <w:rFonts w:ascii="宋体" w:hAnsi="宋体" w:cs="宋体"/>
                <w:color w:val="000000"/>
                <w:sz w:val="18"/>
                <w:szCs w:val="18"/>
              </w:rPr>
              <w:t>550W；机箱≥15L，后面板有串并口专用扩展位，前置开关键、Reset键；插槽：1 x PCIex16；1 x PCIex1；1 x PCIex8；1 x PCIex16；操作系统：配置UOS、麒麟国产操作系统、流式软件、版式软件、防病毒软件，全部软件免费三年升级服务；23.8英寸高清窄边框主机同品牌显示器，分辨率1920*1080，标配VGA+HDMI视频接口，标配原装HDMI线缆；</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投标产品通过电磁辐射B级试验，低于国家标准10dB；投标产品通过外壳防护等级试验，达到IP5X的要求，提供认证证书</w:t>
            </w:r>
            <w:r>
              <w:rPr>
                <w:rFonts w:hint="eastAsia" w:ascii="宋体" w:hAnsi="宋体" w:cs="宋体"/>
                <w:color w:val="000000"/>
                <w:sz w:val="18"/>
                <w:szCs w:val="18"/>
              </w:rPr>
              <w:t>，</w:t>
            </w:r>
            <w:r>
              <w:rPr>
                <w:rFonts w:ascii="宋体" w:hAnsi="宋体" w:cs="宋体"/>
                <w:color w:val="000000"/>
                <w:sz w:val="18"/>
                <w:szCs w:val="18"/>
              </w:rPr>
              <w:t>五年原厂质保服务承诺。</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48套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15</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六边桌</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钢木结合六边桌规格及参数：单边1000、高750、产品外形尺寸的极限偏差宽2mm，深2mm，高1mm，桌面：采用25mm优质环保实木颗粒板，双贴面0.6mm防火板，表面贴环保防火饰面板，防潮、防酸碱、耐刮擦、整体美观大方实用，符合国家环保标准，桌架：钢制整体框架结构,框架采用国标25*25*1.2方管为立腿、柜体为0.8mm冷轧钢板，带网孔，带柜门，门子上带锁、桌面为2块拼接而成、表面静电喷塑，钢管连接件为钢连接件。</w:t>
            </w:r>
          </w:p>
        </w:tc>
        <w:tc>
          <w:tcPr>
            <w:tcW w:w="756" w:type="dxa"/>
            <w:vAlign w:val="center"/>
          </w:tcPr>
          <w:p>
            <w:pPr>
              <w:pStyle w:val="148"/>
              <w:ind w:left="0" w:leftChars="0" w:firstLine="180" w:firstLineChars="100"/>
              <w:jc w:val="both"/>
              <w:rPr>
                <w:rFonts w:ascii="宋体" w:hAnsi="宋体" w:cs="宋体"/>
                <w:color w:val="000000"/>
                <w:sz w:val="18"/>
                <w:szCs w:val="18"/>
              </w:rPr>
            </w:pPr>
            <w:r>
              <w:rPr>
                <w:rFonts w:hint="eastAsia" w:ascii="宋体" w:hAnsi="宋体" w:cs="宋体"/>
                <w:color w:val="000000"/>
                <w:sz w:val="18"/>
                <w:szCs w:val="18"/>
              </w:rPr>
              <w:t>8组</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16</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凳子</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规格：315*315*450（500）,整体美观结实。耐固耐用，四爪升降凳，凳面和凳脚采用优质PP塑料一次成型。凳子可旋转升降，升降距离为50mm，最高离地为500mm。凳面与凳脚留有一定空间，便于挂在挂凳扣上，方便教室的打扫。凳面：凳面直径为315mm，采用工程级聚丙烯共聚PP注塑，厚30mm，底部设有三条圆形加强筋，表面细纹咬花，防滑不反光，凳面底部镶嵌4个螺丝螺纹，采用不锈钢螺丝与托盘固定。凳面无明显缩孔、气泡、杂质、变形等现象。 凳架：4个凳脚采用20*40*mm 无缝钢管模具一体成型，全圆满焊接完成，结构牢固，所有人体接触部位均无毛刺、刃口。脚垫：采用优质PP加耐磨纤维质塑料，实芯倒勾式一体成型,凳面与凳脚留有一定的空间便于凳子挂在挂凳扣上。</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48个</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17</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交换机</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二层网管交换机交换容量432Gbps，包转发率108Mpps，48口10/100/1000Mbps自适应电口交换机，固化4个SFP千兆光口，支持VLAN、ACL、端口镜像、端口聚合等功能</w:t>
            </w:r>
          </w:p>
        </w:tc>
        <w:tc>
          <w:tcPr>
            <w:tcW w:w="756" w:type="dxa"/>
            <w:vAlign w:val="center"/>
          </w:tcPr>
          <w:p>
            <w:pPr>
              <w:pStyle w:val="148"/>
              <w:jc w:val="both"/>
              <w:rPr>
                <w:rFonts w:ascii="宋体" w:hAns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2242" w:type="dxa"/>
            <w:gridSpan w:val="2"/>
            <w:vAlign w:val="center"/>
          </w:tcPr>
          <w:p>
            <w:pPr>
              <w:pStyle w:val="100"/>
              <w:spacing w:before="58" w:after="58"/>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UPS不间断电源</w:t>
            </w:r>
          </w:p>
        </w:tc>
        <w:tc>
          <w:tcPr>
            <w:tcW w:w="6887" w:type="dxa"/>
            <w:vAlign w:val="center"/>
          </w:tcPr>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国标10KW  UPS机头，32节12V100AH电池，32节电池柜，含电源线和配套安装配件及辅材技术要求：1、UPS主机容量10kVA，高频在线双变换式UPS，采用IGBT整流，功率变换器和系统元件均由DSP控制，输出功率因数不小于0.9，兼容机架和塔式安装。</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 xml:space="preserve">2、输入电压范围应不小于165~300ac，输入频率范围不小于：40Hz~56Hz，UPS设备输入功率因数应大于等于 0.99。输出电压稳压精度应小于220V±1％（L-N）。输出频率范围应不超出50±0.5%Hz(电池逆变工作方式)。3、逆变过载能力：5分钟（125%额度电流），1分钟（150%额定电流）。4、UPS在市电和电池两种状态间切换的时间应为0ms，静态旁路与逆变状态切换时间应为0ms。5、具有输入频率异常保护功能，电池过压告警和过放电保护功能，高温自动切换旁路保护功能。具有声光告警功能，采用LCD屏幕显示，便于操作。  </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1套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19</w:t>
            </w:r>
          </w:p>
        </w:tc>
        <w:tc>
          <w:tcPr>
            <w:tcW w:w="2242" w:type="dxa"/>
            <w:gridSpan w:val="2"/>
            <w:vAlign w:val="center"/>
          </w:tcPr>
          <w:p>
            <w:pPr>
              <w:pStyle w:val="100"/>
              <w:spacing w:before="58" w:after="58"/>
              <w:ind w:firstLine="0" w:firstLineChars="0"/>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双绞线</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原装国标正品超六类网线</w:t>
            </w:r>
            <w:r>
              <w:rPr>
                <w:rFonts w:hint="eastAsia" w:ascii="宋体" w:hAnsi="宋体" w:cs="宋体"/>
                <w:color w:val="000000"/>
                <w:sz w:val="18"/>
                <w:szCs w:val="18"/>
              </w:rPr>
              <w:t>，每箱305米</w:t>
            </w:r>
            <w:r>
              <w:rPr>
                <w:rFonts w:ascii="宋体" w:hAnsi="宋体" w:cs="宋体"/>
                <w:color w:val="000000"/>
                <w:sz w:val="18"/>
                <w:szCs w:val="18"/>
              </w:rPr>
              <w:t>。</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6箱</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20</w:t>
            </w:r>
          </w:p>
        </w:tc>
        <w:tc>
          <w:tcPr>
            <w:tcW w:w="2242" w:type="dxa"/>
            <w:gridSpan w:val="2"/>
            <w:vAlign w:val="center"/>
          </w:tcPr>
          <w:p>
            <w:pPr>
              <w:pStyle w:val="100"/>
              <w:spacing w:before="58" w:after="58"/>
              <w:ind w:firstLine="0" w:firstLineChars="0"/>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水晶头</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国标超六类水晶头</w:t>
            </w:r>
            <w:r>
              <w:rPr>
                <w:rFonts w:hint="eastAsia" w:ascii="宋体" w:hAnsi="宋体" w:cs="宋体"/>
                <w:color w:val="000000"/>
                <w:sz w:val="18"/>
                <w:szCs w:val="18"/>
              </w:rPr>
              <w:t>，每盒100个。</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3盒</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1</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稳压电源</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30KVW三项</w:t>
            </w:r>
            <w:r>
              <w:rPr>
                <w:rFonts w:hint="eastAsia" w:ascii="宋体" w:hAnsi="宋体" w:cs="宋体"/>
                <w:color w:val="000000"/>
                <w:sz w:val="18"/>
                <w:szCs w:val="18"/>
              </w:rPr>
              <w:t>精密</w:t>
            </w:r>
            <w:r>
              <w:rPr>
                <w:rFonts w:ascii="宋体" w:hAnsi="宋体" w:cs="宋体"/>
                <w:color w:val="000000"/>
                <w:sz w:val="18"/>
                <w:szCs w:val="18"/>
              </w:rPr>
              <w:t>稳压电源。</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2</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机柜</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尺寸：高2000*宽800*深1000mm；容量：42U；配8座 PDU 3个，固定板3块，风扇部件1组；承重：≥800kg；防护等级：IP20。</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3</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空调</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工程机，5P空调，三相冷暖压缩机,包括15米压缩机管线,外机支架，电源线、打孔及布线安装等全部费用。</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hint="default" w:ascii="宋体" w:hAnsi="宋体" w:eastAsia="华文楷体" w:cs="宋体"/>
                <w:color w:val="000000"/>
                <w:sz w:val="18"/>
                <w:szCs w:val="18"/>
                <w:lang w:val="en-US" w:eastAsia="zh-CN"/>
              </w:rPr>
            </w:pPr>
            <w:r>
              <w:rPr>
                <w:rFonts w:hint="eastAsia" w:ascii="宋体" w:hAnsi="宋体" w:cs="宋体"/>
                <w:color w:val="000000"/>
                <w:sz w:val="18"/>
                <w:szCs w:val="18"/>
                <w:lang w:val="en-US" w:eastAsia="zh-CN"/>
              </w:rPr>
              <w:t>24</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空调</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工程机，3P空调，三相冷暖压缩机,包括15米压缩机管线,外机支架，电源线、打孔及布线安装等全部费用。</w:t>
            </w:r>
          </w:p>
        </w:tc>
        <w:tc>
          <w:tcPr>
            <w:tcW w:w="756" w:type="dxa"/>
            <w:vAlign w:val="center"/>
          </w:tcPr>
          <w:p>
            <w:pPr>
              <w:pStyle w:val="148"/>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hint="eastAsia" w:ascii="宋体" w:hAnsi="宋体" w:eastAsia="华文楷体" w:cs="宋体"/>
                <w:color w:val="000000"/>
                <w:sz w:val="18"/>
                <w:szCs w:val="18"/>
                <w:lang w:eastAsia="zh-CN"/>
              </w:rPr>
            </w:pPr>
            <w:r>
              <w:rPr>
                <w:rFonts w:ascii="宋体" w:hAnsi="宋体" w:cs="宋体"/>
                <w:color w:val="000000"/>
                <w:sz w:val="18"/>
                <w:szCs w:val="18"/>
              </w:rPr>
              <w:t>2</w:t>
            </w:r>
            <w:r>
              <w:rPr>
                <w:rFonts w:hint="eastAsia" w:ascii="宋体" w:hAnsi="宋体" w:cs="宋体"/>
                <w:color w:val="000000"/>
                <w:sz w:val="18"/>
                <w:szCs w:val="18"/>
                <w:lang w:val="en-US" w:eastAsia="zh-CN"/>
              </w:rPr>
              <w:t>5</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防静电地板</w:t>
            </w:r>
          </w:p>
        </w:tc>
        <w:tc>
          <w:tcPr>
            <w:tcW w:w="6887" w:type="dxa"/>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陶瓷国标全钢地板，含支撑角铁、紫铜漏网、全钢龙骨、汇流排、地板开孔、辅材及人工安装搬运等全部费用</w:t>
            </w:r>
          </w:p>
        </w:tc>
        <w:tc>
          <w:tcPr>
            <w:tcW w:w="756" w:type="dxa"/>
            <w:vAlign w:val="center"/>
          </w:tcPr>
          <w:p>
            <w:pPr>
              <w:pStyle w:val="148"/>
              <w:ind w:left="0" w:leftChars="0" w:firstLine="0" w:firstLineChars="0"/>
              <w:jc w:val="both"/>
              <w:rPr>
                <w:rFonts w:ascii="宋体" w:hAnsi="宋体" w:cs="宋体"/>
                <w:color w:val="000000"/>
                <w:sz w:val="18"/>
                <w:szCs w:val="18"/>
              </w:rPr>
            </w:pPr>
            <w:r>
              <w:rPr>
                <w:rFonts w:ascii="宋体" w:hAnsi="宋体" w:cs="宋体"/>
                <w:color w:val="000000"/>
                <w:sz w:val="18"/>
                <w:szCs w:val="18"/>
              </w:rPr>
              <w:t>136</w:t>
            </w:r>
            <w:r>
              <w:rPr>
                <w:rFonts w:hint="eastAsia"/>
                <w:sz w:val="18"/>
                <w:szCs w:val="18"/>
              </w:rPr>
              <w:t>㎡</w:t>
            </w:r>
          </w:p>
        </w:tc>
        <w:tc>
          <w:tcPr>
            <w:tcW w:w="418" w:type="dxa"/>
            <w:vAlign w:val="center"/>
          </w:tcPr>
          <w:p>
            <w:pPr>
              <w:pStyle w:val="148"/>
              <w:ind w:left="0" w:firstLine="0"/>
              <w:jc w:val="both"/>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hint="eastAsia" w:ascii="宋体" w:hAnsi="宋体" w:eastAsia="华文楷体" w:cs="宋体"/>
                <w:color w:val="000000"/>
                <w:sz w:val="18"/>
                <w:szCs w:val="18"/>
                <w:lang w:eastAsia="zh-CN"/>
              </w:rPr>
            </w:pPr>
            <w:r>
              <w:rPr>
                <w:rFonts w:ascii="宋体" w:hAnsi="宋体" w:cs="宋体"/>
                <w:color w:val="000000"/>
                <w:sz w:val="18"/>
                <w:szCs w:val="18"/>
              </w:rPr>
              <w:t>2</w:t>
            </w:r>
            <w:r>
              <w:rPr>
                <w:rFonts w:hint="eastAsia" w:ascii="宋体" w:hAnsi="宋体" w:cs="宋体"/>
                <w:color w:val="000000"/>
                <w:sz w:val="18"/>
                <w:szCs w:val="18"/>
                <w:lang w:val="en-US" w:eastAsia="zh-CN"/>
              </w:rPr>
              <w:t>6</w:t>
            </w:r>
          </w:p>
        </w:tc>
        <w:tc>
          <w:tcPr>
            <w:tcW w:w="2242" w:type="dxa"/>
            <w:gridSpan w:val="2"/>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桌面虚拟化软件</w:t>
            </w:r>
          </w:p>
        </w:tc>
        <w:tc>
          <w:tcPr>
            <w:tcW w:w="6887" w:type="dxa"/>
            <w:vAlign w:val="center"/>
          </w:tcPr>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终端登录界面需显示终端的状态、编号、授权情况、版本号、IP地址、管理地址和频道号以及支持在终端的登录界面启动管理端。</w:t>
            </w:r>
            <w:r>
              <w:rPr>
                <w:rFonts w:hint="eastAsia" w:ascii="宋体" w:hAnsi="宋体" w:cs="宋体"/>
                <w:color w:val="000000"/>
                <w:sz w:val="18"/>
                <w:szCs w:val="18"/>
              </w:rPr>
              <w:t>需提供佐证材料。</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在终端管理功能中支持设置管理频道、默认启动的桌面、还原属性的设置、终端编号、计算机名，并且支持临时桌面切换和终端的批量升级检测功能。</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云终端列表管理中支持批量终端唤醒、重启、关机、删除等操作；支持终端在线和离线的数量统计，同时需提供快速筛选功能，能快速筛选出在线、离线和运维的终端；支持模糊搜索以节省查询时间。终端管理中的维护部署功能支持批量更改设置终端密码、终端的分辨率、一键添加或删除数据盘、并支持挂载多硬盘、删除桌面等。</w:t>
            </w:r>
            <w:r>
              <w:rPr>
                <w:rFonts w:hint="eastAsia" w:ascii="宋体" w:hAnsi="宋体" w:cs="宋体"/>
                <w:color w:val="000000"/>
                <w:sz w:val="18"/>
                <w:szCs w:val="18"/>
              </w:rPr>
              <w:t>需提供佐证材料。</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启动管理端的终端桌面为保护状态，不接受直接删除的操作。</w:t>
            </w:r>
            <w:r>
              <w:rPr>
                <w:rFonts w:hint="eastAsia" w:ascii="宋体" w:hAnsi="宋体" w:cs="宋体"/>
                <w:color w:val="000000"/>
                <w:sz w:val="18"/>
                <w:szCs w:val="18"/>
              </w:rPr>
              <w:t>需提供佐证材料。</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模板的管理支持模板的导入、导出、克隆、编辑、扩容等功能；可以对模板属性进行配置保护系统类型和还原方式等。支持广告拦截模块，自动拦截弹窗广告。支持静默更新功能，可在用户正在使用时进行下发系统或软件等，无需等待闲时单独下发。</w:t>
            </w:r>
            <w:r>
              <w:rPr>
                <w:rFonts w:hint="eastAsia" w:ascii="宋体" w:hAnsi="宋体" w:cs="宋体"/>
                <w:color w:val="000000"/>
                <w:sz w:val="18"/>
                <w:szCs w:val="18"/>
              </w:rPr>
              <w:t>需提供佐证材料。</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需支持网络修复功能，对于网络硬件配置、网络连接配置、DHCP服务、DNS服务、HOSTS文件、LSP协议、IE代理、环境变量等方面进行全面检测，并对于非硬件问题进行自我修复。</w:t>
            </w:r>
            <w:r>
              <w:rPr>
                <w:rFonts w:hint="eastAsia" w:ascii="宋体" w:hAnsi="宋体" w:cs="宋体"/>
                <w:color w:val="000000"/>
                <w:sz w:val="18"/>
                <w:szCs w:val="18"/>
              </w:rPr>
              <w:t>需提供佐证材料。</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支持远程协助功能，通过管理平台远程至学生桌面进行协助操作，无需三方软件。</w:t>
            </w:r>
          </w:p>
          <w:p>
            <w:pPr>
              <w:pStyle w:val="100"/>
              <w:spacing w:before="58" w:after="58"/>
              <w:ind w:firstLine="0" w:firstLineChars="0"/>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支持个性化开机设置，通过上传用户的定制图片，实现设备开机的LOGO替换。支持用户本机的自我检测，检测项包含但不限于计算机名称、操作系统版本、IP地址、内存、硬盘、外设等软硬件的全面检测，对于异常项会进行告警，便于管理员及时排障。</w:t>
            </w:r>
            <w:r>
              <w:rPr>
                <w:rFonts w:hint="eastAsia" w:ascii="宋体" w:hAnsi="宋体" w:cs="宋体"/>
                <w:color w:val="000000"/>
                <w:sz w:val="18"/>
                <w:szCs w:val="18"/>
              </w:rPr>
              <w:t>需提供佐证材料。</w:t>
            </w:r>
          </w:p>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支持intel、兆芯、海光、架构，可同时安装，windows、统信、麒麟、中科方德系统镜像，终端实现自主切换或设定默认使用系统。</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49点</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hint="eastAsia" w:ascii="宋体" w:hAnsi="宋体" w:eastAsia="华文楷体" w:cs="宋体"/>
                <w:color w:val="000000"/>
                <w:sz w:val="18"/>
                <w:szCs w:val="18"/>
                <w:lang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7</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云桌面多媒体教学系统</w:t>
            </w:r>
          </w:p>
        </w:tc>
        <w:tc>
          <w:tcPr>
            <w:tcW w:w="6887" w:type="dxa"/>
            <w:vAlign w:val="center"/>
          </w:tcPr>
          <w:p>
            <w:pPr>
              <w:pStyle w:val="100"/>
              <w:spacing w:before="58" w:after="58"/>
              <w:ind w:firstLine="0" w:firstLineChars="0"/>
              <w:rPr>
                <w:rFonts w:ascii="宋体" w:hAnsi="宋体"/>
                <w:color w:val="000000"/>
                <w:sz w:val="18"/>
                <w:szCs w:val="18"/>
              </w:rPr>
            </w:pPr>
            <w:r>
              <w:rPr>
                <w:rFonts w:ascii="宋体" w:hAnsi="宋体"/>
                <w:color w:val="000000"/>
                <w:sz w:val="18"/>
                <w:szCs w:val="18"/>
              </w:rPr>
              <w:t>示范转播会将所选的客户端操作画面实时广播到其它接收演示的客户端电脑屏幕上。</w:t>
            </w:r>
          </w:p>
          <w:p>
            <w:pPr>
              <w:pStyle w:val="100"/>
              <w:spacing w:before="58" w:after="58"/>
              <w:ind w:firstLine="0" w:firstLineChars="0"/>
              <w:rPr>
                <w:rFonts w:ascii="宋体" w:hAnsi="宋体"/>
                <w:color w:val="000000"/>
                <w:sz w:val="18"/>
                <w:szCs w:val="18"/>
              </w:rPr>
            </w:pPr>
            <w:r>
              <w:rPr>
                <w:rFonts w:ascii="宋体" w:hAnsi="宋体"/>
                <w:color w:val="000000"/>
                <w:sz w:val="18"/>
                <w:szCs w:val="18"/>
              </w:rPr>
              <w:t>电子白板可以对把电脑桌面变成白板进行标注和讲解，包含多种画板工具，支持以桌面画面为背景以及白板、黑板和绿板。</w:t>
            </w:r>
          </w:p>
          <w:p>
            <w:pPr>
              <w:pStyle w:val="100"/>
              <w:spacing w:before="58" w:after="58"/>
              <w:ind w:firstLine="0" w:firstLineChars="0"/>
              <w:rPr>
                <w:rFonts w:ascii="宋体" w:hAnsi="宋体"/>
                <w:color w:val="000000"/>
                <w:sz w:val="18"/>
                <w:szCs w:val="18"/>
              </w:rPr>
            </w:pPr>
            <w:r>
              <w:rPr>
                <w:rFonts w:ascii="宋体" w:hAnsi="宋体"/>
                <w:color w:val="000000"/>
                <w:sz w:val="18"/>
                <w:szCs w:val="18"/>
              </w:rPr>
              <w:t>语音教学可以将管理端电脑的声音采集后实时传输到客户端并进行播放，支持采集管理电脑的麦克风和扬声器声音。</w:t>
            </w:r>
          </w:p>
          <w:p>
            <w:pPr>
              <w:pStyle w:val="100"/>
              <w:spacing w:before="58" w:after="58"/>
              <w:ind w:firstLine="0" w:firstLineChars="0"/>
              <w:rPr>
                <w:rFonts w:ascii="宋体" w:hAnsi="宋体"/>
                <w:color w:val="000000"/>
                <w:sz w:val="18"/>
                <w:szCs w:val="18"/>
              </w:rPr>
            </w:pPr>
            <w:r>
              <w:rPr>
                <w:rFonts w:ascii="宋体" w:hAnsi="宋体"/>
                <w:color w:val="000000"/>
                <w:sz w:val="18"/>
                <w:szCs w:val="18"/>
              </w:rPr>
              <w:t>视频分享，支持老师端播放视频文件同时分享到学生电脑。</w:t>
            </w:r>
          </w:p>
          <w:p>
            <w:pPr>
              <w:pStyle w:val="100"/>
              <w:spacing w:before="58" w:after="58"/>
              <w:ind w:firstLine="0" w:firstLineChars="0"/>
              <w:rPr>
                <w:rFonts w:ascii="宋体" w:hAnsi="宋体"/>
                <w:color w:val="000000"/>
                <w:sz w:val="18"/>
                <w:szCs w:val="18"/>
              </w:rPr>
            </w:pPr>
            <w:r>
              <w:rPr>
                <w:rFonts w:ascii="宋体" w:hAnsi="宋体"/>
                <w:color w:val="000000"/>
                <w:sz w:val="18"/>
                <w:szCs w:val="18"/>
              </w:rPr>
              <w:t>现场直播，支持采集老师端USB摄像头画面并直播到学生电脑。</w:t>
            </w:r>
          </w:p>
          <w:p>
            <w:pPr>
              <w:pStyle w:val="100"/>
              <w:spacing w:before="58" w:after="58"/>
              <w:ind w:firstLine="0" w:firstLineChars="0"/>
              <w:rPr>
                <w:rFonts w:ascii="宋体" w:hAnsi="宋体"/>
                <w:color w:val="000000"/>
                <w:sz w:val="18"/>
                <w:szCs w:val="18"/>
              </w:rPr>
            </w:pPr>
            <w:r>
              <w:rPr>
                <w:rFonts w:ascii="宋体" w:hAnsi="宋体"/>
                <w:color w:val="000000"/>
                <w:sz w:val="18"/>
                <w:szCs w:val="18"/>
              </w:rPr>
              <w:t>屏幕监看，可以监看学生电脑画面，可以同时监控多台电脑，支持同时监看64画面。单个遥控时可以监看单个客户端电脑桌面，同时可以远程操作客户端电脑。</w:t>
            </w:r>
          </w:p>
          <w:p>
            <w:pPr>
              <w:pStyle w:val="100"/>
              <w:spacing w:before="58" w:after="58"/>
              <w:ind w:firstLine="0" w:firstLineChars="0"/>
              <w:rPr>
                <w:rFonts w:ascii="宋体" w:hAnsi="宋体"/>
                <w:color w:val="000000"/>
                <w:sz w:val="18"/>
                <w:szCs w:val="18"/>
              </w:rPr>
            </w:pPr>
            <w:r>
              <w:rPr>
                <w:rFonts w:ascii="宋体" w:hAnsi="宋体"/>
                <w:color w:val="000000"/>
                <w:sz w:val="18"/>
                <w:szCs w:val="18"/>
              </w:rPr>
              <w:t>全体遥控时可以监看一个模板客户端电脑桌面，同时可以远程操作所有客户端电脑。</w:t>
            </w:r>
          </w:p>
          <w:p>
            <w:pPr>
              <w:pStyle w:val="100"/>
              <w:spacing w:before="58" w:after="58"/>
              <w:ind w:firstLine="0" w:firstLineChars="0"/>
              <w:rPr>
                <w:rFonts w:ascii="宋体" w:hAnsi="宋体"/>
                <w:color w:val="000000"/>
                <w:sz w:val="18"/>
                <w:szCs w:val="18"/>
              </w:rPr>
            </w:pPr>
            <w:r>
              <w:rPr>
                <w:rFonts w:ascii="宋体" w:hAnsi="宋体"/>
                <w:color w:val="000000"/>
                <w:sz w:val="18"/>
                <w:szCs w:val="18"/>
              </w:rPr>
              <w:t>作业管理可以管理学生提交作业，打开作业管理点击学生提交，学生电脑会显示提交作业窗口。学生提交作业完成后这里会显示提交记录。老师可以根据时间查询学生提交的作业记录，可导出记录。</w:t>
            </w:r>
          </w:p>
          <w:p>
            <w:pPr>
              <w:pStyle w:val="100"/>
              <w:spacing w:before="58" w:after="58"/>
              <w:ind w:firstLine="0" w:firstLineChars="0"/>
              <w:rPr>
                <w:rFonts w:ascii="宋体" w:hAnsi="宋体"/>
                <w:color w:val="000000"/>
                <w:sz w:val="18"/>
                <w:szCs w:val="18"/>
              </w:rPr>
            </w:pPr>
            <w:r>
              <w:rPr>
                <w:rFonts w:ascii="宋体" w:hAnsi="宋体"/>
                <w:color w:val="000000"/>
                <w:sz w:val="18"/>
                <w:szCs w:val="18"/>
              </w:rPr>
              <w:t>远程命令中包括启动程序、关闭程序、终端命令、打开网站、打开目录。开机、关机、重启，管理端选择客户端后可以执行远程开机、关机、重启。</w:t>
            </w:r>
          </w:p>
          <w:p>
            <w:pPr>
              <w:pStyle w:val="100"/>
              <w:spacing w:before="58" w:after="58"/>
              <w:ind w:firstLine="0" w:firstLineChars="0"/>
              <w:rPr>
                <w:rFonts w:ascii="宋体" w:hAnsi="宋体"/>
                <w:color w:val="000000"/>
                <w:sz w:val="18"/>
                <w:szCs w:val="18"/>
              </w:rPr>
            </w:pPr>
            <w:r>
              <w:rPr>
                <w:rFonts w:ascii="宋体" w:hAnsi="宋体"/>
                <w:color w:val="000000"/>
                <w:sz w:val="18"/>
                <w:szCs w:val="18"/>
              </w:rPr>
              <w:t>定时任务功能可以按照设定时间计划对客户端进行开关机、锁屏解锁操作。</w:t>
            </w:r>
          </w:p>
          <w:p>
            <w:pPr>
              <w:pStyle w:val="100"/>
              <w:spacing w:before="58" w:after="58"/>
              <w:ind w:firstLine="0" w:firstLineChars="0"/>
              <w:rPr>
                <w:rFonts w:ascii="宋体" w:hAnsi="宋体" w:cs="宋体"/>
                <w:b/>
                <w:bCs/>
                <w:color w:val="000000"/>
                <w:sz w:val="18"/>
                <w:szCs w:val="18"/>
              </w:rPr>
            </w:pPr>
            <w:r>
              <w:rPr>
                <w:rFonts w:hint="eastAsia" w:ascii="宋体" w:hAnsi="宋体" w:cs="宋体"/>
                <w:color w:val="000000"/>
                <w:sz w:val="18"/>
                <w:szCs w:val="18"/>
              </w:rPr>
              <w:t>▲</w:t>
            </w:r>
            <w:r>
              <w:rPr>
                <w:rFonts w:ascii="宋体" w:hAnsi="宋体"/>
                <w:color w:val="000000"/>
                <w:sz w:val="18"/>
                <w:szCs w:val="18"/>
              </w:rPr>
              <w:t>支持调节管理端电脑的扬声器和麦克风声音。</w:t>
            </w:r>
          </w:p>
        </w:tc>
        <w:tc>
          <w:tcPr>
            <w:tcW w:w="756" w:type="dxa"/>
            <w:vAlign w:val="center"/>
          </w:tcPr>
          <w:p>
            <w:pPr>
              <w:pStyle w:val="148"/>
              <w:ind w:left="0" w:leftChars="0" w:firstLine="0" w:firstLineChars="0"/>
              <w:jc w:val="both"/>
              <w:rPr>
                <w:rFonts w:ascii="宋体" w:hAnsi="宋体" w:cs="宋体"/>
                <w:color w:val="000000"/>
                <w:sz w:val="18"/>
                <w:szCs w:val="18"/>
              </w:rPr>
            </w:pPr>
            <w:r>
              <w:rPr>
                <w:rFonts w:ascii="宋体" w:hAnsi="宋体"/>
                <w:color w:val="000000"/>
                <w:sz w:val="18"/>
                <w:szCs w:val="18"/>
              </w:rPr>
              <w:t>4</w:t>
            </w:r>
            <w:r>
              <w:rPr>
                <w:rFonts w:hint="eastAsia" w:ascii="宋体" w:hAnsi="宋体"/>
                <w:color w:val="000000"/>
                <w:sz w:val="18"/>
                <w:szCs w:val="18"/>
              </w:rPr>
              <w:t>9</w:t>
            </w:r>
            <w:r>
              <w:rPr>
                <w:rFonts w:ascii="宋体" w:hAnsi="宋体"/>
                <w:color w:val="000000"/>
                <w:sz w:val="18"/>
                <w:szCs w:val="18"/>
              </w:rPr>
              <w:t>点</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hint="eastAsia" w:ascii="宋体" w:hAnsi="宋体" w:eastAsia="华文楷体" w:cs="宋体"/>
                <w:color w:val="000000"/>
                <w:sz w:val="18"/>
                <w:szCs w:val="18"/>
                <w:lang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电缆线</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强电：16*5  国标电缆线，含电缆布线和材料及标准配电箱（含空开和配套产品）安装建设费用。</w:t>
            </w:r>
            <w:r>
              <w:rPr>
                <w:rFonts w:hint="eastAsia" w:ascii="宋体" w:hAnsi="宋体" w:cs="宋体"/>
                <w:color w:val="000000"/>
                <w:sz w:val="18"/>
                <w:szCs w:val="18"/>
              </w:rPr>
              <w:t>≥120米。</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20</w:t>
            </w:r>
            <w:r>
              <w:rPr>
                <w:rFonts w:hint="eastAsia" w:ascii="宋体" w:hAnsi="宋体" w:cs="宋体"/>
                <w:color w:val="000000"/>
                <w:sz w:val="18"/>
                <w:szCs w:val="18"/>
              </w:rPr>
              <w:t>米</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hint="eastAsia" w:ascii="宋体" w:hAnsi="宋体" w:eastAsia="华文楷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en-US" w:eastAsia="zh-CN"/>
                <w14:textFill>
                  <w14:solidFill>
                    <w14:schemeClr w14:val="tx1"/>
                  </w14:solidFill>
                </w14:textFill>
              </w:rPr>
              <w:t>9</w:t>
            </w:r>
          </w:p>
        </w:tc>
        <w:tc>
          <w:tcPr>
            <w:tcW w:w="2242" w:type="dxa"/>
            <w:gridSpan w:val="2"/>
            <w:vAlign w:val="center"/>
          </w:tcPr>
          <w:p>
            <w:pPr>
              <w:pStyle w:val="100"/>
              <w:spacing w:before="58" w:after="58"/>
              <w:ind w:firstLine="0" w:firstLineChars="0"/>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消毒净化通风一体机（新风系统）</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1、安装型式：壁挂式；2、</w:t>
            </w:r>
            <w:r>
              <w:rPr>
                <w:rFonts w:hint="eastAsia" w:ascii="宋体" w:hAnsi="宋体" w:cs="宋体"/>
                <w:color w:val="000000"/>
                <w:sz w:val="18"/>
                <w:szCs w:val="18"/>
              </w:rPr>
              <w:t>▲</w:t>
            </w:r>
            <w:r>
              <w:rPr>
                <w:rFonts w:ascii="宋体" w:hAnsi="宋体" w:cs="宋体"/>
                <w:color w:val="000000"/>
                <w:sz w:val="18"/>
                <w:szCs w:val="18"/>
              </w:rPr>
              <w:t>功能：具备消毒、空气净化、进风、排风、内循环，五种功能。3、工作档位：默认五档风速可调，支持自定义各档位风机转速自行设定风量。4、整机包含壳体及保温模块、一进一出空气管口、各级过滤模块、全热交换模块、风机（含电机）及控制模块。5、电压/频率：220V/50Hz。6、整机具有在有效期内的CCC认证证书，品名：通风扇（新风机）。7、提供采购文件规定的整机型式检验报告。依据 GB/T 21087-2020《热回收新风机组》标准进行型式检验，并含有CMA及CNAS标志。8、整机采用双向流设置模式，内部应采用双电机，电机须用直流无刷变频电机，可自动调节风量及风速，并提供电机在有效期内的CCC认证证书或可以查询的自我声明编号。9、额定送风量800m³/h，须体现在整机型式报告。10、新风机内置全热交换芯体。全热交换芯体环保耐用具有透湿率高、可水洗（非纸质）、气密性好、抗撕裂、耐老化、防霉变，无凝露水外滴等特点。全热交换芯体须提供国家级资质检测机构出具的</w:t>
            </w:r>
            <w:r>
              <w:rPr>
                <w:rFonts w:hint="eastAsia" w:ascii="宋体" w:hAnsi="宋体" w:cs="宋体"/>
                <w:color w:val="000000"/>
                <w:sz w:val="18"/>
                <w:szCs w:val="18"/>
              </w:rPr>
              <w:t>正规</w:t>
            </w:r>
            <w:r>
              <w:rPr>
                <w:rFonts w:ascii="宋体" w:hAnsi="宋体" w:cs="宋体"/>
                <w:color w:val="000000"/>
                <w:sz w:val="18"/>
                <w:szCs w:val="18"/>
              </w:rPr>
              <w:t>检验报告。11、交换效率：全热交换效率（冷量回收）65.8%，全热交换效率（热量回收）70.6%，须体现在整机型式报告。12、风机的单位风量耗功率≤0.39W（m³/h）。13、新风主机最高挡（送风量最大）运行噪音值44.8dB（A），须体现在整机型式报告。14、过滤模块为三级过滤（粗效、高效），PM2.5过滤效率99.3%，须体现在整机型式报告。并提供各个滤芯的型式检验报告。15、控制系统：①.室内数据获取与显示：具备实时获取与显示联网指示、温度、湿度、室内PM2.5、二氧化碳浓度、时间、档位、过滤模块寿命（具备过滤模块更换智能提醒功能）、数据及各项功能设置等（投标时提供系统网站或网址链接，账号及密码）。②、控制：按键屏+wifi联网移动终端远程控制。每个教室要求配备液晶显示控制器。送风量、排风量可采用手动与自动智能方式控制。自动智能方式控制应根据室内二氧化碳浓度自动控制新风系统运行状态和调节风量。③、新风机智能化数据端口必须无偿向学校和第三方开放，方便与空调等其他设备形成集成化管控，以便实现校园数据平台的互联互通。16、提供IOT远程控制管理软件测试报告，证明IOT远程控制管理软件功能运行正常，系统稳定可靠。17、保温棉阻燃性，检测依据 ISO 9772:2020，检测结果 HF1</w:t>
            </w:r>
            <w:r>
              <w:rPr>
                <w:rFonts w:hint="eastAsia" w:ascii="宋体" w:hAnsi="宋体" w:cs="宋体"/>
                <w:color w:val="000000"/>
                <w:sz w:val="18"/>
                <w:szCs w:val="18"/>
              </w:rPr>
              <w:t>，需提供第三方检测报告</w:t>
            </w:r>
            <w:r>
              <w:rPr>
                <w:rFonts w:ascii="宋体" w:hAnsi="宋体" w:cs="宋体"/>
                <w:color w:val="000000"/>
                <w:sz w:val="18"/>
                <w:szCs w:val="18"/>
              </w:rPr>
              <w:t>。18、保温棉环保性，符合通过 GB/T 26572-2011 中的限值要求，检测结果为“P”</w:t>
            </w:r>
            <w:r>
              <w:rPr>
                <w:rFonts w:hint="eastAsia" w:ascii="宋体" w:hAnsi="宋体" w:cs="宋体"/>
                <w:color w:val="000000"/>
                <w:sz w:val="18"/>
                <w:szCs w:val="18"/>
              </w:rPr>
              <w:t xml:space="preserve"> ，需提供第三方检测报告</w:t>
            </w:r>
            <w:r>
              <w:rPr>
                <w:rFonts w:ascii="宋体" w:hAnsi="宋体" w:cs="宋体"/>
                <w:color w:val="000000"/>
                <w:sz w:val="18"/>
                <w:szCs w:val="18"/>
              </w:rPr>
              <w:t xml:space="preserve">。19、空气模拟现场消毒试验（白色葡萄球菌）：白葡萄球菌：99.99% </w:t>
            </w:r>
            <w:r>
              <w:rPr>
                <w:rFonts w:hint="eastAsia" w:ascii="宋体" w:hAnsi="宋体" w:cs="宋体"/>
                <w:color w:val="000000"/>
                <w:sz w:val="18"/>
                <w:szCs w:val="18"/>
              </w:rPr>
              <w:t>，需提供第三方检测报告</w:t>
            </w:r>
            <w:r>
              <w:rPr>
                <w:rFonts w:ascii="宋体" w:hAnsi="宋体" w:cs="宋体"/>
                <w:color w:val="000000"/>
                <w:sz w:val="18"/>
                <w:szCs w:val="18"/>
              </w:rPr>
              <w:t>。20、臭氧泄漏量：0.005mg/m³</w:t>
            </w:r>
            <w:r>
              <w:rPr>
                <w:rFonts w:hint="eastAsia" w:ascii="宋体" w:hAnsi="宋体" w:cs="宋体"/>
                <w:color w:val="000000"/>
                <w:sz w:val="18"/>
                <w:szCs w:val="18"/>
              </w:rPr>
              <w:t>，需提供第三方检测报告</w:t>
            </w:r>
            <w:r>
              <w:rPr>
                <w:rFonts w:ascii="宋体" w:hAnsi="宋体" w:cs="宋体"/>
                <w:color w:val="000000"/>
                <w:sz w:val="18"/>
                <w:szCs w:val="18"/>
              </w:rPr>
              <w:t>。21、具备两种消毒方式：高浓度等离子杀菌和活氧杀菌。人在时，使用可人机共存的高浓度等离子杀菌方式进行消杀。无人时，使用活氧杀菌可对物表及环境各个角落进行消杀。22、等离子体浓度：6.13*1017-1.84*1018m-3（须提供第三方检测中心检测报告）23、金黄色葡萄球菌杀灭率99.99%，提供含有CMA及CNAS标志的检验报告。24、大肠杆菌杀灭率99.99%，</w:t>
            </w:r>
            <w:r>
              <w:rPr>
                <w:rFonts w:hint="eastAsia" w:ascii="宋体" w:hAnsi="宋体" w:cs="宋体"/>
                <w:color w:val="000000"/>
                <w:sz w:val="18"/>
                <w:szCs w:val="18"/>
              </w:rPr>
              <w:t>需提供第三方检测报告</w:t>
            </w:r>
            <w:r>
              <w:rPr>
                <w:rFonts w:ascii="宋体" w:hAnsi="宋体" w:cs="宋体"/>
                <w:color w:val="000000"/>
                <w:sz w:val="18"/>
                <w:szCs w:val="18"/>
              </w:rPr>
              <w:t>。25、空气自然菌消亡率≥96.15%，</w:t>
            </w:r>
            <w:r>
              <w:rPr>
                <w:rFonts w:hint="eastAsia" w:ascii="宋体" w:hAnsi="宋体" w:cs="宋体"/>
                <w:color w:val="000000"/>
                <w:sz w:val="18"/>
                <w:szCs w:val="18"/>
              </w:rPr>
              <w:t>需提供第三方检测报告</w:t>
            </w:r>
            <w:r>
              <w:rPr>
                <w:rFonts w:ascii="宋体" w:hAnsi="宋体" w:cs="宋体"/>
                <w:color w:val="000000"/>
                <w:sz w:val="18"/>
                <w:szCs w:val="18"/>
              </w:rPr>
              <w:t>。26、设备配备负离子空气清新模块，负离子浓度含量50*106 pcs/cm3。</w:t>
            </w:r>
            <w:r>
              <w:rPr>
                <w:rFonts w:hint="eastAsia" w:ascii="宋体" w:hAnsi="宋体" w:cs="宋体"/>
                <w:color w:val="000000"/>
                <w:sz w:val="18"/>
                <w:szCs w:val="18"/>
              </w:rPr>
              <w:t>▲</w:t>
            </w:r>
            <w:r>
              <w:rPr>
                <w:rFonts w:ascii="宋体" w:hAnsi="宋体" w:cs="宋体"/>
                <w:color w:val="000000"/>
                <w:sz w:val="18"/>
                <w:szCs w:val="18"/>
              </w:rPr>
              <w:t>27、设备配备植物因子抑菌模块，可人机共存对人体无害</w:t>
            </w:r>
            <w:r>
              <w:rPr>
                <w:rFonts w:hint="eastAsia" w:ascii="宋体" w:hAnsi="宋体" w:cs="宋体"/>
                <w:color w:val="000000"/>
                <w:sz w:val="18"/>
                <w:szCs w:val="18"/>
              </w:rPr>
              <w:t>，需提供有效证明文件</w:t>
            </w:r>
            <w:r>
              <w:rPr>
                <w:rFonts w:ascii="宋体" w:hAnsi="宋体" w:cs="宋体"/>
                <w:color w:val="000000"/>
                <w:sz w:val="18"/>
                <w:szCs w:val="18"/>
              </w:rPr>
              <w:t>。</w:t>
            </w:r>
            <w:r>
              <w:rPr>
                <w:rFonts w:hint="eastAsia" w:ascii="宋体" w:hAnsi="宋体" w:cs="宋体"/>
                <w:color w:val="000000"/>
                <w:sz w:val="18"/>
                <w:szCs w:val="18"/>
              </w:rPr>
              <w:t>▲</w:t>
            </w:r>
            <w:r>
              <w:rPr>
                <w:rFonts w:ascii="宋体" w:hAnsi="宋体" w:cs="宋体"/>
                <w:color w:val="000000"/>
                <w:sz w:val="18"/>
                <w:szCs w:val="18"/>
              </w:rPr>
              <w:t>28、消毒备案，提供“全国消毒产品网上备案信息服务平台”备案截图。29、具备活氧消毒功能，针对物体表面进行消杀。最高浓度达到26.305mg/m3。设备具有无人状态下使用的臭氧消毒功能，可对教室空间和物体表面进行彻底消杀。臭氧功能为定时启动，自动停止。无需人为操作。开启半小时后自动停止，设备进行通风换气，活氧自动还原为氧气，无残留。臭氧浓度：检测依据：GB 28232-2011《臭氧发生器安全与卫生标准》。</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2台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hint="default" w:ascii="宋体" w:hAnsi="宋体" w:eastAsia="华文楷体" w:cs="宋体"/>
                <w:color w:val="000000"/>
                <w:sz w:val="18"/>
                <w:szCs w:val="18"/>
                <w:lang w:val="en-US" w:eastAsia="zh-CN"/>
              </w:rPr>
            </w:pPr>
            <w:r>
              <w:rPr>
                <w:rFonts w:hint="eastAsia" w:ascii="宋体" w:hAnsi="宋体" w:cs="宋体"/>
                <w:color w:val="000000"/>
                <w:sz w:val="18"/>
                <w:szCs w:val="18"/>
                <w:lang w:val="en-US" w:eastAsia="zh-CN"/>
              </w:rPr>
              <w:t>30</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新风系统安装调试</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新风系统的升级改造安装实施，含安装辅材：不锈钢风帽、PVC管道、消音软管、不锈钢卡箍、电源线、管道卡箍、深槽控制器暗盒、直接管、发泡胶、PVC胶水、螺丝杆。</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2套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30</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实训基地整体装修</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sz w:val="18"/>
                <w:szCs w:val="18"/>
              </w:rPr>
              <w:t>装修要求：虚拟仿真教室及配套环境的定制装修：包含但不仅限于原教室内设备及装饰拆除；原有教室装修拆除，原有灯具拆除；</w:t>
            </w:r>
            <w:r>
              <w:rPr>
                <w:rFonts w:ascii="宋体" w:hAnsi="宋体"/>
                <w:color w:val="FF0000"/>
                <w:sz w:val="18"/>
                <w:szCs w:val="18"/>
              </w:rPr>
              <w:t>（1）136平方米虚拟仿真教室墙面基础处理：</w:t>
            </w:r>
            <w:r>
              <w:rPr>
                <w:rFonts w:ascii="宋体" w:hAnsi="宋体" w:cs="宋体"/>
                <w:sz w:val="18"/>
                <w:szCs w:val="18"/>
              </w:rPr>
              <w:t>￠10全丝吊筋套膨胀管，U型50规格轻钢主龙骨；教室四周制作石膏板吊顶造型1：所有线路铺设后装饰遮挡2：安装内嵌式筒灯3：为了与格栅顶衔接更为美观均为异型石膏板吊顶，还要制作软膜天花基础；处理石膏板吊顶与原有的横梁三面基础1：石膏板接缝处防开裂修补2：石膏板接缝处绷带粘贴3：粉刷石膏修补4：两遍腻子刮涂，打磨平整，乳胶漆刷涂；底宽5公分，高度为4公分的白色格栅方通吊顶。</w:t>
            </w:r>
            <w:r>
              <w:rPr>
                <w:rFonts w:ascii="宋体" w:hAnsi="宋体" w:cs="宋体"/>
                <w:color w:val="FF0000"/>
                <w:sz w:val="18"/>
                <w:szCs w:val="18"/>
              </w:rPr>
              <w:t>（2）顶面（急救室）</w:t>
            </w:r>
            <w:r>
              <w:rPr>
                <w:rFonts w:ascii="宋体" w:hAnsi="宋体"/>
                <w:color w:val="FF0000"/>
                <w:sz w:val="18"/>
                <w:szCs w:val="18"/>
              </w:rPr>
              <w:t>墙面基础处理：</w:t>
            </w:r>
            <w:r>
              <w:rPr>
                <w:rFonts w:ascii="宋体" w:hAnsi="宋体" w:cs="宋体"/>
                <w:sz w:val="18"/>
                <w:szCs w:val="18"/>
              </w:rPr>
              <w:t>￠10全丝吊筋套膨胀管，U型50规格轻钢主龙骨，教室四周制作石膏板吊顶造型1：所有线路铺设后装饰遮挡2：安装内嵌式筒灯3：与格栅顶衔接更为美观；处理石膏板吊顶与原有的横梁三面基础1：石膏板接缝处防开裂修补2：石膏板接缝处绷带粘贴3：粉刷石膏修补4：两遍腻子刮涂，打磨平整，乳胶漆刷涂；底宽5公分，高度为4公分的黑色格栅方通吊顶；</w:t>
            </w:r>
            <w:r>
              <w:rPr>
                <w:rFonts w:ascii="宋体" w:hAnsi="宋体" w:cs="宋体"/>
                <w:color w:val="FF0000"/>
                <w:sz w:val="18"/>
                <w:szCs w:val="18"/>
              </w:rPr>
              <w:t>（3）</w:t>
            </w:r>
            <w:bookmarkStart w:id="79" w:name="OLE_LINK31"/>
            <w:bookmarkStart w:id="80" w:name="OLE_LINK21"/>
            <w:r>
              <w:rPr>
                <w:rFonts w:ascii="宋体" w:hAnsi="宋体" w:cs="宋体"/>
                <w:color w:val="FF0000"/>
                <w:sz w:val="18"/>
                <w:szCs w:val="18"/>
              </w:rPr>
              <w:t>四楼过道132平方面顶面</w:t>
            </w:r>
            <w:bookmarkEnd w:id="79"/>
            <w:bookmarkEnd w:id="80"/>
            <w:r>
              <w:rPr>
                <w:rFonts w:ascii="宋体" w:hAnsi="宋体" w:cs="宋体"/>
                <w:color w:val="FF0000"/>
                <w:sz w:val="18"/>
                <w:szCs w:val="18"/>
              </w:rPr>
              <w:t>：</w:t>
            </w:r>
            <w:r>
              <w:rPr>
                <w:rFonts w:ascii="宋体" w:hAnsi="宋体" w:cs="宋体"/>
                <w:sz w:val="18"/>
                <w:szCs w:val="18"/>
              </w:rPr>
              <w:t>￠10全丝吊筋套膨胀管，U型50规格轻钢主龙骨，墙面四周制作石膏板吊顶造型1：所有线路铺设后装饰遮挡2：安装内嵌式灯条3：与格栅顶衔接更为美观；处理石膏板吊顶与原有的横梁三面基础1：石膏板接缝处防开裂修补2：石膏板接缝处绷带粘贴3：粉刷石膏修补4：两遍腻子刮涂，打磨平整，乳胶漆刷涂；底宽5公分，高度为4公分的黑色格栅方通吊顶。</w:t>
            </w:r>
            <w:r>
              <w:rPr>
                <w:rFonts w:ascii="宋体" w:hAnsi="宋体" w:cs="宋体"/>
                <w:color w:val="FF0000"/>
                <w:sz w:val="18"/>
                <w:szCs w:val="18"/>
              </w:rPr>
              <w:t>（4）墙面造型（实训室+急救室+走道）：</w:t>
            </w:r>
            <w:r>
              <w:rPr>
                <w:rFonts w:ascii="宋体" w:hAnsi="宋体" w:cs="宋体"/>
                <w:sz w:val="18"/>
                <w:szCs w:val="18"/>
              </w:rPr>
              <w:t>580平方米墙面石膏板造型，黑板，裸眼3D,VR，AR展示墙面都采用造型不一致的石膏板造型1：制作该造型要求使用材料，牢固，环保:2：智慧黑板背景石膏板造型要求石膏板造型局部制作暗藏灯带，安装氛围灯:3：所有造型石膏板接缝处都要填补防裂膏工艺，阴阳角都要做修补；580平方米墙面基层处理+乳胶漆刷涂：1：石膏板接缝处防开裂修补2：石膏板接缝处绷带粘贴3：阴阳角使用成品PVC阴阳角修直，粉刷石膏修补4：两遍腻子刮涂，打磨平整，乳胶漆刷涂，乳胶漆采用多乐士家丽安竹炭净味系列，根据效果图和色卡，确定好墙面颜色；10cm高竹炭纤维踢脚线；实训室镜面不锈钢背景，实训室字背景处；文化建设：所有墙面文化建设部分制作，制作基层为UV板+亚克力；走道，室内的亚克力字制作带安装，为发光字；</w:t>
            </w:r>
            <w:r>
              <w:rPr>
                <w:rFonts w:ascii="宋体" w:hAnsi="宋体" w:cs="宋体"/>
                <w:color w:val="FF0000"/>
                <w:sz w:val="18"/>
                <w:szCs w:val="18"/>
              </w:rPr>
              <w:t>（5）电气线路及设备：</w:t>
            </w:r>
            <w:r>
              <w:rPr>
                <w:rFonts w:ascii="宋体" w:hAnsi="宋体" w:cs="宋体"/>
                <w:sz w:val="18"/>
                <w:szCs w:val="18"/>
              </w:rPr>
              <w:t>电线敷设（照明），1：墙面采用开槽预埋工艺2：现场所有线路选用2.5平方（特变电工系列线缆）阻燃电线，包括防静电地板下电脑机位电路铺设，放置金属线（KBG）管，裸眼3D位置，VR和AR展示墙面开槽布置线路2:电缆线铺设人工，穿管，线鼻子，配电箱安装等人工工费；内嵌条形灯：黑色灯体，色温为6000K白光，直径不低于50cm；灯带：暖色4000KLED灯带安装，蓝色灯带；30套内嵌式筒灯：石膏板吊顶造型内暗装嵌入式射灯，墙体展示画面，背景造型位置安装氛围射灯，射灯开孔尺寸为14CM，功率为12瓦，根据屏幕需要单独控制，有效避免对屏幕的影响；10套六边形灯具：黑色斗胆射灯为补偿光源，需要高亮度教学环境时打开斗胆灯照明；线性灯：墙面，顶面的线性灯以及安装，开槽等；实训室顶面星空软膜天花；</w:t>
            </w:r>
            <w:r>
              <w:rPr>
                <w:rFonts w:hint="eastAsia" w:ascii="宋体" w:hAnsi="宋体" w:cs="宋体"/>
                <w:sz w:val="18"/>
                <w:szCs w:val="18"/>
              </w:rPr>
              <w:t>国标</w:t>
            </w:r>
            <w:r>
              <w:rPr>
                <w:rFonts w:ascii="宋体" w:hAnsi="宋体" w:cs="宋体"/>
                <w:sz w:val="18"/>
                <w:szCs w:val="18"/>
              </w:rPr>
              <w:t>开关面板；4平方铜芯电缆线，复合国家安全标准，为了保证足够的用电负荷，空调设备电源单独回路；原有配电箱作废，重新制作5回路配电箱（</w:t>
            </w:r>
            <w:r>
              <w:rPr>
                <w:rFonts w:hint="eastAsia" w:ascii="宋体" w:hAnsi="宋体" w:cs="宋体"/>
                <w:sz w:val="18"/>
                <w:szCs w:val="18"/>
              </w:rPr>
              <w:t>国标</w:t>
            </w:r>
            <w:r>
              <w:rPr>
                <w:rFonts w:ascii="宋体" w:hAnsi="宋体" w:cs="宋体"/>
                <w:sz w:val="18"/>
                <w:szCs w:val="18"/>
              </w:rPr>
              <w:t>电气元件制作），重新使用16平方电缆线铺设进入教室的主电缆线，包括电缆线（</w:t>
            </w:r>
            <w:r>
              <w:rPr>
                <w:rFonts w:hint="eastAsia" w:ascii="宋体" w:hAnsi="宋体" w:cs="宋体"/>
                <w:sz w:val="18"/>
                <w:szCs w:val="18"/>
              </w:rPr>
              <w:t>国标</w:t>
            </w:r>
            <w:r>
              <w:rPr>
                <w:rFonts w:ascii="宋体" w:hAnsi="宋体" w:cs="宋体"/>
                <w:sz w:val="18"/>
                <w:szCs w:val="18"/>
              </w:rPr>
              <w:t>工系列电缆线）；双层窗帘，一层是白纱，一层布艺；过道142平方米塑胶地板，采用自流平工艺，2毫米密实底塑胶地板铺设；（6）拆除以及施工费用：中间隔墙拆除，人工切割，装袋，背用至楼下，装车清理，拆除垃圾装车倾倒至市政指定的垃圾车进行倾倒，人员施工，物流，保洁，搬运等全部费用。投标单位自行到单位测量面积，按校方要求</w:t>
            </w:r>
            <w:r>
              <w:rPr>
                <w:rFonts w:hint="eastAsia" w:ascii="宋体" w:hAnsi="宋体" w:cs="宋体"/>
                <w:sz w:val="18"/>
                <w:szCs w:val="18"/>
              </w:rPr>
              <w:t>，建设方出</w:t>
            </w:r>
            <w:r>
              <w:rPr>
                <w:rFonts w:ascii="宋体" w:hAnsi="宋体" w:cs="宋体"/>
                <w:sz w:val="18"/>
                <w:szCs w:val="18"/>
              </w:rPr>
              <w:t>投标效果图</w:t>
            </w:r>
            <w:r>
              <w:rPr>
                <w:rFonts w:hint="eastAsia" w:ascii="宋体" w:hAnsi="宋体" w:cs="宋体"/>
                <w:sz w:val="18"/>
                <w:szCs w:val="18"/>
              </w:rPr>
              <w:t>并按要求进行</w:t>
            </w:r>
            <w:r>
              <w:rPr>
                <w:rFonts w:ascii="宋体" w:hAnsi="宋体" w:cs="宋体"/>
                <w:sz w:val="18"/>
                <w:szCs w:val="18"/>
              </w:rPr>
              <w:t>装修。</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1项</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31</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themeColor="text1"/>
                <w:sz w:val="18"/>
                <w:szCs w:val="18"/>
                <w14:textFill>
                  <w14:solidFill>
                    <w14:schemeClr w14:val="tx1"/>
                  </w14:solidFill>
                </w14:textFill>
              </w:rPr>
              <w:t>高清小间距LED示教屏</w:t>
            </w:r>
          </w:p>
        </w:tc>
        <w:tc>
          <w:tcPr>
            <w:tcW w:w="6887" w:type="dxa"/>
            <w:vAlign w:val="center"/>
          </w:tcPr>
          <w:p>
            <w:pPr>
              <w:pStyle w:val="100"/>
              <w:spacing w:before="58" w:after="58"/>
              <w:ind w:firstLine="0" w:firstLineChars="0"/>
              <w:rPr>
                <w:rFonts w:ascii="宋体" w:hAnsi="宋体" w:cs="宋体"/>
                <w:b/>
                <w:bCs/>
                <w:color w:val="000000"/>
                <w:sz w:val="18"/>
                <w:szCs w:val="18"/>
              </w:rPr>
            </w:pPr>
            <w:r>
              <w:rPr>
                <w:color w:val="000000"/>
                <w:sz w:val="18"/>
                <w:szCs w:val="18"/>
              </w:rPr>
              <w:t>1.显示尺寸：</w:t>
            </w:r>
            <w:r>
              <w:rPr>
                <w:rFonts w:hint="eastAsia"/>
                <w:color w:val="000000"/>
                <w:sz w:val="18"/>
                <w:szCs w:val="18"/>
                <w:highlight w:val="cyan"/>
              </w:rPr>
              <w:t>4.15m*2.4m</w:t>
            </w:r>
            <w:r>
              <w:rPr>
                <w:rFonts w:hint="eastAsia"/>
                <w:color w:val="000000"/>
                <w:sz w:val="18"/>
                <w:szCs w:val="18"/>
                <w:lang w:eastAsia="zh-CN"/>
              </w:rPr>
              <w:t>，</w:t>
            </w:r>
            <w:r>
              <w:rPr>
                <w:color w:val="000000"/>
                <w:sz w:val="18"/>
                <w:szCs w:val="18"/>
              </w:rPr>
              <w:t>总面积9.96平方米，像素点间距≤1.86mm</w:t>
            </w:r>
            <w:r>
              <w:rPr>
                <w:rFonts w:hint="eastAsia"/>
                <w:color w:val="000000"/>
                <w:sz w:val="18"/>
                <w:szCs w:val="18"/>
                <w:lang w:eastAsia="zh-CN"/>
              </w:rPr>
              <w:t>；</w:t>
            </w:r>
            <w:r>
              <w:rPr>
                <w:color w:val="000000"/>
                <w:sz w:val="18"/>
                <w:szCs w:val="18"/>
              </w:rPr>
              <w:t>2.最大亮度：0-1500cd / m²可调，具有蓝光抑制功能；3.平整度： C级，P≤0.05 mm,支持6轴向精密微调；4.亮度均匀性：99.5%；色域：≥125%NTSC；5.色度均匀性：-0.0001＜Cx＜0.0001，-0.0001＜Cy＜0.0001(校正后)；6.换帧频率：C级，50&amp;60Hz，支持120Hz等3D显示技术，刷新频率：C级，≥3840Hz；7.最高对比度：</w:t>
            </w:r>
            <w:r>
              <w:rPr>
                <w:rFonts w:hint="eastAsia"/>
                <w:color w:val="000000"/>
                <w:sz w:val="18"/>
                <w:szCs w:val="18"/>
              </w:rPr>
              <w:t>≥3000</w:t>
            </w:r>
            <w:r>
              <w:rPr>
                <w:color w:val="000000"/>
                <w:sz w:val="18"/>
                <w:szCs w:val="18"/>
              </w:rPr>
              <w:t>:1，色温：500K-18000K可调，水平视角</w:t>
            </w:r>
            <w:r>
              <w:rPr>
                <w:rFonts w:hint="eastAsia"/>
                <w:color w:val="000000"/>
                <w:sz w:val="18"/>
                <w:szCs w:val="18"/>
              </w:rPr>
              <w:t>≥</w:t>
            </w:r>
            <w:r>
              <w:rPr>
                <w:color w:val="000000"/>
                <w:sz w:val="18"/>
                <w:szCs w:val="18"/>
              </w:rPr>
              <w:t>17</w:t>
            </w:r>
            <w:r>
              <w:rPr>
                <w:rFonts w:hint="eastAsia"/>
                <w:color w:val="000000"/>
                <w:sz w:val="18"/>
                <w:szCs w:val="18"/>
              </w:rPr>
              <w:t>0</w:t>
            </w:r>
            <w:r>
              <w:rPr>
                <w:color w:val="000000"/>
                <w:sz w:val="18"/>
                <w:szCs w:val="18"/>
              </w:rPr>
              <w:t>度、垂直视角</w:t>
            </w:r>
            <w:r>
              <w:rPr>
                <w:rFonts w:hint="eastAsia"/>
                <w:color w:val="000000"/>
                <w:sz w:val="18"/>
                <w:szCs w:val="18"/>
              </w:rPr>
              <w:t>≥</w:t>
            </w:r>
            <w:r>
              <w:rPr>
                <w:color w:val="000000"/>
                <w:sz w:val="18"/>
                <w:szCs w:val="18"/>
              </w:rPr>
              <w:t>17</w:t>
            </w:r>
            <w:r>
              <w:rPr>
                <w:rFonts w:hint="eastAsia"/>
                <w:color w:val="000000"/>
                <w:sz w:val="18"/>
                <w:szCs w:val="18"/>
              </w:rPr>
              <w:t>0</w:t>
            </w:r>
            <w:r>
              <w:rPr>
                <w:color w:val="000000"/>
                <w:sz w:val="18"/>
                <w:szCs w:val="18"/>
              </w:rPr>
              <w:t>度；8.外壳防护等级：达到C级标准，F≥IP6 X；表面硬度：≥HRC12,防静电，防撞击，防磕碰；9.峰值功耗：</w:t>
            </w:r>
            <w:r>
              <w:rPr>
                <w:rFonts w:hint="eastAsia"/>
                <w:color w:val="000000"/>
                <w:sz w:val="18"/>
                <w:szCs w:val="18"/>
              </w:rPr>
              <w:t>≥</w:t>
            </w:r>
            <w:r>
              <w:rPr>
                <w:color w:val="000000"/>
                <w:sz w:val="18"/>
                <w:szCs w:val="18"/>
              </w:rPr>
              <w:t>223w/m²，平均功耗：</w:t>
            </w:r>
            <w:r>
              <w:rPr>
                <w:rFonts w:hint="eastAsia"/>
                <w:color w:val="000000"/>
                <w:sz w:val="18"/>
                <w:szCs w:val="18"/>
              </w:rPr>
              <w:t>≥</w:t>
            </w:r>
            <w:r>
              <w:rPr>
                <w:color w:val="000000"/>
                <w:sz w:val="18"/>
                <w:szCs w:val="18"/>
              </w:rPr>
              <w:t>100w/m²；10.支持抗强光干扰，可抵抗太阳光等强光干扰，照度在95K Lux能正常观看；具备智能光感护眼功能：显示単元可自动识别环境光强弱，根据环境光变化调节屏幕亮度；11.通过光生物安全及蓝光危害测试，满足蓝光视网膜危害等级检测要求，符合肉眼观看标准；样品在标准工作环境下使用配套材 料点亮，样品在亮度300~330 (cd/m2) 时点亮所需的功率应＜12W；</w:t>
            </w:r>
            <w:r>
              <w:rPr>
                <w:rFonts w:hint="eastAsia"/>
                <w:color w:val="000000"/>
                <w:sz w:val="18"/>
                <w:szCs w:val="18"/>
              </w:rPr>
              <w:t>（提供检测报告）</w:t>
            </w:r>
            <w:r>
              <w:rPr>
                <w:color w:val="000000"/>
                <w:sz w:val="18"/>
                <w:szCs w:val="18"/>
              </w:rPr>
              <w:t>14.通过震动测试：振动试验按GB/T6587的规定对显示模组进行。在振动频率5Hz-55Hz-5Hz,振幅为 0.19mm 的 条件下，一次扫描5min,互相垂直的 二个轴向各扫描二次，试验后样品外 观结构和功能均应正常；15.支持图像增强技术， 采用先进的Y校正技术，可通过调整 Y曲线提升图像清晰度、对比度、饱和度、色度和流畅度等视觉效果，支持</w:t>
            </w:r>
            <w:r>
              <w:rPr>
                <w:rFonts w:ascii="Calibri" w:hAnsi="Calibri" w:cs="Calibri"/>
                <w:color w:val="000000"/>
                <w:sz w:val="18"/>
                <w:szCs w:val="18"/>
              </w:rPr>
              <w:t>γ</w:t>
            </w:r>
            <w:r>
              <w:rPr>
                <w:color w:val="000000"/>
                <w:sz w:val="18"/>
                <w:szCs w:val="18"/>
              </w:rPr>
              <w:t>校正，支持</w:t>
            </w:r>
            <w:r>
              <w:rPr>
                <w:rFonts w:ascii="Calibri" w:hAnsi="Calibri" w:cs="Calibri"/>
                <w:color w:val="000000"/>
                <w:sz w:val="18"/>
                <w:szCs w:val="18"/>
              </w:rPr>
              <w:t>γ</w:t>
            </w:r>
            <w:r>
              <w:rPr>
                <w:color w:val="000000"/>
                <w:sz w:val="18"/>
                <w:szCs w:val="18"/>
              </w:rPr>
              <w:t>校正曲线≥20条；16.节能：当样品与亮度相同的常规款产品在相同环境下点亮时，样品点亮所需的功率应为普通常规产品的50%~60%；17.显示屏厂家：原厂授权书、原厂售后服务承诺书</w:t>
            </w:r>
            <w:r>
              <w:rPr>
                <w:rFonts w:hint="eastAsia"/>
                <w:color w:val="000000"/>
                <w:sz w:val="18"/>
                <w:szCs w:val="18"/>
              </w:rPr>
              <w:t>；以上参数需</w:t>
            </w:r>
            <w:r>
              <w:rPr>
                <w:color w:val="000000"/>
                <w:sz w:val="18"/>
                <w:szCs w:val="18"/>
              </w:rPr>
              <w:t>提供第三方权威检测机构出具的检验报告复印件加盖厂商公章。</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color w:val="000000"/>
                <w:sz w:val="18"/>
                <w:szCs w:val="18"/>
              </w:rPr>
              <w:t>9.96㎡</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32</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视频处理器</w:t>
            </w:r>
          </w:p>
        </w:tc>
        <w:tc>
          <w:tcPr>
            <w:tcW w:w="6887" w:type="dxa"/>
            <w:vAlign w:val="center"/>
          </w:tcPr>
          <w:p>
            <w:pPr>
              <w:pStyle w:val="100"/>
              <w:spacing w:before="58" w:after="58"/>
              <w:ind w:firstLine="0" w:firstLineChars="0"/>
              <w:rPr>
                <w:rFonts w:ascii="宋体" w:hAnsi="宋体" w:cs="宋体"/>
                <w:b/>
                <w:bCs/>
                <w:color w:val="000000"/>
                <w:sz w:val="18"/>
                <w:szCs w:val="18"/>
              </w:rPr>
            </w:pPr>
            <w:r>
              <w:rPr>
                <w:color w:val="000000"/>
                <w:sz w:val="18"/>
                <w:szCs w:val="18"/>
              </w:rPr>
              <w:t>1.管理功能：多个用户可以使用客户端或IE同时登陆管理设备，具备3D处理功能；2.移动终端控制功能：支持Windows、Android、I0S移动终端同时进行操控设备；3.窗口叠加功能：应能通过通信端口和控制软件，手动操作将多个不同的窗口开到一个屏幕，实现窗口的重叠功能；4.回显功能：可以在客户端上回显显示终端上的图像画面；5.窗口漫游功能：应能通过通信端口和控制软件，手动操作将任意一个窗口拖动到显示终端的任意位置；6.图像切换：切换图像显示重建时间应不大于1s；7.预览功能：可以在客户端上实时预览输入信号源的图像画面；8.跨屏显示功能：应能通过通信端口和控制软件，手动操作将任意一个窗口拖动到多个显示终端的拼接显示；9.绝缘电阻检测：电源(a. c.)引入端子与外壳裸露金属部 件之间的绝缘电阻在正常大气条件下应&amp; 100MQ,湿热条件下应≥10MQ；10.窗口缩放功能和切割功能：应能通过通信端口和控制软件，手动操 作将窗口进行任意的放大和缩小的功能，并可以对窗口显示图像进行局部截取功能；11.边缘屏蔽功能：在进行画面拼接时，能将相邻2个画面之间的边缘像素进行屏蔽，使画面不变形。屏蔽的像素可手动设置；12.像素裁剪功能：可根据像素位置裁剪显示输入信号的部分内容，实现图像局部放大；13.网格、坐标定位：支持窗口网络、坐标定位功能；14.开窗口功能：应能通过通信端口和控制软件，手动操作在任意输出终端显示多个任意大小的窗口；15.软件自检测功能检查：客户端软件可以自动检测样品设备上的输入端口、输出端口、接入的输入信号和接入的显示终端，并通过列表的方式展现。16.扩展显示标识数据管理功能：支持扩展显示标识数据的读取、修改功能，可修改监视器的分辨率、色彩、频率等参数；17.场景功能：支持≥128个场景的预设和读取调用，所有场景均可自动定时轮巡以及分组轮 巡切换显示；18.预览分割功能：支持16/12/9/8/4/1等多种预览分割模式；19.分组功能：支持解码输出分组设置，扩展控制多个显示终端，支持最多8个分组；20.名称自定义功能：可自定义信号源、窗口名称。</w:t>
            </w:r>
            <w:r>
              <w:rPr>
                <w:rFonts w:hint="eastAsia"/>
                <w:color w:val="000000"/>
                <w:sz w:val="18"/>
                <w:szCs w:val="18"/>
              </w:rPr>
              <w:t>以上技术参数</w:t>
            </w:r>
            <w:r>
              <w:rPr>
                <w:color w:val="000000"/>
                <w:sz w:val="18"/>
                <w:szCs w:val="18"/>
              </w:rPr>
              <w:t>需提供第三方权威检测机构出具的检验报告复印件加盖厂商公章。</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color w:val="000000"/>
                <w:sz w:val="18"/>
                <w:szCs w:val="18"/>
              </w:rPr>
              <w:t>1台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33</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控制主机（国产商用机）</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国产商用机，CPU：8核/16线程 3.3/3.0GHz 16MB缓存 及以上，主板芯片组：Hygon C86；32G DDR4内存，4个DIMM插槽，最大支持 128 GB；M.2 PCIex4 SSD 1024G 固态，支持固态+机械硬盘的双硬盘模式；6G独立显卡；千兆网卡；接口：前置4个USB 3.2 Gen1，1个耳机，1个麦克；1个COM，1个RJ45，</w:t>
            </w:r>
            <w:r>
              <w:rPr>
                <w:rFonts w:ascii="宋体" w:hAnsi="宋体" w:cs="宋体"/>
                <w:sz w:val="18"/>
                <w:szCs w:val="18"/>
              </w:rPr>
              <w:t>≥</w:t>
            </w:r>
            <w:r>
              <w:rPr>
                <w:rFonts w:hint="eastAsia" w:ascii="宋体" w:hAnsi="宋体" w:cs="宋体"/>
                <w:sz w:val="18"/>
                <w:szCs w:val="18"/>
              </w:rPr>
              <w:t>4</w:t>
            </w:r>
            <w:r>
              <w:rPr>
                <w:rFonts w:ascii="宋体" w:hAnsi="宋体" w:cs="宋体"/>
                <w:color w:val="000000"/>
                <w:sz w:val="18"/>
                <w:szCs w:val="18"/>
              </w:rPr>
              <w:t>个USB3.2 Gen1，1*Audio-Out, Mic-in, Line-out；集成声卡；原厂USB键盘/鼠标；电源≥550W；机箱≥15L，后面板有串并口专用扩展位，前置开关键、Reset键；插槽：1 x PCIex16；1 x PCIex1；1 x PCIex8；1 x PCIex16；操作系统：配置国产操作系统、流式软件、版式软件、防病毒软件，全部软件免费三年升级服务；27英寸2K IPS屏2560x1440,可升降旋转底座（HDMI+DP+SPK+Audio Out ）120HZ高刷显示器；认证：投标产品通过电磁辐射B级试验，低于国家标准10dB；投标产品通过外壳防护等级试验，达到IP5X的要求，提供认证证书</w:t>
            </w:r>
            <w:r>
              <w:rPr>
                <w:rFonts w:hint="eastAsia" w:ascii="宋体" w:hAnsi="宋体" w:cs="宋体"/>
                <w:color w:val="000000"/>
                <w:sz w:val="18"/>
                <w:szCs w:val="18"/>
              </w:rPr>
              <w:t>，</w:t>
            </w:r>
            <w:r>
              <w:rPr>
                <w:rFonts w:ascii="宋体" w:hAnsi="宋体" w:cs="宋体"/>
                <w:color w:val="000000"/>
                <w:sz w:val="18"/>
                <w:szCs w:val="18"/>
              </w:rPr>
              <w:t>五年原厂质保服务承诺。</w:t>
            </w:r>
          </w:p>
        </w:tc>
        <w:tc>
          <w:tcPr>
            <w:tcW w:w="756" w:type="dxa"/>
            <w:vAlign w:val="center"/>
          </w:tcPr>
          <w:p>
            <w:pPr>
              <w:pStyle w:val="148"/>
              <w:ind w:left="0" w:leftChars="0" w:firstLine="0" w:firstLineChars="0"/>
              <w:jc w:val="both"/>
              <w:rPr>
                <w:rFonts w:ascii="宋体" w:hAnsi="宋体" w:cs="宋体"/>
                <w:color w:val="000000"/>
                <w:sz w:val="18"/>
                <w:szCs w:val="18"/>
              </w:rPr>
            </w:pPr>
            <w:r>
              <w:rPr>
                <w:rFonts w:ascii="宋体" w:hAnsi="宋体" w:cs="宋体"/>
                <w:color w:val="000000"/>
                <w:sz w:val="18"/>
                <w:szCs w:val="18"/>
              </w:rPr>
              <w:t>1套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34</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接收卡</w:t>
            </w:r>
          </w:p>
        </w:tc>
        <w:tc>
          <w:tcPr>
            <w:tcW w:w="6887" w:type="dxa"/>
            <w:vAlign w:val="center"/>
          </w:tcPr>
          <w:p>
            <w:pPr>
              <w:pStyle w:val="100"/>
              <w:spacing w:before="58" w:after="58"/>
              <w:ind w:firstLine="0" w:firstLineChars="0"/>
              <w:rPr>
                <w:rFonts w:ascii="宋体" w:hAnsi="宋体" w:cs="宋体"/>
                <w:b/>
                <w:bCs/>
                <w:color w:val="000000"/>
                <w:sz w:val="18"/>
                <w:szCs w:val="18"/>
              </w:rPr>
            </w:pPr>
            <w:r>
              <w:rPr>
                <w:sz w:val="18"/>
                <w:szCs w:val="18"/>
              </w:rPr>
              <w:t>支持网线通讯状态监测，校正衰减算法，自然老化，支持千兆网口调试功能，可通过网线直接连接PC端进行调试和显示，支持3D功能的独立主控，在软件或独立主控的操作面板上开启3D功能，并设置3D参数，使画面显示3D效果，支持22bit+技术，精细灰度</w:t>
            </w:r>
            <w:r>
              <w:rPr>
                <w:rFonts w:hint="eastAsia"/>
                <w:sz w:val="18"/>
                <w:szCs w:val="18"/>
              </w:rPr>
              <w:t>。</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sz w:val="18"/>
                <w:szCs w:val="18"/>
              </w:rPr>
              <w:t>28张</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35</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电源</w:t>
            </w:r>
          </w:p>
        </w:tc>
        <w:tc>
          <w:tcPr>
            <w:tcW w:w="6887" w:type="dxa"/>
            <w:vAlign w:val="center"/>
          </w:tcPr>
          <w:p>
            <w:pPr>
              <w:pStyle w:val="100"/>
              <w:spacing w:before="58" w:after="58"/>
              <w:ind w:firstLine="0" w:firstLineChars="0"/>
              <w:rPr>
                <w:rFonts w:ascii="宋体" w:hAnsi="宋体" w:cs="宋体"/>
                <w:b/>
                <w:bCs/>
                <w:color w:val="000000"/>
                <w:sz w:val="18"/>
                <w:szCs w:val="18"/>
              </w:rPr>
            </w:pPr>
            <w:r>
              <w:rPr>
                <w:sz w:val="18"/>
                <w:szCs w:val="18"/>
              </w:rPr>
              <w:t>5V40A-200W节能、过流、过压、过载、过温保护，额定负载的范围内电源保护，去载恢复正常输出，输出端短路时电源保护,去掉短路恢复正常输出，</w:t>
            </w:r>
            <w:r>
              <w:rPr>
                <w:rFonts w:hint="eastAsia"/>
                <w:sz w:val="18"/>
                <w:szCs w:val="18"/>
              </w:rPr>
              <w:t>提供产品3</w:t>
            </w:r>
            <w:r>
              <w:rPr>
                <w:sz w:val="18"/>
                <w:szCs w:val="18"/>
              </w:rPr>
              <w:t>C</w:t>
            </w:r>
            <w:r>
              <w:rPr>
                <w:rFonts w:hint="eastAsia"/>
                <w:sz w:val="18"/>
                <w:szCs w:val="18"/>
              </w:rPr>
              <w:t>证书加加盖厂商鲜章</w:t>
            </w:r>
            <w:r>
              <w:rPr>
                <w:sz w:val="18"/>
                <w:szCs w:val="18"/>
              </w:rPr>
              <w:t xml:space="preserve">。                                                                                                                                              </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sz w:val="18"/>
                <w:szCs w:val="18"/>
              </w:rPr>
              <w:t>50个</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36</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功放</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功放：标准2U机箱高度，适用专业机柜安装放置；蓝牙.MP3\SD.DVD.BMG共5组音频信号输入和一组录音信号输出；带USB接口,SD卡接口的MP3音乐格式播放.蓝牙播放格式为4.0版本,音色更清晰；专业级卡拉OK数码混响效果芯片，增加按键开关可根据现场情况调节，声音延迟效果可调；音乐信号具备高低音调节,5路（前3+后2）麦克风输入,MIC1话筒独立调节，MIC2和MIC4音量增益调节旋钮共用，MIC3和MIC5音量增益调节旋钮共用；MIC4-MIC5带48V幻相电源，可以驱动电容麦克风；采用智能式风扇散热系统，电子强力风扇，随信号大小控制风扇转速,避免机内过热，使设备工作在最佳状态；整机具备四路输出端子，功率放大器电路多重保护设施（短路.直流.高温.过载）；主要技术参数：输出功率(1 KHz)：8Ω 250W*2 ； 4Ω 350W*2；MIC输入灵敏度：10mV；音频信号输入灵敏度：200mV；信噪比：≥90dB A计权；分离度：50dB A计权；谐波互调失真(1 KHz, 150mV输入)：0.17%；频率响应：20Hz ~ 20KHz；麦克风音调：80Hz+15dB    3.5KHz+ 8dB    12KHz+ 15dB；回响音调：80Hz+ 15dB，12KHz+ 15dB；三年原厂质保承诺。</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1台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37</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音箱</w:t>
            </w:r>
          </w:p>
        </w:tc>
        <w:tc>
          <w:tcPr>
            <w:tcW w:w="6887" w:type="dxa"/>
            <w:vAlign w:val="center"/>
          </w:tcPr>
          <w:p>
            <w:pPr>
              <w:pStyle w:val="100"/>
              <w:spacing w:before="58" w:after="58"/>
              <w:ind w:firstLine="0" w:firstLineChars="0"/>
              <w:rPr>
                <w:rFonts w:ascii="宋体" w:hAnsi="宋体" w:cs="宋体"/>
                <w:b/>
                <w:bCs/>
                <w:color w:val="000000"/>
                <w:sz w:val="18"/>
                <w:szCs w:val="18"/>
              </w:rPr>
            </w:pPr>
            <w:r>
              <w:rPr>
                <w:color w:val="000000"/>
                <w:sz w:val="18"/>
                <w:szCs w:val="18"/>
              </w:rPr>
              <w:t>主要技术参数：两路两单元低音音箱，频率响应：30Hz-18kHz±3dB，灵敏度：95dB/1W/1M@±2dB，额定功率：150W/8</w:t>
            </w:r>
            <w:r>
              <w:rPr>
                <w:rFonts w:ascii="Calibri" w:hAnsi="Calibri" w:cs="Calibri"/>
                <w:color w:val="000000"/>
                <w:sz w:val="18"/>
                <w:szCs w:val="18"/>
              </w:rPr>
              <w:t>Ω</w:t>
            </w:r>
            <w:r>
              <w:rPr>
                <w:color w:val="000000"/>
                <w:sz w:val="18"/>
                <w:szCs w:val="18"/>
              </w:rPr>
              <w:t>，峰值功率：300W/8</w:t>
            </w:r>
            <w:r>
              <w:rPr>
                <w:rFonts w:ascii="Calibri" w:hAnsi="Calibri" w:cs="Calibri"/>
                <w:color w:val="000000"/>
                <w:sz w:val="18"/>
                <w:szCs w:val="18"/>
              </w:rPr>
              <w:t>Ω</w:t>
            </w:r>
            <w:r>
              <w:rPr>
                <w:color w:val="000000"/>
                <w:sz w:val="18"/>
                <w:szCs w:val="18"/>
              </w:rPr>
              <w:t>，高音：3”×2，低音：10"×1，连接器：2P HiFi线盒，箱体材质：12mm高密度纤维板，表面处理：黑色PVC胶皮。三年原厂质保承诺。</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2支</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38</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技术服务</w:t>
            </w:r>
          </w:p>
        </w:tc>
        <w:tc>
          <w:tcPr>
            <w:tcW w:w="6887" w:type="dxa"/>
            <w:vAlign w:val="center"/>
          </w:tcPr>
          <w:p>
            <w:pPr>
              <w:pStyle w:val="100"/>
              <w:spacing w:before="58" w:after="58"/>
              <w:ind w:firstLine="0" w:firstLineChars="0"/>
              <w:rPr>
                <w:rFonts w:ascii="宋体" w:hAnsi="宋体" w:cs="宋体"/>
                <w:b/>
                <w:bCs/>
                <w:color w:val="000000"/>
                <w:sz w:val="18"/>
                <w:szCs w:val="18"/>
              </w:rPr>
            </w:pPr>
            <w:r>
              <w:rPr>
                <w:sz w:val="18"/>
                <w:szCs w:val="18"/>
              </w:rPr>
              <w:t>1、技术人员安装、调试、培训等服务；2、显示屏结构：整体框架材料严格测试，符合国标要求，大屏幕安装配套，钢结构应符合GB700-88规定的钢要求，保证其抗拉强度、伸长率、屈服点，碳、硫、磷的极限含量，要求抗绣，抗腐蚀，稳定牢固，含不锈钢包边≥4.26*2.34米；3、屏体配套线材辅料，包含电源线、三芯线、排线、短网线、磁铁等。</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sz w:val="18"/>
                <w:szCs w:val="18"/>
              </w:rPr>
              <w:t>9.96㎡</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39</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快门式3D眼镜</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3D影院首选，采用全新人体工学设计，近视也适合 ，TR材质镜脚张驰有度，配带舒适效果好；接收方式：RF射频； 镜片透光度：38%；外观设计：人体工学设计；镜脚：采用可拆式镜脚；重量：约28克，鼻托：一体式鼻托； 供电方式：采用2025号3V纽扣电池，一粒电池连续使用时间约100小时；配备3D眼镜充电柜一个。</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color w:val="000000"/>
                <w:sz w:val="16"/>
                <w:szCs w:val="16"/>
              </w:rPr>
              <w:t>60副</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40</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3D信号发射器</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支持3D VISION功能，适用于采用3DSYNC接口输出的LED屏控制器和3D投影；3D电影机 ,可订制不同频率适应功能，双视角功能，影院个性化功能等；发射方式：RF射频；工作频率:96HZ-144HZ； 频段：2.4G；发射功率：小于10DB；发射距离</w:t>
            </w:r>
            <w:r>
              <w:rPr>
                <w:rFonts w:hint="eastAsia" w:ascii="宋体" w:hAnsi="宋体" w:cs="宋体"/>
                <w:color w:val="000000"/>
                <w:sz w:val="18"/>
                <w:szCs w:val="18"/>
              </w:rPr>
              <w:t>≥</w:t>
            </w:r>
            <w:r>
              <w:rPr>
                <w:rFonts w:ascii="宋体" w:hAnsi="宋体" w:cs="宋体"/>
                <w:color w:val="000000"/>
                <w:sz w:val="18"/>
                <w:szCs w:val="18"/>
              </w:rPr>
              <w:t>75米 （半径）；供电方式：设备直供5V；专利设计，可提供专利证书，同场地可用20个以上配套发射,单个发射可配对眼镜数量2000付以上。</w:t>
            </w:r>
          </w:p>
        </w:tc>
        <w:tc>
          <w:tcPr>
            <w:tcW w:w="756" w:type="dxa"/>
            <w:vAlign w:val="center"/>
          </w:tcPr>
          <w:p>
            <w:pPr>
              <w:pStyle w:val="148"/>
              <w:rPr>
                <w:rFonts w:ascii="宋体" w:hAnsi="宋体" w:cs="宋体"/>
                <w:color w:val="000000"/>
                <w:sz w:val="18"/>
                <w:szCs w:val="18"/>
              </w:rPr>
            </w:pPr>
            <w:r>
              <w:rPr>
                <w:rFonts w:hint="eastAsia"/>
                <w:color w:val="000000"/>
                <w:sz w:val="16"/>
                <w:szCs w:val="16"/>
              </w:rPr>
              <w:t>1台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41</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实训机房安装费</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安装集成费：含4CM全塑PVC线槽，配电箱，60A和32A防漏电开关，10*5CM加厚钢制线槽，几字型支架，PVC线槽配件、线管、黄腊管、理线架，配线架、电源接线盒、膨胀螺丝、自攻螺丝、胀塞及各种接插件等；机房强弱电系统及软硬件系统进行系统集成，整体机房安装、调试、布线、施工等费用。</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1项</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restart"/>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42</w:t>
            </w:r>
          </w:p>
        </w:tc>
        <w:tc>
          <w:tcPr>
            <w:tcW w:w="669" w:type="dxa"/>
            <w:vMerge w:val="restart"/>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超融合服务器</w:t>
            </w:r>
          </w:p>
        </w:tc>
        <w:tc>
          <w:tcPr>
            <w:tcW w:w="1573" w:type="dxa"/>
            <w:tcBorders>
              <w:bottom w:val="single" w:color="auto" w:sz="4" w:space="0"/>
            </w:tcBorders>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超融合服务器硬件</w:t>
            </w:r>
          </w:p>
        </w:tc>
        <w:tc>
          <w:tcPr>
            <w:tcW w:w="6887" w:type="dxa"/>
            <w:tcBorders>
              <w:bottom w:val="single" w:color="auto" w:sz="4" w:space="0"/>
            </w:tcBorders>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超融合服务器硬件要求：1、≤2U 标准机架式一体机；2、CPU：国产 C86 架构处理器，单颗≥32核，主频≥2.</w:t>
            </w:r>
            <w:r>
              <w:rPr>
                <w:rFonts w:hint="eastAsia" w:ascii="宋体" w:hAnsi="宋体" w:cs="宋体"/>
                <w:color w:val="000000"/>
                <w:sz w:val="18"/>
                <w:szCs w:val="18"/>
              </w:rPr>
              <w:t>2</w:t>
            </w:r>
            <w:r>
              <w:rPr>
                <w:rFonts w:ascii="宋体" w:hAnsi="宋体" w:cs="宋体"/>
                <w:color w:val="000000"/>
                <w:sz w:val="18"/>
                <w:szCs w:val="18"/>
              </w:rPr>
              <w:t>HGz，三级缓存≥64M；3、内存：≥128G DDR4 3200MHz 内存；4、硬盘：≥4*4T7.2kSATA 企业级硬盘；≥2*960GB SATA SSD；≥2*480GB SATA SSD；5、RAID 卡：配置独立 RAID 卡，2G8IRAID 卡；6、I/O 接口:提供≥10 个标准 PCIE 遗插槽；并支持 OCP 插槽；7、网口：配置≥4 个千兆电口，2*双口万兆光口卡（含多模光模块）；8、其他：1+1 冗余电源，满配风扇，原厂导轨和电源线。</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3台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669" w:type="dxa"/>
            <w:vMerge w:val="continue"/>
            <w:vAlign w:val="center"/>
          </w:tcPr>
          <w:p>
            <w:pPr>
              <w:pStyle w:val="100"/>
              <w:spacing w:before="58" w:after="58"/>
              <w:ind w:firstLine="0" w:firstLineChars="0"/>
              <w:jc w:val="center"/>
              <w:rPr>
                <w:rFonts w:ascii="宋体" w:hAnsi="宋体" w:cs="宋体"/>
                <w:color w:val="000000"/>
                <w:sz w:val="18"/>
                <w:szCs w:val="18"/>
              </w:rPr>
            </w:pPr>
          </w:p>
        </w:tc>
        <w:tc>
          <w:tcPr>
            <w:tcW w:w="1573" w:type="dxa"/>
            <w:tcBorders>
              <w:top w:val="single" w:color="auto" w:sz="4" w:space="0"/>
            </w:tcBorders>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超融合软件</w:t>
            </w:r>
          </w:p>
        </w:tc>
        <w:tc>
          <w:tcPr>
            <w:tcW w:w="6887" w:type="dxa"/>
            <w:tcBorders>
              <w:top w:val="single" w:color="auto" w:sz="4" w:space="0"/>
            </w:tcBorders>
            <w:vAlign w:val="center"/>
          </w:tcPr>
          <w:p>
            <w:pPr>
              <w:pStyle w:val="100"/>
              <w:spacing w:before="58" w:after="58"/>
              <w:ind w:firstLine="0" w:firstLineChars="0"/>
              <w:rPr>
                <w:rFonts w:ascii="宋体" w:hAnsi="宋体" w:cs="宋体"/>
                <w:color w:val="000000"/>
                <w:sz w:val="18"/>
                <w:szCs w:val="18"/>
              </w:rPr>
            </w:pPr>
            <w:r>
              <w:rPr>
                <w:rFonts w:ascii="宋体" w:hAnsi="宋体" w:cs="宋体"/>
                <w:color w:val="000000"/>
                <w:sz w:val="18"/>
                <w:szCs w:val="18"/>
              </w:rPr>
              <w:t>超融合软件功能：软件含2*计算虚拟化授权、2*存储虚拟化授权、2*网络虚拟化授权；提供集群管理平台授权：1、为保证平台兼容性，投标产品需满足的一云多芯场景需求，支持一套管理平台纳管不同 CPU 架构的主机集群，单一集群支持不同品牌的 CPU 平台，支持同集群内的虚拟机跨 CPU 平台间的在线迁移功能，主机 CPU 品牌包括但不限于 Intel、AMD、海光、鲲鹏、飞、兆芯等；2、支持虚拟机和裸金属服务器统一管理，支持对裸金属服务器远程电源管理、挂载安装 ISO 镜像等操作，可将虚拟机镜像部署为裸金属服务器操作系统，可查看裸金属服务器电源状态、CPU、内存、硬盘等硬件信息，支持打开裸金属服务器控制台进行运维操作；提供证明材料；3、支持多种登录认证策略以提升平台安全级别，支持身份认证、双因子认证、OTP 身份认证； 4、为满足日益增长的容器资源需求，要求同一个超融合节点支持同时运行虚拟机和容器计算资源，非虚拟机内嵌套部署容器方式；容器与虚拟机使用相同的 SDN 网络、数据存储；提供证明材料；</w:t>
            </w:r>
            <w:r>
              <w:rPr>
                <w:rFonts w:hint="eastAsia" w:ascii="宋体" w:hAnsi="宋体" w:cs="宋体"/>
                <w:color w:val="000000"/>
                <w:sz w:val="18"/>
                <w:szCs w:val="18"/>
              </w:rPr>
              <w:t>5</w:t>
            </w:r>
            <w:r>
              <w:rPr>
                <w:rFonts w:ascii="宋体" w:hAnsi="宋体" w:cs="宋体"/>
                <w:color w:val="000000"/>
                <w:sz w:val="18"/>
                <w:szCs w:val="18"/>
              </w:rPr>
              <w:t>、支持虚拟机快照，支持快照的瞬时创建及批量快照删除功能，批量删除虚拟机快照，虚拟机读写性能无损耗，支持在 30 秒内完成≥100 台云主机快照(快照大小≥2T)批量删除；提供证明材料；6、支持选择多种虚拟机克隆方式，包括普通克隆和快速全量克隆，可设置虚拟机克隆速度及初始化虚拟机 SID 操作，快速全量克隆支持在 100 秒内完成≥100 台的虚拟机(磁盘规格:厚置备&gt;2T)的批量部署，删除云主机模板后不影响新克隆虚拟机正常运行；7、提供磁盘漫游功能，同一超融合节点内支持任意个存储磁盘交换位置，以防止主机维护时的运维人员误操作，提供证明材料；8、提供机架感知功能，可提供基于服务器机架拓扑的存储副本智能分布功能，在超融合平台可以灵活编辑机架和主机拓扑，分布式存储根据拓扑结构自动调整数据副本分布策略，保证数据智能、均衡存储，避免出现由于单一机架的电源或网络故障造成的存储不可用和业务中断；9、</w:t>
            </w:r>
            <w:r>
              <w:rPr>
                <w:rFonts w:hint="eastAsia" w:ascii="宋体" w:hAnsi="宋体" w:cs="宋体"/>
                <w:color w:val="000000"/>
                <w:sz w:val="18"/>
                <w:szCs w:val="18"/>
              </w:rPr>
              <w:t>▲</w:t>
            </w:r>
            <w:r>
              <w:rPr>
                <w:rFonts w:ascii="宋体" w:hAnsi="宋体" w:cs="宋体"/>
                <w:color w:val="000000"/>
                <w:sz w:val="18"/>
                <w:szCs w:val="18"/>
              </w:rPr>
              <w:t>虚拟磁盘支持内核级 I/O 加速，将虚拟磁盘的 I/O 驱动从用户态迁移到内核态，且支持异步 I/O 加速功能，有效提升磁盘读写性能，提供证明材料；10、为节约公网IP地址，满足多个业务系统被互联网访问的场景需求，提供端口映射NAPT技术，实现IP地址+端口的转换，提供证明材料；11、提供网络 sFlow 和 netFlow 功能，配合第三方流量分析工具进行流量监控，提供组播转发、广播抑制、DHCP 防护等功能，支持本地端口镜像、本地业务网络镜像、远程端口镜像等多种端口镜像模式，提供分布式 DNS 服务功能；12、</w:t>
            </w:r>
            <w:r>
              <w:rPr>
                <w:rFonts w:hint="eastAsia" w:ascii="宋体" w:hAnsi="宋体" w:cs="宋体"/>
                <w:color w:val="000000"/>
                <w:sz w:val="18"/>
                <w:szCs w:val="18"/>
              </w:rPr>
              <w:t>▲</w:t>
            </w:r>
            <w:r>
              <w:rPr>
                <w:rFonts w:ascii="宋体" w:hAnsi="宋体" w:cs="宋体"/>
                <w:color w:val="000000"/>
                <w:sz w:val="18"/>
                <w:szCs w:val="18"/>
              </w:rPr>
              <w:t>支持磁盘双活功能，不依赖分布式存储多副本技术，支持异构不同品牌存储双活功能，可利旧存储设备与超融合建立双活存储池，当分布式存储全局损坏时，不影响业务连续性，提供证明材料；13、支持超融合站点间异地容灾功能，提供虚拟机粒度的异地容灾方案，不依赖分布式存储本身，可在生产站点发生灾难时，迅速恢复并接管业务，支持容灾故障切换、重新保护、容灾演练等功能。</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3套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43</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themeColor="text1"/>
                <w:sz w:val="18"/>
                <w:szCs w:val="18"/>
                <w14:textFill>
                  <w14:solidFill>
                    <w14:schemeClr w14:val="tx1"/>
                  </w14:solidFill>
                </w14:textFill>
              </w:rPr>
              <w:t>高清LED三折屏（CAVE沉浸式显示屏）</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sz w:val="18"/>
                <w:szCs w:val="18"/>
              </w:rPr>
              <w:t>1.显示尺寸：</w:t>
            </w:r>
            <w:r>
              <w:rPr>
                <w:rFonts w:hint="eastAsia" w:ascii="宋体" w:hAnsi="宋体"/>
                <w:sz w:val="18"/>
                <w:szCs w:val="18"/>
                <w:highlight w:val="cyan"/>
              </w:rPr>
              <w:t>3.2m*3.084m+5.45m*3.084m+3.2m*3.084m</w:t>
            </w:r>
            <w:r>
              <w:rPr>
                <w:rFonts w:hint="eastAsia" w:ascii="宋体" w:hAnsi="宋体"/>
                <w:sz w:val="18"/>
                <w:szCs w:val="18"/>
                <w:lang w:eastAsia="zh-CN"/>
              </w:rPr>
              <w:t>，</w:t>
            </w:r>
            <w:r>
              <w:rPr>
                <w:rFonts w:ascii="宋体" w:hAnsi="宋体"/>
                <w:sz w:val="18"/>
                <w:szCs w:val="18"/>
              </w:rPr>
              <w:t>三面墙总面积36.54平方米，像素点间距≤1.86mm；2.最大亮度：0-1500cd / m²可调，具有蓝光抑制功能；3.平整度： C级，P≤0.05 mm,支持6轴向精密微调；4.亮度均匀性：99.5%；色域：≥125%NTSC；5.色度均匀性：-0.0001＜Cx＜0.0001，-0.0001＜Cy＜0.0001(校正后)；6.换帧频率：C级，50&amp;60Hz，支持120Hz等3D显示技术，刷新频率：C级，≥3840Hz；7.最高对比度：</w:t>
            </w:r>
            <w:r>
              <w:rPr>
                <w:rFonts w:hint="eastAsia" w:ascii="宋体" w:hAnsi="宋体"/>
                <w:sz w:val="18"/>
                <w:szCs w:val="18"/>
              </w:rPr>
              <w:t>≥3</w:t>
            </w:r>
            <w:r>
              <w:rPr>
                <w:rFonts w:ascii="宋体" w:hAnsi="宋体"/>
                <w:sz w:val="18"/>
                <w:szCs w:val="18"/>
              </w:rPr>
              <w:t>000:1，色温：500K-18000K可调，水平视角</w:t>
            </w:r>
            <w:bookmarkStart w:id="81" w:name="OLE_LINK30"/>
            <w:bookmarkStart w:id="82" w:name="OLE_LINK28"/>
            <w:r>
              <w:rPr>
                <w:rFonts w:hint="eastAsia" w:ascii="宋体" w:hAnsi="宋体"/>
                <w:sz w:val="18"/>
                <w:szCs w:val="18"/>
              </w:rPr>
              <w:t>≥</w:t>
            </w:r>
            <w:bookmarkEnd w:id="81"/>
            <w:bookmarkEnd w:id="82"/>
            <w:r>
              <w:rPr>
                <w:rFonts w:ascii="宋体" w:hAnsi="宋体"/>
                <w:sz w:val="18"/>
                <w:szCs w:val="18"/>
              </w:rPr>
              <w:t>17</w:t>
            </w:r>
            <w:r>
              <w:rPr>
                <w:rFonts w:hint="eastAsia" w:ascii="宋体" w:hAnsi="宋体"/>
                <w:sz w:val="18"/>
                <w:szCs w:val="18"/>
              </w:rPr>
              <w:t>0</w:t>
            </w:r>
            <w:r>
              <w:rPr>
                <w:rFonts w:ascii="宋体" w:hAnsi="宋体"/>
                <w:sz w:val="18"/>
                <w:szCs w:val="18"/>
              </w:rPr>
              <w:t>度、垂直视角</w:t>
            </w:r>
            <w:r>
              <w:rPr>
                <w:rFonts w:hint="eastAsia" w:ascii="宋体" w:hAnsi="宋体"/>
                <w:sz w:val="18"/>
                <w:szCs w:val="18"/>
              </w:rPr>
              <w:t>≥</w:t>
            </w:r>
            <w:r>
              <w:rPr>
                <w:rFonts w:ascii="宋体" w:hAnsi="宋体"/>
                <w:sz w:val="18"/>
                <w:szCs w:val="18"/>
              </w:rPr>
              <w:t>17</w:t>
            </w:r>
            <w:r>
              <w:rPr>
                <w:rFonts w:hint="eastAsia" w:ascii="宋体" w:hAnsi="宋体"/>
                <w:sz w:val="18"/>
                <w:szCs w:val="18"/>
              </w:rPr>
              <w:t>0</w:t>
            </w:r>
            <w:r>
              <w:rPr>
                <w:rFonts w:ascii="宋体" w:hAnsi="宋体"/>
                <w:sz w:val="18"/>
                <w:szCs w:val="18"/>
              </w:rPr>
              <w:t>度；8.外壳防护等级：达到C级标准，F≥IP6 X；表面硬度：≥HRC12,防静电，防撞击，防磕碰；9.峰值功耗：</w:t>
            </w:r>
            <w:r>
              <w:rPr>
                <w:rFonts w:hint="eastAsia" w:ascii="宋体" w:hAnsi="宋体"/>
                <w:sz w:val="18"/>
                <w:szCs w:val="18"/>
              </w:rPr>
              <w:t>≥</w:t>
            </w:r>
            <w:r>
              <w:rPr>
                <w:rFonts w:ascii="宋体" w:hAnsi="宋体"/>
                <w:sz w:val="18"/>
                <w:szCs w:val="18"/>
              </w:rPr>
              <w:t>223w/m²，平均功耗：</w:t>
            </w:r>
            <w:r>
              <w:rPr>
                <w:rFonts w:hint="eastAsia" w:ascii="宋体" w:hAnsi="宋体"/>
                <w:sz w:val="18"/>
                <w:szCs w:val="18"/>
              </w:rPr>
              <w:t>≥</w:t>
            </w:r>
            <w:r>
              <w:rPr>
                <w:rFonts w:ascii="宋体" w:hAnsi="宋体"/>
                <w:sz w:val="18"/>
                <w:szCs w:val="18"/>
              </w:rPr>
              <w:t>100w/m²；10.支持抗强光干扰，可抵抗太阳光等强光干扰，照度在95K Lux能正常观看；具备智能光感护眼功能：显示</w:t>
            </w:r>
            <w:r>
              <w:rPr>
                <w:rFonts w:hint="eastAsia" w:ascii="宋体" w:hAnsi="宋体"/>
                <w:sz w:val="18"/>
                <w:szCs w:val="18"/>
              </w:rPr>
              <w:t>单</w:t>
            </w:r>
            <w:r>
              <w:rPr>
                <w:rFonts w:ascii="宋体" w:hAnsi="宋体"/>
                <w:sz w:val="18"/>
                <w:szCs w:val="18"/>
              </w:rPr>
              <w:t>元可自动识别环境光强弱，根据环境光变化调节屏幕亮度；1</w:t>
            </w:r>
            <w:r>
              <w:rPr>
                <w:rFonts w:hint="eastAsia" w:ascii="宋体" w:hAnsi="宋体"/>
                <w:sz w:val="18"/>
                <w:szCs w:val="18"/>
              </w:rPr>
              <w:t>1</w:t>
            </w:r>
            <w:r>
              <w:rPr>
                <w:rFonts w:ascii="宋体" w:hAnsi="宋体"/>
                <w:sz w:val="18"/>
                <w:szCs w:val="18"/>
              </w:rPr>
              <w:t>.通过光生物安全及蓝光危害测试，满足蓝光视网膜危害等级检测要求，符合肉眼观看标准；样品在标准工作环境下使用配套材 料点亮，样品在亮度300~330 (cd/m2) 时点亮所需的功率应＜12W；1</w:t>
            </w:r>
            <w:r>
              <w:rPr>
                <w:rFonts w:hint="eastAsia" w:ascii="宋体" w:hAnsi="宋体"/>
                <w:sz w:val="18"/>
                <w:szCs w:val="18"/>
              </w:rPr>
              <w:t>2</w:t>
            </w:r>
            <w:r>
              <w:rPr>
                <w:rFonts w:ascii="宋体" w:hAnsi="宋体"/>
                <w:sz w:val="18"/>
                <w:szCs w:val="18"/>
              </w:rPr>
              <w:t>.通过震动测试：振动试验按GB/T6587的规定对显示模组进行。在振动频率5Hz-55Hz-5Hz,振幅为 0.19mm 的 条件下，一次扫描5min,互相垂直的 二个轴向各扫描二次，试验后样品外 观结构和功能均应正常；1</w:t>
            </w:r>
            <w:r>
              <w:rPr>
                <w:rFonts w:hint="eastAsia" w:ascii="宋体" w:hAnsi="宋体"/>
                <w:sz w:val="18"/>
                <w:szCs w:val="18"/>
              </w:rPr>
              <w:t>3</w:t>
            </w:r>
            <w:r>
              <w:rPr>
                <w:rFonts w:ascii="宋体" w:hAnsi="宋体"/>
                <w:sz w:val="18"/>
                <w:szCs w:val="18"/>
              </w:rPr>
              <w:t>.支持图像增强技术， 采用先进的Y校正技术，可通过调整 Y曲线提升图像清晰度、对比度、饱和度、色度和流畅度等视觉效果，支持</w:t>
            </w:r>
            <w:r>
              <w:rPr>
                <w:rFonts w:ascii="宋体" w:hAnsi="宋体" w:cs="Calibri"/>
                <w:sz w:val="18"/>
                <w:szCs w:val="18"/>
              </w:rPr>
              <w:t>γ</w:t>
            </w:r>
            <w:r>
              <w:rPr>
                <w:rFonts w:ascii="宋体" w:hAnsi="宋体"/>
                <w:sz w:val="18"/>
                <w:szCs w:val="18"/>
              </w:rPr>
              <w:t>校正，支持</w:t>
            </w:r>
            <w:r>
              <w:rPr>
                <w:rFonts w:ascii="宋体" w:hAnsi="宋体" w:cs="Calibri"/>
                <w:sz w:val="18"/>
                <w:szCs w:val="18"/>
              </w:rPr>
              <w:t>γ</w:t>
            </w:r>
            <w:r>
              <w:rPr>
                <w:rFonts w:ascii="宋体" w:hAnsi="宋体"/>
                <w:sz w:val="18"/>
                <w:szCs w:val="18"/>
              </w:rPr>
              <w:t>校正曲线≥20条；1</w:t>
            </w:r>
            <w:r>
              <w:rPr>
                <w:rFonts w:hint="eastAsia" w:ascii="宋体" w:hAnsi="宋体"/>
                <w:sz w:val="18"/>
                <w:szCs w:val="18"/>
              </w:rPr>
              <w:t>4</w:t>
            </w:r>
            <w:r>
              <w:rPr>
                <w:rFonts w:ascii="宋体" w:hAnsi="宋体"/>
                <w:sz w:val="18"/>
                <w:szCs w:val="18"/>
              </w:rPr>
              <w:t>.节能：当样品与亮度相同的常规款产品在相同环境下点亮时，样品点亮所需的功率应为普通常规产品的50%~60%；1</w:t>
            </w:r>
            <w:r>
              <w:rPr>
                <w:rFonts w:hint="eastAsia" w:ascii="宋体" w:hAnsi="宋体"/>
                <w:sz w:val="18"/>
                <w:szCs w:val="18"/>
              </w:rPr>
              <w:t>5</w:t>
            </w:r>
            <w:r>
              <w:rPr>
                <w:rFonts w:ascii="宋体" w:hAnsi="宋体"/>
                <w:sz w:val="18"/>
                <w:szCs w:val="18"/>
              </w:rPr>
              <w:t>.显示屏厂家：原厂授权书、原厂售后服务承诺书；</w:t>
            </w:r>
            <w:r>
              <w:rPr>
                <w:rFonts w:hint="eastAsia"/>
                <w:color w:val="000000"/>
                <w:sz w:val="18"/>
                <w:szCs w:val="18"/>
              </w:rPr>
              <w:t>以上参数需</w:t>
            </w:r>
            <w:r>
              <w:rPr>
                <w:color w:val="000000"/>
                <w:sz w:val="18"/>
                <w:szCs w:val="18"/>
              </w:rPr>
              <w:t>提供第三方权威检测机构出具的检验报告复印件加盖厂商公章。</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sz w:val="18"/>
                <w:szCs w:val="18"/>
              </w:rPr>
              <w:t>36.54㎡</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44</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播控服务器（控制主机）</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sz w:val="18"/>
                <w:szCs w:val="18"/>
              </w:rPr>
              <w:t>1.画面点对点播控显示，支持视频、图文、PPT、文本等多种素材和内容的播放,2U机架式机箱，Quadro 4GB 专业图形显卡，含显示器，键盘鼠套装；2.采用先进的 GPU 图像显卡，全链路采用数字信号传输，传输即使信号源类型和数量众多，也能保证所有图像显示实时、流畅、同步、稳定、无卡顿（所有信号刷新率为 60 帧/秒）平板 App 操作实时下发响应，采用1000Mb 通讯带宽，带来更流畅的操作体验； 3.支持超高清视频多端口输入输出信号实时同步功能，兼容 Nvidia Mosaic 与 AMDEyefinity 技术；</w:t>
            </w:r>
          </w:p>
        </w:tc>
        <w:tc>
          <w:tcPr>
            <w:tcW w:w="756" w:type="dxa"/>
            <w:vAlign w:val="center"/>
          </w:tcPr>
          <w:p>
            <w:pPr>
              <w:pStyle w:val="148"/>
              <w:rPr>
                <w:rFonts w:ascii="宋体" w:hAnsi="宋体" w:cs="宋体"/>
                <w:color w:val="000000"/>
                <w:sz w:val="18"/>
                <w:szCs w:val="18"/>
              </w:rPr>
            </w:pPr>
            <w:r>
              <w:rPr>
                <w:rFonts w:hint="eastAsia" w:ascii="宋体" w:hAnsi="宋体"/>
                <w:sz w:val="18"/>
                <w:szCs w:val="18"/>
              </w:rPr>
              <w:t>1台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45</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视频处理器</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sz w:val="18"/>
                <w:szCs w:val="18"/>
              </w:rPr>
              <w:t>1.管理功能：多个用户可以使用客户端或IE同时登陆管理设备；2.移动终端控制功能：支持Windows、Android、I0S移动终端同时进行操控设备；3.窗口叠加功能：应能通过通信端口和控制软件，手动操作将多个不同的窗口开到一个屏幕，实现窗口的重叠功能；4.回显功能：可以在客户端上回显显示终端上的图像画面；5.窗口漫游功能：应能通过通信端口和控制软件，手动操作将任意一个窗口拖动到显示终端的任意位置；6.图像切换：切换图像显示重建时间应不大于1s；7.预览功能：可以在客户端上实时预览输入信号源的图像画面；8.跨屏显示功能：应能通过通信端口和控制软件，手动操作将任意一个窗口拖动到多个显示终端的拼接显示；9.绝缘电阻检测：电源(a. c.)引入端子与外壳裸露金属部 件之间的绝缘电阻在正常大气条件下应&amp; 100MQ,湿热条件下应≥10MQ；10.窗口缩放功能和切割功能：应能通过通信端口和控制软件，手动操 作将窗口进行任意的放大和缩小的功能，并可以对窗口显示图像进行局部截取功能；11.边缘屏蔽功能：在进行画面拼接时，能将相邻2个画面之间的边缘像素进行屏蔽，使画面不变形。屏蔽的像素可手动设置；12.像素裁剪功能：可根据像素位置裁剪显示输入信号的部分内容，实现图像局部放大；13.网格、坐标定位：支持窗口网络、坐标定位功能；14.开窗口功能：应能通过通信端口和控制软件，手动操作在任意输出终端显示多个任意大小的窗口；15.软件自检测功能检查：客户端软件可以自动检测样品设备上的输入端口、输出端口、接入的输入信号和接入的显示终端，并通过列表的方式展现。16.扩展显示标识数据管理功能：支持扩展显示标识数据的读取、修改功能，可修改监视器的分辨率、色彩、频率等参数；17.场景功能：支持≥128个场景的预设和读取调用，所有场景均可自动定时轮巡以及分组轮 巡切换显示；18.预览分割功能：支持16/12/9/8/4/1等多种预览分割模式；19.分组功能：支持解码输出分组设置，扩展控制多个显示终端，支持最多8个分组；20.名称自定义功能：可自定义信号源、窗口名称，具备3D显示功能。</w:t>
            </w:r>
            <w:r>
              <w:rPr>
                <w:rFonts w:hint="eastAsia" w:ascii="宋体" w:hAnsi="宋体"/>
                <w:sz w:val="18"/>
                <w:szCs w:val="18"/>
              </w:rPr>
              <w:t>以上参数需提供</w:t>
            </w:r>
            <w:r>
              <w:rPr>
                <w:rFonts w:ascii="宋体" w:hAnsi="宋体"/>
                <w:sz w:val="18"/>
                <w:szCs w:val="18"/>
              </w:rPr>
              <w:t>第三方权威检测机构出具的检验报告复印件加盖厂商</w:t>
            </w:r>
            <w:r>
              <w:rPr>
                <w:rFonts w:hint="eastAsia" w:ascii="宋体" w:hAnsi="宋体"/>
                <w:sz w:val="18"/>
                <w:szCs w:val="18"/>
              </w:rPr>
              <w:t>鲜</w:t>
            </w:r>
            <w:r>
              <w:rPr>
                <w:rFonts w:ascii="宋体" w:hAnsi="宋体"/>
                <w:sz w:val="18"/>
                <w:szCs w:val="18"/>
              </w:rPr>
              <w:t>章</w:t>
            </w:r>
            <w:r>
              <w:rPr>
                <w:color w:val="000000"/>
                <w:sz w:val="18"/>
                <w:szCs w:val="18"/>
              </w:rPr>
              <w:t>。</w:t>
            </w:r>
          </w:p>
        </w:tc>
        <w:tc>
          <w:tcPr>
            <w:tcW w:w="756" w:type="dxa"/>
            <w:vAlign w:val="center"/>
          </w:tcPr>
          <w:p>
            <w:pPr>
              <w:pStyle w:val="148"/>
              <w:rPr>
                <w:rFonts w:ascii="宋体" w:hAnsi="宋体" w:cs="宋体"/>
                <w:color w:val="000000"/>
                <w:sz w:val="18"/>
                <w:szCs w:val="18"/>
              </w:rPr>
            </w:pPr>
            <w:r>
              <w:rPr>
                <w:rFonts w:hint="eastAsia" w:ascii="宋体" w:hAnsi="宋体"/>
                <w:sz w:val="18"/>
                <w:szCs w:val="18"/>
              </w:rPr>
              <w:t>1台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46</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接收卡</w:t>
            </w:r>
          </w:p>
        </w:tc>
        <w:tc>
          <w:tcPr>
            <w:tcW w:w="6887" w:type="dxa"/>
            <w:vAlign w:val="center"/>
          </w:tcPr>
          <w:p>
            <w:pPr>
              <w:pStyle w:val="100"/>
              <w:spacing w:before="58" w:after="58"/>
              <w:ind w:firstLine="0" w:firstLineChars="0"/>
              <w:rPr>
                <w:rFonts w:ascii="宋体" w:hAnsi="宋体"/>
                <w:sz w:val="18"/>
                <w:szCs w:val="18"/>
              </w:rPr>
            </w:pPr>
            <w:r>
              <w:rPr>
                <w:rFonts w:ascii="宋体" w:hAnsi="宋体"/>
                <w:sz w:val="18"/>
                <w:szCs w:val="18"/>
              </w:rPr>
              <w:t>支持网线通讯状态监测，校正衰减算法，自然老化，支持千兆网口调试功能，可通过网线直接连接PC端进行调试和显示，支持3D功能的独立主控，在软件或独立主控的操作面板上开启3D功能，并设置3D参数，使画面显示3D效果，支持22bit+技术，精细灰度。</w:t>
            </w:r>
            <w:r>
              <w:rPr>
                <w:rFonts w:hint="eastAsia" w:ascii="宋体" w:hAnsi="宋体"/>
                <w:sz w:val="18"/>
                <w:szCs w:val="18"/>
              </w:rPr>
              <w:t>以上参数需提供</w:t>
            </w:r>
            <w:r>
              <w:rPr>
                <w:rFonts w:ascii="宋体" w:hAnsi="宋体"/>
                <w:sz w:val="18"/>
                <w:szCs w:val="18"/>
              </w:rPr>
              <w:t>第三方权威检测机构出具的检验报告复印件加盖厂商</w:t>
            </w:r>
            <w:r>
              <w:rPr>
                <w:rFonts w:hint="eastAsia" w:ascii="宋体" w:hAnsi="宋体"/>
                <w:sz w:val="18"/>
                <w:szCs w:val="18"/>
              </w:rPr>
              <w:t>鲜</w:t>
            </w:r>
            <w:r>
              <w:rPr>
                <w:rFonts w:ascii="宋体" w:hAnsi="宋体"/>
                <w:sz w:val="18"/>
                <w:szCs w:val="18"/>
              </w:rPr>
              <w:t>章</w:t>
            </w:r>
            <w:r>
              <w:rPr>
                <w:color w:val="000000"/>
                <w:sz w:val="18"/>
                <w:szCs w:val="18"/>
              </w:rPr>
              <w:t>。</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sz w:val="18"/>
                <w:szCs w:val="18"/>
              </w:rPr>
              <w:t>48张</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47</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电源</w:t>
            </w:r>
          </w:p>
        </w:tc>
        <w:tc>
          <w:tcPr>
            <w:tcW w:w="6887" w:type="dxa"/>
            <w:vAlign w:val="center"/>
          </w:tcPr>
          <w:p>
            <w:pPr>
              <w:pStyle w:val="100"/>
              <w:spacing w:before="58" w:after="58"/>
              <w:ind w:firstLine="0" w:firstLineChars="0"/>
              <w:rPr>
                <w:rFonts w:ascii="宋体" w:hAnsi="宋体"/>
                <w:sz w:val="18"/>
                <w:szCs w:val="18"/>
              </w:rPr>
            </w:pPr>
            <w:r>
              <w:rPr>
                <w:rFonts w:ascii="宋体" w:hAnsi="宋体"/>
                <w:sz w:val="18"/>
                <w:szCs w:val="18"/>
              </w:rPr>
              <w:t xml:space="preserve">5V40A-200W节能、过流、过压、过载、过温保护，额定负载的范围内电源保护，去载恢复正常输出，输出端短路时电源保护,去掉短路恢复正常输出，提供3C证书复印件加盖公章。                                                                                                                                                                     </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sz w:val="18"/>
                <w:szCs w:val="18"/>
              </w:rPr>
              <w:t>180个</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48</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功放</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功放：标准2U机箱高度，适用专业机柜安装放置；蓝牙.MP3\SD.DVD.BMG共5组音频信号输入和一组录音信号输出；带USB接口,SD卡接口的MP3音乐格式播放.蓝牙播放格式为4.0版本,音色更清晰；专业级卡拉OK数码混响效果芯片，增加按键开关可根据现场情况调节，声音延迟效果可调；音乐信号具备高低音调节,5路（前3+后2）麦克风输入,MIC1话筒独立调节，MIC2和MIC4音量增益调节旋钮共用，MIC3和MIC5音量增益调节旋钮共用；MIC4-MIC5带48V幻相电源，可以驱动电容麦克风；采用智能式风扇散热系统，电子强力风扇，随信号大小控制风扇转速,避免机内过热，使设备工作在最佳状态；整机具备四路输出端子，功率放大器电路多重保护设施（短路.直流.高温.过载）；主要技术参数：输出功率(1 KHz)：8Ω 250W*2 ； 4Ω 350W*2；MIC输入灵敏度：10mV；音频信号输入灵敏度：200mV；信噪比：≥90dB A计权；分离度：50dB A计权；谐波互调失真(1 KHz, 150mV输入)：0.17%；频率响应：20Hz ~ 20KHz；麦克风音调：80Hz+15dB    3.5KHz+ 8dB    12KHz+ 15dB；回响音调：80Hz+ 15dB，12KHz+ 15dB；三年原厂质保承诺。</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1台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49</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音箱</w:t>
            </w:r>
          </w:p>
        </w:tc>
        <w:tc>
          <w:tcPr>
            <w:tcW w:w="6887" w:type="dxa"/>
            <w:vAlign w:val="center"/>
          </w:tcPr>
          <w:p>
            <w:pPr>
              <w:pStyle w:val="100"/>
              <w:spacing w:before="58" w:after="58"/>
              <w:ind w:firstLine="0" w:firstLineChars="0"/>
              <w:rPr>
                <w:rFonts w:ascii="宋体" w:hAnsi="宋体" w:cs="宋体"/>
                <w:b/>
                <w:bCs/>
                <w:color w:val="000000"/>
                <w:sz w:val="18"/>
                <w:szCs w:val="18"/>
              </w:rPr>
            </w:pPr>
            <w:r>
              <w:rPr>
                <w:color w:val="000000"/>
                <w:sz w:val="18"/>
                <w:szCs w:val="18"/>
              </w:rPr>
              <w:t>主要技术参数：两路两单元低音音箱，频率响应：30Hz-18kHz±3dB，灵敏度：95dB/1W/1M@±2dB，额定功率：150W/8</w:t>
            </w:r>
            <w:r>
              <w:rPr>
                <w:rFonts w:ascii="Calibri" w:hAnsi="Calibri" w:cs="Calibri"/>
                <w:color w:val="000000"/>
                <w:sz w:val="18"/>
                <w:szCs w:val="18"/>
              </w:rPr>
              <w:t>Ω</w:t>
            </w:r>
            <w:r>
              <w:rPr>
                <w:color w:val="000000"/>
                <w:sz w:val="18"/>
                <w:szCs w:val="18"/>
              </w:rPr>
              <w:t>，峰值功率：300W/8</w:t>
            </w:r>
            <w:r>
              <w:rPr>
                <w:rFonts w:ascii="Calibri" w:hAnsi="Calibri" w:cs="Calibri"/>
                <w:color w:val="000000"/>
                <w:sz w:val="18"/>
                <w:szCs w:val="18"/>
              </w:rPr>
              <w:t>Ω</w:t>
            </w:r>
            <w:r>
              <w:rPr>
                <w:color w:val="000000"/>
                <w:sz w:val="18"/>
                <w:szCs w:val="18"/>
              </w:rPr>
              <w:t>，高音：3”×2，低音：10"×1，连接器：2P HiFi线盒，箱体材质：12mm高密度纤维板，表面处理：黑色PVC胶皮。三年原厂质保承诺。</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cs="宋体"/>
                <w:color w:val="000000"/>
                <w:sz w:val="18"/>
                <w:szCs w:val="18"/>
              </w:rPr>
              <w:t>2支</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50</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技术服务费</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sz w:val="18"/>
                <w:szCs w:val="18"/>
              </w:rPr>
              <w:t>1、技术人员安装、调试、培训等服务；2、显示屏结构：整体框架材料严格测试，符合国标要求，大屏幕安装配套，钢结构应符合GB700-88规定的钢要求，保证其抗拉强度、伸长率、屈服点，碳、硫、磷的极限含量，要求抗绣，抗腐蚀，稳定牢固，含包边；3、屏体配套线材辅料，包含电源线、三芯线、排线、短网线、磁铁等。</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sz w:val="18"/>
                <w:szCs w:val="18"/>
              </w:rPr>
              <w:t>36.54㎡</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51</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VR头盔</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仿宋"/>
                <w:sz w:val="18"/>
                <w:szCs w:val="18"/>
              </w:rPr>
              <w:t>1、CPU≥高通XR2，Kryo 585核心，8核64位，最高主频 ≥2.84GHz，≥7nm制程工艺。2、GPU≥Adreno 650，主频≥ 587MHz。3、内存≥ 8GB RAM，LPDDR4X。4、闪存≥UFS3.0 256GB。5、WIFI：2X2 MIMO WIFI6 802.11 b/g/n/ac/ax，2.4G/5G双频。6、BT≥BT5.1。7、Android：Android 10或以上 。8、屏幕≥5.5 inch x 1 SFR TFT。9、分辨率≥3664x1920，PPI：773。10、刷新率≥72/90Hz。11、视场角≥98°。12、瞳距调节：支持物理瞳距调节，三档：58/63.5/69mm。13、护眼模式：通过TUV低蓝光认证，可以在系统设置中开启该功能。14、15.9轴传感器≥1KHz采样频率。15、前置摄像头：鱼眼摄像头(640x480@120Hz, FOV:166°) x 4，支持头部6DoF定位。16、手柄：6DoF体感手柄 x 2，支持光学定位，支持线性振动马达。17、机身按键：至少包含电源键，APP键（返回键），确认键，Home键，音量加，音量减。18、绑带：软质侧绑带，体积小巧，方便收纳。19、泡棉：可替换的舒适泡棉。20、人体工程设计：前置头盔和后置电池组成更为合理的力学分担设计，佩戴面部舒适。21、充电：支持QC3.0快速充电。22、电池容量≥5300mAh。23、扬声器：内置双立体声喇叭。24、麦克风：双麦克降噪，全指向麦克风。</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sz w:val="18"/>
                <w:szCs w:val="18"/>
              </w:rPr>
              <w:t>10套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52</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MR头盔</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仿宋"/>
                <w:sz w:val="18"/>
                <w:szCs w:val="18"/>
              </w:rPr>
              <w:t>1、CPU≥高通XR2 Gen2。2、内存≥12GB RAM LPDDR5。3、闪存≥UFS3.1 256GB。4、WiFi版本≥Wi-Fi 7,  802.11 a/b/g/n/ac/ax/be, 2.4GHz/5GHz。5、蓝牙版本≥5.3。6、OS不低于Android 14。7、屏幕≥2.56" x 2, SFR TFT。8、总分辨率≥4320x2160，单眼分辨率≥2160x2160，1200 PPI。9、刷新率≥72Hz/90Hz。10、亮度：支持无极调节。11、视场角≥105°。12、透镜：支持Pancake光学。13、护眼模式：T</w:t>
            </w:r>
            <w:r>
              <w:rPr>
                <w:rFonts w:ascii="宋体" w:hAnsi="宋体" w:cs="Calibri"/>
                <w:sz w:val="18"/>
                <w:szCs w:val="18"/>
              </w:rPr>
              <w:t>Ü</w:t>
            </w:r>
            <w:r>
              <w:rPr>
                <w:rFonts w:ascii="宋体" w:hAnsi="宋体" w:cs="仿宋"/>
                <w:sz w:val="18"/>
                <w:szCs w:val="18"/>
              </w:rPr>
              <w:t>V 低蓝光认证（软件设定）。14、瞳距调节：58~72mm 电机无级调节。15、传感器：至少采用9轴传感器和P-Senor传感器，实现头部精准3DoF和6DoF。16、摄像头：至少采用四目单色鱼眼相机 (640 x 480 @60Hz x 4)，支持6Dof定位。17、双目RGB相机（32M x 2 ），支持MR透视能力；MR深度摄像头，iTof相机。18、头盔：至少支持采用Inside-out头部6DoF。19、手柄：至少支持采用6DoF宽频触感手柄x2。20、手势识别：至少支持双手26自由度追踪，同时支持不少于4种手势模型。21、充电：最高支持45W充电 。22、电池容量≥5700mAh。23、扬声器：至少支持360°环绕一体式立体声喇。24、麦克风：支持全指向四个麦克风布局。</w:t>
            </w:r>
          </w:p>
        </w:tc>
        <w:tc>
          <w:tcPr>
            <w:tcW w:w="756" w:type="dxa"/>
            <w:vAlign w:val="center"/>
          </w:tcPr>
          <w:p>
            <w:pPr>
              <w:pStyle w:val="148"/>
              <w:ind w:left="0" w:leftChars="0" w:firstLine="0" w:firstLineChars="0"/>
              <w:jc w:val="both"/>
              <w:rPr>
                <w:rFonts w:ascii="宋体" w:hAnsi="宋体" w:cs="宋体"/>
                <w:color w:val="000000"/>
                <w:sz w:val="18"/>
                <w:szCs w:val="18"/>
              </w:rPr>
            </w:pPr>
            <w:r>
              <w:rPr>
                <w:rFonts w:hint="eastAsia" w:ascii="宋体" w:hAnsi="宋体"/>
                <w:sz w:val="18"/>
                <w:szCs w:val="18"/>
              </w:rPr>
              <w:t>10套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53</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VR充电消毒柜</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仿宋"/>
                <w:sz w:val="18"/>
                <w:szCs w:val="18"/>
              </w:rPr>
              <w:t>1、内置USB 5V2.4A直流充电口至少20个（充电IC芯片智能识别VR一体机、3D眼镜等设备所需要的电流，安全、稳定、高效）。2、每口独立充电并具备智能LED转灯功能（红灯：充电状态 中，绿灯：充满/未连接），且有对应的数字序号。3、金属按钮开关，可过15A以上大电流，兼具电源开关和通电指示功能，搭配智能温控系统，30℃±8自动启停。4、主动式PFC节能开关电源，柜内置十重安全保护①雷击保护②浪涌保护③过载保护④漏电保护⑤隔离保护⑥过流保护⑦过压保护⑧短路保护⑨过充保护⑩灌流保护。5、自动消毒功能，紫外线+臭氧O</w:t>
            </w:r>
            <w:r>
              <w:rPr>
                <w:sz w:val="18"/>
                <w:szCs w:val="18"/>
              </w:rPr>
              <w:t>₃</w:t>
            </w:r>
            <w:r>
              <w:rPr>
                <w:rFonts w:ascii="宋体" w:hAnsi="宋体" w:cs="仿宋"/>
                <w:sz w:val="18"/>
                <w:szCs w:val="18"/>
              </w:rPr>
              <w:t>双重消毒，搭配金属按钮开关，启动15min后自动关闭。6、前门板与侧板设有对流孔，通风散热。</w:t>
            </w:r>
            <w:r>
              <w:rPr>
                <w:rFonts w:hint="eastAsia" w:ascii="宋体" w:hAnsi="宋体" w:cs="仿宋"/>
                <w:sz w:val="18"/>
                <w:szCs w:val="18"/>
              </w:rPr>
              <w:t>提供产品3</w:t>
            </w:r>
            <w:r>
              <w:rPr>
                <w:rFonts w:ascii="宋体" w:hAnsi="宋体" w:cs="仿宋"/>
                <w:sz w:val="18"/>
                <w:szCs w:val="18"/>
              </w:rPr>
              <w:t>C</w:t>
            </w:r>
            <w:r>
              <w:rPr>
                <w:rFonts w:hint="eastAsia" w:ascii="宋体" w:hAnsi="宋体" w:cs="仿宋"/>
                <w:sz w:val="18"/>
                <w:szCs w:val="18"/>
              </w:rPr>
              <w:t>认证证书。</w:t>
            </w:r>
          </w:p>
        </w:tc>
        <w:tc>
          <w:tcPr>
            <w:tcW w:w="756" w:type="dxa"/>
            <w:vAlign w:val="center"/>
          </w:tcPr>
          <w:p>
            <w:pPr>
              <w:pStyle w:val="148"/>
              <w:rPr>
                <w:rFonts w:ascii="宋体" w:hAnsi="宋体" w:cs="宋体"/>
                <w:color w:val="000000"/>
                <w:sz w:val="18"/>
                <w:szCs w:val="18"/>
              </w:rPr>
            </w:pPr>
            <w:r>
              <w:rPr>
                <w:rFonts w:hint="eastAsia" w:ascii="宋体" w:hAnsi="宋体"/>
                <w:sz w:val="18"/>
                <w:szCs w:val="18"/>
              </w:rPr>
              <w:t>1套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54</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VR显示端</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商用工程机：4K全面屏，分辨率3840*2160，屏幕尺寸：55吋；直下式LED；采用无边框设计，金属工艺边框背板，屏占比达95%以上；亮度≥180nits,对比度≥1000：1 ；屏幕比例：16：9；最大可视角度：≥175°；Android 8.0智能操作系统，4核A35高性能处理器，1.6GHz主频，1.4G DDR4主内存，内置8G大容量闪存，内置双天线wifi模块，支持802.11 b/g/n；支持HDMI2.0*2、AV接口*1、同轴接口*1、RF（DTMB）接口*1、USB2.0*2、网络接口*1、RS232接口*1；支持HDR10高动态画质提升技术，可完美还原图像真实色彩；H.264/H.265高清视频处理技术，确保输出的画质高清晰；在待机状态下指示灯熄灭，无视觉干扰；支持替换开机画面、动画、视频；搭载第三方运用；支持远程控制开关机；可设置最大音量，开机支持U盘克隆；一键直达信号源，一键直达主页，支持快捷键自定义；支持热点，带有无线网络记忆功能。手机投屏电视功能，可按需开/关闭投屏功能；支持DLAN、AirPlay多屏互动；支持定时开、关机；10W*2双声道喇叭，可黑屏单独听音乐；待机功率：≤0.5W。含壁挂安装支架，含安装。</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4台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55</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VR定制柜</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1、材质：≥16mm PET板。2、样式：双抽屉，双门式。3、尺寸：长1000mm*深500mm*高900mm。</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4台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56</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监控系统</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1、传感器：支持1/3" Progressive Scan CMOS。2、镜头：支持4mm@F2.0，对角视场角≥88°，水平≥75°，垂直≥41°。3、云台旋转角度：水平0°-340°,垂直向上不小于130°。4、数字降噪：支持3D数字降噪。5、宽动态范围：支持真实宽动态。6、存储≥512G。7、视频压缩标准：支持H.265。8、最大图像尺寸：2560X1440支持双码流。9、无线标准：支持IEEE802.11a, IEEE802.11b, 802.11g, 802.11n。10、频率范围：支持2.4 GHz ~ 2.4835 GHz、5.17GHz~5.25GHz，5.735GHz~5.835GHz。11、信道带宽：支持20MHz。12、工作温度和湿度：-10℃~45℃，湿度小于95%(无凝结)。</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2套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57</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智能门禁系统</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1、锁芯级别≥C级。2、开锁方式：至少支持人脸开锁、密码开锁、临时密码开锁、可视远程开锁、应急钥匙开锁。3、用户容量≥50个，支持通过app发起添加、删除。4、内屏尺寸≥4英寸。5、内屏分辨率≥480*800。6、分辨率：上摄图像≥1504*1968 下摄图像≥1920*1080。7、夜视：支持2m红外夜视。8、录像存储≥8G存储，支持云存储增值服务。9、人脸识别：支持3D深度人脸识别。10、识别速度＜1.5s。11、无线频率：支持2.4GHz。12、电池≥5000mAh。13、工作温度：-25℃~70℃</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2套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58</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电子班牌</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1.产品厂商具有中国国家强制性产品认证证书（3C认证），证书名称需要体现电子班牌字样；2.LED背光显示屏，≥21.5英寸，横版，屏幕比例: 16:9 、分辨率:1920*1080、点距: 0.282*0.282 、对比度:1000:1、亮度:300cd/m2、响应时间:标准8ms（灰阶至灰阶）、视角: 水平/垂直:178° 背光: LED背光；</w:t>
            </w:r>
            <w:r>
              <w:rPr>
                <w:rFonts w:hint="eastAsia" w:ascii="宋体" w:hAnsi="宋体" w:cs="宋体"/>
                <w:color w:val="000000"/>
                <w:sz w:val="18"/>
                <w:szCs w:val="18"/>
                <w:lang w:val="en-US" w:eastAsia="zh-CN"/>
              </w:rPr>
              <w:t>3</w:t>
            </w:r>
            <w:r>
              <w:rPr>
                <w:rFonts w:ascii="宋体" w:hAnsi="宋体" w:cs="宋体"/>
                <w:color w:val="000000"/>
                <w:sz w:val="18"/>
                <w:szCs w:val="18"/>
              </w:rPr>
              <w:t>.为了保证设备美观，设备整机尺寸不超过：长522.4*宽348.91*厚28mm；</w:t>
            </w:r>
            <w:r>
              <w:rPr>
                <w:rFonts w:hint="eastAsia" w:ascii="宋体" w:hAnsi="宋体" w:cs="宋体"/>
                <w:color w:val="000000"/>
                <w:sz w:val="18"/>
                <w:szCs w:val="18"/>
                <w:lang w:val="en-US" w:eastAsia="zh-CN"/>
              </w:rPr>
              <w:t>4</w:t>
            </w:r>
            <w:r>
              <w:rPr>
                <w:rFonts w:ascii="宋体" w:hAnsi="宋体" w:cs="宋体"/>
                <w:color w:val="000000"/>
                <w:sz w:val="18"/>
                <w:szCs w:val="18"/>
              </w:rPr>
              <w:t>.摄像头≥200万像素；</w:t>
            </w:r>
            <w:r>
              <w:rPr>
                <w:rFonts w:hint="eastAsia" w:ascii="宋体" w:hAnsi="宋体" w:cs="宋体"/>
                <w:color w:val="000000"/>
                <w:sz w:val="18"/>
                <w:szCs w:val="18"/>
                <w:lang w:val="en-US" w:eastAsia="zh-CN"/>
              </w:rPr>
              <w:t>5</w:t>
            </w:r>
            <w:r>
              <w:rPr>
                <w:rFonts w:ascii="宋体" w:hAnsi="宋体" w:cs="宋体"/>
                <w:color w:val="000000"/>
                <w:sz w:val="18"/>
                <w:szCs w:val="18"/>
              </w:rPr>
              <w:t>.圆弧边框设计、有独立内置走线槽、保证设备纯贴合安装方式；</w:t>
            </w:r>
            <w:r>
              <w:rPr>
                <w:rFonts w:hint="eastAsia" w:ascii="宋体" w:hAnsi="宋体" w:cs="宋体"/>
                <w:color w:val="000000"/>
                <w:sz w:val="18"/>
                <w:szCs w:val="18"/>
                <w:lang w:val="en-US" w:eastAsia="zh-CN"/>
              </w:rPr>
              <w:t>6</w:t>
            </w:r>
            <w:r>
              <w:rPr>
                <w:rFonts w:ascii="宋体" w:hAnsi="宋体" w:cs="宋体"/>
                <w:color w:val="000000"/>
                <w:sz w:val="18"/>
                <w:szCs w:val="18"/>
              </w:rPr>
              <w:t>.</w:t>
            </w:r>
            <w:r>
              <w:rPr>
                <w:rFonts w:hint="eastAsia" w:ascii="宋体" w:hAnsi="宋体" w:cs="宋体"/>
                <w:color w:val="000000"/>
                <w:sz w:val="18"/>
                <w:szCs w:val="18"/>
                <w:lang w:eastAsia="zh-CN"/>
              </w:rPr>
              <w:t>▲</w:t>
            </w:r>
            <w:r>
              <w:rPr>
                <w:rFonts w:ascii="宋体" w:hAnsi="宋体" w:cs="宋体"/>
                <w:color w:val="000000"/>
                <w:sz w:val="18"/>
                <w:szCs w:val="18"/>
              </w:rPr>
              <w:t xml:space="preserve">可扩展智慧物联功能模块,可对教室内的灯光、投影、黑板、风扇灯电动装置进行管控； </w:t>
            </w:r>
            <w:r>
              <w:rPr>
                <w:rFonts w:hint="eastAsia" w:ascii="宋体" w:hAnsi="宋体" w:cs="宋体"/>
                <w:color w:val="000000"/>
                <w:sz w:val="18"/>
                <w:szCs w:val="18"/>
                <w:lang w:val="en-US" w:eastAsia="zh-CN"/>
              </w:rPr>
              <w:t>7</w:t>
            </w:r>
            <w:r>
              <w:rPr>
                <w:rFonts w:ascii="宋体" w:hAnsi="宋体" w:cs="宋体"/>
                <w:color w:val="000000"/>
                <w:sz w:val="18"/>
                <w:szCs w:val="18"/>
              </w:rPr>
              <w:t>.工作温度: 按照GB/T 2423.1-2008的方式进行: 电子班牌在-15℃ 低温环境条件下运行2h、电子班牌在50℃高温环境条件下运行2h,试验中及试验后运行状态及工作状态正常。</w:t>
            </w:r>
            <w:r>
              <w:rPr>
                <w:rFonts w:hint="eastAsia" w:ascii="宋体" w:hAnsi="宋体" w:cs="宋体"/>
                <w:color w:val="000000"/>
                <w:sz w:val="18"/>
                <w:szCs w:val="18"/>
                <w:lang w:val="en-US" w:eastAsia="zh-CN"/>
              </w:rPr>
              <w:t>8</w:t>
            </w:r>
            <w:r>
              <w:rPr>
                <w:rFonts w:ascii="宋体" w:hAnsi="宋体" w:cs="宋体"/>
                <w:color w:val="000000"/>
                <w:sz w:val="18"/>
                <w:szCs w:val="18"/>
              </w:rPr>
              <w:t>.</w:t>
            </w:r>
            <w:r>
              <w:rPr>
                <w:rFonts w:hint="eastAsia" w:ascii="宋体" w:hAnsi="宋体" w:cs="宋体"/>
                <w:color w:val="000000"/>
                <w:sz w:val="18"/>
                <w:szCs w:val="18"/>
                <w:lang w:eastAsia="zh-CN"/>
              </w:rPr>
              <w:t>▲</w:t>
            </w:r>
            <w:r>
              <w:rPr>
                <w:rFonts w:ascii="宋体" w:hAnsi="宋体" w:cs="宋体"/>
                <w:color w:val="000000"/>
                <w:sz w:val="18"/>
                <w:szCs w:val="18"/>
              </w:rPr>
              <w:t>具有流媒体管理功能，可混合编排节目单，支持自定义添加素材（名人名言、二十四节气、中国传统节日、社会核心价值观等），并可图片视频混排播放，自定义拖拽模块形成模板。</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提供佐证材料</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w:t>
            </w:r>
            <w:r>
              <w:rPr>
                <w:rFonts w:ascii="宋体" w:hAnsi="宋体" w:cs="宋体"/>
                <w:color w:val="000000"/>
                <w:sz w:val="18"/>
                <w:szCs w:val="18"/>
              </w:rPr>
              <w:t>.具有人脸识别考勤、刷卡考勤及门禁功能,老师、学生可通过人脸识别、刷卡等打开教室门,同时可以满足考试人脸识别、刷卡签到。1</w:t>
            </w:r>
            <w:r>
              <w:rPr>
                <w:rFonts w:hint="eastAsia" w:ascii="宋体" w:hAnsi="宋体" w:cs="宋体"/>
                <w:color w:val="000000"/>
                <w:sz w:val="18"/>
                <w:szCs w:val="18"/>
                <w:lang w:val="en-US" w:eastAsia="zh-CN"/>
              </w:rPr>
              <w:t>0</w:t>
            </w:r>
            <w:r>
              <w:rPr>
                <w:rFonts w:ascii="宋体" w:hAnsi="宋体" w:cs="宋体"/>
                <w:color w:val="000000"/>
                <w:sz w:val="18"/>
                <w:szCs w:val="18"/>
              </w:rPr>
              <w:t>.支持直播教室内监控画面，能实现同步预览教室内的内控画面（摄像机支持不少于两种品牌）。</w:t>
            </w:r>
            <w:r>
              <w:rPr>
                <w:rFonts w:hint="eastAsia" w:ascii="宋体" w:hAnsi="宋体" w:cs="宋体"/>
                <w:color w:val="000000"/>
                <w:sz w:val="18"/>
                <w:szCs w:val="18"/>
                <w:lang w:val="en-US" w:eastAsia="zh-CN"/>
              </w:rPr>
              <w:t>11</w:t>
            </w:r>
            <w:r>
              <w:rPr>
                <w:rFonts w:ascii="宋体" w:hAnsi="宋体" w:cs="宋体"/>
                <w:color w:val="000000"/>
                <w:sz w:val="18"/>
                <w:szCs w:val="18"/>
              </w:rPr>
              <w:t>.</w:t>
            </w:r>
            <w:r>
              <w:rPr>
                <w:rFonts w:hint="eastAsia" w:ascii="宋体" w:hAnsi="宋体" w:cs="宋体"/>
                <w:color w:val="000000"/>
                <w:sz w:val="18"/>
                <w:szCs w:val="18"/>
                <w:lang w:eastAsia="zh-CN"/>
              </w:rPr>
              <w:t>▲</w:t>
            </w:r>
            <w:r>
              <w:rPr>
                <w:rFonts w:ascii="宋体" w:hAnsi="宋体" w:cs="宋体"/>
                <w:color w:val="000000"/>
                <w:sz w:val="18"/>
                <w:szCs w:val="18"/>
              </w:rPr>
              <w:t>学生可通过班牌进行走班选课以及课程修改</w:t>
            </w: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提供佐证材料</w:t>
            </w:r>
            <w:r>
              <w:rPr>
                <w:rFonts w:hint="eastAsia" w:ascii="宋体" w:hAnsi="宋体" w:cs="宋体"/>
                <w:color w:val="000000"/>
                <w:sz w:val="18"/>
                <w:szCs w:val="18"/>
                <w:lang w:eastAsia="zh-CN"/>
              </w:rPr>
              <w:t>）</w:t>
            </w:r>
            <w:r>
              <w:rPr>
                <w:rFonts w:ascii="宋体" w:hAnsi="宋体" w:cs="宋体"/>
                <w:color w:val="000000"/>
                <w:sz w:val="18"/>
                <w:szCs w:val="18"/>
              </w:rPr>
              <w:t>1</w:t>
            </w:r>
            <w:r>
              <w:rPr>
                <w:rFonts w:hint="eastAsia" w:ascii="宋体" w:hAnsi="宋体" w:cs="宋体"/>
                <w:color w:val="000000"/>
                <w:sz w:val="18"/>
                <w:szCs w:val="18"/>
                <w:lang w:val="en-US" w:eastAsia="zh-CN"/>
              </w:rPr>
              <w:t>2</w:t>
            </w:r>
            <w:r>
              <w:rPr>
                <w:rFonts w:ascii="宋体" w:hAnsi="宋体" w:cs="宋体"/>
                <w:color w:val="000000"/>
                <w:sz w:val="18"/>
                <w:szCs w:val="18"/>
              </w:rPr>
              <w:t>.个人成绩查询：学生可通过班牌查看个人成绩，以及班级、年级排名；1</w:t>
            </w:r>
            <w:r>
              <w:rPr>
                <w:rFonts w:hint="eastAsia" w:ascii="宋体" w:hAnsi="宋体" w:cs="宋体"/>
                <w:color w:val="000000"/>
                <w:sz w:val="18"/>
                <w:szCs w:val="18"/>
                <w:lang w:val="en-US" w:eastAsia="zh-CN"/>
              </w:rPr>
              <w:t>3</w:t>
            </w:r>
            <w:r>
              <w:rPr>
                <w:rFonts w:ascii="宋体" w:hAnsi="宋体" w:cs="宋体"/>
                <w:color w:val="000000"/>
                <w:sz w:val="18"/>
                <w:szCs w:val="18"/>
              </w:rPr>
              <w:t>.课堂评价：具有课堂评价功能，学生可对教师进行随常课程评价。</w:t>
            </w:r>
            <w:r>
              <w:rPr>
                <w:rFonts w:hint="eastAsia" w:ascii="宋体" w:hAnsi="宋体"/>
                <w:sz w:val="18"/>
                <w:szCs w:val="18"/>
              </w:rPr>
              <w:t>以上参数需提供</w:t>
            </w:r>
            <w:r>
              <w:rPr>
                <w:rFonts w:ascii="宋体" w:hAnsi="宋体"/>
                <w:sz w:val="18"/>
                <w:szCs w:val="18"/>
              </w:rPr>
              <w:t>第三方权威检测机构出具的检验报告复印件加盖厂商</w:t>
            </w:r>
            <w:r>
              <w:rPr>
                <w:rFonts w:hint="eastAsia" w:ascii="宋体" w:hAnsi="宋体"/>
                <w:sz w:val="18"/>
                <w:szCs w:val="18"/>
              </w:rPr>
              <w:t>鲜</w:t>
            </w:r>
            <w:r>
              <w:rPr>
                <w:rFonts w:ascii="宋体" w:hAnsi="宋体"/>
                <w:sz w:val="18"/>
                <w:szCs w:val="18"/>
              </w:rPr>
              <w:t>章</w:t>
            </w:r>
            <w:r>
              <w:rPr>
                <w:color w:val="000000"/>
                <w:sz w:val="18"/>
                <w:szCs w:val="18"/>
              </w:rPr>
              <w:t>。</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1台</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59</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4K移动实训录播车</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一、移动实训车：1.整体高度不低于1.9米，需采用模块化设计，方便扩充功能组件，车顶具备万向臂安装结构，可安装至少2个万向臂。2.要求中心立柱前后两面开有T型槽，预留隐藏穿线孔，方便安装设备，如安装摄像机支架、显示屏支架、置物托盘等设备。3.底部箱体尺寸为：≥425mm*610mm*400mm（宽*高*深）。箱体外部配备电量显示屏可显示剩余电量百分比、输出功率、剩余使用时长等信息、后置隐藏式接口，磁吸安全盖、对外接口等，具有电源开关键。要求箱体内部具有可拆卸电池仓结构，方便电池更换，提高整体续航能力。4.要求箱体内部具有设备固定式安装结构，保证车体移动时设备的稳定性与安全性。5.车体底部采用四角焊接设计，整体尺寸：≥450mm*450mm(长*宽）配备四个万向静音轮，具备脚刹装置。</w:t>
            </w:r>
            <w:r>
              <w:rPr>
                <w:rFonts w:hint="eastAsia" w:ascii="宋体" w:hAnsi="宋体" w:cs="宋体"/>
                <w:color w:val="000000"/>
                <w:sz w:val="18"/>
                <w:szCs w:val="18"/>
              </w:rPr>
              <w:t>6</w:t>
            </w:r>
            <w:r>
              <w:rPr>
                <w:rFonts w:ascii="宋体" w:hAnsi="宋体" w:cs="宋体"/>
                <w:color w:val="000000"/>
                <w:sz w:val="18"/>
                <w:szCs w:val="18"/>
              </w:rPr>
              <w:t>.双节支臂采用金属材质，展开后长度不低于650mm，宽度不低于55mm，单节长度不低于353mm，水平旋转角度不低于270°。7.内置电池容量不低于570Wh，支持TYPE-C、USB同时供电输出，连续使用时长不低于4小时。二、实训录播主机：1.要求录播主机采用一体化嵌入式硬件设计架构；内置国产化八核处理器、Linux系统、≥8GB内存，≥2T硬盘,支持7*24小时工作。</w:t>
            </w:r>
            <w:r>
              <w:rPr>
                <w:rFonts w:hint="eastAsia" w:ascii="宋体" w:hAnsi="宋体"/>
                <w:sz w:val="18"/>
                <w:szCs w:val="18"/>
              </w:rPr>
              <w:t>提供</w:t>
            </w:r>
            <w:r>
              <w:rPr>
                <w:rFonts w:ascii="宋体" w:hAnsi="宋体"/>
                <w:sz w:val="18"/>
                <w:szCs w:val="18"/>
              </w:rPr>
              <w:t>第三方权威检测机构出具的检验报告复印件加盖厂商</w:t>
            </w:r>
            <w:r>
              <w:rPr>
                <w:rFonts w:hint="eastAsia" w:ascii="宋体" w:hAnsi="宋体"/>
                <w:sz w:val="18"/>
                <w:szCs w:val="18"/>
              </w:rPr>
              <w:t>鲜</w:t>
            </w:r>
            <w:r>
              <w:rPr>
                <w:rFonts w:ascii="宋体" w:hAnsi="宋体"/>
                <w:sz w:val="18"/>
                <w:szCs w:val="18"/>
              </w:rPr>
              <w:t>章</w:t>
            </w:r>
            <w:r>
              <w:rPr>
                <w:color w:val="000000"/>
                <w:sz w:val="18"/>
                <w:szCs w:val="18"/>
              </w:rPr>
              <w:t>。</w:t>
            </w:r>
            <w:r>
              <w:rPr>
                <w:rFonts w:ascii="宋体" w:hAnsi="宋体" w:cs="宋体"/>
                <w:color w:val="000000"/>
                <w:sz w:val="18"/>
                <w:szCs w:val="18"/>
              </w:rPr>
              <w:t>2.要求录播主机满足录制、直播、点播、互动、导播管理、存储、切换、视音频编码、语音转写、虚拟抠像、行为分析等功能，支持远程互动教学，实现远程互动网络课堂。3.要求配置≥23.8英寸电容触控液晶屏，采用防指纹涂层工艺，无须外接显示设备，用户可直接通过主机查看已录制的视频，支持在主机上直接播放查看录制效果，并可使用U盘拷贝。</w:t>
            </w:r>
            <w:r>
              <w:rPr>
                <w:rFonts w:hint="eastAsia" w:ascii="宋体" w:hAnsi="宋体"/>
                <w:sz w:val="18"/>
                <w:szCs w:val="18"/>
              </w:rPr>
              <w:t>提供</w:t>
            </w:r>
            <w:r>
              <w:rPr>
                <w:rFonts w:ascii="宋体" w:hAnsi="宋体"/>
                <w:sz w:val="18"/>
                <w:szCs w:val="18"/>
              </w:rPr>
              <w:t>第三方权威检测机构出具的检验报告复印件加盖厂商</w:t>
            </w:r>
            <w:r>
              <w:rPr>
                <w:rFonts w:hint="eastAsia" w:ascii="宋体" w:hAnsi="宋体"/>
                <w:sz w:val="18"/>
                <w:szCs w:val="18"/>
              </w:rPr>
              <w:t>鲜</w:t>
            </w:r>
            <w:r>
              <w:rPr>
                <w:rFonts w:ascii="宋体" w:hAnsi="宋体"/>
                <w:sz w:val="18"/>
                <w:szCs w:val="18"/>
              </w:rPr>
              <w:t>章</w:t>
            </w:r>
            <w:r>
              <w:rPr>
                <w:color w:val="000000"/>
                <w:sz w:val="18"/>
                <w:szCs w:val="18"/>
              </w:rPr>
              <w:t>。</w:t>
            </w:r>
            <w:r>
              <w:rPr>
                <w:rFonts w:ascii="宋体" w:hAnsi="宋体" w:cs="宋体"/>
                <w:color w:val="000000"/>
                <w:sz w:val="18"/>
                <w:szCs w:val="18"/>
              </w:rPr>
              <w:t>4. 要求具有智能手势识别功能，操作者可用手指直接在液晶屏上进行触控导播。5.要求支持≥2路HDMI输入接口，支持≥3路HDMI输出接口，≥1路输出本地画面，≥1路输出合成画面。≥1路3.5mm音频输入，≥1路3.5mm音频输出。≥1路TYPE-C接口，具备≥2路USB3.0接口，支持连接鼠标、键盘进行导播控制以及主机连接U盘进行课程视频的录制、下载。</w:t>
            </w:r>
            <w:r>
              <w:rPr>
                <w:rFonts w:hint="eastAsia" w:ascii="宋体" w:hAnsi="宋体" w:cs="宋体"/>
                <w:color w:val="000000"/>
                <w:sz w:val="18"/>
                <w:szCs w:val="18"/>
              </w:rPr>
              <w:t>▲</w:t>
            </w:r>
            <w:r>
              <w:rPr>
                <w:rFonts w:ascii="宋体" w:hAnsi="宋体" w:cs="宋体"/>
                <w:color w:val="000000"/>
                <w:sz w:val="18"/>
                <w:szCs w:val="18"/>
              </w:rPr>
              <w:t>6.要求支持≥5路RJ45网口，其中至少2路为POE网口，集供电、控制、视频传输于一体。支持摄像机智能组网，摄像机即插即用</w:t>
            </w:r>
            <w:r>
              <w:rPr>
                <w:rFonts w:hint="eastAsia" w:ascii="宋体" w:hAnsi="宋体"/>
                <w:sz w:val="18"/>
                <w:szCs w:val="18"/>
              </w:rPr>
              <w:t>▲</w:t>
            </w:r>
            <w:r>
              <w:rPr>
                <w:rFonts w:ascii="宋体" w:hAnsi="宋体" w:cs="宋体"/>
                <w:color w:val="000000"/>
                <w:sz w:val="18"/>
                <w:szCs w:val="18"/>
              </w:rPr>
              <w:t>7.视频编码：要求支持H.265和H.264两种视频编码协议，实现更高效率和更好质量的编码技术，支持4K分辨率（3840*2160）视频的编码和录制。8.要求支持IPV4、IPV6链路地址、IPV6外网地址三个网络地址配置，支持启用DHCP自动获取IP地址。三、4K高清示教摄像机：1.图像传感器: ≥1/2.8英寸高品质4K CMOS传感器，有效像≥850万。2.视频信号: （1）HDMI接口视频格式：3840*2160P30/25；1080P60/50/30；720P60/50；（2）SDI接口视频格式：1080P60/50/30/25；720P60/50；（3）LAN接口视频格式：3840*2160P30/25；1080P60/50/30/25；720P60/50。3.镜头光学变倍: ≥12倍光学变焦  f≥3.9～46.8mm。4.视角: ≥78.58°；5.光圈系数:  ≥F1.6 – F2.8。6.最低照度: ≥0.5Lux(F1.8, AGC ON)。7.数字降噪: 2D﹠3D数字降噪。</w:t>
            </w:r>
            <w:r>
              <w:rPr>
                <w:rFonts w:ascii="宋体" w:hAnsi="宋体" w:cs="宋体"/>
                <w:color w:val="000000"/>
                <w:sz w:val="18"/>
                <w:szCs w:val="18"/>
              </w:rPr>
              <w:br w:type="textWrapping"/>
            </w:r>
            <w:r>
              <w:rPr>
                <w:rFonts w:ascii="宋体" w:hAnsi="宋体" w:cs="宋体"/>
                <w:color w:val="000000"/>
                <w:sz w:val="18"/>
                <w:szCs w:val="18"/>
              </w:rPr>
              <w:t>四、4K高清云台摄像机2台：1.采用≥1/2.5 英寸CMOS，≥850万像素，需支持4K(3840×2160)分辨率，兼容1080P、720P等多种分辨率，4K输出帧率30帧/秒。2.光学变焦≥12倍，数字变焦≥16倍。</w:t>
            </w:r>
            <w:r>
              <w:rPr>
                <w:rFonts w:ascii="宋体" w:hAnsi="宋体" w:cs="宋体"/>
                <w:color w:val="000000"/>
                <w:sz w:val="18"/>
                <w:szCs w:val="18"/>
              </w:rPr>
              <w:br w:type="textWrapping"/>
            </w:r>
            <w:r>
              <w:rPr>
                <w:rFonts w:ascii="宋体" w:hAnsi="宋体" w:cs="宋体"/>
                <w:color w:val="000000"/>
                <w:sz w:val="18"/>
                <w:szCs w:val="18"/>
              </w:rPr>
              <w:t>3.需支持自动聚焦技术。4.支持不少于2D、3D数字降噪，图像信噪比≥55dB；最低照度0.5LUX (F1.8,AGCON)；5.视频输出接口：需支持HDMI，SDI，USB3.0、有线LAN接口；支持POE供电，USB3.0接口需支持双码流。6视频编码格式：至少支持 YUY2、MJPEG、H.264、H265、NV12。7.音频编码格式：至少支持AAC、MP3、G.711A。8.需支持内置重力感应器，支持云台自动翻转功能。9.至少支持支持ONVIF、GB/T28181、RTSP、RTMP、VISCA OVER IP、IP VISCA、RTMPS、SRT等协议；需支持RTMP推送模式，支持RTP组播模式。10.控制接口：RS422兼容RS485、RS232-IN、RS232-OUT。11.控制协议：需支持VISCA、PELCO-D、PELCO-P协议，支持自动识别协议。12.需支持水平翻转、垂直翻转；水平转动范围：不小于±170°，垂直转动范围：不小于-30°~90°；13.需支持低功耗休眠/唤醒，休眠时功耗低于400mw。14.预置位：≥255个预置位。15.需支持图像冻结；支持快门速度调节：1/30s~1/10000s；需支持多种白平衡方式，至少包括自动, 室内, 室外, 一键式, 手动；支持背光补偿。</w:t>
            </w:r>
            <w:r>
              <w:rPr>
                <w:rFonts w:ascii="宋体" w:hAnsi="宋体" w:cs="宋体"/>
                <w:color w:val="000000"/>
                <w:sz w:val="18"/>
                <w:szCs w:val="18"/>
              </w:rPr>
              <w:br w:type="textWrapping"/>
            </w:r>
            <w:r>
              <w:rPr>
                <w:rFonts w:ascii="宋体" w:hAnsi="宋体" w:cs="宋体"/>
                <w:color w:val="000000"/>
                <w:sz w:val="18"/>
                <w:szCs w:val="18"/>
              </w:rPr>
              <w:t>16.需支持AI人形跟踪，内置高速处理器以及采用独家先进的图像处理和分析算法，用户可根据使用环境，选择实时跟踪与区域跟踪。</w:t>
            </w:r>
            <w:r>
              <w:rPr>
                <w:rFonts w:ascii="宋体" w:hAnsi="宋体" w:cs="宋体"/>
                <w:color w:val="000000"/>
                <w:sz w:val="18"/>
                <w:szCs w:val="18"/>
              </w:rPr>
              <w:br w:type="textWrapping"/>
            </w:r>
            <w:r>
              <w:rPr>
                <w:rFonts w:ascii="宋体" w:hAnsi="宋体" w:cs="宋体"/>
                <w:color w:val="000000"/>
                <w:sz w:val="18"/>
                <w:szCs w:val="18"/>
              </w:rPr>
              <w:t>五、音频处理器：1.支持≥1 路6.35左声道输入，支持≥1 路右声道输入。2.支持≥1 路3.5音频输入，支持≥1 路3.5音频输出。3.支持≥1路DMIC数字音频数据传输。4.数字音频输入或者输出：≥1 路USB 输入。5.内置扬声器输出：≥2 路。6.内置功放数量及功率：不小于2*4Ω15W。7.需支持噪声抑制，反馈抑制，回声消除，自动增益控制。8.需支持智能降噪，内置 AI 智能降噪算法，有效降低和滤除教室内常见噪声，最大噪声抑制幅度：36dB。9.需支持本地扩声与远程互动同时工作，远程互动可做到师生双方同时讲话无压制、无回声、无断续。10.需支持过滤教室内的空调、电风扇等发出的噪音干扰，过滤噪声不影响扩声效果。</w:t>
            </w:r>
            <w:r>
              <w:rPr>
                <w:rFonts w:ascii="宋体" w:hAnsi="宋体" w:cs="宋体"/>
                <w:color w:val="000000"/>
                <w:sz w:val="18"/>
                <w:szCs w:val="18"/>
              </w:rPr>
              <w:br w:type="textWrapping"/>
            </w:r>
            <w:r>
              <w:rPr>
                <w:rFonts w:ascii="宋体" w:hAnsi="宋体" w:cs="宋体"/>
                <w:color w:val="000000"/>
                <w:sz w:val="18"/>
                <w:szCs w:val="18"/>
              </w:rPr>
              <w:t>六、音箱：1.额定功率：≥15W@4Ω。2.最大功率：≥20W。3.灵敏度：≥80±3dB。4.频率范围：50-12KHz。</w:t>
            </w:r>
            <w:r>
              <w:rPr>
                <w:rFonts w:ascii="宋体" w:hAnsi="宋体" w:cs="宋体"/>
                <w:color w:val="000000"/>
                <w:sz w:val="18"/>
                <w:szCs w:val="18"/>
              </w:rPr>
              <w:br w:type="textWrapping"/>
            </w:r>
            <w:r>
              <w:rPr>
                <w:rFonts w:ascii="宋体" w:hAnsi="宋体" w:cs="宋体"/>
                <w:color w:val="000000"/>
                <w:sz w:val="18"/>
                <w:szCs w:val="18"/>
              </w:rPr>
              <w:t>七、实训领夹麦克风：1.通讯方式/频段：需支持2.4G 。2.有效使用距离：不低于10米。3.音频信噪比：≥85dB。4.频响要求：100Hz~10KHz。5.配对方式：近距离触发自动配对。6.供电方式：内置电池。7.电池使用时间：不低于5小时。8.充电盒需支持剩余电量指示和充电电量指示；容量：≥260mAh。</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1套</w:t>
            </w:r>
          </w:p>
        </w:tc>
        <w:tc>
          <w:tcPr>
            <w:tcW w:w="418" w:type="dxa"/>
            <w:vAlign w:val="center"/>
          </w:tcPr>
          <w:p>
            <w:pPr>
              <w:pStyle w:val="148"/>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dxa"/>
            <w:vAlign w:val="center"/>
          </w:tcPr>
          <w:p>
            <w:pPr>
              <w:pStyle w:val="100"/>
              <w:spacing w:before="58" w:after="58"/>
              <w:ind w:firstLine="0" w:firstLineChars="0"/>
              <w:jc w:val="center"/>
              <w:rPr>
                <w:rFonts w:ascii="宋体" w:hAnsi="宋体" w:cs="宋体"/>
                <w:color w:val="000000"/>
                <w:sz w:val="18"/>
                <w:szCs w:val="18"/>
              </w:rPr>
            </w:pPr>
            <w:r>
              <w:rPr>
                <w:rFonts w:hint="eastAsia" w:ascii="宋体" w:hAnsi="宋体" w:cs="宋体"/>
                <w:color w:val="000000"/>
                <w:sz w:val="18"/>
                <w:szCs w:val="18"/>
              </w:rPr>
              <w:t>60</w:t>
            </w:r>
          </w:p>
        </w:tc>
        <w:tc>
          <w:tcPr>
            <w:tcW w:w="2242" w:type="dxa"/>
            <w:gridSpan w:val="2"/>
            <w:vAlign w:val="center"/>
          </w:tcPr>
          <w:p>
            <w:pPr>
              <w:pStyle w:val="100"/>
              <w:spacing w:before="58" w:after="58"/>
              <w:ind w:firstLine="0" w:firstLineChars="0"/>
              <w:jc w:val="center"/>
              <w:rPr>
                <w:rFonts w:ascii="宋体" w:hAnsi="宋体" w:cs="宋体"/>
                <w:color w:val="000000"/>
                <w:sz w:val="18"/>
                <w:szCs w:val="18"/>
              </w:rPr>
            </w:pPr>
            <w:r>
              <w:rPr>
                <w:rFonts w:ascii="宋体" w:hAnsi="宋体" w:cs="宋体"/>
                <w:color w:val="000000"/>
                <w:sz w:val="18"/>
                <w:szCs w:val="18"/>
              </w:rPr>
              <w:t>4K实训录播系统</w:t>
            </w:r>
          </w:p>
        </w:tc>
        <w:tc>
          <w:tcPr>
            <w:tcW w:w="6887" w:type="dxa"/>
            <w:vAlign w:val="center"/>
          </w:tcPr>
          <w:p>
            <w:pPr>
              <w:pStyle w:val="100"/>
              <w:spacing w:before="58" w:after="58"/>
              <w:ind w:firstLine="0" w:firstLineChars="0"/>
              <w:rPr>
                <w:rFonts w:ascii="宋体" w:hAnsi="宋体" w:cs="宋体"/>
                <w:b/>
                <w:bCs/>
                <w:color w:val="000000"/>
                <w:sz w:val="18"/>
                <w:szCs w:val="18"/>
              </w:rPr>
            </w:pPr>
            <w:r>
              <w:rPr>
                <w:rFonts w:ascii="宋体" w:hAnsi="宋体" w:cs="宋体"/>
                <w:color w:val="000000"/>
                <w:sz w:val="18"/>
                <w:szCs w:val="18"/>
              </w:rPr>
              <w:t>1.系统需支持账号密码登录模式。2.录制模式需支持电影模式、资源模式两种，能同时支持≥1路电影模式加不少于4路资源录制，包含：录制合成画面、教师全景、教师特写、学生全景、学生特写、板书画面、电脑画面自由组合。3.录制格式需支持MP4/FLV/TS。4.录制分辨率需支持3840*2160、1920*1080等，支持录制帧率设定，可选择25fps/30fps。5.支持实时显示录播主机CPU的使用率，硬盘使用情况，不少于4路预监画面。</w:t>
            </w:r>
            <w:r>
              <w:rPr>
                <w:rFonts w:hint="eastAsia" w:ascii="宋体" w:hAnsi="宋体"/>
                <w:sz w:val="18"/>
                <w:szCs w:val="18"/>
              </w:rPr>
              <w:t>▲</w:t>
            </w:r>
            <w:r>
              <w:rPr>
                <w:rFonts w:ascii="宋体" w:hAnsi="宋体" w:cs="宋体"/>
                <w:color w:val="000000"/>
                <w:sz w:val="18"/>
                <w:szCs w:val="18"/>
              </w:rPr>
              <w:t>6.支持手指点控模式；导播模式支持视频预览、直播输出监视、视频切换等功能，其中手指拖动视频切换时支持导播小画面定位跟随。</w:t>
            </w:r>
            <w:r>
              <w:rPr>
                <w:rFonts w:hint="eastAsia" w:ascii="宋体" w:hAnsi="宋体"/>
                <w:sz w:val="18"/>
                <w:szCs w:val="18"/>
              </w:rPr>
              <w:t>提供</w:t>
            </w:r>
            <w:r>
              <w:rPr>
                <w:rFonts w:ascii="宋体" w:hAnsi="宋体"/>
                <w:sz w:val="18"/>
                <w:szCs w:val="18"/>
              </w:rPr>
              <w:t>第三方权威检测机构出具的检验报告复印件加盖厂商</w:t>
            </w:r>
            <w:r>
              <w:rPr>
                <w:rFonts w:hint="eastAsia" w:ascii="宋体" w:hAnsi="宋体"/>
                <w:sz w:val="18"/>
                <w:szCs w:val="18"/>
              </w:rPr>
              <w:t>鲜</w:t>
            </w:r>
            <w:r>
              <w:rPr>
                <w:rFonts w:ascii="宋体" w:hAnsi="宋体"/>
                <w:sz w:val="18"/>
                <w:szCs w:val="18"/>
              </w:rPr>
              <w:t>章</w:t>
            </w:r>
            <w:r>
              <w:rPr>
                <w:color w:val="000000"/>
                <w:sz w:val="18"/>
                <w:szCs w:val="18"/>
              </w:rPr>
              <w:t>。</w:t>
            </w:r>
            <w:r>
              <w:rPr>
                <w:rFonts w:ascii="宋体" w:hAnsi="宋体" w:cs="宋体"/>
                <w:color w:val="000000"/>
                <w:sz w:val="18"/>
                <w:szCs w:val="18"/>
              </w:rPr>
              <w:t>7.需支持添加字幕，支持包括系统时间在内的不少于8种预设字幕的设置。需支持设置≥9种字体大小、≥8种字体颜色。8.需支持直接通过拖拽实现自定义字幕显示位置。</w:t>
            </w:r>
            <w:r>
              <w:rPr>
                <w:rFonts w:hint="eastAsia" w:ascii="宋体" w:hAnsi="宋体"/>
                <w:sz w:val="18"/>
                <w:szCs w:val="18"/>
              </w:rPr>
              <w:t>▲</w:t>
            </w:r>
            <w:r>
              <w:rPr>
                <w:rFonts w:ascii="宋体" w:hAnsi="宋体" w:cs="宋体"/>
                <w:color w:val="000000"/>
                <w:sz w:val="18"/>
                <w:szCs w:val="18"/>
              </w:rPr>
              <w:t>9.需自带虚拟软键盘，无需外接USB键盘，支持多种格式的字幕，可输入中文、英文、数字、特殊符号。10. 需提供多种画面布局模式，支持视频画面叠加与组合，包括单画面、双分屏画面、三分屏画面、四分屏画面显示，可直接通过手指触控拖动通道画面实现多分屏布局显示画面的替换，替换时支持导播小画面定位跟随。11. 需支持≥4种片头和≥4种片尾的添加，可以设置插入片头片尾的时间，支持jpg、png等格式。12.台标需支持≥4个固定位置，支持手动拖拽移动台标，实现界面任意位置的台标设置。支持设定图片台标，支持jpg、png等格式。13.需支持上滑、下滑、左滑、右滑等多种切换特效，支持自定义选择≥8种特效切换速度。14.系统需支持摄像机云台控制，可以对摄像机进行变焦、上下左右位置调整以及≥8个预置位的设置，整个过程支持手指触控操作。15.系统需支持音量设置，可以采用手指拖动方式控制设备输入输出的音量大小。16.系统需支持录制倒计时和循环记录功能，在硬盘存储空间为0时，仍可进行录制，将最早录制的视频文件删除，支持录制到U盘。17.所录制的视频文件既可存储在本地硬盘，也支持通过FTP上传至平台，同时支持用户随时通过录播主机点播回放视频，并可使用移动磁盘或硬盘拷贝下载。18.系统支持录制单个文件和限时自动分割录制功能，支持自定义限时自动分割时长。19.系统具有推送公网直播功能。20.要求内置微课制作功能，支持不少于前景、人像、背景3层场景叠加，叠加的场景支持PPT、视频、图片，虚拟抠像后的人像等类型。21.内置互动系统，支持标准SIP和H.323互动协议，支持互动列表，列表中可以显示所有与会者的信息；支持互动画面布局的显示，布局支持单分屏，双分屏，四分屏显示。互动界面支持双流、一键静音、全屏、导播设置等功能。22.授课预监：授课过程中，录播主机屏幕将实时显示授课教室和参与互动的听课教室画面，用户可实时查看授课教室的拍摄效果，及互动教室的听课状态。23.系统支持中英文版本切换，满足不同的应用场景。</w:t>
            </w:r>
          </w:p>
        </w:tc>
        <w:tc>
          <w:tcPr>
            <w:tcW w:w="756" w:type="dxa"/>
            <w:vAlign w:val="center"/>
          </w:tcPr>
          <w:p>
            <w:pPr>
              <w:pStyle w:val="148"/>
              <w:rPr>
                <w:rFonts w:ascii="宋体" w:hAnsi="宋体" w:cs="宋体"/>
                <w:color w:val="000000"/>
                <w:sz w:val="18"/>
                <w:szCs w:val="18"/>
              </w:rPr>
            </w:pPr>
            <w:r>
              <w:rPr>
                <w:rFonts w:hint="eastAsia" w:ascii="宋体" w:hAnsi="宋体" w:cs="宋体"/>
                <w:color w:val="000000"/>
                <w:sz w:val="18"/>
                <w:szCs w:val="18"/>
              </w:rPr>
              <w:t>1套</w:t>
            </w:r>
          </w:p>
        </w:tc>
        <w:tc>
          <w:tcPr>
            <w:tcW w:w="418" w:type="dxa"/>
            <w:vAlign w:val="center"/>
          </w:tcPr>
          <w:p>
            <w:pPr>
              <w:pStyle w:val="148"/>
              <w:rPr>
                <w:rFonts w:ascii="宋体" w:hAnsi="宋体" w:cs="宋体"/>
                <w:color w:val="000000"/>
                <w:sz w:val="18"/>
                <w:szCs w:val="18"/>
              </w:rPr>
            </w:pPr>
          </w:p>
        </w:tc>
      </w:tr>
      <w:bookmarkEnd w:id="73"/>
    </w:tbl>
    <w:p>
      <w:pPr>
        <w:pStyle w:val="4"/>
        <w:jc w:val="left"/>
        <w:rPr>
          <w:rFonts w:hint="eastAsia" w:ascii="宋体" w:hAnsi="宋体" w:eastAsia="宋体" w:cs="仿宋"/>
          <w:b w:val="0"/>
          <w:bCs w:val="0"/>
          <w:sz w:val="21"/>
          <w:szCs w:val="21"/>
          <w:lang w:eastAsia="zh-CN"/>
        </w:rPr>
      </w:pPr>
      <w:r>
        <w:rPr>
          <w:rFonts w:ascii="宋体" w:hAnsi="宋体" w:cs="仿宋"/>
          <w:b w:val="0"/>
          <w:bCs w:val="0"/>
          <w:sz w:val="21"/>
          <w:szCs w:val="21"/>
        </w:rPr>
        <w:t>备注：要求本项目为交钥匙项目。报价需包含完成本项目全部采购需求所应提供的货物，以及伴随的服务和配套</w:t>
      </w:r>
      <w:r>
        <w:rPr>
          <w:rFonts w:ascii="宋体" w:hAnsi="宋体" w:cs="仿宋"/>
          <w:b w:val="0"/>
          <w:bCs w:val="0"/>
          <w:color w:val="000000"/>
          <w:sz w:val="21"/>
          <w:szCs w:val="21"/>
        </w:rPr>
        <w:t>虚拟仿真教室</w:t>
      </w:r>
      <w:r>
        <w:rPr>
          <w:rFonts w:hint="eastAsia" w:ascii="宋体" w:hAnsi="宋体" w:cs="仿宋"/>
          <w:b w:val="0"/>
          <w:bCs w:val="0"/>
          <w:color w:val="000000"/>
          <w:sz w:val="21"/>
          <w:szCs w:val="21"/>
        </w:rPr>
        <w:t>及</w:t>
      </w:r>
      <w:bookmarkStart w:id="83" w:name="OLE_LINK35"/>
      <w:bookmarkStart w:id="84" w:name="OLE_LINK33"/>
      <w:r>
        <w:rPr>
          <w:rFonts w:ascii="宋体" w:hAnsi="宋体" w:cs="仿宋"/>
          <w:b w:val="0"/>
          <w:bCs w:val="0"/>
          <w:color w:val="000000"/>
          <w:sz w:val="21"/>
          <w:szCs w:val="21"/>
        </w:rPr>
        <w:t>四楼过</w:t>
      </w:r>
      <w:r>
        <w:rPr>
          <w:rFonts w:ascii="宋体" w:hAnsi="宋体" w:cs="仿宋"/>
          <w:b w:val="0"/>
          <w:bCs w:val="0"/>
          <w:sz w:val="21"/>
          <w:szCs w:val="21"/>
        </w:rPr>
        <w:t>道方面顶面</w:t>
      </w:r>
      <w:r>
        <w:rPr>
          <w:rFonts w:hint="eastAsia" w:ascii="宋体" w:hAnsi="宋体" w:cs="仿宋"/>
          <w:b w:val="0"/>
          <w:bCs w:val="0"/>
          <w:sz w:val="21"/>
          <w:szCs w:val="21"/>
        </w:rPr>
        <w:t>的</w:t>
      </w:r>
      <w:bookmarkEnd w:id="83"/>
      <w:bookmarkEnd w:id="84"/>
      <w:r>
        <w:rPr>
          <w:rFonts w:hint="eastAsia" w:ascii="宋体" w:hAnsi="宋体" w:cs="仿宋"/>
          <w:b w:val="0"/>
          <w:bCs w:val="0"/>
          <w:sz w:val="21"/>
          <w:szCs w:val="21"/>
        </w:rPr>
        <w:t>定制装修：</w:t>
      </w:r>
      <w:r>
        <w:rPr>
          <w:rFonts w:ascii="宋体" w:hAnsi="宋体" w:cs="仿宋"/>
          <w:b w:val="0"/>
          <w:bCs w:val="0"/>
          <w:sz w:val="21"/>
          <w:szCs w:val="21"/>
        </w:rPr>
        <w:t>包含但不仅限于原教室内设备及装饰拆除；</w:t>
      </w:r>
      <w:r>
        <w:rPr>
          <w:rFonts w:hint="eastAsia" w:ascii="宋体" w:hAnsi="宋体" w:cs="仿宋"/>
          <w:b w:val="0"/>
          <w:bCs w:val="0"/>
          <w:sz w:val="21"/>
          <w:szCs w:val="21"/>
        </w:rPr>
        <w:t>原有教室</w:t>
      </w:r>
      <w:bookmarkStart w:id="85" w:name="OLE_LINK40"/>
      <w:bookmarkStart w:id="86" w:name="OLE_LINK42"/>
      <w:r>
        <w:rPr>
          <w:rFonts w:hint="eastAsia" w:ascii="宋体" w:hAnsi="宋体" w:cs="仿宋"/>
          <w:b w:val="0"/>
          <w:bCs w:val="0"/>
          <w:sz w:val="21"/>
          <w:szCs w:val="21"/>
        </w:rPr>
        <w:t>、过道外</w:t>
      </w:r>
      <w:bookmarkEnd w:id="85"/>
      <w:bookmarkEnd w:id="86"/>
      <w:r>
        <w:rPr>
          <w:rFonts w:hint="eastAsia" w:ascii="宋体" w:hAnsi="宋体" w:cs="仿宋"/>
          <w:b w:val="0"/>
          <w:bCs w:val="0"/>
          <w:sz w:val="21"/>
          <w:szCs w:val="21"/>
        </w:rPr>
        <w:t>的装修拆除，原有灯具拆除；</w:t>
      </w:r>
      <w:r>
        <w:rPr>
          <w:rFonts w:ascii="宋体" w:hAnsi="宋体" w:cs="仿宋"/>
          <w:b w:val="0"/>
          <w:bCs w:val="0"/>
          <w:sz w:val="21"/>
          <w:szCs w:val="21"/>
        </w:rPr>
        <w:t>虚拟仿真教室</w:t>
      </w:r>
      <w:r>
        <w:rPr>
          <w:rFonts w:hint="eastAsia" w:ascii="宋体" w:hAnsi="宋体" w:cs="仿宋"/>
          <w:b w:val="0"/>
          <w:bCs w:val="0"/>
          <w:sz w:val="21"/>
          <w:szCs w:val="21"/>
        </w:rPr>
        <w:t>、过道外墙面基础处理：1：原有墙面修补；2：重新批刮环保腻子；3：哑光乳胶漆刷涂两遍；全部墙面38轻钢主龙骨排列(间隔1米—1.2米）烤漆龙骨排放，包括边骨，教室墙面定制装饰及及楼道文化墙建设；隔墙：使用75型国标轻钢龙骨，内填块状50mm高密度玻璃丝绵，封闭石膏板，双面封闭；灯具线路布置：使用国标2.5平方线材布置灯具线路，墙面插座线路；地面铜排导线：采用40*0.15紫铜带铺设地面，间隔60cm；LED照明灯：安装在顶面部分，规格为100*10*4cmLED灯具安装（普通照明）不低于30W,色温为6500k，使用国标高级开关面板；</w:t>
      </w:r>
      <w:r>
        <w:rPr>
          <w:rFonts w:ascii="宋体" w:hAnsi="宋体" w:cs="仿宋"/>
          <w:b w:val="0"/>
          <w:bCs w:val="0"/>
          <w:sz w:val="21"/>
          <w:szCs w:val="21"/>
        </w:rPr>
        <w:t>虚拟仿真教室</w:t>
      </w:r>
      <w:r>
        <w:rPr>
          <w:rFonts w:hint="eastAsia" w:ascii="宋体" w:hAnsi="宋体" w:cs="仿宋"/>
          <w:b w:val="0"/>
          <w:bCs w:val="0"/>
          <w:sz w:val="21"/>
          <w:szCs w:val="21"/>
        </w:rPr>
        <w:t>全冲孔的集成吊顶金属版面；乙级防火门定制安装；窗帘定制和安装，包括金属轨道；桥架铺设，20公分桥架12米，使用阻燃防火桥架，内部线材由设备方提供和排放；</w:t>
      </w:r>
      <w:r>
        <w:rPr>
          <w:rFonts w:ascii="宋体" w:hAnsi="宋体" w:cs="仿宋"/>
          <w:b w:val="0"/>
          <w:bCs w:val="0"/>
          <w:sz w:val="21"/>
          <w:szCs w:val="21"/>
        </w:rPr>
        <w:t>地面采用600mm*600mm*35mm</w:t>
      </w:r>
      <w:r>
        <w:rPr>
          <w:rFonts w:hint="eastAsia" w:ascii="宋体" w:hAnsi="宋体" w:cs="仿宋"/>
          <w:b w:val="0"/>
          <w:bCs w:val="0"/>
          <w:sz w:val="21"/>
          <w:szCs w:val="21"/>
        </w:rPr>
        <w:t>陶瓷</w:t>
      </w:r>
      <w:r>
        <w:rPr>
          <w:rFonts w:ascii="宋体" w:hAnsi="宋体" w:cs="仿宋"/>
          <w:b w:val="0"/>
          <w:bCs w:val="0"/>
          <w:sz w:val="21"/>
          <w:szCs w:val="21"/>
        </w:rPr>
        <w:t>静电地板</w:t>
      </w:r>
      <w:r>
        <w:rPr>
          <w:rFonts w:hint="eastAsia" w:ascii="宋体" w:hAnsi="宋体" w:cs="仿宋"/>
          <w:b w:val="0"/>
          <w:bCs w:val="0"/>
          <w:sz w:val="21"/>
          <w:szCs w:val="21"/>
        </w:rPr>
        <w:t>；</w:t>
      </w:r>
      <w:r>
        <w:rPr>
          <w:rFonts w:ascii="宋体" w:hAnsi="宋体" w:cs="仿宋"/>
          <w:b w:val="0"/>
          <w:bCs w:val="0"/>
          <w:sz w:val="21"/>
          <w:szCs w:val="21"/>
        </w:rPr>
        <w:t>配置</w:t>
      </w:r>
      <w:r>
        <w:rPr>
          <w:rFonts w:hint="eastAsia" w:ascii="宋体" w:hAnsi="宋体" w:cs="仿宋"/>
          <w:b w:val="0"/>
          <w:bCs w:val="0"/>
          <w:sz w:val="21"/>
          <w:szCs w:val="21"/>
        </w:rPr>
        <w:t>教室制冷设备</w:t>
      </w:r>
      <w:r>
        <w:rPr>
          <w:rFonts w:ascii="宋体" w:hAnsi="宋体" w:cs="仿宋"/>
          <w:b w:val="0"/>
          <w:bCs w:val="0"/>
          <w:sz w:val="21"/>
          <w:szCs w:val="21"/>
        </w:rPr>
        <w:t>；</w:t>
      </w:r>
      <w:r>
        <w:rPr>
          <w:rFonts w:hint="eastAsia" w:ascii="宋体" w:hAnsi="宋体" w:cs="仿宋"/>
          <w:b w:val="0"/>
          <w:bCs w:val="0"/>
          <w:sz w:val="21"/>
          <w:szCs w:val="21"/>
        </w:rPr>
        <w:t>包括电工</w:t>
      </w:r>
      <w:r>
        <w:rPr>
          <w:rFonts w:hint="eastAsia" w:ascii="宋体" w:hAnsi="宋体" w:cs="仿宋"/>
          <w:b w:val="0"/>
          <w:bCs w:val="0"/>
          <w:sz w:val="21"/>
          <w:szCs w:val="21"/>
          <w:highlight w:val="none"/>
        </w:rPr>
        <w:t>安装，材料运输费，搬运费，垃圾清理，保洁等费用</w:t>
      </w:r>
      <w:r>
        <w:rPr>
          <w:rFonts w:ascii="宋体" w:hAnsi="宋体" w:cs="仿宋"/>
          <w:b w:val="0"/>
          <w:bCs w:val="0"/>
          <w:sz w:val="21"/>
          <w:szCs w:val="21"/>
          <w:highlight w:val="none"/>
        </w:rPr>
        <w:t>，不再产生额外费用，</w:t>
      </w:r>
      <w:r>
        <w:rPr>
          <w:rFonts w:hint="eastAsia" w:ascii="宋体" w:hAnsi="宋体" w:cs="仿宋"/>
          <w:b w:val="0"/>
          <w:bCs w:val="0"/>
          <w:sz w:val="21"/>
          <w:szCs w:val="21"/>
          <w:highlight w:val="none"/>
        </w:rPr>
        <w:t>本项目建设为交钥匙工程，招标文件中提供的主要货物清单及参数需求中如有遗漏，请各投标方自行补全并计入到报价中，一旦中标不再追加。楼道长度：64.6米，宽度：2.412米，高度：3.27米</w:t>
      </w:r>
      <w:r>
        <w:rPr>
          <w:rFonts w:hint="eastAsia" w:ascii="宋体" w:hAnsi="宋体" w:cs="仿宋"/>
          <w:b w:val="0"/>
          <w:bCs w:val="0"/>
          <w:sz w:val="21"/>
          <w:szCs w:val="21"/>
          <w:highlight w:val="none"/>
          <w:lang w:eastAsia="zh-CN"/>
        </w:rPr>
        <w:t>。楼道窗户11个长2.07米，高度1.15米。</w:t>
      </w:r>
    </w:p>
    <w:p>
      <w:pPr>
        <w:rPr>
          <w:rFonts w:ascii="宋体" w:hAnsi="宋体"/>
        </w:rPr>
      </w:pPr>
    </w:p>
    <w:p>
      <w:pPr>
        <w:pStyle w:val="4"/>
        <w:jc w:val="center"/>
        <w:rPr>
          <w:rFonts w:ascii="宋体" w:hAnsi="宋体"/>
          <w:bCs w:val="0"/>
          <w:sz w:val="24"/>
        </w:rPr>
      </w:pPr>
      <w:r>
        <w:rPr>
          <w:rFonts w:hint="eastAsia" w:ascii="宋体" w:hAnsi="宋体"/>
          <w:bCs w:val="0"/>
          <w:sz w:val="24"/>
        </w:rPr>
        <w:t>四、实质性条款</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5" w:type="dxa"/>
          </w:tcPr>
          <w:p>
            <w:pPr>
              <w:adjustRightInd w:val="0"/>
              <w:snapToGrid w:val="0"/>
              <w:spacing w:line="360" w:lineRule="auto"/>
              <w:jc w:val="center"/>
              <w:rPr>
                <w:rFonts w:ascii="宋体" w:hAnsi="宋体"/>
                <w:kern w:val="0"/>
              </w:rPr>
            </w:pPr>
            <w:r>
              <w:rPr>
                <w:rFonts w:hint="eastAsia" w:ascii="宋体" w:hAnsi="宋体"/>
                <w:kern w:val="0"/>
              </w:rPr>
              <w:t>序号</w:t>
            </w:r>
          </w:p>
        </w:tc>
        <w:tc>
          <w:tcPr>
            <w:tcW w:w="8622" w:type="dxa"/>
          </w:tcPr>
          <w:p>
            <w:pPr>
              <w:adjustRightInd w:val="0"/>
              <w:snapToGrid w:val="0"/>
              <w:spacing w:line="360" w:lineRule="auto"/>
              <w:jc w:val="center"/>
              <w:rPr>
                <w:rFonts w:ascii="宋体" w:hAnsi="宋体"/>
                <w:kern w:val="0"/>
              </w:rPr>
            </w:pPr>
            <w:r>
              <w:rPr>
                <w:rFonts w:hint="eastAsia" w:ascii="宋体" w:hAnsi="宋体"/>
                <w:kern w:val="0"/>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5" w:type="dxa"/>
            <w:vAlign w:val="center"/>
          </w:tcPr>
          <w:p>
            <w:pPr>
              <w:adjustRightInd w:val="0"/>
              <w:snapToGrid w:val="0"/>
              <w:spacing w:line="360" w:lineRule="auto"/>
              <w:jc w:val="center"/>
              <w:rPr>
                <w:rFonts w:ascii="宋体" w:hAnsi="宋体"/>
                <w:kern w:val="0"/>
              </w:rPr>
            </w:pPr>
            <w:r>
              <w:rPr>
                <w:rFonts w:hint="eastAsia" w:ascii="宋体" w:hAnsi="宋体"/>
                <w:kern w:val="0"/>
              </w:rPr>
              <w:t>1</w:t>
            </w:r>
          </w:p>
        </w:tc>
        <w:tc>
          <w:tcPr>
            <w:tcW w:w="8622" w:type="dxa"/>
            <w:vAlign w:val="center"/>
          </w:tcPr>
          <w:p>
            <w:pPr>
              <w:spacing w:line="276" w:lineRule="auto"/>
              <w:jc w:val="left"/>
              <w:rPr>
                <w:rFonts w:ascii="宋体" w:hAnsi="宋体"/>
                <w:kern w:val="0"/>
              </w:rPr>
            </w:pPr>
            <w:r>
              <w:rPr>
                <w:rFonts w:hint="eastAsia" w:ascii="宋体" w:hAnsi="宋体"/>
                <w:color w:val="FF0000"/>
              </w:rPr>
              <w:t>满足本项目</w:t>
            </w:r>
            <w:r>
              <w:rPr>
                <w:rFonts w:hint="eastAsia" w:ascii="宋体" w:hAnsi="宋体"/>
              </w:rPr>
              <w:t>采购需求中</w:t>
            </w:r>
            <w:r>
              <w:rPr>
                <w:rFonts w:hint="eastAsia" w:ascii="宋体" w:hAnsi="宋体"/>
                <w:color w:val="FF0000"/>
              </w:rPr>
              <w:t>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5" w:type="dxa"/>
            <w:vAlign w:val="center"/>
          </w:tcPr>
          <w:p>
            <w:pPr>
              <w:adjustRightInd w:val="0"/>
              <w:snapToGrid w:val="0"/>
              <w:spacing w:line="360" w:lineRule="auto"/>
              <w:jc w:val="center"/>
              <w:rPr>
                <w:rFonts w:ascii="宋体" w:hAnsi="宋体"/>
                <w:kern w:val="0"/>
              </w:rPr>
            </w:pPr>
            <w:r>
              <w:rPr>
                <w:rFonts w:hint="eastAsia" w:ascii="宋体" w:hAnsi="宋体"/>
                <w:kern w:val="0"/>
              </w:rPr>
              <w:t>2</w:t>
            </w:r>
          </w:p>
        </w:tc>
        <w:tc>
          <w:tcPr>
            <w:tcW w:w="8622" w:type="dxa"/>
            <w:vAlign w:val="center"/>
          </w:tcPr>
          <w:p>
            <w:pPr>
              <w:spacing w:line="276" w:lineRule="auto"/>
              <w:jc w:val="left"/>
              <w:rPr>
                <w:rFonts w:ascii="宋体" w:hAnsi="宋体"/>
                <w:kern w:val="0"/>
              </w:rPr>
            </w:pPr>
            <w:bookmarkStart w:id="87" w:name="OLE_LINK25"/>
            <w:r>
              <w:rPr>
                <w:rFonts w:hint="eastAsia" w:ascii="宋体" w:hAnsi="宋体"/>
                <w:color w:val="FF0000"/>
                <w:sz w:val="22"/>
                <w:szCs w:val="22"/>
              </w:rPr>
              <w:t>交付期：</w:t>
            </w:r>
            <w:bookmarkStart w:id="88" w:name="OLE_LINK63"/>
            <w:r>
              <w:rPr>
                <w:rFonts w:hint="eastAsia" w:ascii="宋体" w:hAnsi="宋体"/>
                <w:color w:val="FF0000"/>
                <w:sz w:val="22"/>
                <w:szCs w:val="22"/>
              </w:rPr>
              <w:t>自合同签订后50日内完成供货，并完成安装调试。</w:t>
            </w:r>
            <w:r>
              <w:rPr>
                <w:rFonts w:hint="eastAsia" w:ascii="宋体" w:hAnsi="宋体" w:cs="宋体"/>
              </w:rPr>
              <w:t>软硬件至少提供60个月免费维保服务。</w:t>
            </w:r>
            <w:bookmarkEnd w:id="87"/>
            <w:bookmarkEnd w:id="88"/>
          </w:p>
        </w:tc>
      </w:tr>
    </w:tbl>
    <w:p>
      <w:pPr>
        <w:spacing w:line="540" w:lineRule="exact"/>
        <w:rPr>
          <w:rFonts w:ascii="宋体" w:hAnsi="宋体"/>
          <w:sz w:val="28"/>
          <w:szCs w:val="28"/>
        </w:rPr>
      </w:pPr>
      <w:r>
        <w:rPr>
          <w:rFonts w:hint="eastAsia" w:ascii="宋体" w:hAnsi="宋体" w:cs="宋体"/>
        </w:rPr>
        <w:t>注：上表所列内容为不可负偏离条款，负偏离将视为未实质性满足招标文件要求作投标无效处理。</w:t>
      </w:r>
    </w:p>
    <w:p>
      <w:pPr>
        <w:pStyle w:val="4"/>
        <w:jc w:val="center"/>
        <w:rPr>
          <w:rFonts w:ascii="宋体" w:hAnsi="宋体"/>
          <w:bCs w:val="0"/>
          <w:color w:val="auto"/>
          <w:sz w:val="24"/>
        </w:rPr>
      </w:pPr>
      <w:r>
        <w:rPr>
          <w:rFonts w:hint="eastAsia" w:ascii="宋体" w:hAnsi="宋体"/>
          <w:bCs w:val="0"/>
          <w:color w:val="auto"/>
          <w:sz w:val="24"/>
        </w:rPr>
        <w:t>五、商务技术要求</w:t>
      </w:r>
    </w:p>
    <w:p>
      <w:pPr>
        <w:ind w:firstLine="210" w:firstLineChars="100"/>
        <w:rPr>
          <w:rFonts w:ascii="宋体" w:hAnsi="宋体"/>
          <w:color w:val="auto"/>
          <w:highlight w:val="yellow"/>
        </w:rPr>
      </w:pPr>
      <w:bookmarkStart w:id="89" w:name="_Toc534725606"/>
      <w:bookmarkStart w:id="90" w:name="_Toc106616771"/>
      <w:r>
        <w:rPr>
          <w:rFonts w:hint="eastAsia" w:ascii="宋体" w:hAnsi="宋体"/>
          <w:color w:val="auto"/>
          <w:highlight w:val="yellow"/>
        </w:rPr>
        <w:t xml:space="preserve"> 商务要求：</w:t>
      </w:r>
    </w:p>
    <w:p>
      <w:pPr>
        <w:ind w:left="315" w:leftChars="150" w:firstLine="420" w:firstLineChars="200"/>
        <w:rPr>
          <w:rFonts w:ascii="宋体" w:hAnsi="宋体"/>
          <w:color w:val="auto"/>
        </w:rPr>
      </w:pPr>
      <w:r>
        <w:rPr>
          <w:rFonts w:hint="eastAsia" w:ascii="宋体" w:hAnsi="宋体"/>
          <w:color w:val="auto"/>
        </w:rPr>
        <w:t xml:space="preserve">1.质保期：五年。 </w:t>
      </w:r>
    </w:p>
    <w:p>
      <w:pPr>
        <w:ind w:left="315" w:leftChars="150" w:firstLine="420" w:firstLineChars="200"/>
        <w:rPr>
          <w:rFonts w:ascii="宋体" w:hAnsi="宋体"/>
          <w:color w:val="auto"/>
        </w:rPr>
      </w:pPr>
      <w:r>
        <w:rPr>
          <w:rFonts w:hint="eastAsia" w:ascii="宋体" w:hAnsi="宋体"/>
          <w:color w:val="auto"/>
        </w:rPr>
        <w:t>2.交付期、交</w:t>
      </w:r>
      <w:bookmarkStart w:id="91" w:name="OLE_LINK34"/>
      <w:r>
        <w:rPr>
          <w:rFonts w:hint="eastAsia" w:ascii="宋体" w:hAnsi="宋体"/>
          <w:color w:val="auto"/>
        </w:rPr>
        <w:t>付方式及交付地点</w:t>
      </w:r>
    </w:p>
    <w:p>
      <w:pPr>
        <w:ind w:left="315" w:leftChars="150" w:firstLine="420" w:firstLineChars="200"/>
        <w:rPr>
          <w:rFonts w:ascii="宋体" w:hAnsi="宋体"/>
          <w:color w:val="auto"/>
        </w:rPr>
      </w:pPr>
      <w:r>
        <w:rPr>
          <w:rFonts w:hint="eastAsia" w:ascii="宋体" w:hAnsi="宋体"/>
          <w:color w:val="auto"/>
        </w:rPr>
        <w:t xml:space="preserve">★2.1 </w:t>
      </w:r>
      <w:bookmarkStart w:id="92" w:name="OLE_LINK41"/>
      <w:r>
        <w:rPr>
          <w:rFonts w:hint="eastAsia" w:ascii="宋体" w:hAnsi="宋体"/>
          <w:color w:val="auto"/>
        </w:rPr>
        <w:t>交付期：</w:t>
      </w:r>
      <w:bookmarkStart w:id="93" w:name="OLE_LINK36"/>
      <w:r>
        <w:rPr>
          <w:rFonts w:hint="eastAsia" w:ascii="宋体" w:hAnsi="宋体"/>
          <w:color w:val="auto"/>
        </w:rPr>
        <w:t>自合同签订后50日内完成供货，并完成安装调试。安装调试后7日内完成验收。</w:t>
      </w:r>
      <w:bookmarkEnd w:id="93"/>
      <w:bookmarkStart w:id="94" w:name="OLE_LINK62"/>
      <w:r>
        <w:rPr>
          <w:rFonts w:hint="eastAsia" w:ascii="宋体" w:hAnsi="宋体"/>
          <w:color w:val="auto"/>
        </w:rPr>
        <w:t>软硬件至少提供60个月免费维保服务。</w:t>
      </w:r>
      <w:bookmarkEnd w:id="92"/>
    </w:p>
    <w:bookmarkEnd w:id="91"/>
    <w:bookmarkEnd w:id="94"/>
    <w:p>
      <w:pPr>
        <w:ind w:left="315" w:leftChars="150" w:firstLine="420" w:firstLineChars="200"/>
        <w:rPr>
          <w:rFonts w:ascii="宋体" w:hAnsi="宋体"/>
          <w:color w:val="auto"/>
        </w:rPr>
      </w:pPr>
      <w:r>
        <w:rPr>
          <w:rFonts w:hint="eastAsia" w:ascii="宋体" w:hAnsi="宋体"/>
          <w:color w:val="auto"/>
        </w:rPr>
        <w:t>2.2 交付方式：采购人指定。</w:t>
      </w:r>
    </w:p>
    <w:p>
      <w:pPr>
        <w:ind w:left="315" w:leftChars="150" w:firstLine="420" w:firstLineChars="200"/>
        <w:rPr>
          <w:rFonts w:ascii="宋体" w:hAnsi="宋体"/>
          <w:color w:val="auto"/>
        </w:rPr>
      </w:pPr>
      <w:r>
        <w:rPr>
          <w:rFonts w:hint="eastAsia" w:ascii="宋体" w:hAnsi="宋体"/>
          <w:color w:val="auto"/>
        </w:rPr>
        <w:t>2.3 交付地点：采购人指定。</w:t>
      </w:r>
    </w:p>
    <w:p>
      <w:pPr>
        <w:ind w:left="315" w:leftChars="150" w:firstLine="420" w:firstLineChars="200"/>
        <w:rPr>
          <w:rFonts w:ascii="宋体" w:hAnsi="宋体"/>
          <w:color w:val="auto"/>
        </w:rPr>
      </w:pPr>
      <w:r>
        <w:rPr>
          <w:rFonts w:hint="eastAsia" w:ascii="宋体" w:hAnsi="宋体"/>
          <w:color w:val="auto"/>
        </w:rPr>
        <w:t>3．货款支付</w:t>
      </w:r>
    </w:p>
    <w:p>
      <w:pPr>
        <w:ind w:left="315" w:leftChars="150" w:firstLine="420" w:firstLineChars="200"/>
        <w:rPr>
          <w:rFonts w:ascii="宋体" w:hAnsi="宋体"/>
          <w:color w:val="auto"/>
        </w:rPr>
      </w:pPr>
      <w:r>
        <w:rPr>
          <w:rFonts w:hint="eastAsia" w:ascii="宋体" w:hAnsi="宋体"/>
          <w:color w:val="auto"/>
        </w:rPr>
        <w:t>3.1支付方式：</w:t>
      </w:r>
      <w:bookmarkStart w:id="95" w:name="OLE_LINK67"/>
      <w:bookmarkStart w:id="96" w:name="OLE_LINK37"/>
      <w:r>
        <w:rPr>
          <w:rFonts w:hint="eastAsia" w:ascii="宋体" w:hAnsi="宋体"/>
          <w:color w:val="auto"/>
        </w:rPr>
        <w:t>项目合同签订支付合同价款</w:t>
      </w:r>
      <w:r>
        <w:rPr>
          <w:rFonts w:hint="eastAsia" w:ascii="宋体" w:hAnsi="宋体"/>
          <w:color w:val="auto"/>
          <w:lang w:val="en-US" w:eastAsia="zh-CN"/>
        </w:rPr>
        <w:t>5</w:t>
      </w:r>
      <w:r>
        <w:rPr>
          <w:rFonts w:hint="eastAsia" w:ascii="宋体" w:hAnsi="宋体"/>
          <w:color w:val="auto"/>
        </w:rPr>
        <w:t>0%，项目进度达到整体50%支付合同价款30%，剩余</w:t>
      </w:r>
      <w:r>
        <w:rPr>
          <w:rFonts w:hint="eastAsia" w:ascii="宋体" w:hAnsi="宋体"/>
          <w:color w:val="auto"/>
          <w:lang w:val="en-US" w:eastAsia="zh-CN"/>
        </w:rPr>
        <w:t>2</w:t>
      </w:r>
      <w:r>
        <w:rPr>
          <w:rFonts w:hint="eastAsia" w:ascii="宋体" w:hAnsi="宋体"/>
          <w:color w:val="auto"/>
        </w:rPr>
        <w:t xml:space="preserve">0%审计通过，验收合格后支付。  </w:t>
      </w:r>
      <w:bookmarkEnd w:id="95"/>
    </w:p>
    <w:bookmarkEnd w:id="96"/>
    <w:p>
      <w:pPr>
        <w:ind w:left="315" w:leftChars="150"/>
        <w:rPr>
          <w:rFonts w:ascii="宋体" w:hAnsi="宋体"/>
          <w:color w:val="auto"/>
          <w:highlight w:val="yellow"/>
        </w:rPr>
      </w:pPr>
    </w:p>
    <w:p>
      <w:pPr>
        <w:ind w:left="315" w:leftChars="150"/>
        <w:rPr>
          <w:rFonts w:ascii="宋体" w:hAnsi="宋体"/>
          <w:color w:val="auto"/>
          <w:highlight w:val="yellow"/>
        </w:rPr>
      </w:pPr>
      <w:r>
        <w:rPr>
          <w:rFonts w:hint="eastAsia" w:ascii="宋体" w:hAnsi="宋体"/>
          <w:color w:val="auto"/>
          <w:highlight w:val="yellow"/>
        </w:rPr>
        <w:t>技术要求：</w:t>
      </w:r>
    </w:p>
    <w:p>
      <w:pPr>
        <w:ind w:left="315" w:leftChars="150" w:firstLine="420" w:firstLineChars="200"/>
        <w:rPr>
          <w:rFonts w:ascii="宋体" w:hAnsi="宋体"/>
          <w:color w:val="auto"/>
        </w:rPr>
      </w:pPr>
      <w:r>
        <w:rPr>
          <w:rFonts w:hint="eastAsia" w:ascii="宋体" w:hAnsi="宋体"/>
          <w:color w:val="auto"/>
        </w:rPr>
        <w:t>4、服务要求</w:t>
      </w:r>
    </w:p>
    <w:p>
      <w:pPr>
        <w:ind w:left="315" w:leftChars="150" w:firstLine="420" w:firstLineChars="200"/>
        <w:rPr>
          <w:rFonts w:ascii="宋体" w:hAnsi="宋体"/>
          <w:color w:val="auto"/>
        </w:rPr>
      </w:pPr>
      <w:r>
        <w:rPr>
          <w:rFonts w:hint="eastAsia" w:ascii="宋体" w:hAnsi="宋体"/>
          <w:color w:val="auto"/>
        </w:rPr>
        <w:t>（一）技术服务要求</w:t>
      </w:r>
    </w:p>
    <w:p>
      <w:pPr>
        <w:ind w:left="315" w:leftChars="150" w:firstLine="420" w:firstLineChars="200"/>
        <w:rPr>
          <w:rFonts w:ascii="宋体" w:hAnsi="宋体"/>
          <w:color w:val="auto"/>
        </w:rPr>
      </w:pPr>
      <w:bookmarkStart w:id="97" w:name="OLE_LINK85"/>
      <w:r>
        <w:rPr>
          <w:rFonts w:hint="eastAsia" w:ascii="宋体" w:hAnsi="宋体"/>
          <w:color w:val="auto"/>
        </w:rPr>
        <w:t>1、技术资料</w:t>
      </w:r>
    </w:p>
    <w:p>
      <w:pPr>
        <w:ind w:left="315" w:leftChars="150" w:firstLine="420" w:firstLineChars="200"/>
        <w:rPr>
          <w:rFonts w:ascii="宋体" w:hAnsi="宋体"/>
          <w:color w:val="auto"/>
        </w:rPr>
      </w:pPr>
      <w:r>
        <w:rPr>
          <w:rFonts w:hint="eastAsia" w:ascii="宋体" w:hAnsi="宋体"/>
          <w:color w:val="auto"/>
        </w:rPr>
        <w:t>交货时提供详细的中文操作指南，软硬件维护的有关资料。</w:t>
      </w:r>
    </w:p>
    <w:p>
      <w:pPr>
        <w:ind w:left="315" w:leftChars="150" w:firstLine="420" w:firstLineChars="200"/>
        <w:rPr>
          <w:rFonts w:ascii="宋体" w:hAnsi="宋体"/>
          <w:color w:val="auto"/>
        </w:rPr>
      </w:pPr>
      <w:r>
        <w:rPr>
          <w:rFonts w:hint="eastAsia" w:ascii="宋体" w:hAnsi="宋体"/>
          <w:color w:val="auto"/>
        </w:rPr>
        <w:t>2、技术服务和培训</w:t>
      </w:r>
    </w:p>
    <w:bookmarkEnd w:id="97"/>
    <w:p>
      <w:pPr>
        <w:ind w:left="315" w:leftChars="150" w:firstLine="420" w:firstLineChars="200"/>
        <w:rPr>
          <w:rFonts w:ascii="宋体" w:hAnsi="宋体"/>
          <w:color w:val="auto"/>
        </w:rPr>
      </w:pPr>
      <w:r>
        <w:rPr>
          <w:rFonts w:hint="eastAsia" w:ascii="宋体" w:hAnsi="宋体"/>
          <w:color w:val="auto"/>
        </w:rPr>
        <w:t>要求提供现场安装、调试设备，进行操作演示，直至设备正常运行，为设备管理员、授权使用者及技术人员进行操作及维护培训。</w:t>
      </w:r>
    </w:p>
    <w:p>
      <w:pPr>
        <w:ind w:left="315" w:leftChars="150" w:firstLine="420" w:firstLineChars="200"/>
        <w:rPr>
          <w:rFonts w:ascii="宋体" w:hAnsi="宋体"/>
          <w:color w:val="auto"/>
        </w:rPr>
      </w:pPr>
      <w:r>
        <w:rPr>
          <w:rFonts w:hint="eastAsia" w:ascii="宋体" w:hAnsi="宋体"/>
          <w:color w:val="auto"/>
        </w:rPr>
        <w:t>3、质保期内定期巡检和维护</w:t>
      </w:r>
    </w:p>
    <w:p>
      <w:pPr>
        <w:ind w:left="315" w:leftChars="150" w:firstLine="420" w:firstLineChars="200"/>
        <w:rPr>
          <w:rFonts w:ascii="宋体" w:hAnsi="宋体"/>
          <w:color w:val="auto"/>
        </w:rPr>
      </w:pPr>
      <w:r>
        <w:rPr>
          <w:rFonts w:hint="eastAsia" w:ascii="宋体" w:hAnsi="宋体"/>
          <w:color w:val="auto"/>
        </w:rPr>
        <w:t>质保期内，提供每年不少于2次的定期软硬件巡检和维护，确保整体系统运行正常。</w:t>
      </w:r>
    </w:p>
    <w:p>
      <w:pPr>
        <w:ind w:left="315" w:leftChars="150" w:firstLine="420" w:firstLineChars="200"/>
        <w:rPr>
          <w:rFonts w:ascii="宋体" w:hAnsi="宋体"/>
          <w:color w:val="auto"/>
        </w:rPr>
      </w:pPr>
      <w:r>
        <w:rPr>
          <w:rFonts w:hint="eastAsia" w:ascii="宋体" w:hAnsi="宋体"/>
          <w:color w:val="auto"/>
        </w:rPr>
        <w:t>（二）售后服务要求：</w:t>
      </w:r>
    </w:p>
    <w:p>
      <w:pPr>
        <w:ind w:left="315" w:leftChars="150" w:firstLine="420" w:firstLineChars="200"/>
        <w:rPr>
          <w:rFonts w:ascii="宋体" w:hAnsi="宋体"/>
          <w:color w:val="auto"/>
        </w:rPr>
      </w:pPr>
      <w:r>
        <w:rPr>
          <w:rFonts w:hint="eastAsia" w:ascii="宋体" w:hAnsi="宋体"/>
          <w:color w:val="auto"/>
        </w:rPr>
        <w:t>如遇特殊情况，保证4小时内响应，8小时内到场，24小时内提出问题解决方案，并解决问题。如未能解决问题，应在后续24小时内提出问题解决方案，48小时内解决问题。需要提供有7×24小时的技术支持服务热线，随时可以提供紧急技术服务。不得影响采购人的正常教学使用。</w:t>
      </w:r>
    </w:p>
    <w:p>
      <w:pPr>
        <w:rPr>
          <w:color w:val="auto"/>
        </w:rPr>
      </w:pPr>
    </w:p>
    <w:p>
      <w:pPr>
        <w:rPr>
          <w:color w:val="auto"/>
        </w:rPr>
      </w:pPr>
    </w:p>
    <w:p>
      <w:pPr>
        <w:ind w:firstLine="210" w:firstLineChars="100"/>
        <w:rPr>
          <w:rFonts w:ascii="宋体" w:hAnsi="宋体"/>
          <w:color w:val="auto"/>
          <w:highlight w:val="yellow"/>
        </w:rPr>
      </w:pPr>
    </w:p>
    <w:p>
      <w:pPr>
        <w:rPr>
          <w:rFonts w:ascii="宋体" w:hAnsi="宋体"/>
          <w:sz w:val="24"/>
        </w:rPr>
      </w:pPr>
    </w:p>
    <w:p>
      <w:pPr>
        <w:rPr>
          <w:rFonts w:ascii="宋体" w:hAnsi="宋体"/>
          <w:sz w:val="24"/>
        </w:rPr>
      </w:pPr>
    </w:p>
    <w:p>
      <w:pPr>
        <w:pStyle w:val="5"/>
        <w:jc w:val="both"/>
        <w:rPr>
          <w:rFonts w:ascii="宋体" w:hAnsi="宋体" w:eastAsia="宋体" w:cs="方正小标宋_GBK"/>
          <w:sz w:val="32"/>
          <w:szCs w:val="32"/>
        </w:rPr>
      </w:pPr>
      <w:r>
        <w:rPr>
          <w:rFonts w:hint="eastAsia" w:ascii="宋体" w:hAnsi="宋体" w:eastAsia="宋体" w:cs="方正小标宋_GBK"/>
          <w:sz w:val="32"/>
          <w:szCs w:val="32"/>
        </w:rPr>
        <w:br w:type="page"/>
      </w:r>
      <w:r>
        <w:rPr>
          <w:rFonts w:hint="eastAsia" w:ascii="宋体" w:hAnsi="宋体" w:eastAsia="宋体" w:cs="方正小标宋_GBK"/>
          <w:sz w:val="32"/>
          <w:szCs w:val="32"/>
        </w:rPr>
        <w:t>第四章 投标文件组成要求及格式</w:t>
      </w:r>
    </w:p>
    <w:p>
      <w:pPr>
        <w:ind w:firstLine="464" w:firstLineChars="200"/>
        <w:rPr>
          <w:rFonts w:ascii="宋体" w:hAnsi="宋体"/>
          <w:b/>
          <w:bCs/>
          <w:color w:val="FF0000"/>
          <w:sz w:val="24"/>
        </w:rPr>
      </w:pPr>
      <w:r>
        <w:rPr>
          <w:rFonts w:hint="eastAsia" w:ascii="宋体" w:hAnsi="宋体" w:cs="方正小标宋_GBK"/>
          <w:color w:val="FF0000"/>
          <w:spacing w:val="-4"/>
          <w:kern w:val="0"/>
          <w:sz w:val="24"/>
          <w:szCs w:val="24"/>
        </w:rPr>
        <w:t>投标前，需充分知悉参与政府采购活动时的重大风险事项，并签署政府采购违法行为风险知悉确认书！！！</w:t>
      </w:r>
    </w:p>
    <w:p>
      <w:pPr>
        <w:jc w:val="left"/>
        <w:outlineLvl w:val="0"/>
        <w:rPr>
          <w:rFonts w:ascii="宋体" w:hAnsi="宋体"/>
          <w:b/>
          <w:bCs/>
          <w:color w:val="0000FF"/>
          <w:sz w:val="24"/>
        </w:rPr>
      </w:pPr>
      <w:r>
        <w:rPr>
          <w:rFonts w:hint="eastAsia" w:ascii="宋体" w:hAnsi="宋体"/>
          <w:b/>
          <w:bCs/>
          <w:color w:val="0000FF"/>
          <w:sz w:val="24"/>
        </w:rPr>
        <w:t>1.投标文件正文，主要包括以下内容：</w:t>
      </w:r>
    </w:p>
    <w:p>
      <w:pPr>
        <w:jc w:val="left"/>
        <w:rPr>
          <w:rFonts w:ascii="宋体" w:hAnsi="宋体"/>
        </w:rPr>
      </w:pPr>
      <w:r>
        <w:rPr>
          <w:rFonts w:hint="eastAsia" w:ascii="宋体" w:hAnsi="宋体"/>
        </w:rPr>
        <w:t>（1）</w:t>
      </w:r>
      <w:bookmarkStart w:id="98" w:name="_Hlk72070784"/>
      <w:r>
        <w:rPr>
          <w:rFonts w:hint="eastAsia" w:ascii="宋体" w:hAnsi="宋体"/>
        </w:rPr>
        <w:t>投标函</w:t>
      </w:r>
      <w:bookmarkEnd w:id="98"/>
    </w:p>
    <w:p>
      <w:pPr>
        <w:jc w:val="left"/>
        <w:rPr>
          <w:rFonts w:ascii="宋体" w:hAnsi="宋体"/>
        </w:rPr>
      </w:pPr>
      <w:r>
        <w:rPr>
          <w:rFonts w:hint="eastAsia" w:ascii="宋体" w:hAnsi="宋体"/>
        </w:rPr>
        <w:t>（2）</w:t>
      </w:r>
      <w:bookmarkStart w:id="99" w:name="_Hlk72062521"/>
      <w:r>
        <w:rPr>
          <w:rFonts w:hint="eastAsia" w:ascii="宋体" w:hAnsi="宋体"/>
        </w:rPr>
        <w:t>政府采购投标及履约承诺函</w:t>
      </w:r>
      <w:bookmarkEnd w:id="99"/>
    </w:p>
    <w:p>
      <w:pPr>
        <w:jc w:val="left"/>
        <w:rPr>
          <w:rFonts w:ascii="宋体" w:hAnsi="宋体"/>
        </w:rPr>
      </w:pPr>
      <w:r>
        <w:rPr>
          <w:rFonts w:hint="eastAsia" w:ascii="宋体" w:hAnsi="宋体"/>
        </w:rPr>
        <w:t>（3）投标单位反商业贿赂承诺书</w:t>
      </w:r>
    </w:p>
    <w:p>
      <w:pPr>
        <w:jc w:val="left"/>
        <w:rPr>
          <w:rFonts w:ascii="宋体" w:hAnsi="宋体"/>
        </w:rPr>
      </w:pPr>
      <w:r>
        <w:rPr>
          <w:rFonts w:hint="eastAsia" w:ascii="宋体" w:hAnsi="宋体"/>
        </w:rPr>
        <w:t>（4）具备履行合同所需的设备和专业技术能力的声明函</w:t>
      </w:r>
    </w:p>
    <w:p>
      <w:pPr>
        <w:jc w:val="left"/>
        <w:rPr>
          <w:rFonts w:ascii="宋体" w:hAnsi="宋体"/>
        </w:rPr>
      </w:pPr>
      <w:r>
        <w:rPr>
          <w:rFonts w:hint="eastAsia" w:ascii="宋体" w:hAnsi="宋体"/>
        </w:rPr>
        <w:t>（5）投标人资格证明文件（营业执照、资质证书、财务状况、税收、社保、中小企业、残疾人福利性单位、监狱企业声明函、节能、环保、信用查询、授权委托书、投标保证金、联合体协议书、分包协议等）</w:t>
      </w:r>
    </w:p>
    <w:p>
      <w:pPr>
        <w:jc w:val="left"/>
        <w:rPr>
          <w:rFonts w:ascii="宋体" w:hAnsi="宋体"/>
        </w:rPr>
      </w:pPr>
      <w:bookmarkStart w:id="100" w:name="_Hlk72257201"/>
      <w:r>
        <w:rPr>
          <w:rFonts w:hint="eastAsia" w:ascii="宋体" w:hAnsi="宋体"/>
        </w:rPr>
        <w:t>（6）开标一览表</w:t>
      </w:r>
    </w:p>
    <w:p>
      <w:pPr>
        <w:jc w:val="left"/>
        <w:rPr>
          <w:rFonts w:ascii="宋体" w:hAnsi="宋体"/>
        </w:rPr>
      </w:pPr>
      <w:r>
        <w:rPr>
          <w:rFonts w:hint="eastAsia" w:ascii="宋体" w:hAnsi="宋体"/>
        </w:rPr>
        <w:t>（7）分项报价表</w:t>
      </w:r>
    </w:p>
    <w:p>
      <w:pPr>
        <w:jc w:val="left"/>
        <w:rPr>
          <w:rFonts w:ascii="宋体" w:hAnsi="宋体" w:cs="宋体"/>
        </w:rPr>
      </w:pPr>
      <w:r>
        <w:rPr>
          <w:rFonts w:hint="eastAsia" w:ascii="宋体" w:hAnsi="宋体" w:cs="宋体"/>
        </w:rPr>
        <w:t>（8）实质性条款响应偏离表</w:t>
      </w:r>
    </w:p>
    <w:p>
      <w:pPr>
        <w:rPr>
          <w:rFonts w:cs="宋体"/>
        </w:rPr>
      </w:pPr>
      <w:r>
        <w:rPr>
          <w:rFonts w:hint="eastAsia" w:cs="宋体"/>
        </w:rPr>
        <w:t>（9）重要技术参数响应偏离表</w:t>
      </w:r>
    </w:p>
    <w:p>
      <w:pPr>
        <w:rPr>
          <w:rFonts w:ascii="宋体" w:hAnsi="宋体"/>
        </w:rPr>
      </w:pPr>
      <w:r>
        <w:rPr>
          <w:rFonts w:hint="eastAsia" w:ascii="宋体" w:hAnsi="宋体" w:cs="宋体"/>
        </w:rPr>
        <w:t>（10）商务条款偏离表</w:t>
      </w:r>
    </w:p>
    <w:p>
      <w:pPr>
        <w:jc w:val="left"/>
        <w:rPr>
          <w:rFonts w:ascii="宋体" w:hAnsi="宋体" w:cs="宋体"/>
        </w:rPr>
      </w:pPr>
      <w:r>
        <w:rPr>
          <w:rFonts w:hint="eastAsia" w:ascii="宋体" w:hAnsi="宋体" w:cs="宋体"/>
        </w:rPr>
        <w:t>（11）项目实施方案（根据商务技术评审因素，逐条响应）格式自定</w:t>
      </w:r>
    </w:p>
    <w:p>
      <w:pPr>
        <w:jc w:val="left"/>
        <w:rPr>
          <w:rFonts w:ascii="宋体" w:hAnsi="宋体"/>
        </w:rPr>
      </w:pPr>
    </w:p>
    <w:bookmarkEnd w:id="100"/>
    <w:p>
      <w:pPr>
        <w:jc w:val="left"/>
        <w:outlineLvl w:val="0"/>
        <w:rPr>
          <w:rFonts w:ascii="宋体" w:hAnsi="宋体"/>
          <w:b/>
          <w:bCs/>
          <w:color w:val="0000FF"/>
          <w:sz w:val="24"/>
        </w:rPr>
      </w:pPr>
      <w:r>
        <w:rPr>
          <w:rFonts w:hint="eastAsia" w:ascii="宋体" w:hAnsi="宋体"/>
          <w:b/>
          <w:bCs/>
          <w:color w:val="0000FF"/>
          <w:sz w:val="24"/>
        </w:rPr>
        <w:t>2.投标文件附件，主要包括以下内容：</w:t>
      </w:r>
    </w:p>
    <w:p>
      <w:pPr>
        <w:jc w:val="left"/>
        <w:rPr>
          <w:rFonts w:ascii="宋体" w:hAnsi="宋体"/>
        </w:rPr>
      </w:pPr>
      <w:r>
        <w:rPr>
          <w:rFonts w:hint="eastAsia" w:ascii="宋体" w:hAnsi="宋体"/>
        </w:rPr>
        <w:t>（1）法定代表人（负责人）证明书</w:t>
      </w:r>
    </w:p>
    <w:p>
      <w:pPr>
        <w:jc w:val="left"/>
        <w:rPr>
          <w:rFonts w:ascii="宋体" w:hAnsi="宋体"/>
        </w:rPr>
      </w:pPr>
      <w:r>
        <w:rPr>
          <w:rFonts w:hint="eastAsia" w:ascii="宋体" w:hAnsi="宋体"/>
        </w:rPr>
        <w:t>（2）投标文件签署授权委托书</w:t>
      </w:r>
    </w:p>
    <w:p>
      <w:pPr>
        <w:jc w:val="left"/>
        <w:rPr>
          <w:rFonts w:ascii="宋体" w:hAnsi="宋体"/>
        </w:rPr>
      </w:pPr>
      <w:r>
        <w:rPr>
          <w:rFonts w:hint="eastAsia" w:ascii="宋体" w:hAnsi="宋体"/>
        </w:rPr>
        <w:t>（3）投标保证金缴纳凭证</w:t>
      </w:r>
    </w:p>
    <w:p>
      <w:pPr>
        <w:jc w:val="left"/>
        <w:rPr>
          <w:rFonts w:ascii="宋体" w:hAnsi="宋体"/>
        </w:rPr>
      </w:pPr>
      <w:r>
        <w:rPr>
          <w:rFonts w:hint="eastAsia" w:ascii="宋体" w:hAnsi="宋体"/>
        </w:rPr>
        <w:t>（4）联合体协议书</w:t>
      </w:r>
    </w:p>
    <w:p>
      <w:pPr>
        <w:jc w:val="left"/>
        <w:rPr>
          <w:rFonts w:ascii="宋体" w:hAnsi="宋体"/>
        </w:rPr>
      </w:pPr>
      <w:r>
        <w:rPr>
          <w:rFonts w:hint="eastAsia" w:ascii="宋体" w:hAnsi="宋体"/>
        </w:rPr>
        <w:t>（5）分包意向协议</w:t>
      </w:r>
    </w:p>
    <w:p>
      <w:pPr>
        <w:jc w:val="left"/>
        <w:rPr>
          <w:rFonts w:ascii="宋体" w:hAnsi="宋体"/>
          <w:lang w:val="en-GB"/>
        </w:rPr>
      </w:pPr>
      <w:r>
        <w:rPr>
          <w:rFonts w:hint="eastAsia" w:ascii="宋体" w:hAnsi="宋体"/>
        </w:rPr>
        <w:t>（6）中小企业声明函、残疾人福利性单位声明函及监狱企业声明函</w:t>
      </w:r>
    </w:p>
    <w:p>
      <w:pPr>
        <w:jc w:val="left"/>
        <w:rPr>
          <w:rFonts w:ascii="宋体" w:hAnsi="宋体" w:cs="宋体"/>
        </w:rPr>
      </w:pPr>
      <w:r>
        <w:rPr>
          <w:rFonts w:hint="eastAsia" w:ascii="宋体" w:hAnsi="宋体" w:cs="宋体"/>
        </w:rPr>
        <w:t>（7）供应商产品认证情况</w:t>
      </w:r>
      <w:r>
        <w:rPr>
          <w:rFonts w:hint="eastAsia" w:ascii="宋体" w:hAnsi="宋体"/>
        </w:rPr>
        <w:t>（</w:t>
      </w:r>
      <w:r>
        <w:rPr>
          <w:rFonts w:hint="eastAsia" w:ascii="宋体" w:hAnsi="宋体" w:cs="宋体"/>
        </w:rPr>
        <w:t>中国国家强制性产品认证证书（CCC）、节能产品明细清单、环保产品明细清单）</w:t>
      </w:r>
    </w:p>
    <w:p>
      <w:pPr>
        <w:jc w:val="left"/>
        <w:rPr>
          <w:rFonts w:ascii="宋体" w:hAnsi="宋体"/>
        </w:rPr>
      </w:pPr>
      <w:r>
        <w:rPr>
          <w:rFonts w:hint="eastAsia" w:ascii="宋体" w:hAnsi="宋体" w:cs="宋体"/>
        </w:rPr>
        <w:t>（8）</w:t>
      </w:r>
      <w:r>
        <w:rPr>
          <w:rFonts w:hint="eastAsia" w:ascii="宋体" w:hAnsi="宋体"/>
        </w:rPr>
        <w:t>供应商同类项目业绩情况</w:t>
      </w:r>
    </w:p>
    <w:p>
      <w:pPr>
        <w:jc w:val="left"/>
        <w:rPr>
          <w:rFonts w:ascii="宋体" w:hAnsi="宋体"/>
        </w:rPr>
      </w:pPr>
      <w:r>
        <w:rPr>
          <w:rFonts w:hint="eastAsia" w:ascii="宋体" w:hAnsi="宋体"/>
        </w:rPr>
        <w:t>（9）拟安排的项目负责人情况</w:t>
      </w:r>
    </w:p>
    <w:p>
      <w:pPr>
        <w:rPr>
          <w:rFonts w:ascii="宋体" w:hAnsi="宋体"/>
        </w:rPr>
      </w:pPr>
      <w:r>
        <w:rPr>
          <w:rFonts w:hint="eastAsia" w:ascii="宋体" w:hAnsi="宋体"/>
        </w:rPr>
        <w:t>（10）拟安排的项目主要团队成员（主要技术人员）情况（项目负责人除外）</w:t>
      </w:r>
    </w:p>
    <w:p>
      <w:pPr>
        <w:jc w:val="left"/>
        <w:rPr>
          <w:rFonts w:ascii="宋体" w:hAnsi="宋体"/>
        </w:rPr>
      </w:pPr>
      <w:r>
        <w:rPr>
          <w:rFonts w:hint="eastAsia" w:ascii="宋体" w:hAnsi="宋体"/>
        </w:rPr>
        <w:t>（11）项目服务承诺（格式自定）</w:t>
      </w:r>
    </w:p>
    <w:p>
      <w:pPr>
        <w:jc w:val="left"/>
        <w:rPr>
          <w:rFonts w:ascii="宋体" w:hAnsi="宋体"/>
        </w:rPr>
      </w:pPr>
      <w:r>
        <w:rPr>
          <w:rFonts w:hint="eastAsia" w:ascii="宋体" w:hAnsi="宋体"/>
        </w:rPr>
        <w:t>（12）违约承诺（格式自定）</w:t>
      </w:r>
    </w:p>
    <w:p>
      <w:pPr>
        <w:rPr>
          <w:rFonts w:ascii="宋体" w:hAnsi="宋体"/>
        </w:rPr>
      </w:pPr>
    </w:p>
    <w:p>
      <w:pPr>
        <w:jc w:val="left"/>
        <w:outlineLvl w:val="0"/>
        <w:rPr>
          <w:rFonts w:ascii="宋体" w:hAnsi="宋体"/>
          <w:b/>
          <w:bCs/>
          <w:color w:val="0000FF"/>
          <w:sz w:val="24"/>
        </w:rPr>
      </w:pPr>
      <w:r>
        <w:rPr>
          <w:rFonts w:hint="eastAsia" w:ascii="宋体" w:hAnsi="宋体"/>
          <w:b/>
          <w:bCs/>
          <w:color w:val="0000FF"/>
          <w:sz w:val="24"/>
        </w:rPr>
        <w:t>3.投标文件增项，主要包括以下内容：</w:t>
      </w:r>
    </w:p>
    <w:p>
      <w:pPr>
        <w:rPr>
          <w:rFonts w:ascii="宋体" w:hAnsi="宋体"/>
        </w:rPr>
      </w:pPr>
      <w:r>
        <w:rPr>
          <w:rFonts w:hint="eastAsia" w:ascii="宋体" w:hAnsi="宋体"/>
        </w:rPr>
        <w:t>（1）供应商获奖情况（格式自定）</w:t>
      </w:r>
    </w:p>
    <w:p>
      <w:pPr>
        <w:jc w:val="left"/>
        <w:rPr>
          <w:rFonts w:ascii="宋体" w:hAnsi="宋体"/>
        </w:rPr>
      </w:pPr>
      <w:r>
        <w:rPr>
          <w:rFonts w:hint="eastAsia" w:ascii="宋体" w:hAnsi="宋体"/>
        </w:rPr>
        <w:t>（2）供应商自主知识产权产品（专利、软著、创新、设计）（格式自定）</w:t>
      </w:r>
    </w:p>
    <w:p>
      <w:pPr>
        <w:jc w:val="left"/>
        <w:rPr>
          <w:rFonts w:ascii="宋体" w:hAnsi="宋体"/>
        </w:rPr>
      </w:pPr>
      <w:r>
        <w:rPr>
          <w:rFonts w:hint="eastAsia" w:ascii="宋体" w:hAnsi="宋体"/>
        </w:rPr>
        <w:t>（3）拟投入的服务资源（车辆、场地、工具、机器等）情况（格式自定）</w:t>
      </w:r>
    </w:p>
    <w:p>
      <w:pPr>
        <w:jc w:val="left"/>
        <w:rPr>
          <w:rFonts w:ascii="宋体" w:hAnsi="宋体" w:cs="方正小标宋_GBK"/>
          <w:b/>
          <w:bCs/>
          <w:sz w:val="44"/>
          <w:szCs w:val="44"/>
        </w:rPr>
      </w:pPr>
      <w:r>
        <w:rPr>
          <w:rFonts w:hint="eastAsia" w:ascii="宋体" w:hAnsi="宋体"/>
        </w:rPr>
        <w:t>（4）投标人认为需要加以说明的其他内容（格式自定）</w:t>
      </w:r>
    </w:p>
    <w:p>
      <w:pPr>
        <w:jc w:val="center"/>
        <w:rPr>
          <w:rFonts w:ascii="宋体" w:hAnsi="宋体"/>
          <w:b/>
          <w:bCs/>
          <w:sz w:val="28"/>
          <w:szCs w:val="28"/>
        </w:rPr>
      </w:pPr>
    </w:p>
    <w:p>
      <w:pPr>
        <w:spacing w:after="145" w:afterLines="50"/>
        <w:jc w:val="center"/>
        <w:rPr>
          <w:rFonts w:ascii="宋体" w:hAnsi="宋体" w:cs="方正小标宋_GBK"/>
          <w:b/>
          <w:bCs/>
          <w:sz w:val="44"/>
          <w:szCs w:val="44"/>
        </w:rPr>
      </w:pPr>
    </w:p>
    <w:p>
      <w:pPr>
        <w:spacing w:after="145" w:afterLines="50"/>
        <w:jc w:val="center"/>
        <w:rPr>
          <w:rFonts w:ascii="宋体" w:hAnsi="宋体" w:cs="方正小标宋_GBK"/>
          <w:b/>
          <w:bCs/>
          <w:sz w:val="44"/>
          <w:szCs w:val="44"/>
        </w:rPr>
      </w:pPr>
      <w:r>
        <w:rPr>
          <w:rFonts w:hint="eastAsia" w:ascii="宋体" w:hAnsi="宋体" w:cs="方正小标宋_GBK"/>
          <w:b/>
          <w:bCs/>
          <w:sz w:val="44"/>
          <w:szCs w:val="44"/>
        </w:rPr>
        <w:t>政府采购违法行为风险知悉确认书</w:t>
      </w:r>
    </w:p>
    <w:p>
      <w:pPr>
        <w:autoSpaceDE w:val="0"/>
        <w:autoSpaceDN w:val="0"/>
        <w:spacing w:line="360" w:lineRule="auto"/>
        <w:ind w:firstLine="404" w:firstLineChars="200"/>
        <w:rPr>
          <w:spacing w:val="-4"/>
        </w:rPr>
      </w:pPr>
      <w:r>
        <w:rPr>
          <w:rFonts w:hint="eastAsia"/>
          <w:spacing w:val="-4"/>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bCs/>
        </w:rPr>
      </w:pPr>
      <w:r>
        <w:rPr>
          <w:rFonts w:hint="eastAsia" w:ascii="宋体" w:hAnsi="宋体"/>
          <w:b/>
          <w:bCs/>
        </w:rPr>
        <w:t>一、本公司已充分知悉“隐瞒真实情况，提供虚假资料”的法定情形，相关情形包括但不限于：</w:t>
      </w:r>
    </w:p>
    <w:p>
      <w:pPr>
        <w:autoSpaceDE w:val="0"/>
        <w:autoSpaceDN w:val="0"/>
        <w:spacing w:line="360" w:lineRule="auto"/>
        <w:ind w:firstLine="404" w:firstLineChars="200"/>
        <w:rPr>
          <w:spacing w:val="-4"/>
        </w:rPr>
      </w:pPr>
      <w:r>
        <w:rPr>
          <w:rFonts w:hint="eastAsia"/>
          <w:spacing w:val="-4"/>
        </w:rPr>
        <w:t>（一）通过转让或者租借等方式从其他单位获取资格或者资质证书投标的。</w:t>
      </w:r>
    </w:p>
    <w:p>
      <w:pPr>
        <w:autoSpaceDE w:val="0"/>
        <w:autoSpaceDN w:val="0"/>
        <w:spacing w:line="360" w:lineRule="auto"/>
        <w:ind w:firstLine="404" w:firstLineChars="200"/>
        <w:rPr>
          <w:spacing w:val="-4"/>
        </w:rPr>
      </w:pPr>
      <w:r>
        <w:rPr>
          <w:rFonts w:hint="eastAsia"/>
          <w:spacing w:val="-4"/>
        </w:rPr>
        <w:t>（二）由其他单位或者其他单位负责人在投标供应商编制的投标文件上加盖印章或者签字的。</w:t>
      </w:r>
    </w:p>
    <w:p>
      <w:pPr>
        <w:autoSpaceDE w:val="0"/>
        <w:autoSpaceDN w:val="0"/>
        <w:spacing w:line="360" w:lineRule="auto"/>
        <w:ind w:firstLine="404" w:firstLineChars="200"/>
        <w:rPr>
          <w:spacing w:val="-4"/>
        </w:rPr>
      </w:pPr>
      <w:r>
        <w:rPr>
          <w:rFonts w:hint="eastAsia"/>
          <w:spacing w:val="-4"/>
        </w:rPr>
        <w:t>（三）项目负责人或者主要技术人员不是本单位人员的。</w:t>
      </w:r>
    </w:p>
    <w:p>
      <w:pPr>
        <w:autoSpaceDE w:val="0"/>
        <w:autoSpaceDN w:val="0"/>
        <w:spacing w:line="360" w:lineRule="auto"/>
        <w:ind w:firstLine="404" w:firstLineChars="200"/>
        <w:rPr>
          <w:spacing w:val="-4"/>
        </w:rPr>
      </w:pPr>
      <w:r>
        <w:rPr>
          <w:rFonts w:hint="eastAsia"/>
          <w:spacing w:val="-4"/>
        </w:rPr>
        <w:t>（四）投标保证金不是从投标供应商基本账户转出的。</w:t>
      </w:r>
    </w:p>
    <w:p>
      <w:pPr>
        <w:autoSpaceDE w:val="0"/>
        <w:autoSpaceDN w:val="0"/>
        <w:spacing w:line="360" w:lineRule="auto"/>
        <w:ind w:firstLine="404" w:firstLineChars="200"/>
        <w:rPr>
          <w:spacing w:val="-4"/>
        </w:rPr>
      </w:pPr>
      <w:r>
        <w:rPr>
          <w:rFonts w:hint="eastAsia"/>
          <w:spacing w:val="-4"/>
        </w:rPr>
        <w:t>（五）其他隐瞒真实情况、提供虚假资料的行为。</w:t>
      </w:r>
    </w:p>
    <w:p>
      <w:pPr>
        <w:spacing w:line="360" w:lineRule="auto"/>
        <w:ind w:firstLine="422" w:firstLineChars="200"/>
        <w:rPr>
          <w:rFonts w:ascii="宋体" w:hAnsi="宋体"/>
          <w:b/>
          <w:bCs/>
        </w:rPr>
      </w:pPr>
      <w:r>
        <w:rPr>
          <w:rFonts w:hint="eastAsia" w:ascii="宋体" w:hAnsi="宋体"/>
          <w:b/>
          <w:bCs/>
        </w:rPr>
        <w:t>二、本公司已充分知悉“与其他采购参加人串通投标”的法定情形，相关情形包括但不限于：</w:t>
      </w:r>
    </w:p>
    <w:p>
      <w:pPr>
        <w:autoSpaceDE w:val="0"/>
        <w:autoSpaceDN w:val="0"/>
        <w:spacing w:line="360" w:lineRule="auto"/>
        <w:ind w:firstLine="404" w:firstLineChars="200"/>
        <w:rPr>
          <w:spacing w:val="-4"/>
        </w:rPr>
      </w:pPr>
      <w:r>
        <w:rPr>
          <w:rFonts w:hint="eastAsia"/>
          <w:spacing w:val="-4"/>
        </w:rPr>
        <w:t>（一）投标供应商之间相互约定给予未中标的供应商利益补偿。</w:t>
      </w:r>
    </w:p>
    <w:p>
      <w:pPr>
        <w:autoSpaceDE w:val="0"/>
        <w:autoSpaceDN w:val="0"/>
        <w:spacing w:line="360" w:lineRule="auto"/>
        <w:ind w:firstLine="404" w:firstLineChars="200"/>
        <w:rPr>
          <w:spacing w:val="-4"/>
        </w:rPr>
      </w:pPr>
      <w:r>
        <w:rPr>
          <w:rFonts w:hint="eastAsia"/>
          <w:spacing w:val="-4"/>
        </w:rPr>
        <w:t>（二）不同投标供应商的法定代表人、主要经营负责人、项目投标授权代表人、项目负责人、主要技术人员为同一人、属同一单位或者在同一单位缴纳社会保险。</w:t>
      </w:r>
    </w:p>
    <w:p>
      <w:pPr>
        <w:autoSpaceDE w:val="0"/>
        <w:autoSpaceDN w:val="0"/>
        <w:spacing w:line="360" w:lineRule="auto"/>
        <w:ind w:firstLine="404" w:firstLineChars="200"/>
        <w:rPr>
          <w:spacing w:val="-4"/>
        </w:rPr>
      </w:pPr>
      <w:r>
        <w:rPr>
          <w:rFonts w:hint="eastAsia"/>
          <w:spacing w:val="-4"/>
        </w:rPr>
        <w:t>（三）不同投标供应商的投标文件由同一单位或者同一人编制，或者由同一人分阶段参与编制的。</w:t>
      </w:r>
    </w:p>
    <w:p>
      <w:pPr>
        <w:autoSpaceDE w:val="0"/>
        <w:autoSpaceDN w:val="0"/>
        <w:spacing w:line="360" w:lineRule="auto"/>
        <w:ind w:firstLine="404" w:firstLineChars="200"/>
        <w:rPr>
          <w:spacing w:val="-4"/>
        </w:rPr>
      </w:pPr>
      <w:r>
        <w:rPr>
          <w:rFonts w:hint="eastAsia"/>
          <w:spacing w:val="-4"/>
        </w:rPr>
        <w:t>（四）不同投标供应商的投标文件或部分投标文件相互混装。</w:t>
      </w:r>
    </w:p>
    <w:p>
      <w:pPr>
        <w:autoSpaceDE w:val="0"/>
        <w:autoSpaceDN w:val="0"/>
        <w:spacing w:line="360" w:lineRule="auto"/>
        <w:ind w:firstLine="404" w:firstLineChars="200"/>
        <w:rPr>
          <w:spacing w:val="-4"/>
        </w:rPr>
      </w:pPr>
      <w:r>
        <w:rPr>
          <w:rFonts w:hint="eastAsia"/>
          <w:spacing w:val="-4"/>
        </w:rPr>
        <w:t>（五）不同投标供应商的投标文件内容存在非正常一致。</w:t>
      </w:r>
    </w:p>
    <w:p>
      <w:pPr>
        <w:autoSpaceDE w:val="0"/>
        <w:autoSpaceDN w:val="0"/>
        <w:spacing w:line="360" w:lineRule="auto"/>
        <w:ind w:firstLine="404" w:firstLineChars="200"/>
        <w:rPr>
          <w:spacing w:val="-4"/>
        </w:rPr>
      </w:pPr>
      <w:r>
        <w:rPr>
          <w:rFonts w:hint="eastAsia"/>
          <w:spacing w:val="-4"/>
        </w:rPr>
        <w:t>（六）由同一单位工作人员为两家以上（含两家）供应商进行同一项投标活动的。</w:t>
      </w:r>
    </w:p>
    <w:p>
      <w:pPr>
        <w:autoSpaceDE w:val="0"/>
        <w:autoSpaceDN w:val="0"/>
        <w:spacing w:line="360" w:lineRule="auto"/>
        <w:ind w:firstLine="404" w:firstLineChars="200"/>
        <w:rPr>
          <w:spacing w:val="-4"/>
        </w:rPr>
      </w:pPr>
      <w:r>
        <w:rPr>
          <w:rFonts w:hint="eastAsia"/>
          <w:spacing w:val="-4"/>
        </w:rPr>
        <w:t>（七）不同投标人的投标报价呈规律性差异。</w:t>
      </w:r>
    </w:p>
    <w:p>
      <w:pPr>
        <w:autoSpaceDE w:val="0"/>
        <w:autoSpaceDN w:val="0"/>
        <w:spacing w:line="360" w:lineRule="auto"/>
        <w:ind w:firstLine="404" w:firstLineChars="200"/>
        <w:rPr>
          <w:spacing w:val="-4"/>
        </w:rPr>
      </w:pPr>
      <w:r>
        <w:rPr>
          <w:rFonts w:hint="eastAsia"/>
          <w:spacing w:val="-4"/>
        </w:rPr>
        <w:t>（八）不同投标人的投标保证金从同一单位或者个人的账户转出。</w:t>
      </w:r>
    </w:p>
    <w:p>
      <w:pPr>
        <w:autoSpaceDE w:val="0"/>
        <w:autoSpaceDN w:val="0"/>
        <w:spacing w:line="360" w:lineRule="auto"/>
        <w:ind w:firstLine="404" w:firstLineChars="200"/>
        <w:rPr>
          <w:spacing w:val="-4"/>
        </w:rPr>
      </w:pPr>
      <w:r>
        <w:rPr>
          <w:rFonts w:hint="eastAsia"/>
          <w:spacing w:val="-4"/>
        </w:rPr>
        <w:t>（九）主管部门依照法律、法规认定的其他情形。</w:t>
      </w:r>
    </w:p>
    <w:p>
      <w:pPr>
        <w:spacing w:line="360" w:lineRule="auto"/>
        <w:ind w:firstLine="422" w:firstLineChars="200"/>
        <w:rPr>
          <w:rFonts w:ascii="宋体" w:hAnsi="宋体"/>
          <w:b/>
          <w:bCs/>
        </w:rPr>
      </w:pPr>
      <w:r>
        <w:rPr>
          <w:rFonts w:hint="eastAsia" w:ascii="宋体" w:hAnsi="宋体"/>
          <w:b/>
          <w:bCs/>
        </w:rPr>
        <w:t>三、本公司已充分知悉下列情形所对应的法律风险，并在投标前已对相关风险事项进行排查。</w:t>
      </w:r>
    </w:p>
    <w:p>
      <w:pPr>
        <w:autoSpaceDE w:val="0"/>
        <w:autoSpaceDN w:val="0"/>
        <w:spacing w:line="360" w:lineRule="auto"/>
        <w:ind w:firstLine="404" w:firstLineChars="200"/>
        <w:rPr>
          <w:rFonts w:ascii="宋体" w:hAnsi="宋体"/>
          <w:b/>
          <w:bCs/>
          <w:spacing w:val="-4"/>
          <w:kern w:val="0"/>
        </w:rPr>
      </w:pPr>
      <w:r>
        <w:rPr>
          <w:rFonts w:hint="eastAsia" w:ascii="宋体" w:hAnsi="宋体"/>
          <w:spacing w:val="-4"/>
          <w:kern w:val="0"/>
        </w:rPr>
        <w:t>（一）对于从其他主体获取的投标资料，供应商应审慎核查，确保投标资料的真实性。</w:t>
      </w:r>
      <w:r>
        <w:rPr>
          <w:rFonts w:hint="eastAsia" w:ascii="宋体" w:hAnsi="宋体"/>
          <w:b/>
          <w:bCs/>
          <w:spacing w:val="-4"/>
          <w:kern w:val="0"/>
        </w:rPr>
        <w:t>如主管部门查实投标文件中存在虚假资料的，无论相关资料是否由第三方或本公司员工提供，均不影响主管部门对供应商存在“隐瞒真实情况，提供虚假资料”违法行为的认定。</w:t>
      </w:r>
    </w:p>
    <w:p>
      <w:pPr>
        <w:autoSpaceDE w:val="0"/>
        <w:autoSpaceDN w:val="0"/>
        <w:spacing w:line="360" w:lineRule="auto"/>
        <w:ind w:firstLine="404" w:firstLineChars="200"/>
        <w:rPr>
          <w:spacing w:val="-4"/>
        </w:rPr>
      </w:pPr>
      <w:r>
        <w:rPr>
          <w:rFonts w:hint="eastAsia"/>
          <w:spacing w:val="-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spacing w:line="360" w:lineRule="auto"/>
        <w:ind w:firstLine="404" w:firstLineChars="200"/>
        <w:rPr>
          <w:spacing w:val="-4"/>
        </w:rPr>
      </w:pPr>
      <w:r>
        <w:rPr>
          <w:rFonts w:hint="eastAsia"/>
          <w:spacing w:val="-4"/>
        </w:rPr>
        <w:t>（三）对于涉及安全生产、特种作业、抢险救灾、防疫等政府采购项目，供应商实施提供虚假资料、串通投标等违法行为的，主管部门将依法从严处理。</w:t>
      </w:r>
    </w:p>
    <w:p>
      <w:pPr>
        <w:autoSpaceDE w:val="0"/>
        <w:autoSpaceDN w:val="0"/>
        <w:spacing w:line="360" w:lineRule="auto"/>
        <w:ind w:firstLine="404" w:firstLineChars="200"/>
        <w:rPr>
          <w:spacing w:val="-4"/>
        </w:rPr>
      </w:pPr>
      <w:r>
        <w:rPr>
          <w:rFonts w:hint="eastAsia"/>
          <w:spacing w:val="-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spacing w:line="360" w:lineRule="auto"/>
        <w:ind w:firstLine="404" w:firstLineChars="200"/>
        <w:rPr>
          <w:spacing w:val="-4"/>
        </w:rPr>
      </w:pPr>
      <w:r>
        <w:rPr>
          <w:rFonts w:hint="eastAsia"/>
          <w:spacing w:val="-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spacing w:line="360" w:lineRule="auto"/>
        <w:ind w:firstLine="404" w:firstLineChars="200"/>
        <w:rPr>
          <w:spacing w:val="-4"/>
        </w:rPr>
      </w:pPr>
      <w:r>
        <w:rPr>
          <w:rFonts w:hint="eastAsia"/>
          <w:spacing w:val="-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spacing w:line="360" w:lineRule="auto"/>
        <w:ind w:firstLine="422" w:firstLineChars="200"/>
        <w:rPr>
          <w:b/>
          <w:bCs/>
        </w:rPr>
      </w:pPr>
      <w:r>
        <w:rPr>
          <w:rFonts w:hint="eastAsia"/>
          <w:b/>
          <w:bCs/>
        </w:rPr>
        <w:t>四、本公司已充分知悉政府采购违法、违规行为的法律后果。</w:t>
      </w:r>
    </w:p>
    <w:p>
      <w:pPr>
        <w:autoSpaceDE w:val="0"/>
        <w:autoSpaceDN w:val="0"/>
        <w:spacing w:line="360" w:lineRule="auto"/>
        <w:ind w:firstLine="404" w:firstLineChars="200"/>
        <w:rPr>
          <w:b/>
          <w:bCs/>
          <w:spacing w:val="-4"/>
        </w:rPr>
      </w:pPr>
      <w:r>
        <w:rPr>
          <w:rFonts w:hint="eastAsia"/>
          <w:spacing w:val="-4"/>
        </w:rPr>
        <w:t>经查实，若投标供应商存在政府采购违法、违规行为，财政主管部门将依据政府采购法律法规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b/>
          <w:bCs/>
          <w:spacing w:val="-4"/>
        </w:rPr>
        <w:t>以下文字请投标供应商抄写并确认：“本公司已仔细阅读《政府采购违法行为风险知悉确认书》，充分知悉违法行为的法律后果，并承诺将严谨、诚信、依法依规参与政府采购活动”。</w:t>
      </w:r>
    </w:p>
    <w:tbl>
      <w:tblPr>
        <w:tblStyle w:val="39"/>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60" w:lineRule="auto"/>
              <w:rPr>
                <w:spacing w:val="-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60" w:lineRule="auto"/>
              <w:rPr>
                <w:spacing w:val="-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60" w:lineRule="auto"/>
              <w:rPr>
                <w:spacing w:val="-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60" w:lineRule="auto"/>
              <w:rPr>
                <w:spacing w:val="-4"/>
              </w:rPr>
            </w:pPr>
          </w:p>
        </w:tc>
      </w:tr>
    </w:tbl>
    <w:p>
      <w:pPr>
        <w:autoSpaceDE w:val="0"/>
        <w:autoSpaceDN w:val="0"/>
        <w:spacing w:line="360" w:lineRule="auto"/>
        <w:rPr>
          <w:b/>
          <w:bCs/>
          <w:color w:val="FF0000"/>
          <w:spacing w:val="-4"/>
        </w:rPr>
      </w:pPr>
      <w:r>
        <w:rPr>
          <w:rFonts w:hint="eastAsia"/>
          <w:b/>
          <w:bCs/>
          <w:color w:val="FF0000"/>
          <w:spacing w:val="-4"/>
        </w:rPr>
        <w:t>注：1.政府采购违法行为风险知悉确认书为必填项，但不作为资格性审查及符合性审查条件。</w:t>
      </w:r>
    </w:p>
    <w:p>
      <w:pPr>
        <w:autoSpaceDE w:val="0"/>
        <w:autoSpaceDN w:val="0"/>
        <w:spacing w:line="360" w:lineRule="auto"/>
        <w:ind w:firstLine="406" w:firstLineChars="200"/>
        <w:rPr>
          <w:color w:val="FF0000"/>
          <w:spacing w:val="-4"/>
        </w:rPr>
      </w:pPr>
      <w:r>
        <w:rPr>
          <w:rFonts w:hint="eastAsia"/>
          <w:b/>
          <w:bCs/>
          <w:color w:val="FF0000"/>
          <w:spacing w:val="-4"/>
        </w:rPr>
        <w:t>2.投标供应商负责人或投标授权代表签字并加盖单位公章后，扫描上传至投标文件一并提交。</w:t>
      </w:r>
    </w:p>
    <w:p>
      <w:pPr>
        <w:wordWrap w:val="0"/>
        <w:autoSpaceDE w:val="0"/>
        <w:autoSpaceDN w:val="0"/>
        <w:spacing w:line="360" w:lineRule="auto"/>
        <w:ind w:firstLine="404" w:firstLineChars="200"/>
        <w:jc w:val="center"/>
        <w:rPr>
          <w:spacing w:val="-4"/>
        </w:rPr>
      </w:pPr>
      <w:r>
        <w:rPr>
          <w:rFonts w:hint="eastAsia"/>
          <w:spacing w:val="-4"/>
        </w:rPr>
        <w:t xml:space="preserve">                                       </w:t>
      </w:r>
    </w:p>
    <w:p>
      <w:pPr>
        <w:wordWrap w:val="0"/>
        <w:autoSpaceDE w:val="0"/>
        <w:autoSpaceDN w:val="0"/>
        <w:spacing w:line="360" w:lineRule="auto"/>
        <w:ind w:firstLine="404" w:firstLineChars="200"/>
        <w:jc w:val="center"/>
        <w:rPr>
          <w:spacing w:val="-4"/>
        </w:rPr>
      </w:pPr>
      <w:r>
        <w:rPr>
          <w:rFonts w:hint="eastAsia"/>
          <w:spacing w:val="-4"/>
        </w:rPr>
        <w:t xml:space="preserve">                                      负责人/投标授权代表签名：     </w:t>
      </w:r>
    </w:p>
    <w:p>
      <w:pPr>
        <w:wordWrap w:val="0"/>
        <w:autoSpaceDE w:val="0"/>
        <w:autoSpaceDN w:val="0"/>
        <w:spacing w:line="360" w:lineRule="auto"/>
        <w:ind w:firstLine="404" w:firstLineChars="200"/>
        <w:jc w:val="center"/>
        <w:rPr>
          <w:spacing w:val="-4"/>
        </w:rPr>
      </w:pPr>
      <w:r>
        <w:rPr>
          <w:rFonts w:hint="eastAsia"/>
          <w:spacing w:val="-4"/>
        </w:rPr>
        <w:t xml:space="preserve">                              知悉人（公章）：     </w:t>
      </w:r>
    </w:p>
    <w:p>
      <w:pPr>
        <w:wordWrap w:val="0"/>
        <w:autoSpaceDE w:val="0"/>
        <w:autoSpaceDN w:val="0"/>
        <w:spacing w:line="360" w:lineRule="auto"/>
        <w:ind w:firstLine="404" w:firstLineChars="200"/>
        <w:jc w:val="center"/>
        <w:rPr>
          <w:spacing w:val="-4"/>
        </w:rPr>
      </w:pPr>
      <w:r>
        <w:rPr>
          <w:rFonts w:hint="eastAsia"/>
          <w:spacing w:val="-4"/>
        </w:rPr>
        <w:t xml:space="preserve">                    日期：     </w:t>
      </w:r>
    </w:p>
    <w:p>
      <w:pPr>
        <w:wordWrap w:val="0"/>
        <w:autoSpaceDE w:val="0"/>
        <w:autoSpaceDN w:val="0"/>
        <w:spacing w:line="360" w:lineRule="auto"/>
        <w:ind w:firstLine="404" w:firstLineChars="200"/>
        <w:jc w:val="center"/>
        <w:rPr>
          <w:spacing w:val="-4"/>
        </w:rPr>
      </w:pPr>
    </w:p>
    <w:p>
      <w:pPr>
        <w:wordWrap w:val="0"/>
        <w:autoSpaceDE w:val="0"/>
        <w:autoSpaceDN w:val="0"/>
        <w:spacing w:line="360" w:lineRule="auto"/>
        <w:ind w:firstLine="404" w:firstLineChars="200"/>
        <w:jc w:val="center"/>
        <w:rPr>
          <w:spacing w:val="-4"/>
        </w:rPr>
      </w:pPr>
    </w:p>
    <w:p>
      <w:pPr>
        <w:outlineLvl w:val="1"/>
        <w:rPr>
          <w:rFonts w:ascii="宋体" w:hAnsi="宋体"/>
          <w:b/>
          <w:color w:val="FF0000"/>
          <w:sz w:val="28"/>
          <w:szCs w:val="28"/>
        </w:rPr>
      </w:pPr>
    </w:p>
    <w:p>
      <w:pPr>
        <w:outlineLvl w:val="1"/>
        <w:rPr>
          <w:rFonts w:ascii="宋体" w:hAnsi="宋体"/>
          <w:b/>
          <w:kern w:val="0"/>
          <w:sz w:val="24"/>
        </w:rPr>
      </w:pPr>
      <w:r>
        <w:rPr>
          <w:rFonts w:hint="eastAsia" w:ascii="宋体" w:hAnsi="宋体"/>
          <w:b/>
          <w:color w:val="FF0000"/>
          <w:sz w:val="28"/>
          <w:szCs w:val="28"/>
        </w:rPr>
        <w:br w:type="page"/>
      </w:r>
      <w:r>
        <w:rPr>
          <w:rFonts w:hint="eastAsia" w:ascii="宋体" w:hAnsi="宋体"/>
          <w:b/>
          <w:color w:val="FF0000"/>
          <w:sz w:val="28"/>
          <w:szCs w:val="28"/>
        </w:rPr>
        <w:t>投标文件正文</w:t>
      </w:r>
    </w:p>
    <w:p>
      <w:pPr>
        <w:pStyle w:val="4"/>
        <w:jc w:val="center"/>
        <w:rPr>
          <w:rFonts w:ascii="宋体" w:hAnsi="宋体"/>
          <w:bCs w:val="0"/>
          <w:kern w:val="0"/>
          <w:sz w:val="24"/>
        </w:rPr>
      </w:pPr>
      <w:r>
        <w:rPr>
          <w:rFonts w:hint="eastAsia" w:ascii="宋体" w:hAnsi="宋体"/>
          <w:bCs w:val="0"/>
          <w:kern w:val="0"/>
          <w:sz w:val="24"/>
        </w:rPr>
        <w:t>一、投标函</w:t>
      </w:r>
    </w:p>
    <w:p>
      <w:pPr>
        <w:spacing w:line="360" w:lineRule="auto"/>
        <w:rPr>
          <w:rFonts w:ascii="宋体" w:hAnsi="宋体"/>
          <w:color w:val="000000"/>
        </w:rPr>
      </w:pPr>
      <w:r>
        <w:rPr>
          <w:rFonts w:hint="eastAsia" w:ascii="宋体" w:hAnsi="宋体"/>
        </w:rPr>
        <w:t>致：</w:t>
      </w:r>
      <w:r>
        <w:rPr>
          <w:rFonts w:hint="eastAsia" w:ascii="宋体" w:hAnsi="宋体"/>
          <w:u w:val="single"/>
        </w:rPr>
        <w:t xml:space="preserve"> </w:t>
      </w:r>
      <w:r>
        <w:rPr>
          <w:rFonts w:hint="eastAsia" w:ascii="宋体" w:hAnsi="宋体"/>
          <w:color w:val="000000"/>
          <w:u w:val="single"/>
        </w:rPr>
        <w:t xml:space="preserve"> 巴音郭楞蒙古自治州政务服务和公共资源交易中心  </w:t>
      </w:r>
      <w:r>
        <w:rPr>
          <w:rFonts w:hint="eastAsia" w:ascii="宋体" w:hAnsi="宋体"/>
          <w:color w:val="000000"/>
        </w:rPr>
        <w:t xml:space="preserve"> </w:t>
      </w:r>
      <w:r>
        <w:rPr>
          <w:rFonts w:hint="eastAsia" w:ascii="宋体" w:hAnsi="宋体"/>
          <w:color w:val="000000"/>
          <w:u w:val="single"/>
        </w:rPr>
        <w:t xml:space="preserve">  </w:t>
      </w:r>
    </w:p>
    <w:p>
      <w:pPr>
        <w:ind w:firstLine="420" w:firstLineChars="200"/>
        <w:rPr>
          <w:rFonts w:ascii="宋体" w:hAnsi="宋体"/>
        </w:rPr>
      </w:pPr>
      <w:bookmarkStart w:id="101" w:name="_Hlk73818812"/>
      <w:r>
        <w:rPr>
          <w:rFonts w:hint="eastAsia" w:ascii="宋体" w:hAnsi="宋体"/>
        </w:rPr>
        <w:t>1、根据已收到贵单位的项目编号为</w:t>
      </w:r>
      <w:r>
        <w:rPr>
          <w:rFonts w:ascii="宋体" w:hAnsi="宋体"/>
          <w:u w:val="single"/>
        </w:rPr>
        <w:t xml:space="preserve">   </w:t>
      </w:r>
      <w:r>
        <w:rPr>
          <w:rFonts w:hint="eastAsia" w:ascii="宋体" w:hAnsi="宋体"/>
          <w:u w:val="single"/>
        </w:rPr>
        <w:t xml:space="preserve">     </w:t>
      </w:r>
      <w:r>
        <w:rPr>
          <w:rFonts w:hint="eastAsia" w:ascii="宋体" w:hAnsi="宋体"/>
        </w:rPr>
        <w:t>的</w:t>
      </w:r>
      <w:r>
        <w:rPr>
          <w:rFonts w:hint="eastAsia" w:ascii="宋体" w:hAnsi="宋体"/>
          <w:u w:val="single"/>
        </w:rPr>
        <w:t xml:space="preserve">               </w:t>
      </w:r>
      <w:r>
        <w:rPr>
          <w:rFonts w:hint="eastAsia" w:ascii="宋体" w:hAnsi="宋体"/>
        </w:rPr>
        <w:t>项目的招标文件，遵照《政府采购法》和《政府采购法实施条例》等有关规定，我单位经研究上述招标文件的专用条款及通用条款后，</w:t>
      </w:r>
      <w:bookmarkStart w:id="102" w:name="_Hlk72263588"/>
      <w:r>
        <w:rPr>
          <w:rFonts w:hint="eastAsia" w:ascii="宋体" w:hAnsi="宋体"/>
        </w:rPr>
        <w:t>愿意按照招标文件要求承包上述项目并修补其任何缺陷。</w:t>
      </w:r>
      <w:bookmarkEnd w:id="102"/>
    </w:p>
    <w:p>
      <w:pPr>
        <w:ind w:firstLine="420" w:firstLineChars="200"/>
        <w:rPr>
          <w:rFonts w:ascii="宋体" w:hAnsi="宋体"/>
        </w:rPr>
      </w:pPr>
      <w:r>
        <w:rPr>
          <w:rFonts w:ascii="宋体" w:hAnsi="宋体"/>
        </w:rPr>
        <w:t>2</w:t>
      </w:r>
      <w:r>
        <w:rPr>
          <w:rFonts w:hint="eastAsia" w:ascii="宋体" w:hAnsi="宋体"/>
        </w:rPr>
        <w:t>、投标价格见投标书编制软件中《开标一览表》中填写的投标报价。</w:t>
      </w:r>
    </w:p>
    <w:p>
      <w:pPr>
        <w:ind w:firstLine="420" w:firstLineChars="200"/>
        <w:rPr>
          <w:rFonts w:ascii="宋体" w:hAnsi="宋体"/>
        </w:rPr>
      </w:pPr>
      <w:r>
        <w:rPr>
          <w:rFonts w:hint="eastAsia" w:ascii="宋体" w:hAnsi="宋体"/>
        </w:rPr>
        <w:t>3、如果我单位中标，我单位将按照招标文件的要求提交履约担保。</w:t>
      </w:r>
    </w:p>
    <w:p>
      <w:pPr>
        <w:ind w:firstLine="420" w:firstLineChars="200"/>
        <w:rPr>
          <w:rFonts w:ascii="宋体" w:hAnsi="宋体"/>
        </w:rPr>
      </w:pPr>
      <w:r>
        <w:rPr>
          <w:rFonts w:hint="eastAsia" w:ascii="宋体" w:hAnsi="宋体"/>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rPr>
      </w:pPr>
      <w:r>
        <w:rPr>
          <w:rFonts w:hint="eastAsia" w:ascii="宋体" w:hAnsi="宋体"/>
        </w:rPr>
        <w:t>5、除非另外达成协议并生效，贵单位的中标通知书和本投标文件将构成合同的重要内容。</w:t>
      </w:r>
    </w:p>
    <w:p>
      <w:pPr>
        <w:ind w:left="525" w:leftChars="200" w:hanging="105" w:hangingChars="50"/>
        <w:rPr>
          <w:rFonts w:ascii="宋体" w:hAnsi="宋体"/>
        </w:rPr>
      </w:pPr>
      <w:r>
        <w:rPr>
          <w:rFonts w:hint="eastAsia" w:ascii="宋体" w:hAnsi="宋体"/>
        </w:rPr>
        <w:t>6、我单位理解贵单位将不受必须接受所收到的最低报价或其它任何投标文件的约束。</w:t>
      </w:r>
      <w:bookmarkEnd w:id="101"/>
    </w:p>
    <w:p>
      <w:pPr>
        <w:ind w:firstLine="420" w:firstLineChars="200"/>
        <w:rPr>
          <w:rFonts w:ascii="宋体" w:hAnsi="宋体"/>
        </w:rPr>
      </w:pPr>
      <w:r>
        <w:rPr>
          <w:rFonts w:hint="eastAsia" w:ascii="宋体" w:hAnsi="宋体"/>
        </w:rPr>
        <w:t>7.如我单位提交样品，且未在规定时间内取回样品的，视同放弃取回，同意巴州政务服务和公共资源交易中心对我单位提交的样品进行清理。</w:t>
      </w:r>
    </w:p>
    <w:p>
      <w:pPr>
        <w:ind w:firstLine="420" w:firstLineChars="200"/>
        <w:rPr>
          <w:rFonts w:ascii="宋体" w:hAnsi="宋体"/>
          <w:u w:val="single"/>
        </w:rPr>
      </w:pPr>
      <w:r>
        <w:rPr>
          <w:rFonts w:hint="eastAsia" w:ascii="宋体" w:hAnsi="宋体"/>
        </w:rPr>
        <w:t>投标人：</w:t>
      </w:r>
      <w:r>
        <w:rPr>
          <w:rFonts w:hint="eastAsia" w:ascii="宋体" w:hAnsi="宋体"/>
          <w:u w:val="single"/>
        </w:rPr>
        <w:t xml:space="preserve">                   </w:t>
      </w:r>
      <w:r>
        <w:rPr>
          <w:rFonts w:hint="eastAsia" w:ascii="宋体" w:hAnsi="宋体"/>
        </w:rPr>
        <w:t xml:space="preserve">    单位地址：</w:t>
      </w:r>
      <w:r>
        <w:rPr>
          <w:rFonts w:hint="eastAsia" w:ascii="宋体" w:hAnsi="宋体"/>
          <w:u w:val="single"/>
        </w:rPr>
        <w:t xml:space="preserve">               </w:t>
      </w:r>
    </w:p>
    <w:p>
      <w:pPr>
        <w:ind w:left="540" w:leftChars="257"/>
        <w:rPr>
          <w:rFonts w:ascii="宋体" w:hAnsi="宋体"/>
          <w:u w:val="single"/>
        </w:rPr>
      </w:pPr>
      <w:r>
        <w:rPr>
          <w:rFonts w:hint="eastAsia" w:ascii="宋体" w:hAnsi="宋体"/>
        </w:rPr>
        <w:t>法定代表人（负责人）或其委托代理人：</w:t>
      </w:r>
      <w:r>
        <w:rPr>
          <w:rFonts w:hint="eastAsia" w:ascii="宋体" w:hAnsi="宋体"/>
          <w:u w:val="single"/>
        </w:rPr>
        <w:t xml:space="preserve">                   </w:t>
      </w:r>
    </w:p>
    <w:p>
      <w:pPr>
        <w:ind w:left="540" w:leftChars="257"/>
        <w:rPr>
          <w:rFonts w:ascii="宋体" w:hAnsi="宋体"/>
          <w:u w:val="single"/>
        </w:rPr>
      </w:pPr>
      <w:r>
        <w:rPr>
          <w:rFonts w:hint="eastAsia" w:ascii="宋体" w:hAnsi="宋体"/>
        </w:rPr>
        <w:t>邮政编码：</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r>
        <w:rPr>
          <w:rFonts w:hint="eastAsia" w:ascii="宋体" w:hAnsi="宋体"/>
        </w:rPr>
        <w:t xml:space="preserve">  邮箱：</w:t>
      </w:r>
      <w:r>
        <w:rPr>
          <w:rFonts w:hint="eastAsia" w:ascii="宋体" w:hAnsi="宋体"/>
          <w:u w:val="single"/>
        </w:rPr>
        <w:t xml:space="preserve">            </w:t>
      </w:r>
    </w:p>
    <w:p>
      <w:pPr>
        <w:ind w:left="540" w:leftChars="257"/>
        <w:rPr>
          <w:rFonts w:ascii="宋体" w:hAnsi="宋体"/>
        </w:rPr>
      </w:pPr>
      <w:r>
        <w:rPr>
          <w:rFonts w:hint="eastAsia" w:ascii="宋体" w:hAnsi="宋体"/>
        </w:rPr>
        <w:t>开户银行名称：</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ab/>
      </w:r>
      <w:r>
        <w:rPr>
          <w:rFonts w:hint="eastAsia" w:ascii="宋体" w:hAnsi="宋体"/>
        </w:rPr>
        <w:t>开户银行账号：</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left="540" w:leftChars="257"/>
        <w:rPr>
          <w:rFonts w:ascii="宋体" w:hAnsi="宋体"/>
        </w:rPr>
      </w:pPr>
      <w:r>
        <w:rPr>
          <w:rFonts w:hint="eastAsia" w:ascii="宋体" w:hAnsi="宋体"/>
        </w:rPr>
        <w:t>开户银行地址：</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ab/>
      </w:r>
      <w:r>
        <w:rPr>
          <w:rFonts w:hint="eastAsia" w:ascii="宋体" w:hAnsi="宋体"/>
        </w:rPr>
        <w:t>开户银行电话：</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616" w:firstLineChars="257"/>
        <w:rPr>
          <w:rFonts w:ascii="宋体" w:hAnsi="宋体"/>
          <w:sz w:val="24"/>
        </w:rPr>
      </w:pPr>
      <w:r>
        <w:rPr>
          <w:rFonts w:hint="eastAsia" w:ascii="宋体" w:hAnsi="宋体"/>
          <w:sz w:val="24"/>
        </w:rPr>
        <w:t xml:space="preserve">                               </w:t>
      </w:r>
    </w:p>
    <w:p>
      <w:pPr>
        <w:rPr>
          <w:rFonts w:ascii="宋体" w:hAnsi="宋体"/>
        </w:rPr>
      </w:pPr>
      <w:r>
        <w:rPr>
          <w:rFonts w:hint="eastAsia" w:ascii="宋体" w:hAnsi="宋体"/>
        </w:rPr>
        <w:t xml:space="preserve"> </w:t>
      </w:r>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ascii="宋体" w:hAnsi="宋体"/>
        </w:rPr>
        <w:t>：_________________</w:t>
      </w:r>
    </w:p>
    <w:p>
      <w:pPr>
        <w:jc w:val="center"/>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pStyle w:val="13"/>
        <w:ind w:left="1260" w:hanging="420"/>
        <w:rPr>
          <w:rFonts w:ascii="宋体" w:hAnsi="宋体"/>
        </w:rPr>
      </w:pPr>
    </w:p>
    <w:p>
      <w:pPr>
        <w:rPr>
          <w:rFonts w:ascii="宋体" w:hAnsi="宋体"/>
        </w:rPr>
      </w:pPr>
    </w:p>
    <w:p>
      <w:pPr>
        <w:pStyle w:val="4"/>
        <w:jc w:val="center"/>
        <w:rPr>
          <w:rFonts w:ascii="宋体" w:hAnsi="宋体"/>
          <w:bCs w:val="0"/>
          <w:kern w:val="0"/>
          <w:sz w:val="24"/>
        </w:rPr>
      </w:pPr>
      <w:r>
        <w:rPr>
          <w:rFonts w:hint="eastAsia" w:ascii="宋体" w:hAnsi="宋体"/>
          <w:bCs w:val="0"/>
          <w:kern w:val="0"/>
          <w:sz w:val="24"/>
        </w:rPr>
        <w:t>二、政府采购投标及履约承诺函</w:t>
      </w:r>
    </w:p>
    <w:p>
      <w:pPr>
        <w:rPr>
          <w:rFonts w:ascii="宋体" w:hAnsi="宋体"/>
          <w:sz w:val="24"/>
        </w:rPr>
      </w:pPr>
    </w:p>
    <w:p>
      <w:pPr>
        <w:rPr>
          <w:rFonts w:ascii="宋体" w:hAnsi="宋体"/>
          <w:color w:val="000000"/>
        </w:rPr>
      </w:pPr>
      <w:r>
        <w:rPr>
          <w:rFonts w:hint="eastAsia" w:ascii="宋体" w:hAnsi="宋体"/>
          <w:color w:val="000000"/>
        </w:rPr>
        <w:t>致：</w:t>
      </w:r>
      <w:r>
        <w:rPr>
          <w:rFonts w:hint="eastAsia" w:ascii="宋体" w:hAnsi="宋体"/>
          <w:u w:val="single"/>
        </w:rPr>
        <w:t xml:space="preserve"> </w:t>
      </w:r>
      <w:r>
        <w:rPr>
          <w:rFonts w:hint="eastAsia" w:ascii="宋体" w:hAnsi="宋体"/>
          <w:color w:val="000000"/>
          <w:u w:val="single"/>
        </w:rPr>
        <w:t xml:space="preserve"> 巴州政务服务和公共资源交易中心</w:t>
      </w:r>
    </w:p>
    <w:p>
      <w:pPr>
        <w:ind w:right="-815" w:firstLine="420" w:firstLineChars="200"/>
        <w:rPr>
          <w:rFonts w:ascii="宋体" w:hAnsi="宋体"/>
        </w:rPr>
      </w:pPr>
      <w:r>
        <w:rPr>
          <w:rFonts w:hint="eastAsia" w:ascii="宋体" w:hAnsi="宋体"/>
        </w:rPr>
        <w:t>我单位承诺：</w:t>
      </w:r>
    </w:p>
    <w:p>
      <w:pPr>
        <w:ind w:firstLine="420" w:firstLineChars="200"/>
        <w:rPr>
          <w:rFonts w:ascii="宋体" w:hAnsi="宋体"/>
        </w:rPr>
      </w:pPr>
      <w:r>
        <w:rPr>
          <w:rFonts w:hint="eastAsia" w:ascii="宋体" w:hAnsi="宋体"/>
        </w:rPr>
        <w:t>1.我单位参与本项目所投标（响应）的货物、工程或服务，不存在侵犯知识产权的情况；已知悉并同意中标（成交）结果信息公示（公开）的内容。</w:t>
      </w:r>
    </w:p>
    <w:p>
      <w:pPr>
        <w:ind w:firstLine="420" w:firstLineChars="200"/>
        <w:rPr>
          <w:rFonts w:ascii="宋体" w:hAnsi="宋体"/>
        </w:rPr>
      </w:pPr>
      <w:r>
        <w:rPr>
          <w:rFonts w:hint="eastAsia" w:ascii="宋体" w:hAnsi="宋体"/>
        </w:rPr>
        <w:t>2.我单位参与本项目投标前三年内，在经营活动中没有因违法经营受到刑事处罚或者责令停产停业、吊销许可证或者执照、较大数额罚款等行政处罚。</w:t>
      </w:r>
    </w:p>
    <w:p>
      <w:pPr>
        <w:ind w:firstLine="420" w:firstLineChars="200"/>
        <w:rPr>
          <w:rFonts w:ascii="宋体" w:hAnsi="宋体"/>
        </w:rPr>
      </w:pPr>
      <w:r>
        <w:rPr>
          <w:rFonts w:hint="eastAsia" w:ascii="宋体" w:hAnsi="宋体"/>
        </w:rPr>
        <w:t>3.我单位参与本项目政府采购活动时不存在被有关部门禁止参与政府采购活动且在有效期内的情况。</w:t>
      </w:r>
    </w:p>
    <w:p>
      <w:pPr>
        <w:ind w:firstLine="420" w:firstLineChars="200"/>
        <w:rPr>
          <w:rFonts w:ascii="宋体" w:hAnsi="宋体"/>
        </w:rPr>
      </w:pPr>
      <w:r>
        <w:rPr>
          <w:rFonts w:hint="eastAsia" w:ascii="宋体" w:hAnsi="宋体"/>
        </w:rPr>
        <w:t>4.我单位具备《中华人民共和国政府采购法》第二十二条第一款规定的六项条件。</w:t>
      </w:r>
    </w:p>
    <w:p>
      <w:pPr>
        <w:ind w:firstLine="420" w:firstLineChars="200"/>
        <w:rPr>
          <w:rFonts w:ascii="宋体" w:hAnsi="宋体"/>
        </w:rPr>
      </w:pPr>
      <w:r>
        <w:rPr>
          <w:rFonts w:hint="eastAsia" w:ascii="宋体" w:hAnsi="宋体"/>
        </w:rPr>
        <w:t>5.我单位未被列入失信被执行人、重大税收违法案件当事人名单、政府采购严重违法失信行为记录名单</w:t>
      </w:r>
    </w:p>
    <w:p>
      <w:pPr>
        <w:ind w:firstLine="420" w:firstLineChars="200"/>
        <w:rPr>
          <w:rFonts w:ascii="宋体" w:hAnsi="宋体"/>
        </w:rPr>
      </w:pPr>
      <w:r>
        <w:rPr>
          <w:rFonts w:hint="eastAsia" w:ascii="宋体" w:hAnsi="宋体"/>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rPr>
      </w:pPr>
      <w:r>
        <w:rPr>
          <w:rFonts w:hint="eastAsia" w:ascii="宋体" w:hAnsi="宋体"/>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rPr>
      </w:pPr>
      <w:r>
        <w:rPr>
          <w:rFonts w:hint="eastAsia" w:ascii="宋体" w:hAnsi="宋体"/>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rPr>
      </w:pPr>
      <w:r>
        <w:rPr>
          <w:rFonts w:ascii="宋体" w:hAnsi="宋体"/>
        </w:rPr>
        <w:t>8</w:t>
      </w:r>
      <w:r>
        <w:rPr>
          <w:rFonts w:hint="eastAsia" w:ascii="宋体" w:hAnsi="宋体"/>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rPr>
      </w:pPr>
      <w:r>
        <w:rPr>
          <w:rFonts w:ascii="宋体" w:hAnsi="宋体"/>
        </w:rPr>
        <w:t>9</w:t>
      </w:r>
      <w:r>
        <w:rPr>
          <w:rFonts w:hint="eastAsia" w:ascii="宋体" w:hAnsi="宋体"/>
        </w:rPr>
        <w:t>.我单位承诺中标后项目不转包，未经采购人同意不进行分包。</w:t>
      </w:r>
    </w:p>
    <w:p>
      <w:pPr>
        <w:ind w:firstLine="420" w:firstLineChars="200"/>
        <w:rPr>
          <w:rFonts w:ascii="宋体" w:hAnsi="宋体"/>
        </w:rPr>
      </w:pPr>
      <w:r>
        <w:rPr>
          <w:rFonts w:hint="eastAsia" w:ascii="宋体" w:hAnsi="宋体"/>
        </w:rPr>
        <w:t>1</w:t>
      </w:r>
      <w:r>
        <w:rPr>
          <w:rFonts w:ascii="宋体" w:hAnsi="宋体"/>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20" w:firstLineChars="200"/>
        <w:rPr>
          <w:rFonts w:ascii="宋体" w:hAnsi="宋体"/>
        </w:rPr>
      </w:pPr>
      <w:r>
        <w:rPr>
          <w:rFonts w:hint="eastAsia" w:ascii="宋体" w:hAnsi="宋体"/>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rPr>
      </w:pPr>
    </w:p>
    <w:p>
      <w:pPr>
        <w:ind w:firstLine="420" w:firstLineChars="200"/>
        <w:rPr>
          <w:rFonts w:ascii="宋体" w:hAnsi="宋体"/>
        </w:rPr>
      </w:pPr>
      <w:r>
        <w:rPr>
          <w:rFonts w:hint="eastAsia" w:ascii="宋体" w:hAnsi="宋体"/>
        </w:rPr>
        <w:t>以上承诺，如有违反，愿依照国家相关法律法规处理，并承担由此给采购人带来的损失。</w:t>
      </w:r>
    </w:p>
    <w:p>
      <w:pPr>
        <w:spacing w:before="72" w:beforeLines="25" w:after="72" w:afterLines="25"/>
        <w:ind w:firstLine="5460" w:firstLineChars="2600"/>
        <w:rPr>
          <w:rFonts w:ascii="宋体" w:hAnsi="宋体"/>
        </w:rPr>
      </w:pPr>
      <w:r>
        <w:rPr>
          <w:rFonts w:hint="eastAsia" w:ascii="宋体" w:hAnsi="宋体"/>
        </w:rPr>
        <w:t xml:space="preserve">                                    </w:t>
      </w:r>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ascii="宋体" w:hAnsi="宋体"/>
        </w:rPr>
        <w:t>：_________________</w:t>
      </w:r>
    </w:p>
    <w:p>
      <w:pPr>
        <w:jc w:val="center"/>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ind w:firstLine="645"/>
        <w:rPr>
          <w:rFonts w:ascii="宋体" w:hAnsi="宋体"/>
          <w:color w:val="000000"/>
        </w:rPr>
      </w:pPr>
    </w:p>
    <w:p>
      <w:pP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20" w:firstLineChars="200"/>
        <w:jc w:val="center"/>
        <w:rPr>
          <w:rFonts w:ascii="宋体" w:hAnsi="宋体"/>
        </w:rPr>
      </w:pPr>
    </w:p>
    <w:p>
      <w:pPr>
        <w:ind w:firstLine="482" w:firstLineChars="200"/>
        <w:jc w:val="center"/>
        <w:rPr>
          <w:rFonts w:ascii="宋体" w:hAnsi="宋体"/>
          <w:b/>
          <w:kern w:val="0"/>
          <w:sz w:val="24"/>
          <w:szCs w:val="32"/>
        </w:rPr>
      </w:pPr>
      <w:r>
        <w:rPr>
          <w:rFonts w:hint="eastAsia" w:ascii="宋体" w:hAnsi="宋体"/>
          <w:b/>
          <w:kern w:val="0"/>
          <w:sz w:val="24"/>
          <w:szCs w:val="32"/>
        </w:rPr>
        <w:t>三、投标单位反商业贿赂承诺书</w:t>
      </w:r>
    </w:p>
    <w:p>
      <w:pPr>
        <w:ind w:firstLine="420" w:firstLineChars="200"/>
        <w:rPr>
          <w:rFonts w:ascii="宋体" w:hAnsi="宋体"/>
        </w:rPr>
      </w:pPr>
      <w:r>
        <w:rPr>
          <w:rFonts w:hint="eastAsia" w:ascii="宋体" w:hAnsi="宋体"/>
        </w:rPr>
        <w:t> </w:t>
      </w:r>
    </w:p>
    <w:p>
      <w:pPr>
        <w:ind w:firstLine="420" w:firstLineChars="200"/>
        <w:rPr>
          <w:rFonts w:ascii="宋体" w:hAnsi="宋体"/>
        </w:rPr>
      </w:pPr>
      <w:r>
        <w:rPr>
          <w:rFonts w:hint="eastAsia" w:ascii="宋体" w:hAnsi="宋体"/>
        </w:rPr>
        <w:t> 我公司承诺在</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招投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ind w:firstLine="420" w:firstLineChars="200"/>
        <w:rPr>
          <w:rFonts w:ascii="宋体" w:hAnsi="宋体"/>
        </w:rPr>
      </w:pPr>
    </w:p>
    <w:p>
      <w:pPr>
        <w:ind w:firstLine="420" w:firstLineChars="200"/>
        <w:jc w:val="right"/>
        <w:rPr>
          <w:rFonts w:ascii="宋体" w:hAnsi="宋体"/>
        </w:rPr>
      </w:pPr>
      <w:r>
        <w:rPr>
          <w:rFonts w:hint="eastAsia" w:ascii="宋体" w:hAnsi="宋体"/>
        </w:rPr>
        <w:t>投标供应商名称：  （盖章）</w:t>
      </w:r>
    </w:p>
    <w:p>
      <w:pPr>
        <w:ind w:firstLine="420" w:firstLineChars="200"/>
        <w:jc w:val="right"/>
        <w:rPr>
          <w:rFonts w:ascii="宋体" w:hAnsi="宋体"/>
        </w:rPr>
      </w:pPr>
      <w:r>
        <w:rPr>
          <w:rFonts w:hint="eastAsia" w:ascii="宋体" w:hAnsi="宋体"/>
        </w:rPr>
        <w:t>公司法定代表人：  （签字）</w:t>
      </w:r>
    </w:p>
    <w:p>
      <w:pPr>
        <w:ind w:firstLine="420" w:firstLineChars="200"/>
        <w:jc w:val="right"/>
        <w:rPr>
          <w:rFonts w:ascii="宋体" w:hAnsi="宋体"/>
        </w:rPr>
      </w:pPr>
      <w:r>
        <w:rPr>
          <w:rFonts w:hint="eastAsia" w:ascii="宋体" w:hAnsi="宋体"/>
        </w:rPr>
        <w:t>委托代理人：      （签字）</w:t>
      </w:r>
    </w:p>
    <w:p>
      <w:pPr>
        <w:pStyle w:val="125"/>
        <w:rPr>
          <w:rFonts w:hint="default"/>
        </w:rPr>
      </w:pPr>
    </w:p>
    <w:p>
      <w:pPr>
        <w:ind w:firstLine="482" w:firstLineChars="200"/>
        <w:jc w:val="center"/>
        <w:rPr>
          <w:rFonts w:ascii="宋体" w:hAnsi="宋体"/>
          <w:b/>
          <w:kern w:val="0"/>
          <w:sz w:val="24"/>
          <w:szCs w:val="32"/>
        </w:rPr>
      </w:pPr>
    </w:p>
    <w:p>
      <w:pPr>
        <w:ind w:firstLine="482" w:firstLineChars="200"/>
        <w:jc w:val="center"/>
        <w:rPr>
          <w:rFonts w:ascii="宋体" w:hAnsi="宋体"/>
          <w:b/>
          <w:kern w:val="0"/>
          <w:sz w:val="24"/>
          <w:szCs w:val="32"/>
        </w:rPr>
      </w:pPr>
      <w:r>
        <w:rPr>
          <w:rFonts w:hint="eastAsia" w:ascii="宋体" w:hAnsi="宋体"/>
          <w:b/>
          <w:kern w:val="0"/>
          <w:sz w:val="24"/>
          <w:szCs w:val="32"/>
        </w:rPr>
        <w:t>四、具备履行合同所必需的设备和专业技术能力的书面声明</w:t>
      </w:r>
    </w:p>
    <w:p>
      <w:pPr>
        <w:ind w:firstLine="420" w:firstLineChars="200"/>
        <w:rPr>
          <w:rFonts w:ascii="宋体" w:hAnsi="宋体"/>
        </w:rPr>
      </w:pPr>
    </w:p>
    <w:p>
      <w:pPr>
        <w:ind w:firstLine="420" w:firstLineChars="200"/>
        <w:rPr>
          <w:rFonts w:ascii="宋体" w:hAnsi="宋体"/>
        </w:rPr>
      </w:pPr>
      <w:r>
        <w:rPr>
          <w:rFonts w:hint="eastAsia" w:ascii="宋体" w:hAnsi="宋体"/>
        </w:rPr>
        <w:t>我单位郑重声明：我单位具备履行本项采购合同所必需的设备和专业技术能力，为履行本项采购合同我公司具备如下主要设备和主要专业技术能力：</w:t>
      </w:r>
    </w:p>
    <w:p>
      <w:pPr>
        <w:ind w:firstLine="420" w:firstLineChars="200"/>
        <w:rPr>
          <w:rFonts w:ascii="宋体" w:hAnsi="宋体"/>
        </w:rPr>
      </w:pPr>
      <w:r>
        <w:rPr>
          <w:rFonts w:hint="eastAsia" w:ascii="宋体" w:hAnsi="宋体"/>
        </w:rPr>
        <w:t>主要设备有：</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 xml:space="preserve">                 </w:t>
      </w:r>
      <w:r>
        <w:rPr>
          <w:rFonts w:hint="eastAsia" w:ascii="宋体" w:hAnsi="宋体"/>
        </w:rPr>
        <w:t xml:space="preserve">                                                    </w:t>
      </w:r>
    </w:p>
    <w:p>
      <w:pPr>
        <w:ind w:firstLine="420" w:firstLineChars="200"/>
        <w:rPr>
          <w:rFonts w:ascii="宋体" w:hAnsi="宋体"/>
        </w:rPr>
      </w:pPr>
      <w:r>
        <w:rPr>
          <w:rFonts w:hint="eastAsia" w:ascii="宋体" w:hAnsi="宋体"/>
        </w:rPr>
        <w:t>主要专业技术能力有：</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rPr>
        <w:t xml:space="preserve">                                           </w:t>
      </w:r>
    </w:p>
    <w:p>
      <w:pPr>
        <w:ind w:firstLine="420" w:firstLineChars="200"/>
        <w:rPr>
          <w:rFonts w:ascii="宋体" w:hAnsi="宋体"/>
        </w:rPr>
      </w:pPr>
      <w:r>
        <w:rPr>
          <w:rFonts w:hint="eastAsia" w:ascii="宋体" w:hAnsi="宋体"/>
        </w:rPr>
        <w:t xml:space="preserve">                                     </w:t>
      </w:r>
    </w:p>
    <w:p>
      <w:pPr>
        <w:ind w:firstLine="420" w:firstLineChars="200"/>
        <w:rPr>
          <w:rFonts w:ascii="宋体" w:hAnsi="宋体"/>
        </w:rPr>
      </w:pPr>
    </w:p>
    <w:p>
      <w:pPr>
        <w:ind w:firstLine="420" w:firstLineChars="200"/>
        <w:rPr>
          <w:rFonts w:ascii="宋体" w:hAnsi="宋体"/>
        </w:rPr>
      </w:pPr>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hint="eastAsia" w:ascii="宋体" w:hAnsi="宋体"/>
          <w:u w:val="single"/>
        </w:rPr>
        <w:t xml:space="preserve">         </w:t>
      </w:r>
      <w:r>
        <w:rPr>
          <w:rFonts w:hint="eastAsia" w:ascii="宋体" w:hAnsi="宋体"/>
        </w:rPr>
        <w:tab/>
      </w:r>
      <w:r>
        <w:rPr>
          <w:rFonts w:hint="eastAsia" w:ascii="宋体" w:hAnsi="宋体"/>
        </w:rPr>
        <w:t xml:space="preserve">  </w:t>
      </w:r>
    </w:p>
    <w:p>
      <w:pPr>
        <w:jc w:val="center"/>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pStyle w:val="4"/>
        <w:spacing w:before="120" w:after="120"/>
        <w:rPr>
          <w:rFonts w:ascii="宋体" w:hAnsi="宋体"/>
          <w:bCs w:val="0"/>
          <w:kern w:val="0"/>
          <w:sz w:val="24"/>
        </w:rPr>
      </w:pPr>
    </w:p>
    <w:p>
      <w:pPr>
        <w:pStyle w:val="4"/>
        <w:spacing w:before="120" w:after="120"/>
        <w:jc w:val="center"/>
        <w:rPr>
          <w:rFonts w:ascii="宋体" w:hAnsi="宋体"/>
          <w:bCs w:val="0"/>
          <w:kern w:val="0"/>
          <w:sz w:val="24"/>
        </w:rPr>
      </w:pPr>
      <w:r>
        <w:rPr>
          <w:rFonts w:hint="eastAsia" w:ascii="宋体" w:hAnsi="宋体"/>
          <w:bCs w:val="0"/>
          <w:kern w:val="0"/>
          <w:sz w:val="24"/>
        </w:rPr>
        <w:t>五、投标人情况及资格证明文件</w:t>
      </w:r>
    </w:p>
    <w:p>
      <w:pPr>
        <w:tabs>
          <w:tab w:val="left" w:pos="900"/>
        </w:tabs>
        <w:spacing w:line="360" w:lineRule="auto"/>
        <w:ind w:firstLine="420" w:firstLineChars="200"/>
        <w:rPr>
          <w:rFonts w:ascii="宋体" w:hAnsi="宋体" w:cs="宋体"/>
        </w:rPr>
      </w:pPr>
    </w:p>
    <w:p>
      <w:pPr>
        <w:ind w:firstLine="420" w:firstLineChars="200"/>
        <w:rPr>
          <w:rFonts w:ascii="宋体" w:hAnsi="宋体"/>
          <w:color w:val="FF0000"/>
        </w:rPr>
      </w:pPr>
      <w:r>
        <w:rPr>
          <w:rFonts w:hint="eastAsia" w:ascii="宋体" w:hAnsi="宋体"/>
          <w:color w:val="FF0000"/>
        </w:rPr>
        <w:t>特别提示：投标人须按《资格性审查表》提供相应的资格证明资料，未提供或提供不完整、不符合要求的，将作投标无效处理。</w:t>
      </w:r>
    </w:p>
    <w:p>
      <w:pPr>
        <w:tabs>
          <w:tab w:val="left" w:pos="900"/>
        </w:tabs>
        <w:ind w:firstLine="420" w:firstLineChars="200"/>
        <w:rPr>
          <w:rFonts w:ascii="宋体" w:hAnsi="宋体" w:cs="宋体"/>
        </w:rPr>
      </w:pPr>
      <w:r>
        <w:rPr>
          <w:rFonts w:hint="eastAsia" w:ascii="宋体" w:hAnsi="宋体" w:cs="宋体"/>
        </w:rPr>
        <w:t>如：</w:t>
      </w:r>
    </w:p>
    <w:p>
      <w:pPr>
        <w:ind w:firstLine="420" w:firstLineChars="200"/>
        <w:rPr>
          <w:rFonts w:ascii="宋体" w:hAnsi="宋体"/>
          <w:color w:val="000000"/>
        </w:rPr>
      </w:pPr>
      <w:r>
        <w:rPr>
          <w:rFonts w:hint="eastAsia" w:ascii="宋体" w:hAnsi="宋体"/>
          <w:color w:val="000000"/>
        </w:rPr>
        <w:t>1.具有独立承担民事责任的能力：在中华人民共和国境内注册的法人或其他组织或自然人， 投标（响应）时提交有效的营业执照（或事业法人登记证或身份证等相关证明） 副本复印件。分支机构投标的（仅限银行、保险、石油石化、电力、电信 、邮政、铁路等特殊行业），须提供总公司和分公司营业执照扫描件，总公司出具给分支机构的授权书。</w:t>
      </w:r>
    </w:p>
    <w:p>
      <w:pPr>
        <w:ind w:firstLine="420" w:firstLineChars="200"/>
        <w:rPr>
          <w:rFonts w:ascii="宋体" w:hAnsi="宋体"/>
          <w:color w:val="000000"/>
        </w:rPr>
      </w:pPr>
      <w:r>
        <w:rPr>
          <w:rFonts w:hint="eastAsia" w:ascii="宋体" w:hAnsi="宋体"/>
          <w:color w:val="000000"/>
        </w:rPr>
        <w:t>2.具有良好的商业信誉和健全的财务会计制度，须提供最近一个年度的财务状况报告（资产负债表、利润表）或财务审计报告，成立不满一年不需提供；</w:t>
      </w:r>
    </w:p>
    <w:p>
      <w:pPr>
        <w:ind w:firstLine="420" w:firstLineChars="200"/>
        <w:rPr>
          <w:rFonts w:ascii="宋体" w:hAnsi="宋体"/>
          <w:color w:val="000000"/>
        </w:rPr>
      </w:pPr>
      <w:r>
        <w:rPr>
          <w:rFonts w:hint="eastAsia" w:ascii="宋体" w:hAnsi="宋体"/>
          <w:color w:val="000000"/>
        </w:rPr>
        <w:t>3.依法缴纳税收和社会保障资金的良好记录，须提供开标时间截止前6个月内至少三个月依法缴纳税收及缴纳社会保障资金的证明材料。投标人依法享受缓缴、免缴税收、社会保障资金的提供证明材料；</w:t>
      </w:r>
    </w:p>
    <w:p>
      <w:pPr>
        <w:ind w:firstLine="420" w:firstLineChars="200"/>
        <w:rPr>
          <w:rFonts w:ascii="宋体" w:hAnsi="宋体"/>
          <w:color w:val="000000"/>
        </w:rPr>
      </w:pPr>
      <w:r>
        <w:rPr>
          <w:rFonts w:hint="eastAsia" w:ascii="宋体" w:hAnsi="宋体"/>
          <w:color w:val="000000"/>
        </w:rPr>
        <w:t>4.供应商参加政府采购活动前三年内，在经营活动中没有重大违法记录：须提供未被“信用中国”网站（http://www.creditchina.gov.cn）、中国政府采购网(http://www.ccgp.gov.cn)、国家企业信用信息公示系统(</w:t>
      </w:r>
      <w:r>
        <w:fldChar w:fldCharType="begin"/>
      </w:r>
      <w:r>
        <w:instrText xml:space="preserve"> HYPERLINK "http://www/" \t "_blank" </w:instrText>
      </w:r>
      <w:r>
        <w:fldChar w:fldCharType="separate"/>
      </w:r>
      <w:r>
        <w:rPr>
          <w:rFonts w:hint="eastAsia" w:ascii="宋体" w:hAnsi="宋体"/>
          <w:color w:val="000000"/>
        </w:rPr>
        <w:t>http://www</w:t>
      </w:r>
      <w:r>
        <w:rPr>
          <w:rFonts w:hint="eastAsia" w:ascii="宋体" w:hAnsi="宋体"/>
          <w:color w:val="000000"/>
        </w:rPr>
        <w:fldChar w:fldCharType="end"/>
      </w:r>
      <w:r>
        <w:rPr>
          <w:rFonts w:hint="eastAsia" w:ascii="宋体" w:hAnsi="宋体"/>
          <w:color w:val="000000"/>
        </w:rPr>
        <w:t>.gsxt.gov.cn)列入失信被执行人、重大税收违法案件当事人名单、政府采购严重违法失信行为记录名单（提供开标截止时间前7日内网站查询截图）；</w:t>
      </w:r>
    </w:p>
    <w:p>
      <w:pPr>
        <w:ind w:firstLine="420" w:firstLineChars="200"/>
        <w:rPr>
          <w:rFonts w:ascii="宋体" w:hAnsi="宋体"/>
          <w:color w:val="000000"/>
        </w:rPr>
      </w:pPr>
      <w:r>
        <w:rPr>
          <w:rFonts w:hint="eastAsia" w:ascii="宋体" w:hAnsi="宋体"/>
          <w:color w:val="000000"/>
        </w:rPr>
        <w:t>5.特定资质证明材料；</w:t>
      </w:r>
    </w:p>
    <w:p>
      <w:pPr>
        <w:ind w:firstLine="420" w:firstLineChars="200"/>
        <w:rPr>
          <w:rFonts w:ascii="宋体" w:hAnsi="宋体"/>
          <w:color w:val="000000"/>
        </w:rPr>
      </w:pPr>
      <w:r>
        <w:rPr>
          <w:rFonts w:hint="eastAsia" w:ascii="宋体" w:hAnsi="宋体"/>
          <w:color w:val="000000"/>
        </w:rPr>
        <w:t>6.落实的政府采购政策：中小企业、残疾人福利性单位、监狱企业、强制节能、环保等；</w:t>
      </w:r>
    </w:p>
    <w:p>
      <w:pPr>
        <w:ind w:firstLine="420" w:firstLineChars="200"/>
        <w:rPr>
          <w:rFonts w:ascii="宋体" w:hAnsi="宋体"/>
          <w:color w:val="000000"/>
        </w:rPr>
      </w:pPr>
      <w:r>
        <w:rPr>
          <w:rFonts w:hint="eastAsia" w:ascii="宋体" w:hAnsi="宋体"/>
          <w:color w:val="000000"/>
        </w:rPr>
        <w:t>7.法人授权委托书；</w:t>
      </w:r>
    </w:p>
    <w:p>
      <w:pPr>
        <w:ind w:firstLine="420" w:firstLineChars="200"/>
        <w:rPr>
          <w:rFonts w:ascii="宋体" w:hAnsi="宋体"/>
          <w:color w:val="000000"/>
        </w:rPr>
      </w:pPr>
      <w:r>
        <w:rPr>
          <w:rFonts w:hint="eastAsia" w:ascii="宋体" w:hAnsi="宋体"/>
          <w:color w:val="000000"/>
        </w:rPr>
        <w:t>8.投标保证金缴纳凭证或投标保函；</w:t>
      </w:r>
    </w:p>
    <w:p>
      <w:pPr>
        <w:ind w:firstLine="420" w:firstLineChars="200"/>
        <w:rPr>
          <w:rFonts w:ascii="宋体" w:hAnsi="宋体"/>
          <w:color w:val="000000"/>
        </w:rPr>
      </w:pPr>
      <w:r>
        <w:rPr>
          <w:rFonts w:hint="eastAsia" w:ascii="宋体" w:hAnsi="宋体"/>
          <w:color w:val="000000"/>
        </w:rPr>
        <w:t>9.联合体协议书；</w:t>
      </w:r>
    </w:p>
    <w:p>
      <w:pPr>
        <w:ind w:firstLine="420" w:firstLineChars="200"/>
        <w:rPr>
          <w:rFonts w:ascii="宋体" w:hAnsi="宋体"/>
          <w:color w:val="000000"/>
        </w:rPr>
      </w:pPr>
      <w:r>
        <w:rPr>
          <w:rFonts w:hint="eastAsia" w:ascii="宋体" w:hAnsi="宋体"/>
          <w:color w:val="000000"/>
        </w:rPr>
        <w:t>10.分包协议书；</w:t>
      </w:r>
    </w:p>
    <w:p>
      <w:pPr>
        <w:rPr>
          <w:color w:val="000000"/>
        </w:rPr>
      </w:pPr>
      <w:r>
        <w:rPr>
          <w:rFonts w:hint="eastAsia"/>
          <w:color w:val="000000"/>
        </w:rPr>
        <w:t>11.....</w:t>
      </w:r>
    </w:p>
    <w:p>
      <w:pPr>
        <w:ind w:firstLine="420" w:firstLineChars="200"/>
        <w:rPr>
          <w:rFonts w:ascii="宋体" w:hAnsi="宋体"/>
          <w:color w:val="000000"/>
        </w:rPr>
      </w:pPr>
      <w:r>
        <w:rPr>
          <w:rFonts w:hint="eastAsia" w:ascii="宋体" w:hAnsi="宋体"/>
          <w:color w:val="000000"/>
        </w:rPr>
        <w:t>12.....</w:t>
      </w:r>
    </w:p>
    <w:p>
      <w:r>
        <w:rPr>
          <w:rFonts w:hint="eastAsia"/>
          <w:color w:val="000000"/>
        </w:rPr>
        <w:t>13.....</w:t>
      </w:r>
    </w:p>
    <w:p>
      <w:pPr>
        <w:rPr>
          <w:rFonts w:ascii="宋体" w:hAnsi="宋体"/>
          <w:b/>
          <w:bCs/>
        </w:rPr>
      </w:pPr>
    </w:p>
    <w:p>
      <w:pPr>
        <w:pStyle w:val="4"/>
        <w:ind w:firstLine="3494" w:firstLineChars="1450"/>
        <w:rPr>
          <w:rFonts w:ascii="宋体" w:hAnsi="宋体"/>
          <w:bCs w:val="0"/>
          <w:sz w:val="24"/>
          <w:szCs w:val="24"/>
        </w:rPr>
      </w:pPr>
      <w:bookmarkStart w:id="103" w:name="_Toc106616779"/>
      <w:r>
        <w:rPr>
          <w:rFonts w:hint="eastAsia" w:ascii="宋体" w:hAnsi="宋体"/>
          <w:bCs w:val="0"/>
          <w:sz w:val="24"/>
          <w:szCs w:val="24"/>
        </w:rPr>
        <w:t>六、开标一览表</w:t>
      </w:r>
      <w:bookmarkEnd w:id="103"/>
    </w:p>
    <w:tbl>
      <w:tblPr>
        <w:tblStyle w:val="39"/>
        <w:tblpPr w:leftFromText="45" w:rightFromText="45" w:vertAnchor="text" w:tblpXSpec="center"/>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2929" w:type="dxa"/>
            <w:vAlign w:val="center"/>
          </w:tcPr>
          <w:p>
            <w:pPr>
              <w:tabs>
                <w:tab w:val="left" w:pos="142"/>
              </w:tabs>
              <w:spacing w:line="360" w:lineRule="auto"/>
              <w:jc w:val="center"/>
              <w:rPr>
                <w:rFonts w:ascii="宋体" w:hAnsi="宋体" w:cs="宋体"/>
              </w:rPr>
            </w:pPr>
            <w:r>
              <w:rPr>
                <w:rFonts w:hint="eastAsia" w:ascii="宋体" w:hAnsi="宋体" w:cs="宋体"/>
              </w:rPr>
              <w:t>项目名称</w:t>
            </w:r>
          </w:p>
        </w:tc>
        <w:tc>
          <w:tcPr>
            <w:tcW w:w="6035" w:type="dxa"/>
            <w:vAlign w:val="center"/>
          </w:tcPr>
          <w:p>
            <w:pPr>
              <w:tabs>
                <w:tab w:val="left" w:pos="142"/>
              </w:tabs>
              <w:spacing w:line="360" w:lineRule="auto"/>
              <w:ind w:firstLine="420" w:firstLineChars="200"/>
              <w:jc w:val="left"/>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blCellSpacing w:w="0" w:type="dxa"/>
          <w:jc w:val="center"/>
        </w:trPr>
        <w:tc>
          <w:tcPr>
            <w:tcW w:w="2929" w:type="dxa"/>
            <w:vAlign w:val="center"/>
          </w:tcPr>
          <w:p>
            <w:pPr>
              <w:tabs>
                <w:tab w:val="left" w:pos="142"/>
              </w:tabs>
              <w:spacing w:line="500" w:lineRule="exact"/>
              <w:jc w:val="center"/>
              <w:rPr>
                <w:rFonts w:ascii="宋体" w:hAnsi="宋体" w:cs="宋体"/>
              </w:rPr>
            </w:pPr>
            <w:r>
              <w:rPr>
                <w:rFonts w:hint="eastAsia" w:ascii="宋体" w:hAnsi="宋体" w:cs="宋体"/>
              </w:rPr>
              <w:t>项目编号</w:t>
            </w:r>
          </w:p>
        </w:tc>
        <w:tc>
          <w:tcPr>
            <w:tcW w:w="6035" w:type="dxa"/>
            <w:vAlign w:val="center"/>
          </w:tcPr>
          <w:p>
            <w:pPr>
              <w:tabs>
                <w:tab w:val="left" w:pos="142"/>
              </w:tabs>
              <w:spacing w:line="500" w:lineRule="exact"/>
              <w:ind w:firstLine="420" w:firstLineChars="200"/>
              <w:jc w:val="left"/>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blCellSpacing w:w="0" w:type="dxa"/>
          <w:jc w:val="center"/>
        </w:trPr>
        <w:tc>
          <w:tcPr>
            <w:tcW w:w="2929" w:type="dxa"/>
            <w:vAlign w:val="center"/>
          </w:tcPr>
          <w:p>
            <w:pPr>
              <w:tabs>
                <w:tab w:val="left" w:pos="142"/>
              </w:tabs>
              <w:spacing w:line="500" w:lineRule="exact"/>
              <w:jc w:val="center"/>
              <w:rPr>
                <w:rFonts w:ascii="宋体" w:hAnsi="宋体" w:cs="宋体"/>
              </w:rPr>
            </w:pPr>
            <w:r>
              <w:rPr>
                <w:rFonts w:hint="eastAsia" w:ascii="宋体" w:hAnsi="宋体" w:cs="宋体"/>
              </w:rPr>
              <w:t>投标报价（元/%）</w:t>
            </w:r>
          </w:p>
        </w:tc>
        <w:tc>
          <w:tcPr>
            <w:tcW w:w="6035" w:type="dxa"/>
            <w:vAlign w:val="center"/>
          </w:tcPr>
          <w:p>
            <w:pPr>
              <w:tabs>
                <w:tab w:val="left" w:pos="142"/>
              </w:tabs>
              <w:spacing w:line="500" w:lineRule="exact"/>
              <w:ind w:firstLine="420" w:firstLineChars="200"/>
              <w:jc w:val="left"/>
              <w:rPr>
                <w:rFonts w:ascii="宋体" w:hAnsi="宋体" w:cs="宋体"/>
              </w:rPr>
            </w:pPr>
            <w:r>
              <w:rPr>
                <w:rFonts w:hint="eastAsia" w:ascii="宋体" w:hAnsi="宋体" w:cs="宋体"/>
              </w:rPr>
              <w:t>￥</w:t>
            </w:r>
            <w:r>
              <w:rPr>
                <w:rFonts w:hint="eastAsia" w:ascii="宋体" w:hAnsi="宋体" w:cs="宋体"/>
                <w:u w:val="single"/>
              </w:rPr>
              <w:t xml:space="preserve">                     </w:t>
            </w:r>
            <w:r>
              <w:rPr>
                <w:rFonts w:hint="eastAsia" w:ascii="宋体" w:hAnsi="宋体" w:cs="宋体"/>
              </w:rPr>
              <w:t>元整</w:t>
            </w:r>
          </w:p>
          <w:p>
            <w:pPr>
              <w:tabs>
                <w:tab w:val="left" w:pos="142"/>
              </w:tabs>
              <w:spacing w:line="500" w:lineRule="exact"/>
              <w:ind w:firstLine="420" w:firstLineChars="200"/>
              <w:jc w:val="left"/>
              <w:rPr>
                <w:rFonts w:ascii="宋体" w:hAnsi="宋体" w:cs="宋体"/>
              </w:rPr>
            </w:pPr>
            <w:r>
              <w:rPr>
                <w:rFonts w:hint="eastAsia" w:ascii="宋体" w:hAnsi="宋体" w:cs="宋体"/>
              </w:rPr>
              <w:t>人民币 (大写):</w:t>
            </w:r>
            <w:r>
              <w:rPr>
                <w:rFonts w:hint="eastAsia" w:ascii="宋体" w:hAnsi="宋体" w:cs="宋体"/>
                <w:u w:val="single"/>
              </w:rPr>
              <w:t xml:space="preserve">              </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2929" w:type="dxa"/>
            <w:vAlign w:val="center"/>
          </w:tcPr>
          <w:p>
            <w:pPr>
              <w:tabs>
                <w:tab w:val="left" w:pos="142"/>
              </w:tabs>
              <w:spacing w:line="500" w:lineRule="exact"/>
              <w:jc w:val="center"/>
              <w:rPr>
                <w:rFonts w:ascii="宋体" w:hAnsi="宋体" w:cs="宋体"/>
              </w:rPr>
            </w:pPr>
            <w:r>
              <w:rPr>
                <w:rFonts w:hint="eastAsia" w:ascii="宋体" w:hAnsi="宋体" w:cs="宋体"/>
              </w:rPr>
              <w:t>合同履约期限</w:t>
            </w:r>
          </w:p>
        </w:tc>
        <w:tc>
          <w:tcPr>
            <w:tcW w:w="6035" w:type="dxa"/>
            <w:vAlign w:val="center"/>
          </w:tcPr>
          <w:p>
            <w:pPr>
              <w:tabs>
                <w:tab w:val="left" w:pos="142"/>
              </w:tabs>
              <w:spacing w:line="500" w:lineRule="exact"/>
              <w:ind w:firstLine="420" w:firstLineChars="2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jc w:val="center"/>
        </w:trPr>
        <w:tc>
          <w:tcPr>
            <w:tcW w:w="2929" w:type="dxa"/>
            <w:vAlign w:val="center"/>
          </w:tcPr>
          <w:p>
            <w:pPr>
              <w:tabs>
                <w:tab w:val="left" w:pos="142"/>
              </w:tabs>
              <w:spacing w:line="500" w:lineRule="exact"/>
              <w:jc w:val="center"/>
              <w:rPr>
                <w:rFonts w:ascii="宋体" w:hAnsi="宋体" w:cs="宋体"/>
                <w:color w:val="000000"/>
              </w:rPr>
            </w:pPr>
            <w:r>
              <w:rPr>
                <w:rFonts w:hint="eastAsia" w:ascii="宋体" w:hAnsi="宋体" w:cs="宋体"/>
                <w:color w:val="000000"/>
              </w:rPr>
              <w:t>质保期</w:t>
            </w:r>
          </w:p>
        </w:tc>
        <w:tc>
          <w:tcPr>
            <w:tcW w:w="6035" w:type="dxa"/>
            <w:vAlign w:val="center"/>
          </w:tcPr>
          <w:p>
            <w:pPr>
              <w:tabs>
                <w:tab w:val="left" w:pos="142"/>
              </w:tabs>
              <w:spacing w:line="500" w:lineRule="exact"/>
              <w:ind w:firstLine="420" w:firstLineChars="200"/>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CellSpacing w:w="0" w:type="dxa"/>
          <w:jc w:val="center"/>
        </w:trPr>
        <w:tc>
          <w:tcPr>
            <w:tcW w:w="2929" w:type="dxa"/>
            <w:vAlign w:val="center"/>
          </w:tcPr>
          <w:p>
            <w:pPr>
              <w:tabs>
                <w:tab w:val="left" w:pos="142"/>
              </w:tabs>
              <w:spacing w:line="500" w:lineRule="exact"/>
              <w:jc w:val="center"/>
              <w:rPr>
                <w:rFonts w:ascii="宋体" w:hAnsi="宋体" w:cs="宋体"/>
                <w:color w:val="000000"/>
              </w:rPr>
            </w:pPr>
            <w:r>
              <w:rPr>
                <w:rFonts w:hint="eastAsia" w:ascii="宋体" w:hAnsi="宋体" w:cs="宋体"/>
                <w:color w:val="000000"/>
              </w:rPr>
              <w:t>项目（技术）负责人</w:t>
            </w:r>
          </w:p>
        </w:tc>
        <w:tc>
          <w:tcPr>
            <w:tcW w:w="6035" w:type="dxa"/>
            <w:vAlign w:val="center"/>
          </w:tcPr>
          <w:p>
            <w:pPr>
              <w:tabs>
                <w:tab w:val="left" w:pos="142"/>
              </w:tabs>
              <w:spacing w:line="500" w:lineRule="exact"/>
              <w:ind w:firstLine="420" w:firstLineChars="200"/>
              <w:jc w:val="left"/>
              <w:rPr>
                <w:rFonts w:ascii="宋体" w:hAnsi="宋体" w:cs="宋体"/>
                <w:color w:val="000000"/>
              </w:rPr>
            </w:pPr>
          </w:p>
        </w:tc>
      </w:tr>
    </w:tbl>
    <w:p>
      <w:pPr>
        <w:jc w:val="center"/>
        <w:rPr>
          <w:rFonts w:ascii="宋体" w:hAnsi="宋体"/>
        </w:rPr>
      </w:pPr>
      <w:r>
        <w:rPr>
          <w:rFonts w:hint="eastAsia" w:ascii="宋体" w:hAnsi="宋体"/>
        </w:rPr>
        <w:t xml:space="preserve">                                                     </w:t>
      </w:r>
    </w:p>
    <w:p>
      <w:pPr>
        <w:jc w:val="center"/>
        <w:rPr>
          <w:rFonts w:ascii="宋体" w:hAnsi="宋体"/>
        </w:rPr>
      </w:pPr>
      <w:r>
        <w:rPr>
          <w:rFonts w:hint="eastAsia" w:ascii="宋体" w:hAnsi="宋体"/>
        </w:rPr>
        <w:t xml:space="preserve">                                                     </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right"/>
        <w:rPr>
          <w:rFonts w:ascii="宋体" w:hAnsi="宋体"/>
        </w:rPr>
      </w:pP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ascii="宋体" w:hAnsi="宋体"/>
        </w:rPr>
        <w:t>：_________________</w:t>
      </w:r>
    </w:p>
    <w:p>
      <w:pPr>
        <w:jc w:val="right"/>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jc w:val="right"/>
        <w:rPr>
          <w:rFonts w:ascii="宋体" w:hAnsi="宋体"/>
          <w:color w:val="0000FF"/>
        </w:rPr>
      </w:pPr>
    </w:p>
    <w:p>
      <w:pPr>
        <w:rPr>
          <w:rFonts w:ascii="宋体" w:hAnsi="宋体"/>
          <w:color w:val="0000FF"/>
        </w:rPr>
      </w:pPr>
    </w:p>
    <w:p>
      <w:pPr>
        <w:rPr>
          <w:rFonts w:ascii="宋体" w:hAnsi="宋体"/>
          <w:color w:val="0000FF"/>
        </w:rPr>
      </w:pPr>
      <w:r>
        <w:rPr>
          <w:rFonts w:hint="eastAsia" w:ascii="宋体" w:hAnsi="宋体"/>
          <w:color w:val="0000FF"/>
        </w:rPr>
        <w:t>注:</w:t>
      </w:r>
    </w:p>
    <w:p>
      <w:pPr>
        <w:numPr>
          <w:ilvl w:val="0"/>
          <w:numId w:val="6"/>
        </w:numPr>
        <w:ind w:firstLine="420" w:firstLineChars="200"/>
        <w:rPr>
          <w:rFonts w:ascii="宋体" w:hAnsi="宋体"/>
          <w:color w:val="0000FF"/>
          <w:kern w:val="0"/>
          <w:szCs w:val="20"/>
        </w:rPr>
      </w:pPr>
      <w:r>
        <w:rPr>
          <w:rFonts w:hint="eastAsia" w:ascii="宋体" w:hAnsi="宋体"/>
          <w:color w:val="0000FF"/>
        </w:rPr>
        <w:t>投标总报</w:t>
      </w:r>
      <w:r>
        <w:rPr>
          <w:rFonts w:hint="eastAsia" w:ascii="宋体" w:hAnsi="宋体"/>
          <w:color w:val="0000FF"/>
          <w:kern w:val="0"/>
          <w:szCs w:val="20"/>
        </w:rPr>
        <w:t>价应包含本项目实施期间的所有含税费用。</w:t>
      </w:r>
    </w:p>
    <w:p>
      <w:pPr>
        <w:numPr>
          <w:ilvl w:val="0"/>
          <w:numId w:val="6"/>
        </w:numPr>
        <w:rPr>
          <w:color w:val="0000FF"/>
          <w:kern w:val="0"/>
        </w:rPr>
      </w:pPr>
      <w:r>
        <w:rPr>
          <w:rFonts w:hint="eastAsia"/>
          <w:color w:val="0000FF"/>
          <w:kern w:val="0"/>
        </w:rPr>
        <w:t>投标人的投标报价不得超过预算金额，否则将导致投标被否决。</w:t>
      </w:r>
    </w:p>
    <w:p>
      <w:pPr>
        <w:numPr>
          <w:ilvl w:val="0"/>
          <w:numId w:val="6"/>
        </w:numPr>
        <w:rPr>
          <w:color w:val="0000FF"/>
          <w:kern w:val="0"/>
        </w:rPr>
      </w:pPr>
      <w:r>
        <w:rPr>
          <w:rFonts w:hint="eastAsia"/>
          <w:color w:val="0000FF"/>
          <w:kern w:val="0"/>
        </w:rPr>
        <w:t>投标文件中开标一览表（报价表）内容与投标文件中响应内容不一致的，以开标一览表（报价表）为准。</w:t>
      </w:r>
    </w:p>
    <w:p>
      <w:pPr>
        <w:rPr>
          <w:rFonts w:ascii="宋体" w:hAnsi="宋体"/>
          <w:color w:val="0000FF"/>
          <w:kern w:val="0"/>
          <w:szCs w:val="20"/>
        </w:rPr>
      </w:pPr>
    </w:p>
    <w:p>
      <w:pPr>
        <w:pStyle w:val="13"/>
        <w:ind w:left="1260" w:hanging="420"/>
        <w:rPr>
          <w:rFonts w:ascii="宋体" w:hAnsi="宋体"/>
          <w:color w:val="0000FF"/>
          <w:kern w:val="0"/>
          <w:szCs w:val="20"/>
        </w:rPr>
      </w:pPr>
    </w:p>
    <w:p>
      <w:pPr>
        <w:rPr>
          <w:rFonts w:ascii="宋体" w:hAnsi="宋体"/>
          <w:color w:val="0000FF"/>
          <w:kern w:val="0"/>
          <w:szCs w:val="20"/>
        </w:rPr>
      </w:pPr>
    </w:p>
    <w:p>
      <w:pPr>
        <w:rPr>
          <w:rFonts w:ascii="宋体" w:hAnsi="宋体"/>
        </w:rPr>
        <w:sectPr>
          <w:headerReference r:id="rId4" w:type="first"/>
          <w:footerReference r:id="rId6" w:type="first"/>
          <w:headerReference r:id="rId3" w:type="default"/>
          <w:footerReference r:id="rId5" w:type="default"/>
          <w:pgSz w:w="11906" w:h="16838"/>
          <w:pgMar w:top="1418" w:right="661" w:bottom="1418" w:left="1365" w:header="851" w:footer="907" w:gutter="0"/>
          <w:cols w:space="720" w:num="1"/>
          <w:docGrid w:type="lines" w:linePitch="290" w:charSpace="0"/>
        </w:sectPr>
      </w:pPr>
    </w:p>
    <w:p>
      <w:pPr>
        <w:pStyle w:val="4"/>
        <w:jc w:val="center"/>
        <w:rPr>
          <w:rFonts w:ascii="宋体" w:hAnsi="宋体"/>
          <w:color w:val="0000FF"/>
          <w:kern w:val="0"/>
          <w:sz w:val="21"/>
          <w:szCs w:val="21"/>
        </w:rPr>
      </w:pPr>
      <w:r>
        <w:rPr>
          <w:rFonts w:hint="eastAsia" w:ascii="宋体" w:hAnsi="宋体"/>
          <w:sz w:val="24"/>
          <w:szCs w:val="24"/>
        </w:rPr>
        <w:t>七、分项报价表</w:t>
      </w:r>
    </w:p>
    <w:p>
      <w:pPr>
        <w:jc w:val="center"/>
        <w:rPr>
          <w:rFonts w:ascii="宋体" w:hAnsi="宋体"/>
          <w:color w:val="0000FF"/>
          <w:kern w:val="0"/>
        </w:rPr>
      </w:pPr>
      <w:r>
        <w:rPr>
          <w:rFonts w:hint="eastAsia" w:ascii="宋体" w:hAnsi="宋体"/>
          <w:color w:val="0000FF"/>
          <w:kern w:val="0"/>
        </w:rPr>
        <w:t>（货物类模板）</w:t>
      </w:r>
    </w:p>
    <w:p>
      <w:pPr>
        <w:rPr>
          <w:rFonts w:ascii="宋体" w:hAnsi="宋体"/>
        </w:rPr>
      </w:pPr>
      <w:r>
        <w:rPr>
          <w:rFonts w:ascii="宋体" w:hAnsi="宋体"/>
        </w:rPr>
        <w:t>货币及单位：人民币/元</w:t>
      </w:r>
    </w:p>
    <w:tbl>
      <w:tblPr>
        <w:tblStyle w:val="3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8"/>
        <w:gridCol w:w="2060"/>
        <w:gridCol w:w="1195"/>
        <w:gridCol w:w="1206"/>
        <w:gridCol w:w="1570"/>
        <w:gridCol w:w="913"/>
        <w:gridCol w:w="1283"/>
        <w:gridCol w:w="1869"/>
        <w:gridCol w:w="964"/>
        <w:gridCol w:w="1081"/>
        <w:gridCol w:w="11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pPr>
              <w:jc w:val="center"/>
              <w:rPr>
                <w:rFonts w:ascii="宋体" w:hAnsi="宋体" w:cs="宋体"/>
              </w:rPr>
            </w:pPr>
            <w:r>
              <w:rPr>
                <w:rFonts w:hint="eastAsia" w:ascii="宋体" w:hAnsi="宋体" w:cs="宋体"/>
              </w:rPr>
              <w:t>序号</w:t>
            </w:r>
          </w:p>
        </w:tc>
        <w:tc>
          <w:tcPr>
            <w:tcW w:w="2060" w:type="dxa"/>
          </w:tcPr>
          <w:p>
            <w:pPr>
              <w:jc w:val="center"/>
              <w:rPr>
                <w:rFonts w:ascii="宋体" w:hAnsi="宋体" w:cs="宋体"/>
              </w:rPr>
            </w:pPr>
            <w:r>
              <w:rPr>
                <w:rFonts w:hint="eastAsia" w:ascii="宋体" w:hAnsi="宋体" w:cs="宋体"/>
              </w:rPr>
              <w:t>货物名称</w:t>
            </w:r>
          </w:p>
        </w:tc>
        <w:tc>
          <w:tcPr>
            <w:tcW w:w="1195" w:type="dxa"/>
          </w:tcPr>
          <w:p>
            <w:pPr>
              <w:jc w:val="center"/>
              <w:rPr>
                <w:rFonts w:ascii="宋体" w:hAnsi="宋体" w:cs="宋体"/>
              </w:rPr>
            </w:pPr>
            <w:r>
              <w:rPr>
                <w:rFonts w:hint="eastAsia" w:ascii="宋体" w:hAnsi="宋体" w:cs="宋体"/>
              </w:rPr>
              <w:t>货物名称</w:t>
            </w:r>
          </w:p>
        </w:tc>
        <w:tc>
          <w:tcPr>
            <w:tcW w:w="1206" w:type="dxa"/>
          </w:tcPr>
          <w:p>
            <w:pPr>
              <w:jc w:val="center"/>
              <w:rPr>
                <w:rFonts w:ascii="宋体" w:hAnsi="宋体" w:cs="宋体"/>
              </w:rPr>
            </w:pPr>
            <w:r>
              <w:rPr>
                <w:rFonts w:hint="eastAsia" w:ascii="宋体" w:hAnsi="宋体" w:cs="宋体"/>
              </w:rPr>
              <w:t>规格型号</w:t>
            </w:r>
          </w:p>
        </w:tc>
        <w:tc>
          <w:tcPr>
            <w:tcW w:w="1570" w:type="dxa"/>
          </w:tcPr>
          <w:p>
            <w:pPr>
              <w:jc w:val="center"/>
              <w:rPr>
                <w:rFonts w:ascii="宋体" w:hAnsi="宋体" w:cs="宋体"/>
              </w:rPr>
            </w:pPr>
            <w:r>
              <w:rPr>
                <w:rFonts w:hint="eastAsia" w:ascii="宋体" w:hAnsi="宋体" w:cs="宋体"/>
              </w:rPr>
              <w:t>技术参数（特征描述）</w:t>
            </w:r>
          </w:p>
        </w:tc>
        <w:tc>
          <w:tcPr>
            <w:tcW w:w="913" w:type="dxa"/>
          </w:tcPr>
          <w:p>
            <w:pPr>
              <w:jc w:val="center"/>
              <w:rPr>
                <w:rFonts w:ascii="宋体" w:hAnsi="宋体" w:cs="宋体"/>
              </w:rPr>
            </w:pPr>
            <w:r>
              <w:rPr>
                <w:rFonts w:hint="eastAsia" w:ascii="宋体" w:hAnsi="宋体" w:cs="宋体"/>
              </w:rPr>
              <w:t>品牌</w:t>
            </w:r>
          </w:p>
        </w:tc>
        <w:tc>
          <w:tcPr>
            <w:tcW w:w="1283" w:type="dxa"/>
          </w:tcPr>
          <w:p>
            <w:pPr>
              <w:jc w:val="center"/>
              <w:rPr>
                <w:rFonts w:ascii="宋体" w:hAnsi="宋体" w:cs="宋体"/>
              </w:rPr>
            </w:pPr>
            <w:r>
              <w:rPr>
                <w:rFonts w:hint="eastAsia" w:ascii="宋体" w:hAnsi="宋体" w:cs="宋体"/>
              </w:rPr>
              <w:t>产地</w:t>
            </w:r>
          </w:p>
        </w:tc>
        <w:tc>
          <w:tcPr>
            <w:tcW w:w="1869" w:type="dxa"/>
          </w:tcPr>
          <w:p>
            <w:pPr>
              <w:jc w:val="center"/>
              <w:rPr>
                <w:rFonts w:ascii="宋体" w:hAnsi="宋体" w:cs="宋体"/>
              </w:rPr>
            </w:pPr>
            <w:r>
              <w:rPr>
                <w:rFonts w:hint="eastAsia" w:ascii="宋体" w:hAnsi="宋体" w:cs="宋体"/>
              </w:rPr>
              <w:t>制造商名称</w:t>
            </w:r>
          </w:p>
        </w:tc>
        <w:tc>
          <w:tcPr>
            <w:tcW w:w="964" w:type="dxa"/>
          </w:tcPr>
          <w:p>
            <w:pPr>
              <w:jc w:val="center"/>
              <w:rPr>
                <w:rFonts w:ascii="宋体" w:hAnsi="宋体" w:cs="宋体"/>
              </w:rPr>
            </w:pPr>
            <w:r>
              <w:rPr>
                <w:rFonts w:hint="eastAsia" w:ascii="宋体" w:hAnsi="宋体" w:cs="宋体"/>
              </w:rPr>
              <w:t>单价</w:t>
            </w:r>
          </w:p>
        </w:tc>
        <w:tc>
          <w:tcPr>
            <w:tcW w:w="1081" w:type="dxa"/>
          </w:tcPr>
          <w:p>
            <w:pPr>
              <w:jc w:val="center"/>
              <w:rPr>
                <w:rFonts w:ascii="宋体" w:hAnsi="宋体" w:cs="宋体"/>
              </w:rPr>
            </w:pPr>
            <w:r>
              <w:rPr>
                <w:rFonts w:hint="eastAsia" w:ascii="宋体" w:hAnsi="宋体" w:cs="宋体"/>
              </w:rPr>
              <w:t>数量</w:t>
            </w:r>
          </w:p>
        </w:tc>
        <w:tc>
          <w:tcPr>
            <w:tcW w:w="1198" w:type="dxa"/>
          </w:tcPr>
          <w:p>
            <w:pPr>
              <w:jc w:val="center"/>
              <w:rPr>
                <w:rFonts w:ascii="宋体" w:hAnsi="宋体" w:cs="宋体"/>
              </w:rPr>
            </w:pPr>
            <w:r>
              <w:rPr>
                <w:rFonts w:hint="eastAsia" w:ascii="宋体" w:hAnsi="宋体" w:cs="宋体"/>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pPr>
              <w:jc w:val="center"/>
              <w:rPr>
                <w:rFonts w:ascii="宋体" w:hAnsi="宋体" w:cs="宋体"/>
              </w:rPr>
            </w:pPr>
            <w:r>
              <w:rPr>
                <w:rFonts w:hint="eastAsia" w:ascii="宋体" w:hAnsi="宋体" w:cs="宋体"/>
              </w:rPr>
              <w:t>1</w:t>
            </w:r>
          </w:p>
        </w:tc>
        <w:tc>
          <w:tcPr>
            <w:tcW w:w="2060" w:type="dxa"/>
          </w:tcPr>
          <w:p>
            <w:pPr>
              <w:jc w:val="center"/>
              <w:rPr>
                <w:rFonts w:ascii="宋体" w:hAnsi="宋体" w:cs="宋体"/>
              </w:rPr>
            </w:pPr>
          </w:p>
        </w:tc>
        <w:tc>
          <w:tcPr>
            <w:tcW w:w="1195" w:type="dxa"/>
          </w:tcPr>
          <w:p>
            <w:pPr>
              <w:jc w:val="center"/>
              <w:rPr>
                <w:rFonts w:ascii="宋体" w:hAnsi="宋体" w:cs="宋体"/>
              </w:rPr>
            </w:pPr>
          </w:p>
        </w:tc>
        <w:tc>
          <w:tcPr>
            <w:tcW w:w="1206" w:type="dxa"/>
          </w:tcPr>
          <w:p>
            <w:pPr>
              <w:jc w:val="center"/>
              <w:rPr>
                <w:rFonts w:ascii="宋体" w:hAnsi="宋体" w:cs="宋体"/>
              </w:rPr>
            </w:pPr>
          </w:p>
        </w:tc>
        <w:tc>
          <w:tcPr>
            <w:tcW w:w="1570" w:type="dxa"/>
          </w:tcPr>
          <w:p>
            <w:pPr>
              <w:jc w:val="center"/>
              <w:rPr>
                <w:rFonts w:ascii="宋体" w:hAnsi="宋体" w:cs="宋体"/>
              </w:rPr>
            </w:pPr>
          </w:p>
        </w:tc>
        <w:tc>
          <w:tcPr>
            <w:tcW w:w="913" w:type="dxa"/>
          </w:tcPr>
          <w:p>
            <w:pPr>
              <w:jc w:val="center"/>
              <w:rPr>
                <w:rFonts w:ascii="宋体" w:hAnsi="宋体" w:cs="宋体"/>
              </w:rPr>
            </w:pPr>
          </w:p>
        </w:tc>
        <w:tc>
          <w:tcPr>
            <w:tcW w:w="1283" w:type="dxa"/>
          </w:tcPr>
          <w:p>
            <w:pPr>
              <w:jc w:val="center"/>
              <w:rPr>
                <w:rFonts w:ascii="宋体" w:hAnsi="宋体" w:cs="宋体"/>
              </w:rPr>
            </w:pPr>
          </w:p>
        </w:tc>
        <w:tc>
          <w:tcPr>
            <w:tcW w:w="1869" w:type="dxa"/>
          </w:tcPr>
          <w:p>
            <w:pPr>
              <w:jc w:val="center"/>
              <w:rPr>
                <w:rFonts w:ascii="宋体" w:hAnsi="宋体" w:cs="宋体"/>
              </w:rPr>
            </w:pPr>
          </w:p>
        </w:tc>
        <w:tc>
          <w:tcPr>
            <w:tcW w:w="964" w:type="dxa"/>
          </w:tcPr>
          <w:p>
            <w:pPr>
              <w:jc w:val="center"/>
              <w:rPr>
                <w:rFonts w:ascii="宋体" w:hAnsi="宋体" w:cs="宋体"/>
              </w:rPr>
            </w:pPr>
          </w:p>
        </w:tc>
        <w:tc>
          <w:tcPr>
            <w:tcW w:w="1081" w:type="dxa"/>
          </w:tcPr>
          <w:p>
            <w:pPr>
              <w:jc w:val="center"/>
              <w:rPr>
                <w:rFonts w:ascii="宋体" w:hAnsi="宋体" w:cs="宋体"/>
              </w:rPr>
            </w:pPr>
          </w:p>
        </w:tc>
        <w:tc>
          <w:tcPr>
            <w:tcW w:w="119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pPr>
              <w:jc w:val="center"/>
              <w:rPr>
                <w:rFonts w:ascii="宋体" w:hAnsi="宋体" w:cs="宋体"/>
              </w:rPr>
            </w:pPr>
            <w:r>
              <w:rPr>
                <w:rFonts w:hint="eastAsia" w:ascii="宋体" w:hAnsi="宋体" w:cs="宋体"/>
              </w:rPr>
              <w:t>2</w:t>
            </w:r>
          </w:p>
        </w:tc>
        <w:tc>
          <w:tcPr>
            <w:tcW w:w="2060" w:type="dxa"/>
          </w:tcPr>
          <w:p>
            <w:pPr>
              <w:jc w:val="center"/>
              <w:rPr>
                <w:rFonts w:ascii="宋体" w:hAnsi="宋体" w:cs="宋体"/>
              </w:rPr>
            </w:pPr>
          </w:p>
        </w:tc>
        <w:tc>
          <w:tcPr>
            <w:tcW w:w="1195" w:type="dxa"/>
          </w:tcPr>
          <w:p>
            <w:pPr>
              <w:jc w:val="center"/>
              <w:rPr>
                <w:rFonts w:ascii="宋体" w:hAnsi="宋体" w:cs="宋体"/>
              </w:rPr>
            </w:pPr>
          </w:p>
        </w:tc>
        <w:tc>
          <w:tcPr>
            <w:tcW w:w="1206" w:type="dxa"/>
          </w:tcPr>
          <w:p>
            <w:pPr>
              <w:jc w:val="center"/>
              <w:rPr>
                <w:rFonts w:ascii="宋体" w:hAnsi="宋体" w:cs="宋体"/>
              </w:rPr>
            </w:pPr>
          </w:p>
        </w:tc>
        <w:tc>
          <w:tcPr>
            <w:tcW w:w="1570" w:type="dxa"/>
          </w:tcPr>
          <w:p>
            <w:pPr>
              <w:jc w:val="center"/>
              <w:rPr>
                <w:rFonts w:ascii="宋体" w:hAnsi="宋体" w:cs="宋体"/>
              </w:rPr>
            </w:pPr>
          </w:p>
        </w:tc>
        <w:tc>
          <w:tcPr>
            <w:tcW w:w="913" w:type="dxa"/>
          </w:tcPr>
          <w:p>
            <w:pPr>
              <w:jc w:val="center"/>
              <w:rPr>
                <w:rFonts w:ascii="宋体" w:hAnsi="宋体" w:cs="宋体"/>
              </w:rPr>
            </w:pPr>
          </w:p>
        </w:tc>
        <w:tc>
          <w:tcPr>
            <w:tcW w:w="1283" w:type="dxa"/>
          </w:tcPr>
          <w:p>
            <w:pPr>
              <w:jc w:val="center"/>
              <w:rPr>
                <w:rFonts w:ascii="宋体" w:hAnsi="宋体" w:cs="宋体"/>
              </w:rPr>
            </w:pPr>
          </w:p>
        </w:tc>
        <w:tc>
          <w:tcPr>
            <w:tcW w:w="1869" w:type="dxa"/>
          </w:tcPr>
          <w:p>
            <w:pPr>
              <w:jc w:val="center"/>
              <w:rPr>
                <w:rFonts w:ascii="宋体" w:hAnsi="宋体" w:cs="宋体"/>
              </w:rPr>
            </w:pPr>
          </w:p>
        </w:tc>
        <w:tc>
          <w:tcPr>
            <w:tcW w:w="964" w:type="dxa"/>
          </w:tcPr>
          <w:p>
            <w:pPr>
              <w:jc w:val="center"/>
              <w:rPr>
                <w:rFonts w:ascii="宋体" w:hAnsi="宋体" w:cs="宋体"/>
              </w:rPr>
            </w:pPr>
          </w:p>
        </w:tc>
        <w:tc>
          <w:tcPr>
            <w:tcW w:w="1081" w:type="dxa"/>
          </w:tcPr>
          <w:p>
            <w:pPr>
              <w:jc w:val="center"/>
              <w:rPr>
                <w:rFonts w:ascii="宋体" w:hAnsi="宋体" w:cs="宋体"/>
              </w:rPr>
            </w:pPr>
          </w:p>
        </w:tc>
        <w:tc>
          <w:tcPr>
            <w:tcW w:w="119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pPr>
              <w:jc w:val="center"/>
              <w:rPr>
                <w:rFonts w:ascii="宋体" w:hAnsi="宋体" w:cs="宋体"/>
              </w:rPr>
            </w:pPr>
            <w:r>
              <w:rPr>
                <w:rFonts w:hint="eastAsia" w:ascii="宋体" w:hAnsi="宋体" w:cs="宋体"/>
              </w:rPr>
              <w:t>3</w:t>
            </w:r>
          </w:p>
        </w:tc>
        <w:tc>
          <w:tcPr>
            <w:tcW w:w="2060" w:type="dxa"/>
          </w:tcPr>
          <w:p>
            <w:pPr>
              <w:jc w:val="center"/>
              <w:rPr>
                <w:rFonts w:ascii="宋体" w:hAnsi="宋体" w:cs="宋体"/>
              </w:rPr>
            </w:pPr>
          </w:p>
        </w:tc>
        <w:tc>
          <w:tcPr>
            <w:tcW w:w="1195" w:type="dxa"/>
          </w:tcPr>
          <w:p>
            <w:pPr>
              <w:jc w:val="center"/>
              <w:rPr>
                <w:rFonts w:ascii="宋体" w:hAnsi="宋体" w:cs="宋体"/>
              </w:rPr>
            </w:pPr>
          </w:p>
        </w:tc>
        <w:tc>
          <w:tcPr>
            <w:tcW w:w="1206" w:type="dxa"/>
          </w:tcPr>
          <w:p>
            <w:pPr>
              <w:jc w:val="center"/>
              <w:rPr>
                <w:rFonts w:ascii="宋体" w:hAnsi="宋体" w:cs="宋体"/>
              </w:rPr>
            </w:pPr>
          </w:p>
        </w:tc>
        <w:tc>
          <w:tcPr>
            <w:tcW w:w="1570" w:type="dxa"/>
          </w:tcPr>
          <w:p>
            <w:pPr>
              <w:jc w:val="center"/>
              <w:rPr>
                <w:rFonts w:ascii="宋体" w:hAnsi="宋体" w:cs="宋体"/>
              </w:rPr>
            </w:pPr>
          </w:p>
        </w:tc>
        <w:tc>
          <w:tcPr>
            <w:tcW w:w="913" w:type="dxa"/>
          </w:tcPr>
          <w:p>
            <w:pPr>
              <w:jc w:val="center"/>
              <w:rPr>
                <w:rFonts w:ascii="宋体" w:hAnsi="宋体" w:cs="宋体"/>
              </w:rPr>
            </w:pPr>
          </w:p>
        </w:tc>
        <w:tc>
          <w:tcPr>
            <w:tcW w:w="1283" w:type="dxa"/>
          </w:tcPr>
          <w:p>
            <w:pPr>
              <w:jc w:val="center"/>
              <w:rPr>
                <w:rFonts w:ascii="宋体" w:hAnsi="宋体" w:cs="宋体"/>
              </w:rPr>
            </w:pPr>
          </w:p>
        </w:tc>
        <w:tc>
          <w:tcPr>
            <w:tcW w:w="1869" w:type="dxa"/>
          </w:tcPr>
          <w:p>
            <w:pPr>
              <w:jc w:val="center"/>
              <w:rPr>
                <w:rFonts w:ascii="宋体" w:hAnsi="宋体" w:cs="宋体"/>
              </w:rPr>
            </w:pPr>
          </w:p>
        </w:tc>
        <w:tc>
          <w:tcPr>
            <w:tcW w:w="964" w:type="dxa"/>
          </w:tcPr>
          <w:p>
            <w:pPr>
              <w:jc w:val="center"/>
              <w:rPr>
                <w:rFonts w:ascii="宋体" w:hAnsi="宋体" w:cs="宋体"/>
              </w:rPr>
            </w:pPr>
          </w:p>
        </w:tc>
        <w:tc>
          <w:tcPr>
            <w:tcW w:w="1081" w:type="dxa"/>
          </w:tcPr>
          <w:p>
            <w:pPr>
              <w:jc w:val="center"/>
              <w:rPr>
                <w:rFonts w:ascii="宋体" w:hAnsi="宋体" w:cs="宋体"/>
              </w:rPr>
            </w:pPr>
          </w:p>
        </w:tc>
        <w:tc>
          <w:tcPr>
            <w:tcW w:w="119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pPr>
              <w:jc w:val="center"/>
              <w:rPr>
                <w:rFonts w:ascii="宋体" w:hAnsi="宋体" w:cs="宋体"/>
              </w:rPr>
            </w:pPr>
            <w:r>
              <w:rPr>
                <w:rFonts w:hint="eastAsia" w:ascii="宋体" w:hAnsi="宋体" w:cs="宋体"/>
              </w:rPr>
              <w:t>4</w:t>
            </w:r>
          </w:p>
        </w:tc>
        <w:tc>
          <w:tcPr>
            <w:tcW w:w="2060" w:type="dxa"/>
          </w:tcPr>
          <w:p>
            <w:pPr>
              <w:jc w:val="center"/>
              <w:rPr>
                <w:rFonts w:ascii="宋体" w:hAnsi="宋体" w:cs="宋体"/>
              </w:rPr>
            </w:pPr>
          </w:p>
        </w:tc>
        <w:tc>
          <w:tcPr>
            <w:tcW w:w="1195" w:type="dxa"/>
          </w:tcPr>
          <w:p>
            <w:pPr>
              <w:jc w:val="center"/>
              <w:rPr>
                <w:rFonts w:ascii="宋体" w:hAnsi="宋体" w:cs="宋体"/>
              </w:rPr>
            </w:pPr>
          </w:p>
        </w:tc>
        <w:tc>
          <w:tcPr>
            <w:tcW w:w="1206" w:type="dxa"/>
          </w:tcPr>
          <w:p>
            <w:pPr>
              <w:jc w:val="center"/>
              <w:rPr>
                <w:rFonts w:ascii="宋体" w:hAnsi="宋体" w:cs="宋体"/>
              </w:rPr>
            </w:pPr>
          </w:p>
        </w:tc>
        <w:tc>
          <w:tcPr>
            <w:tcW w:w="1570" w:type="dxa"/>
          </w:tcPr>
          <w:p>
            <w:pPr>
              <w:jc w:val="center"/>
              <w:rPr>
                <w:rFonts w:ascii="宋体" w:hAnsi="宋体" w:cs="宋体"/>
              </w:rPr>
            </w:pPr>
          </w:p>
        </w:tc>
        <w:tc>
          <w:tcPr>
            <w:tcW w:w="913" w:type="dxa"/>
          </w:tcPr>
          <w:p>
            <w:pPr>
              <w:jc w:val="center"/>
              <w:rPr>
                <w:rFonts w:ascii="宋体" w:hAnsi="宋体" w:cs="宋体"/>
              </w:rPr>
            </w:pPr>
          </w:p>
        </w:tc>
        <w:tc>
          <w:tcPr>
            <w:tcW w:w="1283" w:type="dxa"/>
          </w:tcPr>
          <w:p>
            <w:pPr>
              <w:jc w:val="center"/>
              <w:rPr>
                <w:rFonts w:ascii="宋体" w:hAnsi="宋体" w:cs="宋体"/>
              </w:rPr>
            </w:pPr>
          </w:p>
        </w:tc>
        <w:tc>
          <w:tcPr>
            <w:tcW w:w="1869" w:type="dxa"/>
          </w:tcPr>
          <w:p>
            <w:pPr>
              <w:jc w:val="center"/>
              <w:rPr>
                <w:rFonts w:ascii="宋体" w:hAnsi="宋体" w:cs="宋体"/>
              </w:rPr>
            </w:pPr>
          </w:p>
        </w:tc>
        <w:tc>
          <w:tcPr>
            <w:tcW w:w="964" w:type="dxa"/>
          </w:tcPr>
          <w:p>
            <w:pPr>
              <w:jc w:val="center"/>
              <w:rPr>
                <w:rFonts w:ascii="宋体" w:hAnsi="宋体" w:cs="宋体"/>
              </w:rPr>
            </w:pPr>
          </w:p>
        </w:tc>
        <w:tc>
          <w:tcPr>
            <w:tcW w:w="1081" w:type="dxa"/>
          </w:tcPr>
          <w:p>
            <w:pPr>
              <w:jc w:val="center"/>
              <w:rPr>
                <w:rFonts w:ascii="宋体" w:hAnsi="宋体" w:cs="宋体"/>
              </w:rPr>
            </w:pPr>
          </w:p>
        </w:tc>
        <w:tc>
          <w:tcPr>
            <w:tcW w:w="119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pPr>
              <w:jc w:val="center"/>
              <w:rPr>
                <w:rFonts w:ascii="宋体" w:hAnsi="宋体" w:cs="宋体"/>
              </w:rPr>
            </w:pPr>
            <w:r>
              <w:rPr>
                <w:rFonts w:hint="eastAsia" w:ascii="宋体" w:hAnsi="宋体" w:cs="宋体"/>
              </w:rPr>
              <w:t>...</w:t>
            </w:r>
          </w:p>
        </w:tc>
        <w:tc>
          <w:tcPr>
            <w:tcW w:w="2060" w:type="dxa"/>
          </w:tcPr>
          <w:p>
            <w:pPr>
              <w:jc w:val="center"/>
              <w:rPr>
                <w:rFonts w:ascii="宋体" w:hAnsi="宋体" w:cs="宋体"/>
              </w:rPr>
            </w:pPr>
          </w:p>
        </w:tc>
        <w:tc>
          <w:tcPr>
            <w:tcW w:w="1195" w:type="dxa"/>
          </w:tcPr>
          <w:p>
            <w:pPr>
              <w:jc w:val="center"/>
              <w:rPr>
                <w:rFonts w:ascii="宋体" w:hAnsi="宋体" w:cs="宋体"/>
              </w:rPr>
            </w:pPr>
          </w:p>
        </w:tc>
        <w:tc>
          <w:tcPr>
            <w:tcW w:w="1206" w:type="dxa"/>
          </w:tcPr>
          <w:p>
            <w:pPr>
              <w:jc w:val="center"/>
              <w:rPr>
                <w:rFonts w:ascii="宋体" w:hAnsi="宋体" w:cs="宋体"/>
              </w:rPr>
            </w:pPr>
          </w:p>
        </w:tc>
        <w:tc>
          <w:tcPr>
            <w:tcW w:w="1570" w:type="dxa"/>
          </w:tcPr>
          <w:p>
            <w:pPr>
              <w:jc w:val="center"/>
              <w:rPr>
                <w:rFonts w:ascii="宋体" w:hAnsi="宋体" w:cs="宋体"/>
              </w:rPr>
            </w:pPr>
          </w:p>
        </w:tc>
        <w:tc>
          <w:tcPr>
            <w:tcW w:w="913" w:type="dxa"/>
          </w:tcPr>
          <w:p>
            <w:pPr>
              <w:jc w:val="center"/>
              <w:rPr>
                <w:rFonts w:ascii="宋体" w:hAnsi="宋体" w:cs="宋体"/>
              </w:rPr>
            </w:pPr>
          </w:p>
        </w:tc>
        <w:tc>
          <w:tcPr>
            <w:tcW w:w="1283" w:type="dxa"/>
          </w:tcPr>
          <w:p>
            <w:pPr>
              <w:jc w:val="center"/>
              <w:rPr>
                <w:rFonts w:ascii="宋体" w:hAnsi="宋体" w:cs="宋体"/>
              </w:rPr>
            </w:pPr>
          </w:p>
        </w:tc>
        <w:tc>
          <w:tcPr>
            <w:tcW w:w="1869" w:type="dxa"/>
          </w:tcPr>
          <w:p>
            <w:pPr>
              <w:jc w:val="center"/>
              <w:rPr>
                <w:rFonts w:ascii="宋体" w:hAnsi="宋体" w:cs="宋体"/>
              </w:rPr>
            </w:pPr>
          </w:p>
        </w:tc>
        <w:tc>
          <w:tcPr>
            <w:tcW w:w="964" w:type="dxa"/>
          </w:tcPr>
          <w:p>
            <w:pPr>
              <w:jc w:val="center"/>
              <w:rPr>
                <w:rFonts w:ascii="宋体" w:hAnsi="宋体" w:cs="宋体"/>
              </w:rPr>
            </w:pPr>
          </w:p>
        </w:tc>
        <w:tc>
          <w:tcPr>
            <w:tcW w:w="1081" w:type="dxa"/>
          </w:tcPr>
          <w:p>
            <w:pPr>
              <w:jc w:val="center"/>
              <w:rPr>
                <w:rFonts w:ascii="宋体" w:hAnsi="宋体" w:cs="宋体"/>
              </w:rPr>
            </w:pPr>
          </w:p>
        </w:tc>
        <w:tc>
          <w:tcPr>
            <w:tcW w:w="1198" w:type="dxa"/>
          </w:tcPr>
          <w:p>
            <w:pPr>
              <w:jc w:val="center"/>
              <w:rPr>
                <w:rFonts w:ascii="宋体" w:hAnsi="宋体" w:cs="宋体"/>
              </w:rPr>
            </w:pPr>
          </w:p>
        </w:tc>
      </w:tr>
    </w:tbl>
    <w:p>
      <w:pPr>
        <w:widowControl/>
        <w:snapToGrid w:val="0"/>
        <w:rPr>
          <w:rFonts w:ascii="宋体" w:hAnsi="宋体"/>
          <w:color w:val="0000FF"/>
          <w:kern w:val="0"/>
        </w:rPr>
      </w:pPr>
    </w:p>
    <w:p>
      <w:pPr>
        <w:widowControl/>
        <w:snapToGrid w:val="0"/>
        <w:jc w:val="center"/>
        <w:rPr>
          <w:rFonts w:ascii="宋体" w:hAnsi="宋体"/>
          <w:color w:val="0000FF"/>
          <w:kern w:val="0"/>
        </w:rPr>
      </w:pPr>
    </w:p>
    <w:p>
      <w:pPr>
        <w:widowControl/>
        <w:snapToGrid w:val="0"/>
        <w:jc w:val="center"/>
        <w:rPr>
          <w:rFonts w:ascii="宋体" w:hAnsi="宋体"/>
          <w:color w:val="0000FF"/>
          <w:kern w:val="0"/>
        </w:rPr>
      </w:pPr>
      <w:r>
        <w:rPr>
          <w:rFonts w:hint="eastAsia" w:ascii="宋体" w:hAnsi="宋体"/>
          <w:color w:val="0000FF"/>
          <w:kern w:val="0"/>
        </w:rPr>
        <w:t>（服务类模板）</w:t>
      </w:r>
    </w:p>
    <w:p>
      <w:pPr>
        <w:rPr>
          <w:rFonts w:ascii="宋体" w:hAnsi="宋体"/>
        </w:rPr>
      </w:pPr>
      <w:r>
        <w:rPr>
          <w:rFonts w:ascii="宋体" w:hAnsi="宋体"/>
        </w:rPr>
        <w:t>货币及单位：人民币/元</w:t>
      </w:r>
    </w:p>
    <w:tbl>
      <w:tblPr>
        <w:tblStyle w:val="3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8"/>
        <w:gridCol w:w="2204"/>
        <w:gridCol w:w="1322"/>
        <w:gridCol w:w="1518"/>
        <w:gridCol w:w="1345"/>
        <w:gridCol w:w="1322"/>
        <w:gridCol w:w="1248"/>
        <w:gridCol w:w="1419"/>
        <w:gridCol w:w="1445"/>
        <w:gridCol w:w="14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jc w:val="center"/>
              <w:rPr>
                <w:rFonts w:ascii="宋体" w:hAnsi="宋体" w:cs="宋体"/>
              </w:rPr>
            </w:pPr>
            <w:r>
              <w:rPr>
                <w:rFonts w:hint="eastAsia" w:ascii="宋体" w:hAnsi="宋体" w:cs="宋体"/>
              </w:rPr>
              <w:t>序号</w:t>
            </w:r>
          </w:p>
        </w:tc>
        <w:tc>
          <w:tcPr>
            <w:tcW w:w="2204" w:type="dxa"/>
          </w:tcPr>
          <w:p>
            <w:pPr>
              <w:jc w:val="center"/>
              <w:rPr>
                <w:rFonts w:ascii="宋体" w:hAnsi="宋体" w:cs="宋体"/>
              </w:rPr>
            </w:pPr>
            <w:r>
              <w:rPr>
                <w:rFonts w:hint="eastAsia" w:ascii="宋体" w:hAnsi="宋体" w:cs="宋体"/>
              </w:rPr>
              <w:t>服务名称</w:t>
            </w:r>
          </w:p>
        </w:tc>
        <w:tc>
          <w:tcPr>
            <w:tcW w:w="1322" w:type="dxa"/>
          </w:tcPr>
          <w:p>
            <w:pPr>
              <w:jc w:val="center"/>
              <w:rPr>
                <w:rFonts w:ascii="宋体" w:hAnsi="宋体" w:cs="宋体"/>
              </w:rPr>
            </w:pPr>
            <w:r>
              <w:rPr>
                <w:rFonts w:hint="eastAsia" w:ascii="宋体" w:hAnsi="宋体" w:cs="宋体"/>
              </w:rPr>
              <w:t>服务名称</w:t>
            </w:r>
          </w:p>
        </w:tc>
        <w:tc>
          <w:tcPr>
            <w:tcW w:w="1518" w:type="dxa"/>
          </w:tcPr>
          <w:p>
            <w:pPr>
              <w:jc w:val="center"/>
              <w:rPr>
                <w:rFonts w:ascii="宋体" w:hAnsi="宋体" w:cs="宋体"/>
              </w:rPr>
            </w:pPr>
            <w:r>
              <w:rPr>
                <w:rFonts w:hint="eastAsia" w:ascii="宋体" w:hAnsi="宋体" w:cs="宋体"/>
              </w:rPr>
              <w:t>服务范围</w:t>
            </w:r>
          </w:p>
        </w:tc>
        <w:tc>
          <w:tcPr>
            <w:tcW w:w="1345" w:type="dxa"/>
          </w:tcPr>
          <w:p>
            <w:pPr>
              <w:jc w:val="center"/>
              <w:rPr>
                <w:rFonts w:ascii="宋体" w:hAnsi="宋体" w:cs="宋体"/>
              </w:rPr>
            </w:pPr>
            <w:r>
              <w:rPr>
                <w:rFonts w:hint="eastAsia" w:ascii="宋体" w:hAnsi="宋体" w:cs="宋体"/>
              </w:rPr>
              <w:t>服务要求</w:t>
            </w:r>
          </w:p>
        </w:tc>
        <w:tc>
          <w:tcPr>
            <w:tcW w:w="1322" w:type="dxa"/>
          </w:tcPr>
          <w:p>
            <w:pPr>
              <w:jc w:val="center"/>
              <w:rPr>
                <w:rFonts w:ascii="宋体" w:hAnsi="宋体" w:cs="宋体"/>
              </w:rPr>
            </w:pPr>
            <w:r>
              <w:rPr>
                <w:rFonts w:hint="eastAsia" w:ascii="宋体" w:hAnsi="宋体" w:cs="宋体"/>
              </w:rPr>
              <w:t>服务期限</w:t>
            </w:r>
          </w:p>
        </w:tc>
        <w:tc>
          <w:tcPr>
            <w:tcW w:w="1248" w:type="dxa"/>
          </w:tcPr>
          <w:p>
            <w:pPr>
              <w:jc w:val="center"/>
              <w:rPr>
                <w:rFonts w:ascii="宋体" w:hAnsi="宋体" w:cs="宋体"/>
              </w:rPr>
            </w:pPr>
            <w:r>
              <w:rPr>
                <w:rFonts w:hint="eastAsia" w:ascii="宋体" w:hAnsi="宋体" w:cs="宋体"/>
              </w:rPr>
              <w:t>服务标准</w:t>
            </w:r>
          </w:p>
        </w:tc>
        <w:tc>
          <w:tcPr>
            <w:tcW w:w="1419" w:type="dxa"/>
          </w:tcPr>
          <w:p>
            <w:pPr>
              <w:jc w:val="center"/>
              <w:rPr>
                <w:rFonts w:ascii="宋体" w:hAnsi="宋体" w:cs="宋体"/>
              </w:rPr>
            </w:pPr>
            <w:r>
              <w:rPr>
                <w:rFonts w:hint="eastAsia" w:ascii="宋体" w:hAnsi="宋体" w:cs="宋体"/>
              </w:rPr>
              <w:t>单价</w:t>
            </w:r>
          </w:p>
        </w:tc>
        <w:tc>
          <w:tcPr>
            <w:tcW w:w="1445" w:type="dxa"/>
          </w:tcPr>
          <w:p>
            <w:pPr>
              <w:jc w:val="center"/>
              <w:rPr>
                <w:rFonts w:ascii="宋体" w:hAnsi="宋体" w:cs="宋体"/>
              </w:rPr>
            </w:pPr>
            <w:r>
              <w:rPr>
                <w:rFonts w:hint="eastAsia" w:ascii="宋体" w:hAnsi="宋体" w:cs="宋体"/>
              </w:rPr>
              <w:t>数量</w:t>
            </w:r>
          </w:p>
        </w:tc>
        <w:tc>
          <w:tcPr>
            <w:tcW w:w="1468" w:type="dxa"/>
          </w:tcPr>
          <w:p>
            <w:pPr>
              <w:jc w:val="center"/>
              <w:rPr>
                <w:rFonts w:ascii="宋体" w:hAnsi="宋体" w:cs="宋体"/>
              </w:rPr>
            </w:pPr>
            <w:r>
              <w:rPr>
                <w:rFonts w:hint="eastAsia" w:ascii="宋体" w:hAnsi="宋体" w:cs="宋体"/>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jc w:val="center"/>
              <w:rPr>
                <w:rFonts w:ascii="宋体" w:hAnsi="宋体" w:cs="宋体"/>
              </w:rPr>
            </w:pPr>
            <w:r>
              <w:rPr>
                <w:rFonts w:hint="eastAsia" w:ascii="宋体" w:hAnsi="宋体" w:cs="宋体"/>
              </w:rPr>
              <w:t>1</w:t>
            </w:r>
          </w:p>
        </w:tc>
        <w:tc>
          <w:tcPr>
            <w:tcW w:w="2204" w:type="dxa"/>
          </w:tcPr>
          <w:p>
            <w:pPr>
              <w:jc w:val="center"/>
              <w:rPr>
                <w:rFonts w:ascii="宋体" w:hAnsi="宋体" w:cs="宋体"/>
              </w:rPr>
            </w:pPr>
          </w:p>
        </w:tc>
        <w:tc>
          <w:tcPr>
            <w:tcW w:w="1322" w:type="dxa"/>
          </w:tcPr>
          <w:p>
            <w:pPr>
              <w:jc w:val="center"/>
              <w:rPr>
                <w:rFonts w:ascii="宋体" w:hAnsi="宋体" w:cs="宋体"/>
              </w:rPr>
            </w:pPr>
          </w:p>
        </w:tc>
        <w:tc>
          <w:tcPr>
            <w:tcW w:w="1518" w:type="dxa"/>
          </w:tcPr>
          <w:p>
            <w:pPr>
              <w:jc w:val="center"/>
              <w:rPr>
                <w:rFonts w:ascii="宋体" w:hAnsi="宋体" w:cs="宋体"/>
              </w:rPr>
            </w:pPr>
          </w:p>
        </w:tc>
        <w:tc>
          <w:tcPr>
            <w:tcW w:w="1345" w:type="dxa"/>
          </w:tcPr>
          <w:p>
            <w:pPr>
              <w:jc w:val="center"/>
              <w:rPr>
                <w:rFonts w:ascii="宋体" w:hAnsi="宋体" w:cs="宋体"/>
              </w:rPr>
            </w:pPr>
          </w:p>
        </w:tc>
        <w:tc>
          <w:tcPr>
            <w:tcW w:w="1322" w:type="dxa"/>
          </w:tcPr>
          <w:p>
            <w:pPr>
              <w:jc w:val="center"/>
              <w:rPr>
                <w:rFonts w:ascii="宋体" w:hAnsi="宋体" w:cs="宋体"/>
              </w:rPr>
            </w:pPr>
          </w:p>
        </w:tc>
        <w:tc>
          <w:tcPr>
            <w:tcW w:w="1248" w:type="dxa"/>
          </w:tcPr>
          <w:p>
            <w:pPr>
              <w:jc w:val="center"/>
              <w:rPr>
                <w:rFonts w:ascii="宋体" w:hAnsi="宋体" w:cs="宋体"/>
              </w:rPr>
            </w:pPr>
          </w:p>
        </w:tc>
        <w:tc>
          <w:tcPr>
            <w:tcW w:w="1419" w:type="dxa"/>
          </w:tcPr>
          <w:p>
            <w:pPr>
              <w:jc w:val="center"/>
              <w:rPr>
                <w:rFonts w:ascii="宋体" w:hAnsi="宋体" w:cs="宋体"/>
              </w:rPr>
            </w:pPr>
          </w:p>
        </w:tc>
        <w:tc>
          <w:tcPr>
            <w:tcW w:w="1445" w:type="dxa"/>
          </w:tcPr>
          <w:p>
            <w:pPr>
              <w:jc w:val="center"/>
              <w:rPr>
                <w:rFonts w:ascii="宋体" w:hAnsi="宋体" w:cs="宋体"/>
              </w:rPr>
            </w:pPr>
          </w:p>
        </w:tc>
        <w:tc>
          <w:tcPr>
            <w:tcW w:w="146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jc w:val="center"/>
              <w:rPr>
                <w:rFonts w:ascii="宋体" w:hAnsi="宋体" w:cs="宋体"/>
              </w:rPr>
            </w:pPr>
            <w:r>
              <w:rPr>
                <w:rFonts w:hint="eastAsia" w:ascii="宋体" w:hAnsi="宋体" w:cs="宋体"/>
              </w:rPr>
              <w:t>2</w:t>
            </w:r>
          </w:p>
        </w:tc>
        <w:tc>
          <w:tcPr>
            <w:tcW w:w="2204" w:type="dxa"/>
          </w:tcPr>
          <w:p>
            <w:pPr>
              <w:jc w:val="center"/>
              <w:rPr>
                <w:rFonts w:ascii="宋体" w:hAnsi="宋体" w:cs="宋体"/>
              </w:rPr>
            </w:pPr>
          </w:p>
        </w:tc>
        <w:tc>
          <w:tcPr>
            <w:tcW w:w="1322" w:type="dxa"/>
          </w:tcPr>
          <w:p>
            <w:pPr>
              <w:jc w:val="center"/>
              <w:rPr>
                <w:rFonts w:ascii="宋体" w:hAnsi="宋体" w:cs="宋体"/>
              </w:rPr>
            </w:pPr>
          </w:p>
        </w:tc>
        <w:tc>
          <w:tcPr>
            <w:tcW w:w="1518" w:type="dxa"/>
          </w:tcPr>
          <w:p>
            <w:pPr>
              <w:jc w:val="center"/>
              <w:rPr>
                <w:rFonts w:ascii="宋体" w:hAnsi="宋体" w:cs="宋体"/>
              </w:rPr>
            </w:pPr>
          </w:p>
        </w:tc>
        <w:tc>
          <w:tcPr>
            <w:tcW w:w="1345" w:type="dxa"/>
          </w:tcPr>
          <w:p>
            <w:pPr>
              <w:jc w:val="center"/>
              <w:rPr>
                <w:rFonts w:ascii="宋体" w:hAnsi="宋体" w:cs="宋体"/>
              </w:rPr>
            </w:pPr>
          </w:p>
        </w:tc>
        <w:tc>
          <w:tcPr>
            <w:tcW w:w="1322" w:type="dxa"/>
          </w:tcPr>
          <w:p>
            <w:pPr>
              <w:jc w:val="center"/>
              <w:rPr>
                <w:rFonts w:ascii="宋体" w:hAnsi="宋体" w:cs="宋体"/>
              </w:rPr>
            </w:pPr>
          </w:p>
        </w:tc>
        <w:tc>
          <w:tcPr>
            <w:tcW w:w="1248" w:type="dxa"/>
          </w:tcPr>
          <w:p>
            <w:pPr>
              <w:jc w:val="center"/>
              <w:rPr>
                <w:rFonts w:ascii="宋体" w:hAnsi="宋体" w:cs="宋体"/>
              </w:rPr>
            </w:pPr>
          </w:p>
        </w:tc>
        <w:tc>
          <w:tcPr>
            <w:tcW w:w="1419" w:type="dxa"/>
          </w:tcPr>
          <w:p>
            <w:pPr>
              <w:jc w:val="center"/>
              <w:rPr>
                <w:rFonts w:ascii="宋体" w:hAnsi="宋体" w:cs="宋体"/>
              </w:rPr>
            </w:pPr>
          </w:p>
        </w:tc>
        <w:tc>
          <w:tcPr>
            <w:tcW w:w="1445" w:type="dxa"/>
          </w:tcPr>
          <w:p>
            <w:pPr>
              <w:jc w:val="center"/>
              <w:rPr>
                <w:rFonts w:ascii="宋体" w:hAnsi="宋体" w:cs="宋体"/>
              </w:rPr>
            </w:pPr>
          </w:p>
        </w:tc>
        <w:tc>
          <w:tcPr>
            <w:tcW w:w="146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jc w:val="center"/>
              <w:rPr>
                <w:rFonts w:ascii="宋体" w:hAnsi="宋体" w:cs="宋体"/>
              </w:rPr>
            </w:pPr>
            <w:r>
              <w:rPr>
                <w:rFonts w:hint="eastAsia" w:ascii="宋体" w:hAnsi="宋体" w:cs="宋体"/>
              </w:rPr>
              <w:t>3</w:t>
            </w:r>
          </w:p>
        </w:tc>
        <w:tc>
          <w:tcPr>
            <w:tcW w:w="2204" w:type="dxa"/>
          </w:tcPr>
          <w:p>
            <w:pPr>
              <w:jc w:val="center"/>
              <w:rPr>
                <w:rFonts w:ascii="宋体" w:hAnsi="宋体" w:cs="宋体"/>
              </w:rPr>
            </w:pPr>
          </w:p>
        </w:tc>
        <w:tc>
          <w:tcPr>
            <w:tcW w:w="1322" w:type="dxa"/>
          </w:tcPr>
          <w:p>
            <w:pPr>
              <w:jc w:val="center"/>
              <w:rPr>
                <w:rFonts w:ascii="宋体" w:hAnsi="宋体" w:cs="宋体"/>
              </w:rPr>
            </w:pPr>
          </w:p>
        </w:tc>
        <w:tc>
          <w:tcPr>
            <w:tcW w:w="1518" w:type="dxa"/>
          </w:tcPr>
          <w:p>
            <w:pPr>
              <w:jc w:val="center"/>
              <w:rPr>
                <w:rFonts w:ascii="宋体" w:hAnsi="宋体" w:cs="宋体"/>
              </w:rPr>
            </w:pPr>
          </w:p>
        </w:tc>
        <w:tc>
          <w:tcPr>
            <w:tcW w:w="1345" w:type="dxa"/>
          </w:tcPr>
          <w:p>
            <w:pPr>
              <w:jc w:val="center"/>
              <w:rPr>
                <w:rFonts w:ascii="宋体" w:hAnsi="宋体" w:cs="宋体"/>
              </w:rPr>
            </w:pPr>
          </w:p>
        </w:tc>
        <w:tc>
          <w:tcPr>
            <w:tcW w:w="1322" w:type="dxa"/>
          </w:tcPr>
          <w:p>
            <w:pPr>
              <w:jc w:val="center"/>
              <w:rPr>
                <w:rFonts w:ascii="宋体" w:hAnsi="宋体" w:cs="宋体"/>
              </w:rPr>
            </w:pPr>
          </w:p>
        </w:tc>
        <w:tc>
          <w:tcPr>
            <w:tcW w:w="1248" w:type="dxa"/>
          </w:tcPr>
          <w:p>
            <w:pPr>
              <w:jc w:val="center"/>
              <w:rPr>
                <w:rFonts w:ascii="宋体" w:hAnsi="宋体" w:cs="宋体"/>
              </w:rPr>
            </w:pPr>
          </w:p>
        </w:tc>
        <w:tc>
          <w:tcPr>
            <w:tcW w:w="1419" w:type="dxa"/>
          </w:tcPr>
          <w:p>
            <w:pPr>
              <w:jc w:val="center"/>
              <w:rPr>
                <w:rFonts w:ascii="宋体" w:hAnsi="宋体" w:cs="宋体"/>
              </w:rPr>
            </w:pPr>
          </w:p>
        </w:tc>
        <w:tc>
          <w:tcPr>
            <w:tcW w:w="1445" w:type="dxa"/>
          </w:tcPr>
          <w:p>
            <w:pPr>
              <w:jc w:val="center"/>
              <w:rPr>
                <w:rFonts w:ascii="宋体" w:hAnsi="宋体" w:cs="宋体"/>
              </w:rPr>
            </w:pPr>
          </w:p>
        </w:tc>
        <w:tc>
          <w:tcPr>
            <w:tcW w:w="146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jc w:val="center"/>
              <w:rPr>
                <w:rFonts w:ascii="宋体" w:hAnsi="宋体" w:cs="宋体"/>
              </w:rPr>
            </w:pPr>
            <w:r>
              <w:rPr>
                <w:rFonts w:hint="eastAsia" w:ascii="宋体" w:hAnsi="宋体" w:cs="宋体"/>
              </w:rPr>
              <w:t>4</w:t>
            </w:r>
          </w:p>
        </w:tc>
        <w:tc>
          <w:tcPr>
            <w:tcW w:w="2204" w:type="dxa"/>
          </w:tcPr>
          <w:p>
            <w:pPr>
              <w:jc w:val="center"/>
              <w:rPr>
                <w:rFonts w:ascii="宋体" w:hAnsi="宋体" w:cs="宋体"/>
              </w:rPr>
            </w:pPr>
          </w:p>
        </w:tc>
        <w:tc>
          <w:tcPr>
            <w:tcW w:w="1322" w:type="dxa"/>
          </w:tcPr>
          <w:p>
            <w:pPr>
              <w:jc w:val="center"/>
              <w:rPr>
                <w:rFonts w:ascii="宋体" w:hAnsi="宋体" w:cs="宋体"/>
              </w:rPr>
            </w:pPr>
          </w:p>
        </w:tc>
        <w:tc>
          <w:tcPr>
            <w:tcW w:w="1518" w:type="dxa"/>
          </w:tcPr>
          <w:p>
            <w:pPr>
              <w:jc w:val="center"/>
              <w:rPr>
                <w:rFonts w:ascii="宋体" w:hAnsi="宋体" w:cs="宋体"/>
              </w:rPr>
            </w:pPr>
          </w:p>
        </w:tc>
        <w:tc>
          <w:tcPr>
            <w:tcW w:w="1345" w:type="dxa"/>
          </w:tcPr>
          <w:p>
            <w:pPr>
              <w:jc w:val="center"/>
              <w:rPr>
                <w:rFonts w:ascii="宋体" w:hAnsi="宋体" w:cs="宋体"/>
              </w:rPr>
            </w:pPr>
          </w:p>
        </w:tc>
        <w:tc>
          <w:tcPr>
            <w:tcW w:w="1322" w:type="dxa"/>
          </w:tcPr>
          <w:p>
            <w:pPr>
              <w:jc w:val="center"/>
              <w:rPr>
                <w:rFonts w:ascii="宋体" w:hAnsi="宋体" w:cs="宋体"/>
              </w:rPr>
            </w:pPr>
          </w:p>
        </w:tc>
        <w:tc>
          <w:tcPr>
            <w:tcW w:w="1248" w:type="dxa"/>
          </w:tcPr>
          <w:p>
            <w:pPr>
              <w:jc w:val="center"/>
              <w:rPr>
                <w:rFonts w:ascii="宋体" w:hAnsi="宋体" w:cs="宋体"/>
              </w:rPr>
            </w:pPr>
          </w:p>
        </w:tc>
        <w:tc>
          <w:tcPr>
            <w:tcW w:w="1419" w:type="dxa"/>
          </w:tcPr>
          <w:p>
            <w:pPr>
              <w:jc w:val="center"/>
              <w:rPr>
                <w:rFonts w:ascii="宋体" w:hAnsi="宋体" w:cs="宋体"/>
              </w:rPr>
            </w:pPr>
          </w:p>
        </w:tc>
        <w:tc>
          <w:tcPr>
            <w:tcW w:w="1445" w:type="dxa"/>
          </w:tcPr>
          <w:p>
            <w:pPr>
              <w:jc w:val="center"/>
              <w:rPr>
                <w:rFonts w:ascii="宋体" w:hAnsi="宋体" w:cs="宋体"/>
              </w:rPr>
            </w:pPr>
          </w:p>
        </w:tc>
        <w:tc>
          <w:tcPr>
            <w:tcW w:w="1468" w:type="dxa"/>
          </w:tcPr>
          <w:p>
            <w:pPr>
              <w:jc w:val="center"/>
              <w:rPr>
                <w:rFonts w:ascii="宋体" w:hAnsi="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jc w:val="center"/>
              <w:rPr>
                <w:rFonts w:ascii="宋体" w:hAnsi="宋体" w:cs="宋体"/>
              </w:rPr>
            </w:pPr>
            <w:r>
              <w:rPr>
                <w:rFonts w:hint="eastAsia" w:ascii="宋体" w:hAnsi="宋体" w:cs="宋体"/>
              </w:rPr>
              <w:t>...</w:t>
            </w:r>
          </w:p>
        </w:tc>
        <w:tc>
          <w:tcPr>
            <w:tcW w:w="2204" w:type="dxa"/>
          </w:tcPr>
          <w:p>
            <w:pPr>
              <w:jc w:val="center"/>
              <w:rPr>
                <w:rFonts w:ascii="宋体" w:hAnsi="宋体" w:cs="宋体"/>
              </w:rPr>
            </w:pPr>
          </w:p>
        </w:tc>
        <w:tc>
          <w:tcPr>
            <w:tcW w:w="1322" w:type="dxa"/>
          </w:tcPr>
          <w:p>
            <w:pPr>
              <w:jc w:val="center"/>
              <w:rPr>
                <w:rFonts w:ascii="宋体" w:hAnsi="宋体" w:cs="宋体"/>
              </w:rPr>
            </w:pPr>
          </w:p>
        </w:tc>
        <w:tc>
          <w:tcPr>
            <w:tcW w:w="1518" w:type="dxa"/>
          </w:tcPr>
          <w:p>
            <w:pPr>
              <w:jc w:val="center"/>
              <w:rPr>
                <w:rFonts w:ascii="宋体" w:hAnsi="宋体" w:cs="宋体"/>
              </w:rPr>
            </w:pPr>
          </w:p>
        </w:tc>
        <w:tc>
          <w:tcPr>
            <w:tcW w:w="1345" w:type="dxa"/>
          </w:tcPr>
          <w:p>
            <w:pPr>
              <w:jc w:val="center"/>
              <w:rPr>
                <w:rFonts w:ascii="宋体" w:hAnsi="宋体" w:cs="宋体"/>
              </w:rPr>
            </w:pPr>
          </w:p>
        </w:tc>
        <w:tc>
          <w:tcPr>
            <w:tcW w:w="1322" w:type="dxa"/>
          </w:tcPr>
          <w:p>
            <w:pPr>
              <w:jc w:val="center"/>
              <w:rPr>
                <w:rFonts w:ascii="宋体" w:hAnsi="宋体" w:cs="宋体"/>
              </w:rPr>
            </w:pPr>
          </w:p>
        </w:tc>
        <w:tc>
          <w:tcPr>
            <w:tcW w:w="1248" w:type="dxa"/>
          </w:tcPr>
          <w:p>
            <w:pPr>
              <w:jc w:val="center"/>
              <w:rPr>
                <w:rFonts w:ascii="宋体" w:hAnsi="宋体" w:cs="宋体"/>
              </w:rPr>
            </w:pPr>
          </w:p>
        </w:tc>
        <w:tc>
          <w:tcPr>
            <w:tcW w:w="1419" w:type="dxa"/>
          </w:tcPr>
          <w:p>
            <w:pPr>
              <w:jc w:val="center"/>
              <w:rPr>
                <w:rFonts w:ascii="宋体" w:hAnsi="宋体" w:cs="宋体"/>
              </w:rPr>
            </w:pPr>
          </w:p>
        </w:tc>
        <w:tc>
          <w:tcPr>
            <w:tcW w:w="1445" w:type="dxa"/>
          </w:tcPr>
          <w:p>
            <w:pPr>
              <w:jc w:val="center"/>
              <w:rPr>
                <w:rFonts w:ascii="宋体" w:hAnsi="宋体" w:cs="宋体"/>
              </w:rPr>
            </w:pPr>
          </w:p>
        </w:tc>
        <w:tc>
          <w:tcPr>
            <w:tcW w:w="1468" w:type="dxa"/>
          </w:tcPr>
          <w:p>
            <w:pPr>
              <w:jc w:val="center"/>
              <w:rPr>
                <w:rFonts w:ascii="宋体" w:hAnsi="宋体" w:cs="宋体"/>
              </w:rPr>
            </w:pPr>
          </w:p>
        </w:tc>
      </w:tr>
    </w:tbl>
    <w:p>
      <w:pPr>
        <w:rPr>
          <w:rFonts w:ascii="宋体" w:hAnsi="宋体"/>
        </w:rPr>
      </w:pPr>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ascii="宋体" w:hAnsi="宋体"/>
        </w:rPr>
        <w:t>：______________</w:t>
      </w:r>
    </w:p>
    <w:p>
      <w:pPr>
        <w:jc w:val="center"/>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rPr>
          <w:rFonts w:ascii="宋体" w:hAnsi="宋体"/>
          <w:b/>
          <w:color w:val="0000FF"/>
        </w:rPr>
      </w:pPr>
      <w:r>
        <w:rPr>
          <w:rFonts w:hint="eastAsia" w:ascii="宋体" w:hAnsi="宋体"/>
          <w:b/>
          <w:color w:val="0000FF"/>
        </w:rPr>
        <w:t>注：</w:t>
      </w:r>
    </w:p>
    <w:p>
      <w:pPr>
        <w:widowControl/>
        <w:numPr>
          <w:ilvl w:val="0"/>
          <w:numId w:val="7"/>
        </w:numPr>
        <w:snapToGrid w:val="0"/>
        <w:ind w:firstLine="420" w:firstLineChars="200"/>
        <w:jc w:val="left"/>
        <w:rPr>
          <w:rFonts w:ascii="宋体" w:hAnsi="宋体"/>
          <w:color w:val="0000FF"/>
          <w:kern w:val="0"/>
        </w:rPr>
      </w:pPr>
      <w:r>
        <w:rPr>
          <w:rFonts w:hint="eastAsia" w:ascii="宋体" w:hAnsi="宋体"/>
          <w:color w:val="0000FF"/>
          <w:kern w:val="0"/>
        </w:rPr>
        <w:t>投标供应商须按上述格式填写货物类、服务类标的分项报价表；</w:t>
      </w:r>
    </w:p>
    <w:p>
      <w:pPr>
        <w:widowControl/>
        <w:snapToGrid w:val="0"/>
        <w:ind w:firstLine="420" w:firstLineChars="200"/>
        <w:jc w:val="left"/>
        <w:rPr>
          <w:rFonts w:ascii="宋体" w:hAnsi="宋体"/>
        </w:rPr>
      </w:pPr>
      <w:r>
        <w:rPr>
          <w:rFonts w:hint="eastAsia" w:ascii="宋体" w:hAnsi="宋体"/>
          <w:color w:val="0000FF"/>
          <w:kern w:val="0"/>
        </w:rPr>
        <w:t>2、货物类标的，必须标明货物名称、规格型号、技术参数（特征描述）、品牌、产地、制造商等。</w:t>
      </w:r>
    </w:p>
    <w:p>
      <w:pPr>
        <w:sectPr>
          <w:pgSz w:w="16838" w:h="11906" w:orient="landscape"/>
          <w:pgMar w:top="1365" w:right="1418" w:bottom="1588" w:left="1418" w:header="851" w:footer="907" w:gutter="0"/>
          <w:cols w:space="720" w:num="1"/>
          <w:docGrid w:type="lines" w:linePitch="290" w:charSpace="0"/>
        </w:sectPr>
      </w:pPr>
      <w:r>
        <w:rPr>
          <w:rFonts w:hint="eastAsia"/>
          <w:color w:val="0000FF"/>
          <w:kern w:val="0"/>
        </w:rPr>
        <w:t>3、未按格式要求填写的，将按符合性审查表中未按投标文件组成的要求提供投标文件，做无效投标处理</w:t>
      </w:r>
    </w:p>
    <w:p>
      <w:pPr>
        <w:pStyle w:val="4"/>
        <w:jc w:val="center"/>
        <w:rPr>
          <w:rFonts w:ascii="宋体" w:hAnsi="宋体"/>
          <w:kern w:val="0"/>
          <w:sz w:val="24"/>
          <w:szCs w:val="24"/>
        </w:rPr>
      </w:pPr>
      <w:r>
        <w:rPr>
          <w:rFonts w:hint="eastAsia" w:ascii="宋体" w:hAnsi="宋体"/>
          <w:kern w:val="0"/>
          <w:sz w:val="24"/>
          <w:szCs w:val="24"/>
        </w:rPr>
        <w:t>八、实质性条款响应偏离表</w:t>
      </w:r>
      <w:r>
        <w:rPr>
          <w:rFonts w:hint="eastAsia" w:ascii="宋体" w:hAnsi="宋体"/>
          <w:color w:val="0000FF"/>
          <w:kern w:val="0"/>
          <w:sz w:val="21"/>
          <w:szCs w:val="21"/>
        </w:rPr>
        <w:t>（需求清单中打“★”号条款，逐条响应）</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434"/>
        <w:gridCol w:w="1523"/>
        <w:gridCol w:w="1247"/>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Align w:val="center"/>
          </w:tcPr>
          <w:p>
            <w:pPr>
              <w:adjustRightInd w:val="0"/>
              <w:snapToGrid w:val="0"/>
              <w:spacing w:line="360" w:lineRule="auto"/>
              <w:jc w:val="center"/>
              <w:rPr>
                <w:rFonts w:ascii="宋体" w:hAnsi="宋体"/>
              </w:rPr>
            </w:pPr>
            <w:r>
              <w:rPr>
                <w:rFonts w:hint="eastAsia" w:ascii="宋体" w:hAnsi="宋体"/>
              </w:rPr>
              <w:t>序号</w:t>
            </w:r>
          </w:p>
        </w:tc>
        <w:tc>
          <w:tcPr>
            <w:tcW w:w="3434" w:type="dxa"/>
            <w:vAlign w:val="center"/>
          </w:tcPr>
          <w:p>
            <w:pPr>
              <w:adjustRightInd w:val="0"/>
              <w:snapToGrid w:val="0"/>
              <w:spacing w:line="360" w:lineRule="auto"/>
              <w:jc w:val="center"/>
              <w:rPr>
                <w:rFonts w:ascii="宋体" w:hAnsi="宋体"/>
                <w:kern w:val="0"/>
              </w:rPr>
            </w:pPr>
            <w:r>
              <w:rPr>
                <w:rFonts w:hint="eastAsia" w:ascii="宋体" w:hAnsi="宋体"/>
                <w:kern w:val="0"/>
              </w:rPr>
              <w:t>实质性条款具体内容</w:t>
            </w:r>
          </w:p>
        </w:tc>
        <w:tc>
          <w:tcPr>
            <w:tcW w:w="1523" w:type="dxa"/>
            <w:vAlign w:val="center"/>
          </w:tcPr>
          <w:p>
            <w:pPr>
              <w:adjustRightInd w:val="0"/>
              <w:snapToGrid w:val="0"/>
              <w:spacing w:line="360" w:lineRule="auto"/>
              <w:jc w:val="center"/>
              <w:rPr>
                <w:rFonts w:ascii="宋体" w:hAnsi="宋体"/>
                <w:kern w:val="0"/>
              </w:rPr>
            </w:pPr>
            <w:r>
              <w:rPr>
                <w:rFonts w:hint="eastAsia" w:ascii="宋体" w:hAnsi="宋体"/>
                <w:kern w:val="0"/>
              </w:rPr>
              <w:t>招标要求</w:t>
            </w:r>
          </w:p>
        </w:tc>
        <w:tc>
          <w:tcPr>
            <w:tcW w:w="1247" w:type="dxa"/>
            <w:vAlign w:val="center"/>
          </w:tcPr>
          <w:p>
            <w:pPr>
              <w:adjustRightInd w:val="0"/>
              <w:snapToGrid w:val="0"/>
              <w:spacing w:line="360" w:lineRule="auto"/>
              <w:jc w:val="center"/>
              <w:rPr>
                <w:rFonts w:ascii="宋体" w:hAnsi="宋体"/>
                <w:kern w:val="0"/>
              </w:rPr>
            </w:pPr>
            <w:r>
              <w:rPr>
                <w:rFonts w:hint="eastAsia" w:ascii="宋体" w:hAnsi="宋体"/>
              </w:rPr>
              <w:t>投标响应</w:t>
            </w:r>
          </w:p>
        </w:tc>
        <w:tc>
          <w:tcPr>
            <w:tcW w:w="1136" w:type="dxa"/>
            <w:vAlign w:val="center"/>
          </w:tcPr>
          <w:p>
            <w:pPr>
              <w:adjustRightInd w:val="0"/>
              <w:snapToGrid w:val="0"/>
              <w:spacing w:line="360" w:lineRule="auto"/>
              <w:jc w:val="center"/>
              <w:rPr>
                <w:rFonts w:ascii="宋体" w:hAnsi="宋体"/>
                <w:kern w:val="0"/>
              </w:rPr>
            </w:pPr>
            <w:r>
              <w:rPr>
                <w:rFonts w:hint="eastAsia" w:ascii="宋体" w:hAnsi="宋体"/>
              </w:rPr>
              <w:t>偏离情况</w:t>
            </w:r>
          </w:p>
        </w:tc>
        <w:tc>
          <w:tcPr>
            <w:tcW w:w="1136" w:type="dxa"/>
            <w:vAlign w:val="center"/>
          </w:tcPr>
          <w:p>
            <w:pPr>
              <w:adjustRightInd w:val="0"/>
              <w:snapToGrid w:val="0"/>
              <w:spacing w:line="360" w:lineRule="auto"/>
              <w:jc w:val="center"/>
              <w:rPr>
                <w:rFonts w:ascii="宋体" w:hAnsi="宋体"/>
                <w:kern w:val="0"/>
              </w:rPr>
            </w:pPr>
            <w:r>
              <w:rPr>
                <w:rFonts w:hint="eastAsia" w:ascii="宋体" w:hAnsi="宋体"/>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adjustRightInd w:val="0"/>
              <w:snapToGrid w:val="0"/>
              <w:spacing w:line="360" w:lineRule="auto"/>
              <w:jc w:val="center"/>
              <w:rPr>
                <w:rFonts w:ascii="宋体" w:hAnsi="宋体"/>
              </w:rPr>
            </w:pPr>
            <w:r>
              <w:rPr>
                <w:rFonts w:hint="eastAsia" w:ascii="宋体" w:hAnsi="宋体"/>
              </w:rPr>
              <w:t>1</w:t>
            </w:r>
          </w:p>
        </w:tc>
        <w:tc>
          <w:tcPr>
            <w:tcW w:w="3434" w:type="dxa"/>
            <w:vAlign w:val="center"/>
          </w:tcPr>
          <w:p>
            <w:pPr>
              <w:adjustRightInd w:val="0"/>
              <w:snapToGrid w:val="0"/>
              <w:spacing w:line="360" w:lineRule="auto"/>
              <w:jc w:val="center"/>
              <w:rPr>
                <w:rFonts w:ascii="宋体" w:hAnsi="宋体"/>
                <w:kern w:val="0"/>
              </w:rPr>
            </w:pPr>
            <w:bookmarkStart w:id="104" w:name="OLE_LINK29"/>
            <w:r>
              <w:rPr>
                <w:rFonts w:hint="eastAsia" w:ascii="宋体" w:hAnsi="宋体"/>
              </w:rPr>
              <w:t>满足本项目采购需求中标★的条款要求</w:t>
            </w:r>
            <w:bookmarkEnd w:id="104"/>
          </w:p>
        </w:tc>
        <w:tc>
          <w:tcPr>
            <w:tcW w:w="1523" w:type="dxa"/>
            <w:vAlign w:val="center"/>
          </w:tcPr>
          <w:p>
            <w:pPr>
              <w:adjustRightInd w:val="0"/>
              <w:snapToGrid w:val="0"/>
              <w:spacing w:line="360" w:lineRule="auto"/>
              <w:jc w:val="center"/>
              <w:rPr>
                <w:rFonts w:ascii="宋体" w:hAnsi="宋体"/>
                <w:kern w:val="0"/>
              </w:rPr>
            </w:pPr>
          </w:p>
        </w:tc>
        <w:tc>
          <w:tcPr>
            <w:tcW w:w="1247"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adjustRightInd w:val="0"/>
              <w:snapToGrid w:val="0"/>
              <w:spacing w:line="360" w:lineRule="auto"/>
              <w:jc w:val="center"/>
              <w:rPr>
                <w:rFonts w:ascii="宋体" w:hAnsi="宋体"/>
              </w:rPr>
            </w:pPr>
            <w:r>
              <w:rPr>
                <w:rFonts w:hint="eastAsia" w:ascii="宋体" w:hAnsi="宋体"/>
              </w:rPr>
              <w:t>2</w:t>
            </w:r>
          </w:p>
        </w:tc>
        <w:tc>
          <w:tcPr>
            <w:tcW w:w="3434" w:type="dxa"/>
            <w:vAlign w:val="center"/>
          </w:tcPr>
          <w:p>
            <w:pPr>
              <w:adjustRightInd w:val="0"/>
              <w:snapToGrid w:val="0"/>
              <w:spacing w:line="360" w:lineRule="auto"/>
              <w:jc w:val="center"/>
              <w:rPr>
                <w:rFonts w:ascii="宋体" w:hAnsi="宋体"/>
              </w:rPr>
            </w:pPr>
            <w:bookmarkStart w:id="105" w:name="OLE_LINK83"/>
            <w:r>
              <w:rPr>
                <w:rFonts w:hint="eastAsia" w:ascii="宋体" w:hAnsi="宋体"/>
              </w:rPr>
              <w:t>交付期：自合同签订后</w:t>
            </w:r>
            <w:r>
              <w:rPr>
                <w:rFonts w:hint="eastAsia" w:ascii="宋体" w:hAnsi="宋体"/>
                <w:lang w:val="en-US" w:eastAsia="zh-CN"/>
              </w:rPr>
              <w:t>50</w:t>
            </w:r>
            <w:r>
              <w:rPr>
                <w:rFonts w:hint="eastAsia" w:ascii="宋体" w:hAnsi="宋体"/>
              </w:rPr>
              <w:t>日内完成供货，并完成安装调试。软硬件至少提供60个月免费维保服务。</w:t>
            </w:r>
            <w:bookmarkEnd w:id="105"/>
          </w:p>
        </w:tc>
        <w:tc>
          <w:tcPr>
            <w:tcW w:w="1523" w:type="dxa"/>
            <w:vAlign w:val="center"/>
          </w:tcPr>
          <w:p>
            <w:pPr>
              <w:adjustRightInd w:val="0"/>
              <w:snapToGrid w:val="0"/>
              <w:spacing w:line="360" w:lineRule="auto"/>
              <w:jc w:val="center"/>
              <w:rPr>
                <w:rFonts w:ascii="宋体" w:hAnsi="宋体"/>
                <w:kern w:val="0"/>
              </w:rPr>
            </w:pPr>
          </w:p>
        </w:tc>
        <w:tc>
          <w:tcPr>
            <w:tcW w:w="1247"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adjustRightInd w:val="0"/>
              <w:snapToGrid w:val="0"/>
              <w:spacing w:line="360" w:lineRule="auto"/>
              <w:jc w:val="center"/>
              <w:rPr>
                <w:rFonts w:ascii="宋体" w:hAnsi="宋体"/>
              </w:rPr>
            </w:pPr>
            <w:r>
              <w:rPr>
                <w:rFonts w:hint="eastAsia" w:ascii="宋体" w:hAnsi="宋体"/>
              </w:rPr>
              <w:t>3</w:t>
            </w:r>
          </w:p>
        </w:tc>
        <w:tc>
          <w:tcPr>
            <w:tcW w:w="3434" w:type="dxa"/>
            <w:vAlign w:val="center"/>
          </w:tcPr>
          <w:p>
            <w:pPr>
              <w:adjustRightInd w:val="0"/>
              <w:snapToGrid w:val="0"/>
              <w:spacing w:line="360" w:lineRule="auto"/>
              <w:jc w:val="center"/>
              <w:rPr>
                <w:rFonts w:ascii="宋体" w:hAnsi="宋体"/>
              </w:rPr>
            </w:pPr>
            <w:r>
              <w:rPr>
                <w:rFonts w:hint="eastAsia" w:ascii="宋体" w:hAnsi="宋体"/>
              </w:rPr>
              <w:t>...</w:t>
            </w:r>
          </w:p>
        </w:tc>
        <w:tc>
          <w:tcPr>
            <w:tcW w:w="1523" w:type="dxa"/>
            <w:vAlign w:val="center"/>
          </w:tcPr>
          <w:p>
            <w:pPr>
              <w:adjustRightInd w:val="0"/>
              <w:snapToGrid w:val="0"/>
              <w:spacing w:line="360" w:lineRule="auto"/>
              <w:jc w:val="center"/>
              <w:rPr>
                <w:rFonts w:ascii="宋体" w:hAnsi="宋体"/>
                <w:kern w:val="0"/>
              </w:rPr>
            </w:pPr>
          </w:p>
        </w:tc>
        <w:tc>
          <w:tcPr>
            <w:tcW w:w="1247"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r>
    </w:tbl>
    <w:p>
      <w:pPr>
        <w:rPr>
          <w:rFonts w:ascii="宋体" w:hAnsi="宋体"/>
          <w:color w:val="0000FF"/>
          <w:kern w:val="0"/>
        </w:rPr>
      </w:pPr>
    </w:p>
    <w:p>
      <w:pPr>
        <w:rPr>
          <w:rFonts w:ascii="宋体" w:hAnsi="宋体"/>
        </w:rPr>
      </w:pPr>
      <w:r>
        <w:rPr>
          <w:rFonts w:hint="eastAsia" w:ascii="宋体" w:hAnsi="宋体"/>
        </w:rPr>
        <w:t>说明：</w:t>
      </w:r>
    </w:p>
    <w:p>
      <w:pPr>
        <w:ind w:firstLine="420" w:firstLineChars="200"/>
        <w:rPr>
          <w:rFonts w:ascii="宋体" w:hAnsi="宋体"/>
        </w:rPr>
      </w:pPr>
      <w:r>
        <w:rPr>
          <w:rFonts w:hint="eastAsia" w:ascii="宋体" w:hAnsi="宋体"/>
        </w:rPr>
        <w:t>1.上表所列各项均为不可负偏离条款。</w:t>
      </w:r>
    </w:p>
    <w:p>
      <w:pPr>
        <w:widowControl/>
        <w:snapToGrid w:val="0"/>
        <w:ind w:firstLine="420" w:firstLineChars="200"/>
        <w:jc w:val="left"/>
        <w:rPr>
          <w:rFonts w:ascii="宋体" w:hAnsi="宋体"/>
          <w:color w:val="0000FF"/>
          <w:kern w:val="0"/>
        </w:rPr>
      </w:pPr>
      <w:r>
        <w:rPr>
          <w:rFonts w:hint="eastAsia" w:ascii="宋体" w:hAnsi="宋体"/>
          <w:color w:val="0000FF"/>
          <w:kern w:val="0"/>
        </w:rPr>
        <w:t>2.根据采购文件第三章“用户需求书中”打“★”号条款，逐条详细填写投标人自身响应情况，并列明具体响应数值或内容。</w:t>
      </w:r>
    </w:p>
    <w:p>
      <w:r>
        <w:rPr>
          <w:rFonts w:hint="eastAsia"/>
          <w:color w:val="0000FF"/>
          <w:kern w:val="0"/>
        </w:rPr>
        <w:t>3.要求提供佐证材料的，需在“原因说明”栏中说明佐证材料在投标文件中的具体位置及页码。</w:t>
      </w:r>
    </w:p>
    <w:p>
      <w:pPr>
        <w:widowControl/>
        <w:snapToGrid w:val="0"/>
        <w:jc w:val="left"/>
        <w:rPr>
          <w:rFonts w:ascii="宋体" w:hAnsi="宋体"/>
          <w:color w:val="0000FF"/>
          <w:kern w:val="0"/>
          <w:szCs w:val="20"/>
        </w:rPr>
      </w:pPr>
      <w:r>
        <w:rPr>
          <w:rFonts w:hint="eastAsia" w:ascii="宋体" w:hAnsi="宋体"/>
          <w:color w:val="0000FF"/>
          <w:kern w:val="0"/>
          <w:szCs w:val="20"/>
        </w:rPr>
        <w:t>未按要求提供佐证材料或提供的佐证资料显示不符合参数要求的、模糊不清无法判断或未显示出是否满足参数要求的，均视为负偏离。只注明符合、满足等无具体内容表述的或者照搬照抄招实质性条款具体内容，将视为未实质性满足招标文件要求，投标无效。</w:t>
      </w:r>
    </w:p>
    <w:p>
      <w:pPr>
        <w:ind w:firstLine="420" w:firstLineChars="200"/>
        <w:rPr>
          <w:rFonts w:ascii="宋体" w:hAnsi="宋体"/>
        </w:rPr>
      </w:pPr>
      <w:r>
        <w:rPr>
          <w:rFonts w:hint="eastAsia" w:ascii="宋体" w:hAnsi="宋体"/>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20" w:firstLineChars="200"/>
        <w:rPr>
          <w:rFonts w:ascii="宋体" w:hAnsi="宋体"/>
        </w:rPr>
      </w:pPr>
      <w:r>
        <w:rPr>
          <w:rFonts w:hint="eastAsia" w:ascii="宋体" w:hAnsi="宋体"/>
        </w:rPr>
        <w:t>4.评审委员会有权根据实质性条款响应情况作出评判。</w:t>
      </w:r>
    </w:p>
    <w:p>
      <w:pPr>
        <w:rPr>
          <w:rFonts w:ascii="宋体" w:hAnsi="宋体"/>
        </w:rPr>
      </w:pPr>
    </w:p>
    <w:p>
      <w:pPr>
        <w:pStyle w:val="4"/>
        <w:jc w:val="center"/>
        <w:rPr>
          <w:rFonts w:ascii="宋体" w:hAnsi="宋体" w:cs="Arial"/>
          <w:kern w:val="0"/>
          <w:sz w:val="24"/>
          <w:szCs w:val="24"/>
        </w:rPr>
      </w:pPr>
      <w:r>
        <w:rPr>
          <w:rFonts w:hint="eastAsia" w:ascii="宋体" w:hAnsi="宋体"/>
          <w:kern w:val="0"/>
          <w:sz w:val="24"/>
          <w:szCs w:val="24"/>
        </w:rPr>
        <w:t>九、重要技术参数响应偏离表</w:t>
      </w:r>
      <w:r>
        <w:rPr>
          <w:rFonts w:hint="eastAsia" w:ascii="宋体" w:hAnsi="宋体" w:cs="Arial"/>
          <w:kern w:val="0"/>
          <w:sz w:val="24"/>
          <w:szCs w:val="24"/>
        </w:rPr>
        <w:t>（需求清单中无打“▲”号条款，无须填写）</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434"/>
        <w:gridCol w:w="1523"/>
        <w:gridCol w:w="1247"/>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89" w:type="dxa"/>
            <w:vAlign w:val="center"/>
          </w:tcPr>
          <w:p>
            <w:pPr>
              <w:adjustRightInd w:val="0"/>
              <w:snapToGrid w:val="0"/>
              <w:spacing w:line="360" w:lineRule="auto"/>
              <w:jc w:val="center"/>
              <w:rPr>
                <w:rFonts w:ascii="宋体" w:hAnsi="宋体"/>
              </w:rPr>
            </w:pPr>
            <w:r>
              <w:rPr>
                <w:rFonts w:hint="eastAsia" w:ascii="宋体" w:hAnsi="宋体"/>
              </w:rPr>
              <w:t>序号</w:t>
            </w:r>
          </w:p>
        </w:tc>
        <w:tc>
          <w:tcPr>
            <w:tcW w:w="3434" w:type="dxa"/>
            <w:vAlign w:val="center"/>
          </w:tcPr>
          <w:p>
            <w:pPr>
              <w:adjustRightInd w:val="0"/>
              <w:snapToGrid w:val="0"/>
              <w:spacing w:line="360" w:lineRule="auto"/>
              <w:jc w:val="center"/>
              <w:rPr>
                <w:rFonts w:ascii="宋体" w:hAnsi="宋体"/>
                <w:kern w:val="0"/>
              </w:rPr>
            </w:pPr>
            <w:r>
              <w:rPr>
                <w:rFonts w:hint="eastAsia" w:ascii="宋体" w:hAnsi="宋体"/>
                <w:kern w:val="0"/>
              </w:rPr>
              <w:t>重要技术参数具体内容</w:t>
            </w:r>
          </w:p>
        </w:tc>
        <w:tc>
          <w:tcPr>
            <w:tcW w:w="1523" w:type="dxa"/>
            <w:vAlign w:val="center"/>
          </w:tcPr>
          <w:p>
            <w:pPr>
              <w:adjustRightInd w:val="0"/>
              <w:snapToGrid w:val="0"/>
              <w:spacing w:line="360" w:lineRule="auto"/>
              <w:jc w:val="center"/>
              <w:rPr>
                <w:rFonts w:ascii="宋体" w:hAnsi="宋体"/>
                <w:kern w:val="0"/>
              </w:rPr>
            </w:pPr>
            <w:r>
              <w:rPr>
                <w:rFonts w:hint="eastAsia" w:ascii="宋体" w:hAnsi="宋体"/>
                <w:kern w:val="0"/>
              </w:rPr>
              <w:t>磋商要求</w:t>
            </w:r>
          </w:p>
        </w:tc>
        <w:tc>
          <w:tcPr>
            <w:tcW w:w="1247" w:type="dxa"/>
            <w:vAlign w:val="center"/>
          </w:tcPr>
          <w:p>
            <w:pPr>
              <w:adjustRightInd w:val="0"/>
              <w:snapToGrid w:val="0"/>
              <w:spacing w:line="360" w:lineRule="auto"/>
              <w:jc w:val="center"/>
              <w:rPr>
                <w:rFonts w:ascii="宋体" w:hAnsi="宋体"/>
                <w:kern w:val="0"/>
              </w:rPr>
            </w:pPr>
            <w:r>
              <w:rPr>
                <w:rFonts w:hint="eastAsia" w:ascii="宋体" w:hAnsi="宋体"/>
              </w:rPr>
              <w:t>投标响应</w:t>
            </w:r>
          </w:p>
        </w:tc>
        <w:tc>
          <w:tcPr>
            <w:tcW w:w="1136" w:type="dxa"/>
            <w:vAlign w:val="center"/>
          </w:tcPr>
          <w:p>
            <w:pPr>
              <w:adjustRightInd w:val="0"/>
              <w:snapToGrid w:val="0"/>
              <w:spacing w:line="360" w:lineRule="auto"/>
              <w:jc w:val="center"/>
              <w:rPr>
                <w:rFonts w:ascii="宋体" w:hAnsi="宋体"/>
                <w:kern w:val="0"/>
              </w:rPr>
            </w:pPr>
            <w:r>
              <w:rPr>
                <w:rFonts w:hint="eastAsia" w:ascii="宋体" w:hAnsi="宋体"/>
              </w:rPr>
              <w:t>偏离情况</w:t>
            </w:r>
          </w:p>
        </w:tc>
        <w:tc>
          <w:tcPr>
            <w:tcW w:w="1136" w:type="dxa"/>
            <w:vAlign w:val="center"/>
          </w:tcPr>
          <w:p>
            <w:pPr>
              <w:adjustRightInd w:val="0"/>
              <w:snapToGrid w:val="0"/>
              <w:spacing w:line="360" w:lineRule="auto"/>
              <w:jc w:val="center"/>
              <w:rPr>
                <w:rFonts w:ascii="宋体" w:hAnsi="宋体"/>
                <w:kern w:val="0"/>
              </w:rPr>
            </w:pPr>
            <w:r>
              <w:rPr>
                <w:rFonts w:hint="eastAsia" w:ascii="宋体" w:hAnsi="宋体"/>
              </w:rPr>
              <w:t>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adjustRightInd w:val="0"/>
              <w:snapToGrid w:val="0"/>
              <w:spacing w:line="360" w:lineRule="auto"/>
              <w:jc w:val="center"/>
              <w:rPr>
                <w:rFonts w:ascii="宋体" w:hAnsi="宋体"/>
              </w:rPr>
            </w:pPr>
            <w:r>
              <w:rPr>
                <w:rFonts w:hint="eastAsia" w:ascii="宋体" w:hAnsi="宋体"/>
              </w:rPr>
              <w:t>1</w:t>
            </w:r>
          </w:p>
        </w:tc>
        <w:tc>
          <w:tcPr>
            <w:tcW w:w="3434" w:type="dxa"/>
            <w:vAlign w:val="center"/>
          </w:tcPr>
          <w:p>
            <w:pPr>
              <w:adjustRightInd w:val="0"/>
              <w:snapToGrid w:val="0"/>
              <w:spacing w:line="360" w:lineRule="auto"/>
              <w:jc w:val="center"/>
              <w:rPr>
                <w:rFonts w:ascii="宋体" w:hAnsi="宋体"/>
                <w:kern w:val="0"/>
              </w:rPr>
            </w:pPr>
            <w:r>
              <w:rPr>
                <w:rFonts w:hint="eastAsia" w:ascii="宋体" w:hAnsi="宋体"/>
              </w:rPr>
              <w:t>满足本项目标</w:t>
            </w:r>
            <w:r>
              <w:rPr>
                <w:rFonts w:ascii="宋体" w:hAnsi="宋体"/>
              </w:rPr>
              <w:t>▲</w:t>
            </w:r>
            <w:r>
              <w:rPr>
                <w:rFonts w:hint="eastAsia" w:ascii="宋体" w:hAnsi="宋体"/>
              </w:rPr>
              <w:t>的条款要求</w:t>
            </w:r>
          </w:p>
        </w:tc>
        <w:tc>
          <w:tcPr>
            <w:tcW w:w="1523" w:type="dxa"/>
            <w:vAlign w:val="center"/>
          </w:tcPr>
          <w:p>
            <w:pPr>
              <w:adjustRightInd w:val="0"/>
              <w:snapToGrid w:val="0"/>
              <w:spacing w:line="360" w:lineRule="auto"/>
              <w:jc w:val="center"/>
              <w:rPr>
                <w:rFonts w:ascii="宋体" w:hAnsi="宋体"/>
                <w:kern w:val="0"/>
              </w:rPr>
            </w:pPr>
          </w:p>
        </w:tc>
        <w:tc>
          <w:tcPr>
            <w:tcW w:w="1247"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adjustRightInd w:val="0"/>
              <w:snapToGrid w:val="0"/>
              <w:spacing w:line="360" w:lineRule="auto"/>
              <w:jc w:val="center"/>
              <w:rPr>
                <w:rFonts w:ascii="宋体" w:hAnsi="宋体"/>
              </w:rPr>
            </w:pPr>
            <w:r>
              <w:rPr>
                <w:rFonts w:hint="eastAsia" w:ascii="宋体" w:hAnsi="宋体"/>
              </w:rPr>
              <w:t>2</w:t>
            </w:r>
          </w:p>
        </w:tc>
        <w:tc>
          <w:tcPr>
            <w:tcW w:w="3434" w:type="dxa"/>
            <w:vAlign w:val="center"/>
          </w:tcPr>
          <w:p>
            <w:pPr>
              <w:adjustRightInd w:val="0"/>
              <w:snapToGrid w:val="0"/>
              <w:spacing w:line="360" w:lineRule="auto"/>
              <w:jc w:val="center"/>
              <w:rPr>
                <w:rFonts w:ascii="宋体" w:hAnsi="宋体"/>
              </w:rPr>
            </w:pPr>
            <w:r>
              <w:rPr>
                <w:rFonts w:hint="eastAsia" w:ascii="宋体" w:hAnsi="宋体"/>
              </w:rPr>
              <w:t>...</w:t>
            </w:r>
          </w:p>
        </w:tc>
        <w:tc>
          <w:tcPr>
            <w:tcW w:w="1523" w:type="dxa"/>
            <w:vAlign w:val="center"/>
          </w:tcPr>
          <w:p>
            <w:pPr>
              <w:adjustRightInd w:val="0"/>
              <w:snapToGrid w:val="0"/>
              <w:spacing w:line="360" w:lineRule="auto"/>
              <w:jc w:val="center"/>
              <w:rPr>
                <w:rFonts w:ascii="宋体" w:hAnsi="宋体"/>
                <w:kern w:val="0"/>
              </w:rPr>
            </w:pPr>
          </w:p>
        </w:tc>
        <w:tc>
          <w:tcPr>
            <w:tcW w:w="1247"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adjustRightInd w:val="0"/>
              <w:snapToGrid w:val="0"/>
              <w:spacing w:line="360" w:lineRule="auto"/>
              <w:jc w:val="center"/>
              <w:rPr>
                <w:rFonts w:ascii="宋体" w:hAnsi="宋体"/>
              </w:rPr>
            </w:pPr>
            <w:r>
              <w:rPr>
                <w:rFonts w:hint="eastAsia" w:ascii="宋体" w:hAnsi="宋体"/>
              </w:rPr>
              <w:t>3</w:t>
            </w:r>
          </w:p>
        </w:tc>
        <w:tc>
          <w:tcPr>
            <w:tcW w:w="3434" w:type="dxa"/>
            <w:vAlign w:val="center"/>
          </w:tcPr>
          <w:p>
            <w:pPr>
              <w:adjustRightInd w:val="0"/>
              <w:snapToGrid w:val="0"/>
              <w:spacing w:line="360" w:lineRule="auto"/>
              <w:jc w:val="center"/>
              <w:rPr>
                <w:rFonts w:ascii="宋体" w:hAnsi="宋体"/>
              </w:rPr>
            </w:pPr>
            <w:r>
              <w:rPr>
                <w:rFonts w:hint="eastAsia" w:ascii="宋体" w:hAnsi="宋体"/>
              </w:rPr>
              <w:t>...</w:t>
            </w:r>
          </w:p>
        </w:tc>
        <w:tc>
          <w:tcPr>
            <w:tcW w:w="1523" w:type="dxa"/>
            <w:vAlign w:val="center"/>
          </w:tcPr>
          <w:p>
            <w:pPr>
              <w:adjustRightInd w:val="0"/>
              <w:snapToGrid w:val="0"/>
              <w:spacing w:line="360" w:lineRule="auto"/>
              <w:jc w:val="center"/>
              <w:rPr>
                <w:rFonts w:ascii="宋体" w:hAnsi="宋体"/>
                <w:kern w:val="0"/>
              </w:rPr>
            </w:pPr>
          </w:p>
        </w:tc>
        <w:tc>
          <w:tcPr>
            <w:tcW w:w="1247"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c>
          <w:tcPr>
            <w:tcW w:w="1136" w:type="dxa"/>
            <w:vAlign w:val="center"/>
          </w:tcPr>
          <w:p>
            <w:pPr>
              <w:adjustRightInd w:val="0"/>
              <w:snapToGrid w:val="0"/>
              <w:spacing w:line="360" w:lineRule="auto"/>
              <w:jc w:val="center"/>
              <w:rPr>
                <w:rFonts w:ascii="宋体" w:hAnsi="宋体"/>
                <w:kern w:val="0"/>
              </w:rPr>
            </w:pPr>
          </w:p>
        </w:tc>
      </w:tr>
    </w:tbl>
    <w:p>
      <w:pPr>
        <w:ind w:firstLine="210" w:firstLineChars="100"/>
        <w:rPr>
          <w:rFonts w:ascii="宋体" w:hAnsi="宋体"/>
        </w:rPr>
      </w:pPr>
    </w:p>
    <w:p>
      <w:pPr>
        <w:ind w:firstLine="210" w:firstLineChars="100"/>
        <w:rPr>
          <w:rFonts w:ascii="宋体" w:hAnsi="宋体"/>
        </w:rPr>
      </w:pPr>
      <w:r>
        <w:rPr>
          <w:rFonts w:ascii="宋体" w:hAnsi="宋体"/>
        </w:rPr>
        <w:t>说明：</w:t>
      </w:r>
    </w:p>
    <w:p>
      <w:pPr>
        <w:widowControl/>
        <w:snapToGrid w:val="0"/>
        <w:ind w:firstLine="420" w:firstLineChars="200"/>
        <w:jc w:val="left"/>
        <w:rPr>
          <w:rFonts w:ascii="宋体" w:hAnsi="宋体"/>
          <w:color w:val="0000FF"/>
          <w:kern w:val="0"/>
        </w:rPr>
      </w:pPr>
      <w:r>
        <w:rPr>
          <w:rFonts w:hint="eastAsia" w:ascii="宋体" w:hAnsi="宋体"/>
          <w:color w:val="0000FF"/>
          <w:kern w:val="0"/>
        </w:rPr>
        <w:t>1.根据采购文件第三章“用户需求书中”打“▲”号条款，逐条详细填写投标人自身响应情况，并列明具体响应数值或内容。</w:t>
      </w:r>
    </w:p>
    <w:p>
      <w:pPr>
        <w:rPr>
          <w:color w:val="0000FF"/>
          <w:kern w:val="0"/>
        </w:rPr>
      </w:pPr>
      <w:r>
        <w:rPr>
          <w:rFonts w:hint="eastAsia"/>
          <w:color w:val="0000FF"/>
          <w:kern w:val="0"/>
        </w:rPr>
        <w:t>2.要求提供佐证材料的，需在“原因说明”栏中说明佐证材料在投标文件中的具体位置及页码。未按要求提供佐证材料或提供的佐证资料显示不符合参数要求的、模糊不清无法判断或未显示出是否满足参数要求的，均视为负偏离。只注明符合、满足等无具体内容表述的或者照搬照抄重要技术参数条款的，该项不得分。</w:t>
      </w:r>
    </w:p>
    <w:p>
      <w:pPr>
        <w:rPr>
          <w:color w:val="0000FF"/>
          <w:kern w:val="0"/>
        </w:rPr>
      </w:pPr>
      <w:r>
        <w:rPr>
          <w:rFonts w:hint="eastAsia"/>
          <w:color w:val="0000FF"/>
          <w:kern w:val="0"/>
        </w:rPr>
        <w:t>3.若有部分“▲”条款未响应或不满足，不作为无效投标条款，评审委员会将根据评审因素进行相应评分。</w:t>
      </w:r>
    </w:p>
    <w:p>
      <w:pPr>
        <w:ind w:firstLine="480"/>
        <w:rPr>
          <w:rFonts w:ascii="宋体" w:hAnsi="宋体"/>
        </w:rPr>
      </w:pPr>
      <w:r>
        <w:rPr>
          <w:rFonts w:hint="eastAsia" w:ascii="宋体" w:hAnsi="宋体"/>
        </w:rPr>
        <w:t>4</w:t>
      </w:r>
      <w:r>
        <w:rPr>
          <w:rFonts w:ascii="宋体" w:hAnsi="宋体"/>
        </w:rPr>
        <w:t>. “是否偏离”项下应按下列规定填写：优于的，填写“正偏离”；符合的，填写“无偏离”；低于的，填写“负偏离”。</w:t>
      </w:r>
    </w:p>
    <w:p>
      <w:pPr>
        <w:ind w:left="1470" w:right="1470"/>
        <w:rPr>
          <w:rFonts w:ascii="宋体" w:hAnsi="宋体"/>
          <w:color w:val="0000FF"/>
        </w:rPr>
      </w:pPr>
    </w:p>
    <w:p>
      <w:pPr>
        <w:ind w:left="1470" w:right="1470"/>
        <w:rPr>
          <w:rFonts w:ascii="宋体" w:hAnsi="宋体"/>
          <w:color w:val="0000FF"/>
        </w:rPr>
      </w:pPr>
    </w:p>
    <w:p>
      <w:pPr>
        <w:ind w:left="1470" w:right="1470"/>
        <w:rPr>
          <w:rFonts w:ascii="宋体" w:hAnsi="宋体"/>
          <w:color w:val="0000FF"/>
        </w:rPr>
      </w:pPr>
    </w:p>
    <w:p>
      <w:pPr>
        <w:ind w:left="1470" w:right="1470"/>
        <w:rPr>
          <w:rFonts w:ascii="宋体" w:hAnsi="宋体"/>
          <w:color w:val="0000FF"/>
        </w:rPr>
      </w:pPr>
    </w:p>
    <w:p>
      <w:pPr>
        <w:ind w:left="1470" w:right="1470"/>
        <w:rPr>
          <w:rFonts w:ascii="宋体" w:hAnsi="宋体"/>
          <w:color w:val="0000FF"/>
        </w:rPr>
      </w:pPr>
    </w:p>
    <w:p>
      <w:pPr>
        <w:pStyle w:val="4"/>
        <w:jc w:val="center"/>
        <w:rPr>
          <w:rFonts w:ascii="宋体" w:hAnsi="宋体" w:cs="黑体"/>
          <w:sz w:val="21"/>
          <w:szCs w:val="21"/>
        </w:rPr>
      </w:pPr>
      <w:r>
        <w:rPr>
          <w:rFonts w:hint="eastAsia" w:ascii="宋体" w:hAnsi="宋体" w:cs="黑体"/>
          <w:sz w:val="24"/>
          <w:szCs w:val="24"/>
        </w:rPr>
        <w:t>十、商务条款偏离表</w:t>
      </w:r>
    </w:p>
    <w:tbl>
      <w:tblPr>
        <w:tblStyle w:val="3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08"/>
        <w:gridCol w:w="2108"/>
        <w:gridCol w:w="1532"/>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widowControl/>
              <w:jc w:val="center"/>
              <w:rPr>
                <w:rFonts w:ascii="宋体" w:hAnsi="宋体" w:cs="宋体"/>
              </w:rPr>
            </w:pPr>
            <w:r>
              <w:rPr>
                <w:rFonts w:hint="eastAsia" w:ascii="宋体" w:hAnsi="宋体" w:cs="宋体"/>
              </w:rPr>
              <w:t>序号</w:t>
            </w:r>
          </w:p>
        </w:tc>
        <w:tc>
          <w:tcPr>
            <w:tcW w:w="2108" w:type="dxa"/>
          </w:tcPr>
          <w:p>
            <w:pPr>
              <w:widowControl/>
              <w:jc w:val="center"/>
              <w:rPr>
                <w:rFonts w:ascii="宋体" w:hAnsi="宋体" w:cs="宋体"/>
              </w:rPr>
            </w:pPr>
            <w:r>
              <w:rPr>
                <w:rFonts w:hint="eastAsia" w:ascii="宋体" w:hAnsi="宋体" w:cs="宋体"/>
              </w:rPr>
              <w:t>磋商商务条款</w:t>
            </w:r>
          </w:p>
        </w:tc>
        <w:tc>
          <w:tcPr>
            <w:tcW w:w="2108" w:type="dxa"/>
          </w:tcPr>
          <w:p>
            <w:pPr>
              <w:widowControl/>
              <w:jc w:val="center"/>
              <w:rPr>
                <w:rFonts w:ascii="宋体" w:hAnsi="宋体" w:cs="宋体"/>
              </w:rPr>
            </w:pPr>
            <w:r>
              <w:rPr>
                <w:rFonts w:hint="eastAsia" w:ascii="宋体" w:hAnsi="宋体" w:cs="宋体"/>
              </w:rPr>
              <w:t>投标商务响应</w:t>
            </w:r>
          </w:p>
        </w:tc>
        <w:tc>
          <w:tcPr>
            <w:tcW w:w="1532" w:type="dxa"/>
          </w:tcPr>
          <w:p>
            <w:pPr>
              <w:widowControl/>
              <w:jc w:val="center"/>
              <w:rPr>
                <w:rFonts w:ascii="宋体" w:hAnsi="宋体" w:cs="宋体"/>
              </w:rPr>
            </w:pPr>
            <w:r>
              <w:rPr>
                <w:rFonts w:hint="eastAsia" w:ascii="宋体" w:hAnsi="宋体" w:cs="宋体"/>
              </w:rPr>
              <w:t>偏离情况</w:t>
            </w:r>
          </w:p>
        </w:tc>
        <w:tc>
          <w:tcPr>
            <w:tcW w:w="2539" w:type="dxa"/>
          </w:tcPr>
          <w:p>
            <w:pPr>
              <w:widowControl/>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widowControl/>
              <w:rPr>
                <w:rFonts w:ascii="宋体" w:hAnsi="宋体" w:cs="宋体"/>
              </w:rPr>
            </w:pPr>
          </w:p>
        </w:tc>
        <w:tc>
          <w:tcPr>
            <w:tcW w:w="2108" w:type="dxa"/>
          </w:tcPr>
          <w:p>
            <w:pPr>
              <w:widowControl/>
              <w:rPr>
                <w:rFonts w:ascii="宋体" w:hAnsi="宋体" w:cs="宋体"/>
              </w:rPr>
            </w:pPr>
          </w:p>
        </w:tc>
        <w:tc>
          <w:tcPr>
            <w:tcW w:w="2108" w:type="dxa"/>
          </w:tcPr>
          <w:p>
            <w:pPr>
              <w:widowControl/>
              <w:rPr>
                <w:rFonts w:ascii="宋体" w:hAnsi="宋体" w:cs="宋体"/>
              </w:rPr>
            </w:pPr>
          </w:p>
        </w:tc>
        <w:tc>
          <w:tcPr>
            <w:tcW w:w="1532" w:type="dxa"/>
          </w:tcPr>
          <w:p>
            <w:pPr>
              <w:widowControl/>
              <w:rPr>
                <w:rFonts w:ascii="宋体" w:hAnsi="宋体" w:cs="宋体"/>
              </w:rPr>
            </w:pPr>
          </w:p>
        </w:tc>
        <w:tc>
          <w:tcPr>
            <w:tcW w:w="2539" w:type="dxa"/>
          </w:tcPr>
          <w:p>
            <w:pPr>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widowControl/>
              <w:rPr>
                <w:rFonts w:ascii="宋体" w:hAnsi="宋体" w:cs="宋体"/>
              </w:rPr>
            </w:pPr>
          </w:p>
        </w:tc>
        <w:tc>
          <w:tcPr>
            <w:tcW w:w="2108" w:type="dxa"/>
          </w:tcPr>
          <w:p>
            <w:pPr>
              <w:widowControl/>
              <w:rPr>
                <w:rFonts w:ascii="宋体" w:hAnsi="宋体" w:cs="宋体"/>
              </w:rPr>
            </w:pPr>
          </w:p>
        </w:tc>
        <w:tc>
          <w:tcPr>
            <w:tcW w:w="2108" w:type="dxa"/>
          </w:tcPr>
          <w:p>
            <w:pPr>
              <w:widowControl/>
              <w:rPr>
                <w:rFonts w:ascii="宋体" w:hAnsi="宋体" w:cs="宋体"/>
              </w:rPr>
            </w:pPr>
          </w:p>
        </w:tc>
        <w:tc>
          <w:tcPr>
            <w:tcW w:w="1532" w:type="dxa"/>
          </w:tcPr>
          <w:p>
            <w:pPr>
              <w:widowControl/>
              <w:rPr>
                <w:rFonts w:ascii="宋体" w:hAnsi="宋体" w:cs="宋体"/>
              </w:rPr>
            </w:pPr>
          </w:p>
        </w:tc>
        <w:tc>
          <w:tcPr>
            <w:tcW w:w="2539" w:type="dxa"/>
          </w:tcPr>
          <w:p>
            <w:pPr>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widowControl/>
              <w:rPr>
                <w:rFonts w:ascii="宋体" w:hAnsi="宋体" w:cs="宋体"/>
              </w:rPr>
            </w:pPr>
          </w:p>
        </w:tc>
        <w:tc>
          <w:tcPr>
            <w:tcW w:w="2108" w:type="dxa"/>
          </w:tcPr>
          <w:p>
            <w:pPr>
              <w:widowControl/>
              <w:rPr>
                <w:rFonts w:ascii="宋体" w:hAnsi="宋体" w:cs="宋体"/>
              </w:rPr>
            </w:pPr>
          </w:p>
        </w:tc>
        <w:tc>
          <w:tcPr>
            <w:tcW w:w="2108" w:type="dxa"/>
          </w:tcPr>
          <w:p>
            <w:pPr>
              <w:widowControl/>
              <w:rPr>
                <w:rFonts w:ascii="宋体" w:hAnsi="宋体" w:cs="宋体"/>
              </w:rPr>
            </w:pPr>
          </w:p>
        </w:tc>
        <w:tc>
          <w:tcPr>
            <w:tcW w:w="1532" w:type="dxa"/>
          </w:tcPr>
          <w:p>
            <w:pPr>
              <w:widowControl/>
              <w:rPr>
                <w:rFonts w:ascii="宋体" w:hAnsi="宋体" w:cs="宋体"/>
              </w:rPr>
            </w:pPr>
          </w:p>
        </w:tc>
        <w:tc>
          <w:tcPr>
            <w:tcW w:w="2539" w:type="dxa"/>
          </w:tcPr>
          <w:p>
            <w:pPr>
              <w:widowControl/>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widowControl/>
              <w:rPr>
                <w:rFonts w:ascii="宋体" w:hAnsi="宋体" w:cs="宋体"/>
              </w:rPr>
            </w:pPr>
          </w:p>
        </w:tc>
        <w:tc>
          <w:tcPr>
            <w:tcW w:w="2108" w:type="dxa"/>
          </w:tcPr>
          <w:p>
            <w:pPr>
              <w:widowControl/>
              <w:rPr>
                <w:rFonts w:ascii="宋体" w:hAnsi="宋体" w:cs="宋体"/>
              </w:rPr>
            </w:pPr>
          </w:p>
        </w:tc>
        <w:tc>
          <w:tcPr>
            <w:tcW w:w="2108" w:type="dxa"/>
          </w:tcPr>
          <w:p>
            <w:pPr>
              <w:widowControl/>
              <w:rPr>
                <w:rFonts w:ascii="宋体" w:hAnsi="宋体" w:cs="宋体"/>
              </w:rPr>
            </w:pPr>
          </w:p>
        </w:tc>
        <w:tc>
          <w:tcPr>
            <w:tcW w:w="1532" w:type="dxa"/>
          </w:tcPr>
          <w:p>
            <w:pPr>
              <w:widowControl/>
              <w:rPr>
                <w:rFonts w:ascii="宋体" w:hAnsi="宋体" w:cs="宋体"/>
              </w:rPr>
            </w:pPr>
          </w:p>
        </w:tc>
        <w:tc>
          <w:tcPr>
            <w:tcW w:w="2539" w:type="dxa"/>
          </w:tcPr>
          <w:p>
            <w:pPr>
              <w:widowControl/>
              <w:rPr>
                <w:rFonts w:ascii="宋体" w:hAnsi="宋体" w:cs="宋体"/>
              </w:rPr>
            </w:pPr>
          </w:p>
        </w:tc>
      </w:tr>
    </w:tbl>
    <w:p>
      <w:pPr>
        <w:rPr>
          <w:rFonts w:ascii="宋体" w:hAnsi="宋体" w:cs="宋体"/>
        </w:rPr>
      </w:pPr>
    </w:p>
    <w:p>
      <w:pPr>
        <w:rPr>
          <w:rFonts w:ascii="宋体" w:hAnsi="宋体" w:cs="宋体"/>
        </w:rPr>
      </w:pPr>
      <w:r>
        <w:rPr>
          <w:rFonts w:hint="eastAsia" w:ascii="宋体" w:hAnsi="宋体" w:cs="宋体"/>
        </w:rPr>
        <w:t>说明：</w:t>
      </w:r>
    </w:p>
    <w:p>
      <w:pPr>
        <w:ind w:firstLine="420" w:firstLineChars="200"/>
        <w:rPr>
          <w:rFonts w:ascii="宋体" w:hAnsi="宋体" w:cs="宋体"/>
        </w:rPr>
      </w:pPr>
      <w:r>
        <w:rPr>
          <w:rFonts w:hint="eastAsia" w:ascii="宋体" w:hAnsi="宋体"/>
          <w:color w:val="0000FF"/>
          <w:kern w:val="0"/>
        </w:rPr>
        <w:t>1.根据采购文件第三章“用户需求书中”商务条款，逐条详细填写投标人自身响应情况。要求提供佐证材料的，需在“原因说明”栏中说明佐证材料在投标文件中的具体位置及页码。</w:t>
      </w:r>
    </w:p>
    <w:p>
      <w:pPr>
        <w:widowControl/>
        <w:tabs>
          <w:tab w:val="left" w:pos="720"/>
        </w:tabs>
        <w:spacing w:line="360" w:lineRule="auto"/>
        <w:rPr>
          <w:rFonts w:ascii="宋体" w:hAnsi="宋体"/>
          <w:b/>
          <w:sz w:val="24"/>
        </w:rPr>
      </w:pPr>
    </w:p>
    <w:p>
      <w:pPr>
        <w:ind w:firstLine="482"/>
        <w:rPr>
          <w:b/>
          <w:sz w:val="24"/>
        </w:rPr>
      </w:pPr>
    </w:p>
    <w:p>
      <w:pPr>
        <w:rPr>
          <w:rFonts w:ascii="宋体" w:hAnsi="宋体"/>
          <w:b/>
          <w:sz w:val="24"/>
        </w:rPr>
      </w:pPr>
    </w:p>
    <w:p>
      <w:pPr>
        <w:ind w:firstLine="482"/>
        <w:rPr>
          <w:b/>
          <w:sz w:val="24"/>
        </w:rPr>
      </w:pPr>
    </w:p>
    <w:p>
      <w:pPr>
        <w:rPr>
          <w:rFonts w:ascii="宋体" w:hAnsi="宋体"/>
        </w:rPr>
      </w:pPr>
    </w:p>
    <w:p>
      <w:pPr>
        <w:pStyle w:val="4"/>
        <w:numPr>
          <w:ilvl w:val="0"/>
          <w:numId w:val="8"/>
        </w:numPr>
        <w:jc w:val="center"/>
        <w:rPr>
          <w:rFonts w:ascii="宋体" w:hAnsi="宋体" w:cs="黑体"/>
          <w:sz w:val="24"/>
          <w:szCs w:val="24"/>
        </w:rPr>
      </w:pPr>
      <w:r>
        <w:rPr>
          <w:rFonts w:hint="eastAsia" w:ascii="宋体" w:hAnsi="宋体" w:cs="黑体"/>
          <w:sz w:val="24"/>
          <w:szCs w:val="24"/>
        </w:rPr>
        <w:t>项目实施方案（格式自定）</w:t>
      </w:r>
    </w:p>
    <w:p>
      <w:pPr>
        <w:rPr>
          <w:rFonts w:ascii="宋体" w:hAnsi="宋体"/>
          <w:color w:val="0000FF"/>
          <w:kern w:val="0"/>
        </w:rPr>
      </w:pPr>
      <w:r>
        <w:rPr>
          <w:rFonts w:hint="eastAsia" w:ascii="宋体" w:hAnsi="宋体"/>
          <w:color w:val="0000FF"/>
          <w:kern w:val="0"/>
        </w:rPr>
        <w:t>特别提示：</w:t>
      </w:r>
    </w:p>
    <w:p>
      <w:pPr>
        <w:ind w:firstLine="420" w:firstLineChars="200"/>
        <w:rPr>
          <w:rFonts w:ascii="宋体" w:hAnsi="宋体"/>
          <w:color w:val="0000FF"/>
          <w:kern w:val="0"/>
        </w:rPr>
      </w:pPr>
      <w:r>
        <w:rPr>
          <w:rFonts w:hint="eastAsia" w:ascii="宋体" w:hAnsi="宋体"/>
          <w:color w:val="0000FF"/>
          <w:kern w:val="0"/>
        </w:rPr>
        <w:t>供应商需根据商务技术评审因素，逐项响应！</w:t>
      </w:r>
    </w:p>
    <w:p>
      <w:pPr>
        <w:ind w:firstLine="482"/>
        <w:rPr>
          <w:b/>
          <w:sz w:val="24"/>
        </w:rPr>
      </w:pPr>
    </w:p>
    <w:p>
      <w:pPr>
        <w:rPr>
          <w:rFonts w:ascii="宋体" w:hAnsi="宋体"/>
          <w:bCs/>
          <w:sz w:val="24"/>
        </w:rPr>
      </w:pPr>
    </w:p>
    <w:bookmarkEnd w:id="89"/>
    <w:bookmarkEnd w:id="90"/>
    <w:p>
      <w:pPr>
        <w:jc w:val="left"/>
        <w:rPr>
          <w:rFonts w:ascii="宋体" w:hAnsi="宋体" w:cs="方正小标宋_GBK"/>
          <w:b/>
          <w:color w:val="FF0000"/>
          <w:sz w:val="44"/>
          <w:szCs w:val="44"/>
        </w:rPr>
      </w:pPr>
    </w:p>
    <w:p>
      <w:pPr>
        <w:jc w:val="left"/>
        <w:rPr>
          <w:rFonts w:ascii="宋体" w:hAnsi="宋体" w:cs="方正小标宋_GBK"/>
          <w:b/>
          <w:color w:val="FF0000"/>
          <w:sz w:val="44"/>
          <w:szCs w:val="44"/>
        </w:rPr>
      </w:pPr>
    </w:p>
    <w:p>
      <w:pPr>
        <w:jc w:val="left"/>
        <w:rPr>
          <w:rFonts w:ascii="宋体" w:hAnsi="宋体" w:cs="方正小标宋_GBK"/>
          <w:b/>
          <w:color w:val="FF0000"/>
          <w:sz w:val="44"/>
          <w:szCs w:val="44"/>
        </w:rPr>
      </w:pPr>
      <w:r>
        <w:rPr>
          <w:rFonts w:hint="eastAsia" w:ascii="宋体" w:hAnsi="宋体" w:cs="方正小标宋_GBK"/>
          <w:b/>
          <w:color w:val="FF0000"/>
          <w:sz w:val="44"/>
          <w:szCs w:val="44"/>
        </w:rPr>
        <w:t>投标文件附件</w:t>
      </w:r>
    </w:p>
    <w:p>
      <w:pPr>
        <w:pStyle w:val="4"/>
        <w:jc w:val="center"/>
        <w:rPr>
          <w:rFonts w:ascii="宋体" w:hAnsi="宋体"/>
          <w:sz w:val="24"/>
        </w:rPr>
      </w:pPr>
      <w:r>
        <w:rPr>
          <w:rFonts w:hint="eastAsia" w:ascii="宋体" w:hAnsi="宋体"/>
          <w:sz w:val="24"/>
        </w:rPr>
        <w:t>附件一、</w:t>
      </w:r>
      <w:bookmarkStart w:id="106" w:name="_Hlk72092499"/>
      <w:r>
        <w:rPr>
          <w:rFonts w:hint="eastAsia" w:ascii="宋体" w:hAnsi="宋体"/>
          <w:sz w:val="24"/>
        </w:rPr>
        <w:t>法定代表人（负责人）证明书</w:t>
      </w:r>
      <w:bookmarkEnd w:id="106"/>
    </w:p>
    <w:p>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同志，身份证号码：</w:t>
      </w:r>
      <w:r>
        <w:rPr>
          <w:rFonts w:hint="eastAsia" w:ascii="宋体" w:hAnsi="宋体"/>
          <w:u w:val="single"/>
        </w:rPr>
        <w:t xml:space="preserve">               </w:t>
      </w:r>
      <w:r>
        <w:rPr>
          <w:rFonts w:hint="eastAsia" w:ascii="宋体" w:hAnsi="宋体"/>
        </w:rPr>
        <w:t>，现任我单位</w:t>
      </w:r>
      <w:r>
        <w:rPr>
          <w:rFonts w:hint="eastAsia" w:ascii="宋体" w:hAnsi="宋体"/>
          <w:u w:val="single"/>
        </w:rPr>
        <w:t xml:space="preserve">         </w:t>
      </w:r>
      <w:r>
        <w:rPr>
          <w:rFonts w:hint="eastAsia" w:ascii="宋体" w:hAnsi="宋体"/>
        </w:rPr>
        <w:t>职务，为法定代表人（负责人），特此证明。</w:t>
      </w:r>
    </w:p>
    <w:tbl>
      <w:tblPr>
        <w:tblStyle w:val="39"/>
        <w:tblpPr w:leftFromText="180" w:rightFromText="180" w:vertAnchor="text" w:horzAnchor="page" w:tblpX="2368" w:tblpY="250"/>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80" w:hRule="atLeast"/>
        </w:trPr>
        <w:tc>
          <w:tcPr>
            <w:tcW w:w="7280" w:type="dxa"/>
          </w:tcPr>
          <w:p>
            <w:pPr>
              <w:rPr>
                <w:rFonts w:ascii="宋体" w:hAnsi="宋体"/>
              </w:rPr>
            </w:pPr>
          </w:p>
          <w:p>
            <w:pPr>
              <w:pStyle w:val="13"/>
              <w:ind w:left="1260" w:hanging="420"/>
              <w:rPr>
                <w:rFonts w:ascii="宋体" w:hAnsi="宋体"/>
              </w:rPr>
            </w:pPr>
          </w:p>
          <w:p>
            <w:pPr>
              <w:jc w:val="center"/>
              <w:rPr>
                <w:rFonts w:ascii="宋体" w:hAnsi="宋体"/>
              </w:rPr>
            </w:pPr>
            <w:r>
              <w:rPr>
                <w:rFonts w:hint="eastAsia" w:ascii="宋体" w:hAnsi="宋体"/>
              </w:rPr>
              <w:t>★粘贴：法定代表人（负责人）身份证扫描件（正反两面）；</w:t>
            </w:r>
          </w:p>
          <w:p>
            <w:pPr>
              <w:jc w:val="center"/>
              <w:rPr>
                <w:rFonts w:ascii="宋体" w:hAnsi="宋体"/>
              </w:rPr>
            </w:pPr>
            <w:r>
              <w:rPr>
                <w:rFonts w:hint="eastAsia" w:ascii="宋体" w:hAnsi="宋体"/>
              </w:rPr>
              <w:t>非中国国籍管辖范围人员，可提供公安部门认可的身份证明材料扫描件。</w:t>
            </w:r>
          </w:p>
          <w:p>
            <w:pPr>
              <w:pStyle w:val="125"/>
              <w:widowControl w:val="0"/>
              <w:ind w:firstLine="480"/>
              <w:rPr>
                <w:rFonts w:hint="default"/>
              </w:rPr>
            </w:pPr>
          </w:p>
        </w:tc>
      </w:tr>
    </w:tbl>
    <w:p>
      <w:pPr>
        <w:pStyle w:val="13"/>
        <w:ind w:left="1260" w:hanging="420"/>
        <w:rPr>
          <w:rFonts w:ascii="宋体" w:hAnsi="宋体"/>
        </w:rPr>
      </w:pPr>
      <w:r>
        <w:rPr>
          <w:rFonts w:hint="eastAsia" w:ascii="宋体" w:hAnsi="宋体"/>
        </w:rPr>
        <w:t xml:space="preserve">       </w:t>
      </w:r>
    </w:p>
    <w:p>
      <w:pPr>
        <w:pStyle w:val="13"/>
        <w:ind w:left="1260" w:hanging="420"/>
        <w:rPr>
          <w:rFonts w:ascii="宋体" w:hAnsi="宋体"/>
        </w:rPr>
      </w:pPr>
      <w:r>
        <w:rPr>
          <w:rFonts w:hint="eastAsia" w:ascii="宋体" w:hAnsi="宋体"/>
        </w:rPr>
        <w:t xml:space="preserve">                                         </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说明：</w:t>
      </w:r>
    </w:p>
    <w:p>
      <w:pPr>
        <w:ind w:firstLine="480"/>
        <w:rPr>
          <w:rFonts w:ascii="宋体" w:hAnsi="宋体"/>
        </w:rPr>
      </w:pPr>
      <w:r>
        <w:rPr>
          <w:rFonts w:hint="eastAsia" w:ascii="宋体" w:hAnsi="宋体"/>
        </w:rPr>
        <w:t>1、法定代表人为投标人（企业事业单位、国家机关、社会团体）的主要行政负责人。</w:t>
      </w:r>
      <w:r>
        <w:rPr>
          <w:rFonts w:ascii="宋体" w:hAnsi="宋体"/>
        </w:rPr>
        <w:t>对于银行、保险、电信、邮政、铁路等行业以及获得总公司投标授权的分公司，可以提供投标分支机构负责人授权书</w:t>
      </w:r>
    </w:p>
    <w:p>
      <w:pPr>
        <w:spacing w:line="360" w:lineRule="auto"/>
        <w:ind w:firstLine="420" w:firstLineChars="200"/>
        <w:rPr>
          <w:rFonts w:ascii="宋体" w:hAnsi="宋体"/>
        </w:rPr>
      </w:pPr>
      <w:r>
        <w:rPr>
          <w:rFonts w:ascii="宋体" w:hAnsi="宋体"/>
        </w:rPr>
        <w:t xml:space="preserve"> </w:t>
      </w:r>
      <w:r>
        <w:rPr>
          <w:rFonts w:hint="eastAsia" w:ascii="宋体" w:hAnsi="宋体"/>
        </w:rPr>
        <w:t>2、内容必须填写真实、清楚，涂改无效，不得转让、买卖。</w:t>
      </w:r>
    </w:p>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ascii="宋体" w:hAnsi="宋体"/>
        </w:rPr>
        <w:t>：_________________</w:t>
      </w:r>
    </w:p>
    <w:p>
      <w:pPr>
        <w:jc w:val="center"/>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rPr>
          <w:rFonts w:ascii="宋体" w:hAnsi="宋体"/>
        </w:rPr>
      </w:pPr>
    </w:p>
    <w:p>
      <w:pPr>
        <w:pStyle w:val="4"/>
        <w:spacing w:before="120" w:after="120"/>
        <w:jc w:val="center"/>
        <w:rPr>
          <w:rFonts w:ascii="宋体" w:hAnsi="宋体"/>
          <w:bCs w:val="0"/>
          <w:sz w:val="24"/>
        </w:rPr>
      </w:pPr>
    </w:p>
    <w:p>
      <w:pPr>
        <w:pStyle w:val="4"/>
        <w:spacing w:before="120" w:after="120"/>
        <w:jc w:val="center"/>
        <w:rPr>
          <w:rFonts w:ascii="宋体" w:hAnsi="宋体"/>
          <w:bCs w:val="0"/>
          <w:sz w:val="24"/>
        </w:rPr>
      </w:pPr>
    </w:p>
    <w:p>
      <w:pPr>
        <w:pStyle w:val="4"/>
        <w:spacing w:before="120" w:after="120"/>
        <w:ind w:firstLine="2289" w:firstLineChars="950"/>
        <w:rPr>
          <w:rFonts w:ascii="宋体" w:hAnsi="宋体"/>
          <w:sz w:val="24"/>
        </w:rPr>
      </w:pPr>
      <w:r>
        <w:rPr>
          <w:rFonts w:hint="eastAsia" w:ascii="宋体" w:hAnsi="宋体"/>
          <w:sz w:val="24"/>
        </w:rPr>
        <w:t>附件二、投标文件签署授权委托书</w:t>
      </w:r>
    </w:p>
    <w:p>
      <w:pPr>
        <w:spacing w:line="360" w:lineRule="auto"/>
        <w:ind w:firstLine="420" w:firstLineChars="200"/>
        <w:rPr>
          <w:rFonts w:ascii="宋体" w:hAnsi="宋体"/>
        </w:rPr>
      </w:pPr>
      <w:r>
        <w:rPr>
          <w:rFonts w:hint="eastAsia" w:ascii="宋体" w:hAnsi="宋体"/>
        </w:rPr>
        <w:t>本授权委托书声明：我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（投标人名称）的法定代表人（负责人），现授权委托</w:t>
      </w:r>
      <w:r>
        <w:rPr>
          <w:rFonts w:hint="eastAsia" w:ascii="宋体" w:hAnsi="宋体"/>
          <w:u w:val="single"/>
        </w:rPr>
        <w:t xml:space="preserve">            </w:t>
      </w:r>
      <w:r>
        <w:rPr>
          <w:rFonts w:hint="eastAsia" w:ascii="宋体" w:hAnsi="宋体"/>
        </w:rPr>
        <w:t>（姓名）为我单位签署本项目已递交的投标文件的法定代表人（负责人）的授权委托代理人，并以我单位的名义签署响应书和响应文件，与贵单位协商、澄清、解释，质疑，签订合同书并执行一切与此有关的事项。代理人全权代表我所签署的本项目已递交的投标文件内容我均承认。</w:t>
      </w:r>
    </w:p>
    <w:p>
      <w:pPr>
        <w:spacing w:line="360" w:lineRule="auto"/>
        <w:rPr>
          <w:rFonts w:ascii="宋体" w:hAnsi="宋体"/>
        </w:rPr>
      </w:pPr>
      <w:r>
        <w:rPr>
          <w:rFonts w:hint="eastAsia" w:ascii="宋体" w:hAnsi="宋体"/>
        </w:rPr>
        <w:t>代理人无转委托权，特此委托。</w:t>
      </w:r>
    </w:p>
    <w:p>
      <w:pPr>
        <w:rPr>
          <w:rFonts w:ascii="宋体" w:hAnsi="宋体"/>
        </w:rPr>
      </w:pPr>
    </w:p>
    <w:tbl>
      <w:tblPr>
        <w:tblStyle w:val="39"/>
        <w:tblpPr w:leftFromText="180" w:rightFromText="180" w:vertAnchor="text" w:horzAnchor="page" w:tblpX="2353" w:tblpY="12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80" w:hRule="atLeast"/>
        </w:trPr>
        <w:tc>
          <w:tcPr>
            <w:tcW w:w="7280" w:type="dxa"/>
          </w:tcPr>
          <w:p>
            <w:pPr>
              <w:rPr>
                <w:rFonts w:ascii="宋体" w:hAnsi="宋体"/>
              </w:rPr>
            </w:pPr>
          </w:p>
          <w:p>
            <w:pPr>
              <w:pStyle w:val="13"/>
              <w:ind w:left="1260" w:hanging="420"/>
              <w:rPr>
                <w:rFonts w:ascii="宋体" w:hAnsi="宋体"/>
              </w:rPr>
            </w:pPr>
          </w:p>
          <w:p>
            <w:pPr>
              <w:ind w:firstLine="1470" w:firstLineChars="700"/>
              <w:rPr>
                <w:rFonts w:ascii="宋体" w:hAnsi="宋体"/>
                <w:bCs/>
              </w:rPr>
            </w:pPr>
            <w:r>
              <w:rPr>
                <w:rFonts w:hint="eastAsia" w:ascii="宋体" w:hAnsi="宋体"/>
              </w:rPr>
              <w:t>★粘贴：</w:t>
            </w:r>
            <w:r>
              <w:rPr>
                <w:rFonts w:hint="eastAsia" w:ascii="宋体" w:hAnsi="宋体"/>
                <w:bCs/>
              </w:rPr>
              <w:t>代理人身份证扫描件（正反两面）</w:t>
            </w:r>
          </w:p>
          <w:p>
            <w:pPr>
              <w:pStyle w:val="125"/>
              <w:widowControl w:val="0"/>
              <w:ind w:firstLine="480"/>
              <w:rPr>
                <w:rFonts w:hint="default"/>
              </w:rPr>
            </w:pPr>
          </w:p>
        </w:tc>
      </w:tr>
    </w:tbl>
    <w:p>
      <w:pPr>
        <w:spacing w:line="360" w:lineRule="auto"/>
        <w:rPr>
          <w:rFonts w:ascii="宋体" w:hAnsi="宋体"/>
        </w:rPr>
      </w:pPr>
    </w:p>
    <w:p>
      <w:pPr>
        <w:spacing w:line="360" w:lineRule="auto"/>
        <w:ind w:left="540" w:leftChars="257"/>
        <w:rPr>
          <w:rFonts w:ascii="宋体" w:hAnsi="宋体"/>
        </w:rPr>
      </w:pPr>
    </w:p>
    <w:p>
      <w:pPr>
        <w:spacing w:line="360" w:lineRule="auto"/>
        <w:ind w:left="540" w:leftChars="257"/>
        <w:rPr>
          <w:rFonts w:ascii="宋体" w:hAnsi="宋体"/>
        </w:rPr>
      </w:pPr>
    </w:p>
    <w:p>
      <w:pPr>
        <w:spacing w:line="360" w:lineRule="auto"/>
        <w:ind w:left="540" w:leftChars="257"/>
        <w:rPr>
          <w:rFonts w:ascii="宋体" w:hAnsi="宋体"/>
        </w:rPr>
      </w:pPr>
    </w:p>
    <w:p>
      <w:pPr>
        <w:spacing w:line="360" w:lineRule="auto"/>
        <w:ind w:left="540" w:leftChars="257"/>
        <w:rPr>
          <w:rFonts w:ascii="宋体" w:hAnsi="宋体"/>
        </w:rPr>
      </w:pPr>
    </w:p>
    <w:p>
      <w:pPr>
        <w:spacing w:line="360" w:lineRule="auto"/>
        <w:ind w:left="540" w:leftChars="257"/>
        <w:rPr>
          <w:rFonts w:ascii="宋体" w:hAnsi="宋体"/>
        </w:rPr>
      </w:pPr>
    </w:p>
    <w:p>
      <w:pPr>
        <w:spacing w:line="360" w:lineRule="auto"/>
        <w:ind w:left="540" w:leftChars="257"/>
        <w:rPr>
          <w:rFonts w:ascii="宋体" w:hAnsi="宋体"/>
        </w:rPr>
      </w:pPr>
    </w:p>
    <w:p>
      <w:pPr>
        <w:spacing w:line="360" w:lineRule="auto"/>
        <w:ind w:left="540" w:leftChars="257"/>
        <w:rPr>
          <w:rFonts w:ascii="宋体" w:hAnsi="宋体"/>
        </w:rPr>
      </w:pPr>
    </w:p>
    <w:p>
      <w:pPr>
        <w:spacing w:line="360" w:lineRule="auto"/>
        <w:ind w:left="540" w:leftChars="257"/>
        <w:rPr>
          <w:rFonts w:ascii="宋体" w:hAnsi="宋体"/>
          <w:u w:val="single"/>
        </w:rPr>
      </w:pPr>
      <w:r>
        <w:rPr>
          <w:rFonts w:hint="eastAsia" w:ascii="宋体" w:hAnsi="宋体"/>
        </w:rPr>
        <w:t>代理人：</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spacing w:line="360" w:lineRule="auto"/>
        <w:ind w:left="540" w:leftChars="257"/>
        <w:rPr>
          <w:rFonts w:ascii="宋体" w:hAnsi="宋体"/>
          <w:u w:val="single"/>
        </w:rPr>
      </w:pPr>
      <w:r>
        <w:rPr>
          <w:rFonts w:hint="eastAsia" w:ascii="宋体" w:hAnsi="宋体"/>
        </w:rPr>
        <w:t>电话：</w:t>
      </w:r>
      <w:r>
        <w:rPr>
          <w:rFonts w:hint="eastAsia" w:ascii="宋体" w:hAnsi="宋体"/>
          <w:u w:val="single"/>
        </w:rPr>
        <w:t xml:space="preserve">             </w:t>
      </w:r>
      <w:r>
        <w:rPr>
          <w:rFonts w:hint="eastAsia" w:ascii="宋体" w:hAnsi="宋体"/>
        </w:rPr>
        <w:t xml:space="preserve">  手机：</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spacing w:line="360" w:lineRule="auto"/>
        <w:ind w:left="540" w:leftChars="257"/>
        <w:rPr>
          <w:rFonts w:ascii="宋体" w:hAnsi="宋体"/>
          <w:u w:val="single"/>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p>
    <w:p>
      <w:pPr>
        <w:spacing w:line="360" w:lineRule="auto"/>
        <w:ind w:left="540" w:leftChars="257"/>
        <w:rPr>
          <w:rFonts w:ascii="宋体" w:hAnsi="宋体"/>
        </w:rPr>
      </w:pPr>
      <w:r>
        <w:rPr>
          <w:rFonts w:hint="eastAsia" w:ascii="宋体" w:hAnsi="宋体"/>
        </w:rPr>
        <w:t>授权委托日期：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jc w:val="center"/>
        <w:rPr>
          <w:rFonts w:ascii="宋体" w:hAnsi="宋体"/>
        </w:rPr>
      </w:pPr>
      <w:r>
        <w:rPr>
          <w:rFonts w:hint="eastAsia" w:ascii="宋体" w:hAnsi="宋体"/>
        </w:rPr>
        <w:t xml:space="preserve">                                            </w:t>
      </w:r>
    </w:p>
    <w:p>
      <w:pPr>
        <w:jc w:val="center"/>
        <w:rPr>
          <w:rFonts w:ascii="宋体" w:hAnsi="宋体"/>
        </w:rPr>
      </w:pPr>
      <w:r>
        <w:rPr>
          <w:rFonts w:hint="eastAsia" w:ascii="宋体" w:hAnsi="宋体"/>
        </w:rPr>
        <w:t xml:space="preserve">                                                    </w:t>
      </w:r>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ascii="宋体" w:hAnsi="宋体"/>
        </w:rPr>
        <w:t>：_________________</w:t>
      </w:r>
    </w:p>
    <w:p>
      <w:pPr>
        <w:jc w:val="center"/>
        <w:rPr>
          <w:rFonts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spacing w:line="360" w:lineRule="auto"/>
        <w:ind w:firstLine="422" w:firstLineChars="200"/>
        <w:rPr>
          <w:rFonts w:ascii="宋体" w:hAnsi="宋体"/>
          <w:b/>
        </w:rPr>
      </w:pPr>
    </w:p>
    <w:p>
      <w:pPr>
        <w:pStyle w:val="4"/>
        <w:jc w:val="center"/>
        <w:rPr>
          <w:rFonts w:ascii="宋体" w:hAnsi="宋体"/>
          <w:bCs w:val="0"/>
          <w:kern w:val="0"/>
          <w:sz w:val="24"/>
          <w:szCs w:val="24"/>
        </w:rPr>
      </w:pPr>
    </w:p>
    <w:p>
      <w:pPr>
        <w:pStyle w:val="13"/>
        <w:kinsoku w:val="0"/>
        <w:overflowPunct w:val="0"/>
        <w:spacing w:before="34" w:line="357" w:lineRule="auto"/>
        <w:ind w:left="1322" w:right="126" w:hanging="482"/>
        <w:jc w:val="center"/>
        <w:rPr>
          <w:rFonts w:ascii="宋体" w:hAnsi="宋体" w:cs="黑体"/>
          <w:b/>
          <w:bCs/>
          <w:sz w:val="24"/>
          <w:szCs w:val="24"/>
        </w:rPr>
      </w:pPr>
      <w:r>
        <w:rPr>
          <w:rFonts w:hint="eastAsia" w:ascii="宋体" w:hAnsi="宋体" w:cs="黑体"/>
          <w:b/>
          <w:bCs/>
          <w:sz w:val="24"/>
          <w:szCs w:val="24"/>
        </w:rPr>
        <w:t>附件三、投标保证金缴纳凭证</w:t>
      </w:r>
    </w:p>
    <w:p>
      <w:pPr>
        <w:pStyle w:val="13"/>
        <w:kinsoku w:val="0"/>
        <w:overflowPunct w:val="0"/>
        <w:ind w:left="1262" w:hanging="422"/>
        <w:rPr>
          <w:rFonts w:ascii="宋体" w:hAnsi="宋体"/>
          <w:b/>
          <w:bCs/>
        </w:rPr>
      </w:pPr>
    </w:p>
    <w:p>
      <w:pPr>
        <w:rPr>
          <w:rFonts w:ascii="宋体" w:hAnsi="宋体"/>
          <w:color w:val="000000"/>
        </w:rPr>
      </w:pPr>
      <w:r>
        <w:rPr>
          <w:rFonts w:hint="eastAsia" w:ascii="宋体" w:hAnsi="宋体"/>
          <w:color w:val="000000"/>
        </w:rPr>
        <w:t>致：</w:t>
      </w:r>
      <w:r>
        <w:rPr>
          <w:rFonts w:hint="eastAsia" w:ascii="宋体" w:hAnsi="宋体"/>
          <w:u w:val="single"/>
        </w:rPr>
        <w:t xml:space="preserve"> </w:t>
      </w:r>
      <w:r>
        <w:rPr>
          <w:rFonts w:hint="eastAsia" w:ascii="宋体" w:hAnsi="宋体"/>
          <w:color w:val="000000"/>
          <w:u w:val="single"/>
        </w:rPr>
        <w:t xml:space="preserve"> 巴州政务服务和公共资源交易中心</w:t>
      </w:r>
    </w:p>
    <w:p>
      <w:pPr>
        <w:ind w:firstLine="420" w:firstLineChars="200"/>
        <w:rPr>
          <w:rFonts w:ascii="宋体" w:hAnsi="宋体"/>
        </w:rPr>
      </w:pPr>
      <w:r>
        <w:rPr>
          <w:rFonts w:hint="eastAsia" w:ascii="宋体" w:hAnsi="宋体"/>
        </w:rPr>
        <w:t>我方于</w:t>
      </w:r>
      <w:r>
        <w:rPr>
          <w:rFonts w:hint="eastAsia" w:ascii="宋体" w:hAnsi="宋体"/>
        </w:rPr>
        <w:tab/>
      </w:r>
      <w:r>
        <w:rPr>
          <w:rFonts w:hint="eastAsia" w:ascii="宋体" w:hAnsi="宋体"/>
        </w:rPr>
        <w:t xml:space="preserve">   年</w:t>
      </w:r>
      <w:r>
        <w:rPr>
          <w:rFonts w:hint="eastAsia" w:ascii="宋体" w:hAnsi="宋体"/>
        </w:rPr>
        <w:tab/>
      </w:r>
      <w:r>
        <w:rPr>
          <w:rFonts w:hint="eastAsia" w:ascii="宋体" w:hAnsi="宋体"/>
        </w:rPr>
        <w:t>月</w:t>
      </w:r>
      <w:r>
        <w:rPr>
          <w:rFonts w:hint="eastAsia" w:ascii="宋体" w:hAnsi="宋体"/>
        </w:rPr>
        <w:tab/>
      </w:r>
      <w:r>
        <w:rPr>
          <w:rFonts w:hint="eastAsia" w:ascii="宋体" w:hAnsi="宋体"/>
        </w:rPr>
        <w:t xml:space="preserve"> 日参加</w:t>
      </w:r>
      <w:r>
        <w:rPr>
          <w:rFonts w:hint="eastAsia" w:ascii="宋体" w:hAnsi="宋体"/>
        </w:rPr>
        <w:tab/>
      </w:r>
      <w:r>
        <w:rPr>
          <w:rFonts w:hint="eastAsia" w:ascii="宋体" w:hAnsi="宋体"/>
        </w:rPr>
        <w:t>（项目名称）   的投标，现保证：我方在规定的投标有效期内撤销或修改投标文件的，或者在收到中标通知书后无正当理由拒签合同或拒交规定履约担保的，投标保证金不予退还。</w:t>
      </w:r>
    </w:p>
    <w:p>
      <w:pPr>
        <w:ind w:firstLine="420" w:firstLineChars="200"/>
        <w:rPr>
          <w:rFonts w:ascii="宋体" w:hAnsi="宋体"/>
        </w:rPr>
      </w:pPr>
    </w:p>
    <w:p>
      <w:pPr>
        <w:jc w:val="center"/>
        <w:rPr>
          <w:rFonts w:ascii="宋体" w:hAnsi="宋体"/>
        </w:rPr>
      </w:pPr>
      <w:r>
        <w:rPr>
          <w:rFonts w:hint="eastAsia" w:ascii="宋体" w:hAnsi="宋体"/>
        </w:rPr>
        <w:t xml:space="preserve">                                              </w:t>
      </w:r>
    </w:p>
    <w:tbl>
      <w:tblPr>
        <w:tblStyle w:val="39"/>
        <w:tblpPr w:leftFromText="180" w:rightFromText="180" w:vertAnchor="text" w:horzAnchor="page" w:tblpX="2353" w:tblpY="127"/>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80" w:hRule="atLeast"/>
        </w:trPr>
        <w:tc>
          <w:tcPr>
            <w:tcW w:w="7280" w:type="dxa"/>
          </w:tcPr>
          <w:p>
            <w:pPr>
              <w:rPr>
                <w:rFonts w:ascii="宋体" w:hAnsi="宋体"/>
              </w:rPr>
            </w:pPr>
          </w:p>
          <w:p>
            <w:pPr>
              <w:pStyle w:val="13"/>
              <w:ind w:left="1260" w:hanging="420"/>
              <w:rPr>
                <w:rFonts w:ascii="宋体" w:hAnsi="宋体"/>
              </w:rPr>
            </w:pPr>
          </w:p>
          <w:p>
            <w:pPr>
              <w:ind w:firstLine="1470" w:firstLineChars="700"/>
              <w:rPr>
                <w:rFonts w:ascii="宋体" w:hAnsi="宋体"/>
              </w:rPr>
            </w:pPr>
            <w:r>
              <w:rPr>
                <w:rFonts w:hint="eastAsia" w:ascii="宋体" w:hAnsi="宋体"/>
              </w:rPr>
              <w:t>★粘贴：投标保证金缴费回单复印件加盖公章</w:t>
            </w:r>
          </w:p>
          <w:p>
            <w:pPr>
              <w:pStyle w:val="125"/>
              <w:widowControl w:val="0"/>
              <w:ind w:firstLine="480"/>
              <w:rPr>
                <w:rFonts w:hint="default"/>
              </w:rPr>
            </w:pPr>
          </w:p>
        </w:tc>
      </w:tr>
    </w:tbl>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hint="eastAsia" w:ascii="宋体" w:hAnsi="宋体"/>
          <w:u w:val="single"/>
        </w:rPr>
        <w:t xml:space="preserve">         </w:t>
      </w:r>
      <w:r>
        <w:rPr>
          <w:rFonts w:hint="eastAsia" w:ascii="宋体" w:hAnsi="宋体"/>
        </w:rPr>
        <w:tab/>
      </w:r>
      <w:r>
        <w:rPr>
          <w:rFonts w:hint="eastAsia" w:ascii="宋体" w:hAnsi="宋体"/>
        </w:rPr>
        <w:t xml:space="preserve">  </w:t>
      </w:r>
    </w:p>
    <w:p>
      <w:pPr>
        <w:jc w:val="center"/>
        <w:rPr>
          <w:rFonts w:ascii="宋体" w:hAnsi="宋体"/>
          <w:b/>
          <w:bCs/>
          <w:lang w:val="en-GB"/>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sz w:val="24"/>
        </w:rPr>
        <w:t xml:space="preserve"> </w:t>
      </w:r>
    </w:p>
    <w:p>
      <w:pPr>
        <w:pStyle w:val="13"/>
        <w:kinsoku w:val="0"/>
        <w:overflowPunct w:val="0"/>
        <w:spacing w:before="34" w:line="357" w:lineRule="auto"/>
        <w:ind w:left="840" w:right="126" w:firstLine="3639" w:firstLineChars="1726"/>
        <w:rPr>
          <w:rFonts w:ascii="宋体" w:hAnsi="宋体"/>
          <w:b/>
          <w:bCs/>
          <w:lang w:val="en-GB"/>
        </w:rPr>
      </w:pPr>
    </w:p>
    <w:p>
      <w:pPr>
        <w:pStyle w:val="13"/>
        <w:kinsoku w:val="0"/>
        <w:overflowPunct w:val="0"/>
        <w:spacing w:before="34" w:line="357" w:lineRule="auto"/>
        <w:ind w:left="840" w:right="126" w:firstLine="1928" w:firstLineChars="800"/>
        <w:jc w:val="left"/>
        <w:rPr>
          <w:rFonts w:ascii="宋体" w:hAnsi="宋体" w:cs="黑体"/>
          <w:b/>
          <w:bCs/>
          <w:sz w:val="24"/>
          <w:szCs w:val="24"/>
        </w:rPr>
      </w:pPr>
    </w:p>
    <w:p>
      <w:pPr>
        <w:pStyle w:val="13"/>
        <w:kinsoku w:val="0"/>
        <w:overflowPunct w:val="0"/>
        <w:spacing w:before="34" w:line="357" w:lineRule="auto"/>
        <w:ind w:left="840" w:right="126" w:firstLine="2168" w:firstLineChars="900"/>
        <w:jc w:val="left"/>
        <w:rPr>
          <w:rFonts w:ascii="宋体" w:hAnsi="宋体" w:cs="黑体"/>
          <w:b/>
          <w:bCs/>
          <w:sz w:val="24"/>
          <w:szCs w:val="24"/>
        </w:rPr>
      </w:pPr>
      <w:r>
        <w:rPr>
          <w:rFonts w:hint="eastAsia" w:ascii="宋体" w:hAnsi="宋体" w:cs="黑体"/>
          <w:b/>
          <w:bCs/>
          <w:sz w:val="24"/>
          <w:szCs w:val="24"/>
        </w:rPr>
        <w:t>附件四、</w:t>
      </w:r>
      <w:r>
        <w:rPr>
          <w:rFonts w:hint="eastAsia" w:ascii="宋体" w:hAnsi="宋体" w:cs="黑体"/>
          <w:b/>
          <w:bCs/>
          <w:sz w:val="24"/>
          <w:szCs w:val="24"/>
          <w:lang w:val="en-GB"/>
        </w:rPr>
        <w:t>联合体协议书（</w:t>
      </w:r>
      <w:r>
        <w:rPr>
          <w:rFonts w:hint="eastAsia" w:ascii="宋体" w:hAnsi="宋体" w:cs="黑体"/>
          <w:b/>
          <w:bCs/>
          <w:sz w:val="24"/>
          <w:szCs w:val="24"/>
        </w:rPr>
        <w:t>非联合体无须填写</w:t>
      </w:r>
      <w:r>
        <w:rPr>
          <w:rFonts w:hint="eastAsia" w:ascii="宋体" w:hAnsi="宋体" w:cs="黑体"/>
          <w:b/>
          <w:bCs/>
          <w:sz w:val="24"/>
          <w:szCs w:val="24"/>
          <w:lang w:val="en-GB"/>
        </w:rPr>
        <w:t>）</w:t>
      </w:r>
    </w:p>
    <w:p>
      <w:pPr>
        <w:spacing w:line="360" w:lineRule="auto"/>
        <w:rPr>
          <w:rFonts w:ascii="宋体" w:hAnsi="宋体" w:cs="宋体"/>
          <w:kern w:val="0"/>
          <w:lang w:val="en-GB"/>
        </w:rPr>
      </w:pPr>
      <w:r>
        <w:rPr>
          <w:rFonts w:hint="eastAsia" w:ascii="宋体" w:hAnsi="宋体" w:cs="宋体"/>
          <w:kern w:val="0"/>
          <w:lang w:val="en-GB"/>
        </w:rPr>
        <w:t>牵头人名称：</w:t>
      </w:r>
      <w:r>
        <w:rPr>
          <w:rFonts w:hint="eastAsia" w:ascii="宋体" w:hAnsi="宋体" w:cs="宋体"/>
          <w:kern w:val="0"/>
          <w:u w:val="single"/>
        </w:rPr>
        <w:t xml:space="preserve"> </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lang w:val="en-GB"/>
        </w:rPr>
        <w:t xml:space="preserve">                                                       </w:t>
      </w:r>
    </w:p>
    <w:p>
      <w:pPr>
        <w:spacing w:line="360" w:lineRule="auto"/>
        <w:rPr>
          <w:rFonts w:ascii="宋体" w:hAnsi="宋体" w:cs="宋体"/>
          <w:kern w:val="0"/>
          <w:lang w:val="en-GB"/>
        </w:rPr>
      </w:pPr>
      <w:r>
        <w:rPr>
          <w:rFonts w:hint="eastAsia" w:ascii="宋体" w:hAnsi="宋体" w:cs="宋体"/>
          <w:kern w:val="0"/>
          <w:lang w:val="en-GB"/>
        </w:rPr>
        <w:t>法定代表人：</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lang w:val="en-GB"/>
        </w:rPr>
        <w:t xml:space="preserve">                                                          </w:t>
      </w:r>
    </w:p>
    <w:p>
      <w:pPr>
        <w:spacing w:line="360" w:lineRule="auto"/>
        <w:rPr>
          <w:rFonts w:ascii="宋体" w:hAnsi="宋体" w:cs="宋体"/>
          <w:kern w:val="0"/>
          <w:lang w:val="en-GB"/>
        </w:rPr>
      </w:pPr>
      <w:r>
        <w:rPr>
          <w:rFonts w:hint="eastAsia" w:ascii="宋体" w:hAnsi="宋体" w:cs="宋体"/>
          <w:kern w:val="0"/>
          <w:lang w:val="en-GB"/>
        </w:rPr>
        <w:t>法定住所：</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lang w:val="en-GB"/>
        </w:rPr>
        <w:t xml:space="preserve">                                                         </w:t>
      </w:r>
    </w:p>
    <w:p>
      <w:pPr>
        <w:spacing w:line="360" w:lineRule="auto"/>
        <w:rPr>
          <w:rFonts w:ascii="宋体" w:hAnsi="宋体" w:cs="宋体"/>
          <w:kern w:val="0"/>
          <w:lang w:val="en-GB"/>
        </w:rPr>
      </w:pPr>
      <w:r>
        <w:rPr>
          <w:rFonts w:hint="eastAsia" w:ascii="宋体" w:hAnsi="宋体" w:cs="宋体"/>
          <w:kern w:val="0"/>
          <w:lang w:val="en-GB"/>
        </w:rPr>
        <w:t>成员二名称：</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lang w:val="en-GB"/>
        </w:rPr>
        <w:t xml:space="preserve">                                                          </w:t>
      </w:r>
    </w:p>
    <w:p>
      <w:pPr>
        <w:spacing w:line="360" w:lineRule="auto"/>
        <w:rPr>
          <w:rFonts w:ascii="宋体" w:hAnsi="宋体" w:cs="宋体"/>
          <w:kern w:val="0"/>
          <w:lang w:val="en-GB"/>
        </w:rPr>
      </w:pPr>
      <w:r>
        <w:rPr>
          <w:rFonts w:hint="eastAsia" w:ascii="宋体" w:hAnsi="宋体" w:cs="宋体"/>
          <w:kern w:val="0"/>
          <w:lang w:val="en-GB"/>
        </w:rPr>
        <w:t>法定代表人：</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lang w:val="en-GB"/>
        </w:rPr>
        <w:t xml:space="preserve">                                                          </w:t>
      </w:r>
    </w:p>
    <w:p>
      <w:pPr>
        <w:spacing w:line="360" w:lineRule="auto"/>
        <w:rPr>
          <w:rFonts w:ascii="宋体" w:hAnsi="宋体" w:cs="宋体"/>
          <w:kern w:val="0"/>
          <w:lang w:val="en-GB"/>
        </w:rPr>
      </w:pPr>
      <w:r>
        <w:rPr>
          <w:rFonts w:hint="eastAsia" w:ascii="宋体" w:hAnsi="宋体" w:cs="宋体"/>
          <w:kern w:val="0"/>
          <w:lang w:val="en-GB"/>
        </w:rPr>
        <w:t xml:space="preserve">法定住所： </w:t>
      </w:r>
      <w:r>
        <w:rPr>
          <w:rFonts w:hint="eastAsia" w:ascii="宋体" w:hAnsi="宋体" w:cs="宋体"/>
          <w:kern w:val="0"/>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lang w:val="en-GB"/>
        </w:rPr>
        <w:t xml:space="preserve">                                                           </w:t>
      </w:r>
    </w:p>
    <w:p>
      <w:pPr>
        <w:spacing w:line="360" w:lineRule="auto"/>
        <w:ind w:firstLine="420" w:firstLineChars="200"/>
        <w:rPr>
          <w:rFonts w:ascii="宋体" w:hAnsi="宋体" w:cs="宋体"/>
          <w:kern w:val="0"/>
          <w:lang w:val="en-GB"/>
        </w:rPr>
      </w:pPr>
      <w:r>
        <w:rPr>
          <w:rFonts w:hint="eastAsia" w:ascii="宋体" w:hAnsi="宋体" w:cs="宋体"/>
          <w:kern w:val="0"/>
          <w:lang w:val="en-GB"/>
        </w:rPr>
        <w:t>鉴于上述各成员单位经过友好协商，自愿组成       （联合体名称）联合体，共同参加               （采购人名称）（以下简称采购人）        （项目名称）      标段（以下简称本项目）的项目投标并争取赢得本项目采购合同（以下简称合同）。现就联合体投标事宜订立如下协议：</w:t>
      </w:r>
    </w:p>
    <w:p>
      <w:pPr>
        <w:spacing w:line="360" w:lineRule="auto"/>
        <w:ind w:firstLine="420" w:firstLineChars="200"/>
        <w:rPr>
          <w:rFonts w:ascii="宋体" w:hAnsi="宋体" w:cs="宋体"/>
          <w:kern w:val="0"/>
          <w:lang w:val="en-GB"/>
        </w:rPr>
      </w:pPr>
      <w:r>
        <w:rPr>
          <w:rFonts w:hint="eastAsia" w:ascii="宋体" w:hAnsi="宋体" w:cs="宋体"/>
          <w:kern w:val="0"/>
          <w:lang w:val="en-GB"/>
        </w:rPr>
        <w:t>1．        （某成员单位名称）为              （联合体名称）牵头人。</w:t>
      </w:r>
    </w:p>
    <w:p>
      <w:pPr>
        <w:spacing w:line="360" w:lineRule="auto"/>
        <w:ind w:firstLine="420" w:firstLineChars="200"/>
        <w:rPr>
          <w:rFonts w:ascii="宋体" w:hAnsi="宋体" w:cs="宋体"/>
          <w:kern w:val="0"/>
          <w:lang w:val="en-GB"/>
        </w:rPr>
      </w:pPr>
      <w:r>
        <w:rPr>
          <w:rFonts w:hint="eastAsia" w:ascii="宋体" w:hAnsi="宋体" w:cs="宋体"/>
          <w:kern w:val="0"/>
          <w:lang w:val="en-GB"/>
        </w:rPr>
        <w:t>2．在本项目投标阶段，联合体牵头人合法代表联合体各成员负责本项目竞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420" w:firstLineChars="200"/>
        <w:rPr>
          <w:rFonts w:ascii="宋体" w:hAnsi="宋体" w:cs="宋体"/>
          <w:kern w:val="0"/>
          <w:lang w:val="en-GB"/>
        </w:rPr>
      </w:pPr>
      <w:r>
        <w:rPr>
          <w:rFonts w:hint="eastAsia" w:ascii="宋体" w:hAnsi="宋体" w:cs="宋体"/>
          <w:kern w:val="0"/>
          <w:lang w:val="en-GB"/>
        </w:rPr>
        <w:t>3．联合体将严格按照采购文件的各项要求，递交竞标文件，履行投标义务和中标后的合同，共同承担合同规定的一切义务和责任，联合体各成员单位按照内部职责的部分，承担各自所负的责任和风险，并向采购人承担连带责任。</w:t>
      </w:r>
    </w:p>
    <w:p>
      <w:pPr>
        <w:spacing w:line="360" w:lineRule="auto"/>
        <w:ind w:firstLine="420" w:firstLineChars="200"/>
        <w:rPr>
          <w:rFonts w:ascii="宋体" w:hAnsi="宋体" w:cs="宋体"/>
          <w:kern w:val="0"/>
          <w:lang w:val="en-GB"/>
        </w:rPr>
      </w:pPr>
      <w:r>
        <w:rPr>
          <w:rFonts w:hint="eastAsia" w:ascii="宋体" w:hAnsi="宋体" w:cs="宋体"/>
          <w:kern w:val="0"/>
          <w:lang w:val="en-GB"/>
        </w:rPr>
        <w:t>4．联合体各成员单位内部的职责分工如下：                   。按照本条上述分工，联合体成员单位各自所承担的合同工作量比例如下：               。</w:t>
      </w:r>
    </w:p>
    <w:p>
      <w:pPr>
        <w:spacing w:line="360" w:lineRule="auto"/>
        <w:ind w:firstLine="420" w:firstLineChars="200"/>
        <w:rPr>
          <w:rFonts w:ascii="宋体" w:hAnsi="宋体" w:cs="宋体"/>
          <w:kern w:val="0"/>
          <w:lang w:val="en-GB"/>
        </w:rPr>
      </w:pPr>
      <w:r>
        <w:rPr>
          <w:rFonts w:hint="eastAsia" w:ascii="宋体" w:hAnsi="宋体" w:cs="宋体"/>
          <w:kern w:val="0"/>
          <w:lang w:val="en-GB"/>
        </w:rPr>
        <w:t>5．投标工作和联合体在中标后项目实施过程中的有关费用按各自承担的工作量分摊。</w:t>
      </w:r>
    </w:p>
    <w:p>
      <w:pPr>
        <w:spacing w:line="360" w:lineRule="auto"/>
        <w:ind w:firstLine="420" w:firstLineChars="200"/>
        <w:rPr>
          <w:rFonts w:ascii="宋体" w:hAnsi="宋体" w:cs="宋体"/>
          <w:kern w:val="0"/>
          <w:lang w:val="en-GB"/>
        </w:rPr>
      </w:pPr>
      <w:r>
        <w:rPr>
          <w:rFonts w:hint="eastAsia" w:ascii="宋体" w:hAnsi="宋体" w:cs="宋体"/>
          <w:kern w:val="0"/>
          <w:lang w:val="en-GB"/>
        </w:rPr>
        <w:t>6．联合体中标后，本联合体协议是合同的附件，对联合体各成员单位有合同约束力。</w:t>
      </w:r>
    </w:p>
    <w:p>
      <w:pPr>
        <w:spacing w:line="360" w:lineRule="auto"/>
        <w:ind w:firstLine="420" w:firstLineChars="200"/>
        <w:rPr>
          <w:rFonts w:ascii="宋体" w:hAnsi="宋体" w:cs="宋体"/>
          <w:kern w:val="0"/>
          <w:lang w:val="en-GB"/>
        </w:rPr>
      </w:pPr>
      <w:r>
        <w:rPr>
          <w:rFonts w:hint="eastAsia" w:ascii="宋体" w:hAnsi="宋体" w:cs="宋体"/>
          <w:kern w:val="0"/>
          <w:lang w:val="en-GB"/>
        </w:rPr>
        <w:t>7．本协议书自签署之日起生效，联合体未中标或者中标时合同履行完毕后自动失效。</w:t>
      </w:r>
    </w:p>
    <w:p>
      <w:pPr>
        <w:spacing w:line="360" w:lineRule="auto"/>
        <w:ind w:firstLine="420" w:firstLineChars="200"/>
        <w:rPr>
          <w:rFonts w:ascii="宋体" w:hAnsi="宋体" w:cs="宋体"/>
          <w:kern w:val="0"/>
          <w:lang w:val="en-GB"/>
        </w:rPr>
      </w:pPr>
      <w:r>
        <w:rPr>
          <w:rFonts w:hint="eastAsia" w:ascii="宋体" w:hAnsi="宋体" w:cs="宋体"/>
          <w:kern w:val="0"/>
          <w:lang w:val="en-GB"/>
        </w:rPr>
        <w:t>8．本协议书一式            份，联合体成员和</w:t>
      </w:r>
      <w:r>
        <w:rPr>
          <w:rFonts w:hint="eastAsia" w:ascii="宋体" w:hAnsi="宋体" w:cs="宋体"/>
          <w:kern w:val="0"/>
        </w:rPr>
        <w:t>采购</w:t>
      </w:r>
      <w:r>
        <w:rPr>
          <w:rFonts w:hint="eastAsia" w:ascii="宋体" w:hAnsi="宋体" w:cs="宋体"/>
          <w:kern w:val="0"/>
          <w:lang w:val="en-GB"/>
        </w:rPr>
        <w:t>人各执一份。</w:t>
      </w:r>
    </w:p>
    <w:p>
      <w:pPr>
        <w:spacing w:line="360" w:lineRule="auto"/>
        <w:rPr>
          <w:rFonts w:ascii="宋体" w:hAnsi="宋体" w:cs="宋体"/>
          <w:kern w:val="0"/>
          <w:lang w:val="en-GB"/>
        </w:rPr>
      </w:pPr>
      <w:r>
        <w:rPr>
          <w:rFonts w:hint="eastAsia" w:ascii="宋体" w:hAnsi="宋体" w:cs="宋体"/>
          <w:kern w:val="0"/>
          <w:lang w:val="en-GB"/>
        </w:rPr>
        <w:t>牵头人名称：                                  （盖单位章）</w:t>
      </w:r>
    </w:p>
    <w:p>
      <w:pPr>
        <w:spacing w:line="360" w:lineRule="auto"/>
        <w:rPr>
          <w:rFonts w:ascii="宋体" w:hAnsi="宋体" w:cs="宋体"/>
          <w:kern w:val="0"/>
          <w:lang w:val="en-GB"/>
        </w:rPr>
      </w:pPr>
      <w:r>
        <w:rPr>
          <w:rFonts w:hint="eastAsia" w:ascii="宋体" w:hAnsi="宋体" w:cs="宋体"/>
          <w:kern w:val="0"/>
          <w:lang w:val="en-GB"/>
        </w:rPr>
        <w:t>法定代表人或其委托代理人：                    （签字或盖章）</w:t>
      </w:r>
    </w:p>
    <w:p>
      <w:pPr>
        <w:spacing w:line="360" w:lineRule="auto"/>
        <w:rPr>
          <w:rFonts w:ascii="宋体" w:hAnsi="宋体" w:cs="宋体"/>
          <w:kern w:val="0"/>
          <w:lang w:val="en-GB"/>
        </w:rPr>
      </w:pPr>
      <w:r>
        <w:rPr>
          <w:rFonts w:hint="eastAsia" w:ascii="宋体" w:hAnsi="宋体" w:cs="宋体"/>
          <w:kern w:val="0"/>
          <w:lang w:val="en-GB"/>
        </w:rPr>
        <w:t>成员二名称：                                  （盖单位章）</w:t>
      </w:r>
    </w:p>
    <w:p>
      <w:pPr>
        <w:spacing w:line="360" w:lineRule="auto"/>
        <w:rPr>
          <w:rFonts w:ascii="宋体" w:hAnsi="宋体" w:cs="宋体"/>
          <w:kern w:val="0"/>
          <w:lang w:val="en-GB"/>
        </w:rPr>
      </w:pPr>
      <w:r>
        <w:rPr>
          <w:rFonts w:hint="eastAsia" w:ascii="宋体" w:hAnsi="宋体" w:cs="宋体"/>
          <w:kern w:val="0"/>
          <w:lang w:val="en-GB"/>
        </w:rPr>
        <w:t>法定代表人或其委托代理人：                        （签字或盖章）</w:t>
      </w:r>
    </w:p>
    <w:p>
      <w:pPr>
        <w:spacing w:line="360" w:lineRule="auto"/>
        <w:jc w:val="right"/>
        <w:rPr>
          <w:rFonts w:ascii="宋体" w:hAnsi="宋体" w:cs="宋体"/>
          <w:kern w:val="0"/>
          <w:lang w:val="en-GB"/>
        </w:rPr>
      </w:pPr>
      <w:r>
        <w:rPr>
          <w:rFonts w:hint="eastAsia" w:ascii="宋体" w:hAnsi="宋体" w:cs="宋体"/>
          <w:kern w:val="0"/>
          <w:lang w:val="en-GB"/>
        </w:rPr>
        <w:t xml:space="preserve">             年        月        日           </w:t>
      </w:r>
    </w:p>
    <w:p>
      <w:pPr>
        <w:spacing w:line="360" w:lineRule="auto"/>
        <w:rPr>
          <w:rFonts w:ascii="宋体" w:hAnsi="宋体" w:cs="宋体"/>
          <w:color w:val="0000FF"/>
          <w:kern w:val="0"/>
          <w:lang w:val="en-GB"/>
        </w:rPr>
      </w:pPr>
      <w:r>
        <w:rPr>
          <w:rFonts w:hint="eastAsia" w:ascii="宋体" w:hAnsi="宋体" w:cs="宋体"/>
          <w:color w:val="0000FF"/>
          <w:kern w:val="0"/>
          <w:lang w:val="en-GB"/>
        </w:rPr>
        <w:t>备注：本协议书由委托代理人签字的，应附法定代表人签字的授权委托书。</w:t>
      </w:r>
    </w:p>
    <w:p>
      <w:pPr>
        <w:pStyle w:val="13"/>
        <w:ind w:left="1260" w:hanging="420"/>
        <w:rPr>
          <w:rFonts w:ascii="宋体" w:hAnsi="宋体" w:cs="宋体"/>
          <w:color w:val="0000FF"/>
          <w:kern w:val="0"/>
          <w:lang w:val="en-GB"/>
        </w:rPr>
      </w:pPr>
    </w:p>
    <w:p>
      <w:pPr>
        <w:spacing w:line="360" w:lineRule="auto"/>
        <w:rPr>
          <w:rFonts w:ascii="宋体" w:hAnsi="宋体" w:cs="宋体"/>
          <w:b/>
          <w:bCs/>
          <w:kern w:val="0"/>
          <w:lang w:val="en-GB"/>
        </w:rPr>
      </w:pPr>
    </w:p>
    <w:p>
      <w:pPr>
        <w:spacing w:line="360" w:lineRule="auto"/>
        <w:rPr>
          <w:rFonts w:ascii="宋体" w:hAnsi="宋体" w:cs="宋体"/>
          <w:kern w:val="0"/>
        </w:rPr>
      </w:pPr>
    </w:p>
    <w:p>
      <w:pPr>
        <w:spacing w:line="360" w:lineRule="auto"/>
        <w:ind w:firstLine="2168" w:firstLineChars="900"/>
        <w:rPr>
          <w:rFonts w:ascii="宋体" w:hAnsi="宋体" w:cs="黑体"/>
          <w:b/>
          <w:bCs/>
          <w:sz w:val="24"/>
          <w:szCs w:val="24"/>
          <w:lang w:val="en-GB"/>
        </w:rPr>
      </w:pPr>
      <w:r>
        <w:rPr>
          <w:rFonts w:hint="eastAsia" w:ascii="宋体" w:hAnsi="宋体" w:cs="黑体"/>
          <w:b/>
          <w:bCs/>
          <w:kern w:val="0"/>
          <w:sz w:val="24"/>
          <w:szCs w:val="24"/>
        </w:rPr>
        <w:t>附件五、</w:t>
      </w:r>
      <w:r>
        <w:rPr>
          <w:rFonts w:hint="eastAsia" w:ascii="宋体" w:hAnsi="宋体" w:cs="黑体"/>
          <w:b/>
          <w:bCs/>
          <w:kern w:val="0"/>
          <w:sz w:val="24"/>
          <w:szCs w:val="24"/>
          <w:lang w:val="en-GB"/>
        </w:rPr>
        <w:t>拟分包意向协议</w:t>
      </w:r>
      <w:r>
        <w:rPr>
          <w:rFonts w:hint="eastAsia" w:ascii="宋体" w:hAnsi="宋体" w:cs="黑体"/>
          <w:b/>
          <w:bCs/>
          <w:kern w:val="0"/>
          <w:sz w:val="24"/>
          <w:szCs w:val="24"/>
        </w:rPr>
        <w:t>格式二（无分包无须填写）</w:t>
      </w:r>
    </w:p>
    <w:p>
      <w:pPr>
        <w:spacing w:line="360" w:lineRule="auto"/>
        <w:rPr>
          <w:rFonts w:ascii="宋体" w:hAnsi="宋体" w:cs="宋体"/>
          <w:kern w:val="0"/>
          <w:u w:val="single"/>
        </w:rPr>
      </w:pPr>
      <w:r>
        <w:rPr>
          <w:rFonts w:hint="eastAsia" w:ascii="宋体" w:hAnsi="宋体" w:cs="宋体"/>
          <w:kern w:val="0"/>
          <w:lang w:val="en-GB"/>
        </w:rPr>
        <w:t>致：</w:t>
      </w:r>
      <w:r>
        <w:rPr>
          <w:rFonts w:hint="eastAsia" w:ascii="宋体" w:hAnsi="宋体" w:cs="宋体"/>
          <w:kern w:val="0"/>
          <w:u w:val="single"/>
        </w:rPr>
        <w:t>巴州政务服务和公共资源交易中心</w:t>
      </w:r>
    </w:p>
    <w:p>
      <w:pPr>
        <w:spacing w:line="360" w:lineRule="auto"/>
        <w:ind w:firstLine="420" w:firstLineChars="200"/>
        <w:rPr>
          <w:rFonts w:ascii="宋体" w:hAnsi="宋体" w:cs="宋体"/>
          <w:kern w:val="0"/>
          <w:lang w:val="en-GB"/>
        </w:rPr>
      </w:pPr>
      <w:r>
        <w:rPr>
          <w:rFonts w:hint="eastAsia" w:ascii="宋体" w:hAnsi="宋体" w:cs="宋体"/>
          <w:kern w:val="0"/>
          <w:lang w:val="en-GB"/>
        </w:rPr>
        <w:t>我单位参加贵单位组织采购的项目编号为_______的_________项目（填写采购项目名称）的投标。拟签订分包合同的单位情况如下表所示：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31"/>
        <w:gridCol w:w="1410"/>
        <w:gridCol w:w="1469"/>
        <w:gridCol w:w="1664"/>
        <w:gridCol w:w="1218"/>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36" w:type="dxa"/>
            <w:vAlign w:val="center"/>
          </w:tcPr>
          <w:p>
            <w:pPr>
              <w:spacing w:line="360" w:lineRule="auto"/>
              <w:jc w:val="center"/>
              <w:rPr>
                <w:rFonts w:ascii="宋体" w:hAnsi="宋体" w:cs="宋体"/>
                <w:kern w:val="0"/>
                <w:lang w:val="en-GB"/>
              </w:rPr>
            </w:pPr>
            <w:r>
              <w:rPr>
                <w:rFonts w:hint="eastAsia" w:ascii="宋体" w:hAnsi="宋体" w:cs="宋体"/>
                <w:kern w:val="0"/>
                <w:lang w:val="en-GB"/>
              </w:rPr>
              <w:t>序号</w:t>
            </w:r>
          </w:p>
        </w:tc>
        <w:tc>
          <w:tcPr>
            <w:tcW w:w="1231" w:type="dxa"/>
            <w:vAlign w:val="center"/>
          </w:tcPr>
          <w:p>
            <w:pPr>
              <w:spacing w:line="360" w:lineRule="auto"/>
              <w:jc w:val="center"/>
              <w:rPr>
                <w:rFonts w:ascii="宋体" w:hAnsi="宋体" w:cs="宋体"/>
                <w:kern w:val="0"/>
              </w:rPr>
            </w:pPr>
            <w:r>
              <w:rPr>
                <w:rFonts w:hint="eastAsia" w:ascii="宋体" w:hAnsi="宋体" w:cs="宋体"/>
                <w:kern w:val="0"/>
              </w:rPr>
              <w:t>拟分包单位名称</w:t>
            </w:r>
          </w:p>
        </w:tc>
        <w:tc>
          <w:tcPr>
            <w:tcW w:w="1410" w:type="dxa"/>
            <w:vAlign w:val="center"/>
          </w:tcPr>
          <w:p>
            <w:pPr>
              <w:spacing w:line="360" w:lineRule="auto"/>
              <w:jc w:val="center"/>
              <w:rPr>
                <w:rFonts w:ascii="宋体" w:hAnsi="宋体" w:cs="宋体"/>
                <w:kern w:val="0"/>
                <w:lang w:val="en-GB"/>
              </w:rPr>
            </w:pPr>
            <w:r>
              <w:rPr>
                <w:rFonts w:hint="eastAsia" w:ascii="宋体" w:hAnsi="宋体" w:cs="宋体"/>
                <w:kern w:val="0"/>
              </w:rPr>
              <w:t>拟分包单位</w:t>
            </w:r>
            <w:r>
              <w:rPr>
                <w:rFonts w:hint="eastAsia" w:ascii="宋体" w:hAnsi="宋体" w:cs="宋体"/>
                <w:kern w:val="0"/>
                <w:lang w:val="en-GB"/>
              </w:rPr>
              <w:t xml:space="preserve">类型 </w:t>
            </w:r>
          </w:p>
        </w:tc>
        <w:tc>
          <w:tcPr>
            <w:tcW w:w="1469" w:type="dxa"/>
            <w:vAlign w:val="center"/>
          </w:tcPr>
          <w:p>
            <w:pPr>
              <w:spacing w:line="360" w:lineRule="auto"/>
              <w:ind w:firstLine="210" w:firstLineChars="100"/>
              <w:rPr>
                <w:rFonts w:ascii="宋体" w:hAnsi="宋体" w:cs="宋体"/>
                <w:kern w:val="0"/>
              </w:rPr>
            </w:pPr>
            <w:r>
              <w:rPr>
                <w:rFonts w:hint="eastAsia" w:ascii="宋体" w:hAnsi="宋体" w:cs="宋体"/>
                <w:kern w:val="0"/>
                <w:lang w:val="en-GB"/>
              </w:rPr>
              <w:t>资质</w:t>
            </w:r>
            <w:r>
              <w:rPr>
                <w:rFonts w:hint="eastAsia" w:ascii="宋体" w:hAnsi="宋体" w:cs="宋体"/>
                <w:kern w:val="0"/>
              </w:rPr>
              <w:t>证书</w:t>
            </w:r>
          </w:p>
        </w:tc>
        <w:tc>
          <w:tcPr>
            <w:tcW w:w="1664" w:type="dxa"/>
            <w:vAlign w:val="center"/>
          </w:tcPr>
          <w:p>
            <w:pPr>
              <w:spacing w:line="360" w:lineRule="auto"/>
              <w:jc w:val="center"/>
              <w:rPr>
                <w:rFonts w:ascii="宋体" w:hAnsi="宋体" w:cs="宋体"/>
                <w:kern w:val="0"/>
                <w:lang w:val="en-GB"/>
              </w:rPr>
            </w:pPr>
            <w:r>
              <w:rPr>
                <w:rFonts w:hint="eastAsia" w:ascii="宋体" w:hAnsi="宋体" w:cs="宋体"/>
                <w:kern w:val="0"/>
                <w:lang w:val="en-GB"/>
              </w:rPr>
              <w:t>拟</w:t>
            </w:r>
            <w:r>
              <w:rPr>
                <w:rFonts w:hint="eastAsia" w:ascii="宋体" w:hAnsi="宋体" w:cs="宋体"/>
                <w:kern w:val="0"/>
              </w:rPr>
              <w:t>分</w:t>
            </w:r>
            <w:r>
              <w:rPr>
                <w:rFonts w:hint="eastAsia" w:ascii="宋体" w:hAnsi="宋体" w:cs="宋体"/>
                <w:kern w:val="0"/>
                <w:lang w:val="en-GB"/>
              </w:rPr>
              <w:t>包合同内容</w:t>
            </w:r>
          </w:p>
        </w:tc>
        <w:tc>
          <w:tcPr>
            <w:tcW w:w="1218" w:type="dxa"/>
            <w:vAlign w:val="center"/>
          </w:tcPr>
          <w:p>
            <w:pPr>
              <w:spacing w:line="360" w:lineRule="auto"/>
              <w:jc w:val="center"/>
              <w:rPr>
                <w:rFonts w:ascii="宋体" w:hAnsi="宋体" w:cs="宋体"/>
                <w:kern w:val="0"/>
                <w:lang w:val="en-GB"/>
              </w:rPr>
            </w:pPr>
            <w:r>
              <w:rPr>
                <w:rFonts w:hint="eastAsia" w:ascii="宋体" w:hAnsi="宋体" w:cs="宋体"/>
                <w:kern w:val="0"/>
                <w:lang w:val="en-GB"/>
              </w:rPr>
              <w:t>拟分包合金额（元）</w:t>
            </w:r>
          </w:p>
        </w:tc>
        <w:tc>
          <w:tcPr>
            <w:tcW w:w="1504" w:type="dxa"/>
            <w:vAlign w:val="center"/>
          </w:tcPr>
          <w:p>
            <w:pPr>
              <w:spacing w:line="360" w:lineRule="auto"/>
              <w:jc w:val="center"/>
              <w:rPr>
                <w:rFonts w:ascii="宋体" w:hAnsi="宋体" w:cs="宋体"/>
                <w:kern w:val="0"/>
                <w:lang w:val="en-GB"/>
              </w:rPr>
            </w:pPr>
            <w:r>
              <w:rPr>
                <w:rFonts w:hint="eastAsia" w:ascii="宋体" w:hAnsi="宋体" w:cs="宋体"/>
                <w:kern w:val="0"/>
                <w:lang w:val="en-GB"/>
              </w:rPr>
              <w:t>占该采购包预算金额的比例（%）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360" w:lineRule="auto"/>
              <w:ind w:firstLine="420" w:firstLineChars="200"/>
              <w:jc w:val="center"/>
              <w:rPr>
                <w:rFonts w:ascii="宋体" w:hAnsi="宋体" w:cs="宋体"/>
              </w:rPr>
            </w:pPr>
          </w:p>
          <w:p>
            <w:pPr>
              <w:jc w:val="center"/>
              <w:rPr>
                <w:rFonts w:ascii="宋体" w:hAnsi="宋体" w:cs="宋体"/>
              </w:rPr>
            </w:pPr>
            <w:r>
              <w:rPr>
                <w:rFonts w:hint="eastAsia" w:ascii="宋体" w:hAnsi="宋体" w:cs="宋体"/>
              </w:rPr>
              <w:t>1</w:t>
            </w:r>
          </w:p>
        </w:tc>
        <w:tc>
          <w:tcPr>
            <w:tcW w:w="1231" w:type="dxa"/>
            <w:vAlign w:val="center"/>
          </w:tcPr>
          <w:p>
            <w:pPr>
              <w:spacing w:line="360" w:lineRule="auto"/>
              <w:ind w:firstLine="420" w:firstLineChars="200"/>
              <w:jc w:val="center"/>
              <w:rPr>
                <w:rFonts w:ascii="宋体" w:hAnsi="宋体" w:cs="宋体"/>
                <w:kern w:val="0"/>
                <w:lang w:val="en-GB"/>
              </w:rPr>
            </w:pPr>
          </w:p>
        </w:tc>
        <w:tc>
          <w:tcPr>
            <w:tcW w:w="1410" w:type="dxa"/>
            <w:vAlign w:val="center"/>
          </w:tcPr>
          <w:p>
            <w:pPr>
              <w:spacing w:line="360" w:lineRule="auto"/>
              <w:jc w:val="center"/>
              <w:rPr>
                <w:rFonts w:ascii="宋体" w:hAnsi="宋体" w:cs="宋体"/>
                <w:kern w:val="0"/>
                <w:lang w:val="en-GB"/>
              </w:rPr>
            </w:pPr>
            <w:r>
              <w:rPr>
                <w:rFonts w:hint="eastAsia" w:ascii="宋体" w:hAnsi="宋体" w:cs="宋体"/>
                <w:kern w:val="0"/>
                <w:lang w:val="en-GB"/>
              </w:rPr>
              <w:t>□</w:t>
            </w:r>
            <w:r>
              <w:rPr>
                <w:rFonts w:hint="eastAsia" w:ascii="宋体" w:hAnsi="宋体" w:cs="宋体"/>
                <w:kern w:val="0"/>
              </w:rPr>
              <w:t>小微</w:t>
            </w:r>
            <w:r>
              <w:rPr>
                <w:rFonts w:hint="eastAsia" w:ascii="宋体" w:hAnsi="宋体" w:cs="宋体"/>
                <w:kern w:val="0"/>
                <w:lang w:val="en-GB"/>
              </w:rPr>
              <w:t>企业 □</w:t>
            </w:r>
            <w:r>
              <w:rPr>
                <w:rFonts w:hint="eastAsia" w:ascii="宋体" w:hAnsi="宋体" w:cs="宋体"/>
                <w:kern w:val="0"/>
              </w:rPr>
              <w:t>其他类型</w:t>
            </w:r>
          </w:p>
        </w:tc>
        <w:tc>
          <w:tcPr>
            <w:tcW w:w="1469" w:type="dxa"/>
            <w:vAlign w:val="center"/>
          </w:tcPr>
          <w:p>
            <w:pPr>
              <w:spacing w:line="360" w:lineRule="auto"/>
              <w:ind w:firstLine="420" w:firstLineChars="200"/>
              <w:jc w:val="center"/>
              <w:rPr>
                <w:rFonts w:ascii="宋体" w:hAnsi="宋体" w:cs="宋体"/>
                <w:kern w:val="0"/>
                <w:lang w:val="en-GB"/>
              </w:rPr>
            </w:pPr>
          </w:p>
        </w:tc>
        <w:tc>
          <w:tcPr>
            <w:tcW w:w="1664" w:type="dxa"/>
            <w:vAlign w:val="center"/>
          </w:tcPr>
          <w:p>
            <w:pPr>
              <w:spacing w:line="360" w:lineRule="auto"/>
              <w:ind w:firstLine="420" w:firstLineChars="200"/>
              <w:jc w:val="center"/>
              <w:rPr>
                <w:rFonts w:ascii="宋体" w:hAnsi="宋体" w:cs="宋体"/>
                <w:kern w:val="0"/>
                <w:lang w:val="en-GB"/>
              </w:rPr>
            </w:pPr>
          </w:p>
        </w:tc>
        <w:tc>
          <w:tcPr>
            <w:tcW w:w="1218" w:type="dxa"/>
            <w:vAlign w:val="center"/>
          </w:tcPr>
          <w:p>
            <w:pPr>
              <w:spacing w:line="360" w:lineRule="auto"/>
              <w:ind w:firstLine="420" w:firstLineChars="200"/>
              <w:jc w:val="center"/>
              <w:rPr>
                <w:rFonts w:ascii="宋体" w:hAnsi="宋体" w:cs="宋体"/>
                <w:kern w:val="0"/>
                <w:lang w:val="en-GB"/>
              </w:rPr>
            </w:pPr>
          </w:p>
        </w:tc>
        <w:tc>
          <w:tcPr>
            <w:tcW w:w="1504" w:type="dxa"/>
            <w:vAlign w:val="center"/>
          </w:tcPr>
          <w:p>
            <w:pPr>
              <w:spacing w:line="360" w:lineRule="auto"/>
              <w:ind w:firstLine="420" w:firstLineChars="200"/>
              <w:jc w:val="center"/>
              <w:rPr>
                <w:rFonts w:ascii="宋体" w:hAnsi="宋体" w:cs="宋体"/>
                <w:kern w:val="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spacing w:line="360" w:lineRule="auto"/>
              <w:jc w:val="center"/>
              <w:rPr>
                <w:rFonts w:ascii="宋体" w:hAnsi="宋体" w:cs="宋体"/>
                <w:kern w:val="0"/>
              </w:rPr>
            </w:pPr>
          </w:p>
          <w:p>
            <w:pPr>
              <w:spacing w:line="360" w:lineRule="auto"/>
              <w:jc w:val="center"/>
              <w:rPr>
                <w:rFonts w:ascii="宋体" w:hAnsi="宋体" w:cs="宋体"/>
                <w:kern w:val="0"/>
              </w:rPr>
            </w:pPr>
            <w:r>
              <w:rPr>
                <w:rFonts w:hint="eastAsia" w:ascii="宋体" w:hAnsi="宋体" w:cs="宋体"/>
                <w:kern w:val="0"/>
              </w:rPr>
              <w:t>2</w:t>
            </w:r>
          </w:p>
        </w:tc>
        <w:tc>
          <w:tcPr>
            <w:tcW w:w="1231" w:type="dxa"/>
            <w:vAlign w:val="center"/>
          </w:tcPr>
          <w:p>
            <w:pPr>
              <w:spacing w:line="360" w:lineRule="auto"/>
              <w:ind w:firstLine="420" w:firstLineChars="200"/>
              <w:jc w:val="center"/>
              <w:rPr>
                <w:rFonts w:ascii="宋体" w:hAnsi="宋体" w:cs="宋体"/>
                <w:kern w:val="0"/>
                <w:lang w:val="en-GB"/>
              </w:rPr>
            </w:pPr>
          </w:p>
        </w:tc>
        <w:tc>
          <w:tcPr>
            <w:tcW w:w="1410" w:type="dxa"/>
            <w:vAlign w:val="center"/>
          </w:tcPr>
          <w:p>
            <w:pPr>
              <w:spacing w:line="360" w:lineRule="auto"/>
              <w:jc w:val="center"/>
              <w:rPr>
                <w:rFonts w:ascii="宋体" w:hAnsi="宋体" w:cs="宋体"/>
                <w:kern w:val="0"/>
                <w:lang w:val="en-GB"/>
              </w:rPr>
            </w:pPr>
            <w:r>
              <w:rPr>
                <w:rFonts w:hint="eastAsia" w:ascii="宋体" w:hAnsi="宋体" w:cs="宋体"/>
                <w:kern w:val="0"/>
                <w:lang w:val="en-GB"/>
              </w:rPr>
              <w:t>□</w:t>
            </w:r>
            <w:r>
              <w:rPr>
                <w:rFonts w:hint="eastAsia" w:ascii="宋体" w:hAnsi="宋体" w:cs="宋体"/>
                <w:kern w:val="0"/>
              </w:rPr>
              <w:t>小微</w:t>
            </w:r>
            <w:r>
              <w:rPr>
                <w:rFonts w:hint="eastAsia" w:ascii="宋体" w:hAnsi="宋体" w:cs="宋体"/>
                <w:kern w:val="0"/>
                <w:lang w:val="en-GB"/>
              </w:rPr>
              <w:t>企业 □</w:t>
            </w:r>
            <w:r>
              <w:rPr>
                <w:rFonts w:hint="eastAsia" w:ascii="宋体" w:hAnsi="宋体" w:cs="宋体"/>
                <w:kern w:val="0"/>
              </w:rPr>
              <w:t>其他类型</w:t>
            </w:r>
          </w:p>
        </w:tc>
        <w:tc>
          <w:tcPr>
            <w:tcW w:w="1469" w:type="dxa"/>
            <w:vAlign w:val="center"/>
          </w:tcPr>
          <w:p>
            <w:pPr>
              <w:spacing w:line="360" w:lineRule="auto"/>
              <w:ind w:firstLine="420" w:firstLineChars="200"/>
              <w:jc w:val="center"/>
              <w:rPr>
                <w:rFonts w:ascii="宋体" w:hAnsi="宋体" w:cs="宋体"/>
                <w:kern w:val="0"/>
                <w:lang w:val="en-GB"/>
              </w:rPr>
            </w:pPr>
          </w:p>
        </w:tc>
        <w:tc>
          <w:tcPr>
            <w:tcW w:w="1664" w:type="dxa"/>
            <w:vAlign w:val="center"/>
          </w:tcPr>
          <w:p>
            <w:pPr>
              <w:spacing w:line="360" w:lineRule="auto"/>
              <w:ind w:firstLine="420" w:firstLineChars="200"/>
              <w:jc w:val="center"/>
              <w:rPr>
                <w:rFonts w:ascii="宋体" w:hAnsi="宋体" w:cs="宋体"/>
                <w:kern w:val="0"/>
                <w:lang w:val="en-GB"/>
              </w:rPr>
            </w:pPr>
          </w:p>
        </w:tc>
        <w:tc>
          <w:tcPr>
            <w:tcW w:w="1218" w:type="dxa"/>
            <w:vAlign w:val="center"/>
          </w:tcPr>
          <w:p>
            <w:pPr>
              <w:spacing w:line="360" w:lineRule="auto"/>
              <w:ind w:firstLine="420" w:firstLineChars="200"/>
              <w:jc w:val="center"/>
              <w:rPr>
                <w:rFonts w:ascii="宋体" w:hAnsi="宋体" w:cs="宋体"/>
                <w:kern w:val="0"/>
                <w:lang w:val="en-GB"/>
              </w:rPr>
            </w:pPr>
          </w:p>
        </w:tc>
        <w:tc>
          <w:tcPr>
            <w:tcW w:w="1504" w:type="dxa"/>
            <w:vAlign w:val="center"/>
          </w:tcPr>
          <w:p>
            <w:pPr>
              <w:spacing w:line="360" w:lineRule="auto"/>
              <w:ind w:firstLine="420" w:firstLineChars="200"/>
              <w:jc w:val="center"/>
              <w:rPr>
                <w:rFonts w:ascii="宋体" w:hAnsi="宋体" w:cs="宋体"/>
                <w:kern w:val="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0" w:type="dxa"/>
            <w:gridSpan w:val="5"/>
            <w:vAlign w:val="center"/>
          </w:tcPr>
          <w:p>
            <w:pPr>
              <w:spacing w:line="360" w:lineRule="auto"/>
              <w:ind w:firstLine="420" w:firstLineChars="200"/>
              <w:jc w:val="center"/>
              <w:rPr>
                <w:rFonts w:ascii="宋体" w:hAnsi="宋体" w:cs="宋体"/>
                <w:kern w:val="0"/>
              </w:rPr>
            </w:pPr>
            <w:r>
              <w:rPr>
                <w:rFonts w:hint="eastAsia" w:ascii="宋体" w:hAnsi="宋体" w:cs="宋体"/>
                <w:kern w:val="0"/>
              </w:rPr>
              <w:t xml:space="preserve">                                         合计：</w:t>
            </w:r>
          </w:p>
        </w:tc>
        <w:tc>
          <w:tcPr>
            <w:tcW w:w="1218" w:type="dxa"/>
            <w:vAlign w:val="center"/>
          </w:tcPr>
          <w:p>
            <w:pPr>
              <w:spacing w:line="360" w:lineRule="auto"/>
              <w:ind w:firstLine="420" w:firstLineChars="200"/>
              <w:jc w:val="center"/>
              <w:rPr>
                <w:rFonts w:ascii="宋体" w:hAnsi="宋体" w:cs="宋体"/>
                <w:kern w:val="0"/>
                <w:lang w:val="en-GB"/>
              </w:rPr>
            </w:pPr>
          </w:p>
        </w:tc>
        <w:tc>
          <w:tcPr>
            <w:tcW w:w="1504" w:type="dxa"/>
            <w:vAlign w:val="center"/>
          </w:tcPr>
          <w:p>
            <w:pPr>
              <w:spacing w:line="360" w:lineRule="auto"/>
              <w:ind w:firstLine="420" w:firstLineChars="200"/>
              <w:jc w:val="center"/>
              <w:rPr>
                <w:rFonts w:ascii="宋体" w:hAnsi="宋体" w:cs="宋体"/>
                <w:kern w:val="0"/>
                <w:lang w:val="en-GB"/>
              </w:rPr>
            </w:pPr>
          </w:p>
        </w:tc>
      </w:tr>
    </w:tbl>
    <w:p>
      <w:pPr>
        <w:spacing w:line="360" w:lineRule="auto"/>
        <w:ind w:firstLine="420" w:firstLineChars="200"/>
        <w:rPr>
          <w:rFonts w:ascii="宋体" w:hAnsi="宋体" w:cs="宋体"/>
          <w:kern w:val="0"/>
          <w:lang w:val="en-GB"/>
        </w:rPr>
      </w:pPr>
      <w:r>
        <w:rPr>
          <w:rFonts w:hint="eastAsia" w:ascii="宋体" w:hAnsi="宋体" w:cs="宋体"/>
          <w:kern w:val="0"/>
          <w:lang w:val="en-GB"/>
        </w:rPr>
        <w:t>我单位承诺一旦在该项目中获得采购合同将按下表所列情况进行分包，同时承诺分包承担主体不再次分包。</w:t>
      </w:r>
    </w:p>
    <w:p>
      <w:pPr>
        <w:spacing w:line="360" w:lineRule="auto"/>
        <w:ind w:firstLine="420" w:firstLineChars="200"/>
        <w:rPr>
          <w:rFonts w:ascii="宋体" w:hAnsi="宋体" w:cs="宋体"/>
          <w:kern w:val="0"/>
        </w:rPr>
      </w:pPr>
      <w:r>
        <w:rPr>
          <w:rFonts w:hint="eastAsia" w:ascii="宋体" w:hAnsi="宋体" w:cs="宋体"/>
          <w:kern w:val="0"/>
          <w:lang w:val="en-GB"/>
        </w:rPr>
        <w:t xml:space="preserve">          </w:t>
      </w:r>
      <w:r>
        <w:rPr>
          <w:rFonts w:hint="eastAsia" w:ascii="宋体" w:hAnsi="宋体" w:cs="宋体"/>
          <w:kern w:val="0"/>
        </w:rPr>
        <w:t xml:space="preserve">                          </w:t>
      </w:r>
      <w:r>
        <w:rPr>
          <w:rFonts w:hint="eastAsia" w:ascii="宋体" w:hAnsi="宋体" w:cs="宋体"/>
          <w:kern w:val="0"/>
          <w:lang w:val="en-GB"/>
        </w:rPr>
        <w:t xml:space="preserve"> </w:t>
      </w:r>
      <w:r>
        <w:rPr>
          <w:rFonts w:hint="eastAsia" w:ascii="宋体" w:hAnsi="宋体" w:cs="宋体"/>
          <w:kern w:val="0"/>
        </w:rPr>
        <w:t xml:space="preserve">        </w:t>
      </w:r>
    </w:p>
    <w:p>
      <w:pPr>
        <w:spacing w:line="360" w:lineRule="auto"/>
        <w:ind w:firstLine="5250" w:firstLineChars="2500"/>
        <w:rPr>
          <w:rFonts w:ascii="宋体" w:hAnsi="宋体" w:cs="宋体"/>
          <w:kern w:val="0"/>
          <w:lang w:val="en-GB"/>
        </w:rPr>
      </w:pPr>
      <w:r>
        <w:rPr>
          <w:rFonts w:hint="eastAsia" w:ascii="宋体" w:hAnsi="宋体" w:cs="宋体"/>
          <w:kern w:val="0"/>
        </w:rPr>
        <w:t xml:space="preserve"> </w:t>
      </w:r>
      <w:r>
        <w:rPr>
          <w:rFonts w:hint="eastAsia" w:ascii="宋体" w:hAnsi="宋体" w:cs="宋体"/>
          <w:kern w:val="0"/>
          <w:lang w:val="en-GB"/>
        </w:rPr>
        <w:t xml:space="preserve">投标人名称（加盖公章）：______ </w:t>
      </w:r>
    </w:p>
    <w:p>
      <w:pPr>
        <w:spacing w:line="360" w:lineRule="auto"/>
        <w:ind w:firstLine="5460" w:firstLineChars="2600"/>
        <w:rPr>
          <w:rFonts w:ascii="宋体" w:hAnsi="宋体" w:cs="宋体"/>
          <w:kern w:val="0"/>
          <w:lang w:val="en-GB"/>
        </w:rPr>
      </w:pPr>
      <w:r>
        <w:rPr>
          <w:rFonts w:hint="eastAsia" w:ascii="宋体" w:hAnsi="宋体" w:cs="宋体"/>
          <w:kern w:val="0"/>
          <w:lang w:val="en-GB"/>
        </w:rPr>
        <w:t xml:space="preserve">日期：____年____月____日 </w:t>
      </w:r>
    </w:p>
    <w:p>
      <w:pPr>
        <w:spacing w:line="360" w:lineRule="auto"/>
        <w:ind w:firstLine="420" w:firstLineChars="200"/>
        <w:rPr>
          <w:rFonts w:ascii="宋体" w:hAnsi="宋体" w:cs="宋体"/>
          <w:color w:val="0000FF"/>
          <w:kern w:val="0"/>
          <w:lang w:val="en-GB"/>
        </w:rPr>
      </w:pPr>
      <w:r>
        <w:rPr>
          <w:rFonts w:hint="eastAsia" w:ascii="宋体" w:hAnsi="宋体" w:cs="宋体"/>
          <w:color w:val="0000FF"/>
          <w:kern w:val="0"/>
          <w:lang w:val="en-GB"/>
        </w:rPr>
        <w:t xml:space="preserve">说明： </w:t>
      </w:r>
    </w:p>
    <w:p>
      <w:pPr>
        <w:spacing w:line="360" w:lineRule="auto"/>
        <w:ind w:firstLine="420" w:firstLineChars="200"/>
        <w:rPr>
          <w:rFonts w:ascii="宋体" w:hAnsi="宋体" w:cs="宋体"/>
          <w:color w:val="0000FF"/>
          <w:kern w:val="0"/>
          <w:highlight w:val="green"/>
        </w:rPr>
      </w:pPr>
      <w:r>
        <w:rPr>
          <w:rFonts w:hint="eastAsia" w:ascii="宋体" w:hAnsi="宋体" w:cs="宋体"/>
          <w:color w:val="0000FF"/>
          <w:kern w:val="0"/>
          <w:highlight w:val="green"/>
          <w:lang w:val="en-GB"/>
        </w:rPr>
        <w:t>（</w:t>
      </w:r>
      <w:r>
        <w:rPr>
          <w:rFonts w:hint="eastAsia" w:ascii="宋体" w:hAnsi="宋体" w:cs="宋体"/>
          <w:color w:val="0000FF"/>
          <w:kern w:val="0"/>
          <w:highlight w:val="green"/>
        </w:rPr>
        <w:t>1</w:t>
      </w:r>
      <w:r>
        <w:rPr>
          <w:rFonts w:hint="eastAsia" w:ascii="宋体" w:hAnsi="宋体" w:cs="宋体"/>
          <w:color w:val="0000FF"/>
          <w:kern w:val="0"/>
          <w:highlight w:val="green"/>
          <w:lang w:val="en-GB"/>
        </w:rPr>
        <w:t>）</w:t>
      </w:r>
      <w:r>
        <w:rPr>
          <w:rFonts w:hint="eastAsia" w:ascii="宋体" w:hAnsi="宋体" w:cs="宋体"/>
          <w:color w:val="0000FF"/>
          <w:kern w:val="0"/>
          <w:highlight w:val="green"/>
        </w:rPr>
        <w:t>此表为投标人在</w:t>
      </w:r>
      <w:r>
        <w:rPr>
          <w:rFonts w:hint="eastAsia" w:ascii="宋体" w:hAnsi="宋体" w:cs="宋体"/>
          <w:color w:val="0000FF"/>
          <w:kern w:val="0"/>
          <w:highlight w:val="green"/>
          <w:lang w:val="en-GB"/>
        </w:rPr>
        <w:t>“落实</w:t>
      </w:r>
      <w:r>
        <w:rPr>
          <w:rFonts w:hint="eastAsia" w:ascii="宋体" w:hAnsi="宋体" w:cs="宋体"/>
          <w:color w:val="0000FF"/>
          <w:kern w:val="0"/>
          <w:highlight w:val="green"/>
        </w:rPr>
        <w:t>中小企业预留份额</w:t>
      </w:r>
      <w:r>
        <w:rPr>
          <w:rFonts w:hint="eastAsia" w:ascii="宋体" w:hAnsi="宋体" w:cs="宋体"/>
          <w:color w:val="0000FF"/>
          <w:kern w:val="0"/>
          <w:highlight w:val="green"/>
          <w:lang w:val="en-GB"/>
        </w:rPr>
        <w:t>”</w:t>
      </w:r>
      <w:r>
        <w:rPr>
          <w:rFonts w:hint="eastAsia" w:ascii="宋体" w:hAnsi="宋体" w:cs="宋体"/>
          <w:color w:val="0000FF"/>
          <w:kern w:val="0"/>
          <w:highlight w:val="green"/>
        </w:rPr>
        <w:t>而向中小企业分包时填写。</w:t>
      </w:r>
    </w:p>
    <w:p>
      <w:pPr>
        <w:ind w:firstLine="420" w:firstLineChars="200"/>
        <w:rPr>
          <w:rFonts w:ascii="宋体" w:hAnsi="宋体" w:cs="宋体"/>
          <w:color w:val="0000FF"/>
          <w:kern w:val="0"/>
        </w:rPr>
      </w:pPr>
      <w:r>
        <w:rPr>
          <w:rFonts w:hint="eastAsia" w:ascii="宋体" w:hAnsi="宋体" w:cs="宋体"/>
          <w:color w:val="0000FF"/>
          <w:kern w:val="0"/>
        </w:rPr>
        <w:t>（2）拟分包单位必须满足“</w:t>
      </w:r>
      <w:r>
        <w:rPr>
          <w:rFonts w:hint="eastAsia" w:ascii="宋体" w:hAnsi="宋体" w:cs="宋体"/>
          <w:color w:val="0000FF"/>
          <w:kern w:val="0"/>
          <w:lang w:val="en-GB"/>
        </w:rPr>
        <w:t>通用条款的补充内容</w:t>
      </w:r>
      <w:r>
        <w:rPr>
          <w:rFonts w:hint="eastAsia" w:ascii="宋体" w:hAnsi="宋体" w:cs="宋体"/>
          <w:color w:val="0000FF"/>
          <w:kern w:val="0"/>
        </w:rPr>
        <w:t>”中关于分包的资质要求，并提供相应</w:t>
      </w:r>
      <w:r>
        <w:rPr>
          <w:rFonts w:hint="eastAsia" w:ascii="宋体" w:hAnsi="宋体" w:cs="宋体"/>
          <w:color w:val="0000FF"/>
          <w:kern w:val="0"/>
          <w:lang w:val="en-GB"/>
        </w:rPr>
        <w:t xml:space="preserve">资质证书复印件，否则投标无效。 </w:t>
      </w:r>
    </w:p>
    <w:p>
      <w:pPr>
        <w:rPr>
          <w:rFonts w:ascii="宋体" w:hAnsi="宋体"/>
        </w:rPr>
      </w:pPr>
    </w:p>
    <w:p>
      <w:pPr>
        <w:spacing w:after="145" w:afterLines="50" w:line="360" w:lineRule="auto"/>
        <w:rPr>
          <w:rFonts w:ascii="宋体" w:hAnsi="宋体" w:cs="黑体"/>
          <w:b/>
          <w:bCs/>
          <w:kern w:val="0"/>
          <w:sz w:val="24"/>
          <w:szCs w:val="24"/>
        </w:rPr>
      </w:pPr>
    </w:p>
    <w:p>
      <w:pPr>
        <w:spacing w:after="145" w:afterLines="50" w:line="360" w:lineRule="auto"/>
        <w:ind w:firstLine="482" w:firstLineChars="200"/>
        <w:rPr>
          <w:rFonts w:ascii="宋体" w:hAnsi="宋体" w:cs="黑体"/>
          <w:b/>
          <w:bCs/>
          <w:sz w:val="24"/>
          <w:szCs w:val="24"/>
          <w:lang w:val="en-GB"/>
        </w:rPr>
      </w:pPr>
      <w:r>
        <w:rPr>
          <w:rFonts w:hint="eastAsia" w:ascii="宋体" w:hAnsi="宋体" w:cs="黑体"/>
          <w:b/>
          <w:bCs/>
          <w:kern w:val="0"/>
          <w:sz w:val="24"/>
          <w:szCs w:val="24"/>
        </w:rPr>
        <w:t>附件六、</w:t>
      </w:r>
      <w:r>
        <w:rPr>
          <w:rFonts w:hint="eastAsia" w:ascii="宋体" w:hAnsi="宋体"/>
          <w:b/>
          <w:bCs/>
          <w:kern w:val="0"/>
          <w:sz w:val="24"/>
          <w:szCs w:val="32"/>
        </w:rPr>
        <w:t>中小企业声明函、残疾人福利性单位声明函及监狱企业声明函</w:t>
      </w:r>
    </w:p>
    <w:p>
      <w:pPr>
        <w:outlineLvl w:val="3"/>
        <w:rPr>
          <w:rFonts w:ascii="宋体" w:hAnsi="宋体"/>
          <w:bCs/>
          <w:kern w:val="0"/>
          <w:sz w:val="24"/>
          <w:szCs w:val="32"/>
        </w:rPr>
      </w:pPr>
    </w:p>
    <w:p>
      <w:pPr>
        <w:outlineLvl w:val="3"/>
        <w:rPr>
          <w:rFonts w:ascii="宋体" w:hAnsi="宋体"/>
          <w:bCs/>
          <w:color w:val="FF0000"/>
          <w:kern w:val="0"/>
        </w:rPr>
      </w:pPr>
      <w:r>
        <w:rPr>
          <w:rFonts w:hint="eastAsia" w:ascii="宋体" w:hAnsi="宋体"/>
          <w:bCs/>
          <w:color w:val="FF0000"/>
          <w:kern w:val="0"/>
        </w:rPr>
        <w:t>填写指引：</w:t>
      </w:r>
    </w:p>
    <w:p>
      <w:pPr>
        <w:ind w:firstLine="420" w:firstLineChars="200"/>
        <w:outlineLvl w:val="3"/>
        <w:rPr>
          <w:rFonts w:ascii="宋体" w:hAnsi="宋体"/>
          <w:color w:val="FF0000"/>
        </w:rPr>
      </w:pPr>
      <w:r>
        <w:rPr>
          <w:rFonts w:hint="eastAsia" w:ascii="宋体" w:hAnsi="宋体"/>
          <w:bCs/>
          <w:color w:val="FF0000"/>
          <w:kern w:val="0"/>
        </w:rPr>
        <w:t>1、该部分内容由投标人根据自身实际情况填写，不符合要求的投标人可以不填写或直接删除相应的声明函。</w:t>
      </w:r>
      <w:r>
        <w:rPr>
          <w:rFonts w:hint="eastAsia" w:ascii="宋体" w:hAnsi="宋体"/>
          <w:color w:val="FF0000"/>
        </w:rPr>
        <w:t>投标人提供的声明函不属实的，属于提供虚假资料谋取中标，依照《中华人民共和国政府采购法》等国家有关规定追究相应责任。</w:t>
      </w:r>
    </w:p>
    <w:p>
      <w:pPr>
        <w:ind w:firstLine="420" w:firstLineChars="200"/>
        <w:outlineLvl w:val="3"/>
        <w:rPr>
          <w:rFonts w:ascii="宋体" w:hAnsi="宋体"/>
          <w:color w:val="FF0000"/>
        </w:rPr>
      </w:pPr>
      <w:r>
        <w:rPr>
          <w:rFonts w:hint="eastAsia" w:ascii="宋体" w:hAnsi="宋体"/>
          <w:color w:val="FF0000"/>
        </w:rPr>
        <w:t>2、该部分内容填写需要参考的相关文件：(</w:t>
      </w:r>
      <w:r>
        <w:rPr>
          <w:rFonts w:ascii="宋体" w:hAnsi="宋体"/>
          <w:color w:val="FF0000"/>
        </w:rPr>
        <w:t>1</w:t>
      </w:r>
      <w:r>
        <w:rPr>
          <w:rFonts w:hint="eastAsia" w:ascii="宋体" w:hAnsi="宋体"/>
          <w:color w:val="FF0000"/>
        </w:rPr>
        <w:t>)财政部《政府采购促进中小企业发展管理办法》（财库〔2020〕46号）；(</w:t>
      </w:r>
      <w:r>
        <w:rPr>
          <w:rFonts w:ascii="宋体" w:hAnsi="宋体"/>
          <w:color w:val="FF0000"/>
        </w:rPr>
        <w:t>2</w:t>
      </w:r>
      <w:r>
        <w:rPr>
          <w:rFonts w:hint="eastAsia" w:ascii="宋体" w:hAnsi="宋体"/>
          <w:color w:val="FF0000"/>
        </w:rPr>
        <w:t>)</w:t>
      </w:r>
      <w:bookmarkStart w:id="107" w:name="_Hlk71925120"/>
      <w:r>
        <w:rPr>
          <w:rFonts w:hint="eastAsia" w:ascii="宋体" w:hAnsi="宋体"/>
          <w:color w:val="FF0000"/>
        </w:rPr>
        <w:t>《工业和信息化部、国家统计局、国家发展和改革委员会、财政部关于印发中小企业划型标准规定的通知》（工信部联企业〔2011〕300 号</w:t>
      </w:r>
      <w:bookmarkEnd w:id="107"/>
      <w:r>
        <w:rPr>
          <w:rFonts w:hint="eastAsia" w:ascii="宋体" w:hAnsi="宋体"/>
          <w:color w:val="FF0000"/>
        </w:rPr>
        <w:t>，以下简称3</w:t>
      </w:r>
      <w:r>
        <w:rPr>
          <w:rFonts w:ascii="宋体" w:hAnsi="宋体"/>
          <w:color w:val="FF0000"/>
        </w:rPr>
        <w:t>00</w:t>
      </w:r>
      <w:r>
        <w:rPr>
          <w:rFonts w:hint="eastAsia" w:ascii="宋体" w:hAnsi="宋体"/>
          <w:color w:val="FF0000"/>
        </w:rPr>
        <w:t>号文）。</w:t>
      </w:r>
    </w:p>
    <w:p>
      <w:pPr>
        <w:ind w:firstLine="420" w:firstLineChars="200"/>
        <w:outlineLvl w:val="3"/>
        <w:rPr>
          <w:rFonts w:ascii="宋体" w:hAnsi="宋体"/>
          <w:bCs/>
          <w:color w:val="FF0000"/>
          <w:kern w:val="0"/>
        </w:rPr>
      </w:pPr>
      <w:r>
        <w:rPr>
          <w:rFonts w:hint="eastAsia" w:ascii="宋体" w:hAnsi="宋体"/>
          <w:bCs/>
          <w:color w:val="FF0000"/>
          <w:kern w:val="0"/>
        </w:rPr>
        <w:t>3、请依照提供的格式和内容填写声明函，不要随意变更格式；声明函需要加盖公章；</w:t>
      </w:r>
      <w:r>
        <w:rPr>
          <w:rFonts w:hint="eastAsia" w:ascii="宋体" w:hAnsi="宋体"/>
          <w:color w:val="FF0000"/>
        </w:rPr>
        <w:t>满足多项优惠政策的投标人，不重复享受多项价格扣除政策。</w:t>
      </w:r>
    </w:p>
    <w:p>
      <w:pPr>
        <w:ind w:firstLine="420" w:firstLineChars="200"/>
        <w:outlineLvl w:val="3"/>
        <w:rPr>
          <w:rFonts w:ascii="宋体" w:hAnsi="宋体"/>
          <w:bCs/>
          <w:color w:val="FF0000"/>
          <w:kern w:val="0"/>
        </w:rPr>
      </w:pPr>
      <w:r>
        <w:rPr>
          <w:rFonts w:hint="eastAsia" w:ascii="宋体" w:hAnsi="宋体"/>
          <w:bCs/>
          <w:color w:val="FF0000"/>
          <w:kern w:val="0"/>
        </w:rPr>
        <w:t>4、声明函具体填写要求：</w:t>
      </w:r>
    </w:p>
    <w:p>
      <w:pPr>
        <w:ind w:firstLine="420" w:firstLineChars="200"/>
        <w:outlineLvl w:val="3"/>
        <w:rPr>
          <w:rFonts w:ascii="宋体" w:hAnsi="宋体"/>
          <w:bCs/>
          <w:color w:val="FF0000"/>
          <w:kern w:val="0"/>
        </w:rPr>
      </w:pPr>
      <w:r>
        <w:rPr>
          <w:rFonts w:hint="eastAsia" w:ascii="宋体" w:hAnsi="宋体"/>
          <w:bCs/>
          <w:color w:val="FF0000"/>
          <w:kern w:val="0"/>
        </w:rPr>
        <w:t>（1）声明是中小企业须填写《中小企业声明函》的以下内容：</w:t>
      </w:r>
    </w:p>
    <w:p>
      <w:pPr>
        <w:ind w:firstLine="420" w:firstLineChars="200"/>
        <w:outlineLvl w:val="3"/>
        <w:rPr>
          <w:rFonts w:ascii="宋体" w:hAnsi="宋体"/>
          <w:bCs/>
          <w:color w:val="FF0000"/>
          <w:kern w:val="0"/>
        </w:rPr>
      </w:pPr>
      <w:r>
        <w:rPr>
          <w:rFonts w:hint="eastAsia" w:ascii="宋体" w:hAnsi="宋体"/>
          <w:bCs/>
          <w:color w:val="FF0000"/>
          <w:kern w:val="0"/>
        </w:rPr>
        <w:t>第一处，在“单位名称”下划线处如实填写采购人名称（巴州政务服务和公共资源交易中心不是本项目的采购人，而是组织实施机构）；</w:t>
      </w:r>
    </w:p>
    <w:p>
      <w:pPr>
        <w:ind w:firstLine="420" w:firstLineChars="200"/>
        <w:outlineLvl w:val="3"/>
        <w:rPr>
          <w:rFonts w:ascii="宋体" w:hAnsi="宋体"/>
          <w:bCs/>
          <w:color w:val="FF0000"/>
          <w:kern w:val="0"/>
        </w:rPr>
      </w:pPr>
      <w:r>
        <w:rPr>
          <w:rFonts w:hint="eastAsia" w:ascii="宋体" w:hAnsi="宋体"/>
          <w:bCs/>
          <w:color w:val="FF0000"/>
          <w:kern w:val="0"/>
        </w:rPr>
        <w:t>第二处，在“项目名称”下划线处如实填写采购项目名称；</w:t>
      </w:r>
    </w:p>
    <w:p>
      <w:pPr>
        <w:ind w:firstLine="420" w:firstLineChars="200"/>
        <w:outlineLvl w:val="3"/>
        <w:rPr>
          <w:rFonts w:ascii="宋体" w:hAnsi="宋体"/>
          <w:bCs/>
          <w:color w:val="FF0000"/>
          <w:kern w:val="0"/>
        </w:rPr>
      </w:pPr>
      <w:r>
        <w:rPr>
          <w:rFonts w:hint="eastAsia" w:ascii="宋体" w:hAnsi="宋体"/>
          <w:bCs/>
          <w:color w:val="FF0000"/>
          <w:kern w:val="0"/>
        </w:rPr>
        <w:t>第三处，在“标的名称”下划线处填写所采购服务（标的）的具体名称（以</w:t>
      </w:r>
      <w:bookmarkStart w:id="108" w:name="_Hlk72259001"/>
      <w:r>
        <w:rPr>
          <w:rFonts w:hint="eastAsia" w:ascii="宋体" w:hAnsi="宋体"/>
          <w:bCs/>
          <w:color w:val="FF0000"/>
          <w:kern w:val="0"/>
        </w:rPr>
        <w:t>招标文件第一册第三章</w:t>
      </w:r>
      <w:bookmarkEnd w:id="108"/>
      <w:r>
        <w:rPr>
          <w:rFonts w:hint="eastAsia" w:ascii="宋体" w:hAnsi="宋体"/>
          <w:bCs/>
          <w:color w:val="FF0000"/>
          <w:kern w:val="0"/>
        </w:rPr>
        <w:t>用户需求书“货物/服务需求明细”的“服务需求名称”一栏为准）；如果涉及多个服务需求（标的）由同一企业承接，“标的名称”下划线处可以如实填写多个服务需求（标的）；</w:t>
      </w:r>
    </w:p>
    <w:p>
      <w:pPr>
        <w:ind w:firstLine="420" w:firstLineChars="200"/>
        <w:outlineLvl w:val="3"/>
        <w:rPr>
          <w:rFonts w:ascii="宋体" w:hAnsi="宋体"/>
          <w:bCs/>
          <w:color w:val="FF0000"/>
          <w:kern w:val="0"/>
        </w:rPr>
      </w:pPr>
      <w:r>
        <w:rPr>
          <w:rFonts w:hint="eastAsia" w:ascii="宋体" w:hAnsi="宋体"/>
          <w:bCs/>
          <w:color w:val="FF0000"/>
          <w:kern w:val="0"/>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宋体" w:hAnsi="宋体"/>
          <w:bCs/>
          <w:color w:val="FF0000"/>
          <w:kern w:val="0"/>
        </w:rPr>
      </w:pPr>
      <w:r>
        <w:rPr>
          <w:rFonts w:hint="eastAsia" w:ascii="宋体" w:hAnsi="宋体"/>
          <w:bCs/>
          <w:color w:val="FF0000"/>
          <w:kern w:val="0"/>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宋体" w:hAnsi="宋体"/>
          <w:bCs/>
          <w:color w:val="FF0000"/>
          <w:kern w:val="0"/>
        </w:rPr>
      </w:pPr>
      <w:r>
        <w:rPr>
          <w:rFonts w:hint="eastAsia" w:ascii="宋体" w:hAnsi="宋体"/>
          <w:bCs/>
          <w:color w:val="FF0000"/>
          <w:kern w:val="0"/>
        </w:rPr>
        <w:t>（2）声明是残疾人福利性单位须填写《残疾人福利性单位声明函》的相关内容（填写位置的字体已加粗），具体参照以上《中小企业声明函》填写要求执行。</w:t>
      </w:r>
    </w:p>
    <w:p>
      <w:pPr>
        <w:ind w:firstLine="420" w:firstLineChars="200"/>
        <w:outlineLvl w:val="3"/>
        <w:rPr>
          <w:rFonts w:ascii="宋体" w:hAnsi="宋体"/>
          <w:bCs/>
          <w:color w:val="FF0000"/>
          <w:kern w:val="0"/>
        </w:rPr>
      </w:pPr>
      <w:r>
        <w:rPr>
          <w:rFonts w:hint="eastAsia" w:ascii="宋体" w:hAnsi="宋体"/>
          <w:bCs/>
          <w:color w:val="FF0000"/>
          <w:kern w:val="0"/>
        </w:rPr>
        <w:t>（3）声明是监狱企业须填写《监狱企业声明函》的相关内容（填写位置的字体已加粗），具体参照以上《中小企业声明函》填写要求执行。</w:t>
      </w:r>
    </w:p>
    <w:p>
      <w:pPr>
        <w:ind w:firstLine="420" w:firstLineChars="200"/>
        <w:rPr>
          <w:rFonts w:ascii="宋体" w:hAnsi="宋体"/>
        </w:rPr>
      </w:pPr>
      <w:r>
        <w:rPr>
          <w:rFonts w:hint="eastAsia" w:ascii="宋体" w:hAnsi="宋体"/>
          <w:bCs/>
          <w:color w:val="FF0000"/>
          <w:kern w:val="0"/>
        </w:rPr>
        <w:t>5、声明函的有效性最终由评审委员会判定；如评审委员会判定声明函无效，相关供应商不享受</w:t>
      </w:r>
      <w:r>
        <w:rPr>
          <w:rFonts w:hint="eastAsia" w:ascii="宋体" w:hAnsi="宋体"/>
          <w:color w:val="FF0000"/>
        </w:rPr>
        <w:t>价格扣除</w:t>
      </w:r>
      <w:r>
        <w:rPr>
          <w:rFonts w:hint="eastAsia" w:ascii="宋体" w:hAnsi="宋体"/>
          <w:bCs/>
          <w:color w:val="FF0000"/>
          <w:kern w:val="0"/>
        </w:rPr>
        <w:t>（但不作投标无效处理）。</w:t>
      </w:r>
    </w:p>
    <w:p>
      <w:pPr>
        <w:ind w:firstLine="420" w:firstLineChars="200"/>
        <w:rPr>
          <w:rFonts w:ascii="宋体" w:hAnsi="宋体"/>
        </w:rPr>
      </w:pPr>
    </w:p>
    <w:p>
      <w:pPr>
        <w:jc w:val="center"/>
        <w:outlineLvl w:val="3"/>
        <w:rPr>
          <w:rFonts w:ascii="宋体" w:hAnsi="宋体"/>
          <w:b/>
          <w:sz w:val="24"/>
        </w:rPr>
      </w:pPr>
    </w:p>
    <w:p>
      <w:pPr>
        <w:jc w:val="center"/>
        <w:outlineLvl w:val="3"/>
        <w:rPr>
          <w:rFonts w:ascii="宋体" w:hAnsi="宋体"/>
          <w:b/>
          <w:sz w:val="24"/>
        </w:rPr>
      </w:pPr>
      <w:r>
        <w:rPr>
          <w:rFonts w:hint="eastAsia" w:ascii="宋体" w:hAnsi="宋体"/>
          <w:b/>
          <w:sz w:val="24"/>
        </w:rPr>
        <w:t>1、</w:t>
      </w:r>
      <w:r>
        <w:rPr>
          <w:rFonts w:ascii="宋体" w:hAnsi="宋体"/>
          <w:b/>
          <w:sz w:val="24"/>
        </w:rPr>
        <w:t>中小企业声明函（</w:t>
      </w:r>
      <w:r>
        <w:rPr>
          <w:rFonts w:hint="eastAsia" w:ascii="宋体" w:hAnsi="宋体"/>
          <w:b/>
          <w:sz w:val="24"/>
        </w:rPr>
        <w:t>工程、服务</w:t>
      </w:r>
      <w:r>
        <w:rPr>
          <w:rFonts w:ascii="宋体" w:hAnsi="宋体"/>
          <w:b/>
          <w:sz w:val="24"/>
        </w:rPr>
        <w:t xml:space="preserve">） </w:t>
      </w:r>
    </w:p>
    <w:p>
      <w:pPr>
        <w:ind w:firstLine="420" w:firstLineChars="200"/>
        <w:outlineLvl w:val="3"/>
        <w:rPr>
          <w:rFonts w:ascii="宋体" w:hAnsi="宋体"/>
        </w:rPr>
      </w:pPr>
      <w:r>
        <w:rPr>
          <w:rFonts w:ascii="宋体" w:hAnsi="宋体"/>
        </w:rPr>
        <w:t>本</w:t>
      </w:r>
      <w:r>
        <w:rPr>
          <w:rFonts w:hint="eastAsia" w:ascii="宋体" w:hAnsi="宋体"/>
        </w:rPr>
        <w:t>公司（联合体）</w:t>
      </w:r>
      <w:r>
        <w:rPr>
          <w:rFonts w:ascii="宋体" w:hAnsi="宋体"/>
        </w:rPr>
        <w:t>郑重声明，根据《政府采购促进中小企业发展管理办法》（财库</w:t>
      </w:r>
      <w:r>
        <w:rPr>
          <w:rFonts w:hint="eastAsia" w:ascii="宋体" w:hAnsi="宋体" w:cs="微软雅黑"/>
        </w:rPr>
        <w:t>﹝</w:t>
      </w:r>
      <w:r>
        <w:rPr>
          <w:rFonts w:ascii="宋体" w:hAnsi="宋体"/>
        </w:rPr>
        <w:t>2020</w:t>
      </w:r>
      <w:r>
        <w:rPr>
          <w:rFonts w:hint="eastAsia" w:ascii="宋体" w:hAnsi="宋体" w:cs="微软雅黑"/>
        </w:rPr>
        <w:t>﹞</w:t>
      </w:r>
      <w:r>
        <w:rPr>
          <w:rFonts w:ascii="宋体" w:hAnsi="宋体"/>
        </w:rPr>
        <w:t>46 号）的规定，本</w:t>
      </w:r>
      <w:r>
        <w:rPr>
          <w:rFonts w:hint="eastAsia" w:ascii="宋体" w:hAnsi="宋体"/>
        </w:rPr>
        <w:t>投标人</w:t>
      </w:r>
      <w:r>
        <w:rPr>
          <w:rFonts w:ascii="宋体" w:hAnsi="宋体"/>
        </w:rPr>
        <w:t>参加</w:t>
      </w:r>
      <w:r>
        <w:rPr>
          <w:rFonts w:ascii="宋体" w:hAnsi="宋体"/>
          <w:b/>
          <w:bCs/>
          <w:u w:val="single"/>
        </w:rPr>
        <w:t>（</w:t>
      </w:r>
      <w:r>
        <w:rPr>
          <w:rFonts w:hint="eastAsia" w:ascii="宋体" w:hAnsi="宋体"/>
          <w:b/>
          <w:bCs/>
          <w:u w:val="single"/>
        </w:rPr>
        <w:t>采购人</w:t>
      </w:r>
      <w:r>
        <w:rPr>
          <w:rFonts w:ascii="宋体" w:hAnsi="宋体"/>
          <w:b/>
          <w:bCs/>
          <w:u w:val="single"/>
        </w:rPr>
        <w:t>名称）</w:t>
      </w:r>
      <w:r>
        <w:rPr>
          <w:rFonts w:ascii="宋体" w:hAnsi="宋体"/>
        </w:rPr>
        <w:t>的</w:t>
      </w:r>
      <w:r>
        <w:rPr>
          <w:rFonts w:ascii="宋体" w:hAnsi="宋体"/>
          <w:b/>
          <w:bCs/>
          <w:u w:val="single"/>
        </w:rPr>
        <w:t>（项目名称）</w:t>
      </w:r>
      <w:r>
        <w:rPr>
          <w:rFonts w:ascii="宋体" w:hAnsi="宋体"/>
        </w:rPr>
        <w:t>采购活动，</w:t>
      </w:r>
      <w:r>
        <w:rPr>
          <w:rFonts w:hint="eastAsia" w:ascii="宋体" w:hAnsi="宋体"/>
        </w:rPr>
        <w:t>服务</w:t>
      </w:r>
      <w:r>
        <w:rPr>
          <w:rFonts w:ascii="宋体" w:hAnsi="宋体"/>
        </w:rPr>
        <w:t>全部由符合政策要求的中小企业</w:t>
      </w:r>
      <w:r>
        <w:rPr>
          <w:rFonts w:hint="eastAsia" w:ascii="宋体" w:hAnsi="宋体"/>
        </w:rPr>
        <w:t>承接</w:t>
      </w:r>
      <w:r>
        <w:rPr>
          <w:rFonts w:ascii="宋体" w:hAnsi="宋体"/>
        </w:rPr>
        <w:t>。相关企业的具体情况如下：</w:t>
      </w:r>
    </w:p>
    <w:p>
      <w:pPr>
        <w:ind w:firstLine="420" w:firstLineChars="200"/>
        <w:outlineLvl w:val="3"/>
        <w:rPr>
          <w:rFonts w:ascii="宋体" w:hAnsi="宋体"/>
        </w:rPr>
      </w:pPr>
      <w:r>
        <w:rPr>
          <w:rFonts w:ascii="宋体" w:hAnsi="宋体"/>
        </w:rPr>
        <w:t>1.</w:t>
      </w:r>
      <w:r>
        <w:rPr>
          <w:rFonts w:ascii="宋体" w:hAnsi="宋体"/>
          <w:b/>
          <w:bCs/>
          <w:u w:val="single"/>
        </w:rPr>
        <w:t xml:space="preserve"> （标的名称）</w:t>
      </w:r>
      <w:r>
        <w:rPr>
          <w:rFonts w:ascii="宋体" w:hAnsi="宋体"/>
        </w:rPr>
        <w:t xml:space="preserve"> ，属于</w:t>
      </w:r>
      <w:r>
        <w:rPr>
          <w:rFonts w:ascii="宋体" w:hAnsi="宋体"/>
          <w:b/>
          <w:bCs/>
          <w:u w:val="single"/>
        </w:rPr>
        <w:t>（</w:t>
      </w:r>
      <w:r>
        <w:rPr>
          <w:rFonts w:hint="eastAsia" w:ascii="宋体" w:hAnsi="宋体"/>
          <w:b/>
          <w:bCs/>
          <w:u w:val="single"/>
        </w:rPr>
        <w:t>招标文件</w:t>
      </w:r>
      <w:r>
        <w:rPr>
          <w:rFonts w:ascii="宋体" w:hAnsi="宋体"/>
          <w:b/>
          <w:bCs/>
          <w:u w:val="single"/>
        </w:rPr>
        <w:t xml:space="preserve">中明确的所属行业） </w:t>
      </w:r>
      <w:r>
        <w:rPr>
          <w:rFonts w:ascii="宋体" w:hAnsi="宋体"/>
        </w:rPr>
        <w:t>行业；</w:t>
      </w:r>
      <w:r>
        <w:rPr>
          <w:rFonts w:hint="eastAsia" w:ascii="宋体" w:hAnsi="宋体"/>
        </w:rPr>
        <w:t>承建（承接）企业</w:t>
      </w:r>
      <w:r>
        <w:rPr>
          <w:rFonts w:ascii="宋体" w:hAnsi="宋体"/>
        </w:rPr>
        <w:t>为</w:t>
      </w:r>
      <w:r>
        <w:rPr>
          <w:rFonts w:ascii="宋体" w:hAnsi="宋体"/>
          <w:b/>
          <w:bCs/>
          <w:u w:val="single"/>
        </w:rPr>
        <w:t>（企业名称）</w:t>
      </w:r>
      <w:r>
        <w:rPr>
          <w:rFonts w:ascii="宋体" w:hAnsi="宋体"/>
        </w:rPr>
        <w:t>，从业人员</w:t>
      </w:r>
      <w:r>
        <w:rPr>
          <w:rFonts w:ascii="宋体" w:hAnsi="宋体"/>
          <w:b/>
          <w:bCs/>
          <w:u w:val="single"/>
        </w:rPr>
        <w:t xml:space="preserve">  </w:t>
      </w:r>
      <w:r>
        <w:rPr>
          <w:rFonts w:ascii="宋体" w:hAnsi="宋体"/>
        </w:rPr>
        <w:t>人，营业收入为</w:t>
      </w:r>
      <w:r>
        <w:rPr>
          <w:rFonts w:ascii="宋体" w:hAnsi="宋体"/>
          <w:b/>
          <w:bCs/>
          <w:u w:val="single"/>
        </w:rPr>
        <w:t xml:space="preserve">  </w:t>
      </w:r>
      <w:r>
        <w:rPr>
          <w:rFonts w:ascii="宋体" w:hAnsi="宋体"/>
        </w:rPr>
        <w:t>万元，资产总额为</w:t>
      </w:r>
      <w:r>
        <w:rPr>
          <w:rFonts w:hint="eastAsia" w:ascii="宋体" w:hAnsi="宋体"/>
          <w:b/>
          <w:bCs/>
          <w:u w:val="single"/>
        </w:rPr>
        <w:t xml:space="preserve"> </w:t>
      </w:r>
      <w:r>
        <w:rPr>
          <w:rFonts w:ascii="宋体" w:hAnsi="宋体"/>
          <w:b/>
          <w:bCs/>
          <w:u w:val="single"/>
        </w:rPr>
        <w:t xml:space="preserve"> </w:t>
      </w:r>
      <w:r>
        <w:rPr>
          <w:rFonts w:ascii="宋体" w:hAnsi="宋体"/>
        </w:rPr>
        <w:t>万元 ，属于</w:t>
      </w:r>
      <w:r>
        <w:rPr>
          <w:rFonts w:ascii="宋体" w:hAnsi="宋体"/>
          <w:b/>
          <w:bCs/>
          <w:u w:val="single"/>
        </w:rPr>
        <w:t>（中型企业、小型企业、微型企业）</w:t>
      </w:r>
      <w:r>
        <w:rPr>
          <w:rFonts w:ascii="宋体" w:hAnsi="宋体"/>
        </w:rPr>
        <w:t xml:space="preserve">； </w:t>
      </w:r>
    </w:p>
    <w:p>
      <w:pPr>
        <w:ind w:firstLine="420" w:firstLineChars="200"/>
        <w:outlineLvl w:val="3"/>
        <w:rPr>
          <w:rFonts w:ascii="宋体" w:hAnsi="宋体"/>
          <w:u w:val="single"/>
        </w:rPr>
      </w:pPr>
      <w:r>
        <w:rPr>
          <w:rFonts w:ascii="宋体" w:hAnsi="宋体"/>
        </w:rPr>
        <w:t>2.</w:t>
      </w:r>
      <w:r>
        <w:rPr>
          <w:rFonts w:ascii="宋体" w:hAnsi="宋体"/>
          <w:b/>
          <w:bCs/>
          <w:u w:val="single"/>
        </w:rPr>
        <w:t xml:space="preserve"> （标的名称）</w:t>
      </w:r>
      <w:r>
        <w:rPr>
          <w:rFonts w:ascii="宋体" w:hAnsi="宋体"/>
        </w:rPr>
        <w:t xml:space="preserve"> ，属于</w:t>
      </w:r>
      <w:r>
        <w:rPr>
          <w:rFonts w:ascii="宋体" w:hAnsi="宋体"/>
          <w:b/>
          <w:bCs/>
          <w:u w:val="single"/>
        </w:rPr>
        <w:t>（</w:t>
      </w:r>
      <w:r>
        <w:rPr>
          <w:rFonts w:hint="eastAsia" w:ascii="宋体" w:hAnsi="宋体"/>
          <w:b/>
          <w:bCs/>
          <w:u w:val="single"/>
        </w:rPr>
        <w:t>招标文件</w:t>
      </w:r>
      <w:r>
        <w:rPr>
          <w:rFonts w:ascii="宋体" w:hAnsi="宋体"/>
          <w:b/>
          <w:bCs/>
          <w:u w:val="single"/>
        </w:rPr>
        <w:t xml:space="preserve">中明确的所属行业） </w:t>
      </w:r>
      <w:r>
        <w:rPr>
          <w:rFonts w:ascii="宋体" w:hAnsi="宋体"/>
        </w:rPr>
        <w:t>行业；</w:t>
      </w:r>
      <w:r>
        <w:rPr>
          <w:rFonts w:hint="eastAsia" w:ascii="宋体" w:hAnsi="宋体"/>
        </w:rPr>
        <w:t>承建（承接）企业</w:t>
      </w:r>
      <w:r>
        <w:rPr>
          <w:rFonts w:ascii="宋体" w:hAnsi="宋体"/>
        </w:rPr>
        <w:t>为</w:t>
      </w:r>
      <w:r>
        <w:rPr>
          <w:rFonts w:ascii="宋体" w:hAnsi="宋体"/>
          <w:b/>
          <w:bCs/>
          <w:u w:val="single"/>
        </w:rPr>
        <w:t>（企业名称）</w:t>
      </w:r>
      <w:r>
        <w:rPr>
          <w:rFonts w:ascii="宋体" w:hAnsi="宋体"/>
        </w:rPr>
        <w:t>，从业人员</w:t>
      </w:r>
      <w:r>
        <w:rPr>
          <w:rFonts w:ascii="宋体" w:hAnsi="宋体"/>
          <w:b/>
          <w:bCs/>
          <w:u w:val="single"/>
        </w:rPr>
        <w:t xml:space="preserve">  </w:t>
      </w:r>
      <w:r>
        <w:rPr>
          <w:rFonts w:ascii="宋体" w:hAnsi="宋体"/>
        </w:rPr>
        <w:t>人，营业收入为</w:t>
      </w:r>
      <w:r>
        <w:rPr>
          <w:rFonts w:ascii="宋体" w:hAnsi="宋体"/>
          <w:b/>
          <w:bCs/>
          <w:u w:val="single"/>
        </w:rPr>
        <w:t xml:space="preserve">  </w:t>
      </w:r>
      <w:r>
        <w:rPr>
          <w:rFonts w:ascii="宋体" w:hAnsi="宋体"/>
        </w:rPr>
        <w:t>万元，资产总额为</w:t>
      </w:r>
      <w:r>
        <w:rPr>
          <w:rFonts w:hint="eastAsia" w:ascii="宋体" w:hAnsi="宋体"/>
          <w:b/>
          <w:bCs/>
          <w:u w:val="single"/>
        </w:rPr>
        <w:t xml:space="preserve"> </w:t>
      </w:r>
      <w:r>
        <w:rPr>
          <w:rFonts w:ascii="宋体" w:hAnsi="宋体"/>
          <w:b/>
          <w:bCs/>
          <w:u w:val="single"/>
        </w:rPr>
        <w:t xml:space="preserve"> </w:t>
      </w:r>
      <w:r>
        <w:rPr>
          <w:rFonts w:ascii="宋体" w:hAnsi="宋体"/>
        </w:rPr>
        <w:t>万元 ，属于</w:t>
      </w:r>
      <w:r>
        <w:rPr>
          <w:rFonts w:ascii="宋体" w:hAnsi="宋体"/>
          <w:b/>
          <w:bCs/>
          <w:u w:val="single"/>
        </w:rPr>
        <w:t>（中型企业、小型企业、微型企业）</w:t>
      </w:r>
      <w:r>
        <w:rPr>
          <w:rFonts w:hint="eastAsia" w:ascii="宋体" w:hAnsi="宋体"/>
        </w:rPr>
        <w:t>；</w:t>
      </w:r>
    </w:p>
    <w:p>
      <w:pPr>
        <w:ind w:firstLine="420" w:firstLineChars="200"/>
        <w:outlineLvl w:val="3"/>
        <w:rPr>
          <w:rFonts w:ascii="宋体" w:hAnsi="宋体"/>
        </w:rPr>
      </w:pPr>
      <w:r>
        <w:rPr>
          <w:rFonts w:ascii="宋体" w:hAnsi="宋体"/>
        </w:rPr>
        <w:t xml:space="preserve">…… </w:t>
      </w:r>
    </w:p>
    <w:p>
      <w:pPr>
        <w:ind w:firstLine="420" w:firstLineChars="200"/>
        <w:outlineLvl w:val="3"/>
        <w:rPr>
          <w:rFonts w:ascii="宋体" w:hAnsi="宋体"/>
        </w:rPr>
      </w:pPr>
      <w:r>
        <w:rPr>
          <w:rFonts w:ascii="宋体" w:hAnsi="宋体"/>
        </w:rPr>
        <w:t>以上企业，不属于大企业的分支机构，不存在控股股东为大企业的情形，也不存在与大企业的负责人为同一人的情形。</w:t>
      </w:r>
    </w:p>
    <w:p>
      <w:pPr>
        <w:ind w:firstLine="420" w:firstLineChars="200"/>
        <w:outlineLvl w:val="3"/>
        <w:rPr>
          <w:rFonts w:ascii="宋体" w:hAnsi="宋体"/>
        </w:rPr>
      </w:pPr>
      <w:bookmarkStart w:id="109" w:name="_Hlk73562275"/>
    </w:p>
    <w:p>
      <w:pPr>
        <w:ind w:firstLine="420" w:firstLineChars="200"/>
        <w:outlineLvl w:val="3"/>
        <w:rPr>
          <w:rFonts w:ascii="宋体" w:hAnsi="宋体"/>
        </w:rPr>
      </w:pPr>
      <w:r>
        <w:rPr>
          <w:rFonts w:hint="eastAsia" w:ascii="宋体" w:hAnsi="宋体"/>
        </w:rPr>
        <w:t>本企业</w:t>
      </w:r>
      <w:r>
        <w:rPr>
          <w:rFonts w:ascii="宋体" w:hAnsi="宋体"/>
        </w:rPr>
        <w:t>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宋体" w:hAnsi="宋体"/>
        </w:rPr>
        <w:t>投标人</w:t>
      </w:r>
      <w:r>
        <w:rPr>
          <w:rFonts w:ascii="宋体" w:hAnsi="宋体"/>
        </w:rPr>
        <w:t>按照本办法规定提供声明函内容不实的，属于提供虚假材料谋取中标，依照《政府采购法》等政府采购有关法律法规规定追究相应责任</w:t>
      </w:r>
      <w:r>
        <w:rPr>
          <w:rFonts w:hint="eastAsia" w:ascii="宋体" w:hAnsi="宋体"/>
        </w:rPr>
        <w:t>。</w:t>
      </w:r>
      <w:bookmarkEnd w:id="109"/>
    </w:p>
    <w:p>
      <w:pPr>
        <w:pStyle w:val="13"/>
        <w:ind w:left="1260" w:hanging="420"/>
        <w:rPr>
          <w:rFonts w:ascii="宋体" w:hAnsi="宋体"/>
        </w:rPr>
      </w:pPr>
    </w:p>
    <w:p>
      <w:pPr>
        <w:ind w:firstLine="5670" w:firstLineChars="2700"/>
        <w:outlineLvl w:val="3"/>
        <w:rPr>
          <w:rFonts w:ascii="宋体" w:hAnsi="宋体"/>
        </w:rPr>
      </w:pPr>
      <w:r>
        <w:rPr>
          <w:rFonts w:hint="eastAsia" w:ascii="宋体" w:hAnsi="宋体"/>
        </w:rPr>
        <w:t>企业名称（盖章）：</w:t>
      </w:r>
    </w:p>
    <w:p>
      <w:pPr>
        <w:ind w:firstLine="6300" w:firstLineChars="3000"/>
        <w:outlineLvl w:val="3"/>
        <w:rPr>
          <w:rFonts w:ascii="宋体" w:hAnsi="宋体"/>
        </w:rPr>
      </w:pPr>
      <w:r>
        <w:rPr>
          <w:rFonts w:hint="eastAsia" w:ascii="宋体" w:hAnsi="宋体"/>
        </w:rPr>
        <w:t>日期：</w:t>
      </w:r>
    </w:p>
    <w:p>
      <w:pPr>
        <w:rPr>
          <w:rFonts w:ascii="宋体" w:hAnsi="宋体"/>
        </w:rPr>
      </w:pPr>
    </w:p>
    <w:p>
      <w:pPr>
        <w:rPr>
          <w:rFonts w:ascii="宋体" w:hAnsi="宋体"/>
        </w:rPr>
      </w:pPr>
    </w:p>
    <w:p>
      <w:pPr>
        <w:widowControl/>
        <w:spacing w:line="400" w:lineRule="exact"/>
        <w:rPr>
          <w:rFonts w:ascii="宋体" w:hAnsi="宋体"/>
          <w:b/>
          <w:bCs/>
          <w:sz w:val="18"/>
        </w:rPr>
      </w:pPr>
      <w:r>
        <w:rPr>
          <w:rFonts w:hint="eastAsia" w:ascii="宋体" w:hAnsi="宋体"/>
          <w:b/>
          <w:bCs/>
          <w:sz w:val="18"/>
        </w:rPr>
        <w:t>备注：1、从业人员、营业收入、资产总额填报上一年度数据，无上一年度数据的新成立企业可不填报。</w:t>
      </w:r>
    </w:p>
    <w:p>
      <w:pPr>
        <w:widowControl/>
        <w:numPr>
          <w:ilvl w:val="0"/>
          <w:numId w:val="9"/>
        </w:numPr>
        <w:spacing w:line="400" w:lineRule="exact"/>
        <w:ind w:firstLine="542" w:firstLineChars="300"/>
        <w:rPr>
          <w:rFonts w:ascii="宋体" w:hAnsi="宋体"/>
          <w:b/>
          <w:bCs/>
          <w:sz w:val="18"/>
          <w:szCs w:val="22"/>
        </w:rPr>
      </w:pPr>
      <w:r>
        <w:rPr>
          <w:rFonts w:hint="eastAsia" w:ascii="宋体" w:hAnsi="宋体"/>
          <w:b/>
          <w:bCs/>
          <w:sz w:val="18"/>
          <w:szCs w:val="22"/>
        </w:rPr>
        <w:t>投标人为中小企业时需提供本声明函，并完整填写从业人员、营业收入、资产总额等内容，否则评审时不能享受相应的价格扣除。</w:t>
      </w:r>
    </w:p>
    <w:p>
      <w:pPr>
        <w:pStyle w:val="13"/>
        <w:ind w:left="1260" w:hanging="420"/>
        <w:rPr>
          <w:rFonts w:ascii="宋体" w:hAnsi="宋体"/>
        </w:rPr>
      </w:pPr>
    </w:p>
    <w:p>
      <w:pPr>
        <w:jc w:val="center"/>
        <w:outlineLvl w:val="3"/>
        <w:rPr>
          <w:rFonts w:ascii="宋体" w:hAnsi="宋体" w:cs="宋体"/>
          <w:b/>
          <w:sz w:val="24"/>
        </w:rPr>
      </w:pPr>
      <w:r>
        <w:rPr>
          <w:rFonts w:hint="eastAsia" w:ascii="宋体" w:hAnsi="宋体" w:cs="宋体"/>
          <w:b/>
          <w:sz w:val="24"/>
        </w:rPr>
        <w:br w:type="page"/>
      </w:r>
      <w:r>
        <w:rPr>
          <w:rFonts w:hint="eastAsia" w:ascii="宋体" w:hAnsi="宋体" w:cs="宋体"/>
          <w:b/>
          <w:sz w:val="24"/>
        </w:rPr>
        <w:t xml:space="preserve">2、中小企业声明函（货物） </w:t>
      </w:r>
    </w:p>
    <w:p>
      <w:pPr>
        <w:ind w:firstLine="420" w:firstLineChars="200"/>
        <w:outlineLvl w:val="3"/>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b/>
          <w:bCs/>
          <w:u w:val="single"/>
        </w:rPr>
        <w:t>（采购人名称）</w:t>
      </w:r>
      <w:r>
        <w:rPr>
          <w:rFonts w:hint="eastAsia" w:ascii="宋体" w:hAnsi="宋体" w:cs="宋体"/>
        </w:rPr>
        <w:t>的</w:t>
      </w:r>
      <w:r>
        <w:rPr>
          <w:rFonts w:hint="eastAsia" w:ascii="宋体" w:hAnsi="宋体" w:cs="宋体"/>
          <w:b/>
          <w:bCs/>
          <w:u w:val="single"/>
        </w:rPr>
        <w:t>（项目名称）</w:t>
      </w:r>
      <w:r>
        <w:rPr>
          <w:rFonts w:hint="eastAsia" w:ascii="宋体" w:hAnsi="宋体" w:cs="宋体"/>
        </w:rPr>
        <w:t>采购活动，提供的货物全部由符合政策要求的中小企业制造。相关企业（含联合体中的中小企业、签订分包意向协议的中小企业）的具体情况如下：</w:t>
      </w:r>
    </w:p>
    <w:p>
      <w:pPr>
        <w:ind w:firstLine="420" w:firstLineChars="200"/>
        <w:outlineLvl w:val="3"/>
        <w:rPr>
          <w:rFonts w:ascii="宋体" w:hAnsi="宋体" w:cs="宋体"/>
        </w:rPr>
      </w:pPr>
      <w:r>
        <w:rPr>
          <w:rFonts w:hint="eastAsia" w:ascii="宋体" w:hAnsi="宋体" w:cs="宋体"/>
        </w:rPr>
        <w:t>1.</w:t>
      </w:r>
      <w:r>
        <w:rPr>
          <w:rFonts w:hint="eastAsia" w:ascii="宋体" w:hAnsi="宋体" w:cs="宋体"/>
          <w:b/>
          <w:bCs/>
          <w:u w:val="single"/>
        </w:rPr>
        <w:t xml:space="preserve"> （标的名称）</w:t>
      </w:r>
      <w:r>
        <w:rPr>
          <w:rFonts w:hint="eastAsia" w:ascii="宋体" w:hAnsi="宋体" w:cs="宋体"/>
        </w:rPr>
        <w:t xml:space="preserve"> ，属于</w:t>
      </w:r>
      <w:r>
        <w:rPr>
          <w:rFonts w:hint="eastAsia" w:ascii="宋体" w:hAnsi="宋体" w:cs="宋体"/>
          <w:b/>
          <w:bCs/>
          <w:u w:val="single"/>
        </w:rPr>
        <w:t xml:space="preserve">（招标文件中明确的所属行业） </w:t>
      </w:r>
      <w:r>
        <w:rPr>
          <w:rFonts w:hint="eastAsia" w:ascii="宋体" w:hAnsi="宋体" w:cs="宋体"/>
        </w:rPr>
        <w:t>行业；制造商为</w:t>
      </w:r>
      <w:r>
        <w:rPr>
          <w:rFonts w:hint="eastAsia" w:ascii="宋体" w:hAnsi="宋体" w:cs="宋体"/>
          <w:b/>
          <w:bCs/>
          <w:u w:val="single"/>
        </w:rPr>
        <w:t>（企业名称）</w:t>
      </w:r>
      <w:r>
        <w:rPr>
          <w:rFonts w:hint="eastAsia" w:ascii="宋体" w:hAnsi="宋体" w:cs="宋体"/>
        </w:rPr>
        <w:t>，从业人员</w:t>
      </w:r>
      <w:r>
        <w:rPr>
          <w:rFonts w:hint="eastAsia" w:ascii="宋体" w:hAnsi="宋体" w:cs="宋体"/>
          <w:b/>
          <w:bCs/>
          <w:u w:val="single"/>
        </w:rPr>
        <w:t xml:space="preserve">  </w:t>
      </w:r>
      <w:r>
        <w:rPr>
          <w:rFonts w:hint="eastAsia" w:ascii="宋体" w:hAnsi="宋体" w:cs="宋体"/>
        </w:rPr>
        <w:t>人，营业收入为</w:t>
      </w:r>
      <w:r>
        <w:rPr>
          <w:rFonts w:hint="eastAsia" w:ascii="宋体" w:hAnsi="宋体" w:cs="宋体"/>
          <w:b/>
          <w:bCs/>
          <w:u w:val="single"/>
        </w:rPr>
        <w:t xml:space="preserve">  </w:t>
      </w:r>
      <w:r>
        <w:rPr>
          <w:rFonts w:hint="eastAsia" w:ascii="宋体" w:hAnsi="宋体" w:cs="宋体"/>
        </w:rPr>
        <w:t>万元，资产总额为</w:t>
      </w:r>
      <w:r>
        <w:rPr>
          <w:rFonts w:hint="eastAsia" w:ascii="宋体" w:hAnsi="宋体" w:cs="宋体"/>
          <w:b/>
          <w:bCs/>
          <w:u w:val="single"/>
        </w:rPr>
        <w:t xml:space="preserve">  </w:t>
      </w:r>
      <w:r>
        <w:rPr>
          <w:rFonts w:hint="eastAsia" w:ascii="宋体" w:hAnsi="宋体" w:cs="宋体"/>
        </w:rPr>
        <w:t>万元 ，属于</w:t>
      </w:r>
      <w:r>
        <w:rPr>
          <w:rFonts w:hint="eastAsia" w:ascii="宋体" w:hAnsi="宋体" w:cs="宋体"/>
          <w:b/>
          <w:bCs/>
          <w:u w:val="single"/>
        </w:rPr>
        <w:t>（中型企业、小型企业、微型企业）</w:t>
      </w:r>
      <w:r>
        <w:rPr>
          <w:rFonts w:hint="eastAsia" w:ascii="宋体" w:hAnsi="宋体" w:cs="宋体"/>
        </w:rPr>
        <w:t xml:space="preserve">； </w:t>
      </w:r>
    </w:p>
    <w:p>
      <w:pPr>
        <w:ind w:firstLine="420" w:firstLineChars="200"/>
        <w:outlineLvl w:val="3"/>
        <w:rPr>
          <w:rFonts w:ascii="宋体" w:hAnsi="宋体" w:cs="宋体"/>
          <w:u w:val="single"/>
        </w:rPr>
      </w:pPr>
      <w:r>
        <w:rPr>
          <w:rFonts w:hint="eastAsia" w:ascii="宋体" w:hAnsi="宋体" w:cs="宋体"/>
        </w:rPr>
        <w:t>2.</w:t>
      </w:r>
      <w:r>
        <w:rPr>
          <w:rFonts w:hint="eastAsia" w:ascii="宋体" w:hAnsi="宋体" w:cs="宋体"/>
          <w:b/>
          <w:bCs/>
          <w:u w:val="single"/>
        </w:rPr>
        <w:t xml:space="preserve"> （标的名称）</w:t>
      </w:r>
      <w:r>
        <w:rPr>
          <w:rFonts w:hint="eastAsia" w:ascii="宋体" w:hAnsi="宋体" w:cs="宋体"/>
        </w:rPr>
        <w:t xml:space="preserve"> ，属于</w:t>
      </w:r>
      <w:r>
        <w:rPr>
          <w:rFonts w:hint="eastAsia" w:ascii="宋体" w:hAnsi="宋体" w:cs="宋体"/>
          <w:b/>
          <w:bCs/>
          <w:u w:val="single"/>
        </w:rPr>
        <w:t xml:space="preserve">（招标文件中明确的所属行业） </w:t>
      </w:r>
      <w:r>
        <w:rPr>
          <w:rFonts w:hint="eastAsia" w:ascii="宋体" w:hAnsi="宋体" w:cs="宋体"/>
        </w:rPr>
        <w:t>行业；制造商为</w:t>
      </w:r>
      <w:r>
        <w:rPr>
          <w:rFonts w:hint="eastAsia" w:ascii="宋体" w:hAnsi="宋体" w:cs="宋体"/>
          <w:b/>
          <w:bCs/>
          <w:u w:val="single"/>
        </w:rPr>
        <w:t>（企业名称）</w:t>
      </w:r>
      <w:r>
        <w:rPr>
          <w:rFonts w:hint="eastAsia" w:ascii="宋体" w:hAnsi="宋体" w:cs="宋体"/>
        </w:rPr>
        <w:t>，从业人员</w:t>
      </w:r>
      <w:r>
        <w:rPr>
          <w:rFonts w:hint="eastAsia" w:ascii="宋体" w:hAnsi="宋体" w:cs="宋体"/>
          <w:b/>
          <w:bCs/>
          <w:u w:val="single"/>
        </w:rPr>
        <w:t xml:space="preserve">  </w:t>
      </w:r>
      <w:r>
        <w:rPr>
          <w:rFonts w:hint="eastAsia" w:ascii="宋体" w:hAnsi="宋体" w:cs="宋体"/>
        </w:rPr>
        <w:t>人，营业收入为</w:t>
      </w:r>
      <w:r>
        <w:rPr>
          <w:rFonts w:hint="eastAsia" w:ascii="宋体" w:hAnsi="宋体" w:cs="宋体"/>
          <w:b/>
          <w:bCs/>
          <w:u w:val="single"/>
        </w:rPr>
        <w:t xml:space="preserve">  </w:t>
      </w:r>
      <w:r>
        <w:rPr>
          <w:rFonts w:hint="eastAsia" w:ascii="宋体" w:hAnsi="宋体" w:cs="宋体"/>
        </w:rPr>
        <w:t>万元，资产总额为</w:t>
      </w:r>
      <w:r>
        <w:rPr>
          <w:rFonts w:hint="eastAsia" w:ascii="宋体" w:hAnsi="宋体" w:cs="宋体"/>
          <w:b/>
          <w:bCs/>
          <w:u w:val="single"/>
        </w:rPr>
        <w:t xml:space="preserve">  </w:t>
      </w:r>
      <w:r>
        <w:rPr>
          <w:rFonts w:hint="eastAsia" w:ascii="宋体" w:hAnsi="宋体" w:cs="宋体"/>
        </w:rPr>
        <w:t>万元 ，属于</w:t>
      </w:r>
      <w:r>
        <w:rPr>
          <w:rFonts w:hint="eastAsia" w:ascii="宋体" w:hAnsi="宋体" w:cs="宋体"/>
          <w:b/>
          <w:bCs/>
          <w:u w:val="single"/>
        </w:rPr>
        <w:t>（中型企业、小型企业、微型企业）</w:t>
      </w:r>
      <w:r>
        <w:rPr>
          <w:rFonts w:hint="eastAsia" w:ascii="宋体" w:hAnsi="宋体" w:cs="宋体"/>
        </w:rPr>
        <w:t>；</w:t>
      </w:r>
    </w:p>
    <w:p>
      <w:pPr>
        <w:ind w:firstLine="420" w:firstLineChars="200"/>
        <w:outlineLvl w:val="3"/>
        <w:rPr>
          <w:rFonts w:ascii="宋体" w:hAnsi="宋体" w:cs="宋体"/>
        </w:rPr>
      </w:pPr>
      <w:r>
        <w:rPr>
          <w:rFonts w:hint="eastAsia" w:ascii="宋体" w:hAnsi="宋体" w:cs="宋体"/>
        </w:rPr>
        <w:t xml:space="preserve">…… </w:t>
      </w:r>
    </w:p>
    <w:p>
      <w:pPr>
        <w:ind w:firstLine="420" w:firstLineChars="200"/>
        <w:outlineLvl w:val="3"/>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20" w:firstLineChars="200"/>
        <w:outlineLvl w:val="3"/>
        <w:rPr>
          <w:rFonts w:ascii="宋体" w:hAnsi="宋体" w:cs="宋体"/>
        </w:rPr>
      </w:pPr>
    </w:p>
    <w:p>
      <w:pPr>
        <w:ind w:firstLine="420" w:firstLineChars="200"/>
        <w:outlineLvl w:val="3"/>
        <w:rPr>
          <w:rFonts w:ascii="宋体" w:hAnsi="宋体" w:cs="宋体"/>
        </w:rPr>
      </w:pPr>
      <w:r>
        <w:rPr>
          <w:rFonts w:hint="eastAsia" w:ascii="宋体" w:hAnsi="宋体" w:cs="宋体"/>
        </w:rPr>
        <w:t>本企业人已知悉《政府采购促进中小企业发展管理办法》（财库〔2020〕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pStyle w:val="13"/>
        <w:ind w:left="1260" w:hanging="420"/>
        <w:rPr>
          <w:rFonts w:ascii="宋体" w:hAnsi="宋体" w:cs="宋体"/>
        </w:rPr>
      </w:pPr>
    </w:p>
    <w:p>
      <w:pPr>
        <w:ind w:firstLine="5670" w:firstLineChars="2700"/>
        <w:outlineLvl w:val="3"/>
        <w:rPr>
          <w:rFonts w:ascii="宋体" w:hAnsi="宋体" w:cs="宋体"/>
        </w:rPr>
      </w:pPr>
      <w:r>
        <w:rPr>
          <w:rFonts w:hint="eastAsia" w:ascii="宋体" w:hAnsi="宋体" w:cs="宋体"/>
        </w:rPr>
        <w:t>企业名称（盖章）：</w:t>
      </w:r>
    </w:p>
    <w:p>
      <w:pPr>
        <w:ind w:firstLine="6300" w:firstLineChars="3000"/>
        <w:outlineLvl w:val="3"/>
        <w:rPr>
          <w:rFonts w:ascii="宋体" w:hAnsi="宋体" w:cs="宋体"/>
        </w:rPr>
      </w:pPr>
      <w:r>
        <w:rPr>
          <w:rFonts w:hint="eastAsia" w:ascii="宋体" w:hAnsi="宋体" w:cs="宋体"/>
        </w:rPr>
        <w:t>日期：</w:t>
      </w:r>
    </w:p>
    <w:p>
      <w:pPr>
        <w:rPr>
          <w:rFonts w:ascii="宋体" w:hAnsi="宋体"/>
        </w:rPr>
      </w:pPr>
    </w:p>
    <w:p>
      <w:pPr>
        <w:rPr>
          <w:rFonts w:ascii="宋体" w:hAnsi="宋体"/>
        </w:rPr>
      </w:pPr>
    </w:p>
    <w:p>
      <w:pPr>
        <w:widowControl/>
        <w:spacing w:line="400" w:lineRule="exact"/>
        <w:rPr>
          <w:rFonts w:ascii="宋体" w:hAnsi="宋体"/>
          <w:b/>
          <w:bCs/>
          <w:sz w:val="18"/>
        </w:rPr>
      </w:pPr>
      <w:r>
        <w:rPr>
          <w:rFonts w:hint="eastAsia" w:ascii="宋体" w:hAnsi="宋体"/>
          <w:b/>
          <w:bCs/>
          <w:sz w:val="18"/>
        </w:rPr>
        <w:t>备注：1、从业人员、营业收入、资产总额填报上一年度数据，无上一年度数据的新成立企业可不填报。</w:t>
      </w:r>
    </w:p>
    <w:p>
      <w:pPr>
        <w:widowControl/>
        <w:numPr>
          <w:ilvl w:val="0"/>
          <w:numId w:val="9"/>
        </w:numPr>
        <w:spacing w:line="400" w:lineRule="exact"/>
        <w:ind w:firstLine="542" w:firstLineChars="300"/>
        <w:rPr>
          <w:rFonts w:ascii="宋体" w:hAnsi="宋体"/>
        </w:rPr>
      </w:pPr>
      <w:r>
        <w:rPr>
          <w:rFonts w:hint="eastAsia" w:ascii="宋体" w:hAnsi="宋体"/>
          <w:b/>
          <w:bCs/>
          <w:sz w:val="18"/>
          <w:szCs w:val="22"/>
        </w:rPr>
        <w:t>投标人为中小企业时需提供本声明函，并完整填写从业人员、营业收入、资产总额等内容，否则评审时不能享受相应的价格扣除。</w:t>
      </w:r>
    </w:p>
    <w:p>
      <w:pPr>
        <w:ind w:firstLine="420" w:firstLineChars="200"/>
        <w:rPr>
          <w:rFonts w:ascii="宋体" w:hAnsi="宋体"/>
        </w:rPr>
      </w:pPr>
    </w:p>
    <w:p/>
    <w:p>
      <w:pPr>
        <w:jc w:val="center"/>
        <w:outlineLvl w:val="3"/>
        <w:rPr>
          <w:rFonts w:ascii="宋体" w:hAnsi="宋体"/>
          <w:b/>
          <w:sz w:val="24"/>
        </w:rPr>
      </w:pPr>
    </w:p>
    <w:p>
      <w:pPr>
        <w:jc w:val="center"/>
        <w:outlineLvl w:val="3"/>
        <w:rPr>
          <w:rFonts w:ascii="宋体" w:hAnsi="宋体"/>
          <w:b/>
          <w:sz w:val="24"/>
        </w:rPr>
      </w:pPr>
      <w:r>
        <w:rPr>
          <w:rFonts w:hint="eastAsia" w:ascii="宋体" w:hAnsi="宋体"/>
          <w:b/>
          <w:sz w:val="24"/>
        </w:rPr>
        <w:t>3、残疾人福利性单位声明函（服务类）</w:t>
      </w:r>
    </w:p>
    <w:p>
      <w:pPr>
        <w:rPr>
          <w:rFonts w:ascii="宋体" w:hAnsi="宋体"/>
          <w:b/>
          <w:bCs/>
        </w:rPr>
      </w:pPr>
    </w:p>
    <w:p>
      <w:pPr>
        <w:ind w:firstLine="420" w:firstLineChars="200"/>
        <w:rPr>
          <w:rFonts w:ascii="宋体" w:hAnsi="宋体"/>
        </w:rPr>
      </w:pPr>
      <w:r>
        <w:rPr>
          <w:rFonts w:ascii="宋体" w:hAnsi="宋体"/>
        </w:rPr>
        <w:t>本</w:t>
      </w:r>
      <w:r>
        <w:rPr>
          <w:rFonts w:hint="eastAsia" w:ascii="宋体" w:hAnsi="宋体"/>
        </w:rPr>
        <w:t>投标人郑重声明，根据《财政部民政部中国残疾人联合会关于促进残疾人就业政府采购政策的通知》（财库〔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141 </w:t>
      </w:r>
      <w:r>
        <w:rPr>
          <w:rFonts w:hint="eastAsia" w:ascii="宋体" w:hAnsi="宋体"/>
        </w:rPr>
        <w:t>号）的规定，本投标人</w:t>
      </w:r>
      <w:r>
        <w:rPr>
          <w:rFonts w:ascii="宋体" w:hAnsi="宋体"/>
        </w:rPr>
        <w:t>参加</w:t>
      </w:r>
      <w:r>
        <w:rPr>
          <w:rFonts w:ascii="宋体" w:hAnsi="宋体"/>
          <w:b/>
          <w:bCs/>
          <w:u w:val="single"/>
        </w:rPr>
        <w:t>（</w:t>
      </w:r>
      <w:r>
        <w:rPr>
          <w:rFonts w:hint="eastAsia" w:ascii="宋体" w:hAnsi="宋体"/>
          <w:b/>
          <w:bCs/>
          <w:u w:val="single"/>
        </w:rPr>
        <w:t>采购人</w:t>
      </w:r>
      <w:r>
        <w:rPr>
          <w:rFonts w:ascii="宋体" w:hAnsi="宋体"/>
          <w:b/>
          <w:bCs/>
          <w:u w:val="single"/>
        </w:rPr>
        <w:t>名称）</w:t>
      </w:r>
      <w:r>
        <w:rPr>
          <w:rFonts w:ascii="宋体" w:hAnsi="宋体"/>
        </w:rPr>
        <w:t>的</w:t>
      </w:r>
      <w:r>
        <w:rPr>
          <w:rFonts w:ascii="宋体" w:hAnsi="宋体"/>
          <w:b/>
          <w:bCs/>
          <w:u w:val="single"/>
        </w:rPr>
        <w:t>（项目名称）</w:t>
      </w:r>
      <w:r>
        <w:rPr>
          <w:rFonts w:ascii="宋体" w:hAnsi="宋体"/>
        </w:rPr>
        <w:t>采购活动，</w:t>
      </w:r>
      <w:r>
        <w:rPr>
          <w:rFonts w:hint="eastAsia" w:ascii="宋体" w:hAnsi="宋体"/>
        </w:rPr>
        <w:t>服务</w:t>
      </w:r>
      <w:r>
        <w:rPr>
          <w:rFonts w:ascii="宋体" w:hAnsi="宋体"/>
        </w:rPr>
        <w:t>全部由符合政策要求的</w:t>
      </w:r>
      <w:r>
        <w:rPr>
          <w:rFonts w:hint="eastAsia" w:ascii="宋体" w:hAnsi="宋体"/>
        </w:rPr>
        <w:t>残疾人福利性单位承接</w:t>
      </w:r>
      <w:r>
        <w:rPr>
          <w:rFonts w:ascii="宋体" w:hAnsi="宋体"/>
        </w:rPr>
        <w:t>。相关</w:t>
      </w:r>
      <w:r>
        <w:rPr>
          <w:rFonts w:hint="eastAsia" w:ascii="宋体" w:hAnsi="宋体"/>
        </w:rPr>
        <w:t>残疾人福利性单位</w:t>
      </w:r>
      <w:r>
        <w:rPr>
          <w:rFonts w:ascii="宋体" w:hAnsi="宋体"/>
        </w:rPr>
        <w:t>的具体情况如下：</w:t>
      </w:r>
    </w:p>
    <w:p>
      <w:pPr>
        <w:ind w:firstLine="420" w:firstLineChars="200"/>
        <w:rPr>
          <w:rFonts w:ascii="宋体" w:hAnsi="宋体"/>
        </w:rPr>
      </w:pPr>
      <w:r>
        <w:rPr>
          <w:rFonts w:ascii="宋体" w:hAnsi="宋体"/>
        </w:rPr>
        <w:t>1.</w:t>
      </w:r>
      <w:r>
        <w:rPr>
          <w:rFonts w:ascii="宋体" w:hAnsi="宋体"/>
          <w:b/>
          <w:bCs/>
          <w:u w:val="single"/>
        </w:rPr>
        <w:t xml:space="preserve"> （标的名称）</w:t>
      </w:r>
      <w:r>
        <w:rPr>
          <w:rFonts w:ascii="宋体" w:hAnsi="宋体"/>
        </w:rPr>
        <w:t xml:space="preserve"> </w:t>
      </w:r>
      <w:r>
        <w:rPr>
          <w:rFonts w:hint="eastAsia" w:ascii="宋体" w:hAnsi="宋体"/>
        </w:rPr>
        <w:t>，承接企业</w:t>
      </w:r>
      <w:r>
        <w:rPr>
          <w:rFonts w:ascii="宋体" w:hAnsi="宋体"/>
        </w:rPr>
        <w:t>为</w:t>
      </w:r>
      <w:r>
        <w:rPr>
          <w:rFonts w:ascii="宋体" w:hAnsi="宋体"/>
          <w:b/>
          <w:bCs/>
          <w:u w:val="single"/>
        </w:rPr>
        <w:t>（</w:t>
      </w:r>
      <w:r>
        <w:rPr>
          <w:rFonts w:hint="eastAsia" w:ascii="宋体" w:hAnsi="宋体"/>
          <w:b/>
          <w:bCs/>
          <w:u w:val="single"/>
        </w:rPr>
        <w:t>单位</w:t>
      </w:r>
      <w:r>
        <w:rPr>
          <w:rFonts w:ascii="宋体" w:hAnsi="宋体"/>
          <w:b/>
          <w:bCs/>
          <w:u w:val="single"/>
        </w:rPr>
        <w:t>名称）</w:t>
      </w:r>
      <w:r>
        <w:rPr>
          <w:rFonts w:ascii="宋体" w:hAnsi="宋体"/>
        </w:rPr>
        <w:t>，属于</w:t>
      </w:r>
      <w:r>
        <w:rPr>
          <w:rFonts w:hint="eastAsia" w:ascii="宋体" w:hAnsi="宋体"/>
          <w:b/>
          <w:bCs/>
          <w:u w:val="single"/>
        </w:rPr>
        <w:t>残疾人福利性单位</w:t>
      </w:r>
      <w:r>
        <w:rPr>
          <w:rFonts w:ascii="宋体" w:hAnsi="宋体"/>
        </w:rPr>
        <w:t>；</w:t>
      </w:r>
    </w:p>
    <w:p>
      <w:pPr>
        <w:ind w:firstLine="420" w:firstLineChars="200"/>
        <w:rPr>
          <w:rFonts w:ascii="宋体" w:hAnsi="宋体"/>
        </w:rPr>
      </w:pPr>
      <w:r>
        <w:rPr>
          <w:rFonts w:ascii="宋体" w:hAnsi="宋体"/>
        </w:rPr>
        <w:t>2.</w:t>
      </w:r>
      <w:r>
        <w:rPr>
          <w:rFonts w:ascii="宋体" w:hAnsi="宋体"/>
          <w:b/>
          <w:bCs/>
          <w:u w:val="single"/>
        </w:rPr>
        <w:t xml:space="preserve"> （标的名称）</w:t>
      </w:r>
      <w:r>
        <w:rPr>
          <w:rFonts w:ascii="宋体" w:hAnsi="宋体"/>
        </w:rPr>
        <w:t xml:space="preserve"> </w:t>
      </w:r>
      <w:r>
        <w:rPr>
          <w:rFonts w:hint="eastAsia" w:ascii="宋体" w:hAnsi="宋体"/>
        </w:rPr>
        <w:t>，承接企业</w:t>
      </w:r>
      <w:r>
        <w:rPr>
          <w:rFonts w:ascii="宋体" w:hAnsi="宋体"/>
        </w:rPr>
        <w:t>为</w:t>
      </w:r>
      <w:r>
        <w:rPr>
          <w:rFonts w:ascii="宋体" w:hAnsi="宋体"/>
          <w:b/>
          <w:bCs/>
          <w:u w:val="single"/>
        </w:rPr>
        <w:t>（</w:t>
      </w:r>
      <w:r>
        <w:rPr>
          <w:rFonts w:hint="eastAsia" w:ascii="宋体" w:hAnsi="宋体"/>
          <w:b/>
          <w:bCs/>
          <w:u w:val="single"/>
        </w:rPr>
        <w:t>单位</w:t>
      </w:r>
      <w:r>
        <w:rPr>
          <w:rFonts w:ascii="宋体" w:hAnsi="宋体"/>
          <w:b/>
          <w:bCs/>
          <w:u w:val="single"/>
        </w:rPr>
        <w:t>名称）</w:t>
      </w:r>
      <w:r>
        <w:rPr>
          <w:rFonts w:ascii="宋体" w:hAnsi="宋体"/>
        </w:rPr>
        <w:t>，属于</w:t>
      </w:r>
      <w:r>
        <w:rPr>
          <w:rFonts w:hint="eastAsia" w:ascii="宋体" w:hAnsi="宋体"/>
          <w:b/>
          <w:bCs/>
          <w:u w:val="single"/>
        </w:rPr>
        <w:t>残疾人福利性单位</w:t>
      </w:r>
      <w:r>
        <w:rPr>
          <w:rFonts w:hint="eastAsia" w:ascii="宋体" w:hAnsi="宋体"/>
        </w:rPr>
        <w:t>。</w:t>
      </w:r>
    </w:p>
    <w:p>
      <w:pPr>
        <w:ind w:firstLine="420" w:firstLineChars="200"/>
        <w:outlineLvl w:val="3"/>
        <w:rPr>
          <w:rFonts w:ascii="宋体" w:hAnsi="宋体"/>
        </w:rPr>
      </w:pPr>
      <w:r>
        <w:rPr>
          <w:rFonts w:ascii="宋体" w:hAnsi="宋体"/>
        </w:rPr>
        <w:t xml:space="preserve">…… </w:t>
      </w:r>
    </w:p>
    <w:p>
      <w:pPr>
        <w:ind w:firstLine="420" w:firstLineChars="200"/>
        <w:rPr>
          <w:rFonts w:ascii="宋体" w:hAnsi="宋体"/>
        </w:rPr>
      </w:pPr>
      <w:r>
        <w:rPr>
          <w:rFonts w:hint="eastAsia" w:ascii="宋体" w:hAnsi="宋体"/>
        </w:rPr>
        <w:t>本</w:t>
      </w:r>
      <w:r>
        <w:rPr>
          <w:rFonts w:ascii="宋体" w:hAnsi="宋体"/>
        </w:rPr>
        <w:t>投标人</w:t>
      </w:r>
      <w:r>
        <w:rPr>
          <w:rFonts w:hint="eastAsia" w:ascii="宋体" w:hAnsi="宋体"/>
        </w:rPr>
        <w:t>已</w:t>
      </w:r>
      <w:r>
        <w:rPr>
          <w:rFonts w:ascii="宋体" w:hAnsi="宋体"/>
        </w:rPr>
        <w:t>知悉</w:t>
      </w:r>
      <w:r>
        <w:rPr>
          <w:rFonts w:hint="eastAsia" w:ascii="宋体" w:hAnsi="宋体"/>
        </w:rPr>
        <w:t>《财政部民政部中国残疾人联合会关于促进残疾人就业政府采购政策的通知》（财库〔2017〕141 号）</w:t>
      </w:r>
      <w:r>
        <w:rPr>
          <w:rFonts w:ascii="宋体" w:hAnsi="宋体"/>
        </w:rPr>
        <w:t>的规定，承诺提供的声明函内容是真实的，如提供声明函内容不实，则依法追究相关法律责任</w:t>
      </w:r>
      <w:r>
        <w:rPr>
          <w:rFonts w:hint="eastAsia" w:ascii="宋体" w:hAnsi="宋体"/>
        </w:rPr>
        <w:t>。</w:t>
      </w:r>
    </w:p>
    <w:p/>
    <w:p>
      <w:pPr>
        <w:rPr>
          <w:rFonts w:ascii="宋体" w:hAnsi="宋体"/>
        </w:rPr>
      </w:pPr>
    </w:p>
    <w:p>
      <w:pPr>
        <w:jc w:val="center"/>
        <w:outlineLvl w:val="3"/>
        <w:rPr>
          <w:rFonts w:ascii="宋体" w:hAnsi="宋体"/>
          <w:b/>
          <w:sz w:val="24"/>
        </w:rPr>
      </w:pPr>
    </w:p>
    <w:p>
      <w:pPr>
        <w:outlineLvl w:val="3"/>
        <w:rPr>
          <w:rFonts w:ascii="宋体" w:hAnsi="宋体"/>
          <w:b/>
          <w:sz w:val="24"/>
        </w:rPr>
      </w:pPr>
    </w:p>
    <w:p>
      <w:pPr>
        <w:jc w:val="center"/>
        <w:outlineLvl w:val="3"/>
        <w:rPr>
          <w:rFonts w:ascii="宋体" w:hAnsi="宋体"/>
          <w:b/>
          <w:sz w:val="24"/>
        </w:rPr>
      </w:pPr>
      <w:r>
        <w:rPr>
          <w:rFonts w:hint="eastAsia" w:ascii="宋体" w:hAnsi="宋体"/>
          <w:b/>
          <w:sz w:val="24"/>
        </w:rPr>
        <w:t>4、监狱企业声明函【服务类，监狱企业如需享受优惠政策，还须另行提供省级以上监狱管理局、戒毒管理局（含新疆生产建设兵团）出具的监狱企业证明文件】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r>
        <w:rPr>
          <w:rFonts w:hint="eastAsia" w:ascii="宋体" w:hAnsi="宋体"/>
        </w:rPr>
        <w:t>本投标人郑重声明，根据《财政部司法部关于政府采购支持监狱企业发展有关问题的通知》（财库〔</w:t>
      </w:r>
      <w:r>
        <w:rPr>
          <w:rFonts w:ascii="宋体" w:hAnsi="宋体"/>
        </w:rPr>
        <w:t>2014</w:t>
      </w:r>
      <w:r>
        <w:rPr>
          <w:rFonts w:hint="eastAsia" w:ascii="宋体" w:hAnsi="宋体"/>
        </w:rPr>
        <w:t>〕</w:t>
      </w:r>
      <w:r>
        <w:rPr>
          <w:rFonts w:ascii="宋体" w:hAnsi="宋体"/>
        </w:rPr>
        <w:t>68</w:t>
      </w:r>
      <w:r>
        <w:rPr>
          <w:rFonts w:hint="eastAsia" w:ascii="宋体" w:hAnsi="宋体"/>
        </w:rPr>
        <w:t>号）的规定，本投标人</w:t>
      </w:r>
      <w:r>
        <w:rPr>
          <w:rFonts w:ascii="宋体" w:hAnsi="宋体"/>
        </w:rPr>
        <w:t>参加</w:t>
      </w:r>
      <w:r>
        <w:rPr>
          <w:rFonts w:ascii="宋体" w:hAnsi="宋体"/>
          <w:b/>
          <w:bCs/>
          <w:u w:val="single"/>
        </w:rPr>
        <w:t>（</w:t>
      </w:r>
      <w:r>
        <w:rPr>
          <w:rFonts w:hint="eastAsia" w:ascii="宋体" w:hAnsi="宋体"/>
          <w:b/>
          <w:bCs/>
          <w:u w:val="single"/>
        </w:rPr>
        <w:t>采购人</w:t>
      </w:r>
      <w:r>
        <w:rPr>
          <w:rFonts w:ascii="宋体" w:hAnsi="宋体"/>
          <w:b/>
          <w:bCs/>
          <w:u w:val="single"/>
        </w:rPr>
        <w:t>名称）</w:t>
      </w:r>
      <w:r>
        <w:rPr>
          <w:rFonts w:ascii="宋体" w:hAnsi="宋体"/>
        </w:rPr>
        <w:t>的</w:t>
      </w:r>
      <w:r>
        <w:rPr>
          <w:rFonts w:ascii="宋体" w:hAnsi="宋体"/>
          <w:b/>
          <w:bCs/>
          <w:u w:val="single"/>
        </w:rPr>
        <w:t>（项目名称）</w:t>
      </w:r>
      <w:r>
        <w:rPr>
          <w:rFonts w:ascii="宋体" w:hAnsi="宋体"/>
        </w:rPr>
        <w:t>采购活动，</w:t>
      </w:r>
      <w:r>
        <w:rPr>
          <w:rFonts w:hint="eastAsia" w:ascii="宋体" w:hAnsi="宋体"/>
        </w:rPr>
        <w:t>服务</w:t>
      </w:r>
      <w:r>
        <w:rPr>
          <w:rFonts w:ascii="宋体" w:hAnsi="宋体"/>
        </w:rPr>
        <w:t>全部由符合政策要求的</w:t>
      </w:r>
      <w:r>
        <w:rPr>
          <w:rFonts w:hint="eastAsia" w:ascii="宋体" w:hAnsi="宋体"/>
        </w:rPr>
        <w:t>监狱企业承接</w:t>
      </w:r>
      <w:r>
        <w:rPr>
          <w:rFonts w:ascii="宋体" w:hAnsi="宋体"/>
        </w:rPr>
        <w:t>。相关</w:t>
      </w:r>
      <w:r>
        <w:rPr>
          <w:rFonts w:hint="eastAsia" w:ascii="宋体" w:hAnsi="宋体"/>
        </w:rPr>
        <w:t>监狱企业</w:t>
      </w:r>
      <w:r>
        <w:rPr>
          <w:rFonts w:ascii="宋体" w:hAnsi="宋体"/>
        </w:rPr>
        <w:t>的具体情况如下：</w:t>
      </w:r>
    </w:p>
    <w:p>
      <w:pPr>
        <w:ind w:firstLine="420" w:firstLineChars="200"/>
        <w:rPr>
          <w:rFonts w:ascii="宋体" w:hAnsi="宋体"/>
        </w:rPr>
      </w:pPr>
      <w:r>
        <w:rPr>
          <w:rFonts w:ascii="宋体" w:hAnsi="宋体"/>
        </w:rPr>
        <w:t>1.</w:t>
      </w:r>
      <w:r>
        <w:rPr>
          <w:rFonts w:ascii="宋体" w:hAnsi="宋体"/>
          <w:b/>
          <w:bCs/>
          <w:u w:val="single"/>
        </w:rPr>
        <w:t xml:space="preserve"> （标的名称）</w:t>
      </w:r>
      <w:r>
        <w:rPr>
          <w:rFonts w:ascii="宋体" w:hAnsi="宋体"/>
        </w:rPr>
        <w:t xml:space="preserve"> </w:t>
      </w:r>
      <w:r>
        <w:rPr>
          <w:rFonts w:hint="eastAsia" w:ascii="宋体" w:hAnsi="宋体"/>
        </w:rPr>
        <w:t>，承接单位</w:t>
      </w:r>
      <w:r>
        <w:rPr>
          <w:rFonts w:ascii="宋体" w:hAnsi="宋体"/>
        </w:rPr>
        <w:t>为</w:t>
      </w:r>
      <w:r>
        <w:rPr>
          <w:rFonts w:ascii="宋体" w:hAnsi="宋体"/>
          <w:b/>
          <w:bCs/>
          <w:u w:val="single"/>
        </w:rPr>
        <w:t>（</w:t>
      </w:r>
      <w:r>
        <w:rPr>
          <w:rFonts w:hint="eastAsia" w:ascii="宋体" w:hAnsi="宋体"/>
          <w:b/>
          <w:bCs/>
          <w:u w:val="single"/>
        </w:rPr>
        <w:t>企业</w:t>
      </w:r>
      <w:r>
        <w:rPr>
          <w:rFonts w:ascii="宋体" w:hAnsi="宋体"/>
          <w:b/>
          <w:bCs/>
          <w:u w:val="single"/>
        </w:rPr>
        <w:t>名称）</w:t>
      </w:r>
      <w:r>
        <w:rPr>
          <w:rFonts w:ascii="宋体" w:hAnsi="宋体"/>
        </w:rPr>
        <w:t>，属于</w:t>
      </w:r>
      <w:r>
        <w:rPr>
          <w:rFonts w:hint="eastAsia" w:ascii="宋体" w:hAnsi="宋体"/>
          <w:b/>
          <w:bCs/>
          <w:u w:val="single"/>
        </w:rPr>
        <w:t>监狱企业</w:t>
      </w:r>
      <w:r>
        <w:rPr>
          <w:rFonts w:ascii="宋体" w:hAnsi="宋体"/>
        </w:rPr>
        <w:t>；</w:t>
      </w:r>
    </w:p>
    <w:p>
      <w:pPr>
        <w:ind w:firstLine="420" w:firstLineChars="200"/>
        <w:rPr>
          <w:rFonts w:ascii="宋体" w:hAnsi="宋体"/>
        </w:rPr>
      </w:pPr>
      <w:r>
        <w:rPr>
          <w:rFonts w:ascii="宋体" w:hAnsi="宋体"/>
        </w:rPr>
        <w:t>2.</w:t>
      </w:r>
      <w:r>
        <w:rPr>
          <w:rFonts w:ascii="宋体" w:hAnsi="宋体"/>
          <w:b/>
          <w:bCs/>
          <w:u w:val="single"/>
        </w:rPr>
        <w:t xml:space="preserve"> （标的名称）</w:t>
      </w:r>
      <w:r>
        <w:rPr>
          <w:rFonts w:ascii="宋体" w:hAnsi="宋体"/>
        </w:rPr>
        <w:t xml:space="preserve"> </w:t>
      </w:r>
      <w:r>
        <w:rPr>
          <w:rFonts w:hint="eastAsia" w:ascii="宋体" w:hAnsi="宋体"/>
        </w:rPr>
        <w:t>，承接单位</w:t>
      </w:r>
      <w:r>
        <w:rPr>
          <w:rFonts w:ascii="宋体" w:hAnsi="宋体"/>
        </w:rPr>
        <w:t>为</w:t>
      </w:r>
      <w:r>
        <w:rPr>
          <w:rFonts w:ascii="宋体" w:hAnsi="宋体"/>
          <w:b/>
          <w:bCs/>
          <w:u w:val="single"/>
        </w:rPr>
        <w:t>（</w:t>
      </w:r>
      <w:r>
        <w:rPr>
          <w:rFonts w:hint="eastAsia" w:ascii="宋体" w:hAnsi="宋体"/>
          <w:b/>
          <w:bCs/>
          <w:u w:val="single"/>
        </w:rPr>
        <w:t>企业</w:t>
      </w:r>
      <w:r>
        <w:rPr>
          <w:rFonts w:ascii="宋体" w:hAnsi="宋体"/>
          <w:b/>
          <w:bCs/>
          <w:u w:val="single"/>
        </w:rPr>
        <w:t>名称）</w:t>
      </w:r>
      <w:r>
        <w:rPr>
          <w:rFonts w:ascii="宋体" w:hAnsi="宋体"/>
        </w:rPr>
        <w:t>，属于</w:t>
      </w:r>
      <w:r>
        <w:rPr>
          <w:rFonts w:hint="eastAsia" w:ascii="宋体" w:hAnsi="宋体"/>
          <w:b/>
          <w:bCs/>
          <w:u w:val="single"/>
        </w:rPr>
        <w:t>监狱企业</w:t>
      </w:r>
      <w:r>
        <w:rPr>
          <w:rFonts w:hint="eastAsia" w:ascii="宋体" w:hAnsi="宋体"/>
        </w:rPr>
        <w:t>。</w:t>
      </w:r>
    </w:p>
    <w:p>
      <w:pPr>
        <w:ind w:firstLine="420" w:firstLineChars="200"/>
        <w:outlineLvl w:val="3"/>
        <w:rPr>
          <w:rFonts w:ascii="宋体" w:hAnsi="宋体"/>
        </w:rPr>
      </w:pPr>
      <w:r>
        <w:rPr>
          <w:rFonts w:ascii="宋体" w:hAnsi="宋体"/>
        </w:rPr>
        <w:t xml:space="preserve">…… </w:t>
      </w:r>
    </w:p>
    <w:p>
      <w:pPr>
        <w:ind w:firstLine="420" w:firstLineChars="200"/>
        <w:rPr>
          <w:rFonts w:ascii="宋体" w:hAnsi="宋体"/>
        </w:rPr>
      </w:pPr>
      <w:r>
        <w:rPr>
          <w:rFonts w:ascii="宋体" w:hAnsi="宋体"/>
        </w:rPr>
        <w:t>本</w:t>
      </w:r>
      <w:r>
        <w:rPr>
          <w:rFonts w:hint="eastAsia" w:ascii="宋体" w:hAnsi="宋体"/>
        </w:rPr>
        <w:t>投标人</w:t>
      </w:r>
      <w:r>
        <w:rPr>
          <w:rFonts w:ascii="宋体" w:hAnsi="宋体"/>
        </w:rPr>
        <w:t>对上述声明内容的真实性负责。如有虚假，将依法承担相应责任。</w:t>
      </w:r>
    </w:p>
    <w:p>
      <w:pPr>
        <w:ind w:firstLine="420" w:firstLineChars="200"/>
        <w:rPr>
          <w:rFonts w:ascii="宋体" w:hAnsi="宋体"/>
          <w:b/>
          <w:bCs/>
        </w:rPr>
      </w:pPr>
      <w:r>
        <w:rPr>
          <w:rFonts w:hint="eastAsia" w:ascii="宋体" w:hAnsi="宋体"/>
        </w:rPr>
        <w:t>附：省级以上监狱管理局、戒毒管理局（含新疆生产建设兵团）出具的监狱企业证明文件。</w:t>
      </w:r>
    </w:p>
    <w:p>
      <w:pPr>
        <w:rPr>
          <w:rFonts w:ascii="宋体" w:hAnsi="宋体"/>
        </w:rPr>
      </w:pPr>
    </w:p>
    <w:p>
      <w:pPr>
        <w:widowControl/>
        <w:tabs>
          <w:tab w:val="left" w:pos="720"/>
        </w:tabs>
        <w:spacing w:line="360" w:lineRule="auto"/>
        <w:ind w:firstLine="5542" w:firstLineChars="2300"/>
        <w:rPr>
          <w:rFonts w:ascii="宋体" w:hAnsi="宋体"/>
          <w:b/>
          <w:sz w:val="24"/>
        </w:rPr>
      </w:pPr>
    </w:p>
    <w:p>
      <w:pPr>
        <w:rPr>
          <w:rFonts w:ascii="宋体" w:hAnsi="宋体"/>
          <w:b/>
          <w:sz w:val="24"/>
        </w:rPr>
        <w:sectPr>
          <w:headerReference r:id="rId7" w:type="first"/>
          <w:footerReference r:id="rId8" w:type="default"/>
          <w:pgSz w:w="11906" w:h="16838"/>
          <w:pgMar w:top="1418" w:right="1588" w:bottom="1418" w:left="1365" w:header="851" w:footer="907" w:gutter="0"/>
          <w:cols w:space="720" w:num="1"/>
          <w:titlePg/>
          <w:docGrid w:type="lines" w:linePitch="290" w:charSpace="0"/>
        </w:sectPr>
      </w:pPr>
    </w:p>
    <w:p>
      <w:pPr>
        <w:rPr>
          <w:rFonts w:ascii="宋体" w:hAnsi="宋体"/>
          <w:b/>
          <w:sz w:val="24"/>
        </w:rPr>
      </w:pPr>
    </w:p>
    <w:p/>
    <w:p>
      <w:pPr>
        <w:widowControl/>
        <w:tabs>
          <w:tab w:val="left" w:pos="720"/>
        </w:tabs>
        <w:spacing w:line="360" w:lineRule="auto"/>
        <w:ind w:firstLine="5542" w:firstLineChars="2300"/>
        <w:rPr>
          <w:rFonts w:ascii="宋体" w:hAnsi="宋体"/>
          <w:b/>
          <w:sz w:val="24"/>
        </w:rPr>
      </w:pPr>
      <w:r>
        <w:rPr>
          <w:rFonts w:hint="eastAsia" w:ascii="宋体" w:hAnsi="宋体"/>
          <w:b/>
          <w:sz w:val="24"/>
        </w:rPr>
        <w:t>附件七、供应商产品认证情况</w:t>
      </w:r>
    </w:p>
    <w:p>
      <w:pPr>
        <w:pStyle w:val="13"/>
        <w:ind w:left="840" w:firstLine="420" w:firstLineChars="200"/>
        <w:rPr>
          <w:rFonts w:ascii="宋体" w:hAnsi="宋体" w:cs="宋体"/>
          <w:color w:val="FF0000"/>
        </w:rPr>
      </w:pPr>
    </w:p>
    <w:p>
      <w:pPr>
        <w:pStyle w:val="13"/>
        <w:ind w:left="1260" w:hanging="420"/>
        <w:rPr>
          <w:rFonts w:ascii="宋体" w:hAnsi="宋体"/>
          <w:color w:val="0000FF"/>
          <w:kern w:val="0"/>
        </w:rPr>
      </w:pPr>
      <w:r>
        <w:rPr>
          <w:rFonts w:hint="eastAsia" w:ascii="宋体" w:hAnsi="宋体"/>
          <w:color w:val="0000FF"/>
          <w:kern w:val="0"/>
        </w:rPr>
        <w:t>特别提示：</w:t>
      </w:r>
    </w:p>
    <w:p>
      <w:pPr>
        <w:pStyle w:val="13"/>
        <w:ind w:left="840" w:firstLine="420" w:firstLineChars="200"/>
        <w:rPr>
          <w:rFonts w:ascii="宋体" w:hAnsi="宋体"/>
          <w:color w:val="0000FF"/>
          <w:kern w:val="0"/>
        </w:rPr>
      </w:pPr>
      <w:r>
        <w:rPr>
          <w:rFonts w:hint="eastAsia" w:ascii="宋体" w:hAnsi="宋体"/>
          <w:color w:val="0000FF"/>
          <w:kern w:val="0"/>
        </w:rPr>
        <w:t>供应商提供的产品，如涉及：中国国家强制性产品认证证书（CCC）、国家强制节能产品、环保产品评审因素的 ，须提供在中国政府采购网(http://www.ccgp.gov.cn)的查询截图，并按下述格式进行填写！</w:t>
      </w:r>
    </w:p>
    <w:p>
      <w:pPr>
        <w:jc w:val="center"/>
        <w:rPr>
          <w:b/>
          <w:sz w:val="24"/>
          <w:szCs w:val="24"/>
        </w:rPr>
      </w:pPr>
    </w:p>
    <w:p>
      <w:pPr>
        <w:jc w:val="center"/>
        <w:rPr>
          <w:b/>
          <w:sz w:val="24"/>
          <w:szCs w:val="24"/>
        </w:rPr>
      </w:pPr>
    </w:p>
    <w:p>
      <w:pPr>
        <w:jc w:val="left"/>
        <w:rPr>
          <w:rFonts w:cs="方正黑体_GBK"/>
          <w:b/>
          <w:bCs/>
          <w:color w:val="FF0000"/>
          <w:sz w:val="32"/>
          <w:szCs w:val="32"/>
        </w:rPr>
      </w:pPr>
      <w:r>
        <w:rPr>
          <w:rFonts w:hint="eastAsia" w:cs="宋体"/>
          <w:color w:val="FF0000"/>
        </w:rPr>
        <w:t>（一）中国国家强制性产品认证证书（CCC）</w:t>
      </w:r>
    </w:p>
    <w:p>
      <w:pPr>
        <w:rPr>
          <w:rFonts w:ascii="宋体" w:hAnsi="宋体"/>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70"/>
        <w:gridCol w:w="2500"/>
        <w:gridCol w:w="2253"/>
        <w:gridCol w:w="2847"/>
        <w:gridCol w:w="174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ascii="宋体" w:hAnsi="宋体" w:cs="宋体"/>
              </w:rPr>
            </w:pPr>
            <w:r>
              <w:rPr>
                <w:rFonts w:hint="eastAsia" w:ascii="宋体" w:hAnsi="宋体" w:cs="宋体"/>
              </w:rPr>
              <w:t>序号</w:t>
            </w:r>
          </w:p>
        </w:tc>
        <w:tc>
          <w:tcPr>
            <w:tcW w:w="2170" w:type="dxa"/>
          </w:tcPr>
          <w:p>
            <w:pPr>
              <w:ind w:firstLine="210" w:firstLineChars="100"/>
              <w:rPr>
                <w:rFonts w:ascii="宋体" w:hAnsi="宋体" w:cs="宋体"/>
              </w:rPr>
            </w:pPr>
            <w:r>
              <w:rPr>
                <w:rFonts w:hint="eastAsia" w:ascii="宋体" w:hAnsi="宋体" w:cs="宋体"/>
              </w:rPr>
              <w:t>认证产品（CCC）</w:t>
            </w:r>
          </w:p>
        </w:tc>
        <w:tc>
          <w:tcPr>
            <w:tcW w:w="2500" w:type="dxa"/>
          </w:tcPr>
          <w:p>
            <w:pPr>
              <w:ind w:firstLine="630" w:firstLineChars="300"/>
              <w:rPr>
                <w:rFonts w:ascii="宋体" w:hAnsi="宋体" w:cs="宋体"/>
              </w:rPr>
            </w:pPr>
            <w:r>
              <w:rPr>
                <w:rFonts w:hint="eastAsia" w:ascii="宋体" w:hAnsi="宋体" w:cs="宋体"/>
              </w:rPr>
              <w:t>证书编号</w:t>
            </w:r>
          </w:p>
        </w:tc>
        <w:tc>
          <w:tcPr>
            <w:tcW w:w="2253" w:type="dxa"/>
          </w:tcPr>
          <w:p>
            <w:pPr>
              <w:ind w:firstLine="210" w:firstLineChars="100"/>
              <w:rPr>
                <w:rFonts w:ascii="宋体" w:hAnsi="宋体" w:cs="宋体"/>
              </w:rPr>
            </w:pPr>
            <w:r>
              <w:rPr>
                <w:rFonts w:hint="eastAsia" w:ascii="宋体" w:hAnsi="宋体" w:cs="宋体"/>
              </w:rPr>
              <w:t>认证委托人名称</w:t>
            </w:r>
          </w:p>
        </w:tc>
        <w:tc>
          <w:tcPr>
            <w:tcW w:w="2847" w:type="dxa"/>
          </w:tcPr>
          <w:p>
            <w:pPr>
              <w:ind w:left="630" w:hanging="630" w:hangingChars="300"/>
              <w:jc w:val="center"/>
              <w:rPr>
                <w:rFonts w:ascii="宋体" w:hAnsi="宋体" w:cs="宋体"/>
              </w:rPr>
            </w:pPr>
            <w:r>
              <w:rPr>
                <w:rFonts w:hint="eastAsia" w:ascii="宋体" w:hAnsi="宋体" w:cs="宋体"/>
              </w:rPr>
              <w:t>生产（制造商）名称</w:t>
            </w:r>
          </w:p>
        </w:tc>
        <w:tc>
          <w:tcPr>
            <w:tcW w:w="1743" w:type="dxa"/>
          </w:tcPr>
          <w:p>
            <w:pPr>
              <w:ind w:firstLine="210" w:firstLineChars="100"/>
              <w:rPr>
                <w:rFonts w:ascii="宋体" w:hAnsi="宋体" w:cs="宋体"/>
              </w:rPr>
            </w:pPr>
            <w:r>
              <w:rPr>
                <w:rFonts w:hint="eastAsia" w:ascii="宋体" w:hAnsi="宋体" w:cs="宋体"/>
              </w:rPr>
              <w:t>规格型号</w:t>
            </w:r>
          </w:p>
        </w:tc>
        <w:tc>
          <w:tcPr>
            <w:tcW w:w="1900" w:type="dxa"/>
          </w:tcPr>
          <w:p>
            <w:pPr>
              <w:ind w:firstLine="420" w:firstLineChars="200"/>
              <w:rPr>
                <w:rFonts w:ascii="宋体" w:hAnsi="宋体" w:cs="宋体"/>
              </w:rPr>
            </w:pPr>
            <w:r>
              <w:rPr>
                <w:rFonts w:hint="eastAsia" w:ascii="宋体" w:hAnsi="宋体" w:cs="宋体"/>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ascii="宋体" w:hAnsi="宋体"/>
              </w:rPr>
            </w:pPr>
            <w:r>
              <w:rPr>
                <w:rFonts w:hint="eastAsia" w:ascii="宋体" w:hAnsi="宋体"/>
              </w:rPr>
              <w:t>1</w:t>
            </w:r>
          </w:p>
        </w:tc>
        <w:tc>
          <w:tcPr>
            <w:tcW w:w="2170" w:type="dxa"/>
          </w:tcPr>
          <w:p>
            <w:pPr>
              <w:jc w:val="center"/>
              <w:rPr>
                <w:rFonts w:ascii="宋体" w:hAnsi="宋体"/>
              </w:rPr>
            </w:pPr>
            <w:r>
              <w:rPr>
                <w:rFonts w:hint="eastAsia"/>
                <w:color w:val="FF0000"/>
              </w:rPr>
              <w:t>教师机（国产商用机）</w:t>
            </w:r>
          </w:p>
        </w:tc>
        <w:tc>
          <w:tcPr>
            <w:tcW w:w="2500" w:type="dxa"/>
          </w:tcPr>
          <w:p>
            <w:pPr>
              <w:jc w:val="center"/>
              <w:rPr>
                <w:rFonts w:ascii="宋体" w:hAnsi="宋体"/>
              </w:rPr>
            </w:pPr>
          </w:p>
        </w:tc>
        <w:tc>
          <w:tcPr>
            <w:tcW w:w="2253" w:type="dxa"/>
          </w:tcPr>
          <w:p>
            <w:pPr>
              <w:jc w:val="center"/>
              <w:rPr>
                <w:rFonts w:ascii="宋体" w:hAnsi="宋体"/>
              </w:rPr>
            </w:pPr>
          </w:p>
        </w:tc>
        <w:tc>
          <w:tcPr>
            <w:tcW w:w="2847" w:type="dxa"/>
          </w:tcPr>
          <w:p>
            <w:pPr>
              <w:jc w:val="center"/>
              <w:rPr>
                <w:rFonts w:ascii="宋体" w:hAnsi="宋体"/>
              </w:rPr>
            </w:pPr>
          </w:p>
        </w:tc>
        <w:tc>
          <w:tcPr>
            <w:tcW w:w="1743" w:type="dxa"/>
          </w:tcPr>
          <w:p>
            <w:pPr>
              <w:jc w:val="center"/>
              <w:rPr>
                <w:rFonts w:ascii="宋体" w:hAnsi="宋体"/>
              </w:rPr>
            </w:pPr>
          </w:p>
        </w:tc>
        <w:tc>
          <w:tcPr>
            <w:tcW w:w="1900"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ascii="宋体" w:hAnsi="宋体"/>
              </w:rPr>
            </w:pPr>
            <w:r>
              <w:rPr>
                <w:rFonts w:hint="eastAsia" w:ascii="宋体" w:hAnsi="宋体"/>
              </w:rPr>
              <w:t>2</w:t>
            </w:r>
          </w:p>
        </w:tc>
        <w:tc>
          <w:tcPr>
            <w:tcW w:w="2170" w:type="dxa"/>
          </w:tcPr>
          <w:p>
            <w:pPr>
              <w:jc w:val="center"/>
              <w:rPr>
                <w:rFonts w:ascii="宋体" w:hAnsi="宋体"/>
              </w:rPr>
            </w:pPr>
            <w:r>
              <w:rPr>
                <w:rFonts w:hint="eastAsia"/>
                <w:color w:val="FF0000"/>
                <w:lang w:eastAsia="zh-CN"/>
              </w:rPr>
              <w:t>学生机（国产商用机）</w:t>
            </w:r>
          </w:p>
        </w:tc>
        <w:tc>
          <w:tcPr>
            <w:tcW w:w="2500" w:type="dxa"/>
          </w:tcPr>
          <w:p>
            <w:pPr>
              <w:jc w:val="center"/>
              <w:rPr>
                <w:rFonts w:ascii="宋体" w:hAnsi="宋体"/>
              </w:rPr>
            </w:pPr>
          </w:p>
        </w:tc>
        <w:tc>
          <w:tcPr>
            <w:tcW w:w="2253" w:type="dxa"/>
          </w:tcPr>
          <w:p>
            <w:pPr>
              <w:jc w:val="center"/>
              <w:rPr>
                <w:rFonts w:ascii="宋体" w:hAnsi="宋体"/>
              </w:rPr>
            </w:pPr>
          </w:p>
        </w:tc>
        <w:tc>
          <w:tcPr>
            <w:tcW w:w="2847" w:type="dxa"/>
          </w:tcPr>
          <w:p>
            <w:pPr>
              <w:jc w:val="center"/>
              <w:rPr>
                <w:rFonts w:ascii="宋体" w:hAnsi="宋体"/>
              </w:rPr>
            </w:pPr>
          </w:p>
        </w:tc>
        <w:tc>
          <w:tcPr>
            <w:tcW w:w="1743" w:type="dxa"/>
          </w:tcPr>
          <w:p>
            <w:pPr>
              <w:jc w:val="center"/>
              <w:rPr>
                <w:rFonts w:ascii="宋体" w:hAnsi="宋体"/>
              </w:rPr>
            </w:pPr>
          </w:p>
        </w:tc>
        <w:tc>
          <w:tcPr>
            <w:tcW w:w="1900"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ascii="宋体" w:hAnsi="宋体"/>
              </w:rPr>
            </w:pPr>
            <w:r>
              <w:rPr>
                <w:rFonts w:hint="eastAsia" w:ascii="宋体" w:hAnsi="宋体"/>
              </w:rPr>
              <w:t>3</w:t>
            </w:r>
          </w:p>
        </w:tc>
        <w:tc>
          <w:tcPr>
            <w:tcW w:w="2170" w:type="dxa"/>
          </w:tcPr>
          <w:p>
            <w:pPr>
              <w:jc w:val="center"/>
              <w:rPr>
                <w:rFonts w:ascii="宋体" w:hAnsi="宋体"/>
              </w:rPr>
            </w:pPr>
            <w:r>
              <w:rPr>
                <w:rFonts w:hint="eastAsia"/>
                <w:color w:val="FF0000"/>
              </w:rPr>
              <w:t>交换机</w:t>
            </w:r>
          </w:p>
        </w:tc>
        <w:tc>
          <w:tcPr>
            <w:tcW w:w="2500" w:type="dxa"/>
          </w:tcPr>
          <w:p>
            <w:pPr>
              <w:jc w:val="center"/>
              <w:rPr>
                <w:rFonts w:ascii="宋体" w:hAnsi="宋体"/>
              </w:rPr>
            </w:pPr>
          </w:p>
        </w:tc>
        <w:tc>
          <w:tcPr>
            <w:tcW w:w="2253" w:type="dxa"/>
          </w:tcPr>
          <w:p>
            <w:pPr>
              <w:jc w:val="center"/>
              <w:rPr>
                <w:rFonts w:ascii="宋体" w:hAnsi="宋体"/>
              </w:rPr>
            </w:pPr>
          </w:p>
        </w:tc>
        <w:tc>
          <w:tcPr>
            <w:tcW w:w="2847" w:type="dxa"/>
          </w:tcPr>
          <w:p>
            <w:pPr>
              <w:jc w:val="center"/>
              <w:rPr>
                <w:rFonts w:ascii="宋体" w:hAnsi="宋体"/>
              </w:rPr>
            </w:pPr>
          </w:p>
        </w:tc>
        <w:tc>
          <w:tcPr>
            <w:tcW w:w="1743" w:type="dxa"/>
          </w:tcPr>
          <w:p>
            <w:pPr>
              <w:jc w:val="center"/>
              <w:rPr>
                <w:rFonts w:ascii="宋体" w:hAnsi="宋体"/>
              </w:rPr>
            </w:pPr>
          </w:p>
        </w:tc>
        <w:tc>
          <w:tcPr>
            <w:tcW w:w="1900"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ascii="宋体" w:hAnsi="宋体"/>
              </w:rPr>
            </w:pPr>
            <w:r>
              <w:rPr>
                <w:rFonts w:hint="eastAsia" w:ascii="宋体" w:hAnsi="宋体"/>
              </w:rPr>
              <w:t>4</w:t>
            </w:r>
          </w:p>
        </w:tc>
        <w:tc>
          <w:tcPr>
            <w:tcW w:w="2170" w:type="dxa"/>
          </w:tcPr>
          <w:p>
            <w:pPr>
              <w:jc w:val="center"/>
              <w:rPr>
                <w:rFonts w:ascii="宋体" w:hAnsi="宋体"/>
              </w:rPr>
            </w:pPr>
            <w:r>
              <w:rPr>
                <w:rFonts w:hint="eastAsia"/>
                <w:color w:val="FF0000"/>
                <w:lang w:eastAsia="zh-CN"/>
              </w:rPr>
              <w:t>超融合服务器</w:t>
            </w:r>
          </w:p>
        </w:tc>
        <w:tc>
          <w:tcPr>
            <w:tcW w:w="2500" w:type="dxa"/>
          </w:tcPr>
          <w:p>
            <w:pPr>
              <w:jc w:val="center"/>
              <w:rPr>
                <w:rFonts w:ascii="宋体" w:hAnsi="宋体"/>
              </w:rPr>
            </w:pPr>
          </w:p>
        </w:tc>
        <w:tc>
          <w:tcPr>
            <w:tcW w:w="2253" w:type="dxa"/>
          </w:tcPr>
          <w:p>
            <w:pPr>
              <w:jc w:val="center"/>
              <w:rPr>
                <w:rFonts w:ascii="宋体" w:hAnsi="宋体"/>
              </w:rPr>
            </w:pPr>
          </w:p>
        </w:tc>
        <w:tc>
          <w:tcPr>
            <w:tcW w:w="2847" w:type="dxa"/>
          </w:tcPr>
          <w:p>
            <w:pPr>
              <w:jc w:val="center"/>
              <w:rPr>
                <w:rFonts w:ascii="宋体" w:hAnsi="宋体"/>
              </w:rPr>
            </w:pPr>
          </w:p>
        </w:tc>
        <w:tc>
          <w:tcPr>
            <w:tcW w:w="1743" w:type="dxa"/>
          </w:tcPr>
          <w:p>
            <w:pPr>
              <w:jc w:val="center"/>
              <w:rPr>
                <w:rFonts w:ascii="宋体" w:hAnsi="宋体"/>
              </w:rPr>
            </w:pPr>
          </w:p>
        </w:tc>
        <w:tc>
          <w:tcPr>
            <w:tcW w:w="1900"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ascii="宋体" w:hAnsi="宋体"/>
              </w:rPr>
            </w:pPr>
            <w:r>
              <w:rPr>
                <w:rFonts w:hint="eastAsia" w:ascii="宋体" w:hAnsi="宋体"/>
              </w:rPr>
              <w:t>5</w:t>
            </w:r>
          </w:p>
        </w:tc>
        <w:tc>
          <w:tcPr>
            <w:tcW w:w="2170" w:type="dxa"/>
          </w:tcPr>
          <w:p>
            <w:pPr>
              <w:jc w:val="center"/>
              <w:rPr>
                <w:rFonts w:ascii="宋体" w:hAnsi="宋体"/>
              </w:rPr>
            </w:pPr>
          </w:p>
        </w:tc>
        <w:tc>
          <w:tcPr>
            <w:tcW w:w="2500" w:type="dxa"/>
          </w:tcPr>
          <w:p>
            <w:pPr>
              <w:jc w:val="center"/>
              <w:rPr>
                <w:rFonts w:ascii="宋体" w:hAnsi="宋体"/>
              </w:rPr>
            </w:pPr>
          </w:p>
        </w:tc>
        <w:tc>
          <w:tcPr>
            <w:tcW w:w="2253" w:type="dxa"/>
          </w:tcPr>
          <w:p>
            <w:pPr>
              <w:jc w:val="center"/>
              <w:rPr>
                <w:rFonts w:ascii="宋体" w:hAnsi="宋体"/>
              </w:rPr>
            </w:pPr>
          </w:p>
        </w:tc>
        <w:tc>
          <w:tcPr>
            <w:tcW w:w="2847" w:type="dxa"/>
          </w:tcPr>
          <w:p>
            <w:pPr>
              <w:jc w:val="center"/>
              <w:rPr>
                <w:rFonts w:ascii="宋体" w:hAnsi="宋体"/>
              </w:rPr>
            </w:pPr>
          </w:p>
        </w:tc>
        <w:tc>
          <w:tcPr>
            <w:tcW w:w="1743" w:type="dxa"/>
          </w:tcPr>
          <w:p>
            <w:pPr>
              <w:jc w:val="center"/>
              <w:rPr>
                <w:rFonts w:ascii="宋体" w:hAnsi="宋体"/>
              </w:rPr>
            </w:pPr>
          </w:p>
        </w:tc>
        <w:tc>
          <w:tcPr>
            <w:tcW w:w="1900"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ascii="宋体" w:hAnsi="宋体"/>
              </w:rPr>
            </w:pPr>
            <w:r>
              <w:rPr>
                <w:rFonts w:hint="eastAsia" w:ascii="宋体" w:hAnsi="宋体"/>
              </w:rPr>
              <w:t>6</w:t>
            </w:r>
          </w:p>
        </w:tc>
        <w:tc>
          <w:tcPr>
            <w:tcW w:w="2170" w:type="dxa"/>
          </w:tcPr>
          <w:p>
            <w:pPr>
              <w:jc w:val="center"/>
              <w:rPr>
                <w:rFonts w:ascii="宋体" w:hAnsi="宋体"/>
              </w:rPr>
            </w:pPr>
          </w:p>
        </w:tc>
        <w:tc>
          <w:tcPr>
            <w:tcW w:w="2500" w:type="dxa"/>
          </w:tcPr>
          <w:p>
            <w:pPr>
              <w:jc w:val="center"/>
              <w:rPr>
                <w:rFonts w:ascii="宋体" w:hAnsi="宋体"/>
              </w:rPr>
            </w:pPr>
          </w:p>
        </w:tc>
        <w:tc>
          <w:tcPr>
            <w:tcW w:w="2253" w:type="dxa"/>
          </w:tcPr>
          <w:p>
            <w:pPr>
              <w:jc w:val="center"/>
              <w:rPr>
                <w:rFonts w:ascii="宋体" w:hAnsi="宋体"/>
              </w:rPr>
            </w:pPr>
          </w:p>
        </w:tc>
        <w:tc>
          <w:tcPr>
            <w:tcW w:w="2847" w:type="dxa"/>
          </w:tcPr>
          <w:p>
            <w:pPr>
              <w:jc w:val="center"/>
              <w:rPr>
                <w:rFonts w:ascii="宋体" w:hAnsi="宋体"/>
              </w:rPr>
            </w:pPr>
          </w:p>
        </w:tc>
        <w:tc>
          <w:tcPr>
            <w:tcW w:w="1743" w:type="dxa"/>
          </w:tcPr>
          <w:p>
            <w:pPr>
              <w:jc w:val="center"/>
              <w:rPr>
                <w:rFonts w:ascii="宋体" w:hAnsi="宋体"/>
              </w:rPr>
            </w:pPr>
          </w:p>
        </w:tc>
        <w:tc>
          <w:tcPr>
            <w:tcW w:w="1900"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Pr>
          <w:p>
            <w:pPr>
              <w:jc w:val="center"/>
              <w:rPr>
                <w:rFonts w:hint="eastAsia" w:ascii="宋体" w:hAnsi="宋体" w:eastAsia="宋体"/>
                <w:lang w:val="en-US" w:eastAsia="zh-CN"/>
              </w:rPr>
            </w:pPr>
            <w:r>
              <w:rPr>
                <w:rFonts w:hint="eastAsia" w:ascii="宋体" w:hAnsi="宋体"/>
                <w:lang w:val="en-US" w:eastAsia="zh-CN"/>
              </w:rPr>
              <w:t>7</w:t>
            </w:r>
          </w:p>
        </w:tc>
        <w:tc>
          <w:tcPr>
            <w:tcW w:w="2170" w:type="dxa"/>
          </w:tcPr>
          <w:p>
            <w:pPr>
              <w:jc w:val="center"/>
              <w:rPr>
                <w:rFonts w:ascii="宋体" w:hAnsi="宋体"/>
              </w:rPr>
            </w:pPr>
          </w:p>
        </w:tc>
        <w:tc>
          <w:tcPr>
            <w:tcW w:w="2500" w:type="dxa"/>
          </w:tcPr>
          <w:p>
            <w:pPr>
              <w:jc w:val="center"/>
              <w:rPr>
                <w:rFonts w:ascii="宋体" w:hAnsi="宋体"/>
              </w:rPr>
            </w:pPr>
          </w:p>
        </w:tc>
        <w:tc>
          <w:tcPr>
            <w:tcW w:w="2253" w:type="dxa"/>
          </w:tcPr>
          <w:p>
            <w:pPr>
              <w:jc w:val="center"/>
              <w:rPr>
                <w:rFonts w:ascii="宋体" w:hAnsi="宋体"/>
              </w:rPr>
            </w:pPr>
          </w:p>
        </w:tc>
        <w:tc>
          <w:tcPr>
            <w:tcW w:w="2847" w:type="dxa"/>
          </w:tcPr>
          <w:p>
            <w:pPr>
              <w:jc w:val="center"/>
              <w:rPr>
                <w:rFonts w:ascii="宋体" w:hAnsi="宋体"/>
              </w:rPr>
            </w:pPr>
          </w:p>
        </w:tc>
        <w:tc>
          <w:tcPr>
            <w:tcW w:w="1743" w:type="dxa"/>
          </w:tcPr>
          <w:p>
            <w:pPr>
              <w:jc w:val="center"/>
              <w:rPr>
                <w:rFonts w:ascii="宋体" w:hAnsi="宋体"/>
              </w:rPr>
            </w:pPr>
          </w:p>
        </w:tc>
        <w:tc>
          <w:tcPr>
            <w:tcW w:w="1900" w:type="dxa"/>
          </w:tcPr>
          <w:p>
            <w:pPr>
              <w:jc w:val="center"/>
              <w:rPr>
                <w:rFonts w:ascii="宋体" w:hAnsi="宋体"/>
              </w:rPr>
            </w:pPr>
          </w:p>
        </w:tc>
      </w:tr>
    </w:tbl>
    <w:p>
      <w:pPr>
        <w:rPr>
          <w:rFonts w:ascii="宋体" w:hAnsi="宋体"/>
          <w:color w:val="0000FF"/>
          <w:kern w:val="0"/>
        </w:rPr>
      </w:pPr>
      <w:r>
        <w:rPr>
          <w:rFonts w:hint="eastAsia" w:ascii="宋体" w:hAnsi="宋体"/>
        </w:rPr>
        <w:t xml:space="preserve"> </w:t>
      </w:r>
      <w:r>
        <w:rPr>
          <w:rFonts w:hint="eastAsia" w:ascii="宋体" w:hAnsi="宋体"/>
          <w:color w:val="0000FF"/>
          <w:kern w:val="0"/>
        </w:rPr>
        <w:t>注：填报的强制性产品认证证书（CCC）必须与投标文件正文表格（七、分项报价表）中所投品牌及型号相一致！</w:t>
      </w:r>
    </w:p>
    <w:p>
      <w:pPr>
        <w:spacing w:line="360" w:lineRule="auto"/>
        <w:rPr>
          <w:rFonts w:ascii="宋体" w:hAnsi="宋体" w:cs="宋体"/>
        </w:rPr>
      </w:pPr>
    </w:p>
    <w:p>
      <w:pPr>
        <w:widowControl/>
        <w:snapToGrid w:val="0"/>
        <w:jc w:val="left"/>
        <w:rPr>
          <w:rFonts w:ascii="宋体" w:hAnsi="宋体"/>
          <w:color w:val="0000FF"/>
          <w:kern w:val="0"/>
        </w:rPr>
      </w:pPr>
    </w:p>
    <w:p>
      <w:pPr>
        <w:rPr>
          <w:color w:val="0000FF"/>
          <w:kern w:val="0"/>
        </w:rPr>
      </w:pPr>
    </w:p>
    <w:p>
      <w:pPr>
        <w:rPr>
          <w:rFonts w:ascii="宋体" w:hAnsi="宋体"/>
          <w:color w:val="0000FF"/>
          <w:kern w:val="0"/>
        </w:rPr>
      </w:pPr>
    </w:p>
    <w:p/>
    <w:p>
      <w:pPr>
        <w:ind w:right="1470"/>
        <w:rPr>
          <w:rFonts w:ascii="宋体" w:hAnsi="宋体"/>
          <w:color w:val="0000FF"/>
          <w:kern w:val="0"/>
        </w:rPr>
      </w:pPr>
    </w:p>
    <w:p>
      <w:pPr>
        <w:ind w:right="1470"/>
        <w:rPr>
          <w:rFonts w:ascii="宋体" w:hAnsi="宋体"/>
          <w:color w:val="0000FF"/>
          <w:kern w:val="0"/>
        </w:rPr>
      </w:pPr>
    </w:p>
    <w:p>
      <w:pPr>
        <w:ind w:right="1470"/>
        <w:rPr>
          <w:rFonts w:ascii="宋体" w:hAnsi="宋体"/>
          <w:color w:val="0000FF"/>
          <w:kern w:val="0"/>
        </w:rPr>
      </w:pPr>
    </w:p>
    <w:p>
      <w:pPr>
        <w:widowControl/>
        <w:snapToGrid w:val="0"/>
        <w:ind w:firstLine="420" w:firstLineChars="200"/>
        <w:jc w:val="left"/>
        <w:rPr>
          <w:rFonts w:ascii="宋体" w:hAnsi="宋体"/>
          <w:color w:val="0000FF"/>
          <w:kern w:val="0"/>
        </w:rPr>
      </w:pPr>
    </w:p>
    <w:p>
      <w:pPr>
        <w:pStyle w:val="13"/>
        <w:spacing w:line="500" w:lineRule="exact"/>
        <w:ind w:left="1260" w:hanging="420"/>
        <w:jc w:val="left"/>
        <w:rPr>
          <w:rFonts w:ascii="宋体" w:hAnsi="宋体" w:cs="宋体"/>
        </w:rPr>
      </w:pPr>
      <w:r>
        <w:rPr>
          <w:rFonts w:hint="eastAsia" w:ascii="宋体" w:hAnsi="宋体" w:cs="宋体"/>
          <w:color w:val="FF0000"/>
        </w:rPr>
        <w:t xml:space="preserve">（二）节能产品明细清单  </w:t>
      </w:r>
      <w:r>
        <w:rPr>
          <w:rFonts w:hint="eastAsia" w:ascii="宋体" w:hAnsi="宋体" w:cs="宋体"/>
        </w:rPr>
        <w:t xml:space="preserve">                                                          报价货币种类金额（单位：元）</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231"/>
        <w:gridCol w:w="1231"/>
        <w:gridCol w:w="1879"/>
        <w:gridCol w:w="1947"/>
        <w:gridCol w:w="2343"/>
        <w:gridCol w:w="1416"/>
        <w:gridCol w:w="1478"/>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制造商</w:t>
            </w:r>
          </w:p>
        </w:tc>
        <w:tc>
          <w:tcPr>
            <w:tcW w:w="433"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制造商企业类型</w:t>
            </w:r>
          </w:p>
        </w:tc>
        <w:tc>
          <w:tcPr>
            <w:tcW w:w="433"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w:t>
            </w:r>
          </w:p>
        </w:tc>
        <w:tc>
          <w:tcPr>
            <w:tcW w:w="661"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产品名称、规格型号</w:t>
            </w:r>
          </w:p>
        </w:tc>
        <w:tc>
          <w:tcPr>
            <w:tcW w:w="685"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节字标志认证证书号</w:t>
            </w:r>
          </w:p>
        </w:tc>
        <w:tc>
          <w:tcPr>
            <w:tcW w:w="823"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节能产品认证证书有效截止日期</w:t>
            </w:r>
          </w:p>
        </w:tc>
        <w:tc>
          <w:tcPr>
            <w:tcW w:w="498"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20"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479"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 w:type="pct"/>
            <w:noWrap w:val="0"/>
            <w:vAlign w:val="top"/>
          </w:tcPr>
          <w:p>
            <w:pPr>
              <w:pStyle w:val="2"/>
              <w:spacing w:line="500" w:lineRule="exact"/>
              <w:jc w:val="center"/>
              <w:rPr>
                <w:rFonts w:hint="eastAsia" w:ascii="宋体" w:hAnsi="宋体" w:eastAsia="宋体" w:cs="宋体"/>
                <w:sz w:val="21"/>
                <w:szCs w:val="21"/>
              </w:rPr>
            </w:pPr>
          </w:p>
        </w:tc>
        <w:tc>
          <w:tcPr>
            <w:tcW w:w="433" w:type="pct"/>
            <w:noWrap w:val="0"/>
            <w:vAlign w:val="top"/>
          </w:tcPr>
          <w:p>
            <w:pPr>
              <w:pStyle w:val="2"/>
              <w:spacing w:line="500" w:lineRule="exact"/>
              <w:jc w:val="center"/>
              <w:rPr>
                <w:rFonts w:hint="eastAsia" w:ascii="宋体" w:hAnsi="宋体" w:eastAsia="宋体" w:cs="宋体"/>
                <w:sz w:val="21"/>
                <w:szCs w:val="21"/>
              </w:rPr>
            </w:pPr>
          </w:p>
        </w:tc>
        <w:tc>
          <w:tcPr>
            <w:tcW w:w="433" w:type="pct"/>
            <w:noWrap w:val="0"/>
            <w:vAlign w:val="top"/>
          </w:tcPr>
          <w:p>
            <w:pPr>
              <w:pStyle w:val="2"/>
              <w:spacing w:line="500" w:lineRule="exact"/>
              <w:jc w:val="center"/>
              <w:rPr>
                <w:rFonts w:hint="eastAsia" w:ascii="宋体" w:hAnsi="宋体" w:eastAsia="宋体" w:cs="宋体"/>
                <w:sz w:val="21"/>
                <w:szCs w:val="21"/>
              </w:rPr>
            </w:pPr>
          </w:p>
        </w:tc>
        <w:tc>
          <w:tcPr>
            <w:tcW w:w="661" w:type="pct"/>
            <w:noWrap w:val="0"/>
            <w:vAlign w:val="top"/>
          </w:tcPr>
          <w:p>
            <w:pPr>
              <w:pStyle w:val="2"/>
              <w:spacing w:line="500" w:lineRule="exact"/>
              <w:jc w:val="center"/>
              <w:rPr>
                <w:rFonts w:hint="eastAsia" w:ascii="宋体" w:hAnsi="宋体" w:eastAsia="宋体" w:cs="宋体"/>
                <w:sz w:val="21"/>
                <w:szCs w:val="21"/>
              </w:rPr>
            </w:pPr>
          </w:p>
        </w:tc>
        <w:tc>
          <w:tcPr>
            <w:tcW w:w="685" w:type="pct"/>
            <w:noWrap w:val="0"/>
            <w:vAlign w:val="top"/>
          </w:tcPr>
          <w:p>
            <w:pPr>
              <w:pStyle w:val="2"/>
              <w:spacing w:line="500" w:lineRule="exact"/>
              <w:jc w:val="center"/>
              <w:rPr>
                <w:rFonts w:hint="eastAsia" w:ascii="宋体" w:hAnsi="宋体" w:eastAsia="宋体" w:cs="宋体"/>
                <w:sz w:val="21"/>
                <w:szCs w:val="21"/>
              </w:rPr>
            </w:pPr>
          </w:p>
        </w:tc>
        <w:tc>
          <w:tcPr>
            <w:tcW w:w="823" w:type="pct"/>
            <w:noWrap w:val="0"/>
            <w:vAlign w:val="top"/>
          </w:tcPr>
          <w:p>
            <w:pPr>
              <w:pStyle w:val="2"/>
              <w:spacing w:line="500" w:lineRule="exact"/>
              <w:jc w:val="center"/>
              <w:rPr>
                <w:rFonts w:hint="eastAsia" w:ascii="宋体" w:hAnsi="宋体" w:eastAsia="宋体" w:cs="宋体"/>
                <w:sz w:val="21"/>
                <w:szCs w:val="21"/>
              </w:rPr>
            </w:pPr>
          </w:p>
        </w:tc>
        <w:tc>
          <w:tcPr>
            <w:tcW w:w="498" w:type="pct"/>
            <w:noWrap w:val="0"/>
            <w:vAlign w:val="top"/>
          </w:tcPr>
          <w:p>
            <w:pPr>
              <w:pStyle w:val="2"/>
              <w:spacing w:line="500" w:lineRule="exact"/>
              <w:jc w:val="center"/>
              <w:rPr>
                <w:rFonts w:hint="eastAsia" w:ascii="宋体" w:hAnsi="宋体" w:eastAsia="宋体" w:cs="宋体"/>
                <w:sz w:val="21"/>
                <w:szCs w:val="21"/>
              </w:rPr>
            </w:pPr>
          </w:p>
        </w:tc>
        <w:tc>
          <w:tcPr>
            <w:tcW w:w="520" w:type="pct"/>
            <w:noWrap w:val="0"/>
            <w:vAlign w:val="top"/>
          </w:tcPr>
          <w:p>
            <w:pPr>
              <w:pStyle w:val="2"/>
              <w:spacing w:line="500" w:lineRule="exact"/>
              <w:jc w:val="center"/>
              <w:rPr>
                <w:rFonts w:hint="eastAsia" w:ascii="宋体" w:hAnsi="宋体" w:eastAsia="宋体" w:cs="宋体"/>
                <w:sz w:val="21"/>
                <w:szCs w:val="21"/>
              </w:rPr>
            </w:pPr>
          </w:p>
        </w:tc>
        <w:tc>
          <w:tcPr>
            <w:tcW w:w="479" w:type="pct"/>
            <w:noWrap w:val="0"/>
            <w:vAlign w:val="top"/>
          </w:tcPr>
          <w:p>
            <w:pPr>
              <w:pStyle w:val="2"/>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val="0"/>
            <w:vAlign w:val="top"/>
          </w:tcPr>
          <w:p>
            <w:pPr>
              <w:pStyle w:val="2"/>
              <w:spacing w:line="500" w:lineRule="exact"/>
              <w:jc w:val="left"/>
              <w:rPr>
                <w:rFonts w:hint="eastAsia" w:ascii="宋体" w:hAnsi="宋体" w:eastAsia="宋体" w:cs="宋体"/>
                <w:sz w:val="21"/>
                <w:szCs w:val="21"/>
              </w:rPr>
            </w:pPr>
          </w:p>
        </w:tc>
        <w:tc>
          <w:tcPr>
            <w:tcW w:w="433" w:type="pct"/>
            <w:noWrap w:val="0"/>
            <w:vAlign w:val="top"/>
          </w:tcPr>
          <w:p>
            <w:pPr>
              <w:pStyle w:val="2"/>
              <w:spacing w:line="500" w:lineRule="exact"/>
              <w:jc w:val="left"/>
              <w:rPr>
                <w:rFonts w:hint="eastAsia" w:ascii="宋体" w:hAnsi="宋体" w:eastAsia="宋体" w:cs="宋体"/>
                <w:sz w:val="21"/>
                <w:szCs w:val="21"/>
              </w:rPr>
            </w:pPr>
          </w:p>
        </w:tc>
        <w:tc>
          <w:tcPr>
            <w:tcW w:w="433" w:type="pct"/>
            <w:noWrap w:val="0"/>
            <w:vAlign w:val="top"/>
          </w:tcPr>
          <w:p>
            <w:pPr>
              <w:pStyle w:val="2"/>
              <w:spacing w:line="500" w:lineRule="exact"/>
              <w:jc w:val="left"/>
              <w:rPr>
                <w:rFonts w:hint="eastAsia" w:ascii="宋体" w:hAnsi="宋体" w:eastAsia="宋体" w:cs="宋体"/>
                <w:sz w:val="21"/>
                <w:szCs w:val="21"/>
              </w:rPr>
            </w:pPr>
          </w:p>
        </w:tc>
        <w:tc>
          <w:tcPr>
            <w:tcW w:w="661" w:type="pct"/>
            <w:noWrap w:val="0"/>
            <w:vAlign w:val="top"/>
          </w:tcPr>
          <w:p>
            <w:pPr>
              <w:pStyle w:val="2"/>
              <w:spacing w:line="500" w:lineRule="exact"/>
              <w:jc w:val="left"/>
              <w:rPr>
                <w:rFonts w:hint="eastAsia" w:ascii="宋体" w:hAnsi="宋体" w:eastAsia="宋体" w:cs="宋体"/>
                <w:sz w:val="21"/>
                <w:szCs w:val="21"/>
              </w:rPr>
            </w:pPr>
          </w:p>
        </w:tc>
        <w:tc>
          <w:tcPr>
            <w:tcW w:w="685" w:type="pct"/>
            <w:noWrap w:val="0"/>
            <w:vAlign w:val="top"/>
          </w:tcPr>
          <w:p>
            <w:pPr>
              <w:pStyle w:val="2"/>
              <w:spacing w:line="500" w:lineRule="exact"/>
              <w:jc w:val="left"/>
              <w:rPr>
                <w:rFonts w:hint="eastAsia" w:ascii="宋体" w:hAnsi="宋体" w:eastAsia="宋体" w:cs="宋体"/>
                <w:sz w:val="21"/>
                <w:szCs w:val="21"/>
              </w:rPr>
            </w:pPr>
          </w:p>
        </w:tc>
        <w:tc>
          <w:tcPr>
            <w:tcW w:w="823" w:type="pct"/>
            <w:noWrap w:val="0"/>
            <w:vAlign w:val="top"/>
          </w:tcPr>
          <w:p>
            <w:pPr>
              <w:pStyle w:val="2"/>
              <w:spacing w:line="500" w:lineRule="exact"/>
              <w:jc w:val="left"/>
              <w:rPr>
                <w:rFonts w:hint="eastAsia" w:ascii="宋体" w:hAnsi="宋体" w:eastAsia="宋体" w:cs="宋体"/>
                <w:sz w:val="21"/>
                <w:szCs w:val="21"/>
              </w:rPr>
            </w:pPr>
          </w:p>
        </w:tc>
        <w:tc>
          <w:tcPr>
            <w:tcW w:w="498" w:type="pct"/>
            <w:noWrap w:val="0"/>
            <w:vAlign w:val="top"/>
          </w:tcPr>
          <w:p>
            <w:pPr>
              <w:pStyle w:val="2"/>
              <w:spacing w:line="500" w:lineRule="exact"/>
              <w:jc w:val="left"/>
              <w:rPr>
                <w:rFonts w:hint="eastAsia" w:ascii="宋体" w:hAnsi="宋体" w:eastAsia="宋体" w:cs="宋体"/>
                <w:sz w:val="21"/>
                <w:szCs w:val="21"/>
              </w:rPr>
            </w:pPr>
          </w:p>
        </w:tc>
        <w:tc>
          <w:tcPr>
            <w:tcW w:w="520" w:type="pct"/>
            <w:noWrap w:val="0"/>
            <w:vAlign w:val="top"/>
          </w:tcPr>
          <w:p>
            <w:pPr>
              <w:pStyle w:val="2"/>
              <w:spacing w:line="500" w:lineRule="exact"/>
              <w:jc w:val="left"/>
              <w:rPr>
                <w:rFonts w:hint="eastAsia" w:ascii="宋体" w:hAnsi="宋体" w:eastAsia="宋体" w:cs="宋体"/>
                <w:sz w:val="21"/>
                <w:szCs w:val="21"/>
              </w:rPr>
            </w:pPr>
          </w:p>
        </w:tc>
        <w:tc>
          <w:tcPr>
            <w:tcW w:w="479" w:type="pct"/>
            <w:noWrap w:val="0"/>
            <w:vAlign w:val="top"/>
          </w:tcPr>
          <w:p>
            <w:pPr>
              <w:pStyle w:val="2"/>
              <w:spacing w:line="5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val="0"/>
            <w:vAlign w:val="top"/>
          </w:tcPr>
          <w:p>
            <w:pPr>
              <w:pStyle w:val="2"/>
              <w:spacing w:line="500" w:lineRule="exact"/>
              <w:jc w:val="left"/>
              <w:rPr>
                <w:rFonts w:hint="eastAsia" w:ascii="宋体" w:hAnsi="宋体" w:eastAsia="宋体" w:cs="宋体"/>
                <w:sz w:val="21"/>
                <w:szCs w:val="21"/>
              </w:rPr>
            </w:pPr>
          </w:p>
        </w:tc>
        <w:tc>
          <w:tcPr>
            <w:tcW w:w="433" w:type="pct"/>
            <w:noWrap w:val="0"/>
            <w:vAlign w:val="top"/>
          </w:tcPr>
          <w:p>
            <w:pPr>
              <w:pStyle w:val="2"/>
              <w:spacing w:line="500" w:lineRule="exact"/>
              <w:jc w:val="left"/>
              <w:rPr>
                <w:rFonts w:hint="eastAsia" w:ascii="宋体" w:hAnsi="宋体" w:eastAsia="宋体" w:cs="宋体"/>
                <w:sz w:val="21"/>
                <w:szCs w:val="21"/>
              </w:rPr>
            </w:pPr>
          </w:p>
        </w:tc>
        <w:tc>
          <w:tcPr>
            <w:tcW w:w="433" w:type="pct"/>
            <w:noWrap w:val="0"/>
            <w:vAlign w:val="top"/>
          </w:tcPr>
          <w:p>
            <w:pPr>
              <w:pStyle w:val="2"/>
              <w:spacing w:line="500" w:lineRule="exact"/>
              <w:jc w:val="left"/>
              <w:rPr>
                <w:rFonts w:hint="eastAsia" w:ascii="宋体" w:hAnsi="宋体" w:eastAsia="宋体" w:cs="宋体"/>
                <w:sz w:val="21"/>
                <w:szCs w:val="21"/>
              </w:rPr>
            </w:pPr>
          </w:p>
        </w:tc>
        <w:tc>
          <w:tcPr>
            <w:tcW w:w="661" w:type="pct"/>
            <w:noWrap w:val="0"/>
            <w:vAlign w:val="top"/>
          </w:tcPr>
          <w:p>
            <w:pPr>
              <w:pStyle w:val="2"/>
              <w:spacing w:line="500" w:lineRule="exact"/>
              <w:jc w:val="left"/>
              <w:rPr>
                <w:rFonts w:hint="eastAsia" w:ascii="宋体" w:hAnsi="宋体" w:eastAsia="宋体" w:cs="宋体"/>
                <w:sz w:val="21"/>
                <w:szCs w:val="21"/>
              </w:rPr>
            </w:pPr>
          </w:p>
        </w:tc>
        <w:tc>
          <w:tcPr>
            <w:tcW w:w="685" w:type="pct"/>
            <w:noWrap w:val="0"/>
            <w:vAlign w:val="top"/>
          </w:tcPr>
          <w:p>
            <w:pPr>
              <w:pStyle w:val="2"/>
              <w:spacing w:line="500" w:lineRule="exact"/>
              <w:jc w:val="left"/>
              <w:rPr>
                <w:rFonts w:hint="eastAsia" w:ascii="宋体" w:hAnsi="宋体" w:eastAsia="宋体" w:cs="宋体"/>
                <w:sz w:val="21"/>
                <w:szCs w:val="21"/>
              </w:rPr>
            </w:pPr>
          </w:p>
        </w:tc>
        <w:tc>
          <w:tcPr>
            <w:tcW w:w="823" w:type="pct"/>
            <w:noWrap w:val="0"/>
            <w:vAlign w:val="top"/>
          </w:tcPr>
          <w:p>
            <w:pPr>
              <w:pStyle w:val="2"/>
              <w:spacing w:line="500" w:lineRule="exact"/>
              <w:jc w:val="left"/>
              <w:rPr>
                <w:rFonts w:hint="eastAsia" w:ascii="宋体" w:hAnsi="宋体" w:eastAsia="宋体" w:cs="宋体"/>
                <w:sz w:val="21"/>
                <w:szCs w:val="21"/>
              </w:rPr>
            </w:pPr>
          </w:p>
        </w:tc>
        <w:tc>
          <w:tcPr>
            <w:tcW w:w="498" w:type="pct"/>
            <w:noWrap w:val="0"/>
            <w:vAlign w:val="top"/>
          </w:tcPr>
          <w:p>
            <w:pPr>
              <w:pStyle w:val="2"/>
              <w:spacing w:line="500" w:lineRule="exact"/>
              <w:jc w:val="left"/>
              <w:rPr>
                <w:rFonts w:hint="eastAsia" w:ascii="宋体" w:hAnsi="宋体" w:eastAsia="宋体" w:cs="宋体"/>
                <w:sz w:val="21"/>
                <w:szCs w:val="21"/>
              </w:rPr>
            </w:pPr>
          </w:p>
        </w:tc>
        <w:tc>
          <w:tcPr>
            <w:tcW w:w="520" w:type="pct"/>
            <w:noWrap w:val="0"/>
            <w:vAlign w:val="top"/>
          </w:tcPr>
          <w:p>
            <w:pPr>
              <w:pStyle w:val="2"/>
              <w:spacing w:line="500" w:lineRule="exact"/>
              <w:jc w:val="left"/>
              <w:rPr>
                <w:rFonts w:hint="eastAsia" w:ascii="宋体" w:hAnsi="宋体" w:eastAsia="宋体" w:cs="宋体"/>
                <w:sz w:val="21"/>
                <w:szCs w:val="21"/>
              </w:rPr>
            </w:pPr>
          </w:p>
        </w:tc>
        <w:tc>
          <w:tcPr>
            <w:tcW w:w="479" w:type="pct"/>
            <w:noWrap w:val="0"/>
            <w:vAlign w:val="top"/>
          </w:tcPr>
          <w:p>
            <w:pPr>
              <w:pStyle w:val="2"/>
              <w:spacing w:line="5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2" w:type="pct"/>
            <w:gridSpan w:val="6"/>
            <w:noWrap w:val="0"/>
            <w:vAlign w:val="top"/>
          </w:tcPr>
          <w:p>
            <w:pPr>
              <w:pStyle w:val="2"/>
              <w:spacing w:line="500" w:lineRule="exact"/>
              <w:jc w:val="center"/>
              <w:rPr>
                <w:rFonts w:ascii="宋体" w:hAnsi="宋体" w:eastAsia="宋体" w:cs="宋体"/>
                <w:sz w:val="21"/>
                <w:szCs w:val="21"/>
              </w:rPr>
            </w:pPr>
            <w:r>
              <w:rPr>
                <w:rFonts w:hint="eastAsia" w:ascii="宋体" w:hAnsi="宋体" w:eastAsia="宋体" w:cs="宋体"/>
                <w:sz w:val="21"/>
                <w:szCs w:val="21"/>
              </w:rPr>
              <w:t>合计金额</w:t>
            </w:r>
          </w:p>
        </w:tc>
        <w:tc>
          <w:tcPr>
            <w:tcW w:w="1497" w:type="pct"/>
            <w:gridSpan w:val="3"/>
            <w:noWrap w:val="0"/>
            <w:vAlign w:val="top"/>
          </w:tcPr>
          <w:p>
            <w:pPr>
              <w:pStyle w:val="2"/>
              <w:spacing w:line="500" w:lineRule="exact"/>
              <w:jc w:val="left"/>
              <w:rPr>
                <w:rFonts w:hint="eastAsia" w:ascii="宋体" w:hAnsi="宋体" w:eastAsia="宋体" w:cs="宋体"/>
                <w:sz w:val="21"/>
                <w:szCs w:val="21"/>
              </w:rPr>
            </w:pPr>
          </w:p>
        </w:tc>
      </w:tr>
    </w:tbl>
    <w:p>
      <w:pPr>
        <w:rPr>
          <w:rFonts w:ascii="宋体" w:hAnsi="宋体"/>
          <w:color w:val="0000FF"/>
          <w:kern w:val="0"/>
        </w:rPr>
      </w:pPr>
      <w:r>
        <w:rPr>
          <w:rFonts w:hint="eastAsia" w:ascii="宋体" w:hAnsi="宋体"/>
          <w:color w:val="0000FF"/>
          <w:kern w:val="0"/>
        </w:rPr>
        <w:t>注：填报的节能产品必须与投标文件正文表格（七、分项报价表）中所投品牌及型号相一致！</w:t>
      </w:r>
    </w:p>
    <w:p>
      <w:pPr>
        <w:pStyle w:val="13"/>
        <w:spacing w:line="500" w:lineRule="exact"/>
        <w:ind w:left="1260" w:hanging="420"/>
        <w:jc w:val="left"/>
        <w:rPr>
          <w:rFonts w:ascii="宋体" w:hAnsi="宋体" w:cs="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13"/>
        <w:spacing w:line="500" w:lineRule="exact"/>
        <w:ind w:left="1260" w:hanging="420"/>
        <w:rPr>
          <w:rFonts w:ascii="宋体" w:hAnsi="宋体" w:cs="宋体"/>
        </w:rPr>
      </w:pPr>
      <w:r>
        <w:rPr>
          <w:rFonts w:hint="eastAsia" w:ascii="宋体" w:hAnsi="宋体" w:cs="宋体"/>
          <w:color w:val="FF0000"/>
        </w:rPr>
        <w:t xml:space="preserve">（三）环保产品明细清单   </w:t>
      </w:r>
      <w:r>
        <w:rPr>
          <w:rFonts w:hint="eastAsia" w:ascii="宋体" w:hAnsi="宋体" w:cs="宋体"/>
        </w:rPr>
        <w:t xml:space="preserve">                                    报价货币种类金额（单位：元）</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464"/>
        <w:gridCol w:w="1228"/>
        <w:gridCol w:w="1887"/>
        <w:gridCol w:w="1947"/>
        <w:gridCol w:w="2370"/>
        <w:gridCol w:w="1393"/>
        <w:gridCol w:w="143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制造商</w:t>
            </w:r>
          </w:p>
        </w:tc>
        <w:tc>
          <w:tcPr>
            <w:tcW w:w="515"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制造商企业类型</w:t>
            </w:r>
          </w:p>
        </w:tc>
        <w:tc>
          <w:tcPr>
            <w:tcW w:w="432"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w:t>
            </w:r>
          </w:p>
        </w:tc>
        <w:tc>
          <w:tcPr>
            <w:tcW w:w="664"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产品名称、规格型号</w:t>
            </w:r>
          </w:p>
        </w:tc>
        <w:tc>
          <w:tcPr>
            <w:tcW w:w="685"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中国环境标志认证证书编号</w:t>
            </w:r>
          </w:p>
        </w:tc>
        <w:tc>
          <w:tcPr>
            <w:tcW w:w="832"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认证证书有效截止日期</w:t>
            </w:r>
          </w:p>
        </w:tc>
        <w:tc>
          <w:tcPr>
            <w:tcW w:w="490"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506"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497" w:type="pct"/>
            <w:noWrap w:val="0"/>
            <w:vAlign w:val="top"/>
          </w:tcPr>
          <w:p>
            <w:pPr>
              <w:pStyle w:val="2"/>
              <w:spacing w:line="500" w:lineRule="exact"/>
              <w:jc w:val="center"/>
              <w:rPr>
                <w:rFonts w:hint="eastAsia" w:ascii="宋体" w:hAnsi="宋体" w:eastAsia="宋体" w:cs="宋体"/>
                <w:sz w:val="21"/>
                <w:szCs w:val="21"/>
              </w:rPr>
            </w:pPr>
            <w:r>
              <w:rPr>
                <w:rFonts w:hint="eastAsia" w:ascii="宋体" w:hAnsi="宋体" w:eastAsia="宋体" w:cs="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top"/>
          </w:tcPr>
          <w:p>
            <w:pPr>
              <w:pStyle w:val="2"/>
              <w:spacing w:line="500" w:lineRule="exact"/>
              <w:jc w:val="center"/>
              <w:rPr>
                <w:rFonts w:hint="eastAsia" w:ascii="宋体" w:hAnsi="宋体" w:eastAsia="宋体" w:cs="宋体"/>
                <w:sz w:val="21"/>
                <w:szCs w:val="21"/>
              </w:rPr>
            </w:pPr>
          </w:p>
        </w:tc>
        <w:tc>
          <w:tcPr>
            <w:tcW w:w="515" w:type="pct"/>
            <w:noWrap w:val="0"/>
            <w:vAlign w:val="top"/>
          </w:tcPr>
          <w:p>
            <w:pPr>
              <w:pStyle w:val="2"/>
              <w:spacing w:line="500" w:lineRule="exact"/>
              <w:jc w:val="center"/>
              <w:rPr>
                <w:rFonts w:hint="eastAsia" w:ascii="宋体" w:hAnsi="宋体" w:eastAsia="宋体" w:cs="宋体"/>
                <w:sz w:val="21"/>
                <w:szCs w:val="21"/>
              </w:rPr>
            </w:pPr>
          </w:p>
        </w:tc>
        <w:tc>
          <w:tcPr>
            <w:tcW w:w="432" w:type="pct"/>
            <w:noWrap w:val="0"/>
            <w:vAlign w:val="top"/>
          </w:tcPr>
          <w:p>
            <w:pPr>
              <w:pStyle w:val="2"/>
              <w:spacing w:line="500" w:lineRule="exact"/>
              <w:jc w:val="center"/>
              <w:rPr>
                <w:rFonts w:hint="eastAsia" w:ascii="宋体" w:hAnsi="宋体" w:eastAsia="宋体" w:cs="宋体"/>
                <w:sz w:val="21"/>
                <w:szCs w:val="21"/>
              </w:rPr>
            </w:pPr>
          </w:p>
        </w:tc>
        <w:tc>
          <w:tcPr>
            <w:tcW w:w="664" w:type="pct"/>
            <w:noWrap w:val="0"/>
            <w:vAlign w:val="top"/>
          </w:tcPr>
          <w:p>
            <w:pPr>
              <w:pStyle w:val="2"/>
              <w:spacing w:line="500" w:lineRule="exact"/>
              <w:jc w:val="center"/>
              <w:rPr>
                <w:rFonts w:hint="eastAsia" w:ascii="宋体" w:hAnsi="宋体" w:eastAsia="宋体" w:cs="宋体"/>
                <w:sz w:val="21"/>
                <w:szCs w:val="21"/>
              </w:rPr>
            </w:pPr>
          </w:p>
        </w:tc>
        <w:tc>
          <w:tcPr>
            <w:tcW w:w="685" w:type="pct"/>
            <w:noWrap w:val="0"/>
            <w:vAlign w:val="top"/>
          </w:tcPr>
          <w:p>
            <w:pPr>
              <w:pStyle w:val="2"/>
              <w:spacing w:line="500" w:lineRule="exact"/>
              <w:jc w:val="center"/>
              <w:rPr>
                <w:rFonts w:hint="eastAsia" w:ascii="宋体" w:hAnsi="宋体" w:eastAsia="宋体" w:cs="宋体"/>
                <w:sz w:val="21"/>
                <w:szCs w:val="21"/>
              </w:rPr>
            </w:pPr>
          </w:p>
        </w:tc>
        <w:tc>
          <w:tcPr>
            <w:tcW w:w="832" w:type="pct"/>
            <w:noWrap w:val="0"/>
            <w:vAlign w:val="top"/>
          </w:tcPr>
          <w:p>
            <w:pPr>
              <w:pStyle w:val="2"/>
              <w:spacing w:line="500" w:lineRule="exact"/>
              <w:jc w:val="center"/>
              <w:rPr>
                <w:rFonts w:hint="eastAsia" w:ascii="宋体" w:hAnsi="宋体" w:eastAsia="宋体" w:cs="宋体"/>
                <w:sz w:val="21"/>
                <w:szCs w:val="21"/>
              </w:rPr>
            </w:pPr>
          </w:p>
        </w:tc>
        <w:tc>
          <w:tcPr>
            <w:tcW w:w="490" w:type="pct"/>
            <w:noWrap w:val="0"/>
            <w:vAlign w:val="top"/>
          </w:tcPr>
          <w:p>
            <w:pPr>
              <w:pStyle w:val="2"/>
              <w:spacing w:line="500" w:lineRule="exact"/>
              <w:jc w:val="center"/>
              <w:rPr>
                <w:rFonts w:hint="eastAsia" w:ascii="宋体" w:hAnsi="宋体" w:eastAsia="宋体" w:cs="宋体"/>
                <w:sz w:val="21"/>
                <w:szCs w:val="21"/>
              </w:rPr>
            </w:pPr>
          </w:p>
        </w:tc>
        <w:tc>
          <w:tcPr>
            <w:tcW w:w="506" w:type="pct"/>
            <w:noWrap w:val="0"/>
            <w:vAlign w:val="top"/>
          </w:tcPr>
          <w:p>
            <w:pPr>
              <w:pStyle w:val="2"/>
              <w:spacing w:line="500" w:lineRule="exact"/>
              <w:jc w:val="center"/>
              <w:rPr>
                <w:rFonts w:hint="eastAsia" w:ascii="宋体" w:hAnsi="宋体" w:eastAsia="宋体" w:cs="宋体"/>
                <w:sz w:val="21"/>
                <w:szCs w:val="21"/>
              </w:rPr>
            </w:pPr>
          </w:p>
        </w:tc>
        <w:tc>
          <w:tcPr>
            <w:tcW w:w="497" w:type="pct"/>
            <w:noWrap w:val="0"/>
            <w:vAlign w:val="top"/>
          </w:tcPr>
          <w:p>
            <w:pPr>
              <w:pStyle w:val="2"/>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top"/>
          </w:tcPr>
          <w:p>
            <w:pPr>
              <w:pStyle w:val="2"/>
              <w:spacing w:line="500" w:lineRule="exact"/>
              <w:jc w:val="center"/>
              <w:rPr>
                <w:rFonts w:hint="eastAsia" w:ascii="宋体" w:hAnsi="宋体" w:eastAsia="宋体" w:cs="宋体"/>
                <w:sz w:val="21"/>
                <w:szCs w:val="21"/>
              </w:rPr>
            </w:pPr>
          </w:p>
        </w:tc>
        <w:tc>
          <w:tcPr>
            <w:tcW w:w="515" w:type="pct"/>
            <w:noWrap w:val="0"/>
            <w:vAlign w:val="top"/>
          </w:tcPr>
          <w:p>
            <w:pPr>
              <w:pStyle w:val="2"/>
              <w:spacing w:line="500" w:lineRule="exact"/>
              <w:jc w:val="center"/>
              <w:rPr>
                <w:rFonts w:hint="eastAsia" w:ascii="宋体" w:hAnsi="宋体" w:eastAsia="宋体" w:cs="宋体"/>
                <w:sz w:val="21"/>
                <w:szCs w:val="21"/>
              </w:rPr>
            </w:pPr>
          </w:p>
        </w:tc>
        <w:tc>
          <w:tcPr>
            <w:tcW w:w="432" w:type="pct"/>
            <w:noWrap w:val="0"/>
            <w:vAlign w:val="top"/>
          </w:tcPr>
          <w:p>
            <w:pPr>
              <w:pStyle w:val="2"/>
              <w:spacing w:line="500" w:lineRule="exact"/>
              <w:jc w:val="center"/>
              <w:rPr>
                <w:rFonts w:hint="eastAsia" w:ascii="宋体" w:hAnsi="宋体" w:eastAsia="宋体" w:cs="宋体"/>
                <w:sz w:val="21"/>
                <w:szCs w:val="21"/>
              </w:rPr>
            </w:pPr>
          </w:p>
        </w:tc>
        <w:tc>
          <w:tcPr>
            <w:tcW w:w="664" w:type="pct"/>
            <w:noWrap w:val="0"/>
            <w:vAlign w:val="top"/>
          </w:tcPr>
          <w:p>
            <w:pPr>
              <w:pStyle w:val="2"/>
              <w:spacing w:line="500" w:lineRule="exact"/>
              <w:jc w:val="center"/>
              <w:rPr>
                <w:rFonts w:hint="eastAsia" w:ascii="宋体" w:hAnsi="宋体" w:eastAsia="宋体" w:cs="宋体"/>
                <w:sz w:val="21"/>
                <w:szCs w:val="21"/>
              </w:rPr>
            </w:pPr>
          </w:p>
        </w:tc>
        <w:tc>
          <w:tcPr>
            <w:tcW w:w="685" w:type="pct"/>
            <w:noWrap w:val="0"/>
            <w:vAlign w:val="top"/>
          </w:tcPr>
          <w:p>
            <w:pPr>
              <w:pStyle w:val="2"/>
              <w:spacing w:line="500" w:lineRule="exact"/>
              <w:jc w:val="center"/>
              <w:rPr>
                <w:rFonts w:hint="eastAsia" w:ascii="宋体" w:hAnsi="宋体" w:eastAsia="宋体" w:cs="宋体"/>
                <w:sz w:val="21"/>
                <w:szCs w:val="21"/>
              </w:rPr>
            </w:pPr>
          </w:p>
        </w:tc>
        <w:tc>
          <w:tcPr>
            <w:tcW w:w="832" w:type="pct"/>
            <w:noWrap w:val="0"/>
            <w:vAlign w:val="top"/>
          </w:tcPr>
          <w:p>
            <w:pPr>
              <w:pStyle w:val="2"/>
              <w:spacing w:line="500" w:lineRule="exact"/>
              <w:jc w:val="center"/>
              <w:rPr>
                <w:rFonts w:hint="eastAsia" w:ascii="宋体" w:hAnsi="宋体" w:eastAsia="宋体" w:cs="宋体"/>
                <w:sz w:val="21"/>
                <w:szCs w:val="21"/>
              </w:rPr>
            </w:pPr>
          </w:p>
        </w:tc>
        <w:tc>
          <w:tcPr>
            <w:tcW w:w="490" w:type="pct"/>
            <w:noWrap w:val="0"/>
            <w:vAlign w:val="top"/>
          </w:tcPr>
          <w:p>
            <w:pPr>
              <w:pStyle w:val="2"/>
              <w:spacing w:line="500" w:lineRule="exact"/>
              <w:jc w:val="center"/>
              <w:rPr>
                <w:rFonts w:hint="eastAsia" w:ascii="宋体" w:hAnsi="宋体" w:eastAsia="宋体" w:cs="宋体"/>
                <w:sz w:val="21"/>
                <w:szCs w:val="21"/>
              </w:rPr>
            </w:pPr>
          </w:p>
        </w:tc>
        <w:tc>
          <w:tcPr>
            <w:tcW w:w="506" w:type="pct"/>
            <w:noWrap w:val="0"/>
            <w:vAlign w:val="top"/>
          </w:tcPr>
          <w:p>
            <w:pPr>
              <w:pStyle w:val="2"/>
              <w:spacing w:line="500" w:lineRule="exact"/>
              <w:jc w:val="center"/>
              <w:rPr>
                <w:rFonts w:hint="eastAsia" w:ascii="宋体" w:hAnsi="宋体" w:eastAsia="宋体" w:cs="宋体"/>
                <w:sz w:val="21"/>
                <w:szCs w:val="21"/>
              </w:rPr>
            </w:pPr>
          </w:p>
        </w:tc>
        <w:tc>
          <w:tcPr>
            <w:tcW w:w="497" w:type="pct"/>
            <w:noWrap w:val="0"/>
            <w:vAlign w:val="top"/>
          </w:tcPr>
          <w:p>
            <w:pPr>
              <w:pStyle w:val="2"/>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top"/>
          </w:tcPr>
          <w:p>
            <w:pPr>
              <w:rPr>
                <w:rFonts w:hint="eastAsia"/>
              </w:rPr>
            </w:pPr>
          </w:p>
        </w:tc>
        <w:tc>
          <w:tcPr>
            <w:tcW w:w="515" w:type="pct"/>
            <w:noWrap w:val="0"/>
            <w:vAlign w:val="top"/>
          </w:tcPr>
          <w:p>
            <w:pPr>
              <w:pStyle w:val="2"/>
              <w:spacing w:line="500" w:lineRule="exact"/>
              <w:jc w:val="center"/>
              <w:rPr>
                <w:rFonts w:hint="eastAsia" w:ascii="宋体" w:hAnsi="宋体" w:eastAsia="宋体" w:cs="宋体"/>
                <w:sz w:val="21"/>
                <w:szCs w:val="21"/>
              </w:rPr>
            </w:pPr>
          </w:p>
        </w:tc>
        <w:tc>
          <w:tcPr>
            <w:tcW w:w="432" w:type="pct"/>
            <w:noWrap w:val="0"/>
            <w:vAlign w:val="top"/>
          </w:tcPr>
          <w:p>
            <w:pPr>
              <w:pStyle w:val="2"/>
              <w:spacing w:line="500" w:lineRule="exact"/>
              <w:jc w:val="center"/>
              <w:rPr>
                <w:rFonts w:hint="eastAsia" w:ascii="宋体" w:hAnsi="宋体" w:eastAsia="宋体" w:cs="宋体"/>
                <w:sz w:val="21"/>
                <w:szCs w:val="21"/>
              </w:rPr>
            </w:pPr>
          </w:p>
        </w:tc>
        <w:tc>
          <w:tcPr>
            <w:tcW w:w="664" w:type="pct"/>
            <w:noWrap w:val="0"/>
            <w:vAlign w:val="top"/>
          </w:tcPr>
          <w:p>
            <w:pPr>
              <w:pStyle w:val="2"/>
              <w:spacing w:line="500" w:lineRule="exact"/>
              <w:jc w:val="center"/>
              <w:rPr>
                <w:rFonts w:hint="eastAsia" w:ascii="宋体" w:hAnsi="宋体" w:eastAsia="宋体" w:cs="宋体"/>
                <w:sz w:val="21"/>
                <w:szCs w:val="21"/>
              </w:rPr>
            </w:pPr>
          </w:p>
        </w:tc>
        <w:tc>
          <w:tcPr>
            <w:tcW w:w="685" w:type="pct"/>
            <w:noWrap w:val="0"/>
            <w:vAlign w:val="top"/>
          </w:tcPr>
          <w:p>
            <w:pPr>
              <w:pStyle w:val="2"/>
              <w:spacing w:line="500" w:lineRule="exact"/>
              <w:jc w:val="center"/>
              <w:rPr>
                <w:rFonts w:hint="eastAsia" w:ascii="宋体" w:hAnsi="宋体" w:eastAsia="宋体" w:cs="宋体"/>
                <w:sz w:val="21"/>
                <w:szCs w:val="21"/>
              </w:rPr>
            </w:pPr>
          </w:p>
        </w:tc>
        <w:tc>
          <w:tcPr>
            <w:tcW w:w="832" w:type="pct"/>
            <w:noWrap w:val="0"/>
            <w:vAlign w:val="top"/>
          </w:tcPr>
          <w:p>
            <w:pPr>
              <w:pStyle w:val="2"/>
              <w:spacing w:line="500" w:lineRule="exact"/>
              <w:jc w:val="center"/>
              <w:rPr>
                <w:rFonts w:hint="eastAsia" w:ascii="宋体" w:hAnsi="宋体" w:eastAsia="宋体" w:cs="宋体"/>
                <w:sz w:val="21"/>
                <w:szCs w:val="21"/>
              </w:rPr>
            </w:pPr>
          </w:p>
        </w:tc>
        <w:tc>
          <w:tcPr>
            <w:tcW w:w="490" w:type="pct"/>
            <w:noWrap w:val="0"/>
            <w:vAlign w:val="top"/>
          </w:tcPr>
          <w:p>
            <w:pPr>
              <w:pStyle w:val="2"/>
              <w:spacing w:line="500" w:lineRule="exact"/>
              <w:jc w:val="center"/>
              <w:rPr>
                <w:rFonts w:hint="eastAsia" w:ascii="宋体" w:hAnsi="宋体" w:eastAsia="宋体" w:cs="宋体"/>
                <w:sz w:val="21"/>
                <w:szCs w:val="21"/>
              </w:rPr>
            </w:pPr>
          </w:p>
        </w:tc>
        <w:tc>
          <w:tcPr>
            <w:tcW w:w="506" w:type="pct"/>
            <w:noWrap w:val="0"/>
            <w:vAlign w:val="top"/>
          </w:tcPr>
          <w:p>
            <w:pPr>
              <w:pStyle w:val="2"/>
              <w:spacing w:line="500" w:lineRule="exact"/>
              <w:jc w:val="center"/>
              <w:rPr>
                <w:rFonts w:hint="eastAsia" w:ascii="宋体" w:hAnsi="宋体" w:eastAsia="宋体" w:cs="宋体"/>
                <w:sz w:val="21"/>
                <w:szCs w:val="21"/>
              </w:rPr>
            </w:pPr>
          </w:p>
        </w:tc>
        <w:tc>
          <w:tcPr>
            <w:tcW w:w="497" w:type="pct"/>
            <w:noWrap w:val="0"/>
            <w:vAlign w:val="top"/>
          </w:tcPr>
          <w:p>
            <w:pPr>
              <w:pStyle w:val="2"/>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5" w:type="pct"/>
            <w:gridSpan w:val="6"/>
            <w:noWrap w:val="0"/>
            <w:vAlign w:val="top"/>
          </w:tcPr>
          <w:p>
            <w:pPr>
              <w:pStyle w:val="2"/>
              <w:spacing w:line="500" w:lineRule="exact"/>
              <w:jc w:val="center"/>
              <w:rPr>
                <w:rFonts w:ascii="宋体" w:hAnsi="宋体" w:eastAsia="宋体" w:cs="宋体"/>
                <w:sz w:val="21"/>
                <w:szCs w:val="21"/>
              </w:rPr>
            </w:pPr>
            <w:r>
              <w:rPr>
                <w:rFonts w:hint="eastAsia" w:ascii="宋体" w:hAnsi="宋体" w:eastAsia="宋体" w:cs="宋体"/>
                <w:sz w:val="21"/>
                <w:szCs w:val="21"/>
              </w:rPr>
              <w:t>合计金额</w:t>
            </w:r>
          </w:p>
        </w:tc>
        <w:tc>
          <w:tcPr>
            <w:tcW w:w="1494" w:type="pct"/>
            <w:gridSpan w:val="3"/>
            <w:noWrap w:val="0"/>
            <w:vAlign w:val="top"/>
          </w:tcPr>
          <w:p>
            <w:pPr>
              <w:pStyle w:val="2"/>
              <w:spacing w:line="500" w:lineRule="exact"/>
              <w:jc w:val="center"/>
              <w:rPr>
                <w:rFonts w:hint="eastAsia" w:ascii="宋体" w:hAnsi="宋体" w:eastAsia="宋体" w:cs="宋体"/>
                <w:sz w:val="21"/>
                <w:szCs w:val="21"/>
              </w:rPr>
            </w:pPr>
          </w:p>
        </w:tc>
      </w:tr>
    </w:tbl>
    <w:p>
      <w:pPr>
        <w:rPr>
          <w:rFonts w:ascii="宋体" w:hAnsi="宋体"/>
          <w:color w:val="0000FF"/>
          <w:kern w:val="0"/>
        </w:rPr>
      </w:pPr>
      <w:r>
        <w:rPr>
          <w:rFonts w:hint="eastAsia" w:ascii="宋体" w:hAnsi="宋体"/>
          <w:color w:val="0000FF"/>
          <w:kern w:val="0"/>
        </w:rPr>
        <w:t>注：填报的环保产品必须与投标文件正文表格（七、分项报价表）中所投品牌及型号相一致！</w:t>
      </w:r>
    </w:p>
    <w:p>
      <w:pPr>
        <w:pStyle w:val="13"/>
        <w:ind w:left="1260" w:hanging="420"/>
        <w:rPr>
          <w:rFonts w:ascii="宋体" w:hAnsi="宋体" w:cs="宋体"/>
        </w:rPr>
      </w:pPr>
    </w:p>
    <w:p>
      <w:pPr>
        <w:pStyle w:val="13"/>
        <w:ind w:left="1260" w:hanging="420"/>
        <w:rPr>
          <w:rFonts w:ascii="宋体" w:hAnsi="宋体"/>
          <w:color w:val="0000FF"/>
          <w:kern w:val="0"/>
        </w:rPr>
      </w:pPr>
    </w:p>
    <w:p>
      <w:pPr>
        <w:rPr>
          <w:rFonts w:ascii="宋体" w:hAnsi="宋体"/>
        </w:rPr>
      </w:pPr>
    </w:p>
    <w:p>
      <w:pPr>
        <w:pStyle w:val="13"/>
        <w:ind w:left="1260" w:hanging="420"/>
        <w:rPr>
          <w:rFonts w:ascii="宋体" w:hAnsi="宋体"/>
          <w:color w:val="0000FF"/>
          <w:kern w:val="0"/>
        </w:rPr>
      </w:pPr>
      <w:r>
        <w:rPr>
          <w:rFonts w:hint="eastAsia" w:ascii="宋体" w:hAnsi="宋体"/>
          <w:color w:val="0000FF"/>
          <w:kern w:val="0"/>
        </w:rPr>
        <w:t>特别提示：</w:t>
      </w:r>
    </w:p>
    <w:p>
      <w:pPr>
        <w:pStyle w:val="13"/>
        <w:ind w:left="1260" w:hanging="420"/>
        <w:rPr>
          <w:rFonts w:ascii="宋体" w:hAnsi="宋体"/>
          <w:color w:val="0000FF"/>
          <w:kern w:val="0"/>
        </w:rPr>
      </w:pPr>
      <w:r>
        <w:rPr>
          <w:rFonts w:hint="eastAsia" w:ascii="宋体" w:hAnsi="宋体"/>
          <w:color w:val="0000FF"/>
          <w:kern w:val="0"/>
        </w:rPr>
        <w:t>1、空调机、照明产品（包括双端荧光灯、单端荧光灯、管形荧光灯镇流器）、电视机、电热水器、计算机、打印机、显示器、便器、水嘴等九类产品为政府强制采购节能产品。</w:t>
      </w:r>
    </w:p>
    <w:p>
      <w:pPr>
        <w:pStyle w:val="13"/>
        <w:ind w:left="1260" w:hanging="420"/>
        <w:rPr>
          <w:rFonts w:hint="eastAsia" w:ascii="宋体" w:hAnsi="宋体"/>
          <w:color w:val="0000FF"/>
          <w:kern w:val="0"/>
        </w:rPr>
      </w:pPr>
      <w:r>
        <w:rPr>
          <w:rFonts w:hint="eastAsia" w:ascii="宋体" w:hAnsi="宋体"/>
          <w:color w:val="0000FF"/>
          <w:kern w:val="0"/>
        </w:rPr>
        <w:t>2、制造商为小型或微型企业时才需要填“制造商企业类型”栏,填写内容为“小型”或“微型”；</w:t>
      </w:r>
    </w:p>
    <w:p>
      <w:pPr>
        <w:pStyle w:val="13"/>
        <w:ind w:left="1260" w:hanging="420"/>
        <w:rPr>
          <w:rFonts w:hint="default"/>
          <w:color w:val="0000FF"/>
          <w:sz w:val="21"/>
          <w:szCs w:val="21"/>
        </w:rPr>
        <w:sectPr>
          <w:pgSz w:w="16838" w:h="11906" w:orient="landscape"/>
          <w:pgMar w:top="1365" w:right="1418" w:bottom="1588" w:left="1418" w:header="851" w:footer="907" w:gutter="0"/>
          <w:cols w:space="720" w:num="1"/>
          <w:titlePg/>
          <w:docGrid w:type="lines" w:linePitch="290" w:charSpace="0"/>
        </w:sectPr>
      </w:pPr>
      <w:r>
        <w:rPr>
          <w:color w:val="0000FF"/>
          <w:sz w:val="21"/>
          <w:szCs w:val="21"/>
        </w:rPr>
        <w:t>3、若无货物属于优先采购节能、环境标志产品的，则不填写此表。</w:t>
      </w:r>
    </w:p>
    <w:p>
      <w:pPr>
        <w:widowControl/>
        <w:tabs>
          <w:tab w:val="left" w:pos="720"/>
        </w:tabs>
        <w:spacing w:line="360" w:lineRule="auto"/>
        <w:jc w:val="center"/>
        <w:rPr>
          <w:rFonts w:ascii="宋体" w:hAnsi="宋体"/>
          <w:b/>
          <w:sz w:val="24"/>
          <w:szCs w:val="20"/>
        </w:rPr>
      </w:pPr>
      <w:r>
        <w:rPr>
          <w:rFonts w:hint="eastAsia" w:ascii="宋体" w:hAnsi="宋体"/>
          <w:b/>
          <w:sz w:val="24"/>
        </w:rPr>
        <w:t>附件八、供应商同类项目业绩情况</w:t>
      </w:r>
    </w:p>
    <w:tbl>
      <w:tblPr>
        <w:tblStyle w:val="39"/>
        <w:tblpPr w:leftFromText="180" w:rightFromText="180" w:vertAnchor="text" w:horzAnchor="page" w:tblpX="1636"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15"/>
        <w:gridCol w:w="1340"/>
        <w:gridCol w:w="1485"/>
        <w:gridCol w:w="1290"/>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20" w:type="dxa"/>
            <w:vAlign w:val="center"/>
          </w:tcPr>
          <w:p>
            <w:pPr>
              <w:jc w:val="center"/>
              <w:rPr>
                <w:rFonts w:ascii="宋体" w:hAnsi="宋体" w:cs="宋体"/>
                <w:spacing w:val="-1"/>
                <w:kern w:val="0"/>
              </w:rPr>
            </w:pPr>
            <w:r>
              <w:rPr>
                <w:rFonts w:hint="eastAsia" w:ascii="宋体" w:hAnsi="宋体" w:cs="宋体"/>
                <w:spacing w:val="-1"/>
                <w:kern w:val="0"/>
              </w:rPr>
              <w:t>序号</w:t>
            </w:r>
          </w:p>
        </w:tc>
        <w:tc>
          <w:tcPr>
            <w:tcW w:w="1615" w:type="dxa"/>
            <w:vAlign w:val="center"/>
          </w:tcPr>
          <w:p>
            <w:pPr>
              <w:jc w:val="center"/>
              <w:rPr>
                <w:rFonts w:ascii="宋体" w:hAnsi="宋体" w:cs="宋体"/>
                <w:spacing w:val="-1"/>
                <w:kern w:val="0"/>
              </w:rPr>
            </w:pPr>
            <w:r>
              <w:rPr>
                <w:rFonts w:hint="eastAsia" w:ascii="宋体" w:hAnsi="宋体" w:cs="宋体"/>
                <w:spacing w:val="-1"/>
                <w:kern w:val="0"/>
              </w:rPr>
              <w:t>项目名称</w:t>
            </w:r>
          </w:p>
        </w:tc>
        <w:tc>
          <w:tcPr>
            <w:tcW w:w="1340" w:type="dxa"/>
            <w:vAlign w:val="center"/>
          </w:tcPr>
          <w:p>
            <w:pPr>
              <w:jc w:val="center"/>
              <w:rPr>
                <w:rFonts w:ascii="宋体" w:hAnsi="宋体" w:cs="宋体"/>
                <w:spacing w:val="-1"/>
                <w:kern w:val="0"/>
              </w:rPr>
            </w:pPr>
            <w:r>
              <w:rPr>
                <w:rFonts w:hint="eastAsia" w:ascii="宋体" w:hAnsi="宋体" w:cs="宋体"/>
                <w:spacing w:val="-1"/>
                <w:kern w:val="0"/>
              </w:rPr>
              <w:t>合同金额（万元）</w:t>
            </w:r>
          </w:p>
        </w:tc>
        <w:tc>
          <w:tcPr>
            <w:tcW w:w="1485" w:type="dxa"/>
            <w:vAlign w:val="center"/>
          </w:tcPr>
          <w:p>
            <w:pPr>
              <w:jc w:val="center"/>
              <w:rPr>
                <w:rFonts w:ascii="宋体" w:hAnsi="宋体" w:cs="宋体"/>
                <w:spacing w:val="-1"/>
                <w:kern w:val="0"/>
              </w:rPr>
            </w:pPr>
            <w:r>
              <w:rPr>
                <w:rFonts w:hint="eastAsia" w:ascii="宋体" w:hAnsi="宋体" w:cs="宋体"/>
              </w:rPr>
              <w:t>签订合同时间</w:t>
            </w:r>
          </w:p>
        </w:tc>
        <w:tc>
          <w:tcPr>
            <w:tcW w:w="1290" w:type="dxa"/>
            <w:vAlign w:val="center"/>
          </w:tcPr>
          <w:p>
            <w:pPr>
              <w:jc w:val="center"/>
              <w:rPr>
                <w:rFonts w:ascii="宋体" w:hAnsi="宋体" w:cs="宋体"/>
                <w:spacing w:val="-1"/>
                <w:kern w:val="0"/>
              </w:rPr>
            </w:pPr>
            <w:r>
              <w:rPr>
                <w:rFonts w:hint="eastAsia" w:ascii="宋体" w:hAnsi="宋体" w:cs="宋体"/>
              </w:rPr>
              <w:t>竣工验收报告时间</w:t>
            </w:r>
          </w:p>
        </w:tc>
        <w:tc>
          <w:tcPr>
            <w:tcW w:w="2547" w:type="dxa"/>
            <w:vAlign w:val="center"/>
          </w:tcPr>
          <w:p>
            <w:pPr>
              <w:jc w:val="center"/>
              <w:rPr>
                <w:rFonts w:ascii="宋体" w:hAnsi="宋体" w:cs="宋体"/>
                <w:spacing w:val="-1"/>
                <w:kern w:val="0"/>
              </w:rPr>
            </w:pPr>
            <w:r>
              <w:rPr>
                <w:rFonts w:hint="eastAsia" w:ascii="宋体" w:hAnsi="宋体" w:cs="宋体"/>
                <w:spacing w:val="-1"/>
                <w:kern w:val="0"/>
              </w:rPr>
              <w:t>采购人联系人及电话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dxa"/>
            <w:vAlign w:val="center"/>
          </w:tcPr>
          <w:p>
            <w:pPr>
              <w:jc w:val="center"/>
              <w:rPr>
                <w:rFonts w:ascii="宋体" w:hAnsi="宋体" w:cs="宋体"/>
                <w:spacing w:val="-1"/>
                <w:kern w:val="0"/>
              </w:rPr>
            </w:pPr>
            <w:r>
              <w:rPr>
                <w:rFonts w:hint="eastAsia" w:ascii="宋体" w:hAnsi="宋体" w:cs="宋体"/>
                <w:spacing w:val="-1"/>
                <w:kern w:val="0"/>
              </w:rPr>
              <w:t>1</w:t>
            </w:r>
          </w:p>
        </w:tc>
        <w:tc>
          <w:tcPr>
            <w:tcW w:w="1615" w:type="dxa"/>
            <w:vAlign w:val="center"/>
          </w:tcPr>
          <w:p>
            <w:pPr>
              <w:jc w:val="center"/>
              <w:rPr>
                <w:rFonts w:ascii="宋体" w:hAnsi="宋体" w:cs="宋体"/>
                <w:spacing w:val="-1"/>
                <w:kern w:val="0"/>
              </w:rPr>
            </w:pPr>
          </w:p>
        </w:tc>
        <w:tc>
          <w:tcPr>
            <w:tcW w:w="1340" w:type="dxa"/>
            <w:vAlign w:val="center"/>
          </w:tcPr>
          <w:p>
            <w:pPr>
              <w:jc w:val="center"/>
              <w:rPr>
                <w:rFonts w:ascii="宋体" w:hAnsi="宋体" w:cs="宋体"/>
                <w:spacing w:val="-1"/>
                <w:kern w:val="0"/>
              </w:rPr>
            </w:pPr>
          </w:p>
        </w:tc>
        <w:tc>
          <w:tcPr>
            <w:tcW w:w="1485" w:type="dxa"/>
            <w:vAlign w:val="center"/>
          </w:tcPr>
          <w:p>
            <w:pPr>
              <w:jc w:val="center"/>
              <w:rPr>
                <w:rFonts w:ascii="宋体" w:hAnsi="宋体" w:cs="宋体"/>
                <w:spacing w:val="-1"/>
                <w:kern w:val="0"/>
              </w:rPr>
            </w:pPr>
          </w:p>
        </w:tc>
        <w:tc>
          <w:tcPr>
            <w:tcW w:w="1290" w:type="dxa"/>
            <w:vAlign w:val="center"/>
          </w:tcPr>
          <w:p>
            <w:pPr>
              <w:jc w:val="center"/>
              <w:rPr>
                <w:rFonts w:ascii="宋体" w:hAnsi="宋体" w:cs="宋体"/>
                <w:spacing w:val="-1"/>
                <w:kern w:val="0"/>
              </w:rPr>
            </w:pPr>
          </w:p>
        </w:tc>
        <w:tc>
          <w:tcPr>
            <w:tcW w:w="2547" w:type="dxa"/>
            <w:vAlign w:val="center"/>
          </w:tcPr>
          <w:p>
            <w:pPr>
              <w:jc w:val="center"/>
              <w:rPr>
                <w:rFonts w:ascii="宋体" w:hAnsi="宋体" w:cs="宋体"/>
                <w:spacing w:val="-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dxa"/>
            <w:vAlign w:val="center"/>
          </w:tcPr>
          <w:p>
            <w:pPr>
              <w:jc w:val="center"/>
              <w:rPr>
                <w:rFonts w:ascii="宋体" w:hAnsi="宋体" w:cs="宋体"/>
                <w:spacing w:val="-1"/>
                <w:kern w:val="0"/>
              </w:rPr>
            </w:pPr>
            <w:r>
              <w:rPr>
                <w:rFonts w:hint="eastAsia" w:ascii="宋体" w:hAnsi="宋体" w:cs="宋体"/>
                <w:spacing w:val="-1"/>
                <w:kern w:val="0"/>
              </w:rPr>
              <w:t>2</w:t>
            </w:r>
          </w:p>
        </w:tc>
        <w:tc>
          <w:tcPr>
            <w:tcW w:w="1615" w:type="dxa"/>
            <w:vAlign w:val="center"/>
          </w:tcPr>
          <w:p>
            <w:pPr>
              <w:jc w:val="center"/>
              <w:rPr>
                <w:rFonts w:ascii="宋体" w:hAnsi="宋体" w:cs="宋体"/>
                <w:spacing w:val="-1"/>
                <w:kern w:val="0"/>
              </w:rPr>
            </w:pPr>
          </w:p>
        </w:tc>
        <w:tc>
          <w:tcPr>
            <w:tcW w:w="1340" w:type="dxa"/>
            <w:vAlign w:val="center"/>
          </w:tcPr>
          <w:p>
            <w:pPr>
              <w:jc w:val="center"/>
              <w:rPr>
                <w:rFonts w:ascii="宋体" w:hAnsi="宋体" w:cs="宋体"/>
                <w:spacing w:val="-1"/>
                <w:kern w:val="0"/>
              </w:rPr>
            </w:pPr>
          </w:p>
        </w:tc>
        <w:tc>
          <w:tcPr>
            <w:tcW w:w="1485" w:type="dxa"/>
            <w:vAlign w:val="center"/>
          </w:tcPr>
          <w:p>
            <w:pPr>
              <w:jc w:val="center"/>
              <w:rPr>
                <w:rFonts w:ascii="宋体" w:hAnsi="宋体" w:cs="宋体"/>
                <w:spacing w:val="-1"/>
                <w:kern w:val="0"/>
              </w:rPr>
            </w:pPr>
          </w:p>
        </w:tc>
        <w:tc>
          <w:tcPr>
            <w:tcW w:w="1290" w:type="dxa"/>
            <w:vAlign w:val="center"/>
          </w:tcPr>
          <w:p>
            <w:pPr>
              <w:jc w:val="center"/>
              <w:rPr>
                <w:rFonts w:ascii="宋体" w:hAnsi="宋体" w:cs="宋体"/>
                <w:spacing w:val="-1"/>
                <w:kern w:val="0"/>
              </w:rPr>
            </w:pPr>
          </w:p>
        </w:tc>
        <w:tc>
          <w:tcPr>
            <w:tcW w:w="2547" w:type="dxa"/>
            <w:vAlign w:val="center"/>
          </w:tcPr>
          <w:p>
            <w:pPr>
              <w:jc w:val="center"/>
              <w:rPr>
                <w:rFonts w:ascii="宋体" w:hAnsi="宋体" w:cs="宋体"/>
                <w:spacing w:val="-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0" w:type="dxa"/>
            <w:vAlign w:val="center"/>
          </w:tcPr>
          <w:p>
            <w:pPr>
              <w:jc w:val="center"/>
              <w:rPr>
                <w:rFonts w:ascii="宋体" w:hAnsi="宋体" w:cs="宋体"/>
                <w:spacing w:val="-1"/>
                <w:kern w:val="0"/>
              </w:rPr>
            </w:pPr>
            <w:r>
              <w:rPr>
                <w:rFonts w:hint="eastAsia" w:ascii="宋体" w:hAnsi="宋体" w:cs="宋体"/>
                <w:spacing w:val="-1"/>
                <w:kern w:val="0"/>
              </w:rPr>
              <w:t>3</w:t>
            </w:r>
          </w:p>
        </w:tc>
        <w:tc>
          <w:tcPr>
            <w:tcW w:w="1615" w:type="dxa"/>
            <w:vAlign w:val="center"/>
          </w:tcPr>
          <w:p>
            <w:pPr>
              <w:jc w:val="center"/>
              <w:rPr>
                <w:rFonts w:ascii="宋体" w:hAnsi="宋体" w:cs="宋体"/>
                <w:spacing w:val="-1"/>
                <w:kern w:val="0"/>
              </w:rPr>
            </w:pPr>
          </w:p>
        </w:tc>
        <w:tc>
          <w:tcPr>
            <w:tcW w:w="1340" w:type="dxa"/>
            <w:vAlign w:val="center"/>
          </w:tcPr>
          <w:p>
            <w:pPr>
              <w:jc w:val="center"/>
              <w:rPr>
                <w:rFonts w:ascii="宋体" w:hAnsi="宋体" w:cs="宋体"/>
                <w:spacing w:val="-1"/>
                <w:kern w:val="0"/>
              </w:rPr>
            </w:pPr>
          </w:p>
        </w:tc>
        <w:tc>
          <w:tcPr>
            <w:tcW w:w="1485" w:type="dxa"/>
            <w:vAlign w:val="center"/>
          </w:tcPr>
          <w:p>
            <w:pPr>
              <w:jc w:val="center"/>
              <w:rPr>
                <w:rFonts w:ascii="宋体" w:hAnsi="宋体" w:cs="宋体"/>
                <w:spacing w:val="-1"/>
                <w:kern w:val="0"/>
              </w:rPr>
            </w:pPr>
          </w:p>
        </w:tc>
        <w:tc>
          <w:tcPr>
            <w:tcW w:w="1290" w:type="dxa"/>
            <w:vAlign w:val="center"/>
          </w:tcPr>
          <w:p>
            <w:pPr>
              <w:jc w:val="center"/>
              <w:rPr>
                <w:rFonts w:ascii="宋体" w:hAnsi="宋体" w:cs="宋体"/>
                <w:spacing w:val="-1"/>
                <w:kern w:val="0"/>
              </w:rPr>
            </w:pPr>
          </w:p>
        </w:tc>
        <w:tc>
          <w:tcPr>
            <w:tcW w:w="2547" w:type="dxa"/>
            <w:vAlign w:val="center"/>
          </w:tcPr>
          <w:p>
            <w:pPr>
              <w:jc w:val="center"/>
              <w:rPr>
                <w:rFonts w:ascii="宋体" w:hAnsi="宋体" w:cs="宋体"/>
                <w:spacing w:val="-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0" w:type="dxa"/>
            <w:vAlign w:val="center"/>
          </w:tcPr>
          <w:p>
            <w:pPr>
              <w:jc w:val="center"/>
              <w:rPr>
                <w:rFonts w:ascii="宋体" w:hAnsi="宋体" w:cs="宋体"/>
                <w:spacing w:val="-1"/>
                <w:kern w:val="0"/>
              </w:rPr>
            </w:pPr>
            <w:r>
              <w:rPr>
                <w:rFonts w:hint="eastAsia" w:ascii="宋体" w:hAnsi="宋体" w:cs="宋体"/>
                <w:spacing w:val="-1"/>
                <w:kern w:val="0"/>
              </w:rPr>
              <w:t>…</w:t>
            </w:r>
          </w:p>
        </w:tc>
        <w:tc>
          <w:tcPr>
            <w:tcW w:w="1615" w:type="dxa"/>
            <w:vAlign w:val="center"/>
          </w:tcPr>
          <w:p>
            <w:pPr>
              <w:jc w:val="center"/>
              <w:rPr>
                <w:rFonts w:ascii="宋体" w:hAnsi="宋体" w:cs="宋体"/>
                <w:spacing w:val="-1"/>
                <w:kern w:val="0"/>
              </w:rPr>
            </w:pPr>
          </w:p>
        </w:tc>
        <w:tc>
          <w:tcPr>
            <w:tcW w:w="1340" w:type="dxa"/>
            <w:vAlign w:val="center"/>
          </w:tcPr>
          <w:p>
            <w:pPr>
              <w:jc w:val="center"/>
              <w:rPr>
                <w:rFonts w:ascii="宋体" w:hAnsi="宋体" w:cs="宋体"/>
                <w:spacing w:val="-1"/>
                <w:kern w:val="0"/>
              </w:rPr>
            </w:pPr>
          </w:p>
        </w:tc>
        <w:tc>
          <w:tcPr>
            <w:tcW w:w="1485" w:type="dxa"/>
            <w:vAlign w:val="center"/>
          </w:tcPr>
          <w:p>
            <w:pPr>
              <w:jc w:val="center"/>
              <w:rPr>
                <w:rFonts w:ascii="宋体" w:hAnsi="宋体" w:cs="宋体"/>
                <w:spacing w:val="-1"/>
                <w:kern w:val="0"/>
              </w:rPr>
            </w:pPr>
          </w:p>
        </w:tc>
        <w:tc>
          <w:tcPr>
            <w:tcW w:w="1290" w:type="dxa"/>
            <w:vAlign w:val="center"/>
          </w:tcPr>
          <w:p>
            <w:pPr>
              <w:jc w:val="center"/>
              <w:rPr>
                <w:rFonts w:ascii="宋体" w:hAnsi="宋体" w:cs="宋体"/>
                <w:spacing w:val="-1"/>
                <w:kern w:val="0"/>
              </w:rPr>
            </w:pPr>
          </w:p>
        </w:tc>
        <w:tc>
          <w:tcPr>
            <w:tcW w:w="2547" w:type="dxa"/>
            <w:vAlign w:val="center"/>
          </w:tcPr>
          <w:p>
            <w:pPr>
              <w:jc w:val="center"/>
              <w:rPr>
                <w:rFonts w:ascii="宋体" w:hAnsi="宋体" w:cs="宋体"/>
                <w:spacing w:val="-1"/>
                <w:kern w:val="0"/>
              </w:rPr>
            </w:pPr>
          </w:p>
        </w:tc>
      </w:tr>
    </w:tbl>
    <w:p>
      <w:pPr>
        <w:widowControl/>
        <w:snapToGrid w:val="0"/>
        <w:jc w:val="left"/>
        <w:rPr>
          <w:rFonts w:ascii="宋体" w:hAnsi="宋体"/>
          <w:color w:val="0000FF"/>
          <w:kern w:val="0"/>
        </w:rPr>
      </w:pPr>
    </w:p>
    <w:p>
      <w:pPr>
        <w:widowControl/>
        <w:snapToGrid w:val="0"/>
        <w:ind w:firstLine="420" w:firstLineChars="200"/>
        <w:jc w:val="left"/>
        <w:rPr>
          <w:rFonts w:ascii="宋体" w:hAnsi="宋体"/>
          <w:color w:val="0000FF"/>
          <w:kern w:val="0"/>
        </w:rPr>
      </w:pPr>
      <w:r>
        <w:rPr>
          <w:rFonts w:hint="eastAsia" w:ascii="宋体" w:hAnsi="宋体"/>
          <w:color w:val="0000FF"/>
          <w:kern w:val="0"/>
        </w:rPr>
        <w:t>特别提示：投标人须按本招标文件中“供应商同类项目业绩情况”这一评审因素要求，提供相关证明资料。</w:t>
      </w:r>
    </w:p>
    <w:p>
      <w:pPr>
        <w:pStyle w:val="13"/>
        <w:kinsoku w:val="0"/>
        <w:overflowPunct w:val="0"/>
        <w:spacing w:before="10"/>
        <w:ind w:left="1420" w:hanging="580"/>
        <w:rPr>
          <w:rFonts w:ascii="宋体" w:hAnsi="宋体" w:cs="宋体"/>
          <w:color w:val="0000FF"/>
          <w:sz w:val="29"/>
          <w:szCs w:val="29"/>
        </w:rPr>
      </w:pPr>
    </w:p>
    <w:p>
      <w:pPr>
        <w:jc w:val="center"/>
        <w:rPr>
          <w:rFonts w:ascii="宋体" w:hAnsi="宋体"/>
        </w:rPr>
      </w:pPr>
      <w:r>
        <w:rPr>
          <w:rFonts w:hint="eastAsia" w:ascii="宋体" w:hAnsi="宋体"/>
        </w:rPr>
        <w:t xml:space="preserve">                                                  </w:t>
      </w:r>
      <w:r>
        <w:rPr>
          <w:rFonts w:ascii="宋体" w:hAnsi="宋体"/>
        </w:rPr>
        <w:t>投标人</w:t>
      </w:r>
      <w:r>
        <w:rPr>
          <w:rFonts w:hint="eastAsia" w:ascii="宋体" w:hAnsi="宋体"/>
        </w:rPr>
        <w:t>（</w:t>
      </w:r>
      <w:r>
        <w:rPr>
          <w:rFonts w:ascii="宋体" w:hAnsi="宋体"/>
        </w:rPr>
        <w:t>签章</w:t>
      </w:r>
      <w:r>
        <w:rPr>
          <w:rFonts w:hint="eastAsia" w:ascii="宋体" w:hAnsi="宋体"/>
        </w:rPr>
        <w:t>）</w:t>
      </w:r>
      <w:r>
        <w:rPr>
          <w:rFonts w:ascii="宋体" w:hAnsi="宋体"/>
        </w:rPr>
        <w:t>：______________</w:t>
      </w:r>
    </w:p>
    <w:p/>
    <w:p>
      <w:pPr>
        <w:ind w:firstLine="5670" w:firstLineChars="2700"/>
        <w:rPr>
          <w:rFonts w:ascii="宋体" w:hAnsi="宋体"/>
        </w:rPr>
        <w:sectPr>
          <w:footerReference r:id="rId9" w:type="default"/>
          <w:pgSz w:w="11906" w:h="16838"/>
          <w:pgMar w:top="1418" w:right="1588" w:bottom="1418" w:left="1365" w:header="851" w:footer="907" w:gutter="0"/>
          <w:cols w:space="720" w:num="1"/>
          <w:titlePg/>
          <w:docGrid w:type="lines" w:linePitch="290" w:charSpace="0"/>
        </w:sect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
      <w:pPr>
        <w:spacing w:before="72" w:beforeLines="25" w:after="72" w:afterLines="25"/>
        <w:ind w:firstLine="2409" w:firstLineChars="1000"/>
        <w:rPr>
          <w:rFonts w:ascii="宋体" w:hAnsi="宋体"/>
          <w:b/>
          <w:bCs/>
          <w:color w:val="000000"/>
          <w:sz w:val="24"/>
        </w:rPr>
      </w:pPr>
      <w:r>
        <w:rPr>
          <w:rFonts w:hint="eastAsia" w:ascii="宋体" w:hAnsi="宋体"/>
          <w:b/>
          <w:bCs/>
          <w:color w:val="000000"/>
          <w:sz w:val="24"/>
        </w:rPr>
        <w:t>附件九、拟安排的项目负责人情况</w:t>
      </w:r>
    </w:p>
    <w:p>
      <w:pPr>
        <w:rPr>
          <w:rFonts w:ascii="宋体" w:hAnsi="宋体"/>
        </w:rPr>
      </w:pPr>
    </w:p>
    <w:tbl>
      <w:tblPr>
        <w:tblStyle w:val="39"/>
        <w:tblW w:w="0" w:type="auto"/>
        <w:jc w:val="center"/>
        <w:tblLayout w:type="fixed"/>
        <w:tblCellMar>
          <w:top w:w="0" w:type="dxa"/>
          <w:left w:w="108" w:type="dxa"/>
          <w:bottom w:w="0" w:type="dxa"/>
          <w:right w:w="108" w:type="dxa"/>
        </w:tblCellMar>
      </w:tblPr>
      <w:tblGrid>
        <w:gridCol w:w="1228"/>
        <w:gridCol w:w="862"/>
        <w:gridCol w:w="1331"/>
        <w:gridCol w:w="959"/>
        <w:gridCol w:w="787"/>
        <w:gridCol w:w="1638"/>
        <w:gridCol w:w="2144"/>
      </w:tblGrid>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姓名</w:t>
            </w:r>
          </w:p>
        </w:tc>
        <w:tc>
          <w:tcPr>
            <w:tcW w:w="2193"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cs="宋体"/>
              </w:rPr>
            </w:pPr>
          </w:p>
        </w:tc>
        <w:tc>
          <w:tcPr>
            <w:tcW w:w="959"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年龄</w:t>
            </w:r>
          </w:p>
        </w:tc>
        <w:tc>
          <w:tcPr>
            <w:tcW w:w="787"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身份证号码</w:t>
            </w: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毕业学校</w:t>
            </w:r>
          </w:p>
        </w:tc>
        <w:tc>
          <w:tcPr>
            <w:tcW w:w="3939" w:type="dxa"/>
            <w:gridSpan w:val="4"/>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p>
        </w:tc>
        <w:tc>
          <w:tcPr>
            <w:tcW w:w="163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专     业</w:t>
            </w: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学位</w:t>
            </w:r>
          </w:p>
        </w:tc>
        <w:tc>
          <w:tcPr>
            <w:tcW w:w="2193" w:type="dxa"/>
            <w:gridSpan w:val="2"/>
            <w:tcBorders>
              <w:top w:val="single" w:color="auto" w:sz="6" w:space="0"/>
              <w:left w:val="single" w:color="auto" w:sz="6" w:space="0"/>
              <w:bottom w:val="single" w:color="auto" w:sz="6" w:space="0"/>
              <w:right w:val="single" w:color="auto" w:sz="6" w:space="0"/>
            </w:tcBorders>
          </w:tcPr>
          <w:p>
            <w:pPr>
              <w:spacing w:line="440" w:lineRule="exact"/>
              <w:rPr>
                <w:rFonts w:ascii="宋体" w:hAnsi="宋体" w:cs="宋体"/>
              </w:rPr>
            </w:pPr>
          </w:p>
        </w:tc>
        <w:tc>
          <w:tcPr>
            <w:tcW w:w="959"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职称</w:t>
            </w:r>
          </w:p>
        </w:tc>
        <w:tc>
          <w:tcPr>
            <w:tcW w:w="787"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职     务</w:t>
            </w: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bCs/>
              </w:rPr>
            </w:pPr>
            <w:r>
              <w:rPr>
                <w:rFonts w:hint="eastAsia" w:ascii="宋体" w:hAnsi="宋体" w:cs="宋体"/>
                <w:b/>
                <w:bCs/>
              </w:rPr>
              <w:t>服务时间</w:t>
            </w: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tcPr>
          <w:p>
            <w:pPr>
              <w:spacing w:line="440" w:lineRule="exact"/>
              <w:rPr>
                <w:rFonts w:ascii="宋体" w:hAnsi="宋体" w:cs="宋体"/>
                <w:b/>
                <w:bCs/>
              </w:rPr>
            </w:pPr>
            <w:r>
              <w:rPr>
                <w:rFonts w:hint="eastAsia" w:ascii="宋体" w:hAnsi="宋体" w:cs="宋体"/>
                <w:b/>
                <w:bCs/>
              </w:rPr>
              <w:t>注册证书及注册号</w:t>
            </w:r>
          </w:p>
        </w:tc>
        <w:tc>
          <w:tcPr>
            <w:tcW w:w="862"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序号</w:t>
            </w:r>
          </w:p>
        </w:tc>
        <w:tc>
          <w:tcPr>
            <w:tcW w:w="3077"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证书名</w:t>
            </w: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bCs/>
              </w:rPr>
            </w:pPr>
            <w:r>
              <w:rPr>
                <w:rFonts w:hint="eastAsia" w:ascii="宋体" w:hAnsi="宋体" w:cs="宋体"/>
                <w:b/>
                <w:bCs/>
              </w:rPr>
              <w:t>证书号</w:t>
            </w: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tcPr>
          <w:p>
            <w:pPr>
              <w:spacing w:line="440" w:lineRule="exact"/>
              <w:jc w:val="center"/>
              <w:rPr>
                <w:rFonts w:ascii="宋体" w:hAnsi="宋体" w:cs="宋体"/>
                <w:b/>
                <w:bCs/>
              </w:rPr>
            </w:pPr>
          </w:p>
        </w:tc>
        <w:tc>
          <w:tcPr>
            <w:tcW w:w="862"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r>
              <w:rPr>
                <w:rFonts w:hint="eastAsia" w:ascii="宋体" w:hAnsi="宋体" w:cs="宋体"/>
              </w:rPr>
              <w:t>1</w:t>
            </w:r>
          </w:p>
        </w:tc>
        <w:tc>
          <w:tcPr>
            <w:tcW w:w="3077"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tcPr>
          <w:p>
            <w:pPr>
              <w:spacing w:line="440" w:lineRule="exact"/>
              <w:jc w:val="center"/>
              <w:rPr>
                <w:rFonts w:ascii="宋体" w:hAnsi="宋体" w:cs="宋体"/>
                <w:b/>
                <w:bCs/>
              </w:rPr>
            </w:pPr>
          </w:p>
        </w:tc>
        <w:tc>
          <w:tcPr>
            <w:tcW w:w="862"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r>
              <w:rPr>
                <w:rFonts w:hint="eastAsia" w:ascii="宋体" w:hAnsi="宋体" w:cs="宋体"/>
              </w:rPr>
              <w:t>2</w:t>
            </w:r>
          </w:p>
        </w:tc>
        <w:tc>
          <w:tcPr>
            <w:tcW w:w="3077"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163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944" w:hRule="atLeast"/>
          <w:jc w:val="center"/>
        </w:trPr>
        <w:tc>
          <w:tcPr>
            <w:tcW w:w="1228"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bCs/>
              </w:rPr>
            </w:pPr>
            <w:r>
              <w:rPr>
                <w:rFonts w:hint="eastAsia" w:ascii="宋体" w:hAnsi="宋体" w:cs="宋体"/>
                <w:b/>
                <w:bCs/>
              </w:rPr>
              <w:t>主要经历</w:t>
            </w:r>
          </w:p>
        </w:tc>
        <w:tc>
          <w:tcPr>
            <w:tcW w:w="7721" w:type="dxa"/>
            <w:gridSpan w:val="6"/>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日期</w:t>
            </w:r>
          </w:p>
        </w:tc>
        <w:tc>
          <w:tcPr>
            <w:tcW w:w="3152"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担任何职务</w:t>
            </w: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b/>
                <w:bCs/>
              </w:rPr>
            </w:pPr>
            <w:r>
              <w:rPr>
                <w:rFonts w:hint="eastAsia" w:ascii="宋体" w:hAnsi="宋体" w:cs="宋体"/>
                <w:b/>
                <w:bCs/>
              </w:rPr>
              <w:t>备注</w:t>
            </w: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3152"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2425"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r>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3152" w:type="dxa"/>
            <w:gridSpan w:val="3"/>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2425" w:type="dxa"/>
            <w:gridSpan w:val="2"/>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c>
          <w:tcPr>
            <w:tcW w:w="2144" w:type="dxa"/>
            <w:tcBorders>
              <w:top w:val="single" w:color="auto" w:sz="6" w:space="0"/>
              <w:left w:val="single" w:color="auto" w:sz="6" w:space="0"/>
              <w:bottom w:val="single" w:color="auto" w:sz="6" w:space="0"/>
              <w:right w:val="single" w:color="auto" w:sz="6" w:space="0"/>
            </w:tcBorders>
          </w:tcPr>
          <w:p>
            <w:pPr>
              <w:spacing w:line="440" w:lineRule="exact"/>
              <w:jc w:val="center"/>
              <w:rPr>
                <w:rFonts w:ascii="宋体" w:hAnsi="宋体" w:cs="宋体"/>
              </w:rPr>
            </w:pPr>
          </w:p>
        </w:tc>
      </w:tr>
    </w:tbl>
    <w:p>
      <w:pPr>
        <w:autoSpaceDE w:val="0"/>
        <w:autoSpaceDN w:val="0"/>
        <w:adjustRightInd w:val="0"/>
        <w:snapToGrid w:val="0"/>
        <w:spacing w:line="240" w:lineRule="atLeast"/>
        <w:rPr>
          <w:rFonts w:ascii="宋体" w:hAnsi="宋体" w:cs="宋体"/>
          <w:b/>
          <w:spacing w:val="10"/>
        </w:rPr>
      </w:pPr>
    </w:p>
    <w:p>
      <w:pPr>
        <w:spacing w:before="72" w:beforeLines="25" w:after="72" w:afterLines="25"/>
        <w:rPr>
          <w:rFonts w:ascii="宋体" w:hAnsi="宋体" w:cs="宋体"/>
          <w:color w:val="000000"/>
        </w:rPr>
      </w:pPr>
      <w:r>
        <w:rPr>
          <w:rFonts w:hint="eastAsia" w:ascii="宋体" w:hAnsi="宋体" w:cs="宋体"/>
          <w:color w:val="000000"/>
        </w:rPr>
        <w:t>特别提示：</w:t>
      </w:r>
    </w:p>
    <w:p>
      <w:pPr>
        <w:spacing w:before="72" w:beforeLines="25" w:after="72" w:afterLines="25"/>
        <w:ind w:firstLine="420" w:firstLineChars="200"/>
        <w:rPr>
          <w:rFonts w:ascii="宋体" w:hAnsi="宋体" w:cs="宋体"/>
          <w:b/>
          <w:bCs/>
        </w:rPr>
      </w:pPr>
      <w:r>
        <w:rPr>
          <w:rFonts w:hint="eastAsia" w:ascii="宋体" w:hAnsi="宋体" w:cs="宋体"/>
          <w:color w:val="000000"/>
        </w:rPr>
        <w:t>投标人须按本招标文件评标信息中“拟安排的项目负责人情况（仅限一人）”这一评审因素要求，提供相关证明资料如：</w:t>
      </w:r>
      <w:r>
        <w:rPr>
          <w:rFonts w:hint="eastAsia" w:ascii="宋体" w:hAnsi="宋体" w:cs="宋体"/>
          <w:b/>
          <w:spacing w:val="10"/>
        </w:rPr>
        <w:t>身份证复印件、职称证书复印件、</w:t>
      </w:r>
      <w:r>
        <w:rPr>
          <w:rFonts w:hint="eastAsia" w:ascii="宋体" w:hAnsi="宋体" w:cs="宋体"/>
          <w:b/>
          <w:bCs/>
        </w:rPr>
        <w:t>国家规定或行业相关上岗、执业资格证书复印件、本单位社保缴纳证明、</w:t>
      </w:r>
      <w:r>
        <w:rPr>
          <w:rFonts w:hint="eastAsia" w:ascii="宋体" w:hAnsi="宋体" w:cs="宋体"/>
          <w:b/>
          <w:spacing w:val="10"/>
        </w:rPr>
        <w:t>相关业绩证明材料复印件等</w:t>
      </w:r>
      <w:r>
        <w:rPr>
          <w:rFonts w:hint="eastAsia" w:ascii="宋体" w:hAnsi="宋体" w:cs="宋体"/>
          <w:b/>
          <w:bCs/>
        </w:rPr>
        <w:t>。</w:t>
      </w:r>
    </w:p>
    <w:p>
      <w:pPr>
        <w:pStyle w:val="13"/>
        <w:ind w:left="1260" w:hanging="420"/>
        <w:rPr>
          <w:rFonts w:ascii="宋体" w:hAnsi="宋体"/>
        </w:rPr>
      </w:pPr>
    </w:p>
    <w:p>
      <w:pPr>
        <w:autoSpaceDE w:val="0"/>
        <w:autoSpaceDN w:val="0"/>
        <w:adjustRightInd w:val="0"/>
        <w:snapToGrid w:val="0"/>
        <w:spacing w:line="240" w:lineRule="atLeast"/>
        <w:rPr>
          <w:rFonts w:ascii="宋体" w:hAnsi="宋体" w:cs="宋体"/>
          <w:color w:val="0000FF"/>
        </w:rPr>
      </w:pPr>
      <w:r>
        <w:rPr>
          <w:rFonts w:hint="eastAsia" w:ascii="宋体" w:hAnsi="宋体" w:cs="宋体"/>
          <w:color w:val="0000FF"/>
        </w:rPr>
        <w:t>特别要求：</w:t>
      </w:r>
    </w:p>
    <w:p>
      <w:pPr>
        <w:autoSpaceDE w:val="0"/>
        <w:autoSpaceDN w:val="0"/>
        <w:adjustRightInd w:val="0"/>
        <w:snapToGrid w:val="0"/>
        <w:spacing w:line="240" w:lineRule="atLeast"/>
        <w:ind w:firstLine="420" w:firstLineChars="200"/>
        <w:rPr>
          <w:rFonts w:ascii="宋体" w:hAnsi="宋体" w:cs="宋体"/>
          <w:color w:val="0000FF"/>
          <w:sz w:val="24"/>
        </w:rPr>
      </w:pPr>
      <w:r>
        <w:rPr>
          <w:rFonts w:hint="eastAsia" w:ascii="宋体" w:hAnsi="宋体" w:cs="宋体"/>
          <w:color w:val="0000FF"/>
          <w:kern w:val="1"/>
        </w:rPr>
        <w:t>拟投入本项目的工作人员须满足本项目的工作要求，在合同履行过程中，中标人须根据本项目的实际需求或采购人的进度要求，对人员进行合理的增加，费用均包含在投标报价中。</w:t>
      </w:r>
    </w:p>
    <w:p>
      <w:pPr>
        <w:spacing w:before="72" w:beforeLines="25" w:after="72" w:afterLines="25"/>
        <w:rPr>
          <w:rFonts w:ascii="宋体" w:hAnsi="宋体"/>
          <w:color w:val="000000"/>
          <w:sz w:val="24"/>
        </w:rPr>
      </w:pPr>
    </w:p>
    <w:p>
      <w:pPr>
        <w:rPr>
          <w:rFonts w:ascii="宋体" w:hAnsi="宋体"/>
          <w:color w:val="000000"/>
          <w:sz w:val="24"/>
        </w:rPr>
      </w:pPr>
    </w:p>
    <w:p>
      <w:pPr>
        <w:ind w:firstLine="480"/>
        <w:rPr>
          <w:color w:val="000000"/>
          <w:sz w:val="24"/>
        </w:rPr>
      </w:pPr>
    </w:p>
    <w:p>
      <w:pPr>
        <w:rPr>
          <w:rFonts w:ascii="宋体" w:hAnsi="宋体"/>
          <w:color w:val="000000"/>
          <w:sz w:val="24"/>
        </w:rPr>
      </w:pPr>
    </w:p>
    <w:p>
      <w:pPr>
        <w:ind w:firstLine="480"/>
        <w:rPr>
          <w:color w:val="000000"/>
          <w:sz w:val="24"/>
        </w:rPr>
      </w:pPr>
    </w:p>
    <w:p>
      <w:pPr>
        <w:rPr>
          <w:rFonts w:ascii="宋体" w:hAnsi="宋体"/>
          <w:color w:val="000000"/>
          <w:sz w:val="24"/>
        </w:rPr>
      </w:pPr>
    </w:p>
    <w:p>
      <w:pPr>
        <w:rPr>
          <w:rFonts w:ascii="宋体" w:hAnsi="宋体"/>
        </w:rPr>
      </w:pPr>
    </w:p>
    <w:p>
      <w:pPr>
        <w:spacing w:before="72" w:beforeLines="25" w:after="72" w:afterLines="25"/>
        <w:rPr>
          <w:rFonts w:ascii="宋体" w:hAnsi="宋体"/>
          <w:b/>
          <w:bCs/>
          <w:color w:val="000000"/>
          <w:sz w:val="24"/>
        </w:rPr>
      </w:pPr>
      <w:r>
        <w:rPr>
          <w:rFonts w:hint="eastAsia" w:ascii="宋体" w:hAnsi="宋体"/>
          <w:b/>
          <w:bCs/>
          <w:color w:val="000000"/>
          <w:sz w:val="24"/>
        </w:rPr>
        <w:t>附件十、拟安排的项目主要团队成员（主要技术人员）情况（项目负责人除外）</w:t>
      </w:r>
    </w:p>
    <w:p>
      <w:pPr>
        <w:rPr>
          <w:rFonts w:ascii="宋体" w:hAnsi="宋体"/>
        </w:rPr>
      </w:pPr>
    </w:p>
    <w:tbl>
      <w:tblPr>
        <w:tblStyle w:val="39"/>
        <w:tblpPr w:leftFromText="180" w:rightFromText="180" w:vertAnchor="text" w:horzAnchor="page" w:tblpXSpec="center" w:tblpY="2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78"/>
        <w:gridCol w:w="1019"/>
        <w:gridCol w:w="1157"/>
        <w:gridCol w:w="1250"/>
        <w:gridCol w:w="1197"/>
        <w:gridCol w:w="134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17" w:type="dxa"/>
            <w:vAlign w:val="center"/>
          </w:tcPr>
          <w:p>
            <w:pPr>
              <w:spacing w:line="440" w:lineRule="exact"/>
              <w:jc w:val="center"/>
              <w:rPr>
                <w:rFonts w:ascii="宋体" w:hAnsi="宋体" w:cs="宋体"/>
              </w:rPr>
            </w:pPr>
            <w:r>
              <w:rPr>
                <w:rFonts w:hint="eastAsia" w:ascii="宋体" w:hAnsi="宋体" w:cs="宋体"/>
              </w:rPr>
              <w:t>序号</w:t>
            </w:r>
          </w:p>
        </w:tc>
        <w:tc>
          <w:tcPr>
            <w:tcW w:w="1078" w:type="dxa"/>
            <w:vAlign w:val="center"/>
          </w:tcPr>
          <w:p>
            <w:pPr>
              <w:spacing w:line="440" w:lineRule="exact"/>
              <w:jc w:val="center"/>
              <w:rPr>
                <w:rFonts w:ascii="宋体" w:hAnsi="宋体" w:cs="宋体"/>
              </w:rPr>
            </w:pPr>
            <w:r>
              <w:rPr>
                <w:rFonts w:hint="eastAsia" w:ascii="宋体" w:hAnsi="宋体" w:cs="宋体"/>
              </w:rPr>
              <w:t>姓名</w:t>
            </w:r>
          </w:p>
        </w:tc>
        <w:tc>
          <w:tcPr>
            <w:tcW w:w="1019" w:type="dxa"/>
            <w:vAlign w:val="center"/>
          </w:tcPr>
          <w:p>
            <w:pPr>
              <w:spacing w:line="440" w:lineRule="exact"/>
              <w:jc w:val="center"/>
              <w:rPr>
                <w:rFonts w:ascii="宋体" w:hAnsi="宋体" w:cs="宋体"/>
              </w:rPr>
            </w:pPr>
            <w:r>
              <w:rPr>
                <w:rFonts w:hint="eastAsia" w:ascii="宋体" w:hAnsi="宋体" w:cs="宋体"/>
              </w:rPr>
              <w:t>性别</w:t>
            </w:r>
          </w:p>
        </w:tc>
        <w:tc>
          <w:tcPr>
            <w:tcW w:w="1157" w:type="dxa"/>
            <w:vAlign w:val="center"/>
          </w:tcPr>
          <w:p>
            <w:pPr>
              <w:spacing w:line="440" w:lineRule="exact"/>
              <w:jc w:val="center"/>
              <w:rPr>
                <w:rFonts w:ascii="宋体" w:hAnsi="宋体" w:cs="宋体"/>
              </w:rPr>
            </w:pPr>
            <w:r>
              <w:rPr>
                <w:rFonts w:hint="eastAsia" w:ascii="宋体" w:hAnsi="宋体" w:cs="宋体"/>
              </w:rPr>
              <w:t>职称</w:t>
            </w:r>
          </w:p>
        </w:tc>
        <w:tc>
          <w:tcPr>
            <w:tcW w:w="1250" w:type="dxa"/>
            <w:vAlign w:val="center"/>
          </w:tcPr>
          <w:p>
            <w:pPr>
              <w:spacing w:line="440" w:lineRule="exact"/>
              <w:jc w:val="center"/>
              <w:rPr>
                <w:rFonts w:ascii="宋体" w:hAnsi="宋体" w:cs="宋体"/>
              </w:rPr>
            </w:pPr>
            <w:r>
              <w:rPr>
                <w:rFonts w:hint="eastAsia" w:ascii="宋体" w:hAnsi="宋体" w:cs="宋体"/>
              </w:rPr>
              <w:t>目前从事的岗位</w:t>
            </w:r>
          </w:p>
        </w:tc>
        <w:tc>
          <w:tcPr>
            <w:tcW w:w="1197" w:type="dxa"/>
            <w:vAlign w:val="center"/>
          </w:tcPr>
          <w:p>
            <w:pPr>
              <w:spacing w:line="440" w:lineRule="exact"/>
              <w:jc w:val="center"/>
              <w:rPr>
                <w:rFonts w:ascii="宋体" w:hAnsi="宋体" w:cs="宋体"/>
              </w:rPr>
            </w:pPr>
            <w:r>
              <w:rPr>
                <w:rFonts w:hint="eastAsia" w:ascii="宋体" w:hAnsi="宋体" w:cs="宋体"/>
              </w:rPr>
              <w:t>从业资格证书</w:t>
            </w:r>
          </w:p>
        </w:tc>
        <w:tc>
          <w:tcPr>
            <w:tcW w:w="1344" w:type="dxa"/>
            <w:vAlign w:val="center"/>
          </w:tcPr>
          <w:p>
            <w:pPr>
              <w:spacing w:line="440" w:lineRule="exact"/>
              <w:jc w:val="center"/>
              <w:rPr>
                <w:rFonts w:ascii="宋体" w:hAnsi="宋体" w:cs="宋体"/>
              </w:rPr>
            </w:pPr>
            <w:r>
              <w:rPr>
                <w:rFonts w:hint="eastAsia" w:ascii="宋体" w:hAnsi="宋体" w:cs="宋体"/>
              </w:rPr>
              <w:t>从事该岗位的时间</w:t>
            </w:r>
          </w:p>
        </w:tc>
        <w:tc>
          <w:tcPr>
            <w:tcW w:w="1601" w:type="dxa"/>
            <w:vAlign w:val="center"/>
          </w:tcPr>
          <w:p>
            <w:pPr>
              <w:spacing w:line="440" w:lineRule="exact"/>
              <w:jc w:val="center"/>
              <w:rPr>
                <w:rFonts w:ascii="宋体" w:hAnsi="宋体" w:cs="宋体"/>
              </w:rPr>
            </w:pPr>
            <w:r>
              <w:rPr>
                <w:rFonts w:hint="eastAsia" w:ascii="宋体" w:hAnsi="宋体" w:cs="宋体"/>
              </w:rPr>
              <w:t>项目业绩案列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517" w:type="dxa"/>
          </w:tcPr>
          <w:p>
            <w:pPr>
              <w:spacing w:line="440" w:lineRule="exact"/>
              <w:jc w:val="center"/>
              <w:rPr>
                <w:rFonts w:ascii="宋体" w:hAnsi="宋体" w:cs="宋体"/>
              </w:rPr>
            </w:pPr>
            <w:r>
              <w:rPr>
                <w:rFonts w:hint="eastAsia" w:ascii="宋体" w:hAnsi="宋体" w:cs="宋体"/>
              </w:rPr>
              <w:t>1</w:t>
            </w:r>
          </w:p>
        </w:tc>
        <w:tc>
          <w:tcPr>
            <w:tcW w:w="1078" w:type="dxa"/>
          </w:tcPr>
          <w:p>
            <w:pPr>
              <w:spacing w:line="440" w:lineRule="exact"/>
              <w:jc w:val="center"/>
              <w:rPr>
                <w:rFonts w:ascii="宋体" w:hAnsi="宋体" w:cs="宋体"/>
              </w:rPr>
            </w:pPr>
          </w:p>
        </w:tc>
        <w:tc>
          <w:tcPr>
            <w:tcW w:w="1019" w:type="dxa"/>
          </w:tcPr>
          <w:p>
            <w:pPr>
              <w:spacing w:line="440" w:lineRule="exact"/>
              <w:jc w:val="center"/>
              <w:rPr>
                <w:rFonts w:ascii="宋体" w:hAnsi="宋体" w:cs="宋体"/>
              </w:rPr>
            </w:pPr>
          </w:p>
        </w:tc>
        <w:tc>
          <w:tcPr>
            <w:tcW w:w="1157" w:type="dxa"/>
          </w:tcPr>
          <w:p>
            <w:pPr>
              <w:spacing w:line="440" w:lineRule="exact"/>
              <w:jc w:val="center"/>
              <w:rPr>
                <w:rFonts w:ascii="宋体" w:hAnsi="宋体" w:cs="宋体"/>
              </w:rPr>
            </w:pPr>
          </w:p>
        </w:tc>
        <w:tc>
          <w:tcPr>
            <w:tcW w:w="1250" w:type="dxa"/>
          </w:tcPr>
          <w:p>
            <w:pPr>
              <w:spacing w:line="440" w:lineRule="exact"/>
              <w:jc w:val="center"/>
              <w:rPr>
                <w:rFonts w:ascii="宋体" w:hAnsi="宋体" w:cs="宋体"/>
              </w:rPr>
            </w:pPr>
          </w:p>
        </w:tc>
        <w:tc>
          <w:tcPr>
            <w:tcW w:w="1197" w:type="dxa"/>
          </w:tcPr>
          <w:p>
            <w:pPr>
              <w:spacing w:line="440" w:lineRule="exact"/>
              <w:jc w:val="center"/>
              <w:rPr>
                <w:rFonts w:ascii="宋体" w:hAnsi="宋体" w:cs="宋体"/>
              </w:rPr>
            </w:pPr>
          </w:p>
        </w:tc>
        <w:tc>
          <w:tcPr>
            <w:tcW w:w="1344" w:type="dxa"/>
          </w:tcPr>
          <w:p>
            <w:pPr>
              <w:spacing w:line="440" w:lineRule="exact"/>
              <w:jc w:val="center"/>
              <w:rPr>
                <w:rFonts w:ascii="宋体" w:hAnsi="宋体" w:cs="宋体"/>
              </w:rPr>
            </w:pPr>
          </w:p>
        </w:tc>
        <w:tc>
          <w:tcPr>
            <w:tcW w:w="1601"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dxa"/>
          </w:tcPr>
          <w:p>
            <w:pPr>
              <w:spacing w:line="440" w:lineRule="exact"/>
              <w:jc w:val="center"/>
              <w:rPr>
                <w:rFonts w:ascii="宋体" w:hAnsi="宋体" w:cs="宋体"/>
              </w:rPr>
            </w:pPr>
            <w:r>
              <w:rPr>
                <w:rFonts w:hint="eastAsia" w:ascii="宋体" w:hAnsi="宋体" w:cs="宋体"/>
              </w:rPr>
              <w:t>2</w:t>
            </w:r>
          </w:p>
        </w:tc>
        <w:tc>
          <w:tcPr>
            <w:tcW w:w="1078" w:type="dxa"/>
          </w:tcPr>
          <w:p>
            <w:pPr>
              <w:spacing w:line="440" w:lineRule="exact"/>
              <w:jc w:val="center"/>
              <w:rPr>
                <w:rFonts w:ascii="宋体" w:hAnsi="宋体" w:cs="宋体"/>
              </w:rPr>
            </w:pPr>
          </w:p>
        </w:tc>
        <w:tc>
          <w:tcPr>
            <w:tcW w:w="1019" w:type="dxa"/>
          </w:tcPr>
          <w:p>
            <w:pPr>
              <w:spacing w:line="440" w:lineRule="exact"/>
              <w:jc w:val="center"/>
              <w:rPr>
                <w:rFonts w:ascii="宋体" w:hAnsi="宋体" w:cs="宋体"/>
              </w:rPr>
            </w:pPr>
          </w:p>
        </w:tc>
        <w:tc>
          <w:tcPr>
            <w:tcW w:w="1157" w:type="dxa"/>
          </w:tcPr>
          <w:p>
            <w:pPr>
              <w:spacing w:line="440" w:lineRule="exact"/>
              <w:jc w:val="center"/>
              <w:rPr>
                <w:rFonts w:ascii="宋体" w:hAnsi="宋体" w:cs="宋体"/>
              </w:rPr>
            </w:pPr>
          </w:p>
        </w:tc>
        <w:tc>
          <w:tcPr>
            <w:tcW w:w="1250" w:type="dxa"/>
          </w:tcPr>
          <w:p>
            <w:pPr>
              <w:spacing w:line="440" w:lineRule="exact"/>
              <w:jc w:val="center"/>
              <w:rPr>
                <w:rFonts w:ascii="宋体" w:hAnsi="宋体" w:cs="宋体"/>
              </w:rPr>
            </w:pPr>
          </w:p>
        </w:tc>
        <w:tc>
          <w:tcPr>
            <w:tcW w:w="1197" w:type="dxa"/>
          </w:tcPr>
          <w:p>
            <w:pPr>
              <w:spacing w:line="440" w:lineRule="exact"/>
              <w:jc w:val="center"/>
              <w:rPr>
                <w:rFonts w:ascii="宋体" w:hAnsi="宋体" w:cs="宋体"/>
              </w:rPr>
            </w:pPr>
          </w:p>
        </w:tc>
        <w:tc>
          <w:tcPr>
            <w:tcW w:w="1344" w:type="dxa"/>
          </w:tcPr>
          <w:p>
            <w:pPr>
              <w:spacing w:line="440" w:lineRule="exact"/>
              <w:jc w:val="center"/>
              <w:rPr>
                <w:rFonts w:ascii="宋体" w:hAnsi="宋体" w:cs="宋体"/>
              </w:rPr>
            </w:pPr>
          </w:p>
        </w:tc>
        <w:tc>
          <w:tcPr>
            <w:tcW w:w="1601"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517" w:type="dxa"/>
          </w:tcPr>
          <w:p>
            <w:pPr>
              <w:spacing w:line="440" w:lineRule="exact"/>
              <w:jc w:val="center"/>
              <w:rPr>
                <w:rFonts w:ascii="宋体" w:hAnsi="宋体" w:cs="宋体"/>
              </w:rPr>
            </w:pPr>
            <w:r>
              <w:rPr>
                <w:rFonts w:hint="eastAsia" w:ascii="宋体" w:hAnsi="宋体" w:cs="宋体"/>
              </w:rPr>
              <w:t>3</w:t>
            </w:r>
          </w:p>
        </w:tc>
        <w:tc>
          <w:tcPr>
            <w:tcW w:w="1078" w:type="dxa"/>
          </w:tcPr>
          <w:p>
            <w:pPr>
              <w:spacing w:line="440" w:lineRule="exact"/>
              <w:jc w:val="center"/>
              <w:rPr>
                <w:rFonts w:ascii="宋体" w:hAnsi="宋体" w:cs="宋体"/>
              </w:rPr>
            </w:pPr>
          </w:p>
        </w:tc>
        <w:tc>
          <w:tcPr>
            <w:tcW w:w="1019" w:type="dxa"/>
          </w:tcPr>
          <w:p>
            <w:pPr>
              <w:spacing w:line="440" w:lineRule="exact"/>
              <w:jc w:val="center"/>
              <w:rPr>
                <w:rFonts w:ascii="宋体" w:hAnsi="宋体" w:cs="宋体"/>
              </w:rPr>
            </w:pPr>
          </w:p>
        </w:tc>
        <w:tc>
          <w:tcPr>
            <w:tcW w:w="1157" w:type="dxa"/>
          </w:tcPr>
          <w:p>
            <w:pPr>
              <w:spacing w:line="440" w:lineRule="exact"/>
              <w:jc w:val="center"/>
              <w:rPr>
                <w:rFonts w:ascii="宋体" w:hAnsi="宋体" w:cs="宋体"/>
              </w:rPr>
            </w:pPr>
          </w:p>
        </w:tc>
        <w:tc>
          <w:tcPr>
            <w:tcW w:w="1250" w:type="dxa"/>
          </w:tcPr>
          <w:p>
            <w:pPr>
              <w:spacing w:line="440" w:lineRule="exact"/>
              <w:jc w:val="center"/>
              <w:rPr>
                <w:rFonts w:ascii="宋体" w:hAnsi="宋体" w:cs="宋体"/>
              </w:rPr>
            </w:pPr>
          </w:p>
        </w:tc>
        <w:tc>
          <w:tcPr>
            <w:tcW w:w="1197" w:type="dxa"/>
          </w:tcPr>
          <w:p>
            <w:pPr>
              <w:spacing w:line="440" w:lineRule="exact"/>
              <w:jc w:val="center"/>
              <w:rPr>
                <w:rFonts w:ascii="宋体" w:hAnsi="宋体" w:cs="宋体"/>
              </w:rPr>
            </w:pPr>
          </w:p>
        </w:tc>
        <w:tc>
          <w:tcPr>
            <w:tcW w:w="1344" w:type="dxa"/>
          </w:tcPr>
          <w:p>
            <w:pPr>
              <w:spacing w:line="440" w:lineRule="exact"/>
              <w:jc w:val="center"/>
              <w:rPr>
                <w:rFonts w:ascii="宋体" w:hAnsi="宋体" w:cs="宋体"/>
              </w:rPr>
            </w:pPr>
          </w:p>
        </w:tc>
        <w:tc>
          <w:tcPr>
            <w:tcW w:w="1601"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517" w:type="dxa"/>
          </w:tcPr>
          <w:p>
            <w:pPr>
              <w:spacing w:line="440" w:lineRule="exact"/>
              <w:jc w:val="center"/>
              <w:rPr>
                <w:rFonts w:ascii="宋体" w:hAnsi="宋体" w:cs="宋体"/>
              </w:rPr>
            </w:pPr>
            <w:r>
              <w:rPr>
                <w:rFonts w:hint="eastAsia" w:ascii="宋体" w:hAnsi="宋体" w:cs="宋体"/>
              </w:rPr>
              <w:t>…</w:t>
            </w:r>
          </w:p>
        </w:tc>
        <w:tc>
          <w:tcPr>
            <w:tcW w:w="1078" w:type="dxa"/>
          </w:tcPr>
          <w:p>
            <w:pPr>
              <w:spacing w:line="440" w:lineRule="exact"/>
              <w:jc w:val="center"/>
              <w:rPr>
                <w:rFonts w:ascii="宋体" w:hAnsi="宋体" w:cs="宋体"/>
              </w:rPr>
            </w:pPr>
          </w:p>
        </w:tc>
        <w:tc>
          <w:tcPr>
            <w:tcW w:w="1019" w:type="dxa"/>
          </w:tcPr>
          <w:p>
            <w:pPr>
              <w:spacing w:line="440" w:lineRule="exact"/>
              <w:jc w:val="center"/>
              <w:rPr>
                <w:rFonts w:ascii="宋体" w:hAnsi="宋体" w:cs="宋体"/>
              </w:rPr>
            </w:pPr>
          </w:p>
        </w:tc>
        <w:tc>
          <w:tcPr>
            <w:tcW w:w="1157" w:type="dxa"/>
          </w:tcPr>
          <w:p>
            <w:pPr>
              <w:spacing w:line="440" w:lineRule="exact"/>
              <w:jc w:val="center"/>
              <w:rPr>
                <w:rFonts w:ascii="宋体" w:hAnsi="宋体" w:cs="宋体"/>
              </w:rPr>
            </w:pPr>
          </w:p>
        </w:tc>
        <w:tc>
          <w:tcPr>
            <w:tcW w:w="1250" w:type="dxa"/>
          </w:tcPr>
          <w:p>
            <w:pPr>
              <w:spacing w:line="440" w:lineRule="exact"/>
              <w:jc w:val="center"/>
              <w:rPr>
                <w:rFonts w:ascii="宋体" w:hAnsi="宋体" w:cs="宋体"/>
              </w:rPr>
            </w:pPr>
          </w:p>
        </w:tc>
        <w:tc>
          <w:tcPr>
            <w:tcW w:w="1197" w:type="dxa"/>
          </w:tcPr>
          <w:p>
            <w:pPr>
              <w:spacing w:line="440" w:lineRule="exact"/>
              <w:jc w:val="center"/>
              <w:rPr>
                <w:rFonts w:ascii="宋体" w:hAnsi="宋体" w:cs="宋体"/>
              </w:rPr>
            </w:pPr>
          </w:p>
        </w:tc>
        <w:tc>
          <w:tcPr>
            <w:tcW w:w="1344" w:type="dxa"/>
          </w:tcPr>
          <w:p>
            <w:pPr>
              <w:spacing w:line="440" w:lineRule="exact"/>
              <w:jc w:val="center"/>
              <w:rPr>
                <w:rFonts w:ascii="宋体" w:hAnsi="宋体" w:cs="宋体"/>
              </w:rPr>
            </w:pPr>
          </w:p>
        </w:tc>
        <w:tc>
          <w:tcPr>
            <w:tcW w:w="1601" w:type="dxa"/>
          </w:tcPr>
          <w:p>
            <w:pPr>
              <w:spacing w:line="440" w:lineRule="exact"/>
              <w:jc w:val="center"/>
              <w:rPr>
                <w:rFonts w:ascii="宋体" w:hAnsi="宋体" w:cs="宋体"/>
              </w:rPr>
            </w:pPr>
          </w:p>
        </w:tc>
      </w:tr>
    </w:tbl>
    <w:p>
      <w:pPr>
        <w:spacing w:before="72" w:beforeLines="25" w:after="72" w:afterLines="25"/>
        <w:rPr>
          <w:rFonts w:ascii="宋体" w:hAnsi="宋体" w:cs="宋体"/>
          <w:color w:val="000000"/>
        </w:rPr>
      </w:pPr>
      <w:r>
        <w:rPr>
          <w:rFonts w:hint="eastAsia" w:ascii="宋体" w:hAnsi="宋体" w:cs="宋体"/>
          <w:color w:val="000000"/>
        </w:rPr>
        <w:t>特别提示：</w:t>
      </w:r>
    </w:p>
    <w:p>
      <w:pPr>
        <w:spacing w:before="72" w:beforeLines="25" w:after="72" w:afterLines="25"/>
        <w:ind w:firstLine="420" w:firstLineChars="200"/>
        <w:rPr>
          <w:rFonts w:ascii="宋体" w:hAnsi="宋体" w:cs="宋体"/>
          <w:b/>
          <w:bCs/>
        </w:rPr>
      </w:pPr>
      <w:r>
        <w:rPr>
          <w:rFonts w:hint="eastAsia" w:ascii="宋体" w:hAnsi="宋体" w:cs="宋体"/>
          <w:color w:val="000000"/>
        </w:rPr>
        <w:t>投标人须按本招标文件评标信息中“拟安排的项目主要团队成员（主要技术人员）情况（项目负责人除外）”这一评审因素要求，提供证明相关资料如：</w:t>
      </w:r>
      <w:r>
        <w:rPr>
          <w:rFonts w:hint="eastAsia" w:ascii="宋体" w:hAnsi="宋体" w:cs="宋体"/>
          <w:b/>
          <w:spacing w:val="10"/>
        </w:rPr>
        <w:t>身份证复印件、职称证书复印件、</w:t>
      </w:r>
      <w:r>
        <w:rPr>
          <w:rFonts w:hint="eastAsia" w:ascii="宋体" w:hAnsi="宋体" w:cs="宋体"/>
          <w:b/>
          <w:bCs/>
        </w:rPr>
        <w:t>国家规定或行业相关上岗、执业资格证书复印件、本单位社保缴纳证明、</w:t>
      </w:r>
      <w:r>
        <w:rPr>
          <w:rFonts w:hint="eastAsia" w:ascii="宋体" w:hAnsi="宋体" w:cs="宋体"/>
          <w:b/>
          <w:spacing w:val="10"/>
        </w:rPr>
        <w:t>相关业绩证明材料复印件等</w:t>
      </w:r>
      <w:r>
        <w:rPr>
          <w:rFonts w:hint="eastAsia" w:ascii="宋体" w:hAnsi="宋体" w:cs="宋体"/>
          <w:b/>
          <w:bCs/>
        </w:rPr>
        <w:t>。</w:t>
      </w:r>
    </w:p>
    <w:p>
      <w:pPr>
        <w:spacing w:before="72" w:beforeLines="25" w:after="72" w:afterLines="25"/>
        <w:ind w:firstLine="480" w:firstLineChars="200"/>
        <w:rPr>
          <w:rFonts w:ascii="宋体" w:hAnsi="宋体" w:cs="宋体"/>
          <w:color w:val="000000"/>
          <w:sz w:val="24"/>
        </w:rPr>
      </w:pPr>
    </w:p>
    <w:p>
      <w:pPr>
        <w:rPr>
          <w:rFonts w:ascii="宋体" w:hAnsi="宋体" w:cs="宋体"/>
          <w:color w:val="000000"/>
          <w:sz w:val="24"/>
        </w:rPr>
      </w:pPr>
    </w:p>
    <w:p/>
    <w:p>
      <w:pPr>
        <w:spacing w:before="72" w:beforeLines="25" w:after="72" w:afterLines="25"/>
        <w:rPr>
          <w:rFonts w:ascii="宋体" w:hAnsi="宋体"/>
          <w:color w:val="000000"/>
          <w:sz w:val="24"/>
        </w:rPr>
      </w:pPr>
    </w:p>
    <w:p>
      <w:pPr>
        <w:spacing w:before="72" w:beforeLines="25" w:after="72" w:afterLines="25"/>
        <w:jc w:val="center"/>
        <w:rPr>
          <w:rFonts w:ascii="宋体" w:hAnsi="宋体"/>
          <w:b/>
          <w:bCs/>
          <w:color w:val="000000"/>
          <w:sz w:val="24"/>
        </w:rPr>
      </w:pPr>
      <w:r>
        <w:rPr>
          <w:rFonts w:hint="eastAsia" w:ascii="宋体" w:hAnsi="宋体"/>
          <w:b/>
          <w:bCs/>
          <w:color w:val="000000"/>
          <w:sz w:val="24"/>
        </w:rPr>
        <w:t>附件十一、项目服务承诺</w:t>
      </w:r>
    </w:p>
    <w:p>
      <w:pPr>
        <w:autoSpaceDE w:val="0"/>
        <w:autoSpaceDN w:val="0"/>
        <w:adjustRightInd w:val="0"/>
        <w:snapToGrid w:val="0"/>
        <w:spacing w:line="240" w:lineRule="atLeast"/>
        <w:rPr>
          <w:rFonts w:ascii="宋体" w:hAnsi="宋体" w:cs="宋体"/>
          <w:color w:val="0000FF"/>
          <w:kern w:val="1"/>
        </w:rPr>
      </w:pPr>
      <w:r>
        <w:rPr>
          <w:rFonts w:hint="eastAsia" w:ascii="宋体" w:hAnsi="宋体" w:cs="宋体"/>
          <w:color w:val="0000FF"/>
          <w:kern w:val="1"/>
        </w:rPr>
        <w:t>特别提示：</w:t>
      </w:r>
    </w:p>
    <w:p>
      <w:pPr>
        <w:autoSpaceDE w:val="0"/>
        <w:autoSpaceDN w:val="0"/>
        <w:adjustRightInd w:val="0"/>
        <w:snapToGrid w:val="0"/>
        <w:spacing w:line="240" w:lineRule="atLeast"/>
        <w:ind w:firstLine="420" w:firstLineChars="200"/>
        <w:rPr>
          <w:rFonts w:ascii="宋体" w:hAnsi="宋体" w:cs="宋体"/>
          <w:color w:val="0000FF"/>
          <w:kern w:val="1"/>
        </w:rPr>
      </w:pPr>
      <w:r>
        <w:rPr>
          <w:rFonts w:hint="eastAsia" w:ascii="宋体" w:hAnsi="宋体" w:cs="宋体"/>
          <w:color w:val="0000FF"/>
          <w:kern w:val="1"/>
        </w:rPr>
        <w:t>若此项列入评审因素必须填写；未列入评审因素，则无须填写！</w:t>
      </w:r>
    </w:p>
    <w:p>
      <w:pPr>
        <w:rPr>
          <w:rFonts w:cs="宋体"/>
          <w:color w:val="0000FF"/>
          <w:kern w:val="1"/>
        </w:rPr>
      </w:pPr>
    </w:p>
    <w:p>
      <w:pPr>
        <w:rPr>
          <w:rFonts w:ascii="宋体" w:hAnsi="宋体" w:cs="宋体"/>
          <w:color w:val="0000FF"/>
          <w:kern w:val="1"/>
        </w:rPr>
      </w:pPr>
    </w:p>
    <w:p>
      <w:pPr>
        <w:rPr>
          <w:rFonts w:cs="宋体"/>
          <w:color w:val="0000FF"/>
          <w:kern w:val="1"/>
        </w:rPr>
      </w:pPr>
    </w:p>
    <w:p>
      <w:pPr>
        <w:rPr>
          <w:rFonts w:ascii="宋体" w:hAnsi="宋体" w:cs="宋体"/>
          <w:color w:val="0000FF"/>
          <w:kern w:val="1"/>
        </w:rPr>
      </w:pPr>
    </w:p>
    <w:p/>
    <w:p>
      <w:pPr>
        <w:spacing w:before="72" w:beforeLines="25" w:after="72" w:afterLines="25"/>
        <w:jc w:val="center"/>
        <w:rPr>
          <w:rFonts w:ascii="宋体" w:hAnsi="宋体"/>
          <w:b/>
          <w:bCs/>
          <w:color w:val="000000"/>
          <w:sz w:val="24"/>
        </w:rPr>
      </w:pPr>
    </w:p>
    <w:p>
      <w:pPr>
        <w:spacing w:before="72" w:beforeLines="25" w:after="72" w:afterLines="25"/>
        <w:jc w:val="center"/>
        <w:rPr>
          <w:rFonts w:ascii="宋体" w:hAnsi="宋体"/>
          <w:b/>
          <w:bCs/>
          <w:color w:val="000000"/>
          <w:sz w:val="24"/>
        </w:rPr>
      </w:pPr>
      <w:r>
        <w:rPr>
          <w:rFonts w:hint="eastAsia" w:ascii="宋体" w:hAnsi="宋体"/>
          <w:b/>
          <w:bCs/>
          <w:color w:val="000000"/>
          <w:sz w:val="24"/>
        </w:rPr>
        <w:t>附件十二、违约承诺</w:t>
      </w:r>
    </w:p>
    <w:p>
      <w:pPr>
        <w:autoSpaceDE w:val="0"/>
        <w:autoSpaceDN w:val="0"/>
        <w:adjustRightInd w:val="0"/>
        <w:snapToGrid w:val="0"/>
        <w:spacing w:line="240" w:lineRule="atLeast"/>
        <w:rPr>
          <w:rFonts w:ascii="宋体" w:hAnsi="宋体" w:cs="宋体"/>
          <w:color w:val="0000FF"/>
          <w:kern w:val="1"/>
        </w:rPr>
      </w:pPr>
      <w:r>
        <w:rPr>
          <w:rFonts w:hint="eastAsia" w:ascii="宋体" w:hAnsi="宋体" w:cs="宋体"/>
          <w:color w:val="0000FF"/>
          <w:kern w:val="1"/>
        </w:rPr>
        <w:t>特别提示：</w:t>
      </w:r>
    </w:p>
    <w:p>
      <w:r>
        <w:rPr>
          <w:rFonts w:hint="eastAsia" w:cs="宋体"/>
          <w:color w:val="0000FF"/>
          <w:kern w:val="1"/>
        </w:rPr>
        <w:t>若此项列入评审因素必须填写；若未列入评审因素，则无须填写！</w:t>
      </w:r>
    </w:p>
    <w:p>
      <w:pPr>
        <w:pStyle w:val="13"/>
        <w:ind w:left="1260" w:hanging="420"/>
        <w:rPr>
          <w:rFonts w:ascii="宋体" w:hAnsi="宋体"/>
        </w:rPr>
      </w:pPr>
    </w:p>
    <w:p>
      <w:pPr>
        <w:pStyle w:val="5"/>
        <w:jc w:val="left"/>
        <w:rPr>
          <w:rFonts w:ascii="宋体" w:hAnsi="宋体" w:eastAsia="宋体" w:cs="方正小标宋_GBK"/>
          <w:color w:val="FF0000"/>
        </w:rPr>
      </w:pPr>
      <w:r>
        <w:rPr>
          <w:rFonts w:hint="eastAsia" w:ascii="宋体" w:hAnsi="宋体" w:eastAsia="宋体" w:cs="方正小标宋_GBK"/>
          <w:color w:val="FF0000"/>
        </w:rPr>
        <w:t>投标文件增项</w:t>
      </w:r>
    </w:p>
    <w:p>
      <w:pPr>
        <w:pStyle w:val="131"/>
        <w:ind w:firstLine="883"/>
        <w:rPr>
          <w:rFonts w:cs="方正小标宋_GBK"/>
          <w:b/>
          <w:bCs/>
          <w:color w:val="FF0000"/>
          <w:sz w:val="44"/>
          <w:szCs w:val="44"/>
        </w:rPr>
      </w:pPr>
    </w:p>
    <w:p>
      <w:pPr>
        <w:widowControl/>
        <w:tabs>
          <w:tab w:val="left" w:pos="720"/>
        </w:tabs>
        <w:spacing w:line="360" w:lineRule="auto"/>
        <w:ind w:left="630" w:firstLine="1446" w:firstLineChars="600"/>
        <w:rPr>
          <w:rFonts w:ascii="宋体" w:hAnsi="宋体"/>
          <w:b/>
          <w:sz w:val="24"/>
          <w:szCs w:val="20"/>
        </w:rPr>
      </w:pPr>
      <w:r>
        <w:rPr>
          <w:rFonts w:hint="eastAsia" w:ascii="宋体" w:hAnsi="宋体"/>
          <w:b/>
          <w:sz w:val="24"/>
        </w:rPr>
        <w:t>一、供应商获奖情况</w:t>
      </w:r>
      <w:r>
        <w:rPr>
          <w:rFonts w:hint="eastAsia" w:ascii="宋体" w:hAnsi="宋体"/>
          <w:b/>
          <w:sz w:val="24"/>
          <w:szCs w:val="20"/>
        </w:rPr>
        <w:t>（如有，格式自定）</w:t>
      </w:r>
    </w:p>
    <w:p>
      <w:pPr>
        <w:autoSpaceDE w:val="0"/>
        <w:autoSpaceDN w:val="0"/>
        <w:adjustRightInd w:val="0"/>
        <w:snapToGrid w:val="0"/>
        <w:spacing w:line="240" w:lineRule="atLeast"/>
        <w:rPr>
          <w:rFonts w:ascii="宋体" w:hAnsi="宋体" w:cs="宋体"/>
          <w:color w:val="0000FF"/>
          <w:kern w:val="1"/>
        </w:rPr>
      </w:pPr>
      <w:r>
        <w:rPr>
          <w:rFonts w:hint="eastAsia" w:ascii="宋体" w:hAnsi="宋体" w:cs="宋体"/>
          <w:color w:val="0000FF"/>
          <w:kern w:val="1"/>
        </w:rPr>
        <w:t>特别提示：</w:t>
      </w:r>
    </w:p>
    <w:p>
      <w:r>
        <w:rPr>
          <w:rFonts w:hint="eastAsia" w:cs="宋体"/>
          <w:color w:val="0000FF"/>
          <w:kern w:val="1"/>
        </w:rPr>
        <w:t>若此项列入评审因素必须填写；若未列入评审因素，则无须填写！</w:t>
      </w:r>
    </w:p>
    <w:p>
      <w:pPr>
        <w:rPr>
          <w:rFonts w:ascii="宋体" w:hAnsi="宋体"/>
        </w:rPr>
      </w:pPr>
    </w:p>
    <w:p>
      <w:pPr>
        <w:widowControl/>
        <w:tabs>
          <w:tab w:val="left" w:pos="720"/>
        </w:tabs>
        <w:spacing w:line="360" w:lineRule="auto"/>
        <w:ind w:left="630" w:firstLine="241" w:firstLineChars="100"/>
        <w:jc w:val="left"/>
        <w:rPr>
          <w:rFonts w:ascii="宋体" w:hAnsi="宋体"/>
          <w:b/>
          <w:sz w:val="24"/>
        </w:rPr>
      </w:pPr>
    </w:p>
    <w:p>
      <w:pPr>
        <w:widowControl/>
        <w:tabs>
          <w:tab w:val="left" w:pos="720"/>
        </w:tabs>
        <w:spacing w:line="360" w:lineRule="auto"/>
        <w:ind w:left="630" w:firstLine="241" w:firstLineChars="100"/>
        <w:jc w:val="left"/>
        <w:rPr>
          <w:rFonts w:ascii="宋体" w:hAnsi="宋体"/>
          <w:b/>
          <w:sz w:val="24"/>
        </w:rPr>
      </w:pPr>
    </w:p>
    <w:p>
      <w:pPr>
        <w:widowControl/>
        <w:tabs>
          <w:tab w:val="left" w:pos="720"/>
        </w:tabs>
        <w:spacing w:line="360" w:lineRule="auto"/>
        <w:ind w:left="630" w:firstLine="241" w:firstLineChars="100"/>
        <w:jc w:val="left"/>
        <w:rPr>
          <w:rFonts w:ascii="宋体" w:hAnsi="宋体"/>
          <w:b/>
          <w:sz w:val="24"/>
        </w:rPr>
      </w:pPr>
    </w:p>
    <w:p>
      <w:pPr>
        <w:widowControl/>
        <w:tabs>
          <w:tab w:val="left" w:pos="720"/>
        </w:tabs>
        <w:spacing w:line="360" w:lineRule="auto"/>
        <w:ind w:left="630" w:firstLine="241" w:firstLineChars="100"/>
        <w:jc w:val="left"/>
        <w:rPr>
          <w:rFonts w:ascii="宋体" w:hAnsi="宋体"/>
          <w:b/>
          <w:sz w:val="24"/>
          <w:szCs w:val="20"/>
        </w:rPr>
      </w:pPr>
      <w:r>
        <w:rPr>
          <w:rFonts w:hint="eastAsia" w:ascii="宋体" w:hAnsi="宋体"/>
          <w:b/>
          <w:sz w:val="24"/>
        </w:rPr>
        <w:t>二、供应商自主知识产权产品（创新、设计）情况</w:t>
      </w:r>
      <w:r>
        <w:rPr>
          <w:rFonts w:hint="eastAsia" w:ascii="宋体" w:hAnsi="宋体"/>
          <w:b/>
          <w:sz w:val="24"/>
          <w:szCs w:val="20"/>
        </w:rPr>
        <w:t>（如有，格式自定）</w:t>
      </w:r>
    </w:p>
    <w:p>
      <w:pPr>
        <w:autoSpaceDE w:val="0"/>
        <w:autoSpaceDN w:val="0"/>
        <w:adjustRightInd w:val="0"/>
        <w:snapToGrid w:val="0"/>
        <w:spacing w:line="240" w:lineRule="atLeast"/>
        <w:rPr>
          <w:rFonts w:ascii="宋体" w:hAnsi="宋体" w:cs="宋体"/>
          <w:color w:val="0000FF"/>
          <w:kern w:val="1"/>
        </w:rPr>
      </w:pPr>
      <w:r>
        <w:rPr>
          <w:rFonts w:hint="eastAsia" w:ascii="宋体" w:hAnsi="宋体" w:cs="宋体"/>
          <w:color w:val="0000FF"/>
          <w:kern w:val="1"/>
        </w:rPr>
        <w:t>特别提示：</w:t>
      </w:r>
    </w:p>
    <w:p>
      <w:r>
        <w:rPr>
          <w:rFonts w:hint="eastAsia" w:cs="宋体"/>
          <w:color w:val="0000FF"/>
          <w:kern w:val="1"/>
        </w:rPr>
        <w:t>若此项列入评审因素必须填写；若未列入评审因素，则无须填写！</w:t>
      </w:r>
    </w:p>
    <w:p>
      <w:pPr>
        <w:pStyle w:val="13"/>
        <w:ind w:left="1260" w:hanging="420"/>
        <w:rPr>
          <w:rFonts w:ascii="宋体" w:hAnsi="宋体" w:cs="宋体"/>
        </w:rPr>
      </w:pPr>
    </w:p>
    <w:p>
      <w:pPr>
        <w:pStyle w:val="131"/>
        <w:ind w:firstLine="420"/>
      </w:pPr>
    </w:p>
    <w:p>
      <w:pPr>
        <w:pStyle w:val="131"/>
        <w:ind w:firstLine="420"/>
      </w:pPr>
    </w:p>
    <w:p>
      <w:pPr>
        <w:pStyle w:val="131"/>
        <w:ind w:firstLine="420"/>
      </w:pPr>
    </w:p>
    <w:p>
      <w:pPr>
        <w:ind w:left="315" w:leftChars="150"/>
        <w:jc w:val="left"/>
        <w:rPr>
          <w:rFonts w:ascii="宋体" w:hAnsi="宋体"/>
          <w:b/>
          <w:sz w:val="24"/>
        </w:rPr>
      </w:pPr>
      <w:r>
        <w:rPr>
          <w:rFonts w:hint="eastAsia" w:ascii="宋体" w:hAnsi="宋体"/>
          <w:b/>
          <w:sz w:val="24"/>
        </w:rPr>
        <w:t>三、拟投入的服务资源（车辆、场地、工具、机器等）情况（格式自定）</w:t>
      </w:r>
    </w:p>
    <w:p>
      <w:pPr>
        <w:autoSpaceDE w:val="0"/>
        <w:autoSpaceDN w:val="0"/>
        <w:adjustRightInd w:val="0"/>
        <w:snapToGrid w:val="0"/>
        <w:spacing w:line="240" w:lineRule="atLeast"/>
        <w:rPr>
          <w:rFonts w:ascii="宋体" w:hAnsi="宋体" w:cs="宋体"/>
          <w:color w:val="0000FF"/>
          <w:kern w:val="1"/>
        </w:rPr>
      </w:pPr>
    </w:p>
    <w:p>
      <w:pPr>
        <w:autoSpaceDE w:val="0"/>
        <w:autoSpaceDN w:val="0"/>
        <w:adjustRightInd w:val="0"/>
        <w:snapToGrid w:val="0"/>
        <w:spacing w:line="240" w:lineRule="atLeast"/>
        <w:rPr>
          <w:rFonts w:ascii="宋体" w:hAnsi="宋体" w:cs="宋体"/>
          <w:color w:val="0000FF"/>
          <w:kern w:val="1"/>
        </w:rPr>
      </w:pPr>
      <w:r>
        <w:rPr>
          <w:rFonts w:hint="eastAsia" w:ascii="宋体" w:hAnsi="宋体" w:cs="宋体"/>
          <w:color w:val="0000FF"/>
          <w:kern w:val="1"/>
        </w:rPr>
        <w:t>特别提示：</w:t>
      </w:r>
    </w:p>
    <w:p>
      <w:r>
        <w:rPr>
          <w:rFonts w:hint="eastAsia" w:cs="宋体"/>
          <w:color w:val="0000FF"/>
          <w:kern w:val="1"/>
        </w:rPr>
        <w:t>若此项列入评审因素必须填写；若未列入评审因素，则无须填写！</w:t>
      </w:r>
    </w:p>
    <w:p>
      <w:pPr>
        <w:ind w:left="315" w:leftChars="150"/>
        <w:rPr>
          <w:rFonts w:ascii="宋体" w:hAnsi="宋体"/>
        </w:rPr>
      </w:pPr>
    </w:p>
    <w:p>
      <w:pPr>
        <w:jc w:val="left"/>
        <w:rPr>
          <w:rFonts w:ascii="宋体" w:hAnsi="宋体"/>
          <w:b/>
          <w:sz w:val="24"/>
        </w:rPr>
      </w:pPr>
    </w:p>
    <w:p>
      <w:pPr>
        <w:rPr>
          <w:rFonts w:ascii="宋体" w:hAnsi="宋体"/>
          <w:b/>
          <w:sz w:val="24"/>
        </w:rPr>
      </w:pPr>
    </w:p>
    <w:p>
      <w:pPr>
        <w:ind w:firstLine="482"/>
        <w:rPr>
          <w:b/>
          <w:sz w:val="24"/>
        </w:rPr>
      </w:pPr>
    </w:p>
    <w:p>
      <w:pPr>
        <w:rPr>
          <w:rFonts w:ascii="宋体" w:hAnsi="宋体"/>
          <w:b/>
          <w:sz w:val="24"/>
        </w:rPr>
      </w:pPr>
    </w:p>
    <w:p>
      <w:pPr>
        <w:ind w:firstLine="482"/>
        <w:rPr>
          <w:b/>
          <w:sz w:val="24"/>
        </w:rPr>
      </w:pPr>
    </w:p>
    <w:p>
      <w:pPr>
        <w:rPr>
          <w:rFonts w:ascii="宋体" w:hAnsi="宋体"/>
        </w:rPr>
      </w:pPr>
    </w:p>
    <w:p>
      <w:pPr>
        <w:ind w:firstLine="1205" w:firstLineChars="500"/>
        <w:jc w:val="left"/>
        <w:rPr>
          <w:rFonts w:ascii="宋体" w:hAnsi="宋体"/>
          <w:b/>
          <w:sz w:val="24"/>
        </w:rPr>
      </w:pPr>
      <w:r>
        <w:rPr>
          <w:rFonts w:hint="eastAsia" w:ascii="宋体" w:hAnsi="宋体"/>
          <w:b/>
          <w:sz w:val="24"/>
        </w:rPr>
        <w:t>四、投标人认为需要加以说明的其他内容（格式自定）</w:t>
      </w:r>
    </w:p>
    <w:p>
      <w:pPr>
        <w:autoSpaceDE w:val="0"/>
        <w:autoSpaceDN w:val="0"/>
        <w:adjustRightInd w:val="0"/>
        <w:snapToGrid w:val="0"/>
        <w:spacing w:line="240" w:lineRule="atLeast"/>
        <w:rPr>
          <w:rFonts w:ascii="宋体" w:hAnsi="宋体" w:cs="宋体"/>
          <w:color w:val="0000FF"/>
          <w:kern w:val="1"/>
        </w:rPr>
      </w:pPr>
    </w:p>
    <w:p>
      <w:pPr>
        <w:autoSpaceDE w:val="0"/>
        <w:autoSpaceDN w:val="0"/>
        <w:adjustRightInd w:val="0"/>
        <w:snapToGrid w:val="0"/>
        <w:spacing w:line="240" w:lineRule="atLeast"/>
        <w:rPr>
          <w:rFonts w:ascii="宋体" w:hAnsi="宋体" w:cs="宋体"/>
          <w:color w:val="0000FF"/>
          <w:kern w:val="1"/>
        </w:rPr>
      </w:pPr>
      <w:r>
        <w:rPr>
          <w:rFonts w:hint="eastAsia" w:ascii="宋体" w:hAnsi="宋体" w:cs="宋体"/>
          <w:color w:val="0000FF"/>
          <w:kern w:val="1"/>
        </w:rPr>
        <w:t>特别提示：</w:t>
      </w:r>
    </w:p>
    <w:p>
      <w:pPr>
        <w:rPr>
          <w:rFonts w:cs="方正小标宋_GBK"/>
          <w:b/>
          <w:bCs/>
          <w:sz w:val="32"/>
          <w:szCs w:val="32"/>
        </w:rPr>
      </w:pPr>
      <w:r>
        <w:rPr>
          <w:rFonts w:hint="eastAsia" w:cs="宋体"/>
          <w:color w:val="0000FF"/>
          <w:kern w:val="1"/>
        </w:rPr>
        <w:t>若此项列入评审因素必须填写；若未列入评审因素，则无须填写。</w:t>
      </w:r>
    </w:p>
    <w:p>
      <w:pPr>
        <w:pStyle w:val="5"/>
        <w:ind w:firstLine="2570" w:firstLineChars="800"/>
        <w:jc w:val="both"/>
        <w:rPr>
          <w:rFonts w:ascii="宋体" w:hAnsi="宋体" w:eastAsia="宋体" w:cs="方正小标宋_GBK"/>
          <w:sz w:val="32"/>
          <w:szCs w:val="32"/>
        </w:rPr>
      </w:pPr>
    </w:p>
    <w:p>
      <w:pPr>
        <w:pStyle w:val="5"/>
        <w:ind w:firstLine="2570" w:firstLineChars="800"/>
        <w:jc w:val="both"/>
        <w:rPr>
          <w:rFonts w:ascii="宋体" w:hAnsi="宋体" w:eastAsia="宋体" w:cs="方正小标宋_GBK"/>
          <w:sz w:val="32"/>
          <w:szCs w:val="32"/>
        </w:rPr>
      </w:pPr>
    </w:p>
    <w:p>
      <w:pPr>
        <w:pStyle w:val="5"/>
        <w:ind w:firstLine="2570" w:firstLineChars="800"/>
        <w:jc w:val="both"/>
        <w:rPr>
          <w:rFonts w:ascii="宋体" w:hAnsi="宋体" w:eastAsia="宋体" w:cs="方正小标宋_GBK"/>
          <w:sz w:val="32"/>
          <w:szCs w:val="32"/>
        </w:rPr>
      </w:pPr>
      <w:r>
        <w:rPr>
          <w:rFonts w:hint="eastAsia" w:ascii="宋体" w:hAnsi="宋体" w:eastAsia="宋体" w:cs="方正小标宋_GBK"/>
          <w:sz w:val="32"/>
          <w:szCs w:val="32"/>
        </w:rPr>
        <w:t>第五章  合同条款及格式</w:t>
      </w:r>
    </w:p>
    <w:p>
      <w:pPr>
        <w:pStyle w:val="5"/>
        <w:rPr>
          <w:rFonts w:ascii="宋体" w:hAnsi="宋体" w:eastAsia="宋体" w:cs="方正小标宋_GBK"/>
          <w:sz w:val="32"/>
          <w:szCs w:val="32"/>
        </w:rPr>
      </w:pPr>
      <w:bookmarkStart w:id="110" w:name="_Toc27624"/>
    </w:p>
    <w:p>
      <w:pPr>
        <w:pStyle w:val="5"/>
        <w:rPr>
          <w:rFonts w:ascii="宋体" w:hAnsi="宋体" w:eastAsia="宋体" w:cs="方正小标宋_GBK"/>
          <w:sz w:val="32"/>
          <w:szCs w:val="32"/>
        </w:rPr>
      </w:pPr>
      <w:r>
        <w:rPr>
          <w:rFonts w:hint="eastAsia" w:ascii="宋体" w:hAnsi="宋体" w:eastAsia="宋体" w:cs="方正小标宋_GBK"/>
          <w:sz w:val="32"/>
          <w:szCs w:val="32"/>
        </w:rPr>
        <w:t>合同文本（</w:t>
      </w:r>
      <w:r>
        <w:rPr>
          <w:rFonts w:hint="eastAsia" w:ascii="宋体" w:hAnsi="宋体" w:eastAsia="宋体" w:cs="方正小标宋_GBK"/>
          <w:sz w:val="32"/>
          <w:szCs w:val="32"/>
          <w:lang w:val="en-US" w:eastAsia="zh-CN"/>
        </w:rPr>
        <w:t>供参考</w:t>
      </w:r>
      <w:r>
        <w:rPr>
          <w:rFonts w:hint="eastAsia" w:ascii="宋体" w:hAnsi="宋体" w:eastAsia="宋体" w:cs="方正小标宋_GBK"/>
          <w:sz w:val="32"/>
          <w:szCs w:val="32"/>
        </w:rPr>
        <w:t>模板）</w:t>
      </w:r>
    </w:p>
    <w:p>
      <w:pPr>
        <w:spacing w:line="500" w:lineRule="exact"/>
        <w:ind w:firstLine="420" w:firstLineChars="200"/>
        <w:rPr>
          <w:rFonts w:ascii="宋体" w:hAnsi="宋体" w:cs="宋体"/>
          <w:bCs/>
        </w:rPr>
      </w:pPr>
      <w:bookmarkStart w:id="111" w:name="_Toc513029243"/>
      <w:bookmarkStart w:id="112" w:name="_Toc20823315"/>
      <w:bookmarkStart w:id="113" w:name="_Toc16938559"/>
      <w:r>
        <w:rPr>
          <w:rFonts w:hint="eastAsia" w:ascii="宋体" w:hAnsi="宋体" w:cs="宋体"/>
          <w:bCs/>
        </w:rPr>
        <w:t>以下为中标后签定本项目合同的通用条款，中标人不得提出实质性的修改，关于专用条款将由采购人与中标人结合本项目具体情况协商后签订。</w:t>
      </w:r>
    </w:p>
    <w:p>
      <w:pPr>
        <w:jc w:val="center"/>
        <w:rPr>
          <w:rFonts w:ascii="宋体" w:hAnsi="宋体" w:cs="宋体"/>
          <w:b/>
          <w:bCs/>
        </w:rPr>
      </w:pPr>
      <w:r>
        <w:rPr>
          <w:rFonts w:hint="eastAsia" w:ascii="宋体" w:hAnsi="宋体" w:cs="宋体"/>
          <w:b/>
        </w:rPr>
        <w:t>政府采购合同（合同编号）</w:t>
      </w:r>
    </w:p>
    <w:p>
      <w:pPr>
        <w:snapToGrid w:val="0"/>
        <w:spacing w:before="120" w:after="120"/>
        <w:rPr>
          <w:rFonts w:hAnsi="宋体" w:cs="宋体"/>
        </w:rPr>
      </w:pPr>
      <w:r>
        <w:rPr>
          <w:rFonts w:hint="eastAsia" w:hAnsi="宋体" w:cs="宋体"/>
        </w:rPr>
        <w:t>项目名称：                                       项目编号：</w:t>
      </w:r>
    </w:p>
    <w:p>
      <w:pPr>
        <w:snapToGrid w:val="0"/>
        <w:spacing w:before="120" w:after="120"/>
        <w:rPr>
          <w:rFonts w:hAnsi="宋体" w:cs="宋体"/>
        </w:rPr>
      </w:pPr>
      <w:r>
        <w:rPr>
          <w:rFonts w:hint="eastAsia" w:hAnsi="宋体" w:cs="宋体"/>
        </w:rPr>
        <w:t>甲方：（买方）_________</w:t>
      </w:r>
    </w:p>
    <w:p>
      <w:pPr>
        <w:snapToGrid w:val="0"/>
        <w:spacing w:before="120" w:after="120"/>
        <w:rPr>
          <w:rFonts w:hAnsi="宋体" w:cs="宋体"/>
        </w:rPr>
      </w:pPr>
      <w:r>
        <w:rPr>
          <w:rFonts w:hint="eastAsia" w:hAnsi="宋体" w:cs="宋体"/>
        </w:rPr>
        <w:t>乙方：（卖方）_________</w:t>
      </w:r>
    </w:p>
    <w:p>
      <w:pPr>
        <w:snapToGrid w:val="0"/>
        <w:spacing w:before="120" w:after="120"/>
        <w:rPr>
          <w:rFonts w:hAnsi="宋体" w:cs="宋体"/>
          <w:b/>
        </w:rPr>
      </w:pPr>
      <w:r>
        <w:rPr>
          <w:rFonts w:hint="eastAsia" w:hAnsi="宋体" w:cs="宋体"/>
          <w:b/>
        </w:rPr>
        <w:t xml:space="preserve">   </w:t>
      </w:r>
      <w:r>
        <w:rPr>
          <w:rFonts w:hint="eastAsia" w:hAnsi="宋体" w:cs="宋体"/>
        </w:rPr>
        <w:t>甲、乙双方根据巴音郭楞蒙古自治州政务服务和公共资源交易中心</w:t>
      </w:r>
      <w:r>
        <w:rPr>
          <w:rFonts w:hint="eastAsia" w:hAnsi="宋体" w:cs="宋体"/>
          <w:u w:val="single"/>
        </w:rPr>
        <w:t xml:space="preserve">                          组织的                                   </w:t>
      </w:r>
      <w:r>
        <w:rPr>
          <w:rFonts w:hint="eastAsia" w:hAnsi="宋体" w:cs="宋体"/>
        </w:rPr>
        <w:t>项目公开招标的结果，签署本合同。</w:t>
      </w:r>
    </w:p>
    <w:p>
      <w:pPr>
        <w:snapToGrid w:val="0"/>
        <w:spacing w:before="120" w:after="120"/>
        <w:rPr>
          <w:rFonts w:hAnsi="宋体" w:cs="宋体"/>
          <w:b/>
        </w:rPr>
      </w:pPr>
      <w:r>
        <w:rPr>
          <w:rFonts w:hint="eastAsia" w:hAnsi="宋体" w:cs="宋体"/>
          <w:b/>
        </w:rPr>
        <w:t>一、产品内容</w:t>
      </w:r>
    </w:p>
    <w:p>
      <w:pPr>
        <w:snapToGrid w:val="0"/>
        <w:spacing w:before="120" w:after="120"/>
        <w:rPr>
          <w:rFonts w:hAnsi="宋体" w:cs="宋体"/>
        </w:rPr>
      </w:pPr>
      <w:r>
        <w:rPr>
          <w:rFonts w:hint="eastAsia" w:hAnsi="宋体" w:cs="宋体"/>
        </w:rPr>
        <w:t>1.1 产品名称：</w:t>
      </w:r>
    </w:p>
    <w:p>
      <w:pPr>
        <w:snapToGrid w:val="0"/>
        <w:spacing w:before="120" w:after="120"/>
        <w:rPr>
          <w:rFonts w:hAnsi="宋体" w:cs="宋体"/>
        </w:rPr>
      </w:pPr>
      <w:r>
        <w:rPr>
          <w:rFonts w:hint="eastAsia" w:hAnsi="宋体" w:cs="宋体"/>
        </w:rPr>
        <w:t>1.2 型号规格：</w:t>
      </w:r>
    </w:p>
    <w:p>
      <w:pPr>
        <w:snapToGrid w:val="0"/>
        <w:spacing w:before="120" w:after="120"/>
        <w:rPr>
          <w:rFonts w:hAnsi="宋体" w:cs="宋体"/>
        </w:rPr>
      </w:pPr>
      <w:r>
        <w:rPr>
          <w:rFonts w:hint="eastAsia" w:hAnsi="宋体" w:cs="宋体"/>
        </w:rPr>
        <w:t>1.3 数量（单位）：</w:t>
      </w:r>
    </w:p>
    <w:p>
      <w:pPr>
        <w:snapToGrid w:val="0"/>
        <w:spacing w:before="120" w:after="120"/>
        <w:rPr>
          <w:rFonts w:hAnsi="宋体" w:cs="宋体"/>
          <w:b/>
        </w:rPr>
      </w:pPr>
      <w:r>
        <w:rPr>
          <w:rFonts w:hint="eastAsia" w:hAnsi="宋体" w:cs="宋体"/>
          <w:b/>
        </w:rPr>
        <w:t>二、合同金额</w:t>
      </w:r>
    </w:p>
    <w:p>
      <w:pPr>
        <w:snapToGrid w:val="0"/>
        <w:spacing w:before="120" w:after="120"/>
        <w:ind w:left="359" w:hanging="359" w:hangingChars="171"/>
        <w:rPr>
          <w:rFonts w:hAnsi="宋体" w:cs="宋体"/>
        </w:rPr>
      </w:pPr>
      <w:r>
        <w:rPr>
          <w:rFonts w:hint="eastAsia" w:hAnsi="宋体" w:cs="宋体"/>
        </w:rPr>
        <w:t>2.1 本合同金额为（大写）：____________________________________圆（_______________元）人民币或其他币种。</w:t>
      </w:r>
    </w:p>
    <w:p>
      <w:pPr>
        <w:snapToGrid w:val="0"/>
        <w:spacing w:before="120" w:after="120"/>
        <w:rPr>
          <w:rFonts w:hAnsi="宋体" w:cs="宋体"/>
          <w:b/>
        </w:rPr>
      </w:pPr>
      <w:r>
        <w:rPr>
          <w:rFonts w:hint="eastAsia" w:hAnsi="宋体" w:cs="宋体"/>
          <w:b/>
        </w:rPr>
        <w:t>三、技术资料</w:t>
      </w:r>
    </w:p>
    <w:p>
      <w:pPr>
        <w:snapToGrid w:val="0"/>
        <w:spacing w:before="120" w:after="120"/>
        <w:ind w:left="359" w:hanging="359" w:hangingChars="171"/>
        <w:rPr>
          <w:rFonts w:hAnsi="宋体" w:cs="宋体"/>
        </w:rPr>
      </w:pPr>
      <w:r>
        <w:rPr>
          <w:rFonts w:hint="eastAsia" w:hAnsi="宋体" w:cs="宋体"/>
        </w:rPr>
        <w:t>3.1乙方应按招标文件规定的时间向甲方提供使用货物的有关技术资料。</w:t>
      </w:r>
    </w:p>
    <w:p>
      <w:pPr>
        <w:snapToGrid w:val="0"/>
        <w:spacing w:before="120" w:after="120"/>
        <w:ind w:left="359" w:hanging="359" w:hangingChars="171"/>
        <w:rPr>
          <w:rFonts w:hAnsi="宋体" w:cs="宋体"/>
        </w:rPr>
      </w:pPr>
      <w:r>
        <w:rPr>
          <w:rFonts w:hint="eastAsia" w:hAnsi="宋体" w:cs="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ind w:left="360" w:hanging="361" w:hangingChars="171"/>
        <w:rPr>
          <w:rFonts w:hAnsi="宋体" w:cs="宋体"/>
          <w:b/>
        </w:rPr>
      </w:pPr>
      <w:r>
        <w:rPr>
          <w:rFonts w:hint="eastAsia" w:hAnsi="宋体" w:cs="宋体"/>
          <w:b/>
        </w:rPr>
        <w:t>四、知识产权</w:t>
      </w:r>
    </w:p>
    <w:p>
      <w:pPr>
        <w:spacing w:line="500" w:lineRule="exact"/>
        <w:rPr>
          <w:rFonts w:ascii="宋体" w:hAnsi="宋体" w:cs="宋体"/>
        </w:rPr>
      </w:pPr>
      <w:r>
        <w:rPr>
          <w:rFonts w:hint="eastAsia" w:ascii="宋体" w:hAnsi="宋体" w:cs="宋体"/>
        </w:rPr>
        <w:t>4.1乙方应保证甲方在使用、接受本合同货物和服务或其任何一部分时不受第三方提出侵犯其专利权、版权、商标权和工业设计权等知识产权的起诉。一旦出现侵权，由乙方负全部责任。</w:t>
      </w:r>
    </w:p>
    <w:p>
      <w:pPr>
        <w:snapToGrid w:val="0"/>
        <w:spacing w:before="120" w:after="120"/>
        <w:rPr>
          <w:rFonts w:hAnsi="宋体" w:cs="宋体"/>
          <w:u w:val="single"/>
        </w:rPr>
      </w:pPr>
      <w:r>
        <w:rPr>
          <w:rFonts w:hint="eastAsia" w:hAnsi="宋体" w:cs="宋体"/>
          <w:b/>
        </w:rPr>
        <w:t>五、产权担保</w:t>
      </w:r>
    </w:p>
    <w:p>
      <w:pPr>
        <w:snapToGrid w:val="0"/>
        <w:spacing w:before="120" w:after="120"/>
        <w:ind w:left="357" w:hanging="357" w:hangingChars="170"/>
        <w:rPr>
          <w:rFonts w:hAnsi="宋体" w:cs="宋体"/>
          <w:u w:val="single"/>
        </w:rPr>
      </w:pPr>
      <w:r>
        <w:rPr>
          <w:rFonts w:hint="eastAsia" w:hAnsi="宋体" w:cs="宋体"/>
        </w:rPr>
        <w:t>5.1 乙方保证所交付的产品的所有权完全属于乙方且无任何抵押、查封等产权瑕疵。</w:t>
      </w:r>
    </w:p>
    <w:p>
      <w:pPr>
        <w:snapToGrid w:val="0"/>
        <w:spacing w:before="145" w:beforeLines="50" w:after="145" w:afterLines="50"/>
        <w:rPr>
          <w:rFonts w:ascii="宋体" w:hAnsi="宋体" w:cs="宋体"/>
          <w:b/>
        </w:rPr>
      </w:pPr>
      <w:r>
        <w:rPr>
          <w:rFonts w:hint="eastAsia" w:ascii="宋体" w:hAnsi="宋体" w:cs="宋体"/>
          <w:b/>
        </w:rPr>
        <w:t>六、转包或分包</w:t>
      </w:r>
    </w:p>
    <w:p>
      <w:pPr>
        <w:snapToGrid w:val="0"/>
        <w:spacing w:before="145" w:beforeLines="50" w:after="145" w:afterLines="50"/>
        <w:rPr>
          <w:rFonts w:ascii="宋体" w:hAnsi="宋体" w:cs="宋体"/>
        </w:rPr>
      </w:pPr>
      <w:r>
        <w:rPr>
          <w:rFonts w:hint="eastAsia" w:ascii="宋体" w:hAnsi="宋体" w:cs="宋体"/>
        </w:rPr>
        <w:t>6.1本合同范围的产品，应由乙方直接供应，不得转让他人供应；</w:t>
      </w:r>
    </w:p>
    <w:p>
      <w:pPr>
        <w:snapToGrid w:val="0"/>
        <w:spacing w:before="145" w:beforeLines="50" w:after="145" w:afterLines="50"/>
        <w:rPr>
          <w:rFonts w:ascii="宋体" w:hAnsi="宋体" w:cs="宋体"/>
        </w:rPr>
      </w:pPr>
      <w:r>
        <w:rPr>
          <w:rFonts w:hint="eastAsia" w:ascii="宋体" w:hAnsi="宋体" w:cs="宋体"/>
        </w:rPr>
        <w:t>6.2 除非得到甲方的书面同意，乙方不得部分分包给他人供应。</w:t>
      </w:r>
    </w:p>
    <w:p>
      <w:pPr>
        <w:snapToGrid w:val="0"/>
        <w:spacing w:before="145" w:beforeLines="50" w:after="145" w:afterLines="50"/>
        <w:rPr>
          <w:rFonts w:ascii="宋体" w:hAnsi="宋体" w:cs="宋体"/>
        </w:rPr>
      </w:pPr>
      <w:r>
        <w:rPr>
          <w:rFonts w:hint="eastAsia" w:ascii="宋体" w:hAnsi="宋体" w:cs="宋体"/>
        </w:rPr>
        <w:t>6.3如有转让和未经甲方同意的分包行为，甲方有权给予终止合同。</w:t>
      </w:r>
    </w:p>
    <w:p>
      <w:pPr>
        <w:snapToGrid w:val="0"/>
        <w:spacing w:before="120" w:after="120"/>
        <w:rPr>
          <w:rFonts w:hAnsi="宋体" w:cs="宋体"/>
        </w:rPr>
      </w:pPr>
      <w:r>
        <w:rPr>
          <w:rFonts w:hint="eastAsia" w:hAnsi="宋体" w:cs="宋体"/>
          <w:b/>
        </w:rPr>
        <w:t>七、质保期</w:t>
      </w:r>
    </w:p>
    <w:p>
      <w:pPr>
        <w:snapToGrid w:val="0"/>
        <w:spacing w:before="120" w:after="120"/>
        <w:rPr>
          <w:rFonts w:hAnsi="宋体" w:cs="宋体"/>
        </w:rPr>
      </w:pPr>
      <w:r>
        <w:rPr>
          <w:rFonts w:hint="eastAsia" w:hAnsi="宋体" w:cs="宋体"/>
        </w:rPr>
        <w:t>8.1 质保期</w:t>
      </w:r>
      <w:r>
        <w:rPr>
          <w:rFonts w:hint="eastAsia" w:hAnsi="宋体" w:cs="宋体"/>
          <w:u w:val="single"/>
        </w:rPr>
        <w:t xml:space="preserve">      </w:t>
      </w:r>
      <w:r>
        <w:rPr>
          <w:rFonts w:hint="eastAsia" w:hAnsi="宋体" w:cs="宋体"/>
        </w:rPr>
        <w:t>年。（自交货验收合格之日起计）</w:t>
      </w:r>
    </w:p>
    <w:p>
      <w:pPr>
        <w:snapToGrid w:val="0"/>
        <w:spacing w:before="120" w:after="120"/>
        <w:rPr>
          <w:rFonts w:hAnsi="宋体" w:cs="宋体"/>
          <w:b/>
        </w:rPr>
      </w:pPr>
      <w:r>
        <w:rPr>
          <w:rFonts w:hint="eastAsia" w:hAnsi="宋体" w:cs="宋体"/>
          <w:b/>
        </w:rPr>
        <w:t>八、交货期、交货方式及交货地点</w:t>
      </w:r>
    </w:p>
    <w:p>
      <w:pPr>
        <w:snapToGrid w:val="0"/>
        <w:spacing w:before="120" w:after="120"/>
        <w:rPr>
          <w:rFonts w:hAnsi="宋体" w:cs="宋体"/>
          <w:bCs/>
        </w:rPr>
      </w:pPr>
      <w:r>
        <w:rPr>
          <w:rFonts w:hint="eastAsia" w:hAnsi="宋体" w:cs="宋体"/>
          <w:bCs/>
        </w:rPr>
        <w:t>8.1 交货期：</w:t>
      </w:r>
      <w:r>
        <w:rPr>
          <w:rFonts w:hint="eastAsia" w:hAnsi="宋体" w:cs="宋体"/>
        </w:rPr>
        <w:t>__</w:t>
      </w:r>
      <w:r>
        <w:rPr>
          <w:rFonts w:hint="eastAsia" w:hAnsi="宋体" w:cs="宋体"/>
          <w:u w:val="single"/>
        </w:rPr>
        <w:t xml:space="preserve">    </w:t>
      </w:r>
      <w:r>
        <w:rPr>
          <w:rFonts w:hint="eastAsia" w:hAnsi="宋体" w:cs="宋体"/>
        </w:rPr>
        <w:t>____</w:t>
      </w:r>
    </w:p>
    <w:p>
      <w:pPr>
        <w:snapToGrid w:val="0"/>
        <w:spacing w:before="120" w:after="120"/>
        <w:rPr>
          <w:rFonts w:hAnsi="宋体" w:cs="宋体"/>
          <w:bCs/>
        </w:rPr>
      </w:pPr>
      <w:r>
        <w:rPr>
          <w:rFonts w:hint="eastAsia" w:hAnsi="宋体" w:cs="宋体"/>
          <w:bCs/>
        </w:rPr>
        <w:t>8.2 交货方式：</w:t>
      </w:r>
      <w:r>
        <w:rPr>
          <w:rFonts w:hint="eastAsia" w:hAnsi="宋体" w:cs="宋体"/>
        </w:rPr>
        <w:t>___________</w:t>
      </w:r>
    </w:p>
    <w:p>
      <w:pPr>
        <w:snapToGrid w:val="0"/>
        <w:spacing w:before="120" w:after="120"/>
        <w:rPr>
          <w:rFonts w:hAnsi="宋体" w:cs="宋体"/>
          <w:b/>
        </w:rPr>
      </w:pPr>
      <w:r>
        <w:rPr>
          <w:rFonts w:hint="eastAsia" w:hAnsi="宋体" w:cs="宋体"/>
          <w:bCs/>
        </w:rPr>
        <w:t>8.3 交货地点：</w:t>
      </w:r>
      <w:r>
        <w:rPr>
          <w:rFonts w:hint="eastAsia" w:hAnsi="宋体" w:cs="宋体"/>
        </w:rPr>
        <w:t>__</w:t>
      </w:r>
      <w:r>
        <w:rPr>
          <w:rFonts w:hint="eastAsia" w:hAnsi="宋体" w:cs="宋体"/>
          <w:u w:val="single"/>
        </w:rPr>
        <w:t xml:space="preserve">       </w:t>
      </w:r>
      <w:r>
        <w:rPr>
          <w:rFonts w:hint="eastAsia" w:hAnsi="宋体" w:cs="宋体"/>
        </w:rPr>
        <w:t>___</w:t>
      </w:r>
    </w:p>
    <w:p>
      <w:pPr>
        <w:snapToGrid w:val="0"/>
        <w:spacing w:before="120" w:after="120"/>
        <w:rPr>
          <w:rFonts w:hAnsi="宋体" w:cs="宋体"/>
          <w:bCs/>
        </w:rPr>
      </w:pPr>
      <w:r>
        <w:rPr>
          <w:rFonts w:hint="eastAsia" w:hAnsi="宋体" w:cs="宋体"/>
          <w:b/>
        </w:rPr>
        <w:t>九、货款支付</w:t>
      </w:r>
    </w:p>
    <w:p>
      <w:pPr>
        <w:snapToGrid w:val="0"/>
        <w:spacing w:before="120" w:after="120"/>
        <w:rPr>
          <w:rFonts w:hAnsi="宋体" w:cs="宋体"/>
          <w:bCs/>
        </w:rPr>
      </w:pPr>
      <w:r>
        <w:rPr>
          <w:rFonts w:hint="eastAsia" w:hAnsi="宋体" w:cs="宋体"/>
          <w:bCs/>
        </w:rPr>
        <w:t>9.1 采购资金的支付方式、时间及条件：</w:t>
      </w:r>
      <w:r>
        <w:rPr>
          <w:rFonts w:hint="eastAsia" w:hAnsi="宋体" w:cs="宋体"/>
        </w:rPr>
        <w:t>_________</w:t>
      </w:r>
    </w:p>
    <w:p>
      <w:pPr>
        <w:snapToGrid w:val="0"/>
        <w:spacing w:before="120" w:after="120"/>
        <w:ind w:left="420" w:hanging="420" w:hangingChars="200"/>
        <w:rPr>
          <w:rFonts w:hAnsi="宋体" w:cs="宋体"/>
          <w:bCs/>
        </w:rPr>
      </w:pPr>
      <w:r>
        <w:rPr>
          <w:rFonts w:hint="eastAsia" w:hAnsi="宋体" w:cs="宋体"/>
          <w:bCs/>
        </w:rPr>
        <w:t>9.2</w:t>
      </w:r>
      <w:r>
        <w:rPr>
          <w:rFonts w:hint="eastAsia" w:hAnsi="宋体" w:cs="宋体"/>
        </w:rPr>
        <w:t>当采购数量与实际使用数量不一致时，乙方应根据实际使用量供货，合同的最终结算金额按实际使用量乘以成交单价进行计算。</w:t>
      </w:r>
    </w:p>
    <w:p>
      <w:pPr>
        <w:snapToGrid w:val="0"/>
        <w:spacing w:before="145" w:beforeLines="50" w:after="145" w:afterLines="50"/>
        <w:rPr>
          <w:rFonts w:ascii="宋体" w:hAnsi="宋体" w:cs="宋体"/>
          <w:b/>
        </w:rPr>
      </w:pPr>
      <w:r>
        <w:rPr>
          <w:rFonts w:hint="eastAsia" w:ascii="宋体" w:hAnsi="宋体" w:cs="宋体"/>
          <w:b/>
        </w:rPr>
        <w:t>十.税费</w:t>
      </w:r>
    </w:p>
    <w:p>
      <w:pPr>
        <w:snapToGrid w:val="0"/>
        <w:spacing w:before="145" w:beforeLines="50" w:after="145" w:afterLines="50"/>
        <w:rPr>
          <w:rFonts w:ascii="宋体" w:hAnsi="宋体" w:cs="宋体"/>
        </w:rPr>
      </w:pPr>
      <w:r>
        <w:rPr>
          <w:rFonts w:hint="eastAsia" w:ascii="宋体" w:hAnsi="宋体" w:cs="宋体"/>
        </w:rPr>
        <w:t>10.1本合同执行中相关的一切税费均由乙方负担。</w:t>
      </w:r>
    </w:p>
    <w:p>
      <w:pPr>
        <w:snapToGrid w:val="0"/>
        <w:spacing w:before="120" w:after="120"/>
        <w:ind w:left="360" w:hanging="361" w:hangingChars="171"/>
        <w:rPr>
          <w:rFonts w:hAnsi="宋体" w:cs="宋体"/>
        </w:rPr>
      </w:pPr>
      <w:r>
        <w:rPr>
          <w:rFonts w:hint="eastAsia" w:hAnsi="宋体" w:cs="宋体"/>
          <w:b/>
        </w:rPr>
        <w:t>十一、质量保证及售后服务</w:t>
      </w:r>
    </w:p>
    <w:p>
      <w:pPr>
        <w:snapToGrid w:val="0"/>
        <w:spacing w:before="120" w:after="120"/>
        <w:ind w:left="359" w:hanging="359" w:hangingChars="171"/>
        <w:rPr>
          <w:rFonts w:hAnsi="宋体" w:cs="宋体"/>
        </w:rPr>
      </w:pPr>
      <w:r>
        <w:rPr>
          <w:rFonts w:hint="eastAsia" w:hAnsi="宋体" w:cs="宋体"/>
        </w:rPr>
        <w:t>11.1 乙方应按招标文件规定的货物性能、技术要求、质量标准向甲方提供未经使用的全新产品。</w:t>
      </w:r>
    </w:p>
    <w:p>
      <w:pPr>
        <w:snapToGrid w:val="0"/>
        <w:spacing w:before="120" w:after="120"/>
        <w:ind w:left="420" w:hanging="420" w:hangingChars="200"/>
        <w:rPr>
          <w:rFonts w:hAnsi="宋体" w:cs="宋体"/>
        </w:rPr>
      </w:pPr>
      <w:r>
        <w:rPr>
          <w:rFonts w:hint="eastAsia" w:hAnsi="宋体" w:cs="宋体"/>
        </w:rPr>
        <w:t>11.2 乙方提供的货物在质保期内因产品本身的质量问题发生故障，乙方应负责免费更换。对达不到技术要求者，根据实际情况，经双方协商，可按以下办法处理：</w:t>
      </w:r>
    </w:p>
    <w:p>
      <w:pPr>
        <w:snapToGrid w:val="0"/>
        <w:spacing w:before="120" w:after="120"/>
        <w:ind w:firstLine="420"/>
        <w:rPr>
          <w:rFonts w:hAnsi="宋体" w:cs="宋体"/>
        </w:rPr>
      </w:pPr>
      <w:r>
        <w:rPr>
          <w:rFonts w:hint="eastAsia" w:hAnsi="宋体" w:cs="宋体"/>
        </w:rPr>
        <w:t>⑴更换：由乙方承担所发生的全部费用。</w:t>
      </w:r>
    </w:p>
    <w:p>
      <w:pPr>
        <w:snapToGrid w:val="0"/>
        <w:spacing w:before="120" w:after="120"/>
        <w:ind w:firstLine="420"/>
        <w:rPr>
          <w:rFonts w:hAnsi="宋体" w:cs="宋体"/>
        </w:rPr>
      </w:pPr>
      <w:r>
        <w:rPr>
          <w:rFonts w:hint="eastAsia" w:hAnsi="宋体" w:cs="宋体"/>
        </w:rPr>
        <w:t>⑵贬值处理：由甲乙双方合议定价。</w:t>
      </w:r>
    </w:p>
    <w:p>
      <w:pPr>
        <w:snapToGrid w:val="0"/>
        <w:spacing w:before="120" w:after="120"/>
        <w:ind w:left="420" w:leftChars="200"/>
        <w:rPr>
          <w:rFonts w:hAnsi="宋体" w:cs="宋体"/>
        </w:rPr>
      </w:pPr>
      <w:r>
        <w:rPr>
          <w:rFonts w:hint="eastAsia" w:hAnsi="宋体" w:cs="宋体"/>
        </w:rPr>
        <w:t>⑶退货处理：乙方应退还甲方支付的合同款，同时应承担该产品的直接费用（运输、保险、检验、货款利息及银行手续费等）。</w:t>
      </w:r>
    </w:p>
    <w:p>
      <w:pPr>
        <w:snapToGrid w:val="0"/>
        <w:spacing w:before="120" w:after="120"/>
        <w:rPr>
          <w:rFonts w:hAnsi="宋体" w:cs="宋体"/>
        </w:rPr>
      </w:pPr>
      <w:r>
        <w:rPr>
          <w:rFonts w:hint="eastAsia" w:hAnsi="宋体" w:cs="宋体"/>
        </w:rPr>
        <w:t>11.3 如在使用过程中发生质量问题，乙方在接到甲方通知后在_____小时内到达甲方现场。</w:t>
      </w:r>
    </w:p>
    <w:p>
      <w:pPr>
        <w:snapToGrid w:val="0"/>
        <w:spacing w:before="120" w:after="120"/>
        <w:rPr>
          <w:rFonts w:hAnsi="宋体" w:cs="宋体"/>
        </w:rPr>
      </w:pPr>
      <w:r>
        <w:rPr>
          <w:rFonts w:hint="eastAsia" w:hAnsi="宋体" w:cs="宋体"/>
        </w:rPr>
        <w:t>11.4 在质保期内，乙方应对产品出现的质量及安全问题负责处理解决并承担一切费用。</w:t>
      </w:r>
    </w:p>
    <w:p>
      <w:pPr>
        <w:snapToGrid w:val="0"/>
        <w:spacing w:before="120" w:after="120"/>
        <w:ind w:left="420" w:hanging="420" w:hangingChars="200"/>
        <w:rPr>
          <w:rFonts w:hAnsi="宋体" w:cs="宋体"/>
        </w:rPr>
      </w:pPr>
      <w:r>
        <w:rPr>
          <w:rFonts w:hint="eastAsia" w:hAnsi="宋体" w:cs="宋体"/>
        </w:rPr>
        <w:t>11.5上述的产品的免费保修期为</w:t>
      </w:r>
      <w:r>
        <w:rPr>
          <w:rFonts w:hint="eastAsia" w:hAnsi="宋体" w:cs="宋体"/>
          <w:u w:val="single"/>
        </w:rPr>
        <w:t xml:space="preserve">    </w:t>
      </w:r>
      <w:r>
        <w:rPr>
          <w:rFonts w:hint="eastAsia" w:hAnsi="宋体" w:cs="宋体"/>
        </w:rPr>
        <w:t>年，因人为因素出现的故障不在免费保修范围内。超过保修期后，终生维修，维修时只收部件成本费。</w:t>
      </w:r>
    </w:p>
    <w:p>
      <w:pPr>
        <w:snapToGrid w:val="0"/>
        <w:spacing w:before="120" w:after="120"/>
        <w:rPr>
          <w:rFonts w:hAnsi="宋体" w:cs="宋体"/>
          <w:b/>
        </w:rPr>
      </w:pPr>
      <w:r>
        <w:rPr>
          <w:rFonts w:hint="eastAsia" w:hAnsi="宋体" w:cs="宋体"/>
          <w:b/>
        </w:rPr>
        <w:t>十二、调试和验收</w:t>
      </w:r>
    </w:p>
    <w:p>
      <w:pPr>
        <w:snapToGrid w:val="0"/>
        <w:spacing w:before="120" w:after="120"/>
        <w:ind w:left="420" w:hanging="420" w:hangingChars="200"/>
        <w:rPr>
          <w:rFonts w:hAnsi="宋体" w:cs="宋体"/>
        </w:rPr>
      </w:pPr>
      <w:r>
        <w:rPr>
          <w:rFonts w:hint="eastAsia" w:hAnsi="宋体" w:cs="宋体"/>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before="120" w:after="120"/>
        <w:ind w:left="420" w:hanging="420" w:hangingChars="200"/>
        <w:rPr>
          <w:rFonts w:hAnsi="宋体" w:cs="宋体"/>
        </w:rPr>
      </w:pPr>
      <w:r>
        <w:rPr>
          <w:rFonts w:hint="eastAsia" w:hAnsi="宋体" w:cs="宋体"/>
        </w:rPr>
        <w:t>12.2 乙方交货前应对产品做出全面检查和对验收文件进行整理，并列出清单，作为甲方收货验收和使用的技术条件依据，检验的结果应随货物交甲方。</w:t>
      </w:r>
    </w:p>
    <w:p>
      <w:pPr>
        <w:snapToGrid w:val="0"/>
        <w:spacing w:before="120" w:after="120"/>
        <w:ind w:left="420" w:hanging="420" w:hangingChars="200"/>
        <w:rPr>
          <w:rFonts w:hAnsi="宋体" w:cs="宋体"/>
          <w:u w:val="single"/>
        </w:rPr>
      </w:pPr>
      <w:r>
        <w:rPr>
          <w:rFonts w:hint="eastAsia" w:hAnsi="宋体" w:cs="宋体"/>
        </w:rPr>
        <w:t>12.3 甲方对乙方提供的货物在使用前进行调试时，乙方需负责安装并培训甲方的使用操作人员，并协助甲方一起调试，直到符合技术要求，甲方才做最终验收。</w:t>
      </w:r>
    </w:p>
    <w:p>
      <w:pPr>
        <w:snapToGrid w:val="0"/>
        <w:spacing w:before="120" w:after="120"/>
        <w:ind w:left="420" w:hanging="420" w:hangingChars="200"/>
        <w:rPr>
          <w:rFonts w:hAnsi="宋体" w:cs="宋体"/>
        </w:rPr>
      </w:pPr>
      <w:r>
        <w:rPr>
          <w:rFonts w:hint="eastAsia" w:hAnsi="宋体" w:cs="宋体"/>
        </w:rPr>
        <w:t>12.4 对技术复杂的货物，甲方可请国家认可的专业检测机构参与初步验收及最终验收，并由其出具质量检测报告。</w:t>
      </w:r>
    </w:p>
    <w:p>
      <w:pPr>
        <w:snapToGrid w:val="0"/>
        <w:spacing w:before="120" w:after="120"/>
        <w:ind w:left="420" w:hanging="420" w:hangingChars="200"/>
        <w:rPr>
          <w:rFonts w:hAnsi="宋体" w:cs="宋体"/>
        </w:rPr>
      </w:pPr>
      <w:r>
        <w:rPr>
          <w:rFonts w:hint="eastAsia" w:hAnsi="宋体" w:cs="宋体"/>
        </w:rPr>
        <w:t>12.5 验收时乙方必须在现场，验收完毕后作出验收结果报告；验收费用由甲乙双方协商解决。</w:t>
      </w:r>
    </w:p>
    <w:p>
      <w:pPr>
        <w:snapToGrid w:val="0"/>
        <w:spacing w:before="120" w:after="120"/>
        <w:rPr>
          <w:rFonts w:hAnsi="宋体" w:cs="宋体"/>
          <w:b/>
        </w:rPr>
      </w:pPr>
      <w:r>
        <w:rPr>
          <w:rFonts w:hint="eastAsia" w:hAnsi="宋体" w:cs="宋体"/>
          <w:b/>
        </w:rPr>
        <w:t>十三、产品包装、发运及运输</w:t>
      </w:r>
    </w:p>
    <w:p>
      <w:pPr>
        <w:snapToGrid w:val="0"/>
        <w:spacing w:before="120" w:after="120"/>
        <w:ind w:left="420" w:hanging="420" w:hangingChars="200"/>
        <w:rPr>
          <w:rFonts w:hAnsi="宋体" w:cs="宋体"/>
        </w:rPr>
      </w:pPr>
      <w:r>
        <w:rPr>
          <w:rFonts w:hint="eastAsia" w:hAnsi="宋体" w:cs="宋体"/>
        </w:rPr>
        <w:t>13.1 乙方应在产品发运前对其进行满足运输距离、防潮、防震、防锈和防破损装卸等要求包装，以保证产品安全运达甲方指定地点。</w:t>
      </w:r>
    </w:p>
    <w:p>
      <w:pPr>
        <w:snapToGrid w:val="0"/>
        <w:spacing w:before="120" w:after="120"/>
        <w:ind w:left="420" w:hanging="420" w:hangingChars="200"/>
        <w:rPr>
          <w:rFonts w:hAnsi="宋体" w:cs="宋体"/>
        </w:rPr>
      </w:pPr>
      <w:r>
        <w:rPr>
          <w:rFonts w:hint="eastAsia" w:hAnsi="宋体" w:cs="宋体"/>
        </w:rPr>
        <w:t>13.2 使用说明书、质量检验证明书、随配附件和工具以及清单一并附于产品内。</w:t>
      </w:r>
    </w:p>
    <w:p>
      <w:pPr>
        <w:snapToGrid w:val="0"/>
        <w:spacing w:before="120" w:after="120"/>
        <w:ind w:left="420" w:hanging="420" w:hangingChars="200"/>
        <w:rPr>
          <w:rFonts w:hAnsi="宋体" w:cs="宋体"/>
        </w:rPr>
      </w:pPr>
      <w:r>
        <w:rPr>
          <w:rFonts w:hint="eastAsia" w:hAnsi="宋体" w:cs="宋体"/>
        </w:rPr>
        <w:t>13.3 乙方在产品发运手续办理完毕后24小时内或货到甲方48小时前通知甲方，以准备接货。</w:t>
      </w:r>
    </w:p>
    <w:p>
      <w:pPr>
        <w:snapToGrid w:val="0"/>
        <w:spacing w:before="120" w:after="120"/>
        <w:ind w:left="420" w:hanging="420" w:hangingChars="200"/>
        <w:rPr>
          <w:rFonts w:hAnsi="宋体" w:cs="宋体"/>
        </w:rPr>
      </w:pPr>
      <w:r>
        <w:rPr>
          <w:rFonts w:hint="eastAsia" w:hAnsi="宋体" w:cs="宋体"/>
        </w:rPr>
        <w:t>13.4 产品在交付甲方前发生的风险均由乙方负责。</w:t>
      </w:r>
    </w:p>
    <w:p>
      <w:pPr>
        <w:snapToGrid w:val="0"/>
        <w:spacing w:before="156" w:after="156"/>
        <w:ind w:left="420" w:right="26" w:hanging="420" w:hangingChars="200"/>
        <w:rPr>
          <w:rFonts w:hAnsi="宋体" w:cs="宋体"/>
        </w:rPr>
      </w:pPr>
      <w:r>
        <w:rPr>
          <w:rFonts w:hint="eastAsia" w:hAnsi="宋体" w:cs="宋体"/>
        </w:rPr>
        <w:t>13.5 产品在规定的交付期限内由乙方送达甲方指定的地点视为交付，乙方同时需通知甲方产品已送达。</w:t>
      </w:r>
    </w:p>
    <w:p>
      <w:pPr>
        <w:snapToGrid w:val="0"/>
        <w:spacing w:before="120" w:after="120"/>
        <w:rPr>
          <w:rFonts w:hAnsi="宋体" w:cs="宋体"/>
          <w:b/>
        </w:rPr>
      </w:pPr>
      <w:r>
        <w:rPr>
          <w:rFonts w:hint="eastAsia" w:hAnsi="宋体" w:cs="宋体"/>
          <w:b/>
        </w:rPr>
        <w:t>十四、违约责任</w:t>
      </w:r>
    </w:p>
    <w:p>
      <w:pPr>
        <w:snapToGrid w:val="0"/>
        <w:spacing w:before="120" w:after="120"/>
        <w:ind w:left="359" w:hanging="359" w:hangingChars="171"/>
        <w:rPr>
          <w:rFonts w:hAnsi="宋体" w:cs="宋体"/>
        </w:rPr>
      </w:pPr>
      <w:r>
        <w:rPr>
          <w:rFonts w:hint="eastAsia" w:hAnsi="宋体" w:cs="宋体"/>
        </w:rPr>
        <w:t>14.1 甲方无正当理由拒收产品的，甲方向乙方偿付拒收货款总值的百分之五违约金。</w:t>
      </w:r>
    </w:p>
    <w:p>
      <w:pPr>
        <w:snapToGrid w:val="0"/>
        <w:spacing w:before="120" w:after="120"/>
        <w:ind w:left="359" w:hanging="359" w:hangingChars="171"/>
        <w:rPr>
          <w:rFonts w:hAnsi="宋体" w:cs="宋体"/>
        </w:rPr>
      </w:pPr>
      <w:r>
        <w:rPr>
          <w:rFonts w:hint="eastAsia" w:hAnsi="宋体" w:cs="宋体"/>
        </w:rPr>
        <w:t>14.2 甲方无故逾期验收和办理货款支付手续的,甲方应按逾期付款总额每日万分之五向乙方支付违约金。</w:t>
      </w:r>
    </w:p>
    <w:p>
      <w:pPr>
        <w:snapToGrid w:val="0"/>
        <w:spacing w:before="120" w:after="120"/>
        <w:ind w:left="359" w:hanging="359" w:hangingChars="171"/>
        <w:rPr>
          <w:rFonts w:hAnsi="宋体" w:cs="宋体"/>
        </w:rPr>
      </w:pPr>
      <w:r>
        <w:rPr>
          <w:rFonts w:hint="eastAsia" w:hAnsi="宋体" w:cs="宋体"/>
        </w:rPr>
        <w:t xml:space="preserve">14.3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before="120" w:after="120"/>
        <w:ind w:left="359" w:hanging="359" w:hangingChars="171"/>
        <w:rPr>
          <w:rFonts w:hAnsi="宋体" w:cs="宋体"/>
        </w:rPr>
      </w:pPr>
      <w:r>
        <w:rPr>
          <w:rFonts w:hint="eastAsia" w:hAnsi="宋体" w:cs="宋体"/>
        </w:rPr>
        <w:t>14.4 乙方所交的货物品种、型号、规格、技术参数、质量不符合合同规定及招标文件规定标准的，甲方有权拒收该货物，乙方愿意更换货物但逾期交货的，按乙方逾期交货处理。乙方拒绝更换产品的，甲方可单方面解除合同。</w:t>
      </w:r>
    </w:p>
    <w:p>
      <w:pPr>
        <w:snapToGrid w:val="0"/>
        <w:spacing w:before="120" w:after="120"/>
        <w:rPr>
          <w:rFonts w:hAnsi="宋体" w:cs="宋体"/>
          <w:b/>
        </w:rPr>
      </w:pPr>
      <w:r>
        <w:rPr>
          <w:rFonts w:hint="eastAsia" w:hAnsi="宋体" w:cs="宋体"/>
          <w:b/>
        </w:rPr>
        <w:t>十五、不可抗力事件处理</w:t>
      </w:r>
    </w:p>
    <w:p>
      <w:pPr>
        <w:snapToGrid w:val="0"/>
        <w:spacing w:before="120" w:after="120"/>
        <w:ind w:left="420" w:hanging="420" w:hangingChars="200"/>
        <w:rPr>
          <w:rFonts w:hAnsi="宋体" w:cs="宋体"/>
        </w:rPr>
      </w:pPr>
      <w:r>
        <w:rPr>
          <w:rFonts w:hint="eastAsia" w:hAnsi="宋体" w:cs="宋体"/>
        </w:rPr>
        <w:t>15.1 在合同有效期内，任何一方因不可抗力事件导致不能履行合同，则合同履行期可延长，其延长期与不可抗力影响期相同。</w:t>
      </w:r>
    </w:p>
    <w:p>
      <w:pPr>
        <w:snapToGrid w:val="0"/>
        <w:spacing w:before="120" w:after="120"/>
        <w:rPr>
          <w:rFonts w:hAnsi="宋体" w:cs="宋体"/>
        </w:rPr>
      </w:pPr>
      <w:r>
        <w:rPr>
          <w:rFonts w:hint="eastAsia" w:hAnsi="宋体" w:cs="宋体"/>
        </w:rPr>
        <w:t>15.2 不可抗力事件发生后，应立即通知对方，并寄送有关权威机构出具的证明。</w:t>
      </w:r>
    </w:p>
    <w:p>
      <w:pPr>
        <w:snapToGrid w:val="0"/>
        <w:spacing w:before="120" w:after="120"/>
        <w:rPr>
          <w:rFonts w:hAnsi="宋体" w:cs="宋体"/>
        </w:rPr>
      </w:pPr>
      <w:r>
        <w:rPr>
          <w:rFonts w:hint="eastAsia" w:hAnsi="宋体" w:cs="宋体"/>
        </w:rPr>
        <w:t>15.3 不可抗力事件延续120天以上，双方应通过友好协商，确定是否继续履行合同。</w:t>
      </w:r>
    </w:p>
    <w:p>
      <w:pPr>
        <w:snapToGrid w:val="0"/>
        <w:spacing w:before="120" w:after="120"/>
        <w:rPr>
          <w:rFonts w:hAnsi="宋体" w:cs="宋体"/>
          <w:b/>
        </w:rPr>
      </w:pPr>
      <w:r>
        <w:rPr>
          <w:rFonts w:hint="eastAsia" w:hAnsi="宋体" w:cs="宋体"/>
          <w:b/>
        </w:rPr>
        <w:t>十六、诉讼</w:t>
      </w:r>
    </w:p>
    <w:p>
      <w:pPr>
        <w:snapToGrid w:val="0"/>
        <w:spacing w:before="120" w:after="120"/>
        <w:ind w:left="420" w:hanging="420" w:hangingChars="200"/>
        <w:rPr>
          <w:rFonts w:hAnsi="宋体" w:cs="宋体"/>
        </w:rPr>
      </w:pPr>
      <w:r>
        <w:rPr>
          <w:rFonts w:hint="eastAsia" w:hAnsi="宋体" w:cs="宋体"/>
        </w:rPr>
        <w:t>16.1 双方在执行合同中所发生的一切争议，应通过协商解决。如协商不成，可向合同签订地法院起诉，合同签订地在此约定为</w:t>
      </w:r>
      <w:r>
        <w:rPr>
          <w:rFonts w:hint="eastAsia" w:hAnsi="宋体" w:cs="宋体"/>
          <w:u w:val="single"/>
        </w:rPr>
        <w:t xml:space="preserve">        </w:t>
      </w:r>
      <w:r>
        <w:rPr>
          <w:rFonts w:hint="eastAsia" w:hAnsi="宋体" w:cs="宋体"/>
        </w:rPr>
        <w:t>。</w:t>
      </w:r>
    </w:p>
    <w:p>
      <w:pPr>
        <w:snapToGrid w:val="0"/>
        <w:spacing w:before="120" w:after="120"/>
        <w:rPr>
          <w:rFonts w:hAnsi="宋体" w:cs="宋体"/>
          <w:b/>
        </w:rPr>
      </w:pPr>
      <w:r>
        <w:rPr>
          <w:rFonts w:hint="eastAsia" w:hAnsi="宋体" w:cs="宋体"/>
          <w:b/>
        </w:rPr>
        <w:t>十七、合同生效及其它</w:t>
      </w:r>
    </w:p>
    <w:p>
      <w:pPr>
        <w:snapToGrid w:val="0"/>
        <w:spacing w:before="120" w:after="120"/>
        <w:rPr>
          <w:rFonts w:hAnsi="宋体" w:cs="宋体"/>
        </w:rPr>
      </w:pPr>
      <w:r>
        <w:rPr>
          <w:rFonts w:hint="eastAsia" w:hAnsi="宋体" w:cs="宋体"/>
        </w:rPr>
        <w:t>17.1合同经双方法定代表人或授权委托代表人签字并加盖单位公章后生效。</w:t>
      </w:r>
    </w:p>
    <w:p>
      <w:pPr>
        <w:snapToGrid w:val="0"/>
        <w:spacing w:before="120" w:after="120"/>
        <w:rPr>
          <w:rFonts w:hAnsi="宋体" w:cs="宋体"/>
        </w:rPr>
      </w:pPr>
      <w:r>
        <w:rPr>
          <w:rFonts w:hint="eastAsia" w:hAnsi="宋体" w:cs="宋体"/>
        </w:rPr>
        <w:t>17.2本合同未尽事宜，遵照《合同法》有关条文执行。</w:t>
      </w:r>
    </w:p>
    <w:p>
      <w:pPr>
        <w:snapToGrid w:val="0"/>
        <w:spacing w:before="120" w:after="120"/>
        <w:ind w:left="420" w:hanging="420" w:hangingChars="200"/>
        <w:rPr>
          <w:rFonts w:hAnsi="宋体" w:cs="宋体"/>
        </w:rPr>
      </w:pPr>
      <w:r>
        <w:rPr>
          <w:rFonts w:hint="eastAsia" w:hAnsi="宋体" w:cs="宋体"/>
        </w:rPr>
        <w:t>17.3本合同正本一式三份，具有同等法律效力，甲方、乙方及财政监管部门各执一份。</w:t>
      </w:r>
    </w:p>
    <w:p>
      <w:pPr>
        <w:snapToGrid w:val="0"/>
        <w:spacing w:before="120" w:after="120"/>
        <w:ind w:left="420" w:hanging="420" w:hangingChars="200"/>
        <w:rPr>
          <w:rFonts w:hAnsi="宋体" w:cs="宋体"/>
        </w:rPr>
      </w:pPr>
    </w:p>
    <w:p>
      <w:pPr>
        <w:snapToGrid w:val="0"/>
        <w:spacing w:before="120" w:after="120" w:line="0" w:lineRule="atLeast"/>
        <w:ind w:left="420" w:hanging="420" w:hangingChars="200"/>
        <w:rPr>
          <w:rFonts w:hAnsi="宋体" w:cs="宋体"/>
        </w:rPr>
      </w:pPr>
      <w:r>
        <w:rPr>
          <w:rFonts w:hint="eastAsia" w:hAnsi="宋体" w:cs="宋体"/>
        </w:rPr>
        <w:t xml:space="preserve">  甲方：                        乙方： </w:t>
      </w:r>
    </w:p>
    <w:p>
      <w:pPr>
        <w:snapToGrid w:val="0"/>
        <w:spacing w:before="120" w:after="120" w:line="0" w:lineRule="atLeast"/>
        <w:rPr>
          <w:rFonts w:hAnsi="宋体" w:cs="宋体"/>
        </w:rPr>
      </w:pPr>
      <w:r>
        <w:rPr>
          <w:rFonts w:hint="eastAsia" w:hAnsi="宋体" w:cs="宋体"/>
        </w:rPr>
        <w:t xml:space="preserve">  地址：                        地址： </w:t>
      </w:r>
    </w:p>
    <w:p>
      <w:pPr>
        <w:snapToGrid w:val="0"/>
        <w:spacing w:before="120" w:after="120" w:line="0" w:lineRule="atLeast"/>
        <w:rPr>
          <w:rFonts w:hAnsi="宋体" w:cs="宋体"/>
        </w:rPr>
      </w:pPr>
      <w:r>
        <w:rPr>
          <w:rFonts w:hint="eastAsia" w:hAnsi="宋体" w:cs="宋体"/>
        </w:rPr>
        <w:t xml:space="preserve">  法定代表人或授权代表：        法定代表人或授权代表：</w:t>
      </w:r>
    </w:p>
    <w:p>
      <w:pPr>
        <w:snapToGrid w:val="0"/>
        <w:spacing w:before="120" w:after="120" w:line="0" w:lineRule="atLeast"/>
        <w:jc w:val="center"/>
        <w:rPr>
          <w:rFonts w:hAnsi="宋体" w:cs="宋体"/>
          <w:bCs/>
        </w:rPr>
        <w:sectPr>
          <w:footerReference r:id="rId10" w:type="default"/>
          <w:pgSz w:w="11906" w:h="16838"/>
          <w:pgMar w:top="1418" w:right="1588" w:bottom="1418" w:left="1365" w:header="851" w:footer="907" w:gutter="0"/>
          <w:cols w:space="720" w:num="1"/>
          <w:titlePg/>
          <w:docGrid w:type="lines" w:linePitch="290" w:charSpace="0"/>
        </w:sectPr>
      </w:pPr>
      <w:r>
        <w:rPr>
          <w:rFonts w:hint="eastAsia" w:hAnsi="宋体" w:cs="宋体"/>
        </w:rPr>
        <w:t xml:space="preserve">  联系电话：                    联系电话：           签订日期：      年  月  日</w:t>
      </w:r>
      <w:bookmarkEnd w:id="111"/>
      <w:bookmarkEnd w:id="112"/>
      <w:bookmarkEnd w:id="113"/>
      <w:bookmarkStart w:id="114" w:name="_Hlt16619369"/>
      <w:bookmarkEnd w:id="114"/>
      <w:bookmarkStart w:id="115" w:name="_Hlt16619350"/>
      <w:bookmarkStart w:id="116" w:name="_Toc20823346"/>
      <w:bookmarkStart w:id="117" w:name="_Toc120614244"/>
      <w:bookmarkStart w:id="118" w:name="_Toc16938590"/>
    </w:p>
    <w:bookmarkEnd w:id="115"/>
    <w:bookmarkEnd w:id="116"/>
    <w:bookmarkEnd w:id="117"/>
    <w:bookmarkEnd w:id="118"/>
    <w:p>
      <w:pPr>
        <w:pStyle w:val="5"/>
        <w:adjustRightInd w:val="0"/>
        <w:snapToGrid w:val="0"/>
        <w:spacing w:before="156" w:beforeLines="50"/>
        <w:rPr>
          <w:rFonts w:ascii="宋体" w:hAnsi="宋体" w:eastAsia="宋体"/>
          <w:sz w:val="28"/>
          <w:szCs w:val="28"/>
        </w:rPr>
      </w:pPr>
      <w:r>
        <w:rPr>
          <w:rFonts w:hint="eastAsia" w:ascii="宋体" w:hAnsi="宋体" w:eastAsia="宋体"/>
          <w:b w:val="0"/>
          <w:bCs w:val="0"/>
          <w:sz w:val="28"/>
          <w:szCs w:val="28"/>
        </w:rPr>
        <w:t>第二节 政府采购合同通用条款</w:t>
      </w:r>
      <w:bookmarkEnd w:id="110"/>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1.1合同当事人</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（3）其他合同主体是指除采购人和供应商以外，</w:t>
      </w:r>
      <w:r>
        <w:rPr>
          <w:rFonts w:hint="eastAsia" w:ascii="宋体" w:hAnsi="宋体" w:cs="宋体"/>
          <w:bCs/>
          <w:color w:val="000000"/>
        </w:rPr>
        <w:t>依法参与合同缔结或履行，享有权利、承担义务的合同当事人</w:t>
      </w:r>
      <w:r>
        <w:rPr>
          <w:rFonts w:hint="eastAsia" w:ascii="宋体" w:hAnsi="宋体"/>
        </w:rPr>
        <w:t>。</w:t>
      </w:r>
    </w:p>
    <w:p>
      <w:pPr>
        <w:tabs>
          <w:tab w:val="left" w:pos="570"/>
          <w:tab w:val="left" w:pos="9240"/>
          <w:tab w:val="left" w:pos="9555"/>
        </w:tabs>
        <w:adjustRightInd w:val="0"/>
        <w:snapToGrid w:val="0"/>
        <w:spacing w:line="400" w:lineRule="exact"/>
        <w:ind w:firstLine="420" w:firstLineChars="200"/>
        <w:jc w:val="left"/>
        <w:rPr>
          <w:rFonts w:ascii="宋体" w:hAnsi="宋体"/>
        </w:rPr>
      </w:pPr>
      <w:r>
        <w:rPr>
          <w:rFonts w:hint="eastAsia" w:ascii="宋体" w:hAnsi="宋体"/>
        </w:rPr>
        <w:t>1.2本合同下列术语应解释为：</w:t>
      </w:r>
    </w:p>
    <w:p>
      <w:pPr>
        <w:adjustRightInd w:val="0"/>
        <w:snapToGrid w:val="0"/>
        <w:spacing w:line="400" w:lineRule="exact"/>
        <w:ind w:firstLine="420" w:firstLineChars="200"/>
        <w:jc w:val="left"/>
        <w:rPr>
          <w:rFonts w:ascii="宋体" w:hAnsi="宋体"/>
        </w:rPr>
      </w:pPr>
      <w:r>
        <w:rPr>
          <w:rFonts w:hint="eastAsia" w:ascii="宋体" w:hAnsi="宋体"/>
        </w:rPr>
        <w:t>（1）“合同”系指</w:t>
      </w:r>
      <w:r>
        <w:rPr>
          <w:rFonts w:hint="eastAsia" w:ascii="宋体" w:hAnsi="宋体" w:cs="宋体"/>
          <w:bCs/>
          <w:color w:val="000000"/>
        </w:rPr>
        <w:t>合同当事人意思表示达成一致的任何协议，包括签署的</w:t>
      </w:r>
      <w:r>
        <w:rPr>
          <w:rFonts w:hint="eastAsia" w:ascii="宋体" w:hAnsi="宋体"/>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rPr>
        <w:t>国家法律、行政法规和规章制度规定或合同约定的作为合同组成部分的其他文件</w:t>
      </w:r>
      <w:r>
        <w:rPr>
          <w:rFonts w:hint="eastAsia" w:ascii="宋体" w:hAnsi="宋体"/>
        </w:rPr>
        <w:t>。</w:t>
      </w:r>
    </w:p>
    <w:p>
      <w:pPr>
        <w:tabs>
          <w:tab w:val="left" w:pos="570"/>
          <w:tab w:val="left" w:pos="9240"/>
          <w:tab w:val="left" w:pos="9555"/>
        </w:tabs>
        <w:adjustRightInd w:val="0"/>
        <w:snapToGrid w:val="0"/>
        <w:spacing w:line="400" w:lineRule="exact"/>
        <w:ind w:firstLine="420" w:firstLineChars="200"/>
        <w:jc w:val="left"/>
        <w:rPr>
          <w:rFonts w:ascii="宋体" w:hAnsi="宋体"/>
        </w:rPr>
      </w:pPr>
      <w:r>
        <w:rPr>
          <w:rFonts w:hint="eastAsia" w:ascii="宋体" w:hAnsi="宋体"/>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olor w:val="000000"/>
        </w:rPr>
      </w:pPr>
      <w:r>
        <w:rPr>
          <w:rFonts w:hint="eastAsia" w:ascii="宋体" w:hAnsi="宋体"/>
        </w:rPr>
        <w:t>（3）“货物”系指乙方根据本合同规定须向甲方提供的各种形态和种类的物品，包括原材料、设备、产品（</w:t>
      </w:r>
      <w:r>
        <w:rPr>
          <w:rFonts w:hint="eastAsia" w:ascii="宋体" w:hAnsi="宋体"/>
          <w:color w:val="000000"/>
        </w:rPr>
        <w:t>包括软件）及相关的其备品备件、工具、手册及</w:t>
      </w:r>
      <w:r>
        <w:rPr>
          <w:rFonts w:ascii="宋体" w:hAnsi="宋体"/>
          <w:color w:val="000000"/>
          <w:lang w:val="en"/>
        </w:rPr>
        <w:t>其他</w:t>
      </w:r>
      <w:r>
        <w:rPr>
          <w:rFonts w:hint="eastAsia" w:ascii="宋体" w:hAnsi="宋体"/>
          <w:color w:val="000000"/>
        </w:rPr>
        <w:t>技术资料和材料等。</w:t>
      </w:r>
    </w:p>
    <w:p>
      <w:pPr>
        <w:adjustRightInd w:val="0"/>
        <w:snapToGrid w:val="0"/>
        <w:spacing w:line="400" w:lineRule="exact"/>
        <w:ind w:firstLine="420" w:firstLineChars="200"/>
        <w:jc w:val="left"/>
        <w:rPr>
          <w:rFonts w:ascii="宋体" w:hAnsi="宋体"/>
          <w:color w:val="000000"/>
          <w:highlight w:val="yellow"/>
        </w:rPr>
      </w:pPr>
      <w:r>
        <w:rPr>
          <w:rFonts w:hint="eastAsia" w:ascii="宋体" w:hAnsi="宋体"/>
          <w:color w:val="000000"/>
        </w:rPr>
        <w:t>（4）“</w:t>
      </w:r>
      <w:r>
        <w:rPr>
          <w:rFonts w:hint="eastAsia" w:ascii="宋体" w:hAnsi="宋体"/>
        </w:rPr>
        <w:t>相关</w:t>
      </w:r>
      <w:r>
        <w:rPr>
          <w:rFonts w:hint="eastAsia" w:ascii="宋体" w:hAnsi="宋体"/>
          <w:color w:val="000000"/>
        </w:rPr>
        <w:t>服务”系指根据合同规定，乙方应提供的与货物有关的技术、管理和</w:t>
      </w:r>
      <w:r>
        <w:rPr>
          <w:rFonts w:ascii="宋体" w:hAnsi="宋体"/>
          <w:color w:val="000000"/>
          <w:lang w:val="en"/>
        </w:rPr>
        <w:t>其他</w:t>
      </w:r>
      <w:r>
        <w:rPr>
          <w:rFonts w:hint="eastAsia" w:ascii="宋体" w:hAnsi="宋体"/>
          <w:color w:val="000000"/>
        </w:rPr>
        <w:t>服务，包括但不限于：管理和质量保证、运输、保险、检验、现场准备、安装、集成、调试、培训、维修、废弃处置、技术支持等以及合同中规定乙方应承担的</w:t>
      </w:r>
      <w:r>
        <w:rPr>
          <w:rFonts w:ascii="宋体" w:hAnsi="宋体"/>
          <w:color w:val="000000"/>
          <w:lang w:val="en"/>
        </w:rPr>
        <w:t>其他</w:t>
      </w:r>
      <w:r>
        <w:rPr>
          <w:rFonts w:hint="eastAsia" w:ascii="宋体" w:hAnsi="宋体"/>
          <w:color w:val="000000"/>
        </w:rPr>
        <w:t>义务。</w:t>
      </w:r>
    </w:p>
    <w:p>
      <w:pPr>
        <w:adjustRightInd w:val="0"/>
        <w:snapToGrid w:val="0"/>
        <w:spacing w:line="400" w:lineRule="exact"/>
        <w:ind w:firstLine="420" w:firstLineChars="200"/>
        <w:jc w:val="left"/>
        <w:rPr>
          <w:rFonts w:ascii="宋体" w:hAnsi="宋体"/>
          <w:color w:val="000000"/>
          <w:highlight w:val="yellow"/>
        </w:rPr>
      </w:pPr>
      <w:r>
        <w:rPr>
          <w:rFonts w:hint="eastAsia" w:ascii="宋体" w:hAnsi="宋体"/>
          <w:color w:val="000000"/>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olor w:val="000000"/>
        </w:rPr>
      </w:pPr>
      <w:r>
        <w:rPr>
          <w:rFonts w:hint="eastAsia" w:ascii="宋体" w:hAnsi="宋体"/>
          <w:color w:val="000000"/>
        </w:rPr>
        <w:t>（6）</w:t>
      </w:r>
      <w:r>
        <w:rPr>
          <w:rFonts w:hint="eastAsia" w:ascii="宋体" w:hAnsi="宋体"/>
        </w:rPr>
        <w:t>“联合体”系指由两个以上的自然人、法人或者非法人组织组成，以一个供应商的身份共同参加政府采购的主体</w:t>
      </w:r>
      <w:r>
        <w:rPr>
          <w:rFonts w:hint="eastAsia" w:ascii="宋体" w:hAnsi="宋体"/>
          <w:color w:val="000000"/>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rPr>
        <w:t>政府采购合同专用条款</w:t>
      </w:r>
      <w:r>
        <w:rPr>
          <w:rFonts w:hint="eastAsia" w:ascii="宋体" w:hAnsi="宋体"/>
          <w:color w:val="000000"/>
        </w:rPr>
        <w:t>】。</w:t>
      </w:r>
    </w:p>
    <w:p>
      <w:pPr>
        <w:tabs>
          <w:tab w:val="left" w:pos="570"/>
          <w:tab w:val="left" w:pos="9240"/>
          <w:tab w:val="left" w:pos="9555"/>
        </w:tabs>
        <w:adjustRightInd w:val="0"/>
        <w:snapToGrid w:val="0"/>
        <w:spacing w:line="400" w:lineRule="exact"/>
        <w:ind w:firstLine="420" w:firstLineChars="200"/>
        <w:jc w:val="left"/>
        <w:rPr>
          <w:rFonts w:ascii="宋体" w:hAnsi="宋体"/>
          <w:color w:val="000000"/>
        </w:rPr>
      </w:pPr>
      <w:r>
        <w:rPr>
          <w:rFonts w:hint="eastAsia" w:ascii="宋体" w:hAnsi="宋体"/>
          <w:color w:val="000000"/>
        </w:rPr>
        <w:t>（7）其他术语解释，见【</w:t>
      </w:r>
      <w:r>
        <w:rPr>
          <w:rFonts w:hint="eastAsia" w:ascii="宋体" w:hAnsi="宋体"/>
          <w:b/>
          <w:bCs/>
          <w:color w:val="000000"/>
        </w:rPr>
        <w:t>政府采购合同专用条款</w:t>
      </w:r>
      <w:r>
        <w:rPr>
          <w:rFonts w:hint="eastAsia" w:ascii="宋体" w:hAnsi="宋体"/>
          <w:color w:val="000000"/>
        </w:rPr>
        <w:t>】。</w:t>
      </w:r>
    </w:p>
    <w:p>
      <w:pPr>
        <w:numPr>
          <w:ilvl w:val="0"/>
          <w:numId w:val="10"/>
        </w:numPr>
        <w:autoSpaceDE w:val="0"/>
        <w:autoSpaceDN w:val="0"/>
        <w:adjustRightInd w:val="0"/>
        <w:snapToGrid w:val="0"/>
        <w:spacing w:line="400" w:lineRule="exact"/>
        <w:jc w:val="left"/>
        <w:rPr>
          <w:rFonts w:ascii="宋体" w:hAnsi="宋体"/>
          <w:b/>
          <w:bCs/>
          <w:color w:val="000000"/>
          <w:sz w:val="24"/>
        </w:rPr>
      </w:pPr>
      <w:r>
        <w:rPr>
          <w:rFonts w:hint="eastAsia" w:ascii="宋体" w:hAnsi="宋体"/>
          <w:b/>
          <w:color w:val="000000"/>
          <w:sz w:val="24"/>
        </w:rPr>
        <w:t>合同标的及金额</w:t>
      </w:r>
    </w:p>
    <w:p>
      <w:pPr>
        <w:autoSpaceDE w:val="0"/>
        <w:autoSpaceDN w:val="0"/>
        <w:adjustRightInd w:val="0"/>
        <w:snapToGrid w:val="0"/>
        <w:spacing w:line="400" w:lineRule="exact"/>
        <w:ind w:firstLine="420" w:firstLineChars="200"/>
        <w:jc w:val="left"/>
        <w:rPr>
          <w:rFonts w:ascii="宋体" w:hAnsi="宋体"/>
          <w:b/>
          <w:bCs/>
          <w:i/>
          <w:iCs/>
          <w:color w:val="000000"/>
        </w:rPr>
      </w:pPr>
      <w:r>
        <w:rPr>
          <w:rFonts w:hint="eastAsia" w:ascii="宋体" w:hAnsi="宋体"/>
          <w:color w:val="000000"/>
        </w:rPr>
        <w:t>2.1 合同标的及金额应与中标（成交）结果一致。乙方为履行本合同而发生的所有费用均应包含在合同价款中，甲方不再另行支付</w:t>
      </w:r>
      <w:r>
        <w:rPr>
          <w:rFonts w:ascii="宋体" w:hAnsi="宋体"/>
          <w:color w:val="000000"/>
          <w:lang w:val="en"/>
        </w:rPr>
        <w:t>其他</w:t>
      </w:r>
      <w:r>
        <w:rPr>
          <w:rFonts w:hint="eastAsia" w:ascii="宋体" w:hAnsi="宋体"/>
          <w:color w:val="000000"/>
        </w:rPr>
        <w:t>任何费用。</w:t>
      </w:r>
    </w:p>
    <w:p>
      <w:pPr>
        <w:adjustRightInd w:val="0"/>
        <w:snapToGrid w:val="0"/>
        <w:spacing w:line="400" w:lineRule="exact"/>
        <w:jc w:val="left"/>
        <w:rPr>
          <w:rFonts w:ascii="宋体" w:hAnsi="宋体"/>
          <w:b/>
          <w:color w:val="000000"/>
          <w:sz w:val="24"/>
        </w:rPr>
      </w:pPr>
      <w:r>
        <w:rPr>
          <w:rFonts w:hint="eastAsia" w:ascii="宋体" w:hAnsi="宋体"/>
          <w:b/>
          <w:color w:val="000000"/>
          <w:sz w:val="24"/>
        </w:rPr>
        <w:t>3. 履行合同的时间、地点和方式</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 xml:space="preserve">3.1 </w:t>
      </w:r>
      <w:r>
        <w:rPr>
          <w:rFonts w:hint="eastAsia" w:ascii="宋体" w:hAnsi="宋体" w:cs="宋体"/>
        </w:rPr>
        <w:t>乙方应当在约定的时间、地点，按照约定方式履行合同。</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4. 甲方的权利和义务</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4.1</w:t>
      </w:r>
      <w:r>
        <w:rPr>
          <w:rFonts w:ascii="宋体" w:hAnsi="宋体"/>
          <w:color w:val="000000"/>
        </w:rPr>
        <w:t xml:space="preserve"> 签署合同后，甲方</w:t>
      </w:r>
      <w:r>
        <w:rPr>
          <w:rFonts w:hint="eastAsia" w:ascii="宋体" w:hAnsi="宋体"/>
          <w:color w:val="000000"/>
        </w:rPr>
        <w:t>应</w:t>
      </w:r>
      <w:r>
        <w:rPr>
          <w:rFonts w:ascii="宋体" w:hAnsi="宋体"/>
          <w:color w:val="000000"/>
        </w:rPr>
        <w:t>确定</w:t>
      </w:r>
      <w:r>
        <w:rPr>
          <w:rFonts w:hint="eastAsia" w:ascii="宋体" w:hAnsi="宋体"/>
          <w:color w:val="000000"/>
        </w:rPr>
        <w:t>项目负责人（或项目联系人）</w:t>
      </w:r>
      <w:r>
        <w:rPr>
          <w:rFonts w:ascii="宋体" w:hAnsi="宋体"/>
          <w:color w:val="000000"/>
        </w:rPr>
        <w:t>，负责与本合同有关的事务。</w:t>
      </w:r>
      <w:r>
        <w:rPr>
          <w:rFonts w:hint="eastAsia" w:ascii="宋体" w:hAnsi="宋体"/>
          <w:color w:val="000000"/>
        </w:rPr>
        <w:t>甲方有权对乙方的履约行为进行检查，并</w:t>
      </w:r>
      <w:r>
        <w:rPr>
          <w:rFonts w:ascii="宋体" w:hAnsi="宋体"/>
          <w:color w:val="000000"/>
        </w:rPr>
        <w:t>及时确认乙方提交的事项</w:t>
      </w:r>
      <w:r>
        <w:rPr>
          <w:rFonts w:hint="eastAsia" w:ascii="宋体" w:hAnsi="宋体"/>
          <w:color w:val="000000"/>
        </w:rPr>
        <w:t>。甲方应当</w:t>
      </w:r>
      <w:r>
        <w:rPr>
          <w:rFonts w:ascii="宋体" w:hAnsi="宋体"/>
          <w:color w:val="000000"/>
        </w:rPr>
        <w:t>配合乙方完成</w:t>
      </w:r>
      <w:r>
        <w:rPr>
          <w:rFonts w:hint="eastAsia" w:ascii="宋体" w:hAnsi="宋体"/>
          <w:color w:val="000000"/>
        </w:rPr>
        <w:t>相关项目</w:t>
      </w:r>
      <w:r>
        <w:rPr>
          <w:rFonts w:ascii="宋体" w:hAnsi="宋体"/>
          <w:color w:val="000000"/>
        </w:rPr>
        <w:t>实施工作。</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 xml:space="preserve">4.2 </w:t>
      </w:r>
      <w:r>
        <w:rPr>
          <w:rFonts w:ascii="宋体" w:hAnsi="宋体"/>
          <w:color w:val="000000"/>
        </w:rPr>
        <w:t>甲方有权要求乙方按时提交各阶段有关</w:t>
      </w:r>
      <w:r>
        <w:rPr>
          <w:rFonts w:hint="eastAsia" w:ascii="宋体" w:hAnsi="宋体"/>
          <w:color w:val="000000"/>
        </w:rPr>
        <w:t>安排计划</w:t>
      </w:r>
      <w:r>
        <w:rPr>
          <w:rFonts w:ascii="宋体" w:hAnsi="宋体"/>
          <w:color w:val="000000"/>
        </w:rPr>
        <w:t>，并有权</w:t>
      </w:r>
      <w:r>
        <w:rPr>
          <w:rFonts w:hint="eastAsia" w:ascii="宋体" w:hAnsi="宋体"/>
          <w:color w:val="000000"/>
        </w:rPr>
        <w:t>定期核对乙方提供货物数量、规格、质量等内容。甲方</w:t>
      </w:r>
      <w:r>
        <w:rPr>
          <w:rFonts w:ascii="宋体" w:hAnsi="宋体"/>
          <w:color w:val="000000"/>
        </w:rPr>
        <w:t>有权督促乙方工作并要求乙方</w:t>
      </w:r>
      <w:r>
        <w:rPr>
          <w:rFonts w:hint="eastAsia" w:ascii="宋体" w:hAnsi="宋体"/>
          <w:color w:val="000000"/>
        </w:rPr>
        <w:t>更</w:t>
      </w:r>
      <w:r>
        <w:rPr>
          <w:rFonts w:ascii="宋体" w:hAnsi="宋体"/>
          <w:color w:val="000000"/>
        </w:rPr>
        <w:t>换不符合要求的</w:t>
      </w:r>
      <w:r>
        <w:rPr>
          <w:rFonts w:hint="eastAsia" w:ascii="宋体" w:hAnsi="宋体"/>
          <w:color w:val="000000"/>
        </w:rPr>
        <w:t>货物</w:t>
      </w:r>
      <w:r>
        <w:rPr>
          <w:rFonts w:ascii="宋体" w:hAnsi="宋体"/>
          <w:color w:val="000000"/>
        </w:rPr>
        <w:t>。</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4.</w:t>
      </w:r>
      <w:r>
        <w:rPr>
          <w:rFonts w:ascii="宋体" w:hAnsi="宋体"/>
          <w:color w:val="000000"/>
        </w:rPr>
        <w:t>3</w:t>
      </w:r>
      <w:r>
        <w:rPr>
          <w:rFonts w:hint="eastAsia" w:ascii="宋体" w:hAnsi="宋体"/>
          <w:color w:val="000000"/>
        </w:rPr>
        <w:t xml:space="preserve"> </w:t>
      </w:r>
      <w:r>
        <w:rPr>
          <w:rFonts w:ascii="宋体" w:hAnsi="宋体"/>
          <w:color w:val="000000"/>
        </w:rPr>
        <w:t>甲方</w:t>
      </w:r>
      <w:r>
        <w:rPr>
          <w:rFonts w:hint="eastAsia" w:ascii="宋体" w:hAnsi="宋体"/>
          <w:color w:val="000000"/>
        </w:rPr>
        <w:t>有权要求乙方对缺陷部分予以修复，并按合同约定享有货物保修及其他合同约定的权利。</w:t>
      </w:r>
    </w:p>
    <w:p>
      <w:pPr>
        <w:snapToGrid w:val="0"/>
        <w:spacing w:line="400" w:lineRule="exact"/>
        <w:ind w:firstLine="420" w:firstLineChars="200"/>
        <w:rPr>
          <w:rFonts w:ascii="宋体" w:hAnsi="宋体"/>
        </w:rPr>
      </w:pPr>
      <w:r>
        <w:rPr>
          <w:rFonts w:ascii="宋体" w:hAnsi="宋体"/>
          <w:color w:val="000000"/>
        </w:rPr>
        <w:t>4.4 甲方应当按照合同约定及时对交付的货物进行验收</w:t>
      </w:r>
      <w:r>
        <w:rPr>
          <w:rFonts w:hint="eastAsia" w:ascii="宋体" w:hAnsi="宋体"/>
          <w:color w:val="000000"/>
        </w:rPr>
        <w:t>，</w:t>
      </w:r>
      <w:r>
        <w:rPr>
          <w:rFonts w:hint="eastAsia" w:ascii="宋体" w:hAnsi="宋体" w:cs="宋体"/>
        </w:rPr>
        <w:t>未</w:t>
      </w:r>
      <w:r>
        <w:rPr>
          <w:rFonts w:hint="eastAsia" w:ascii="宋体" w:hAnsi="宋体"/>
          <w:color w:val="000000"/>
        </w:rPr>
        <w:t>在</w:t>
      </w:r>
      <w:r>
        <w:rPr>
          <w:rFonts w:hint="eastAsia" w:ascii="宋体" w:hAnsi="宋体" w:cs="宋体"/>
          <w:b/>
          <w:bCs/>
        </w:rPr>
        <w:t>【政府采购合同专用条款】</w:t>
      </w:r>
      <w:r>
        <w:rPr>
          <w:rFonts w:hint="eastAsia" w:ascii="宋体" w:hAnsi="宋体" w:cs="宋体"/>
        </w:rPr>
        <w:t>约定的期限内对乙方履约提出任何异议或者向乙方作出任何说明的，</w:t>
      </w:r>
      <w:r>
        <w:rPr>
          <w:rFonts w:hint="eastAsia" w:ascii="宋体" w:hAnsi="宋体"/>
          <w:color w:val="000000"/>
        </w:rPr>
        <w:t>视为验收通过。</w:t>
      </w:r>
    </w:p>
    <w:p>
      <w:pPr>
        <w:autoSpaceDE w:val="0"/>
        <w:autoSpaceDN w:val="0"/>
        <w:adjustRightInd w:val="0"/>
        <w:snapToGrid w:val="0"/>
        <w:spacing w:line="400" w:lineRule="exact"/>
        <w:ind w:firstLine="420" w:firstLineChars="200"/>
        <w:jc w:val="left"/>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 xml:space="preserve">5 </w:t>
      </w:r>
      <w:r>
        <w:rPr>
          <w:rFonts w:hint="eastAsia" w:ascii="宋体" w:hAnsi="宋体"/>
          <w:color w:val="000000"/>
        </w:rPr>
        <w:t>甲方应当根据合同约定及时向乙方支付合同价款</w:t>
      </w:r>
      <w:r>
        <w:rPr>
          <w:rFonts w:ascii="宋体" w:hAnsi="宋体"/>
          <w:color w:val="000000"/>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4.6</w:t>
      </w:r>
      <w:r>
        <w:rPr>
          <w:rFonts w:ascii="宋体" w:hAnsi="宋体"/>
          <w:color w:val="000000"/>
        </w:rPr>
        <w:t xml:space="preserve"> </w:t>
      </w:r>
      <w:r>
        <w:rPr>
          <w:rFonts w:hint="eastAsia" w:ascii="宋体" w:hAnsi="宋体"/>
          <w:color w:val="000000"/>
        </w:rPr>
        <w:t>国家法律法规规定及</w:t>
      </w:r>
      <w:r>
        <w:rPr>
          <w:rFonts w:hint="eastAsia" w:ascii="宋体" w:hAnsi="宋体" w:cs="宋体"/>
          <w:b/>
          <w:bCs/>
        </w:rPr>
        <w:t>【政府采购合同专用条款】</w:t>
      </w:r>
      <w:r>
        <w:rPr>
          <w:rFonts w:hint="eastAsia" w:ascii="宋体" w:hAnsi="宋体"/>
          <w:color w:val="000000"/>
        </w:rPr>
        <w:t>约定应由甲方承担的其他义务和责任。</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5. 乙方的权利和义务</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 xml:space="preserve">5.1 </w:t>
      </w:r>
      <w:r>
        <w:rPr>
          <w:rFonts w:ascii="宋体" w:hAnsi="宋体"/>
          <w:color w:val="000000"/>
        </w:rPr>
        <w:t>签署合同后，乙方</w:t>
      </w:r>
      <w:r>
        <w:rPr>
          <w:rFonts w:hint="eastAsia" w:ascii="宋体" w:hAnsi="宋体"/>
          <w:color w:val="000000"/>
        </w:rPr>
        <w:t>应</w:t>
      </w:r>
      <w:r>
        <w:rPr>
          <w:rFonts w:ascii="宋体" w:hAnsi="宋体"/>
          <w:color w:val="000000"/>
        </w:rPr>
        <w:t>确定</w:t>
      </w:r>
      <w:r>
        <w:rPr>
          <w:rFonts w:hint="eastAsia" w:ascii="宋体" w:hAnsi="宋体"/>
          <w:color w:val="000000"/>
        </w:rPr>
        <w:t>项目负责人（或项目联系人）</w:t>
      </w:r>
      <w:r>
        <w:rPr>
          <w:rFonts w:ascii="宋体" w:hAnsi="宋体"/>
          <w:color w:val="000000"/>
        </w:rPr>
        <w:t>，负责与本合同有关的事务。</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5.</w:t>
      </w:r>
      <w:r>
        <w:rPr>
          <w:rFonts w:ascii="宋体" w:hAnsi="宋体"/>
          <w:color w:val="000000"/>
        </w:rPr>
        <w:t>2 乙方应按照合同要求</w:t>
      </w:r>
      <w:r>
        <w:rPr>
          <w:rFonts w:hint="eastAsia" w:ascii="宋体" w:hAnsi="宋体"/>
          <w:color w:val="000000"/>
        </w:rPr>
        <w:t>履约</w:t>
      </w:r>
      <w:r>
        <w:rPr>
          <w:rFonts w:ascii="宋体" w:hAnsi="宋体"/>
          <w:color w:val="000000"/>
        </w:rPr>
        <w:t>，充分合理安排，确保</w:t>
      </w:r>
      <w:r>
        <w:rPr>
          <w:rFonts w:hint="eastAsia" w:ascii="宋体" w:hAnsi="宋体"/>
          <w:color w:val="000000"/>
        </w:rPr>
        <w:t>提供的货物及相关服务符合合同有关</w:t>
      </w:r>
      <w:r>
        <w:rPr>
          <w:rFonts w:ascii="宋体" w:hAnsi="宋体"/>
          <w:color w:val="000000"/>
        </w:rPr>
        <w:t>要求</w:t>
      </w:r>
      <w:r>
        <w:rPr>
          <w:rFonts w:hint="eastAsia" w:ascii="宋体" w:hAnsi="宋体"/>
          <w:color w:val="000000"/>
        </w:rPr>
        <w:t>。接受项目行业管理部门及政府有关部门的指导，配合甲方的履约检查及验收，并</w:t>
      </w:r>
      <w:r>
        <w:rPr>
          <w:rFonts w:ascii="宋体" w:hAnsi="宋体"/>
          <w:color w:val="000000"/>
        </w:rPr>
        <w:t>负</w:t>
      </w:r>
      <w:r>
        <w:rPr>
          <w:rFonts w:hint="eastAsia" w:ascii="宋体" w:hAnsi="宋体"/>
          <w:color w:val="000000"/>
        </w:rPr>
        <w:t>责项目实施过程中的所有协调工作。</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5.3乙方有权根据合同约定向甲方收取合同价款。</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5.4国家法律法规规定及</w:t>
      </w:r>
      <w:bookmarkStart w:id="119" w:name="OLE_LINK76"/>
      <w:r>
        <w:rPr>
          <w:rFonts w:hint="eastAsia" w:ascii="宋体" w:hAnsi="宋体"/>
          <w:b/>
          <w:bCs/>
          <w:color w:val="000000"/>
        </w:rPr>
        <w:t>【政府采购合同专用条款】</w:t>
      </w:r>
      <w:bookmarkEnd w:id="119"/>
      <w:r>
        <w:rPr>
          <w:rFonts w:hint="eastAsia" w:ascii="宋体" w:hAnsi="宋体"/>
          <w:color w:val="000000"/>
        </w:rPr>
        <w:t>约定应由乙方承担的其他义务和责任。</w:t>
      </w:r>
    </w:p>
    <w:p>
      <w:pPr>
        <w:numPr>
          <w:ilvl w:val="0"/>
          <w:numId w:val="11"/>
        </w:num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合同履行</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6.1 甲乙双方应当按照</w:t>
      </w:r>
      <w:r>
        <w:rPr>
          <w:rFonts w:hint="eastAsia" w:ascii="宋体" w:hAnsi="宋体" w:cs="宋体"/>
          <w:b/>
          <w:bCs/>
        </w:rPr>
        <w:t>【政府采购合同专用条款】</w:t>
      </w:r>
      <w:r>
        <w:rPr>
          <w:rFonts w:hint="eastAsia" w:ascii="宋体" w:hAnsi="宋体"/>
          <w:color w:val="000000"/>
        </w:rPr>
        <w:t>约定顺序履行合同义务；如果没有先后顺序的，应当同时履行。</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color w:val="000000"/>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color w:val="000000"/>
          <w:sz w:val="24"/>
        </w:rPr>
      </w:pPr>
      <w:r>
        <w:rPr>
          <w:rFonts w:hint="eastAsia" w:ascii="宋体" w:hAnsi="宋体"/>
          <w:b/>
          <w:bCs/>
          <w:color w:val="000000"/>
          <w:sz w:val="24"/>
        </w:rPr>
        <w:t>7. 货物包装、运输、保险和交付要求</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7.1 本合同</w:t>
      </w:r>
      <w:r>
        <w:rPr>
          <w:rFonts w:hint="eastAsia" w:ascii="宋体" w:hAnsi="宋体"/>
          <w:bCs/>
          <w:color w:val="000000"/>
        </w:rPr>
        <w:t>涉及商品包装、快递包装的，</w:t>
      </w:r>
      <w:r>
        <w:rPr>
          <w:rFonts w:hint="eastAsia" w:ascii="宋体" w:hAnsi="宋体"/>
          <w:color w:val="000000"/>
        </w:rPr>
        <w:t>除</w:t>
      </w:r>
      <w:r>
        <w:rPr>
          <w:rFonts w:hint="eastAsia" w:ascii="宋体" w:hAnsi="宋体"/>
          <w:b/>
          <w:color w:val="000000"/>
        </w:rPr>
        <w:t>【政府采购合同专用条款】</w:t>
      </w:r>
      <w:r>
        <w:rPr>
          <w:rFonts w:hint="eastAsia" w:ascii="宋体" w:hAnsi="宋体"/>
          <w:bCs/>
          <w:color w:val="000000"/>
        </w:rPr>
        <w:t>另有约定外，</w:t>
      </w:r>
      <w:r>
        <w:rPr>
          <w:rFonts w:hint="eastAsia" w:ascii="宋体" w:hAnsi="宋体"/>
          <w:color w:val="000000"/>
        </w:rPr>
        <w:t>包装应适应远距离运输、防潮、防震、防锈和防野蛮装卸等要求，确保货物安全无损地运抵</w:t>
      </w:r>
      <w:r>
        <w:rPr>
          <w:rFonts w:hint="eastAsia" w:ascii="宋体" w:hAnsi="宋体"/>
          <w:b/>
          <w:color w:val="000000"/>
        </w:rPr>
        <w:t>【政府采购合同专用条款】</w:t>
      </w:r>
      <w:r>
        <w:rPr>
          <w:rFonts w:hint="eastAsia" w:ascii="宋体" w:hAnsi="宋体"/>
          <w:bCs/>
          <w:color w:val="000000"/>
        </w:rPr>
        <w:t>约定的</w:t>
      </w:r>
      <w:r>
        <w:rPr>
          <w:rFonts w:hint="eastAsia" w:ascii="宋体" w:hAnsi="宋体"/>
          <w:color w:val="000000"/>
        </w:rPr>
        <w:t>指定现场。</w:t>
      </w:r>
    </w:p>
    <w:p>
      <w:pPr>
        <w:adjustRightInd w:val="0"/>
        <w:snapToGrid w:val="0"/>
        <w:spacing w:line="400" w:lineRule="exact"/>
        <w:ind w:firstLine="420" w:firstLineChars="200"/>
        <w:jc w:val="left"/>
        <w:rPr>
          <w:rFonts w:ascii="宋体" w:hAnsi="宋体"/>
          <w:color w:val="000000"/>
        </w:rPr>
      </w:pPr>
      <w:r>
        <w:rPr>
          <w:rFonts w:hint="eastAsia" w:ascii="宋体" w:hAnsi="宋体"/>
          <w:color w:val="000000"/>
        </w:rPr>
        <w:t>7.2 除</w:t>
      </w:r>
      <w:r>
        <w:rPr>
          <w:rFonts w:hint="eastAsia" w:ascii="宋体" w:hAnsi="宋体"/>
          <w:b/>
          <w:color w:val="000000"/>
        </w:rPr>
        <w:t>【政府采购合同专用条款】</w:t>
      </w:r>
      <w:r>
        <w:rPr>
          <w:rFonts w:hint="eastAsia" w:ascii="宋体" w:hAnsi="宋体"/>
          <w:bCs/>
          <w:color w:val="000000"/>
        </w:rPr>
        <w:t>另有约定外，</w:t>
      </w:r>
      <w:r>
        <w:rPr>
          <w:rFonts w:hint="eastAsia" w:ascii="宋体" w:hAnsi="宋体"/>
          <w:color w:val="000000"/>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olor w:val="000000"/>
        </w:rPr>
      </w:pPr>
      <w:r>
        <w:rPr>
          <w:rFonts w:hint="eastAsia" w:ascii="宋体" w:hAnsi="宋体"/>
          <w:color w:val="000000"/>
        </w:rPr>
        <w:t>7.3 货物保险要求按</w:t>
      </w:r>
      <w:r>
        <w:rPr>
          <w:rFonts w:hint="eastAsia" w:ascii="宋体" w:hAnsi="宋体"/>
          <w:b/>
          <w:color w:val="000000"/>
        </w:rPr>
        <w:t>【政府采购合同专用条款】</w:t>
      </w:r>
      <w:r>
        <w:rPr>
          <w:rFonts w:hint="eastAsia" w:ascii="宋体" w:hAnsi="宋体"/>
          <w:bCs/>
          <w:color w:val="000000"/>
        </w:rPr>
        <w:t>规定执行</w:t>
      </w:r>
      <w:r>
        <w:rPr>
          <w:rFonts w:hint="eastAsia" w:ascii="宋体" w:hAnsi="宋体"/>
          <w:color w:val="000000"/>
        </w:rPr>
        <w:t>。</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 xml:space="preserve">7.5 </w:t>
      </w:r>
      <w:r>
        <w:rPr>
          <w:rFonts w:hint="eastAsia" w:ascii="宋体" w:hAnsi="宋体" w:cs="宋体"/>
          <w:color w:val="000000"/>
        </w:rPr>
        <w:t>乙方在运输到达之前应提前通知甲方，并提示货物运输装卸的注意事项，甲方配合乙方做好货物的接收工作。</w:t>
      </w:r>
    </w:p>
    <w:p>
      <w:pPr>
        <w:ind w:firstLine="420"/>
        <w:rPr>
          <w:rFonts w:ascii="宋体" w:hAnsi="宋体"/>
        </w:rPr>
      </w:pPr>
      <w:r>
        <w:rPr>
          <w:rFonts w:hint="eastAsia" w:ascii="宋体" w:hAnsi="宋体"/>
          <w:color w:val="000000"/>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pPr>
        <w:adjustRightInd w:val="0"/>
        <w:snapToGrid w:val="0"/>
        <w:spacing w:line="400" w:lineRule="exact"/>
        <w:ind w:firstLine="420" w:firstLineChars="200"/>
        <w:jc w:val="left"/>
        <w:rPr>
          <w:rFonts w:hAnsi="宋体"/>
          <w:b/>
        </w:rPr>
      </w:pPr>
      <w:r>
        <w:rPr>
          <w:rFonts w:hint="eastAsia" w:hAnsi="宋体"/>
        </w:rPr>
        <w:t>8.1 质量标准</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（1）本合同下提供的货物应符合合同</w:t>
      </w:r>
      <w:r>
        <w:rPr>
          <w:rFonts w:hint="eastAsia" w:ascii="宋体" w:hAnsi="宋体" w:cs="宋体"/>
          <w:color w:val="000000"/>
        </w:rPr>
        <w:t>约定的</w:t>
      </w:r>
      <w:r>
        <w:rPr>
          <w:rFonts w:hint="eastAsia" w:ascii="宋体" w:hAnsi="宋体" w:cs="宋体"/>
        </w:rPr>
        <w:t>品牌、规格型号、技术性能、配置、质量、数量等要求。</w:t>
      </w:r>
      <w:r>
        <w:rPr>
          <w:rFonts w:hint="eastAsia" w:ascii="宋体" w:hAnsi="宋体"/>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hAnsi="宋体"/>
        </w:rPr>
      </w:pPr>
      <w:r>
        <w:rPr>
          <w:rFonts w:hint="eastAsia" w:hAnsi="宋体"/>
        </w:rPr>
        <w:t>（2）采用中华人民共和国法定计量单位。</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8.2 保证</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（1）乙方应保证提供的货物完全符合合同规定的质量、规格和性能要求。乙方应保证货物在正确安装、正常使用和保养条件下，</w:t>
      </w:r>
      <w:r>
        <w:rPr>
          <w:rFonts w:hint="eastAsia" w:ascii="宋体" w:hAnsi="宋体" w:cs="宋体"/>
        </w:rPr>
        <w:t>在其使用寿命期内具备合同约定的性能</w:t>
      </w:r>
      <w:r>
        <w:rPr>
          <w:rFonts w:hint="eastAsia" w:ascii="宋体" w:hAnsi="宋体"/>
        </w:rPr>
        <w:t>。存在质量保证期的，货物最终交付验收合格后在</w:t>
      </w:r>
      <w:r>
        <w:rPr>
          <w:rFonts w:hint="eastAsia" w:ascii="宋体" w:hAnsi="宋体"/>
          <w:b/>
        </w:rPr>
        <w:t>【政府采购合同专用条款】</w:t>
      </w:r>
      <w:r>
        <w:rPr>
          <w:rFonts w:hint="eastAsia" w:ascii="宋体" w:hAnsi="宋体"/>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（3）乙方收到通知后，应在</w:t>
      </w:r>
      <w:r>
        <w:rPr>
          <w:rFonts w:hint="eastAsia" w:ascii="宋体" w:hAnsi="宋体"/>
          <w:b/>
        </w:rPr>
        <w:t>【政府采购合同专用条款】</w:t>
      </w:r>
      <w:r>
        <w:rPr>
          <w:rFonts w:hint="eastAsia" w:ascii="宋体" w:hAnsi="宋体"/>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（4）在质量保证期内，如果货物的质量或规格与合同不符，或证实货物是有缺陷的，包括潜在的缺陷或使用不符合要求的材料等，甲方可以根据本合同第1</w:t>
      </w:r>
      <w:r>
        <w:rPr>
          <w:rFonts w:hint="eastAsia" w:ascii="宋体" w:hAnsi="宋体"/>
          <w:color w:val="000000"/>
        </w:rPr>
        <w:t>5</w:t>
      </w:r>
      <w:r>
        <w:rPr>
          <w:rFonts w:hint="eastAsia" w:ascii="宋体" w:hAnsi="宋体"/>
        </w:rPr>
        <w:t>.1条规定以书面形式</w:t>
      </w:r>
      <w:r>
        <w:rPr>
          <w:rFonts w:hint="eastAsia" w:ascii="宋体" w:hAnsi="宋体"/>
          <w:color w:val="000000"/>
        </w:rPr>
        <w:t>追究</w:t>
      </w:r>
      <w:r>
        <w:rPr>
          <w:rFonts w:hint="eastAsia" w:ascii="宋体" w:hAnsi="宋体"/>
        </w:rPr>
        <w:t>乙方</w:t>
      </w:r>
      <w:r>
        <w:rPr>
          <w:rFonts w:hint="eastAsia" w:ascii="宋体" w:hAnsi="宋体"/>
          <w:color w:val="000000"/>
        </w:rPr>
        <w:t>的违约责任</w:t>
      </w:r>
      <w:r>
        <w:rPr>
          <w:rFonts w:hint="eastAsia" w:ascii="宋体" w:hAnsi="宋体"/>
        </w:rPr>
        <w:t>。</w:t>
      </w:r>
    </w:p>
    <w:p>
      <w:pPr>
        <w:adjustRightInd w:val="0"/>
        <w:snapToGrid w:val="0"/>
        <w:spacing w:line="400" w:lineRule="exact"/>
        <w:ind w:firstLine="420" w:firstLineChars="200"/>
        <w:jc w:val="left"/>
        <w:rPr>
          <w:rFonts w:ascii="宋体" w:hAnsi="宋体"/>
        </w:rPr>
      </w:pPr>
      <w:r>
        <w:rPr>
          <w:rFonts w:hint="eastAsia" w:ascii="宋体" w:hAnsi="宋体"/>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olor w:val="000000"/>
        </w:rPr>
      </w:pPr>
      <w:r>
        <w:rPr>
          <w:rFonts w:hint="eastAsia" w:ascii="宋体" w:hAnsi="宋体"/>
          <w:color w:val="000000"/>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10. 知识产权保护</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color w:val="000000"/>
        </w:rPr>
        <w:t>10.1 乙方对其所销售的货物应当享有知识产权或经权利人合法授权，保证没有侵犯任</w:t>
      </w:r>
      <w:r>
        <w:rPr>
          <w:rFonts w:hint="eastAsia" w:ascii="宋体" w:hAnsi="宋体"/>
        </w:rPr>
        <w:t>何第三人的知识产权等权利。</w:t>
      </w:r>
      <w:bookmarkStart w:id="120"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20"/>
      <w:r>
        <w:rPr>
          <w:rFonts w:hint="eastAsia" w:ascii="宋体" w:hAnsi="宋体"/>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jc w:val="left"/>
        <w:rPr>
          <w:rFonts w:ascii="宋体" w:hAnsi="宋体"/>
        </w:rPr>
      </w:pPr>
      <w:r>
        <w:rPr>
          <w:rFonts w:hint="eastAsia" w:ascii="宋体" w:hAnsi="宋体"/>
        </w:rPr>
        <w:t>12.1 合同价款支付按照国库集中支付制度及财政管理相关规定执行。</w:t>
      </w:r>
    </w:p>
    <w:p>
      <w:pPr>
        <w:pStyle w:val="5"/>
        <w:spacing w:line="400" w:lineRule="exact"/>
        <w:ind w:firstLine="420" w:firstLineChars="200"/>
        <w:rPr>
          <w:rFonts w:ascii="宋体" w:hAnsi="宋体" w:eastAsia="宋体"/>
        </w:rPr>
      </w:pPr>
      <w:r>
        <w:rPr>
          <w:rFonts w:hint="eastAsia" w:ascii="宋体" w:hAnsi="宋体" w:eastAsia="宋体" w:cs="Times New Roman"/>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sz w:val="21"/>
          <w:szCs w:val="21"/>
        </w:rPr>
        <w:t>政府采购合同专用条款</w:t>
      </w:r>
      <w:r>
        <w:rPr>
          <w:rFonts w:hint="eastAsia" w:ascii="宋体" w:hAnsi="宋体" w:eastAsia="宋体" w:cs="Times New Roman"/>
          <w:b w:val="0"/>
          <w:bCs w:val="0"/>
          <w:sz w:val="21"/>
          <w:szCs w:val="21"/>
        </w:rPr>
        <w:t>】中约定。</w:t>
      </w:r>
    </w:p>
    <w:p>
      <w:pPr>
        <w:pStyle w:val="13"/>
        <w:spacing w:line="400" w:lineRule="exact"/>
        <w:ind w:left="1322" w:hanging="482"/>
        <w:rPr>
          <w:rFonts w:ascii="宋体" w:hAnsi="宋体"/>
          <w:b/>
          <w:bCs/>
          <w:sz w:val="24"/>
          <w:szCs w:val="24"/>
        </w:rPr>
      </w:pPr>
      <w:r>
        <w:rPr>
          <w:rFonts w:hint="eastAsia" w:ascii="宋体" w:hAnsi="宋体"/>
          <w:b/>
          <w:bCs/>
          <w:sz w:val="24"/>
          <w:szCs w:val="24"/>
        </w:rPr>
        <w:t>13. 履约保证金</w:t>
      </w:r>
    </w:p>
    <w:p>
      <w:pPr>
        <w:adjustRightInd w:val="0"/>
        <w:snapToGrid w:val="0"/>
        <w:spacing w:line="400" w:lineRule="exact"/>
        <w:ind w:firstLine="420" w:firstLineChars="200"/>
        <w:jc w:val="left"/>
        <w:rPr>
          <w:rFonts w:ascii="宋体" w:hAnsi="宋体"/>
        </w:rPr>
      </w:pPr>
      <w:r>
        <w:rPr>
          <w:rFonts w:hint="eastAsia" w:ascii="宋体" w:hAnsi="宋体"/>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rPr>
      </w:pPr>
      <w:r>
        <w:rPr>
          <w:rFonts w:hint="eastAsia" w:ascii="宋体" w:hAnsi="宋体"/>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宋体" w:hAnsi="宋体"/>
        </w:rPr>
      </w:pPr>
      <w:r>
        <w:rPr>
          <w:rFonts w:hint="eastAsia" w:ascii="宋体" w:hAnsi="宋体"/>
        </w:rPr>
        <w:t>13.3 甲方在项目通过验收后按照</w:t>
      </w:r>
      <w:r>
        <w:rPr>
          <w:rFonts w:hint="eastAsia" w:ascii="宋体" w:hAnsi="宋体"/>
          <w:b/>
        </w:rPr>
        <w:t>【政府采购合同专用条款】</w:t>
      </w:r>
      <w:r>
        <w:rPr>
          <w:rFonts w:hint="eastAsia" w:ascii="宋体" w:hAnsi="宋体"/>
        </w:rPr>
        <w:t>规定的时间内将履约保证金退还乙方；逾期退还的，乙方可要求甲方支付违约金，违约金按照</w:t>
      </w:r>
      <w:r>
        <w:rPr>
          <w:rFonts w:hint="eastAsia" w:ascii="宋体" w:hAnsi="宋体"/>
          <w:b/>
        </w:rPr>
        <w:t>【政府采购合同专用条款】</w:t>
      </w:r>
      <w:r>
        <w:rPr>
          <w:rFonts w:hint="eastAsia" w:ascii="宋体" w:hAnsi="宋体"/>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ascii="宋体" w:hAnsi="宋体"/>
          <w:b/>
          <w:sz w:val="24"/>
        </w:rPr>
        <w:t>售后服务</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（3）在</w:t>
      </w:r>
      <w:r>
        <w:rPr>
          <w:rFonts w:hint="eastAsia" w:ascii="宋体" w:hAnsi="宋体" w:cs="宋体"/>
          <w:b/>
          <w:bCs/>
          <w:szCs w:val="15"/>
        </w:rPr>
        <w:t>【政府采购合同专用条款】</w:t>
      </w:r>
      <w:r>
        <w:rPr>
          <w:rFonts w:hint="eastAsia" w:ascii="宋体" w:hAnsi="宋体"/>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（4）在制造商所在地或指定现场就货物的安装、启动、运营、维护、废弃处置等对甲方操作人员进行培训</w:t>
      </w:r>
      <w:r>
        <w:rPr>
          <w:rFonts w:hint="eastAsia" w:ascii="宋体" w:hAnsi="宋体" w:cs="宋体"/>
          <w:szCs w:val="15"/>
        </w:rPr>
        <w:t>；</w:t>
      </w:r>
    </w:p>
    <w:p>
      <w:pPr>
        <w:ind w:firstLine="420"/>
        <w:rPr>
          <w:rFonts w:ascii="宋体" w:hAnsi="宋体" w:cs="宋体"/>
        </w:rPr>
      </w:pPr>
      <w:r>
        <w:rPr>
          <w:rFonts w:hint="eastAsia" w:ascii="宋体" w:hAnsi="宋体" w:cs="宋体"/>
        </w:rPr>
        <w:t>（5）依照法律、行政法规的规定或者按照</w:t>
      </w:r>
      <w:r>
        <w:rPr>
          <w:rFonts w:hint="eastAsia" w:ascii="宋体" w:hAnsi="宋体" w:cs="宋体"/>
          <w:b/>
          <w:bCs/>
        </w:rPr>
        <w:t>【政府采购合同专用条款】</w:t>
      </w:r>
      <w:r>
        <w:rPr>
          <w:rFonts w:hint="eastAsia" w:ascii="宋体" w:hAnsi="宋体" w:cs="宋体"/>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（6）</w:t>
      </w:r>
      <w:r>
        <w:rPr>
          <w:rFonts w:hint="eastAsia" w:ascii="宋体" w:hAnsi="宋体"/>
          <w:b/>
        </w:rPr>
        <w:t>【政府采购合同专用条款】</w:t>
      </w:r>
      <w:r>
        <w:rPr>
          <w:rFonts w:hint="eastAsia" w:ascii="宋体" w:hAnsi="宋体"/>
        </w:rPr>
        <w:t>规定由乙方提供的其他服务。</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rPr>
      </w:pPr>
      <w:r>
        <w:rPr>
          <w:rFonts w:hint="eastAsia" w:ascii="宋体" w:hAnsi="宋体"/>
          <w:bCs/>
        </w:rPr>
        <w:t>15.1质量瑕疵的违约责任</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乙方提供的产品不符合合同约定的质量标准或存在产品质量缺陷，甲方有权要求乙方根据</w:t>
      </w:r>
      <w:r>
        <w:rPr>
          <w:rFonts w:hint="eastAsia" w:ascii="宋体" w:hAnsi="宋体"/>
          <w:b/>
        </w:rPr>
        <w:t>【政府采购合同专用条款】</w:t>
      </w:r>
      <w:r>
        <w:rPr>
          <w:rFonts w:hint="eastAsia" w:ascii="宋体" w:hAnsi="宋体"/>
          <w:bCs/>
        </w:rPr>
        <w:t>要求</w:t>
      </w:r>
      <w:r>
        <w:rPr>
          <w:rFonts w:hint="eastAsia" w:ascii="宋体" w:hAnsi="宋体"/>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rPr>
      </w:pPr>
      <w:r>
        <w:rPr>
          <w:rFonts w:hint="eastAsia" w:ascii="宋体" w:hAnsi="宋体"/>
          <w:bCs/>
        </w:rPr>
        <w:t>15.2 迟延交货的违约责任</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（2）如果乙方没有按照合同规定的时间交货和提供相关服务，甲方有权从货款中扣除误期赔偿费而不影响合同项下的其他补救方法，赔偿费按</w:t>
      </w:r>
      <w:r>
        <w:rPr>
          <w:rFonts w:hint="eastAsia" w:ascii="宋体" w:hAnsi="宋体"/>
          <w:b/>
        </w:rPr>
        <w:t>【政府采购合同专用条款】</w:t>
      </w:r>
      <w:r>
        <w:rPr>
          <w:rFonts w:hint="eastAsia" w:ascii="宋体" w:hAnsi="宋体"/>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15.3 迟延支付的违约责任</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甲方存在迟延支付乙方合同款项的，应当承担</w:t>
      </w:r>
      <w:r>
        <w:rPr>
          <w:rFonts w:hint="eastAsia" w:ascii="宋体" w:hAnsi="宋体"/>
          <w:b/>
          <w:bCs/>
        </w:rPr>
        <w:t>【政府采购合同专用条款】</w:t>
      </w:r>
      <w:r>
        <w:rPr>
          <w:rFonts w:hint="eastAsia" w:ascii="宋体" w:hAnsi="宋体"/>
        </w:rPr>
        <w:t>规定的逾期付款利息。</w:t>
      </w:r>
    </w:p>
    <w:p>
      <w:pPr>
        <w:adjustRightInd w:val="0"/>
        <w:snapToGrid w:val="0"/>
        <w:spacing w:line="400" w:lineRule="exact"/>
        <w:ind w:firstLine="420" w:firstLineChars="200"/>
        <w:jc w:val="left"/>
        <w:rPr>
          <w:rFonts w:ascii="宋体" w:hAnsi="宋体"/>
        </w:rPr>
      </w:pPr>
      <w:r>
        <w:rPr>
          <w:rFonts w:hint="eastAsia" w:ascii="宋体" w:hAnsi="宋体"/>
          <w:bCs/>
        </w:rPr>
        <w:t>15.4其他违约责任根据项目实际需要按</w:t>
      </w:r>
      <w:r>
        <w:rPr>
          <w:rFonts w:hint="eastAsia" w:ascii="宋体" w:hAnsi="宋体"/>
          <w:b/>
          <w:bCs/>
        </w:rPr>
        <w:t>【政府采购合同专用条款】</w:t>
      </w:r>
      <w:r>
        <w:rPr>
          <w:rFonts w:hint="eastAsia" w:ascii="宋体" w:hAnsi="宋体"/>
        </w:rPr>
        <w:t>规定执行。</w:t>
      </w:r>
    </w:p>
    <w:p>
      <w:pPr>
        <w:numPr>
          <w:ilvl w:val="0"/>
          <w:numId w:val="12"/>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rPr>
      </w:pPr>
      <w:r>
        <w:rPr>
          <w:rFonts w:hint="eastAsia" w:ascii="宋体" w:hAnsi="宋体"/>
        </w:rPr>
        <w:t xml:space="preserve">    16.1合同的变更</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rPr>
      </w:pPr>
      <w:r>
        <w:rPr>
          <w:rFonts w:hint="eastAsia" w:ascii="宋体" w:hAnsi="宋体"/>
        </w:rPr>
        <w:t>16.2合同的中止</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ind w:firstLine="420"/>
        <w:rPr>
          <w:rFonts w:ascii="宋体" w:hAnsi="宋体"/>
        </w:rPr>
      </w:pPr>
      <w:r>
        <w:rPr>
          <w:rFonts w:hint="eastAsia" w:ascii="宋体" w:hAnsi="宋体" w:cs="宋体"/>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ascii="宋体" w:hAnsi="宋体"/>
        </w:rPr>
      </w:pPr>
      <w:r>
        <w:rPr>
          <w:rFonts w:hint="eastAsia" w:ascii="宋体" w:hAnsi="宋体"/>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rPr>
      </w:pPr>
      <w:r>
        <w:rPr>
          <w:rFonts w:hint="eastAsia" w:ascii="宋体" w:hAnsi="宋体"/>
        </w:rPr>
        <w:t>16.3合同的终止</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（1）合同因有效期限届满而终止；</w:t>
      </w:r>
    </w:p>
    <w:p>
      <w:pPr>
        <w:snapToGrid w:val="0"/>
        <w:spacing w:line="400" w:lineRule="exact"/>
        <w:ind w:firstLine="420" w:firstLineChars="200"/>
        <w:rPr>
          <w:rFonts w:ascii="宋体" w:hAnsi="宋体" w:cs="宋体"/>
        </w:rPr>
      </w:pPr>
      <w:r>
        <w:rPr>
          <w:rFonts w:hint="eastAsia" w:ascii="宋体" w:hAnsi="宋体"/>
        </w:rPr>
        <w:t>（2）乙方未按合同约定履行，构成根本性违约的，甲方有权终止合同，</w:t>
      </w:r>
      <w:r>
        <w:rPr>
          <w:rFonts w:hint="eastAsia" w:ascii="宋体" w:hAnsi="宋体" w:cs="宋体"/>
        </w:rPr>
        <w:t>并追究乙方的违约责任</w:t>
      </w:r>
      <w:r>
        <w:rPr>
          <w:rFonts w:hint="eastAsia" w:ascii="宋体" w:hAnsi="宋体"/>
        </w:rPr>
        <w:t>。</w:t>
      </w:r>
    </w:p>
    <w:p>
      <w:pPr>
        <w:rPr>
          <w:rFonts w:ascii="宋体" w:hAnsi="宋体"/>
        </w:rPr>
      </w:pPr>
      <w:r>
        <w:rPr>
          <w:rFonts w:hint="eastAsia" w:ascii="宋体" w:hAnsi="宋体"/>
        </w:rPr>
        <w:t>16.4 涉及国家利益、社会公共利益的情形</w:t>
      </w:r>
    </w:p>
    <w:p>
      <w:pPr>
        <w:ind w:firstLine="420"/>
        <w:rPr>
          <w:rFonts w:ascii="宋体" w:hAnsi="宋体"/>
        </w:rPr>
      </w:pPr>
      <w:r>
        <w:rPr>
          <w:rFonts w:hint="eastAsia" w:ascii="宋体" w:hAnsi="宋体" w:cs="宋体"/>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ind w:firstLine="420"/>
        <w:rPr>
          <w:rFonts w:ascii="宋体" w:hAnsi="宋体" w:cs="宋体"/>
        </w:rPr>
      </w:pPr>
      <w:r>
        <w:rPr>
          <w:rFonts w:hint="eastAsia" w:ascii="宋体" w:hAnsi="宋体" w:cs="宋体"/>
        </w:rPr>
        <w:t>19.1 因本合同及合同有关事项发生的争议，由甲乙双方友好协商解决。协商不成时，可以向有关组织申请调解。合同一方或双方不愿调解或调解不成的，可以通过仲裁或诉讼的方式解决争议。</w:t>
      </w:r>
    </w:p>
    <w:p>
      <w:pPr>
        <w:ind w:firstLine="420"/>
        <w:rPr>
          <w:rFonts w:ascii="宋体" w:hAnsi="宋体" w:cs="宋体"/>
        </w:rPr>
      </w:pPr>
      <w:r>
        <w:rPr>
          <w:rFonts w:hint="eastAsia" w:ascii="宋体" w:hAnsi="宋体" w:cs="宋体"/>
        </w:rPr>
        <w:t>19.2 选择仲裁的，应在</w:t>
      </w:r>
      <w:r>
        <w:rPr>
          <w:rFonts w:hint="eastAsia" w:ascii="宋体" w:hAnsi="宋体" w:cs="宋体"/>
          <w:b/>
          <w:bCs/>
        </w:rPr>
        <w:t>【政府采购合同专用条款】</w:t>
      </w:r>
      <w:r>
        <w:rPr>
          <w:rFonts w:hint="eastAsia" w:ascii="宋体" w:hAnsi="宋体" w:cs="宋体"/>
        </w:rPr>
        <w:t>中明确仲裁机构及仲裁地；通过诉讼方式解决的，可以在</w:t>
      </w:r>
      <w:r>
        <w:rPr>
          <w:rFonts w:hint="eastAsia" w:ascii="宋体" w:hAnsi="宋体" w:cs="宋体"/>
          <w:b/>
          <w:bCs/>
        </w:rPr>
        <w:t>【政府采购合同专用条款】</w:t>
      </w:r>
      <w:r>
        <w:rPr>
          <w:rFonts w:hint="eastAsia" w:ascii="宋体" w:hAnsi="宋体" w:cs="宋体"/>
        </w:rPr>
        <w:t>中进一步约定选择与争议有实际联系的地点的人民法院管辖，但管辖法院的约定不得违反级别管辖和专属管辖的规定。</w:t>
      </w:r>
    </w:p>
    <w:p>
      <w:pPr>
        <w:ind w:firstLine="420"/>
        <w:rPr>
          <w:rFonts w:ascii="宋体" w:hAnsi="宋体" w:cs="宋体"/>
        </w:rPr>
      </w:pPr>
      <w:r>
        <w:rPr>
          <w:rFonts w:hint="eastAsia" w:ascii="宋体" w:hAnsi="宋体" w:cs="宋体"/>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rPr>
      </w:pPr>
      <w:r>
        <w:rPr>
          <w:rFonts w:ascii="宋体" w:hAnsi="宋体"/>
        </w:rPr>
        <w:t>2</w:t>
      </w:r>
      <w:r>
        <w:rPr>
          <w:rFonts w:hint="eastAsia" w:ascii="宋体" w:hAnsi="宋体"/>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rPr>
        <w:t>，有过错的一方应当承担赔偿责任，双方都有过错的，各自承担相应的责任。</w:t>
      </w:r>
    </w:p>
    <w:p>
      <w:pPr>
        <w:autoSpaceDE w:val="0"/>
        <w:autoSpaceDN w:val="0"/>
        <w:adjustRightInd w:val="0"/>
        <w:snapToGrid w:val="0"/>
        <w:spacing w:line="400" w:lineRule="exact"/>
        <w:ind w:firstLine="420" w:firstLineChars="200"/>
        <w:jc w:val="left"/>
        <w:rPr>
          <w:rFonts w:ascii="宋体" w:hAnsi="宋体"/>
        </w:rPr>
      </w:pPr>
      <w:r>
        <w:rPr>
          <w:rFonts w:ascii="宋体" w:hAnsi="宋体"/>
        </w:rPr>
        <w:t>2</w:t>
      </w:r>
      <w:r>
        <w:rPr>
          <w:rFonts w:hint="eastAsia" w:ascii="宋体" w:hAnsi="宋体"/>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ind w:firstLine="420"/>
        <w:rPr>
          <w:rFonts w:ascii="宋体" w:hAnsi="宋体" w:cs="宋体"/>
        </w:rPr>
      </w:pPr>
      <w:r>
        <w:rPr>
          <w:rFonts w:hint="eastAsia" w:ascii="宋体" w:hAnsi="宋体" w:cs="宋体"/>
        </w:rPr>
        <w:t>21.1 本合同的订立、生效、解释、履行及与本合同有关的争议解决，均适用法律、行政法规。</w:t>
      </w:r>
    </w:p>
    <w:p>
      <w:pPr>
        <w:ind w:firstLine="420"/>
        <w:rPr>
          <w:rFonts w:ascii="宋体" w:hAnsi="宋体" w:cs="宋体"/>
        </w:rPr>
      </w:pPr>
      <w:r>
        <w:rPr>
          <w:rFonts w:hint="eastAsia" w:ascii="宋体" w:hAnsi="宋体" w:cs="宋体"/>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ind w:firstLine="420"/>
        <w:rPr>
          <w:rFonts w:ascii="宋体" w:hAnsi="宋体" w:cs="宋体"/>
        </w:rPr>
      </w:pPr>
      <w:r>
        <w:rPr>
          <w:rFonts w:hint="eastAsia" w:ascii="宋体" w:hAnsi="宋体" w:cs="宋体"/>
        </w:rPr>
        <w:t>22.1 本合同任何一方向对方发出的通知、信件、数据电文等，应当发送至本合同第一部分《政府采购合同协议书》所约定的通讯地址、联系人、联系电话或电子邮箱。</w:t>
      </w:r>
    </w:p>
    <w:p>
      <w:pPr>
        <w:rPr>
          <w:rFonts w:ascii="宋体" w:hAnsi="宋体"/>
        </w:rPr>
      </w:pPr>
      <w:r>
        <w:rPr>
          <w:rFonts w:hint="eastAsia" w:ascii="宋体" w:hAnsi="宋体" w:cs="宋体"/>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rPr>
      </w:pPr>
      <w:r>
        <w:rPr>
          <w:rFonts w:hint="eastAsia" w:ascii="宋体" w:hAnsi="宋体"/>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rPr>
      </w:pPr>
      <w:r>
        <w:rPr>
          <w:rFonts w:hint="eastAsia" w:ascii="宋体" w:hAnsi="宋体"/>
        </w:rPr>
        <w:t>22.4通知以送达之日或通知书中规定的生效之日起生效，两者中以较迟之日为准。</w:t>
      </w:r>
    </w:p>
    <w:p>
      <w:pPr>
        <w:numPr>
          <w:ilvl w:val="0"/>
          <w:numId w:val="13"/>
        </w:numPr>
        <w:adjustRightInd w:val="0"/>
        <w:snapToGrid w:val="0"/>
        <w:spacing w:line="400" w:lineRule="exact"/>
        <w:jc w:val="lef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rPr>
      </w:pPr>
      <w:r>
        <w:rPr>
          <w:rFonts w:hint="eastAsia" w:ascii="宋体" w:hAnsi="宋体"/>
          <w:bCs/>
        </w:rPr>
        <w:t>23.1合同未尽事项见</w:t>
      </w:r>
      <w:r>
        <w:rPr>
          <w:rFonts w:hint="eastAsia" w:ascii="宋体" w:hAnsi="宋体"/>
          <w:b/>
        </w:rPr>
        <w:t>【政府采购合同专用条款】</w:t>
      </w:r>
      <w:r>
        <w:rPr>
          <w:rFonts w:hint="eastAsia" w:ascii="宋体" w:hAnsi="宋体"/>
          <w:bCs/>
        </w:rPr>
        <w:t>。</w:t>
      </w:r>
    </w:p>
    <w:p>
      <w:pPr>
        <w:adjustRightInd w:val="0"/>
        <w:snapToGrid w:val="0"/>
        <w:spacing w:line="400" w:lineRule="exact"/>
        <w:jc w:val="left"/>
        <w:rPr>
          <w:rFonts w:ascii="宋体" w:hAnsi="宋体"/>
          <w:sz w:val="28"/>
          <w:szCs w:val="28"/>
        </w:rPr>
      </w:pPr>
      <w:r>
        <w:rPr>
          <w:rFonts w:hint="eastAsia" w:ascii="宋体" w:hAnsi="宋体"/>
          <w:bCs/>
        </w:rPr>
        <w:t xml:space="preserve">    23.2 合同附件与合同正文具有同等的法律效力。</w:t>
      </w:r>
      <w:bookmarkStart w:id="121" w:name="_Toc20313"/>
    </w:p>
    <w:p>
      <w:pPr>
        <w:adjustRightInd w:val="0"/>
        <w:snapToGrid w:val="0"/>
        <w:jc w:val="center"/>
        <w:rPr>
          <w:rFonts w:ascii="宋体" w:hAnsi="宋体"/>
          <w:sz w:val="28"/>
          <w:szCs w:val="28"/>
        </w:rPr>
      </w:pPr>
      <w:r>
        <w:rPr>
          <w:rFonts w:hint="eastAsia" w:ascii="宋体" w:hAnsi="宋体"/>
          <w:sz w:val="28"/>
          <w:szCs w:val="28"/>
        </w:rPr>
        <w:br w:type="page"/>
      </w:r>
    </w:p>
    <w:p>
      <w:pPr>
        <w:pStyle w:val="5"/>
        <w:adjustRightInd w:val="0"/>
        <w:snapToGrid w:val="0"/>
        <w:rPr>
          <w:rFonts w:ascii="宋体" w:hAnsi="宋体" w:eastAsia="宋体"/>
          <w:b w:val="0"/>
          <w:bCs w:val="0"/>
          <w:sz w:val="28"/>
          <w:szCs w:val="28"/>
        </w:rPr>
      </w:pPr>
      <w:r>
        <w:rPr>
          <w:rFonts w:hint="eastAsia" w:ascii="宋体" w:hAnsi="宋体" w:eastAsia="宋体"/>
          <w:b w:val="0"/>
          <w:bCs w:val="0"/>
          <w:sz w:val="28"/>
          <w:szCs w:val="28"/>
        </w:rPr>
        <w:t>第三节 政府采购合同专用条款</w:t>
      </w:r>
      <w:bookmarkEnd w:id="121"/>
    </w:p>
    <w:tbl>
      <w:tblPr>
        <w:tblStyle w:val="3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第1.2（6）项</w:t>
            </w:r>
          </w:p>
        </w:tc>
        <w:tc>
          <w:tcPr>
            <w:tcW w:w="1742" w:type="dxa"/>
            <w:vAlign w:val="center"/>
          </w:tcPr>
          <w:p>
            <w:pPr>
              <w:adjustRightInd w:val="0"/>
              <w:snapToGrid w:val="0"/>
              <w:jc w:val="left"/>
              <w:rPr>
                <w:rFonts w:ascii="宋体" w:hAnsi="宋体"/>
              </w:rPr>
            </w:pPr>
            <w:r>
              <w:rPr>
                <w:rFonts w:hint="eastAsia" w:ascii="宋体" w:hAnsi="宋体"/>
              </w:rPr>
              <w:t>联合体具体要求</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第1.2（7）项</w:t>
            </w:r>
          </w:p>
        </w:tc>
        <w:tc>
          <w:tcPr>
            <w:tcW w:w="1742" w:type="dxa"/>
            <w:vAlign w:val="center"/>
          </w:tcPr>
          <w:p>
            <w:pPr>
              <w:adjustRightInd w:val="0"/>
              <w:snapToGrid w:val="0"/>
              <w:jc w:val="left"/>
              <w:rPr>
                <w:rFonts w:ascii="宋体" w:hAnsi="宋体"/>
              </w:rPr>
            </w:pPr>
            <w:r>
              <w:rPr>
                <w:rFonts w:hint="eastAsia" w:ascii="宋体" w:hAnsi="宋体"/>
              </w:rPr>
              <w:t>其他术语解释</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第4.4款</w:t>
            </w:r>
          </w:p>
        </w:tc>
        <w:tc>
          <w:tcPr>
            <w:tcW w:w="1742" w:type="dxa"/>
            <w:vAlign w:val="center"/>
          </w:tcPr>
          <w:p>
            <w:pPr>
              <w:adjustRightInd w:val="0"/>
              <w:snapToGrid w:val="0"/>
              <w:jc w:val="left"/>
              <w:rPr>
                <w:rFonts w:ascii="宋体" w:hAnsi="宋体"/>
              </w:rPr>
            </w:pPr>
            <w:r>
              <w:rPr>
                <w:rFonts w:hint="eastAsia" w:ascii="宋体" w:hAnsi="宋体"/>
              </w:rPr>
              <w:t>履约验收中甲方提出异议或作出说明的期限</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第4.6款</w:t>
            </w:r>
          </w:p>
        </w:tc>
        <w:tc>
          <w:tcPr>
            <w:tcW w:w="1742" w:type="dxa"/>
            <w:vAlign w:val="center"/>
          </w:tcPr>
          <w:p>
            <w:pPr>
              <w:adjustRightInd w:val="0"/>
              <w:snapToGrid w:val="0"/>
              <w:jc w:val="left"/>
              <w:rPr>
                <w:rFonts w:ascii="宋体" w:hAnsi="宋体"/>
              </w:rPr>
            </w:pPr>
            <w:r>
              <w:rPr>
                <w:rFonts w:hint="eastAsia" w:ascii="宋体" w:hAnsi="宋体"/>
              </w:rPr>
              <w:t>约定甲方承担的其他义务和责任</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snapToGrid w:val="0"/>
              <w:jc w:val="center"/>
              <w:rPr>
                <w:rFonts w:ascii="宋体" w:hAnsi="宋体"/>
              </w:rPr>
            </w:pPr>
            <w:r>
              <w:rPr>
                <w:rFonts w:hint="eastAsia" w:ascii="宋体" w:hAnsi="宋体"/>
              </w:rPr>
              <w:t>第5.4款</w:t>
            </w:r>
          </w:p>
        </w:tc>
        <w:tc>
          <w:tcPr>
            <w:tcW w:w="1742" w:type="dxa"/>
            <w:vAlign w:val="center"/>
          </w:tcPr>
          <w:p>
            <w:pPr>
              <w:adjustRightInd w:val="0"/>
              <w:snapToGrid w:val="0"/>
              <w:jc w:val="left"/>
              <w:rPr>
                <w:rFonts w:ascii="宋体" w:hAnsi="宋体"/>
              </w:rPr>
            </w:pPr>
            <w:r>
              <w:rPr>
                <w:rFonts w:hint="eastAsia" w:ascii="宋体" w:hAnsi="宋体"/>
              </w:rPr>
              <w:t>约定乙方承担的其他义务和责任</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snapToGrid w:val="0"/>
              <w:jc w:val="center"/>
              <w:rPr>
                <w:rFonts w:ascii="宋体" w:hAnsi="宋体"/>
              </w:rPr>
            </w:pPr>
            <w:r>
              <w:rPr>
                <w:rFonts w:hint="eastAsia" w:ascii="宋体" w:hAnsi="宋体"/>
              </w:rPr>
              <w:t>第6.1款</w:t>
            </w:r>
          </w:p>
        </w:tc>
        <w:tc>
          <w:tcPr>
            <w:tcW w:w="1742" w:type="dxa"/>
            <w:vAlign w:val="center"/>
          </w:tcPr>
          <w:p>
            <w:pPr>
              <w:adjustRightInd w:val="0"/>
              <w:snapToGrid w:val="0"/>
              <w:jc w:val="left"/>
              <w:rPr>
                <w:rFonts w:ascii="宋体" w:hAnsi="宋体"/>
              </w:rPr>
            </w:pPr>
            <w:r>
              <w:rPr>
                <w:rFonts w:hint="eastAsia" w:ascii="宋体" w:hAnsi="宋体"/>
              </w:rPr>
              <w:t>履行合同义务的顺序</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第7.1款</w:t>
            </w:r>
          </w:p>
        </w:tc>
        <w:tc>
          <w:tcPr>
            <w:tcW w:w="1742" w:type="dxa"/>
            <w:vAlign w:val="center"/>
          </w:tcPr>
          <w:p>
            <w:pPr>
              <w:adjustRightInd w:val="0"/>
              <w:snapToGrid w:val="0"/>
              <w:jc w:val="left"/>
              <w:rPr>
                <w:rFonts w:ascii="宋体" w:hAnsi="宋体"/>
              </w:rPr>
            </w:pPr>
            <w:r>
              <w:rPr>
                <w:rFonts w:hint="eastAsia" w:ascii="宋体" w:hAnsi="宋体"/>
              </w:rPr>
              <w:t>包装特殊要求</w:t>
            </w:r>
          </w:p>
        </w:tc>
        <w:tc>
          <w:tcPr>
            <w:tcW w:w="5170" w:type="dxa"/>
            <w:vAlign w:val="center"/>
          </w:tcPr>
          <w:p>
            <w:pP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rPr>
            </w:pPr>
          </w:p>
        </w:tc>
        <w:tc>
          <w:tcPr>
            <w:tcW w:w="1742" w:type="dxa"/>
            <w:vAlign w:val="center"/>
          </w:tcPr>
          <w:p>
            <w:pPr>
              <w:adjustRightInd w:val="0"/>
              <w:snapToGrid w:val="0"/>
              <w:jc w:val="left"/>
              <w:rPr>
                <w:rFonts w:ascii="宋体" w:hAnsi="宋体"/>
              </w:rPr>
            </w:pPr>
            <w:r>
              <w:rPr>
                <w:rFonts w:hint="eastAsia" w:ascii="宋体" w:hAnsi="宋体"/>
              </w:rPr>
              <w:t>指定现场</w:t>
            </w:r>
          </w:p>
        </w:tc>
        <w:tc>
          <w:tcPr>
            <w:tcW w:w="5170" w:type="dxa"/>
            <w:vAlign w:val="center"/>
          </w:tcPr>
          <w:p>
            <w:pP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第7.2款</w:t>
            </w:r>
          </w:p>
        </w:tc>
        <w:tc>
          <w:tcPr>
            <w:tcW w:w="1742" w:type="dxa"/>
            <w:vAlign w:val="center"/>
          </w:tcPr>
          <w:p>
            <w:pPr>
              <w:adjustRightInd w:val="0"/>
              <w:snapToGrid w:val="0"/>
              <w:jc w:val="left"/>
              <w:rPr>
                <w:rFonts w:ascii="宋体" w:hAnsi="宋体"/>
              </w:rPr>
            </w:pPr>
            <w:r>
              <w:rPr>
                <w:rFonts w:hint="eastAsia" w:ascii="宋体" w:hAnsi="宋体"/>
              </w:rPr>
              <w:t>运输特殊要求</w:t>
            </w:r>
          </w:p>
        </w:tc>
        <w:tc>
          <w:tcPr>
            <w:tcW w:w="5170" w:type="dxa"/>
            <w:vAlign w:val="center"/>
          </w:tcPr>
          <w:p>
            <w:pP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第7.3款</w:t>
            </w:r>
          </w:p>
        </w:tc>
        <w:tc>
          <w:tcPr>
            <w:tcW w:w="1742" w:type="dxa"/>
            <w:vAlign w:val="center"/>
          </w:tcPr>
          <w:p>
            <w:pPr>
              <w:adjustRightInd w:val="0"/>
              <w:snapToGrid w:val="0"/>
              <w:jc w:val="left"/>
              <w:rPr>
                <w:rFonts w:ascii="宋体" w:hAnsi="宋体"/>
              </w:rPr>
            </w:pPr>
            <w:r>
              <w:rPr>
                <w:rFonts w:hint="eastAsia" w:ascii="宋体" w:hAnsi="宋体"/>
              </w:rPr>
              <w:t>保险要求</w:t>
            </w:r>
          </w:p>
        </w:tc>
        <w:tc>
          <w:tcPr>
            <w:tcW w:w="5170" w:type="dxa"/>
            <w:vAlign w:val="center"/>
          </w:tcPr>
          <w:p>
            <w:pPr>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第8.2（1）项</w:t>
            </w:r>
          </w:p>
        </w:tc>
        <w:tc>
          <w:tcPr>
            <w:tcW w:w="1742" w:type="dxa"/>
            <w:vAlign w:val="center"/>
          </w:tcPr>
          <w:p>
            <w:pPr>
              <w:adjustRightInd w:val="0"/>
              <w:snapToGrid w:val="0"/>
              <w:jc w:val="left"/>
              <w:rPr>
                <w:rFonts w:ascii="宋体" w:hAnsi="宋体"/>
              </w:rPr>
            </w:pPr>
            <w:r>
              <w:rPr>
                <w:rFonts w:hint="eastAsia" w:ascii="宋体" w:hAnsi="宋体"/>
              </w:rPr>
              <w:t>质量保证期</w:t>
            </w:r>
          </w:p>
        </w:tc>
        <w:tc>
          <w:tcPr>
            <w:tcW w:w="5170" w:type="dxa"/>
            <w:vAlign w:val="center"/>
          </w:tcPr>
          <w:p>
            <w:pPr>
              <w:autoSpaceDE w:val="0"/>
              <w:autoSpaceDN w:val="0"/>
              <w:adjustRightInd w:val="0"/>
              <w:snapToGrid w:val="0"/>
              <w:ind w:firstLine="420" w:firstLineChars="20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第8.2（3）项</w:t>
            </w:r>
          </w:p>
        </w:tc>
        <w:tc>
          <w:tcPr>
            <w:tcW w:w="1742" w:type="dxa"/>
            <w:vAlign w:val="center"/>
          </w:tcPr>
          <w:p>
            <w:pPr>
              <w:adjustRightInd w:val="0"/>
              <w:snapToGrid w:val="0"/>
              <w:jc w:val="left"/>
              <w:rPr>
                <w:rFonts w:ascii="宋体" w:hAnsi="宋体"/>
              </w:rPr>
            </w:pPr>
            <w:r>
              <w:rPr>
                <w:rFonts w:hint="eastAsia" w:ascii="宋体" w:hAnsi="宋体"/>
              </w:rPr>
              <w:t>货物质量缺陷</w:t>
            </w:r>
          </w:p>
          <w:p>
            <w:pPr>
              <w:adjustRightInd w:val="0"/>
              <w:snapToGrid w:val="0"/>
              <w:jc w:val="left"/>
              <w:rPr>
                <w:rFonts w:ascii="宋体" w:hAnsi="宋体"/>
              </w:rPr>
            </w:pPr>
            <w:r>
              <w:rPr>
                <w:rFonts w:hint="eastAsia" w:ascii="宋体" w:hAnsi="宋体"/>
              </w:rPr>
              <w:t>响应时间</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rPr>
            </w:pPr>
            <w:r>
              <w:rPr>
                <w:rFonts w:hint="eastAsia" w:ascii="宋体" w:hAnsi="宋体" w:cs="宋体"/>
              </w:rPr>
              <w:t>第二节</w:t>
            </w:r>
          </w:p>
          <w:p>
            <w:pPr>
              <w:jc w:val="center"/>
              <w:rPr>
                <w:rFonts w:ascii="宋体" w:hAnsi="宋体"/>
              </w:rPr>
            </w:pPr>
            <w:r>
              <w:rPr>
                <w:rFonts w:hint="eastAsia" w:ascii="宋体" w:hAnsi="宋体" w:cs="宋体"/>
              </w:rPr>
              <w:t>第11.1款</w:t>
            </w:r>
          </w:p>
        </w:tc>
        <w:tc>
          <w:tcPr>
            <w:tcW w:w="1742" w:type="dxa"/>
            <w:vAlign w:val="center"/>
          </w:tcPr>
          <w:p>
            <w:pPr>
              <w:adjustRightInd w:val="0"/>
              <w:snapToGrid w:val="0"/>
              <w:rPr>
                <w:rFonts w:ascii="宋体" w:hAnsi="宋体"/>
              </w:rPr>
            </w:pPr>
            <w:r>
              <w:rPr>
                <w:rFonts w:hint="eastAsia" w:ascii="宋体" w:hAnsi="宋体"/>
              </w:rPr>
              <w:t>其他应当保密的信息</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第12.2款</w:t>
            </w:r>
          </w:p>
        </w:tc>
        <w:tc>
          <w:tcPr>
            <w:tcW w:w="1742" w:type="dxa"/>
            <w:vAlign w:val="center"/>
          </w:tcPr>
          <w:p>
            <w:pPr>
              <w:adjustRightInd w:val="0"/>
              <w:snapToGrid w:val="0"/>
              <w:jc w:val="left"/>
              <w:rPr>
                <w:rFonts w:ascii="宋体" w:hAnsi="宋体"/>
              </w:rPr>
            </w:pPr>
            <w:r>
              <w:rPr>
                <w:rFonts w:hint="eastAsia" w:ascii="宋体" w:hAnsi="宋体"/>
              </w:rPr>
              <w:t>合同价款支付时间</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第13.2款</w:t>
            </w:r>
          </w:p>
        </w:tc>
        <w:tc>
          <w:tcPr>
            <w:tcW w:w="1742" w:type="dxa"/>
            <w:vAlign w:val="center"/>
          </w:tcPr>
          <w:p>
            <w:pPr>
              <w:adjustRightInd w:val="0"/>
              <w:snapToGrid w:val="0"/>
              <w:jc w:val="left"/>
              <w:rPr>
                <w:rFonts w:ascii="宋体" w:hAnsi="宋体"/>
              </w:rPr>
            </w:pPr>
            <w:r>
              <w:rPr>
                <w:rFonts w:hint="eastAsia" w:ascii="宋体" w:hAnsi="宋体"/>
              </w:rPr>
              <w:t>履约保证金不予退还的情形</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第13.3款</w:t>
            </w:r>
          </w:p>
        </w:tc>
        <w:tc>
          <w:tcPr>
            <w:tcW w:w="1742" w:type="dxa"/>
            <w:vAlign w:val="center"/>
          </w:tcPr>
          <w:p>
            <w:pPr>
              <w:adjustRightInd w:val="0"/>
              <w:snapToGrid w:val="0"/>
              <w:jc w:val="left"/>
              <w:rPr>
                <w:rFonts w:ascii="宋体" w:hAnsi="宋体"/>
              </w:rPr>
            </w:pPr>
            <w:r>
              <w:rPr>
                <w:rFonts w:hint="eastAsia" w:ascii="宋体" w:hAnsi="宋体"/>
              </w:rPr>
              <w:t>履约保证金退还时间及逾期退还的违约金</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第14.1（3）项</w:t>
            </w:r>
          </w:p>
        </w:tc>
        <w:tc>
          <w:tcPr>
            <w:tcW w:w="1742" w:type="dxa"/>
            <w:vAlign w:val="center"/>
          </w:tcPr>
          <w:p>
            <w:pPr>
              <w:adjustRightInd w:val="0"/>
              <w:snapToGrid w:val="0"/>
              <w:jc w:val="left"/>
              <w:rPr>
                <w:rFonts w:ascii="宋体" w:hAnsi="宋体"/>
              </w:rPr>
            </w:pPr>
            <w:r>
              <w:rPr>
                <w:rFonts w:hint="eastAsia" w:ascii="宋体" w:hAnsi="宋体"/>
              </w:rPr>
              <w:t>运行监督、维修期限</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第14.1（5）项</w:t>
            </w:r>
          </w:p>
        </w:tc>
        <w:tc>
          <w:tcPr>
            <w:tcW w:w="1742" w:type="dxa"/>
            <w:vAlign w:val="center"/>
          </w:tcPr>
          <w:p>
            <w:pPr>
              <w:adjustRightInd w:val="0"/>
              <w:snapToGrid w:val="0"/>
              <w:jc w:val="left"/>
              <w:rPr>
                <w:rFonts w:ascii="宋体" w:hAnsi="宋体"/>
              </w:rPr>
            </w:pPr>
            <w:r>
              <w:rPr>
                <w:rFonts w:hint="eastAsia" w:ascii="宋体" w:hAnsi="宋体"/>
              </w:rPr>
              <w:t>货物回收的约定</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第14.1（6）项</w:t>
            </w:r>
          </w:p>
        </w:tc>
        <w:tc>
          <w:tcPr>
            <w:tcW w:w="1742" w:type="dxa"/>
            <w:vAlign w:val="center"/>
          </w:tcPr>
          <w:p>
            <w:pPr>
              <w:adjustRightInd w:val="0"/>
              <w:snapToGrid w:val="0"/>
              <w:jc w:val="left"/>
              <w:rPr>
                <w:rFonts w:ascii="宋体" w:hAnsi="宋体"/>
              </w:rPr>
            </w:pPr>
            <w:r>
              <w:rPr>
                <w:rFonts w:hint="eastAsia" w:ascii="宋体" w:hAnsi="宋体"/>
              </w:rPr>
              <w:t>乙方提供的其他服务</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第15.1款</w:t>
            </w:r>
          </w:p>
        </w:tc>
        <w:tc>
          <w:tcPr>
            <w:tcW w:w="1742" w:type="dxa"/>
            <w:vAlign w:val="center"/>
          </w:tcPr>
          <w:p>
            <w:pPr>
              <w:adjustRightInd w:val="0"/>
              <w:snapToGrid w:val="0"/>
              <w:jc w:val="left"/>
              <w:rPr>
                <w:rFonts w:ascii="宋体" w:hAnsi="宋体"/>
              </w:rPr>
            </w:pPr>
            <w:r>
              <w:rPr>
                <w:rFonts w:hint="eastAsia" w:ascii="宋体" w:hAnsi="宋体"/>
              </w:rPr>
              <w:t>修理、重作、更换相关具体规定</w:t>
            </w:r>
          </w:p>
        </w:tc>
        <w:tc>
          <w:tcPr>
            <w:tcW w:w="5170" w:type="dxa"/>
            <w:vAlign w:val="center"/>
          </w:tcPr>
          <w:p>
            <w:pPr>
              <w:adjustRightInd w:val="0"/>
              <w:snapToGrid w:val="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第15.2（2）项</w:t>
            </w:r>
          </w:p>
        </w:tc>
        <w:tc>
          <w:tcPr>
            <w:tcW w:w="1742" w:type="dxa"/>
            <w:vAlign w:val="center"/>
          </w:tcPr>
          <w:p>
            <w:pPr>
              <w:adjustRightInd w:val="0"/>
              <w:snapToGrid w:val="0"/>
              <w:jc w:val="left"/>
              <w:rPr>
                <w:rFonts w:ascii="宋体" w:hAnsi="宋体"/>
              </w:rPr>
            </w:pPr>
            <w:r>
              <w:rPr>
                <w:rFonts w:hint="eastAsia" w:ascii="宋体" w:hAnsi="宋体"/>
              </w:rPr>
              <w:t>迟延交货赔偿费</w:t>
            </w:r>
          </w:p>
        </w:tc>
        <w:tc>
          <w:tcPr>
            <w:tcW w:w="5170" w:type="dxa"/>
            <w:vAlign w:val="center"/>
          </w:tcPr>
          <w:p>
            <w:pPr>
              <w:adjustRightInd w:val="0"/>
              <w:snapToGrid w:val="0"/>
              <w:jc w:val="left"/>
              <w:rPr>
                <w:rFonts w:ascii="宋体" w:hAnsi="宋体"/>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第15.3款</w:t>
            </w:r>
          </w:p>
        </w:tc>
        <w:tc>
          <w:tcPr>
            <w:tcW w:w="1742" w:type="dxa"/>
            <w:vAlign w:val="center"/>
          </w:tcPr>
          <w:p>
            <w:pPr>
              <w:adjustRightInd w:val="0"/>
              <w:snapToGrid w:val="0"/>
              <w:jc w:val="left"/>
              <w:rPr>
                <w:rFonts w:ascii="宋体" w:hAnsi="宋体"/>
              </w:rPr>
            </w:pPr>
            <w:r>
              <w:rPr>
                <w:rFonts w:hint="eastAsia" w:ascii="宋体" w:hAnsi="宋体"/>
              </w:rPr>
              <w:t>逾期付款利息</w:t>
            </w:r>
          </w:p>
        </w:tc>
        <w:tc>
          <w:tcPr>
            <w:tcW w:w="5170" w:type="dxa"/>
            <w:vAlign w:val="center"/>
          </w:tcPr>
          <w:p>
            <w:pPr>
              <w:adjustRightInd w:val="0"/>
              <w:snapToGrid w:val="0"/>
              <w:jc w:val="left"/>
              <w:rPr>
                <w:rFonts w:ascii="宋体" w:hAnsi="宋体"/>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rPr>
            </w:pPr>
            <w:r>
              <w:rPr>
                <w:rFonts w:hint="eastAsia" w:ascii="宋体" w:hAnsi="宋体"/>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rPr>
            </w:pPr>
            <w:r>
              <w:rPr>
                <w:rFonts w:hint="eastAsia" w:ascii="宋体" w:hAnsi="宋体"/>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rPr>
            </w:pPr>
            <w:r>
              <w:rPr>
                <w:rFonts w:hint="eastAsia" w:ascii="宋体" w:hAnsi="宋体" w:cs="宋体"/>
                <w:iCs/>
              </w:rPr>
              <w:t>因本合同及合同有关事项发生的争议，按下列第</w:t>
            </w:r>
            <w:r>
              <w:rPr>
                <w:rFonts w:hint="eastAsia" w:ascii="宋体" w:hAnsi="宋体" w:cs="宋体"/>
                <w:iCs/>
                <w:u w:val="single"/>
              </w:rPr>
              <w:t xml:space="preserve">   </w:t>
            </w:r>
            <w:r>
              <w:rPr>
                <w:rFonts w:hint="eastAsia" w:ascii="宋体" w:hAnsi="宋体" w:cs="宋体"/>
                <w:iCs/>
              </w:rPr>
              <w:t>种方式解决：</w:t>
            </w:r>
          </w:p>
          <w:p>
            <w:pPr>
              <w:autoSpaceDE w:val="0"/>
              <w:autoSpaceDN w:val="0"/>
              <w:adjustRightInd w:val="0"/>
              <w:snapToGrid w:val="0"/>
              <w:spacing w:line="400" w:lineRule="exact"/>
              <w:jc w:val="left"/>
              <w:rPr>
                <w:rFonts w:ascii="宋体" w:hAnsi="宋体" w:cs="宋体"/>
                <w:iCs/>
              </w:rPr>
            </w:pPr>
            <w:r>
              <w:rPr>
                <w:rFonts w:hint="eastAsia" w:ascii="宋体" w:hAnsi="宋体" w:cs="宋体"/>
                <w:iCs/>
              </w:rPr>
              <w:t>（1）向</w:t>
            </w:r>
            <w:r>
              <w:rPr>
                <w:rFonts w:hint="eastAsia" w:ascii="宋体" w:hAnsi="宋体" w:cs="宋体"/>
                <w:iCs/>
                <w:u w:val="single"/>
              </w:rPr>
              <w:t xml:space="preserve">                    </w:t>
            </w:r>
            <w:r>
              <w:rPr>
                <w:rFonts w:hint="eastAsia" w:ascii="宋体" w:hAnsi="宋体" w:cs="宋体"/>
                <w:iCs/>
              </w:rPr>
              <w:t>仲裁委员会申请仲裁，仲裁地点为</w:t>
            </w:r>
            <w:r>
              <w:rPr>
                <w:rFonts w:hint="eastAsia" w:ascii="宋体" w:hAnsi="宋体" w:cs="宋体"/>
                <w:iCs/>
                <w:u w:val="single"/>
              </w:rPr>
              <w:t xml:space="preserve">           </w:t>
            </w:r>
            <w:r>
              <w:rPr>
                <w:rFonts w:hint="eastAsia" w:ascii="宋体" w:hAnsi="宋体" w:cs="宋体"/>
                <w:iCs/>
              </w:rPr>
              <w:t>；</w:t>
            </w:r>
          </w:p>
          <w:p>
            <w:pPr>
              <w:adjustRightInd w:val="0"/>
              <w:snapToGrid w:val="0"/>
              <w:jc w:val="left"/>
              <w:rPr>
                <w:rFonts w:ascii="宋体" w:hAnsi="宋体"/>
                <w:u w:val="single"/>
              </w:rPr>
            </w:pPr>
            <w:r>
              <w:rPr>
                <w:rFonts w:hint="eastAsia" w:ascii="宋体" w:hAnsi="宋体" w:cs="宋体"/>
                <w:iCs/>
              </w:rPr>
              <w:t>（2）向</w:t>
            </w:r>
            <w:r>
              <w:rPr>
                <w:rFonts w:hint="eastAsia" w:ascii="宋体" w:hAnsi="宋体" w:cs="宋体"/>
                <w:iCs/>
                <w:u w:val="single"/>
              </w:rPr>
              <w:t xml:space="preserve">                    </w:t>
            </w:r>
            <w:r>
              <w:rPr>
                <w:rFonts w:hint="eastAsia" w:ascii="宋体" w:hAnsi="宋体" w:cs="宋体"/>
                <w:iCs/>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rPr>
            </w:pPr>
            <w:r>
              <w:rPr>
                <w:rFonts w:hint="eastAsia" w:ascii="宋体" w:hAnsi="宋体"/>
              </w:rPr>
              <w:t>第二节</w:t>
            </w:r>
          </w:p>
          <w:p>
            <w:pPr>
              <w:adjustRightInd w:val="0"/>
              <w:snapToGrid w:val="0"/>
              <w:jc w:val="center"/>
              <w:rPr>
                <w:rFonts w:ascii="宋体" w:hAnsi="宋体"/>
              </w:rPr>
            </w:pPr>
            <w:r>
              <w:rPr>
                <w:rFonts w:hint="eastAsia" w:ascii="宋体" w:hAnsi="宋体"/>
              </w:rPr>
              <w:t>第23.1款</w:t>
            </w:r>
          </w:p>
        </w:tc>
        <w:tc>
          <w:tcPr>
            <w:tcW w:w="1742" w:type="dxa"/>
            <w:vAlign w:val="center"/>
          </w:tcPr>
          <w:p>
            <w:pPr>
              <w:adjustRightInd w:val="0"/>
              <w:snapToGrid w:val="0"/>
              <w:jc w:val="left"/>
              <w:rPr>
                <w:rFonts w:ascii="宋体" w:hAnsi="宋体"/>
              </w:rPr>
            </w:pPr>
            <w:r>
              <w:rPr>
                <w:rFonts w:hint="eastAsia" w:ascii="宋体" w:hAnsi="宋体"/>
                <w:bCs/>
              </w:rPr>
              <w:t>其他专用条款</w:t>
            </w:r>
          </w:p>
        </w:tc>
        <w:tc>
          <w:tcPr>
            <w:tcW w:w="5170" w:type="dxa"/>
            <w:vAlign w:val="center"/>
          </w:tcPr>
          <w:p>
            <w:pPr>
              <w:adjustRightInd w:val="0"/>
              <w:snapToGrid w:val="0"/>
              <w:jc w:val="left"/>
              <w:rPr>
                <w:rFonts w:ascii="宋体" w:hAnsi="宋体"/>
              </w:rPr>
            </w:pPr>
          </w:p>
        </w:tc>
      </w:tr>
    </w:tbl>
    <w:p>
      <w:pPr>
        <w:rPr>
          <w:rFonts w:ascii="宋体" w:hAnsi="宋体"/>
        </w:rPr>
      </w:pPr>
    </w:p>
    <w:p>
      <w:pPr>
        <w:rPr>
          <w:rFonts w:ascii="宋体" w:hAnsi="宋体"/>
        </w:rPr>
      </w:pPr>
    </w:p>
    <w:p>
      <w:pPr>
        <w:pStyle w:val="4"/>
        <w:spacing w:before="0" w:after="0"/>
        <w:rPr>
          <w:rFonts w:ascii="宋体" w:hAnsi="宋体" w:cs="方正黑体_GBK"/>
          <w:bCs w:val="0"/>
        </w:rPr>
      </w:pPr>
      <w:bookmarkStart w:id="122" w:name="_Toc73613644"/>
      <w:bookmarkStart w:id="123" w:name="_Toc73610162"/>
    </w:p>
    <w:p>
      <w:pPr>
        <w:rPr>
          <w:rFonts w:ascii="宋体" w:hAnsi="宋体" w:cs="方正黑体_GBK"/>
          <w:b/>
        </w:rPr>
      </w:pPr>
    </w:p>
    <w:p>
      <w:pPr>
        <w:ind w:firstLine="442"/>
        <w:rPr>
          <w:rFonts w:ascii="宋体" w:hAnsi="宋体" w:cs="方正黑体_GBK"/>
          <w:b/>
        </w:rPr>
      </w:pPr>
    </w:p>
    <w:p>
      <w:pPr>
        <w:ind w:firstLine="442"/>
        <w:rPr>
          <w:rFonts w:ascii="宋体" w:hAnsi="宋体" w:cs="方正黑体_GBK"/>
          <w:b/>
        </w:rPr>
      </w:pPr>
    </w:p>
    <w:p>
      <w:pPr>
        <w:ind w:firstLine="442"/>
        <w:rPr>
          <w:rFonts w:ascii="宋体" w:hAnsi="宋体" w:cs="方正黑体_GBK"/>
          <w:b/>
        </w:rPr>
      </w:pPr>
    </w:p>
    <w:p>
      <w:pPr>
        <w:rPr>
          <w:rFonts w:ascii="宋体" w:hAnsi="宋体" w:cs="方正黑体_GBK"/>
          <w:b/>
        </w:rPr>
      </w:pPr>
    </w:p>
    <w:p>
      <w:pPr>
        <w:rPr>
          <w:rFonts w:ascii="宋体" w:hAnsi="宋体" w:cs="方正黑体_GBK"/>
          <w:b/>
        </w:rPr>
      </w:pPr>
    </w:p>
    <w:p>
      <w:pPr>
        <w:pStyle w:val="4"/>
        <w:spacing w:before="0" w:after="0"/>
        <w:rPr>
          <w:rFonts w:ascii="宋体" w:hAnsi="宋体" w:cs="方正小标宋_GBK"/>
          <w:color w:val="FF0000"/>
          <w:sz w:val="44"/>
          <w:szCs w:val="44"/>
        </w:rPr>
      </w:pPr>
      <w:r>
        <w:rPr>
          <w:rFonts w:hint="eastAsia" w:ascii="宋体" w:hAnsi="宋体" w:cs="方正小标宋_GBK"/>
          <w:color w:val="FF0000"/>
          <w:sz w:val="44"/>
          <w:szCs w:val="44"/>
        </w:rPr>
        <w:t>参考文件</w:t>
      </w:r>
    </w:p>
    <w:p>
      <w:pPr>
        <w:pStyle w:val="4"/>
        <w:spacing w:before="0" w:after="0" w:line="240" w:lineRule="auto"/>
        <w:ind w:firstLine="321" w:firstLineChars="100"/>
        <w:jc w:val="center"/>
        <w:rPr>
          <w:rFonts w:ascii="宋体" w:hAnsi="宋体" w:cs="方正小标宋_GBK"/>
        </w:rPr>
      </w:pPr>
    </w:p>
    <w:p>
      <w:pPr>
        <w:pStyle w:val="4"/>
        <w:spacing w:before="0" w:after="0" w:line="240" w:lineRule="auto"/>
        <w:ind w:firstLine="321" w:firstLineChars="100"/>
        <w:jc w:val="center"/>
        <w:rPr>
          <w:rFonts w:ascii="宋体" w:hAnsi="宋体" w:cs="方正小标宋_GBK"/>
        </w:rPr>
      </w:pPr>
    </w:p>
    <w:p>
      <w:pPr>
        <w:pStyle w:val="4"/>
        <w:spacing w:before="0" w:after="0" w:line="240" w:lineRule="auto"/>
        <w:ind w:firstLine="321" w:firstLineChars="100"/>
        <w:jc w:val="center"/>
        <w:rPr>
          <w:rFonts w:ascii="宋体" w:hAnsi="宋体" w:cs="方正小标宋_GBK"/>
        </w:rPr>
      </w:pPr>
      <w:r>
        <w:rPr>
          <w:rFonts w:hint="eastAsia" w:ascii="宋体" w:hAnsi="宋体" w:cs="方正小标宋_GBK"/>
        </w:rPr>
        <w:t>一、财政部工业和信息化部关于印发《政府采购促进中小企业发展管理办法》的通知</w:t>
      </w:r>
      <w:bookmarkEnd w:id="122"/>
      <w:bookmarkEnd w:id="123"/>
    </w:p>
    <w:p>
      <w:pPr>
        <w:rPr>
          <w:color w:val="000000"/>
        </w:rPr>
      </w:pPr>
    </w:p>
    <w:p>
      <w:pPr>
        <w:jc w:val="center"/>
        <w:rPr>
          <w:color w:val="000000"/>
        </w:rPr>
      </w:pPr>
      <w:r>
        <w:rPr>
          <w:rFonts w:hint="eastAsia"/>
          <w:color w:val="000000"/>
        </w:rPr>
        <w:t>财库〔2020〕46号</w:t>
      </w:r>
    </w:p>
    <w:p>
      <w:pPr>
        <w:rPr>
          <w:color w:val="333333"/>
        </w:rPr>
      </w:pPr>
      <w:r>
        <w:rPr>
          <w:rFonts w:hint="eastAsia"/>
          <w:color w:val="333333"/>
        </w:rPr>
        <w:t>各中央预算单位办公厅（室），各省、自治区、直辖市、计划单列市财政厅（局）、工业和信息化主管部门，新疆生产建设兵团财政局、工业和信息化主管部门：</w:t>
      </w:r>
    </w:p>
    <w:p>
      <w:pPr>
        <w:ind w:firstLine="480"/>
        <w:rPr>
          <w:color w:val="333333"/>
        </w:rPr>
      </w:pPr>
      <w:r>
        <w:rPr>
          <w:rFonts w:hint="eastAsia"/>
          <w:color w:val="333333"/>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ind w:firstLine="480"/>
        <w:rPr>
          <w:color w:val="333333"/>
        </w:rPr>
      </w:pPr>
      <w:r>
        <w:rPr>
          <w:rFonts w:hint="eastAsia"/>
          <w:color w:val="333333"/>
        </w:rPr>
        <w:t>附件：政府采购促进中小企业发展管理办法</w:t>
      </w:r>
    </w:p>
    <w:p>
      <w:pPr>
        <w:jc w:val="right"/>
        <w:rPr>
          <w:color w:val="333333"/>
        </w:rPr>
      </w:pPr>
      <w:r>
        <w:rPr>
          <w:rFonts w:hint="eastAsia"/>
          <w:color w:val="333333"/>
        </w:rPr>
        <w:t>财　　政　　部</w:t>
      </w:r>
    </w:p>
    <w:p>
      <w:pPr>
        <w:jc w:val="right"/>
        <w:rPr>
          <w:color w:val="333333"/>
        </w:rPr>
      </w:pPr>
      <w:r>
        <w:rPr>
          <w:rFonts w:hint="eastAsia"/>
          <w:color w:val="333333"/>
        </w:rPr>
        <w:t>工业和信息化部</w:t>
      </w:r>
    </w:p>
    <w:p>
      <w:pPr>
        <w:jc w:val="right"/>
        <w:rPr>
          <w:color w:val="333333"/>
        </w:rPr>
      </w:pPr>
      <w:r>
        <w:rPr>
          <w:rFonts w:hint="eastAsia"/>
          <w:color w:val="333333"/>
        </w:rPr>
        <w:t>2020年12月18日</w:t>
      </w:r>
    </w:p>
    <w:p>
      <w:pPr>
        <w:ind w:firstLine="480"/>
        <w:rPr>
          <w:color w:val="333333"/>
        </w:rPr>
      </w:pPr>
    </w:p>
    <w:p>
      <w:pPr>
        <w:rPr>
          <w:color w:val="333333"/>
        </w:rPr>
      </w:pPr>
    </w:p>
    <w:p>
      <w:pPr>
        <w:ind w:firstLine="480"/>
        <w:rPr>
          <w:color w:val="333333"/>
        </w:rPr>
      </w:pPr>
    </w:p>
    <w:p>
      <w:pPr>
        <w:jc w:val="center"/>
        <w:rPr>
          <w:rFonts w:cs="方正小标宋_GBK"/>
          <w:color w:val="333333"/>
          <w:sz w:val="32"/>
          <w:szCs w:val="32"/>
        </w:rPr>
      </w:pPr>
      <w:r>
        <w:rPr>
          <w:rFonts w:hint="eastAsia" w:cs="方正小标宋_GBK"/>
          <w:b/>
          <w:bCs/>
          <w:color w:val="333333"/>
          <w:sz w:val="32"/>
          <w:szCs w:val="32"/>
        </w:rPr>
        <w:t>政府采购促进中小企业发展管理办法</w:t>
      </w:r>
    </w:p>
    <w:p>
      <w:pPr>
        <w:ind w:firstLine="480"/>
        <w:rPr>
          <w:color w:val="333333"/>
        </w:rPr>
      </w:pPr>
    </w:p>
    <w:p>
      <w:pPr>
        <w:ind w:firstLine="480"/>
        <w:rPr>
          <w:color w:val="333333"/>
        </w:rPr>
      </w:pPr>
      <w:r>
        <w:rPr>
          <w:rFonts w:hint="eastAsia"/>
          <w:b/>
          <w:bCs/>
          <w:color w:val="333333"/>
        </w:rPr>
        <w:t>第一条</w:t>
      </w:r>
      <w:r>
        <w:rPr>
          <w:rFonts w:hint="eastAsia"/>
          <w:color w:val="333333"/>
        </w:rPr>
        <w:t>　为了发挥政府采购的政策功能，促进中小企业健康发展，根据《中华人民共和国政府采购法》、《中华人民共和国中小企业促进法》等有关法律法规，制定本办法。</w:t>
      </w:r>
    </w:p>
    <w:p>
      <w:pPr>
        <w:ind w:firstLine="480"/>
        <w:rPr>
          <w:color w:val="333333"/>
        </w:rPr>
      </w:pPr>
      <w:r>
        <w:rPr>
          <w:rFonts w:hint="eastAsia"/>
          <w:b/>
          <w:bCs/>
          <w:color w:val="333333"/>
        </w:rPr>
        <w:t>第二条</w:t>
      </w:r>
      <w:r>
        <w:rPr>
          <w:rFonts w:hint="eastAsia"/>
          <w:color w:val="333333"/>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color w:val="333333"/>
        </w:rPr>
      </w:pPr>
      <w:r>
        <w:rPr>
          <w:rFonts w:hint="eastAsia"/>
          <w:color w:val="333333"/>
        </w:rPr>
        <w:t>符合中小企业划分标准的个体工商户，在政府采购活动中视同中小企业。</w:t>
      </w:r>
    </w:p>
    <w:p>
      <w:pPr>
        <w:ind w:firstLine="480"/>
        <w:rPr>
          <w:color w:val="333333"/>
        </w:rPr>
      </w:pPr>
      <w:r>
        <w:rPr>
          <w:rFonts w:hint="eastAsia"/>
          <w:b/>
          <w:bCs/>
          <w:color w:val="333333"/>
        </w:rPr>
        <w:t>第三条</w:t>
      </w:r>
      <w:r>
        <w:rPr>
          <w:rFonts w:hint="eastAsia"/>
          <w:color w:val="333333"/>
        </w:rPr>
        <w:t>　采购人在政府采购活动中应当通过加强采购需求管理，落实预留采购份额、价格评审优惠、优先采购等措施，提高中小企业在政府采购中的份额，支持中小企业发展。</w:t>
      </w:r>
    </w:p>
    <w:p>
      <w:pPr>
        <w:ind w:firstLine="480"/>
        <w:rPr>
          <w:color w:val="333333"/>
        </w:rPr>
      </w:pPr>
      <w:r>
        <w:rPr>
          <w:rFonts w:hint="eastAsia"/>
          <w:b/>
          <w:bCs/>
          <w:color w:val="333333"/>
        </w:rPr>
        <w:t>第四条</w:t>
      </w:r>
      <w:r>
        <w:rPr>
          <w:rFonts w:hint="eastAsia"/>
          <w:color w:val="333333"/>
        </w:rPr>
        <w:t>　在政府采购活动中，供应商提供的货物、工程或者服务符合下列情形的，享受本办法规定的中小企业扶持政策：</w:t>
      </w:r>
    </w:p>
    <w:p>
      <w:pPr>
        <w:ind w:firstLine="480"/>
        <w:rPr>
          <w:color w:val="333333"/>
        </w:rPr>
      </w:pPr>
      <w:r>
        <w:rPr>
          <w:rFonts w:hint="eastAsia"/>
          <w:color w:val="333333"/>
        </w:rPr>
        <w:t>（一）在货物采购项目中，货物由中小企业制造，即货物由中小企业生产且使用该中小企业商号或者注册商标；</w:t>
      </w:r>
    </w:p>
    <w:p>
      <w:pPr>
        <w:ind w:firstLine="480"/>
        <w:rPr>
          <w:color w:val="333333"/>
        </w:rPr>
      </w:pPr>
      <w:r>
        <w:rPr>
          <w:rFonts w:hint="eastAsia"/>
          <w:color w:val="333333"/>
        </w:rPr>
        <w:t>（二）在工程采购项目中，工程由中小企业承建，即工程施工单位为中小企业；</w:t>
      </w:r>
    </w:p>
    <w:p>
      <w:pPr>
        <w:ind w:firstLine="480"/>
        <w:rPr>
          <w:color w:val="333333"/>
        </w:rPr>
      </w:pPr>
      <w:r>
        <w:rPr>
          <w:rFonts w:hint="eastAsia"/>
          <w:color w:val="333333"/>
        </w:rPr>
        <w:t>（三）在服务采购项目中，服务由中小企业承接，即提供服务的人员为中小企业依照《中华人民共和国劳动合同法》订立劳动合同的从业人员。</w:t>
      </w:r>
    </w:p>
    <w:p>
      <w:pPr>
        <w:ind w:firstLine="480"/>
        <w:rPr>
          <w:color w:val="333333"/>
        </w:rPr>
      </w:pPr>
      <w:r>
        <w:rPr>
          <w:rFonts w:hint="eastAsia"/>
          <w:color w:val="333333"/>
        </w:rPr>
        <w:t>在货物采购项目中，供应商提供的货物既有中小企业制造货物，也有大型企业制造货物的，不享受本办法规定的中小企业扶持政策。</w:t>
      </w:r>
    </w:p>
    <w:p>
      <w:pPr>
        <w:ind w:firstLine="480"/>
        <w:rPr>
          <w:color w:val="333333"/>
        </w:rPr>
      </w:pPr>
      <w:r>
        <w:rPr>
          <w:rFonts w:hint="eastAsia"/>
          <w:color w:val="333333"/>
        </w:rPr>
        <w:t>以联合体形式参加政府采购活动，联合体各方均为中小企业的，联合体视同中小企业。其中，联合体各方均为小微企业的，联合体视同小微企业。</w:t>
      </w:r>
    </w:p>
    <w:p>
      <w:pPr>
        <w:ind w:firstLine="480"/>
        <w:rPr>
          <w:color w:val="333333"/>
        </w:rPr>
      </w:pPr>
      <w:r>
        <w:rPr>
          <w:rFonts w:hint="eastAsia"/>
          <w:b/>
          <w:bCs/>
          <w:color w:val="333333"/>
        </w:rPr>
        <w:t>第五条</w:t>
      </w:r>
      <w:r>
        <w:rPr>
          <w:rFonts w:hint="eastAsia"/>
          <w:color w:val="333333"/>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ind w:firstLine="480"/>
        <w:rPr>
          <w:color w:val="333333"/>
        </w:rPr>
      </w:pPr>
      <w:r>
        <w:rPr>
          <w:rFonts w:hint="eastAsia"/>
          <w:b/>
          <w:bCs/>
          <w:color w:val="333333"/>
        </w:rPr>
        <w:t>第六条</w:t>
      </w:r>
      <w:r>
        <w:rPr>
          <w:rFonts w:hint="eastAsia"/>
          <w:color w:val="333333"/>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ind w:firstLine="480"/>
        <w:rPr>
          <w:color w:val="333333"/>
        </w:rPr>
      </w:pPr>
      <w:r>
        <w:rPr>
          <w:rFonts w:hint="eastAsia"/>
          <w:color w:val="333333"/>
        </w:rPr>
        <w:t>符合下列情形之一的，可不专门面向中小企业预留采购份额：</w:t>
      </w:r>
    </w:p>
    <w:p>
      <w:pPr>
        <w:ind w:firstLine="480"/>
        <w:rPr>
          <w:color w:val="333333"/>
        </w:rPr>
      </w:pPr>
      <w:r>
        <w:rPr>
          <w:rFonts w:hint="eastAsia"/>
          <w:color w:val="333333"/>
        </w:rPr>
        <w:t>（一）法律法规和国家有关政策明确规定优先或者应当面向事业单位、社会组织等非企业主体采购的；</w:t>
      </w:r>
    </w:p>
    <w:p>
      <w:pPr>
        <w:ind w:firstLine="480"/>
        <w:rPr>
          <w:color w:val="333333"/>
        </w:rPr>
      </w:pPr>
      <w:r>
        <w:rPr>
          <w:rFonts w:hint="eastAsia"/>
          <w:color w:val="333333"/>
        </w:rPr>
        <w:t>（二）因确需使用不可替代的专利、专有技术，基础设施限制，或者提供特定公共服务等原因，只能从中小企业之外的供应商处采购的；</w:t>
      </w:r>
    </w:p>
    <w:p>
      <w:pPr>
        <w:ind w:firstLine="480"/>
        <w:rPr>
          <w:color w:val="333333"/>
        </w:rPr>
      </w:pPr>
      <w:r>
        <w:rPr>
          <w:rFonts w:hint="eastAsia"/>
          <w:color w:val="333333"/>
        </w:rPr>
        <w:t>（三）按照本办法规定预留采购份额无法确保充分供应、充分竞争，或者存在可能影响政府采购目标实现的情形；</w:t>
      </w:r>
    </w:p>
    <w:p>
      <w:pPr>
        <w:ind w:firstLine="480"/>
        <w:rPr>
          <w:color w:val="333333"/>
        </w:rPr>
      </w:pPr>
      <w:r>
        <w:rPr>
          <w:rFonts w:hint="eastAsia"/>
          <w:color w:val="333333"/>
        </w:rPr>
        <w:t>（四）框架协议采购项目；</w:t>
      </w:r>
    </w:p>
    <w:p>
      <w:pPr>
        <w:ind w:firstLine="480"/>
        <w:rPr>
          <w:color w:val="333333"/>
        </w:rPr>
      </w:pPr>
      <w:r>
        <w:rPr>
          <w:rFonts w:hint="eastAsia"/>
          <w:color w:val="333333"/>
        </w:rPr>
        <w:t>（五）省级以上人民政府财政部门规定的其他情形。</w:t>
      </w:r>
    </w:p>
    <w:p>
      <w:pPr>
        <w:ind w:firstLine="480"/>
        <w:rPr>
          <w:color w:val="333333"/>
        </w:rPr>
      </w:pPr>
      <w:r>
        <w:rPr>
          <w:rFonts w:hint="eastAsia"/>
          <w:color w:val="333333"/>
        </w:rPr>
        <w:t>除上述情形外，其他均为适宜由中小企业提供的情形。</w:t>
      </w:r>
    </w:p>
    <w:p>
      <w:pPr>
        <w:ind w:firstLine="480"/>
        <w:rPr>
          <w:color w:val="333333"/>
        </w:rPr>
      </w:pPr>
      <w:r>
        <w:rPr>
          <w:rFonts w:hint="eastAsia"/>
          <w:b/>
          <w:bCs/>
          <w:color w:val="333333"/>
        </w:rPr>
        <w:t>第七条</w:t>
      </w:r>
      <w:r>
        <w:rPr>
          <w:rFonts w:hint="eastAsia"/>
          <w:color w:val="333333"/>
        </w:rPr>
        <w:t>　采购限额标准以上，200万元以下的货物和服务采购项目、400万元以下的工程采购项目，适宜由中小企业提供的，采购人应当专门面向中小企业采购。</w:t>
      </w:r>
    </w:p>
    <w:p>
      <w:pPr>
        <w:ind w:firstLine="480"/>
        <w:rPr>
          <w:color w:val="333333"/>
        </w:rPr>
      </w:pPr>
      <w:r>
        <w:rPr>
          <w:rFonts w:hint="eastAsia"/>
          <w:b/>
          <w:bCs/>
          <w:color w:val="333333"/>
        </w:rPr>
        <w:t>第八条</w:t>
      </w:r>
      <w:r>
        <w:rPr>
          <w:rFonts w:hint="eastAsia"/>
          <w:color w:val="333333"/>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ind w:firstLine="480"/>
        <w:rPr>
          <w:color w:val="333333"/>
        </w:rPr>
      </w:pPr>
      <w:r>
        <w:rPr>
          <w:rFonts w:hint="eastAsia"/>
          <w:color w:val="333333"/>
        </w:rPr>
        <w:t>（一）将采购项目整体或者设置采购包专门面向中小企业采购；</w:t>
      </w:r>
    </w:p>
    <w:p>
      <w:pPr>
        <w:ind w:firstLine="480"/>
        <w:rPr>
          <w:color w:val="333333"/>
        </w:rPr>
      </w:pPr>
      <w:r>
        <w:rPr>
          <w:rFonts w:hint="eastAsia"/>
          <w:color w:val="333333"/>
        </w:rPr>
        <w:t>（二）要求供应商以联合体形式参加采购活动，且联合体中中小企业承担的部分达到一定比例；</w:t>
      </w:r>
    </w:p>
    <w:p>
      <w:pPr>
        <w:ind w:firstLine="480"/>
        <w:rPr>
          <w:color w:val="333333"/>
        </w:rPr>
      </w:pPr>
      <w:r>
        <w:rPr>
          <w:rFonts w:hint="eastAsia"/>
          <w:color w:val="333333"/>
        </w:rPr>
        <w:t>（三）要求获得采购合同的供应商将采购项目中的一定比例分包给一家或者多家中小企业。</w:t>
      </w:r>
    </w:p>
    <w:p>
      <w:pPr>
        <w:ind w:firstLine="480"/>
        <w:rPr>
          <w:color w:val="333333"/>
        </w:rPr>
      </w:pPr>
      <w:r>
        <w:rPr>
          <w:rFonts w:hint="eastAsia"/>
          <w:color w:val="333333"/>
        </w:rPr>
        <w:t>组成联合体或者接受分包合同的中小企业与联合体内其他企业、分包企业之间不得存在直接控股、管理关系。</w:t>
      </w:r>
    </w:p>
    <w:p>
      <w:pPr>
        <w:ind w:firstLine="480"/>
        <w:rPr>
          <w:color w:val="333333"/>
        </w:rPr>
      </w:pPr>
      <w:r>
        <w:rPr>
          <w:rFonts w:hint="eastAsia"/>
          <w:b/>
          <w:bCs/>
          <w:color w:val="333333"/>
        </w:rPr>
        <w:t>第九条</w:t>
      </w:r>
      <w:r>
        <w:rPr>
          <w:rFonts w:hint="eastAsia"/>
          <w:color w:val="333333"/>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ind w:firstLine="480"/>
        <w:rPr>
          <w:color w:val="333333"/>
        </w:rPr>
      </w:pPr>
      <w:r>
        <w:rPr>
          <w:rFonts w:hint="eastAsia"/>
          <w:color w:val="333333"/>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ind w:firstLine="480"/>
        <w:rPr>
          <w:color w:val="333333"/>
        </w:rPr>
      </w:pPr>
      <w:r>
        <w:rPr>
          <w:rFonts w:hint="eastAsia"/>
          <w:color w:val="333333"/>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ind w:firstLine="480"/>
        <w:rPr>
          <w:color w:val="333333"/>
        </w:rPr>
      </w:pPr>
      <w:r>
        <w:rPr>
          <w:rFonts w:hint="eastAsia"/>
          <w:b/>
          <w:bCs/>
          <w:color w:val="333333"/>
        </w:rPr>
        <w:t>第十条</w:t>
      </w:r>
      <w:r>
        <w:rPr>
          <w:rFonts w:hint="eastAsia"/>
          <w:color w:val="333333"/>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ind w:firstLine="480"/>
        <w:rPr>
          <w:color w:val="333333"/>
        </w:rPr>
      </w:pPr>
      <w:r>
        <w:rPr>
          <w:rFonts w:hint="eastAsia"/>
          <w:b/>
          <w:bCs/>
          <w:color w:val="333333"/>
        </w:rPr>
        <w:t>第十一条</w:t>
      </w:r>
      <w:r>
        <w:rPr>
          <w:rFonts w:hint="eastAsia"/>
          <w:color w:val="333333"/>
        </w:rPr>
        <w:t>　中小企业参加政府采购活动，应当出具本办法规定的《中小企业声明函》（附1），否则不得享受相关中小企业扶持政策。任何单位和个人不得要求供应商提供《中小企业声明函》之外的中小企业身份证明文件。</w:t>
      </w:r>
    </w:p>
    <w:p>
      <w:pPr>
        <w:ind w:firstLine="480"/>
        <w:rPr>
          <w:color w:val="333333"/>
        </w:rPr>
      </w:pPr>
      <w:r>
        <w:rPr>
          <w:rFonts w:hint="eastAsia"/>
          <w:b/>
          <w:bCs/>
          <w:color w:val="333333"/>
        </w:rPr>
        <w:t>第十二条</w:t>
      </w:r>
      <w:r>
        <w:rPr>
          <w:rFonts w:hint="eastAsia"/>
          <w:color w:val="333333"/>
        </w:rPr>
        <w:t>　采购项目涉及中小企业采购的，采购文件应当明确以下内容：</w:t>
      </w:r>
    </w:p>
    <w:p>
      <w:pPr>
        <w:ind w:firstLine="480"/>
        <w:rPr>
          <w:color w:val="333333"/>
        </w:rPr>
      </w:pPr>
      <w:r>
        <w:rPr>
          <w:rFonts w:hint="eastAsia"/>
          <w:color w:val="333333"/>
        </w:rPr>
        <w:t>（一）预留份额的采购项目或者采购包，明确该项目或相关采购包专门面向中小企业采购，以及相关标的及预算金额；</w:t>
      </w:r>
    </w:p>
    <w:p>
      <w:pPr>
        <w:ind w:firstLine="480"/>
        <w:rPr>
          <w:color w:val="333333"/>
        </w:rPr>
      </w:pPr>
      <w:r>
        <w:rPr>
          <w:rFonts w:hint="eastAsia"/>
          <w:color w:val="333333"/>
        </w:rPr>
        <w:t>（二）要求以联合体形式参加或者合同分包的，明确联合协议或者分包意向协议中中小企业合同金额应当达到的比例，并作为供应商资格条件；</w:t>
      </w:r>
    </w:p>
    <w:p>
      <w:pPr>
        <w:ind w:firstLine="480"/>
        <w:rPr>
          <w:color w:val="333333"/>
        </w:rPr>
      </w:pPr>
      <w:r>
        <w:rPr>
          <w:rFonts w:hint="eastAsia"/>
          <w:color w:val="333333"/>
        </w:rPr>
        <w:t>（三）非预留份额的采购项目或者采购包，明确有关价格扣除比例或者价格分加分比例；</w:t>
      </w:r>
    </w:p>
    <w:p>
      <w:pPr>
        <w:ind w:firstLine="480"/>
        <w:rPr>
          <w:color w:val="333333"/>
        </w:rPr>
      </w:pPr>
      <w:r>
        <w:rPr>
          <w:rFonts w:hint="eastAsia"/>
          <w:color w:val="333333"/>
        </w:rPr>
        <w:t>（四）规定依据本办法规定享受扶持政策获得政府采购合同的，小微企业不得将合同分包给大中型企业，中型企业不得将合同分包给大型企业；</w:t>
      </w:r>
    </w:p>
    <w:p>
      <w:pPr>
        <w:ind w:firstLine="480"/>
        <w:rPr>
          <w:color w:val="333333"/>
        </w:rPr>
      </w:pPr>
      <w:r>
        <w:rPr>
          <w:rFonts w:hint="eastAsia"/>
          <w:color w:val="333333"/>
        </w:rPr>
        <w:t>（五）采购人认为具备相关条件的，明确对中小企业在资金支付期限、预付款比例等方面的优惠措施；</w:t>
      </w:r>
    </w:p>
    <w:p>
      <w:pPr>
        <w:ind w:firstLine="480"/>
        <w:rPr>
          <w:color w:val="333333"/>
        </w:rPr>
      </w:pPr>
      <w:r>
        <w:rPr>
          <w:rFonts w:hint="eastAsia"/>
          <w:color w:val="333333"/>
        </w:rPr>
        <w:t>（六）明确采购标的对应的中小企业划分标准所属行业；</w:t>
      </w:r>
    </w:p>
    <w:p>
      <w:pPr>
        <w:ind w:firstLine="480"/>
        <w:rPr>
          <w:color w:val="333333"/>
        </w:rPr>
      </w:pPr>
      <w:r>
        <w:rPr>
          <w:rFonts w:hint="eastAsia"/>
          <w:color w:val="333333"/>
        </w:rPr>
        <w:t>（七）法律法规和省级以上人民政府财政部门规定的其他事项。</w:t>
      </w:r>
    </w:p>
    <w:p>
      <w:pPr>
        <w:ind w:firstLine="480"/>
        <w:rPr>
          <w:color w:val="333333"/>
        </w:rPr>
      </w:pPr>
      <w:r>
        <w:rPr>
          <w:rFonts w:hint="eastAsia"/>
          <w:b/>
          <w:bCs/>
          <w:color w:val="333333"/>
        </w:rPr>
        <w:t>第十三条</w:t>
      </w:r>
      <w:r>
        <w:rPr>
          <w:rFonts w:hint="eastAsia"/>
          <w:color w:val="333333"/>
        </w:rPr>
        <w:t>　中标、成交供应商享受本办法规定的中小企业扶持政策的，采购人、采购代理机构应当随中标、成交结果公开中标、成交供应商的《中小企业声明函》。</w:t>
      </w:r>
    </w:p>
    <w:p>
      <w:pPr>
        <w:ind w:firstLine="480"/>
        <w:rPr>
          <w:color w:val="333333"/>
        </w:rPr>
      </w:pPr>
      <w:r>
        <w:rPr>
          <w:rFonts w:hint="eastAsia"/>
          <w:color w:val="333333"/>
        </w:rPr>
        <w:t>适用招标投标法的政府采购工程建设项目，应当在公示中标候选人时公开中标候选人的《中小企业声明函》。</w:t>
      </w:r>
    </w:p>
    <w:p>
      <w:pPr>
        <w:ind w:firstLine="480"/>
        <w:rPr>
          <w:color w:val="333333"/>
        </w:rPr>
      </w:pPr>
      <w:r>
        <w:rPr>
          <w:rFonts w:hint="eastAsia"/>
          <w:b/>
          <w:bCs/>
          <w:color w:val="333333"/>
        </w:rPr>
        <w:t>第十四条</w:t>
      </w:r>
      <w:r>
        <w:rPr>
          <w:rFonts w:hint="eastAsia"/>
          <w:color w:val="333333"/>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ind w:firstLine="480"/>
        <w:rPr>
          <w:color w:val="333333"/>
        </w:rPr>
      </w:pPr>
      <w:r>
        <w:rPr>
          <w:rFonts w:hint="eastAsia"/>
          <w:b/>
          <w:bCs/>
          <w:color w:val="333333"/>
        </w:rPr>
        <w:t>第十五条</w:t>
      </w:r>
      <w:r>
        <w:rPr>
          <w:rFonts w:hint="eastAsia"/>
          <w:color w:val="333333"/>
        </w:rPr>
        <w:t>　鼓励各地区、各部门在采购活动中允许中小企业引入信用担保手段，为中小企业在投标（响应）保证、履约保证等方面提供专业化服务。鼓励中小企业依法合规通过政府采购合同融资。</w:t>
      </w:r>
    </w:p>
    <w:p>
      <w:pPr>
        <w:ind w:firstLine="480"/>
        <w:rPr>
          <w:color w:val="333333"/>
        </w:rPr>
      </w:pPr>
      <w:r>
        <w:rPr>
          <w:rFonts w:hint="eastAsia"/>
          <w:b/>
          <w:bCs/>
          <w:color w:val="333333"/>
        </w:rPr>
        <w:t>第十六条</w:t>
      </w:r>
      <w:r>
        <w:rPr>
          <w:rFonts w:hint="eastAsia"/>
          <w:color w:val="333333"/>
        </w:rPr>
        <w:t>　政府采购监督检查、投诉处理及政府采购行政处罚中对中小企业的认定，由货物制造商或者工程、服务供应商注册登记所在地的县级以上人民政府中小企业主管部门负责。</w:t>
      </w:r>
    </w:p>
    <w:p>
      <w:pPr>
        <w:ind w:firstLine="480"/>
        <w:rPr>
          <w:color w:val="333333"/>
        </w:rPr>
      </w:pPr>
      <w:r>
        <w:rPr>
          <w:rFonts w:hint="eastAsia"/>
          <w:color w:val="333333"/>
        </w:rPr>
        <w:t>中小企业主管部门应当在收到财政部门或者有关招标投标行政监督部门关于协助开展中小企业认定函后10个工作日内做出书面答复。</w:t>
      </w:r>
    </w:p>
    <w:p>
      <w:pPr>
        <w:ind w:firstLine="480"/>
        <w:rPr>
          <w:color w:val="333333"/>
        </w:rPr>
      </w:pPr>
      <w:r>
        <w:rPr>
          <w:rFonts w:hint="eastAsia"/>
          <w:b/>
          <w:bCs/>
          <w:color w:val="333333"/>
        </w:rPr>
        <w:t>第十七条</w:t>
      </w:r>
      <w:r>
        <w:rPr>
          <w:rFonts w:hint="eastAsia"/>
          <w:color w:val="333333"/>
        </w:rPr>
        <w:t>　各地区、各部门应当对涉及中小企业采购的预算项目实施全过程绩效管理，合理设置绩效目标和指标，落实扶持中小企业有关政策要求，定期开展绩效监控和评价，强化绩效评价结果应用。</w:t>
      </w:r>
    </w:p>
    <w:p>
      <w:pPr>
        <w:ind w:firstLine="480"/>
        <w:rPr>
          <w:color w:val="333333"/>
        </w:rPr>
      </w:pPr>
      <w:r>
        <w:rPr>
          <w:rFonts w:hint="eastAsia"/>
          <w:b/>
          <w:bCs/>
          <w:color w:val="333333"/>
        </w:rPr>
        <w:t>第十八条</w:t>
      </w:r>
      <w:r>
        <w:rPr>
          <w:rFonts w:hint="eastAsia"/>
          <w:color w:val="333333"/>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ind w:firstLine="480"/>
        <w:rPr>
          <w:color w:val="333333"/>
        </w:rPr>
      </w:pPr>
      <w:r>
        <w:rPr>
          <w:rFonts w:hint="eastAsia"/>
          <w:b/>
          <w:bCs/>
          <w:color w:val="333333"/>
        </w:rPr>
        <w:t>第十九条</w:t>
      </w:r>
      <w:r>
        <w:rPr>
          <w:rFonts w:hint="eastAsia"/>
          <w:color w:val="333333"/>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ind w:firstLine="480"/>
        <w:rPr>
          <w:color w:val="333333"/>
        </w:rPr>
      </w:pPr>
      <w:r>
        <w:rPr>
          <w:rFonts w:hint="eastAsia"/>
          <w:b/>
          <w:bCs/>
          <w:color w:val="333333"/>
        </w:rPr>
        <w:t>第二十条</w:t>
      </w:r>
      <w:r>
        <w:rPr>
          <w:rFonts w:hint="eastAsia"/>
          <w:color w:val="333333"/>
        </w:rPr>
        <w:t>　供应商按照本办法规定提供声明函内容不实的，属于提供虚假材料谋取中标、成交，依照《中华人民共和国政府采购法》等国家有关规定追究相应责任。</w:t>
      </w:r>
    </w:p>
    <w:p>
      <w:pPr>
        <w:ind w:firstLine="480"/>
        <w:rPr>
          <w:color w:val="333333"/>
        </w:rPr>
      </w:pPr>
      <w:r>
        <w:rPr>
          <w:rFonts w:hint="eastAsia"/>
          <w:color w:val="333333"/>
        </w:rPr>
        <w:t>适用招标投标法的政府采购工程建设项目，投标人按照本办法规定提供声明函内容不实的，属于弄虚作假骗取中标，依照《中华人民共和国招标投标法》等国家有关规定追究相应责任。</w:t>
      </w:r>
    </w:p>
    <w:p>
      <w:pPr>
        <w:ind w:firstLine="480"/>
        <w:rPr>
          <w:color w:val="333333"/>
        </w:rPr>
      </w:pPr>
      <w:r>
        <w:rPr>
          <w:rFonts w:hint="eastAsia"/>
          <w:b/>
          <w:bCs/>
          <w:color w:val="333333"/>
        </w:rPr>
        <w:t>第二十一条</w:t>
      </w:r>
      <w:r>
        <w:rPr>
          <w:rFonts w:hint="eastAsia"/>
          <w:color w:val="333333"/>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ind w:firstLine="480"/>
        <w:rPr>
          <w:color w:val="333333"/>
        </w:rPr>
      </w:pPr>
      <w:r>
        <w:rPr>
          <w:rFonts w:hint="eastAsia"/>
          <w:b/>
          <w:bCs/>
          <w:color w:val="333333"/>
        </w:rPr>
        <w:t>第二十二条</w:t>
      </w:r>
      <w:r>
        <w:rPr>
          <w:rFonts w:hint="eastAsia"/>
          <w:color w:val="333333"/>
        </w:rPr>
        <w:t>　对外援助项目、国家相关资格或者资质管理制度另有规定的项目，不适用本办法。</w:t>
      </w:r>
    </w:p>
    <w:p>
      <w:pPr>
        <w:ind w:firstLine="480"/>
        <w:rPr>
          <w:color w:val="333333"/>
        </w:rPr>
      </w:pPr>
      <w:r>
        <w:rPr>
          <w:rFonts w:hint="eastAsia"/>
          <w:b/>
          <w:bCs/>
          <w:color w:val="333333"/>
        </w:rPr>
        <w:t>第二十三条</w:t>
      </w:r>
      <w:r>
        <w:rPr>
          <w:rFonts w:hint="eastAsia"/>
          <w:color w:val="333333"/>
        </w:rPr>
        <w:t>　关于视同中小企业的其他主体的政府采购扶持政策，由财政部会同有关部门另行规定。</w:t>
      </w:r>
    </w:p>
    <w:p>
      <w:pPr>
        <w:ind w:firstLine="480"/>
        <w:rPr>
          <w:color w:val="333333"/>
        </w:rPr>
      </w:pPr>
      <w:r>
        <w:rPr>
          <w:rFonts w:hint="eastAsia"/>
          <w:b/>
          <w:bCs/>
          <w:color w:val="333333"/>
        </w:rPr>
        <w:t>第二十四条</w:t>
      </w:r>
      <w:r>
        <w:rPr>
          <w:rFonts w:hint="eastAsia"/>
          <w:color w:val="333333"/>
        </w:rPr>
        <w:t>　省级财政部门可以会同中小企业主管部门根据本办法的规定制定具体实施办法。</w:t>
      </w:r>
    </w:p>
    <w:p>
      <w:pPr>
        <w:ind w:firstLine="480"/>
        <w:rPr>
          <w:color w:val="333333"/>
        </w:rPr>
      </w:pPr>
      <w:r>
        <w:rPr>
          <w:rFonts w:hint="eastAsia"/>
          <w:b/>
          <w:bCs/>
          <w:color w:val="333333"/>
        </w:rPr>
        <w:t>第二十五条</w:t>
      </w:r>
      <w:r>
        <w:rPr>
          <w:rFonts w:hint="eastAsia"/>
          <w:color w:val="333333"/>
        </w:rPr>
        <w:t>　本办法自2021年1月1日起施行。《财政部 工业和信息化部关于印发〈政府采购促进中小企业发展暂行办法〉的通知》（财库〔2011〕181号）同时废止。</w:t>
      </w:r>
    </w:p>
    <w:p>
      <w:pPr>
        <w:ind w:firstLine="480"/>
        <w:rPr>
          <w:color w:val="333333"/>
        </w:rPr>
      </w:pPr>
    </w:p>
    <w:p>
      <w:pPr>
        <w:rPr>
          <w:rFonts w:ascii="宋体" w:hAnsi="宋体"/>
        </w:rPr>
      </w:pPr>
    </w:p>
    <w:p>
      <w:pPr>
        <w:pStyle w:val="4"/>
        <w:spacing w:before="0" w:after="0" w:line="240" w:lineRule="auto"/>
        <w:ind w:firstLine="1124" w:firstLineChars="350"/>
        <w:rPr>
          <w:rFonts w:ascii="宋体" w:hAnsi="宋体" w:cs="方正小标宋_GBK"/>
          <w:bCs w:val="0"/>
        </w:rPr>
      </w:pPr>
      <w:bookmarkStart w:id="124" w:name="_Toc73613645"/>
      <w:bookmarkStart w:id="125" w:name="_Toc73610163"/>
      <w:r>
        <w:rPr>
          <w:rFonts w:hint="eastAsia" w:ascii="宋体" w:hAnsi="宋体" w:cs="方正小标宋_GBK"/>
          <w:bCs w:val="0"/>
        </w:rPr>
        <w:t>二、关于印发中小企业划型标准规定的通知</w:t>
      </w:r>
      <w:bookmarkEnd w:id="124"/>
      <w:bookmarkEnd w:id="125"/>
    </w:p>
    <w:p>
      <w:pPr>
        <w:rPr>
          <w:color w:val="000000"/>
        </w:rPr>
      </w:pPr>
      <w:r>
        <w:rPr>
          <w:rFonts w:hint="eastAsia"/>
          <w:color w:val="000000"/>
        </w:rPr>
        <w:t>工信部联企业〔2011〕300号</w:t>
      </w:r>
    </w:p>
    <w:p>
      <w:pPr>
        <w:rPr>
          <w:color w:val="000000"/>
        </w:rPr>
      </w:pPr>
      <w:r>
        <w:rPr>
          <w:rFonts w:hint="eastAsia"/>
          <w:color w:val="000000"/>
        </w:rPr>
        <w:t>各省、自治区、直辖市人民政府，国务院各部委、各直属机构及有关单位：</w:t>
      </w:r>
    </w:p>
    <w:p>
      <w:pPr>
        <w:rPr>
          <w:color w:val="000000"/>
        </w:rPr>
      </w:pPr>
      <w:r>
        <w:rPr>
          <w:rFonts w:hint="eastAsia"/>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rPr>
          <w:color w:val="000000"/>
        </w:rPr>
      </w:pPr>
      <w:r>
        <w:rPr>
          <w:rFonts w:hint="eastAsia"/>
          <w:color w:val="000000"/>
        </w:rPr>
        <w:t>　　　　　　　　　　　　　　　　　　　　　工业和信息化部　国家统计局</w:t>
      </w:r>
    </w:p>
    <w:p>
      <w:pPr>
        <w:rPr>
          <w:color w:val="000000"/>
        </w:rPr>
      </w:pPr>
      <w:r>
        <w:rPr>
          <w:rFonts w:hint="eastAsia"/>
          <w:color w:val="000000"/>
        </w:rPr>
        <w:t>　　　　　　　　　　　　　　　　　　　　国家发展和改革委员会　财政部</w:t>
      </w:r>
    </w:p>
    <w:p>
      <w:pPr>
        <w:rPr>
          <w:color w:val="000000"/>
        </w:rPr>
      </w:pPr>
      <w:r>
        <w:rPr>
          <w:rFonts w:hint="eastAsia"/>
          <w:color w:val="000000"/>
        </w:rPr>
        <w:t>　　　　　　　　　　　　　　　　　　　　　　　　二○一一年六月十八日</w:t>
      </w:r>
    </w:p>
    <w:p>
      <w:pPr>
        <w:jc w:val="center"/>
        <w:rPr>
          <w:rFonts w:cs="方正小标宋_GBK"/>
          <w:color w:val="000000"/>
        </w:rPr>
      </w:pPr>
      <w:r>
        <w:rPr>
          <w:rFonts w:hint="eastAsia" w:cs="方正小标宋_GBK"/>
          <w:color w:val="000000"/>
        </w:rPr>
        <w:t>中小企业划型标准规定</w:t>
      </w:r>
    </w:p>
    <w:p>
      <w:pPr>
        <w:rPr>
          <w:color w:val="000000"/>
        </w:rPr>
      </w:pPr>
      <w:r>
        <w:rPr>
          <w:rFonts w:hint="eastAsia"/>
          <w:color w:val="000000"/>
        </w:rPr>
        <w:t>　　一、根据《中华人民共和国中小企业促进法》和《国务院关于进一步促进中小企业发展的若干意见》(国发〔2009〕36号)，制定本规定。</w:t>
      </w:r>
    </w:p>
    <w:p>
      <w:pPr>
        <w:rPr>
          <w:color w:val="000000"/>
        </w:rPr>
      </w:pPr>
      <w:r>
        <w:rPr>
          <w:rFonts w:hint="eastAsia"/>
          <w:color w:val="000000"/>
        </w:rPr>
        <w:t>　　二、中小企业划分为中型、小型、微型三种类型，具体标准根据企业从业人员、营业收入、资产总额等指标，结合行业特点制定。</w:t>
      </w:r>
    </w:p>
    <w:p>
      <w:pPr>
        <w:rPr>
          <w:color w:val="000000"/>
        </w:rPr>
      </w:pPr>
      <w:r>
        <w:rPr>
          <w:rFonts w:hint="eastAsia"/>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rPr>
          <w:color w:val="000000"/>
        </w:rPr>
      </w:pPr>
      <w:r>
        <w:rPr>
          <w:rFonts w:hint="eastAsia"/>
          <w:color w:val="000000"/>
        </w:rPr>
        <w:t>　　四、各行业划型标准为：</w:t>
      </w:r>
    </w:p>
    <w:p>
      <w:pPr>
        <w:rPr>
          <w:color w:val="000000"/>
        </w:rPr>
      </w:pPr>
      <w:r>
        <w:rPr>
          <w:rFonts w:hint="eastAsia"/>
          <w:color w:val="000000"/>
        </w:rPr>
        <w:t>　　（一）农、林、牧、渔业。营业收入20000万元以下的为中小微型企业。其中，营业收入500万元及以上的为中型企业，营业收入50万元及以上的为小型企业，营业收入50万元以下的为微型企业。</w:t>
      </w:r>
    </w:p>
    <w:p>
      <w:pPr>
        <w:rPr>
          <w:color w:val="000000"/>
        </w:rPr>
      </w:pPr>
      <w:r>
        <w:rPr>
          <w:rFonts w:hint="eastAsia"/>
          <w:color w:val="000000"/>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color w:val="000000"/>
        </w:rPr>
      </w:pPr>
      <w:r>
        <w:rPr>
          <w:rFonts w:hint="eastAsia"/>
          <w:color w:val="000000"/>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color w:val="000000"/>
        </w:rPr>
      </w:pPr>
      <w:r>
        <w:rPr>
          <w:rFonts w:hint="eastAsia"/>
          <w:color w:val="000000"/>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color w:val="000000"/>
        </w:rPr>
      </w:pPr>
      <w:r>
        <w:rPr>
          <w:rFonts w:hint="eastAsia"/>
          <w:color w:val="000000"/>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color w:val="000000"/>
        </w:rPr>
      </w:pPr>
      <w:r>
        <w:rPr>
          <w:rFonts w:hint="eastAsia"/>
          <w:color w:val="000000"/>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color w:val="000000"/>
        </w:rPr>
      </w:pPr>
      <w:r>
        <w:rPr>
          <w:rFonts w:hint="eastAsia"/>
          <w:color w:val="000000"/>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color w:val="000000"/>
        </w:rPr>
      </w:pPr>
      <w:r>
        <w:rPr>
          <w:rFonts w:hint="eastAsia"/>
          <w:color w:val="000000"/>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color w:val="000000"/>
        </w:rPr>
      </w:pPr>
      <w:r>
        <w:rPr>
          <w:rFonts w:hint="eastAsia"/>
          <w:color w:val="000000"/>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color w:val="000000"/>
        </w:rPr>
      </w:pPr>
      <w:r>
        <w:rPr>
          <w:rFonts w:hint="eastAsia"/>
          <w:color w:val="000000"/>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color w:val="000000"/>
        </w:rPr>
      </w:pPr>
      <w:r>
        <w:rPr>
          <w:rFonts w:hint="eastAsia"/>
          <w:color w:val="000000"/>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color w:val="000000"/>
        </w:rPr>
      </w:pPr>
      <w:r>
        <w:rPr>
          <w:rFonts w:hint="eastAsia"/>
          <w:color w:val="000000"/>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rPr>
          <w:color w:val="000000"/>
        </w:rPr>
      </w:pPr>
      <w:r>
        <w:rPr>
          <w:rFonts w:hint="eastAsia"/>
          <w:color w:val="000000"/>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color w:val="000000"/>
        </w:rPr>
      </w:pPr>
      <w:r>
        <w:rPr>
          <w:rFonts w:hint="eastAsia"/>
          <w:color w:val="000000"/>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color w:val="000000"/>
        </w:rPr>
      </w:pPr>
      <w:r>
        <w:rPr>
          <w:rFonts w:hint="eastAsia"/>
          <w:color w:val="000000"/>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color w:val="000000"/>
        </w:rPr>
      </w:pPr>
      <w:r>
        <w:rPr>
          <w:rFonts w:hint="eastAsia"/>
          <w:color w:val="000000"/>
        </w:rPr>
        <w:t>　　（十六）其他未列明行业。从业人员300人以下的为中小微型企业。其中，从业人员100人及以上的为中型企业；从业人员10人及以上的为小型企业；从业人员10人以下的为微型企业。</w:t>
      </w:r>
    </w:p>
    <w:p>
      <w:pPr>
        <w:rPr>
          <w:color w:val="000000"/>
        </w:rPr>
      </w:pPr>
      <w:r>
        <w:rPr>
          <w:rFonts w:hint="eastAsia"/>
          <w:color w:val="000000"/>
        </w:rPr>
        <w:t>　　五、企业类型的划分以统计部门的统计数据为依据。</w:t>
      </w:r>
    </w:p>
    <w:p>
      <w:pPr>
        <w:rPr>
          <w:color w:val="000000"/>
        </w:rPr>
      </w:pPr>
      <w:r>
        <w:rPr>
          <w:rFonts w:hint="eastAsia"/>
          <w:color w:val="000000"/>
        </w:rPr>
        <w:t>　　六、本规定适用于在中华人民共和国境内依法设立的各类所有制和各种组织形式的企业。个体工商户和本规定以外的行业，参照本规定进行划型。</w:t>
      </w:r>
    </w:p>
    <w:p>
      <w:pPr>
        <w:rPr>
          <w:color w:val="000000"/>
        </w:rPr>
      </w:pPr>
      <w:r>
        <w:rPr>
          <w:rFonts w:hint="eastAsia"/>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pPr>
        <w:rPr>
          <w:color w:val="000000"/>
        </w:rPr>
      </w:pPr>
      <w:r>
        <w:rPr>
          <w:rFonts w:hint="eastAsia"/>
          <w:color w:val="000000"/>
        </w:rPr>
        <w:t>　　八、本规定由工业和信息化部、国家统计局会同有关部门根据《国民经济行业分类》修订情况和企业发展变化情况适时修订。</w:t>
      </w:r>
    </w:p>
    <w:p>
      <w:pPr>
        <w:rPr>
          <w:color w:val="000000"/>
        </w:rPr>
      </w:pPr>
      <w:r>
        <w:rPr>
          <w:rFonts w:hint="eastAsia"/>
          <w:color w:val="000000"/>
        </w:rPr>
        <w:t>　　九、本规定由工业和信息化部、国家统计局会同有关部门负责解释。</w:t>
      </w:r>
    </w:p>
    <w:p>
      <w:pPr>
        <w:rPr>
          <w:color w:val="000000"/>
        </w:rPr>
      </w:pPr>
      <w:r>
        <w:rPr>
          <w:rFonts w:hint="eastAsia"/>
          <w:color w:val="000000"/>
        </w:rPr>
        <w:t>　　十、本规定自发布之日起执行，原国家经贸委、原国家计委、财政部和国家统计局2003年颁布的《中小企业标准暂行规定》同时废止。</w:t>
      </w:r>
    </w:p>
    <w:p>
      <w:pPr>
        <w:rPr>
          <w:color w:val="000000"/>
        </w:rPr>
      </w:pPr>
    </w:p>
    <w:p>
      <w:pPr>
        <w:pStyle w:val="4"/>
        <w:spacing w:before="0" w:after="0" w:line="240" w:lineRule="auto"/>
        <w:jc w:val="center"/>
        <w:rPr>
          <w:rFonts w:ascii="宋体" w:hAnsi="宋体" w:cs="方正小标宋_GBK"/>
        </w:rPr>
      </w:pPr>
      <w:bookmarkStart w:id="126" w:name="_Toc73610164"/>
      <w:bookmarkStart w:id="127" w:name="_Toc73613646"/>
      <w:r>
        <w:rPr>
          <w:rFonts w:hint="eastAsia" w:ascii="宋体" w:hAnsi="宋体" w:cs="方正小标宋_GBK"/>
        </w:rPr>
        <w:t>三、国家统计局关于印发《统计上大中小微型企业划分办法 （2017）》的通知</w:t>
      </w:r>
      <w:bookmarkEnd w:id="126"/>
      <w:bookmarkEnd w:id="127"/>
    </w:p>
    <w:p>
      <w:pPr>
        <w:rPr>
          <w:rFonts w:ascii="宋体" w:hAnsi="宋体" w:cs="Arial"/>
          <w:color w:val="999999"/>
        </w:rPr>
      </w:pPr>
    </w:p>
    <w:p>
      <w:pPr>
        <w:rPr>
          <w:rFonts w:ascii="宋体" w:hAnsi="宋体" w:cs="宋体"/>
        </w:rPr>
      </w:pPr>
      <w:r>
        <w:rPr>
          <w:rFonts w:ascii="宋体" w:hAnsi="宋体" w:cs="宋体"/>
        </w:rPr>
        <w:t>各省、自治区、直辖市统计局，新疆生产建设兵团统计局，国务院各有关部门，国家统计局各调查总队：</w:t>
      </w:r>
    </w:p>
    <w:p>
      <w:pPr>
        <w:ind w:firstLine="371" w:firstLineChars="177"/>
        <w:rPr>
          <w:rFonts w:ascii="宋体" w:hAnsi="宋体" w:cs="宋体"/>
        </w:rPr>
      </w:pPr>
      <w:r>
        <w:rPr>
          <w:rFonts w:ascii="宋体" w:hAnsi="宋体" w:cs="宋体"/>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rPr>
          <w:rFonts w:ascii="宋体" w:hAnsi="宋体" w:cs="宋体"/>
        </w:rPr>
      </w:pPr>
      <w:r>
        <w:rPr>
          <w:rFonts w:ascii="宋体" w:hAnsi="宋体" w:cs="宋体"/>
        </w:rPr>
        <w:t>附件：《统计上大中小微型企业划分办法（2017）》修订说明</w:t>
      </w:r>
    </w:p>
    <w:p>
      <w:pPr>
        <w:jc w:val="right"/>
        <w:rPr>
          <w:rFonts w:ascii="宋体" w:hAnsi="宋体" w:cs="宋体"/>
        </w:rPr>
      </w:pPr>
      <w:r>
        <w:rPr>
          <w:rFonts w:ascii="宋体" w:hAnsi="宋体" w:cs="宋体"/>
        </w:rPr>
        <w:t>国家统计局</w:t>
      </w:r>
    </w:p>
    <w:p>
      <w:pPr>
        <w:jc w:val="right"/>
        <w:rPr>
          <w:rFonts w:ascii="宋体" w:hAnsi="宋体" w:cs="宋体"/>
        </w:rPr>
      </w:pPr>
      <w:r>
        <w:rPr>
          <w:rFonts w:ascii="宋体" w:hAnsi="宋体" w:cs="宋体"/>
        </w:rPr>
        <w:t>2017年12月28日</w:t>
      </w:r>
    </w:p>
    <w:p>
      <w:pPr>
        <w:rPr>
          <w:rFonts w:ascii="宋体" w:hAnsi="宋体" w:cs="宋体"/>
          <w:b/>
          <w:bCs/>
        </w:rPr>
      </w:pPr>
    </w:p>
    <w:p>
      <w:pPr>
        <w:jc w:val="center"/>
        <w:rPr>
          <w:rFonts w:ascii="宋体" w:hAnsi="宋体" w:cs="方正小标宋_GBK"/>
          <w:b/>
          <w:bCs/>
          <w:sz w:val="24"/>
          <w:szCs w:val="24"/>
        </w:rPr>
      </w:pPr>
      <w:r>
        <w:rPr>
          <w:rFonts w:hint="eastAsia" w:ascii="宋体" w:hAnsi="宋体" w:cs="方正小标宋_GBK"/>
          <w:b/>
          <w:bCs/>
          <w:sz w:val="24"/>
          <w:szCs w:val="24"/>
        </w:rPr>
        <w:t>统计上大中小微型企业划分办法（2017）</w:t>
      </w:r>
    </w:p>
    <w:p>
      <w:pPr>
        <w:rPr>
          <w:rFonts w:ascii="宋体" w:hAnsi="宋体" w:cs="宋体"/>
        </w:rPr>
      </w:pPr>
    </w:p>
    <w:p>
      <w:pPr>
        <w:ind w:firstLine="371" w:firstLineChars="177"/>
        <w:rPr>
          <w:rFonts w:ascii="宋体" w:hAnsi="宋体" w:cs="宋体"/>
        </w:rPr>
      </w:pPr>
      <w:r>
        <w:rPr>
          <w:rFonts w:ascii="宋体" w:hAnsi="宋体" w:cs="宋体"/>
        </w:rPr>
        <w:t>一、根据工业和信息化部、国家统计局、国家发展改革委、财政部《关于印发中小企业划型标准规定的通知》（工信部联企业〔2011〕300号），以《国民经济行业分类》（GB/T4754-2017）为基础，结合统计工作的实际情况，制定本办法。</w:t>
      </w:r>
    </w:p>
    <w:p>
      <w:pPr>
        <w:ind w:firstLine="371" w:firstLineChars="177"/>
        <w:rPr>
          <w:rFonts w:ascii="宋体" w:hAnsi="宋体" w:cs="宋体"/>
        </w:rPr>
      </w:pPr>
      <w:r>
        <w:rPr>
          <w:rFonts w:ascii="宋体" w:hAnsi="宋体" w:cs="宋体"/>
        </w:rPr>
        <w:t>二、本办法适用对象为在中华人民共和国境内依法设立的各种组织形式的法人企业或单位。个体工商户参照本办法进行划分。</w:t>
      </w:r>
    </w:p>
    <w:p>
      <w:pPr>
        <w:ind w:firstLine="371" w:firstLineChars="177"/>
        <w:rPr>
          <w:rFonts w:ascii="宋体" w:hAnsi="宋体" w:cs="宋体"/>
        </w:rPr>
      </w:pPr>
      <w:r>
        <w:rPr>
          <w:rFonts w:ascii="宋体" w:hAnsi="宋体" w:cs="宋体"/>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ind w:firstLine="371" w:firstLineChars="177"/>
        <w:rPr>
          <w:rFonts w:ascii="宋体" w:hAnsi="宋体" w:cs="宋体"/>
        </w:rPr>
      </w:pPr>
      <w:r>
        <w:rPr>
          <w:rFonts w:ascii="宋体" w:hAnsi="宋体" w:cs="宋体"/>
        </w:rPr>
        <w:t>四、本办法按照行业门类、大类、中类和组合类别，依据从业人员、营业收入、资产总额等指标或替代指标，将我国的企业划分为大型、中型、小型、微型等四种类型。具体划分标准见附表。</w:t>
      </w:r>
    </w:p>
    <w:p>
      <w:pPr>
        <w:ind w:firstLine="371" w:firstLineChars="177"/>
        <w:rPr>
          <w:rFonts w:ascii="宋体" w:hAnsi="宋体" w:cs="宋体"/>
        </w:rPr>
      </w:pPr>
      <w:r>
        <w:rPr>
          <w:rFonts w:ascii="宋体" w:hAnsi="宋体" w:cs="宋体"/>
        </w:rPr>
        <w:t>五、企业划分由政府综合统计部门根据统计年报每年确定一次，定报统计原则上不进行调整。</w:t>
      </w:r>
    </w:p>
    <w:p>
      <w:pPr>
        <w:ind w:firstLine="371" w:firstLineChars="177"/>
        <w:rPr>
          <w:rFonts w:ascii="宋体" w:hAnsi="宋体" w:cs="宋体"/>
        </w:rPr>
      </w:pPr>
      <w:r>
        <w:rPr>
          <w:rFonts w:ascii="宋体" w:hAnsi="宋体" w:cs="宋体"/>
        </w:rPr>
        <w:t>六、本办法自印发之日起执行，国家统计局2011年印发的《统计上大中小微型企业划分办法》（国统字〔2011〕75号）同时废止。</w:t>
      </w:r>
    </w:p>
    <w:p>
      <w:pPr>
        <w:rPr>
          <w:rFonts w:ascii="宋体" w:hAnsi="宋体" w:cs="宋体"/>
        </w:rPr>
      </w:pPr>
    </w:p>
    <w:p>
      <w:pPr>
        <w:rPr>
          <w:rFonts w:ascii="宋体" w:hAnsi="宋体" w:cs="宋体"/>
        </w:rPr>
      </w:pPr>
      <w:r>
        <w:rPr>
          <w:rFonts w:ascii="宋体" w:hAnsi="宋体" w:cs="宋体"/>
        </w:rPr>
        <w:t>附件</w:t>
      </w:r>
    </w:p>
    <w:p>
      <w:pPr>
        <w:jc w:val="center"/>
        <w:rPr>
          <w:rFonts w:ascii="宋体" w:hAnsi="宋体" w:cs="方正小标宋_GBK"/>
          <w:sz w:val="24"/>
          <w:szCs w:val="24"/>
        </w:rPr>
      </w:pPr>
      <w:r>
        <w:rPr>
          <w:rFonts w:hint="eastAsia" w:ascii="宋体" w:hAnsi="宋体" w:cs="方正小标宋_GBK"/>
          <w:b/>
          <w:bCs/>
          <w:sz w:val="24"/>
          <w:szCs w:val="24"/>
        </w:rPr>
        <w:t>《统计上大中小微型企业划分办法（2017）》修订说明</w:t>
      </w:r>
    </w:p>
    <w:p>
      <w:pPr>
        <w:rPr>
          <w:rFonts w:ascii="宋体" w:hAnsi="宋体" w:cs="宋体"/>
        </w:rPr>
      </w:pPr>
    </w:p>
    <w:p>
      <w:pPr>
        <w:ind w:firstLine="371" w:firstLineChars="177"/>
        <w:rPr>
          <w:rFonts w:ascii="宋体" w:hAnsi="宋体" w:cs="宋体"/>
        </w:rPr>
      </w:pPr>
      <w:r>
        <w:rPr>
          <w:rFonts w:ascii="宋体" w:hAnsi="宋体" w:cs="宋体"/>
        </w:rPr>
        <w:t>一、修订背景</w:t>
      </w:r>
    </w:p>
    <w:p>
      <w:pPr>
        <w:ind w:firstLine="371" w:firstLineChars="177"/>
        <w:rPr>
          <w:rFonts w:ascii="宋体" w:hAnsi="宋体" w:cs="宋体"/>
        </w:rPr>
      </w:pPr>
      <w:r>
        <w:rPr>
          <w:rFonts w:ascii="宋体" w:hAnsi="宋体" w:cs="宋体"/>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ind w:firstLine="371" w:firstLineChars="177"/>
        <w:rPr>
          <w:rFonts w:ascii="宋体" w:hAnsi="宋体" w:cs="宋体"/>
        </w:rPr>
      </w:pPr>
      <w:r>
        <w:rPr>
          <w:rFonts w:ascii="宋体" w:hAnsi="宋体" w:cs="宋体"/>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ind w:firstLine="371" w:firstLineChars="177"/>
        <w:rPr>
          <w:rFonts w:ascii="宋体" w:hAnsi="宋体" w:cs="宋体"/>
        </w:rPr>
      </w:pPr>
      <w:r>
        <w:rPr>
          <w:rFonts w:ascii="宋体" w:hAnsi="宋体" w:cs="宋体"/>
        </w:rPr>
        <w:t>二、修订主要内容</w:t>
      </w:r>
    </w:p>
    <w:p>
      <w:pPr>
        <w:ind w:firstLine="371" w:firstLineChars="177"/>
        <w:rPr>
          <w:rFonts w:ascii="宋体" w:hAnsi="宋体" w:cs="宋体"/>
        </w:rPr>
      </w:pPr>
      <w:r>
        <w:rPr>
          <w:rFonts w:ascii="宋体" w:hAnsi="宋体" w:cs="宋体"/>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ind w:firstLine="371" w:firstLineChars="177"/>
        <w:rPr>
          <w:rFonts w:ascii="宋体" w:hAnsi="宋体" w:cs="宋体"/>
        </w:rPr>
      </w:pPr>
      <w:r>
        <w:rPr>
          <w:rFonts w:ascii="宋体" w:hAnsi="宋体" w:cs="宋体"/>
        </w:rPr>
        <w:t>将交通运输业中包括的“装卸搬运和运输代理业”修改为“多式联运和运输代理业、装卸搬运”。</w:t>
      </w:r>
    </w:p>
    <w:p>
      <w:pPr>
        <w:rPr>
          <w:rFonts w:ascii="宋体" w:hAnsi="宋体" w:cs="宋体"/>
        </w:rPr>
      </w:pPr>
      <w:r>
        <w:rPr>
          <w:rFonts w:ascii="宋体" w:hAnsi="宋体" w:cs="宋体"/>
        </w:rPr>
        <w:t>仓储业所包括的行业中类，根据《国民经济行业分类》（GB/T 4754—2017）调整为“通用仓储，低温仓储，危险品仓储，谷物、棉花等农产品仓储，中药材仓储和其他仓储业”。</w:t>
      </w:r>
    </w:p>
    <w:p>
      <w:pPr>
        <w:rPr>
          <w:rFonts w:ascii="宋体" w:hAnsi="宋体" w:cs="宋体"/>
        </w:rPr>
      </w:pPr>
    </w:p>
    <w:p>
      <w:pPr>
        <w:spacing w:line="360" w:lineRule="auto"/>
        <w:rPr>
          <w:rFonts w:ascii="宋体" w:hAnsi="宋体" w:cs="宋体"/>
        </w:rPr>
      </w:pPr>
      <w:r>
        <w:rPr>
          <w:rFonts w:ascii="宋体" w:hAnsi="宋体" w:cs="宋体"/>
        </w:rPr>
        <w:t>附表</w:t>
      </w:r>
    </w:p>
    <w:p>
      <w:pPr>
        <w:spacing w:line="360" w:lineRule="auto"/>
        <w:jc w:val="center"/>
        <w:rPr>
          <w:rFonts w:ascii="宋体" w:hAnsi="宋体" w:cs="宋体"/>
        </w:rPr>
      </w:pPr>
      <w:r>
        <w:rPr>
          <w:rFonts w:ascii="宋体" w:hAnsi="宋体" w:cs="宋体"/>
          <w:b/>
          <w:bCs/>
        </w:rPr>
        <w:t>统计上大中小微型企业划分标准</w:t>
      </w:r>
    </w:p>
    <w:tbl>
      <w:tblPr>
        <w:tblStyle w:val="3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color w:val="000000"/>
                <w:sz w:val="18"/>
              </w:rPr>
            </w:pPr>
            <w:r>
              <w:rPr>
                <w:rFonts w:hint="eastAsia" w:ascii="宋体" w:hAnsi="宋体" w:cs="宋体"/>
                <w:b/>
                <w:bCs/>
                <w:color w:val="000000"/>
                <w:sz w:val="18"/>
              </w:rPr>
              <w:t>行业名称</w:t>
            </w:r>
          </w:p>
        </w:tc>
        <w:tc>
          <w:tcPr>
            <w:tcW w:w="13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指标名称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计量</w:t>
            </w:r>
          </w:p>
          <w:p>
            <w:pPr>
              <w:widowControl/>
              <w:jc w:val="center"/>
              <w:rPr>
                <w:rFonts w:ascii="宋体" w:hAnsi="宋体" w:cs="宋体"/>
                <w:b/>
                <w:bCs/>
                <w:color w:val="000000"/>
                <w:sz w:val="18"/>
                <w:szCs w:val="18"/>
              </w:rPr>
            </w:pPr>
            <w:r>
              <w:rPr>
                <w:rFonts w:hint="eastAsia" w:ascii="宋体" w:hAnsi="宋体" w:cs="宋体"/>
                <w:b/>
                <w:bCs/>
                <w:color w:val="000000"/>
                <w:sz w:val="18"/>
                <w:szCs w:val="18"/>
              </w:rPr>
              <w:t>单位</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大型</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中型</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小型</w:t>
            </w:r>
          </w:p>
        </w:tc>
        <w:tc>
          <w:tcPr>
            <w:tcW w:w="992" w:type="dxa"/>
            <w:tcBorders>
              <w:top w:val="single" w:color="auto" w:sz="4" w:space="0"/>
              <w:left w:val="nil"/>
              <w:bottom w:val="single" w:color="auto" w:sz="4" w:space="0"/>
              <w:right w:val="nil"/>
            </w:tcBorders>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农、林、牧、渔业</w:t>
            </w: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500≤Y＜20000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50≤Y＜500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工业 *</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Y≥40000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2000≤Y＜40000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300≤Y＜2000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建筑业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Y≥80000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6000≤Y＜80000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300≤Y＜6000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Z≥80000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5000≤Z＜80000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300≤Z＜5000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批发业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X≥200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20≤X＜200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5≤X＜20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Y≥40000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5000≤Y＜40000</w:t>
            </w:r>
          </w:p>
        </w:tc>
        <w:tc>
          <w:tcPr>
            <w:tcW w:w="1426" w:type="dxa"/>
            <w:tcBorders>
              <w:top w:val="nil"/>
              <w:left w:val="nil"/>
              <w:bottom w:val="single" w:color="auto" w:sz="4" w:space="0"/>
              <w:right w:val="single" w:color="auto" w:sz="4" w:space="0"/>
            </w:tcBorders>
            <w:vAlign w:val="center"/>
          </w:tcPr>
          <w:p>
            <w:pPr>
              <w:widowControl/>
              <w:ind w:left="-1" w:leftChars="-1" w:hanging="1"/>
              <w:jc w:val="center"/>
              <w:rPr>
                <w:rFonts w:ascii="宋体" w:hAnsi="宋体" w:cs="宋体"/>
                <w:color w:val="000000"/>
                <w:sz w:val="18"/>
                <w:szCs w:val="18"/>
              </w:rPr>
            </w:pPr>
            <w:r>
              <w:rPr>
                <w:rFonts w:hint="eastAsia" w:ascii="宋体" w:hAnsi="宋体" w:cs="宋体"/>
                <w:color w:val="000000"/>
                <w:sz w:val="18"/>
                <w:szCs w:val="18"/>
              </w:rPr>
              <w:t>1000≤Y＜5000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零售业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50≤X＜300</w:t>
            </w:r>
          </w:p>
        </w:tc>
        <w:tc>
          <w:tcPr>
            <w:tcW w:w="1426" w:type="dxa"/>
            <w:tcBorders>
              <w:top w:val="nil"/>
              <w:left w:val="nil"/>
              <w:bottom w:val="nil"/>
              <w:right w:val="single" w:color="auto" w:sz="4" w:space="0"/>
            </w:tcBorders>
            <w:vAlign w:val="center"/>
          </w:tcPr>
          <w:p>
            <w:pPr>
              <w:widowControl/>
              <w:ind w:left="-1" w:leftChars="-1" w:hanging="1"/>
              <w:jc w:val="center"/>
              <w:rPr>
                <w:rFonts w:ascii="宋体" w:hAnsi="宋体" w:cs="宋体"/>
                <w:color w:val="000000"/>
                <w:sz w:val="18"/>
                <w:szCs w:val="18"/>
              </w:rPr>
            </w:pPr>
            <w:r>
              <w:rPr>
                <w:rFonts w:hint="eastAsia" w:ascii="宋体" w:hAnsi="宋体" w:cs="宋体"/>
                <w:color w:val="000000"/>
                <w:sz w:val="18"/>
                <w:szCs w:val="18"/>
              </w:rPr>
              <w:t xml:space="preserve">10≤X＜50 </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500≤Y＜20000</w:t>
            </w:r>
          </w:p>
        </w:tc>
        <w:tc>
          <w:tcPr>
            <w:tcW w:w="1426" w:type="dxa"/>
            <w:tcBorders>
              <w:top w:val="nil"/>
              <w:left w:val="nil"/>
              <w:bottom w:val="single" w:color="auto" w:sz="4" w:space="0"/>
              <w:right w:val="single" w:color="auto" w:sz="4" w:space="0"/>
            </w:tcBorders>
            <w:vAlign w:val="center"/>
          </w:tcPr>
          <w:p>
            <w:pPr>
              <w:widowControl/>
              <w:ind w:left="-1" w:leftChars="-1" w:hanging="1"/>
              <w:jc w:val="center"/>
              <w:rPr>
                <w:rFonts w:ascii="宋体" w:hAnsi="宋体" w:cs="宋体"/>
                <w:color w:val="000000"/>
                <w:sz w:val="18"/>
                <w:szCs w:val="18"/>
              </w:rPr>
            </w:pPr>
            <w:r>
              <w:rPr>
                <w:rFonts w:hint="eastAsia" w:ascii="宋体" w:hAnsi="宋体" w:cs="宋体"/>
                <w:color w:val="000000"/>
                <w:sz w:val="18"/>
                <w:szCs w:val="18"/>
              </w:rPr>
              <w:t xml:space="preserve">100≤Y＜500 </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交通运输业 *</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200≤Y＜3000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仓储业*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X≥200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000000"/>
                <w:sz w:val="18"/>
                <w:szCs w:val="18"/>
              </w:rPr>
            </w:pPr>
            <w:r>
              <w:rPr>
                <w:rFonts w:hint="eastAsia" w:ascii="宋体" w:hAnsi="宋体" w:cs="宋体"/>
                <w:color w:val="000000"/>
                <w:sz w:val="18"/>
                <w:szCs w:val="18"/>
              </w:rPr>
              <w:t>100≤X＜200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20≤X＜100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邮政业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住宿业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餐饮业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信息传输业 *</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X≥2000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100≤X＜2000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1000≤Y＜100000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spacing w:val="-12"/>
                <w:sz w:val="18"/>
                <w:szCs w:val="18"/>
              </w:rPr>
            </w:pPr>
            <w:r>
              <w:rPr>
                <w:rFonts w:hint="eastAsia" w:ascii="宋体" w:hAnsi="宋体" w:cs="宋体"/>
                <w:color w:val="000000"/>
                <w:spacing w:val="-12"/>
                <w:sz w:val="18"/>
                <w:szCs w:val="18"/>
              </w:rPr>
              <w:t>软件和信息技术服</w:t>
            </w:r>
            <w:r>
              <w:rPr>
                <w:rFonts w:hint="eastAsia" w:ascii="宋体" w:hAnsi="宋体" w:cs="宋体"/>
                <w:color w:val="000000"/>
                <w:sz w:val="18"/>
                <w:szCs w:val="18"/>
              </w:rPr>
              <w:t>务业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rPr>
                <w:rFonts w:ascii="宋体" w:hAnsi="宋体" w:cs="宋体"/>
                <w:color w:val="000000"/>
                <w:spacing w:val="-12"/>
                <w:sz w:val="18"/>
                <w:szCs w:val="18"/>
              </w:rPr>
            </w:pP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50≤Y＜1000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房地产开发经营</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Y≥200000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1000≤Y＜200000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Z≥10000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5000≤Z＜10000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2000≤Z＜5000   </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物业管理</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100≤X＜300 </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Y≥5000</w:t>
            </w:r>
          </w:p>
        </w:tc>
        <w:tc>
          <w:tcPr>
            <w:tcW w:w="1701" w:type="dxa"/>
            <w:tcBorders>
              <w:top w:val="nil"/>
              <w:left w:val="nil"/>
              <w:bottom w:val="single" w:color="auto" w:sz="4" w:space="0"/>
              <w:right w:val="single" w:color="auto" w:sz="4" w:space="0"/>
            </w:tcBorders>
            <w:vAlign w:val="center"/>
          </w:tcPr>
          <w:p>
            <w:pPr>
              <w:widowControl/>
              <w:ind w:left="1" w:leftChars="-51" w:hanging="108" w:hangingChars="60"/>
              <w:jc w:val="center"/>
              <w:rPr>
                <w:rFonts w:ascii="宋体" w:hAnsi="宋体" w:cs="宋体"/>
                <w:color w:val="000000"/>
                <w:sz w:val="18"/>
                <w:szCs w:val="18"/>
              </w:rPr>
            </w:pPr>
            <w:r>
              <w:rPr>
                <w:rFonts w:hint="eastAsia" w:ascii="宋体" w:hAnsi="宋体" w:cs="宋体"/>
                <w:color w:val="000000"/>
                <w:sz w:val="18"/>
                <w:szCs w:val="18"/>
              </w:rPr>
              <w:t xml:space="preserve">1000≤Y＜5000 </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500≤Y＜1000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租赁和商务服务业</w:t>
            </w:r>
          </w:p>
        </w:tc>
        <w:tc>
          <w:tcPr>
            <w:tcW w:w="136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rPr>
                <w:rFonts w:ascii="宋体" w:hAnsi="宋体" w:cs="宋体"/>
                <w:color w:val="000000"/>
                <w:sz w:val="18"/>
                <w:szCs w:val="18"/>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Z≥120000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8000≤Z＜120000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100≤Z＜8000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000000"/>
                <w:sz w:val="18"/>
                <w:szCs w:val="18"/>
              </w:rPr>
            </w:pPr>
            <w:r>
              <w:rPr>
                <w:rFonts w:hint="eastAsia" w:ascii="宋体" w:hAnsi="宋体" w:cs="宋体"/>
                <w:color w:val="000000"/>
                <w:sz w:val="18"/>
                <w:szCs w:val="18"/>
              </w:rPr>
              <w:t>其他未列明行业 *</w:t>
            </w: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single" w:color="auto" w:sz="4" w:space="0"/>
              <w:right w:val="single" w:color="auto" w:sz="4" w:space="0"/>
            </w:tcBorders>
            <w:vAlign w:val="center"/>
          </w:tcPr>
          <w:p>
            <w:pPr>
              <w:widowControl/>
              <w:ind w:left="1" w:leftChars="-51" w:hanging="108" w:hangingChars="60"/>
              <w:jc w:val="center"/>
              <w:rPr>
                <w:rFonts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single" w:color="auto" w:sz="4" w:space="0"/>
              <w:right w:val="nil"/>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X＜10</w:t>
            </w:r>
          </w:p>
        </w:tc>
      </w:tr>
    </w:tbl>
    <w:p>
      <w:pPr>
        <w:spacing w:line="360" w:lineRule="auto"/>
        <w:rPr>
          <w:rFonts w:ascii="宋体" w:hAnsi="宋体" w:cs="宋体"/>
        </w:rPr>
      </w:pPr>
      <w:r>
        <w:rPr>
          <w:rFonts w:ascii="宋体" w:hAnsi="宋体" w:cs="宋体"/>
        </w:rPr>
        <w:t>说明：</w:t>
      </w:r>
    </w:p>
    <w:p>
      <w:pPr>
        <w:spacing w:line="360" w:lineRule="auto"/>
        <w:ind w:firstLine="371" w:firstLineChars="177"/>
        <w:rPr>
          <w:rFonts w:ascii="宋体" w:hAnsi="宋体" w:cs="宋体"/>
        </w:rPr>
      </w:pPr>
      <w:r>
        <w:rPr>
          <w:rFonts w:ascii="宋体" w:hAnsi="宋体" w:cs="宋体"/>
        </w:rPr>
        <w:t>1.大型、中型和小型企业须同时满足所列指标的下限，否则下划一档；微型企业只须满足所列指标中的一项即可。</w:t>
      </w:r>
    </w:p>
    <w:p>
      <w:pPr>
        <w:spacing w:line="360" w:lineRule="auto"/>
        <w:ind w:firstLine="371" w:firstLineChars="177"/>
        <w:rPr>
          <w:rFonts w:ascii="宋体" w:hAnsi="宋体" w:cs="宋体"/>
        </w:rPr>
      </w:pPr>
      <w:r>
        <w:rPr>
          <w:rFonts w:ascii="宋体" w:hAnsi="宋体" w:cs="宋体"/>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371" w:firstLineChars="177"/>
        <w:rPr>
          <w:rFonts w:ascii="宋体" w:hAnsi="宋体" w:cs="宋体"/>
        </w:rPr>
      </w:pPr>
      <w:r>
        <w:rPr>
          <w:rFonts w:ascii="宋体" w:hAnsi="宋体" w:cs="宋体"/>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宋体" w:hAnsi="宋体"/>
        </w:rPr>
      </w:pPr>
    </w:p>
    <w:p>
      <w:pPr>
        <w:pStyle w:val="4"/>
        <w:spacing w:before="0" w:after="0"/>
        <w:jc w:val="center"/>
        <w:rPr>
          <w:rFonts w:ascii="宋体" w:hAnsi="宋体"/>
          <w:color w:val="000000"/>
          <w:sz w:val="21"/>
          <w:szCs w:val="21"/>
        </w:rPr>
      </w:pPr>
      <w:bookmarkStart w:id="128" w:name="_Toc73610165"/>
      <w:bookmarkStart w:id="129" w:name="_Toc73613647"/>
      <w:r>
        <w:rPr>
          <w:rFonts w:hint="eastAsia" w:ascii="宋体" w:hAnsi="宋体" w:cs="方正小标宋_GBK"/>
          <w:bCs w:val="0"/>
        </w:rPr>
        <w:t>四、财政部 民政部 中国残疾人联合会关于促进残疾人就业 政府采购政策的通知</w:t>
      </w:r>
      <w:bookmarkEnd w:id="128"/>
      <w:bookmarkEnd w:id="129"/>
      <w:r>
        <w:rPr>
          <w:rFonts w:ascii="宋体" w:hAnsi="宋体"/>
        </w:rPr>
        <w:t xml:space="preserve"> </w:t>
      </w:r>
    </w:p>
    <w:p>
      <w:pPr>
        <w:spacing w:line="360" w:lineRule="auto"/>
        <w:jc w:val="center"/>
        <w:rPr>
          <w:color w:val="000000"/>
        </w:rPr>
      </w:pPr>
      <w:r>
        <w:rPr>
          <w:color w:val="000000"/>
        </w:rPr>
        <w:t>财库〔2017〕141号</w:t>
      </w:r>
    </w:p>
    <w:p>
      <w:pPr>
        <w:spacing w:line="360" w:lineRule="auto"/>
        <w:rPr>
          <w:rFonts w:ascii="宋体" w:hAnsi="宋体" w:cs="宋体"/>
        </w:rPr>
      </w:pPr>
      <w:r>
        <w:rPr>
          <w:rFonts w:hint="eastAsia" w:ascii="宋体" w:hAnsi="宋体" w:cs="宋体"/>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spacing w:line="360" w:lineRule="auto"/>
        <w:rPr>
          <w:rFonts w:ascii="宋体" w:hAnsi="宋体" w:cs="宋体"/>
        </w:rPr>
      </w:pPr>
      <w:r>
        <w:rPr>
          <w:rFonts w:hint="eastAsia" w:ascii="宋体" w:hAnsi="宋体" w:cs="宋体"/>
        </w:rPr>
        <w:t>　　为了发挥政府采购促进残疾人就业的作用，进一步保障残疾人权益，依照《政府采购法》、《残疾人保障法》等法律法规及相关规定，现就促进残疾人就业政府采购政策通知如下：</w:t>
      </w:r>
    </w:p>
    <w:p>
      <w:pPr>
        <w:spacing w:line="360" w:lineRule="auto"/>
        <w:rPr>
          <w:rFonts w:ascii="宋体" w:hAnsi="宋体" w:cs="宋体"/>
        </w:rPr>
      </w:pPr>
      <w:r>
        <w:rPr>
          <w:rFonts w:hint="eastAsia" w:ascii="宋体" w:hAnsi="宋体" w:cs="宋体"/>
        </w:rPr>
        <w:t>　　一、享受政府采购支持政策的残疾人福利性单位应当同时满足以下条件：</w:t>
      </w:r>
    </w:p>
    <w:p>
      <w:pPr>
        <w:spacing w:line="360" w:lineRule="auto"/>
        <w:rPr>
          <w:rFonts w:ascii="宋体" w:hAnsi="宋体" w:cs="宋体"/>
        </w:rPr>
      </w:pPr>
      <w:r>
        <w:rPr>
          <w:rFonts w:hint="eastAsia" w:ascii="宋体" w:hAnsi="宋体" w:cs="宋体"/>
        </w:rPr>
        <w:t>　　（一）安置的残疾人占本单位在职职工人数的比例不低于25%（含25%），并且安置的残疾人人数不少于10人（含10人）；</w:t>
      </w:r>
    </w:p>
    <w:p>
      <w:pPr>
        <w:spacing w:line="360" w:lineRule="auto"/>
        <w:rPr>
          <w:rFonts w:ascii="宋体" w:hAnsi="宋体" w:cs="宋体"/>
        </w:rPr>
      </w:pPr>
      <w:r>
        <w:rPr>
          <w:rFonts w:hint="eastAsia" w:ascii="宋体" w:hAnsi="宋体" w:cs="宋体"/>
        </w:rPr>
        <w:t>　　（二）依法与安置的每位残疾人签订了一年以上（含一年）的劳动合同或服务协议；</w:t>
      </w:r>
    </w:p>
    <w:p>
      <w:pPr>
        <w:spacing w:line="360" w:lineRule="auto"/>
        <w:rPr>
          <w:rFonts w:ascii="宋体" w:hAnsi="宋体" w:cs="宋体"/>
        </w:rPr>
      </w:pPr>
      <w:r>
        <w:rPr>
          <w:rFonts w:hint="eastAsia" w:ascii="宋体" w:hAnsi="宋体" w:cs="宋体"/>
        </w:rPr>
        <w:t>　　（三）为安置的每位残疾人按月足额缴纳了基本养老保险、基本医疗保险、失业保险、工伤保险和生育保险等社会保险费；</w:t>
      </w:r>
    </w:p>
    <w:p>
      <w:pPr>
        <w:spacing w:line="360" w:lineRule="auto"/>
        <w:rPr>
          <w:rFonts w:ascii="宋体" w:hAnsi="宋体" w:cs="宋体"/>
        </w:rPr>
      </w:pPr>
      <w:r>
        <w:rPr>
          <w:rFonts w:hint="eastAsia" w:ascii="宋体" w:hAnsi="宋体" w:cs="宋体"/>
        </w:rPr>
        <w:t>　　（四）通过银行等金融机构向安置的每位残疾人，按月支付了不低于单位所在区县适用的经省级人民政府批准的月最低工资标准的工资；</w:t>
      </w:r>
    </w:p>
    <w:p>
      <w:pPr>
        <w:spacing w:line="360" w:lineRule="auto"/>
        <w:rPr>
          <w:rFonts w:ascii="宋体" w:hAnsi="宋体" w:cs="宋体"/>
        </w:rPr>
      </w:pPr>
      <w:r>
        <w:rPr>
          <w:rFonts w:hint="eastAsia" w:ascii="宋体" w:hAnsi="宋体" w:cs="宋体"/>
        </w:rPr>
        <w:t>　　（五）提供本单位制造的货物、承担的工程或者服务（以下简称产品），或者提供其他残疾人福利性单位制造的货物（不包括使用非残疾人福利性单位注册商标的货物）。</w:t>
      </w:r>
    </w:p>
    <w:p>
      <w:pPr>
        <w:spacing w:line="360" w:lineRule="auto"/>
        <w:rPr>
          <w:rFonts w:ascii="宋体" w:hAnsi="宋体" w:cs="宋体"/>
        </w:rPr>
      </w:pPr>
      <w:r>
        <w:rPr>
          <w:rFonts w:hint="eastAsia" w:ascii="宋体" w:hAnsi="宋体" w:cs="宋体"/>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ascii="宋体" w:hAnsi="宋体" w:cs="宋体"/>
        </w:rPr>
      </w:pPr>
      <w:r>
        <w:rPr>
          <w:rFonts w:hint="eastAsia" w:ascii="宋体" w:hAnsi="宋体" w:cs="宋体"/>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360" w:lineRule="auto"/>
        <w:rPr>
          <w:rFonts w:ascii="宋体" w:hAnsi="宋体" w:cs="宋体"/>
        </w:rPr>
      </w:pPr>
      <w:r>
        <w:rPr>
          <w:rFonts w:hint="eastAsia" w:ascii="宋体" w:hAnsi="宋体" w:cs="宋体"/>
        </w:rPr>
        <w:t>　　中标、成交供应商为残疾人福利性单位的，采购人或者其委托的采购代理机构应当随中标、成交结果同时公告其《残疾人福利性单位声明函》，接受社会监督。</w:t>
      </w:r>
    </w:p>
    <w:p>
      <w:pPr>
        <w:spacing w:line="360" w:lineRule="auto"/>
        <w:rPr>
          <w:rFonts w:ascii="宋体" w:hAnsi="宋体" w:cs="宋体"/>
        </w:rPr>
      </w:pPr>
      <w:r>
        <w:rPr>
          <w:rFonts w:hint="eastAsia" w:ascii="宋体" w:hAnsi="宋体" w:cs="宋体"/>
        </w:rPr>
        <w:t>　　供应商提供的《残疾人福利性单位声明函》与事实不符的，依照《政府采购法》第七十七条第一款的规定追究法律责任。</w:t>
      </w:r>
    </w:p>
    <w:p>
      <w:pPr>
        <w:spacing w:line="360" w:lineRule="auto"/>
        <w:rPr>
          <w:rFonts w:ascii="宋体" w:hAnsi="宋体" w:cs="宋体"/>
        </w:rPr>
      </w:pPr>
      <w:r>
        <w:rPr>
          <w:rFonts w:hint="eastAsia" w:ascii="宋体" w:hAnsi="宋体" w:cs="宋体"/>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rPr>
          <w:rFonts w:ascii="宋体" w:hAnsi="宋体" w:cs="宋体"/>
        </w:rPr>
      </w:pPr>
      <w:r>
        <w:rPr>
          <w:rFonts w:hint="eastAsia" w:ascii="宋体" w:hAnsi="宋体" w:cs="宋体"/>
        </w:rPr>
        <w:t>　　四、采购人采购公开招标数额标准以上的货物或者服务，因落实促进残疾人就业政策的需要，依法履行有关报批程序后，可采用公开招标以外的采购方式。</w:t>
      </w:r>
    </w:p>
    <w:p>
      <w:pPr>
        <w:spacing w:line="360" w:lineRule="auto"/>
        <w:rPr>
          <w:rFonts w:ascii="宋体" w:hAnsi="宋体" w:cs="宋体"/>
        </w:rPr>
      </w:pPr>
      <w:r>
        <w:rPr>
          <w:rFonts w:hint="eastAsia" w:ascii="宋体" w:hAnsi="宋体" w:cs="宋体"/>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spacing w:line="360" w:lineRule="auto"/>
        <w:rPr>
          <w:rFonts w:ascii="宋体" w:hAnsi="宋体" w:cs="宋体"/>
        </w:rPr>
      </w:pPr>
      <w:r>
        <w:rPr>
          <w:rFonts w:hint="eastAsia" w:ascii="宋体" w:hAnsi="宋体" w:cs="宋体"/>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spacing w:line="360" w:lineRule="auto"/>
        <w:rPr>
          <w:rFonts w:ascii="宋体" w:hAnsi="宋体" w:cs="宋体"/>
        </w:rPr>
      </w:pPr>
      <w:r>
        <w:rPr>
          <w:rFonts w:hint="eastAsia" w:ascii="宋体" w:hAnsi="宋体" w:cs="宋体"/>
        </w:rPr>
        <w:t>　　七、本通知自2017年10月1日起执行。</w:t>
      </w:r>
    </w:p>
    <w:p>
      <w:pPr>
        <w:spacing w:line="360" w:lineRule="auto"/>
        <w:rPr>
          <w:rFonts w:ascii="宋体" w:hAnsi="宋体" w:cs="宋体"/>
        </w:rPr>
      </w:pPr>
      <w:r>
        <w:rPr>
          <w:rFonts w:ascii="宋体" w:hAnsi="宋体" w:cs="宋体"/>
        </w:rPr>
        <w:t>　　</w:t>
      </w:r>
    </w:p>
    <w:p>
      <w:pPr>
        <w:spacing w:line="360" w:lineRule="auto"/>
        <w:jc w:val="right"/>
        <w:rPr>
          <w:rFonts w:ascii="宋体" w:hAnsi="宋体" w:cs="宋体"/>
        </w:rPr>
      </w:pPr>
      <w:r>
        <w:rPr>
          <w:rFonts w:hint="eastAsia" w:ascii="宋体" w:hAnsi="宋体" w:cs="宋体"/>
        </w:rPr>
        <w:t>财政部 民政部 中国残疾人联合会</w:t>
      </w:r>
    </w:p>
    <w:p>
      <w:pPr>
        <w:spacing w:line="360" w:lineRule="auto"/>
        <w:ind w:firstLine="5880" w:firstLineChars="2800"/>
        <w:rPr>
          <w:rFonts w:ascii="宋体" w:hAnsi="宋体" w:cs="宋体"/>
        </w:rPr>
      </w:pPr>
      <w:r>
        <w:rPr>
          <w:rFonts w:hint="eastAsia" w:ascii="宋体" w:hAnsi="宋体" w:cs="宋体"/>
        </w:rPr>
        <w:t>2017年8月22日</w:t>
      </w:r>
    </w:p>
    <w:p>
      <w:pPr>
        <w:pStyle w:val="5"/>
        <w:spacing w:before="156" w:beforeLines="50" w:after="156" w:afterLines="50"/>
        <w:ind w:left="562" w:firstLine="1767" w:firstLineChars="550"/>
        <w:jc w:val="both"/>
        <w:rPr>
          <w:rFonts w:ascii="宋体" w:hAnsi="宋体" w:eastAsia="宋体" w:cs="方正小标宋_GBK"/>
          <w:sz w:val="32"/>
          <w:szCs w:val="32"/>
        </w:rPr>
      </w:pPr>
      <w:r>
        <w:rPr>
          <w:rFonts w:hint="eastAsia" w:ascii="宋体" w:hAnsi="宋体" w:eastAsia="宋体" w:cs="方正小标宋_GBK"/>
          <w:sz w:val="32"/>
          <w:szCs w:val="32"/>
        </w:rPr>
        <w:t>第二册  通用条款（公开招标）</w:t>
      </w:r>
    </w:p>
    <w:p>
      <w:pPr>
        <w:pStyle w:val="5"/>
        <w:spacing w:before="156" w:beforeLines="50" w:after="156" w:afterLines="50"/>
        <w:ind w:firstLine="3373" w:firstLineChars="1200"/>
        <w:jc w:val="both"/>
        <w:rPr>
          <w:rFonts w:ascii="宋体" w:hAnsi="宋体" w:eastAsia="宋体"/>
          <w:sz w:val="28"/>
          <w:szCs w:val="28"/>
        </w:rPr>
      </w:pPr>
      <w:bookmarkStart w:id="130" w:name="_Hlk72399513"/>
      <w:r>
        <w:rPr>
          <w:rFonts w:hint="eastAsia" w:ascii="宋体" w:hAnsi="宋体" w:eastAsia="宋体"/>
          <w:sz w:val="28"/>
          <w:szCs w:val="28"/>
        </w:rPr>
        <w:t>第一章  总则</w:t>
      </w:r>
    </w:p>
    <w:bookmarkEnd w:id="130"/>
    <w:p>
      <w:pPr>
        <w:outlineLvl w:val="1"/>
        <w:rPr>
          <w:rFonts w:ascii="宋体" w:hAnsi="宋体"/>
          <w:sz w:val="24"/>
        </w:rPr>
      </w:pPr>
      <w:r>
        <w:rPr>
          <w:rFonts w:hint="eastAsia" w:ascii="宋体" w:hAnsi="宋体"/>
          <w:sz w:val="24"/>
        </w:rPr>
        <w:t>1. 通用条款说明</w:t>
      </w:r>
    </w:p>
    <w:p>
      <w:pPr>
        <w:ind w:firstLine="411" w:firstLineChars="196"/>
        <w:rPr>
          <w:rFonts w:ascii="宋体" w:hAnsi="宋体"/>
        </w:rPr>
      </w:pPr>
      <w:r>
        <w:rPr>
          <w:rFonts w:hint="eastAsia" w:ascii="宋体" w:hAnsi="宋体"/>
        </w:rPr>
        <w:t>1.1政府集中采购机构发出招标文件通用条款版本，列出</w:t>
      </w:r>
      <w:r>
        <w:rPr>
          <w:rFonts w:hint="eastAsia" w:ascii="宋体" w:hAnsi="宋体"/>
          <w:b/>
          <w:bCs/>
        </w:rPr>
        <w:t>巴州政府采购项目</w:t>
      </w:r>
      <w:r>
        <w:rPr>
          <w:rFonts w:hint="eastAsia" w:ascii="宋体" w:hAnsi="宋体"/>
        </w:rPr>
        <w:t>进行招标采购所适用的通用条款内容。</w:t>
      </w:r>
      <w:bookmarkStart w:id="131" w:name="_Hlk72399729"/>
      <w:r>
        <w:rPr>
          <w:rFonts w:hint="eastAsia" w:ascii="宋体" w:hAnsi="宋体"/>
        </w:rPr>
        <w:t>如有需要，政府集中采购机构可以对通用条款的内容进行补充。</w:t>
      </w:r>
      <w:bookmarkEnd w:id="131"/>
    </w:p>
    <w:p>
      <w:pPr>
        <w:ind w:firstLine="411" w:firstLineChars="196"/>
        <w:rPr>
          <w:rFonts w:ascii="宋体" w:hAnsi="宋体"/>
        </w:rPr>
      </w:pPr>
      <w:r>
        <w:rPr>
          <w:rFonts w:hint="eastAsia" w:ascii="宋体" w:hAnsi="宋体"/>
        </w:rPr>
        <w:t>1.2招标文件分为第一册“专用条款”和第二册“通用条款”。</w:t>
      </w:r>
    </w:p>
    <w:p>
      <w:pPr>
        <w:ind w:firstLine="411" w:firstLineChars="196"/>
        <w:rPr>
          <w:rFonts w:ascii="宋体" w:hAnsi="宋体"/>
        </w:rPr>
      </w:pPr>
      <w:r>
        <w:rPr>
          <w:rFonts w:hint="eastAsia" w:ascii="宋体" w:hAnsi="宋体"/>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rPr>
      </w:pPr>
      <w:r>
        <w:rPr>
          <w:rFonts w:hint="eastAsia" w:ascii="宋体" w:hAnsi="宋体"/>
        </w:rPr>
        <w:t>1.4“通用条款”是适用于政府采购公开招标项目的基础性条款，具有普遍性和通用性。</w:t>
      </w:r>
    </w:p>
    <w:p>
      <w:pPr>
        <w:ind w:firstLine="411" w:firstLineChars="196"/>
        <w:rPr>
          <w:rFonts w:ascii="宋体" w:hAnsi="宋体"/>
        </w:rPr>
      </w:pPr>
      <w:r>
        <w:rPr>
          <w:rFonts w:hint="eastAsia" w:ascii="宋体" w:hAnsi="宋体"/>
        </w:rPr>
        <w:t>1.5 “专用条款”和“通用条款”表述不一致或有冲突时，以“专用条款”为准。</w:t>
      </w:r>
    </w:p>
    <w:p>
      <w:pPr>
        <w:outlineLvl w:val="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招标说明</w:t>
      </w:r>
    </w:p>
    <w:p>
      <w:pPr>
        <w:ind w:firstLine="411" w:firstLineChars="196"/>
        <w:rPr>
          <w:rFonts w:ascii="宋体" w:hAnsi="宋体"/>
        </w:rPr>
      </w:pPr>
      <w:r>
        <w:rPr>
          <w:rFonts w:hint="eastAsia" w:ascii="宋体" w:hAnsi="宋体"/>
        </w:rPr>
        <w:t>本项目按照《政府采购法》、《政府采购法实施条例》及政府采购其他法律法规，通过公开招标方式确定中标供应商。</w:t>
      </w:r>
    </w:p>
    <w:p>
      <w:pPr>
        <w:outlineLvl w:val="1"/>
        <w:rPr>
          <w:rFonts w:ascii="宋体" w:hAnsi="宋体"/>
          <w:sz w:val="24"/>
        </w:rPr>
      </w:pPr>
      <w:r>
        <w:rPr>
          <w:rFonts w:hint="eastAsia" w:ascii="宋体" w:hAnsi="宋体"/>
          <w:sz w:val="24"/>
        </w:rPr>
        <w:t>3．定义</w:t>
      </w:r>
    </w:p>
    <w:p>
      <w:pPr>
        <w:ind w:firstLine="420" w:firstLineChars="200"/>
        <w:rPr>
          <w:rFonts w:ascii="宋体" w:hAnsi="宋体"/>
        </w:rPr>
      </w:pPr>
      <w:r>
        <w:rPr>
          <w:rFonts w:ascii="宋体" w:hAnsi="宋体"/>
        </w:rPr>
        <w:t>招标文件中下列术语应解释为：</w:t>
      </w:r>
    </w:p>
    <w:p>
      <w:pPr>
        <w:ind w:firstLine="411" w:firstLineChars="196"/>
        <w:rPr>
          <w:rFonts w:ascii="宋体" w:hAnsi="宋体"/>
        </w:rPr>
      </w:pPr>
      <w:r>
        <w:rPr>
          <w:rFonts w:hint="eastAsia" w:ascii="宋体" w:hAnsi="宋体"/>
        </w:rPr>
        <w:t>3.</w:t>
      </w:r>
      <w:r>
        <w:rPr>
          <w:rFonts w:ascii="宋体" w:hAnsi="宋体"/>
        </w:rPr>
        <w:t>1</w:t>
      </w:r>
      <w:r>
        <w:rPr>
          <w:rFonts w:hint="eastAsia" w:ascii="宋体" w:hAnsi="宋体"/>
        </w:rPr>
        <w:t>“采购人”：指利用财政性资金依法进行政府采购的国家机关、事业单位、团体组织；</w:t>
      </w:r>
    </w:p>
    <w:p>
      <w:pPr>
        <w:ind w:firstLine="411" w:firstLineChars="196"/>
        <w:rPr>
          <w:rFonts w:ascii="宋体" w:hAnsi="宋体"/>
        </w:rPr>
      </w:pPr>
      <w:r>
        <w:rPr>
          <w:rFonts w:hint="eastAsia" w:ascii="宋体" w:hAnsi="宋体"/>
        </w:rPr>
        <w:t>3.2 “政府集中采购机构”</w:t>
      </w:r>
      <w:r>
        <w:rPr>
          <w:rFonts w:hint="eastAsia" w:ascii="宋体" w:hAnsi="宋体" w:cs="Arial"/>
        </w:rPr>
        <w:t>是指政府设立的，组织实施政府采购项目，并对政府采购活动提供服务的专门机构；</w:t>
      </w:r>
      <w:r>
        <w:rPr>
          <w:rFonts w:hint="eastAsia" w:ascii="宋体" w:hAnsi="宋体"/>
        </w:rPr>
        <w:t>本文件所述的“政府集中采购机构”</w:t>
      </w:r>
      <w:r>
        <w:rPr>
          <w:rFonts w:ascii="宋体" w:hAnsi="宋体"/>
        </w:rPr>
        <w:t>指</w:t>
      </w:r>
      <w:r>
        <w:rPr>
          <w:rFonts w:hint="eastAsia" w:ascii="宋体" w:hAnsi="宋体"/>
          <w:b/>
          <w:bCs/>
        </w:rPr>
        <w:t>巴州政务服务和公共资源交易中心</w:t>
      </w:r>
      <w:r>
        <w:rPr>
          <w:rFonts w:hint="eastAsia" w:ascii="宋体" w:hAnsi="宋体"/>
        </w:rPr>
        <w:t>；</w:t>
      </w:r>
    </w:p>
    <w:p>
      <w:pPr>
        <w:ind w:firstLine="411" w:firstLineChars="196"/>
        <w:rPr>
          <w:rFonts w:ascii="宋体" w:hAnsi="宋体"/>
        </w:rPr>
      </w:pPr>
      <w:r>
        <w:rPr>
          <w:rFonts w:hint="eastAsia" w:ascii="宋体" w:hAnsi="宋体"/>
        </w:rPr>
        <w:t>3.3“投标人”，即供应商，指参加投标竞争并愿意按照招标文件要求向采购人提供货物、工程或者服务的依法成立的法人、其他组织或者自然人；</w:t>
      </w:r>
    </w:p>
    <w:p>
      <w:pPr>
        <w:ind w:firstLine="411" w:firstLineChars="196"/>
        <w:rPr>
          <w:rFonts w:ascii="宋体" w:hAnsi="宋体"/>
        </w:rPr>
      </w:pPr>
      <w:r>
        <w:rPr>
          <w:rFonts w:hint="eastAsia" w:ascii="宋体" w:hAnsi="宋体"/>
        </w:rPr>
        <w:t>3.4“中标候选人”即“候选中标供应商”；</w:t>
      </w:r>
    </w:p>
    <w:p>
      <w:pPr>
        <w:ind w:firstLine="411" w:firstLineChars="196"/>
        <w:rPr>
          <w:rFonts w:ascii="宋体" w:hAnsi="宋体"/>
        </w:rPr>
      </w:pPr>
      <w:r>
        <w:rPr>
          <w:rFonts w:hint="eastAsia" w:ascii="宋体" w:hAnsi="宋体"/>
        </w:rPr>
        <w:t>3.5“评审委员会”是依据《政府采购法》、《政府采购法实施条例》等有关规定组建的专门负责本次招标其评审工作的临时性机构；</w:t>
      </w:r>
    </w:p>
    <w:p>
      <w:pPr>
        <w:ind w:firstLine="411" w:firstLineChars="196"/>
        <w:rPr>
          <w:rFonts w:ascii="宋体" w:hAnsi="宋体"/>
        </w:rPr>
      </w:pPr>
      <w:r>
        <w:rPr>
          <w:rFonts w:hint="eastAsia" w:ascii="宋体" w:hAnsi="宋体"/>
        </w:rPr>
        <w:t>3.6“日期”指公历日；</w:t>
      </w:r>
    </w:p>
    <w:p>
      <w:pPr>
        <w:ind w:firstLine="411" w:firstLineChars="196"/>
        <w:rPr>
          <w:rFonts w:ascii="宋体" w:hAnsi="宋体"/>
        </w:rPr>
      </w:pPr>
      <w:r>
        <w:rPr>
          <w:rFonts w:hint="eastAsia" w:ascii="宋体" w:hAnsi="宋体"/>
        </w:rPr>
        <w:t>3.7“合同”指由本次招标所产生的合同或合约文件；</w:t>
      </w:r>
    </w:p>
    <w:p>
      <w:pPr>
        <w:ind w:firstLine="411" w:firstLineChars="196"/>
        <w:rPr>
          <w:rFonts w:ascii="宋体" w:hAnsi="宋体"/>
        </w:rPr>
      </w:pPr>
      <w:r>
        <w:rPr>
          <w:rFonts w:hint="eastAsia" w:ascii="宋体" w:hAnsi="宋体"/>
        </w:rPr>
        <w:t>3.8“电子投标文件”指利用</w:t>
      </w:r>
      <w:r>
        <w:rPr>
          <w:rFonts w:hint="eastAsia" w:ascii="宋体" w:hAnsi="宋体"/>
          <w:b/>
          <w:bCs/>
        </w:rPr>
        <w:t>新疆政采云平台</w:t>
      </w:r>
      <w:r>
        <w:rPr>
          <w:rFonts w:hint="eastAsia" w:ascii="宋体" w:hAnsi="宋体"/>
        </w:rPr>
        <w:t>投标文件制作专用软件制作并加密的投标文件,适用于网上投标；</w:t>
      </w:r>
    </w:p>
    <w:p>
      <w:pPr>
        <w:ind w:firstLine="411" w:firstLineChars="196"/>
        <w:rPr>
          <w:rFonts w:ascii="宋体" w:hAnsi="宋体"/>
        </w:rPr>
      </w:pPr>
      <w:r>
        <w:rPr>
          <w:rFonts w:hint="eastAsia" w:ascii="宋体" w:hAnsi="宋体"/>
        </w:rPr>
        <w:t>3.9“网上投标”指通过</w:t>
      </w:r>
      <w:r>
        <w:rPr>
          <w:rFonts w:hint="eastAsia" w:ascii="宋体" w:hAnsi="宋体"/>
          <w:b/>
          <w:bCs/>
        </w:rPr>
        <w:t>新疆政采云平台</w:t>
      </w:r>
      <w:r>
        <w:rPr>
          <w:rFonts w:hint="eastAsia" w:ascii="宋体" w:hAnsi="宋体"/>
        </w:rPr>
        <w:t>网站上传电子投标文件；</w:t>
      </w:r>
    </w:p>
    <w:p>
      <w:pPr>
        <w:ind w:firstLine="411" w:firstLineChars="196"/>
        <w:rPr>
          <w:rFonts w:ascii="宋体" w:hAnsi="宋体"/>
        </w:rPr>
      </w:pPr>
      <w:r>
        <w:rPr>
          <w:rFonts w:hint="eastAsia" w:ascii="宋体" w:hAnsi="宋体"/>
        </w:rPr>
        <w:t>3.10招标文件中的标题或题名仅起引导作用，而不应视为对招标文件内容的理解和解释。</w:t>
      </w:r>
    </w:p>
    <w:p>
      <w:pPr>
        <w:outlineLvl w:val="1"/>
        <w:rPr>
          <w:rFonts w:ascii="宋体" w:hAnsi="宋体"/>
          <w:sz w:val="24"/>
        </w:rPr>
      </w:pPr>
      <w:r>
        <w:rPr>
          <w:rFonts w:hint="eastAsia" w:ascii="宋体" w:hAnsi="宋体"/>
          <w:sz w:val="24"/>
        </w:rPr>
        <w:t xml:space="preserve">4. </w:t>
      </w:r>
      <w:bookmarkStart w:id="132" w:name="_Hlk72398643"/>
      <w:r>
        <w:rPr>
          <w:rFonts w:hint="eastAsia" w:ascii="宋体" w:hAnsi="宋体"/>
          <w:sz w:val="24"/>
        </w:rPr>
        <w:t>政府采购供应商责任</w:t>
      </w:r>
    </w:p>
    <w:p>
      <w:pPr>
        <w:ind w:firstLine="411" w:firstLineChars="196"/>
        <w:rPr>
          <w:rFonts w:ascii="宋体" w:hAnsi="宋体"/>
        </w:rPr>
      </w:pPr>
      <w:r>
        <w:rPr>
          <w:rFonts w:hint="eastAsia" w:ascii="宋体" w:hAnsi="宋体"/>
        </w:rPr>
        <w:t>4.1欢迎诚信、有实力和有社会责任心的供应商参与政府采购事业。</w:t>
      </w:r>
    </w:p>
    <w:p>
      <w:pPr>
        <w:ind w:firstLine="411" w:firstLineChars="196"/>
        <w:rPr>
          <w:rFonts w:ascii="宋体" w:hAnsi="宋体"/>
        </w:rPr>
      </w:pPr>
      <w:r>
        <w:rPr>
          <w:rFonts w:hint="eastAsia" w:ascii="宋体" w:hAnsi="宋体"/>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宋体" w:hAnsi="宋体"/>
          <w:sz w:val="24"/>
        </w:rPr>
      </w:pPr>
      <w:r>
        <w:rPr>
          <w:rFonts w:hint="eastAsia" w:ascii="宋体" w:hAnsi="宋体"/>
          <w:sz w:val="24"/>
        </w:rPr>
        <w:t>5．投标人参加政府采购的条件</w:t>
      </w:r>
    </w:p>
    <w:p>
      <w:pPr>
        <w:ind w:firstLine="411" w:firstLineChars="196"/>
        <w:rPr>
          <w:rFonts w:ascii="宋体" w:hAnsi="宋体"/>
        </w:rPr>
      </w:pPr>
      <w:r>
        <w:rPr>
          <w:rFonts w:hint="eastAsia" w:ascii="宋体" w:hAnsi="宋体"/>
        </w:rPr>
        <w:t>5.1投标人应在投标前到</w:t>
      </w:r>
      <w:r>
        <w:rPr>
          <w:rFonts w:hint="eastAsia" w:ascii="宋体" w:hAnsi="宋体"/>
          <w:b/>
          <w:bCs/>
        </w:rPr>
        <w:t>新疆CA本地营业网点</w:t>
      </w:r>
      <w:r>
        <w:rPr>
          <w:rFonts w:hint="eastAsia" w:ascii="宋体" w:hAnsi="宋体"/>
        </w:rPr>
        <w:t>进行注册并办理电子密钥。</w:t>
      </w:r>
    </w:p>
    <w:p>
      <w:pPr>
        <w:ind w:firstLine="411" w:firstLineChars="196"/>
        <w:rPr>
          <w:rFonts w:ascii="宋体" w:hAnsi="宋体"/>
        </w:rPr>
      </w:pPr>
      <w:r>
        <w:rPr>
          <w:rFonts w:hint="eastAsia" w:ascii="宋体" w:hAnsi="宋体"/>
        </w:rPr>
        <w:t>5.2投标人资格要求</w:t>
      </w:r>
    </w:p>
    <w:p>
      <w:pPr>
        <w:ind w:firstLine="411" w:firstLineChars="196"/>
        <w:rPr>
          <w:rFonts w:ascii="宋体" w:hAnsi="宋体"/>
        </w:rPr>
      </w:pPr>
      <w:r>
        <w:rPr>
          <w:rFonts w:hint="eastAsia" w:ascii="宋体" w:hAnsi="宋体"/>
        </w:rPr>
        <w:t>参加本项目的投标人应具备的资格条件详见本项目招标公告中 “投标人资格要求”（即申请人的资格要求）的内容。</w:t>
      </w:r>
    </w:p>
    <w:p>
      <w:pPr>
        <w:ind w:firstLine="411" w:firstLineChars="196"/>
        <w:rPr>
          <w:rFonts w:ascii="宋体" w:hAnsi="宋体"/>
        </w:rPr>
      </w:pPr>
      <w:r>
        <w:rPr>
          <w:rFonts w:hint="eastAsia" w:ascii="宋体" w:hAnsi="宋体"/>
        </w:rPr>
        <w:t>5.3联合体投标</w:t>
      </w:r>
    </w:p>
    <w:p>
      <w:pPr>
        <w:ind w:firstLine="411" w:firstLineChars="196"/>
        <w:rPr>
          <w:rFonts w:ascii="宋体" w:hAnsi="宋体"/>
        </w:rPr>
      </w:pPr>
      <w:r>
        <w:rPr>
          <w:rFonts w:hint="eastAsia" w:ascii="宋体" w:hAnsi="宋体"/>
        </w:rPr>
        <w:t>5.3.1　以下有关联合体投标的条款仅适用于允许投标人组成联合体投标的项目。</w:t>
      </w:r>
    </w:p>
    <w:p>
      <w:pPr>
        <w:ind w:firstLine="411" w:firstLineChars="196"/>
        <w:rPr>
          <w:rFonts w:ascii="宋体" w:hAnsi="宋体"/>
        </w:rPr>
      </w:pPr>
      <w:r>
        <w:rPr>
          <w:rFonts w:hint="eastAsia" w:ascii="宋体" w:hAnsi="宋体"/>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w:t>
      </w:r>
      <w:r>
        <w:rPr>
          <w:rFonts w:hint="eastAsia" w:ascii="宋体" w:hAnsi="宋体"/>
          <w:b/>
          <w:bCs/>
        </w:rPr>
        <w:t>政府采购正式供应商</w:t>
      </w:r>
      <w:r>
        <w:rPr>
          <w:rFonts w:hint="eastAsia" w:ascii="宋体" w:hAnsi="宋体"/>
        </w:rPr>
        <w:t>；</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rPr>
          <w:rFonts w:ascii="宋体" w:hAnsi="宋体"/>
        </w:rPr>
      </w:pPr>
      <w:r>
        <w:rPr>
          <w:rFonts w:hint="eastAsia" w:ascii="宋体" w:hAnsi="宋体"/>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outlineLvl w:val="1"/>
        <w:rPr>
          <w:rFonts w:ascii="宋体" w:hAnsi="宋体"/>
          <w:sz w:val="24"/>
        </w:rPr>
      </w:pPr>
      <w:r>
        <w:rPr>
          <w:rFonts w:hint="eastAsia" w:ascii="宋体" w:hAnsi="宋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rFonts w:ascii="宋体" w:hAnsi="宋体"/>
        </w:rPr>
      </w:pPr>
      <w:r>
        <w:rPr>
          <w:rFonts w:hint="eastAsia" w:ascii="宋体" w:hAnsi="宋体"/>
        </w:rPr>
        <w:t>6.2本项目落实巴州政府采购供应商诚信管理政策要求。</w:t>
      </w:r>
    </w:p>
    <w:p>
      <w:pPr>
        <w:outlineLvl w:val="1"/>
        <w:rPr>
          <w:rFonts w:ascii="宋体" w:hAnsi="宋体"/>
          <w:sz w:val="24"/>
        </w:rPr>
      </w:pPr>
      <w:r>
        <w:rPr>
          <w:rFonts w:hint="eastAsia" w:ascii="宋体" w:hAnsi="宋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133"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33"/>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宋体" w:hAnsi="宋体"/>
          <w:sz w:val="24"/>
        </w:rPr>
      </w:pPr>
      <w:r>
        <w:rPr>
          <w:rFonts w:hint="eastAsia" w:ascii="宋体" w:hAnsi="宋体"/>
          <w:sz w:val="24"/>
        </w:rPr>
        <w:t>8．投标费用</w:t>
      </w:r>
    </w:p>
    <w:p>
      <w:pPr>
        <w:ind w:firstLine="411" w:firstLineChars="196"/>
        <w:rPr>
          <w:rFonts w:ascii="宋体" w:hAnsi="宋体"/>
        </w:rPr>
      </w:pPr>
      <w:r>
        <w:rPr>
          <w:rFonts w:hint="eastAsia" w:ascii="宋体" w:hAnsi="宋体"/>
        </w:rPr>
        <w:t>不论投标结果如何，投标人应承担其编制投标文件与递交投标文件所涉及的一切费用。</w:t>
      </w:r>
    </w:p>
    <w:p>
      <w:pPr>
        <w:outlineLvl w:val="1"/>
        <w:rPr>
          <w:rFonts w:ascii="宋体" w:hAnsi="宋体"/>
          <w:sz w:val="24"/>
        </w:rPr>
      </w:pPr>
      <w:r>
        <w:rPr>
          <w:rFonts w:hint="eastAsia" w:ascii="宋体" w:hAnsi="宋体"/>
          <w:sz w:val="24"/>
        </w:rPr>
        <w:t>9．踏勘现场</w:t>
      </w:r>
    </w:p>
    <w:p>
      <w:pPr>
        <w:ind w:firstLine="411" w:firstLineChars="196"/>
        <w:rPr>
          <w:rFonts w:ascii="宋体" w:hAnsi="宋体"/>
        </w:rPr>
      </w:pPr>
      <w:r>
        <w:rPr>
          <w:rFonts w:hint="eastAsia" w:ascii="宋体" w:hAnsi="宋体"/>
        </w:rPr>
        <w:t>9.1如有需要（详见第一册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rPr>
        <w:t>9</w:t>
      </w:r>
      <w:r>
        <w:rPr>
          <w:rFonts w:hint="eastAsia" w:ascii="宋体" w:hAnsi="宋体"/>
        </w:rPr>
        <w:t>.</w:t>
      </w:r>
      <w:r>
        <w:rPr>
          <w:rFonts w:ascii="宋体" w:hAnsi="宋体"/>
        </w:rPr>
        <w:t>5</w:t>
      </w:r>
      <w:r>
        <w:rPr>
          <w:rFonts w:hint="eastAsia" w:ascii="宋体" w:hAnsi="宋体"/>
        </w:rPr>
        <w:t>未参与踏勘现场不作为否定投标人资格的理由。</w:t>
      </w:r>
    </w:p>
    <w:p>
      <w:pPr>
        <w:outlineLvl w:val="1"/>
        <w:rPr>
          <w:rFonts w:ascii="宋体" w:hAnsi="宋体"/>
        </w:rPr>
      </w:pPr>
      <w:r>
        <w:rPr>
          <w:rFonts w:hint="eastAsia" w:ascii="宋体" w:hAnsi="宋体"/>
          <w:sz w:val="24"/>
        </w:rPr>
        <w:t>1</w:t>
      </w:r>
      <w:r>
        <w:rPr>
          <w:rFonts w:ascii="宋体" w:hAnsi="宋体"/>
          <w:sz w:val="24"/>
        </w:rPr>
        <w:t>0</w:t>
      </w:r>
      <w:r>
        <w:rPr>
          <w:rFonts w:hint="eastAsia" w:ascii="宋体" w:hAnsi="宋体"/>
          <w:sz w:val="24"/>
        </w:rPr>
        <w:t>．标前会议</w:t>
      </w:r>
    </w:p>
    <w:p>
      <w:pPr>
        <w:ind w:firstLine="411" w:firstLineChars="196"/>
        <w:rPr>
          <w:rFonts w:ascii="宋体" w:hAnsi="宋体"/>
        </w:rPr>
      </w:pPr>
      <w:r>
        <w:rPr>
          <w:rFonts w:hint="eastAsia" w:ascii="宋体" w:hAnsi="宋体"/>
        </w:rPr>
        <w:t>1</w:t>
      </w:r>
      <w:r>
        <w:rPr>
          <w:rFonts w:ascii="宋体" w:hAnsi="宋体"/>
        </w:rPr>
        <w:t>0</w:t>
      </w:r>
      <w:r>
        <w:rPr>
          <w:rFonts w:hint="eastAsia" w:ascii="宋体" w:hAnsi="宋体"/>
        </w:rPr>
        <w:t>.</w:t>
      </w:r>
      <w:r>
        <w:rPr>
          <w:rFonts w:ascii="宋体" w:hAnsi="宋体"/>
        </w:rPr>
        <w:t>1</w:t>
      </w:r>
      <w:r>
        <w:rPr>
          <w:rFonts w:hint="eastAsia" w:ascii="宋体" w:hAnsi="宋体"/>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rPr>
      </w:pPr>
      <w:r>
        <w:rPr>
          <w:rFonts w:hint="eastAsia" w:ascii="宋体" w:hAnsi="宋体"/>
        </w:rPr>
        <w:t>1</w:t>
      </w:r>
      <w:r>
        <w:rPr>
          <w:rFonts w:ascii="宋体" w:hAnsi="宋体"/>
        </w:rPr>
        <w:t>0</w:t>
      </w:r>
      <w:r>
        <w:rPr>
          <w:rFonts w:hint="eastAsia" w:ascii="宋体" w:hAnsi="宋体"/>
        </w:rPr>
        <w:t>.</w:t>
      </w:r>
      <w:r>
        <w:rPr>
          <w:rFonts w:ascii="宋体" w:hAnsi="宋体"/>
        </w:rPr>
        <w:t>3</w:t>
      </w:r>
      <w:r>
        <w:rPr>
          <w:rFonts w:hint="eastAsia" w:ascii="宋体" w:hAnsi="宋体"/>
        </w:rPr>
        <w:t>未参与标前会议不作为否定投标人资格的理由。</w:t>
      </w:r>
    </w:p>
    <w:bookmarkEnd w:id="132"/>
    <w:p>
      <w:pPr>
        <w:pStyle w:val="5"/>
        <w:tabs>
          <w:tab w:val="left" w:pos="360"/>
        </w:tabs>
        <w:spacing w:before="156" w:beforeLines="50" w:after="156" w:afterLines="50"/>
        <w:ind w:firstLine="2811" w:firstLineChars="1000"/>
        <w:jc w:val="both"/>
        <w:rPr>
          <w:rFonts w:ascii="宋体" w:hAnsi="宋体" w:eastAsia="宋体"/>
          <w:sz w:val="28"/>
          <w:szCs w:val="28"/>
        </w:rPr>
      </w:pPr>
      <w:r>
        <w:rPr>
          <w:rFonts w:hint="eastAsia" w:ascii="宋体" w:hAnsi="宋体" w:eastAsia="宋体"/>
          <w:sz w:val="28"/>
          <w:szCs w:val="28"/>
        </w:rPr>
        <w:t>第二章  招标文件</w:t>
      </w:r>
    </w:p>
    <w:p>
      <w:pPr>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w:t>
      </w:r>
      <w:bookmarkStart w:id="134" w:name="_Hlk72399819"/>
      <w:r>
        <w:rPr>
          <w:rFonts w:hint="eastAsia" w:ascii="宋体" w:hAnsi="宋体"/>
          <w:sz w:val="24"/>
        </w:rPr>
        <w:t>招标文件的编制与组成</w:t>
      </w:r>
    </w:p>
    <w:p>
      <w:pPr>
        <w:snapToGrid w:val="0"/>
        <w:ind w:firstLine="420" w:firstLineChars="200"/>
        <w:rPr>
          <w:rFonts w:ascii="宋体" w:hAnsi="宋体"/>
        </w:rPr>
      </w:pPr>
      <w:r>
        <w:rPr>
          <w:rFonts w:hint="eastAsia" w:ascii="宋体" w:hAnsi="宋体"/>
        </w:rPr>
        <w:t>1</w:t>
      </w:r>
      <w:r>
        <w:rPr>
          <w:rFonts w:ascii="宋体" w:hAnsi="宋体"/>
        </w:rPr>
        <w:t>1</w:t>
      </w:r>
      <w:r>
        <w:rPr>
          <w:rFonts w:hint="eastAsia" w:ascii="宋体" w:hAnsi="宋体"/>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rPr>
      </w:pPr>
      <w:r>
        <w:rPr>
          <w:rFonts w:hint="eastAsia" w:ascii="宋体" w:hAnsi="宋体"/>
        </w:rPr>
        <w:t>招标文件包括下列内容：</w:t>
      </w:r>
    </w:p>
    <w:p>
      <w:pPr>
        <w:ind w:left="420" w:leftChars="200" w:firstLine="413" w:firstLineChars="196"/>
        <w:rPr>
          <w:rFonts w:ascii="宋体" w:hAnsi="宋体"/>
          <w:b/>
        </w:rPr>
      </w:pPr>
      <w:r>
        <w:rPr>
          <w:rFonts w:hint="eastAsia" w:ascii="宋体" w:hAnsi="宋体"/>
          <w:b/>
        </w:rPr>
        <w:t>第一册  专用条款</w:t>
      </w:r>
    </w:p>
    <w:p>
      <w:pPr>
        <w:ind w:left="1079" w:leftChars="514"/>
        <w:rPr>
          <w:rFonts w:ascii="宋体" w:hAnsi="宋体"/>
          <w:b/>
        </w:rPr>
      </w:pPr>
      <w:r>
        <w:rPr>
          <w:rFonts w:hint="eastAsia" w:ascii="宋体" w:hAnsi="宋体"/>
          <w:b/>
        </w:rPr>
        <w:t>关键信息</w:t>
      </w:r>
    </w:p>
    <w:p>
      <w:pPr>
        <w:ind w:left="630" w:leftChars="300" w:firstLine="411" w:firstLineChars="196"/>
        <w:outlineLvl w:val="0"/>
        <w:rPr>
          <w:rFonts w:ascii="宋体" w:hAnsi="宋体"/>
        </w:rPr>
      </w:pPr>
      <w:r>
        <w:rPr>
          <w:rFonts w:hint="eastAsia" w:ascii="宋体" w:hAnsi="宋体"/>
        </w:rPr>
        <w:t>第一章  招标公告</w:t>
      </w:r>
    </w:p>
    <w:p>
      <w:pPr>
        <w:ind w:left="630" w:leftChars="300" w:firstLine="411" w:firstLineChars="196"/>
        <w:outlineLvl w:val="0"/>
        <w:rPr>
          <w:rFonts w:ascii="宋体" w:hAnsi="宋体"/>
        </w:rPr>
      </w:pPr>
      <w:r>
        <w:rPr>
          <w:rFonts w:hint="eastAsia" w:ascii="宋体" w:hAnsi="宋体"/>
        </w:rPr>
        <w:t>第二章  对通用条款的补充内容及其他关键信息</w:t>
      </w:r>
    </w:p>
    <w:p>
      <w:pPr>
        <w:ind w:left="630" w:leftChars="300" w:firstLine="411" w:firstLineChars="196"/>
        <w:outlineLvl w:val="0"/>
        <w:rPr>
          <w:rFonts w:ascii="宋体" w:hAnsi="宋体"/>
        </w:rPr>
      </w:pPr>
      <w:r>
        <w:rPr>
          <w:rFonts w:hint="eastAsia" w:ascii="宋体" w:hAnsi="宋体"/>
        </w:rPr>
        <w:t>第三章  用户需求书</w:t>
      </w:r>
    </w:p>
    <w:p>
      <w:pPr>
        <w:ind w:left="630" w:leftChars="300" w:firstLine="411" w:firstLineChars="196"/>
        <w:outlineLvl w:val="0"/>
        <w:rPr>
          <w:rFonts w:ascii="宋体" w:hAnsi="宋体"/>
        </w:rPr>
      </w:pPr>
      <w:r>
        <w:rPr>
          <w:rFonts w:hint="eastAsia" w:ascii="宋体" w:hAnsi="宋体"/>
        </w:rPr>
        <w:t>第四章  投标文件格式及附件</w:t>
      </w:r>
    </w:p>
    <w:p>
      <w:pPr>
        <w:ind w:left="630" w:leftChars="300" w:firstLine="411" w:firstLineChars="196"/>
        <w:outlineLvl w:val="0"/>
        <w:rPr>
          <w:rFonts w:ascii="宋体" w:hAnsi="宋体"/>
        </w:rPr>
      </w:pPr>
      <w:r>
        <w:rPr>
          <w:rFonts w:hint="eastAsia" w:ascii="宋体" w:hAnsi="宋体"/>
        </w:rPr>
        <w:t>第五章  合同条款及格式</w:t>
      </w:r>
    </w:p>
    <w:p>
      <w:pPr>
        <w:ind w:left="420" w:leftChars="200" w:firstLine="413" w:firstLineChars="196"/>
        <w:outlineLvl w:val="0"/>
        <w:rPr>
          <w:rFonts w:ascii="宋体" w:hAnsi="宋体"/>
          <w:b/>
        </w:rPr>
      </w:pPr>
      <w:r>
        <w:rPr>
          <w:rFonts w:hint="eastAsia" w:ascii="宋体" w:hAnsi="宋体"/>
          <w:b/>
        </w:rPr>
        <w:t>第二册  通用条款</w:t>
      </w:r>
    </w:p>
    <w:p>
      <w:pPr>
        <w:ind w:left="630" w:leftChars="300" w:firstLine="411" w:firstLineChars="196"/>
        <w:outlineLvl w:val="0"/>
        <w:rPr>
          <w:rFonts w:ascii="宋体" w:hAnsi="宋体"/>
        </w:rPr>
      </w:pPr>
      <w:r>
        <w:rPr>
          <w:rFonts w:hint="eastAsia" w:ascii="宋体" w:hAnsi="宋体"/>
        </w:rPr>
        <w:t>第一章  总则</w:t>
      </w:r>
    </w:p>
    <w:p>
      <w:pPr>
        <w:ind w:left="630" w:leftChars="300" w:firstLine="411" w:firstLineChars="196"/>
        <w:outlineLvl w:val="0"/>
        <w:rPr>
          <w:rFonts w:ascii="宋体" w:hAnsi="宋体"/>
        </w:rPr>
      </w:pPr>
      <w:r>
        <w:rPr>
          <w:rFonts w:hint="eastAsia" w:ascii="宋体" w:hAnsi="宋体"/>
        </w:rPr>
        <w:t>第二章  招标文件</w:t>
      </w:r>
    </w:p>
    <w:p>
      <w:pPr>
        <w:ind w:left="630" w:leftChars="300" w:firstLine="411" w:firstLineChars="196"/>
        <w:outlineLvl w:val="0"/>
        <w:rPr>
          <w:rFonts w:ascii="宋体" w:hAnsi="宋体"/>
        </w:rPr>
      </w:pPr>
      <w:r>
        <w:rPr>
          <w:rFonts w:hint="eastAsia" w:ascii="宋体" w:hAnsi="宋体"/>
        </w:rPr>
        <w:t>第三章  投标文件的编制</w:t>
      </w:r>
    </w:p>
    <w:p>
      <w:pPr>
        <w:ind w:left="630" w:leftChars="300" w:firstLine="411" w:firstLineChars="196"/>
        <w:outlineLvl w:val="0"/>
        <w:rPr>
          <w:rFonts w:ascii="宋体" w:hAnsi="宋体"/>
        </w:rPr>
      </w:pPr>
      <w:r>
        <w:rPr>
          <w:rFonts w:hint="eastAsia" w:ascii="宋体" w:hAnsi="宋体"/>
        </w:rPr>
        <w:t>第四章  投标文件的递交</w:t>
      </w:r>
    </w:p>
    <w:p>
      <w:pPr>
        <w:ind w:left="630" w:leftChars="300" w:firstLine="411" w:firstLineChars="196"/>
        <w:outlineLvl w:val="0"/>
        <w:rPr>
          <w:rFonts w:ascii="宋体" w:hAnsi="宋体"/>
        </w:rPr>
      </w:pPr>
      <w:r>
        <w:rPr>
          <w:rFonts w:hint="eastAsia" w:ascii="宋体" w:hAnsi="宋体"/>
        </w:rPr>
        <w:t>第五章  开标</w:t>
      </w:r>
    </w:p>
    <w:p>
      <w:pPr>
        <w:ind w:left="630" w:leftChars="300" w:firstLine="411" w:firstLineChars="196"/>
        <w:outlineLvl w:val="0"/>
        <w:rPr>
          <w:rFonts w:ascii="宋体" w:hAnsi="宋体"/>
        </w:rPr>
      </w:pPr>
      <w:r>
        <w:rPr>
          <w:rFonts w:hint="eastAsia" w:ascii="宋体" w:hAnsi="宋体"/>
        </w:rPr>
        <w:t>第六章  评审要求</w:t>
      </w:r>
    </w:p>
    <w:p>
      <w:pPr>
        <w:ind w:left="630" w:leftChars="300" w:firstLine="411" w:firstLineChars="196"/>
        <w:outlineLvl w:val="0"/>
        <w:rPr>
          <w:rFonts w:ascii="宋体" w:hAnsi="宋体"/>
        </w:rPr>
      </w:pPr>
      <w:r>
        <w:rPr>
          <w:rFonts w:hint="eastAsia" w:ascii="宋体" w:hAnsi="宋体"/>
        </w:rPr>
        <w:t>第七章  评审程序及评审方法</w:t>
      </w:r>
    </w:p>
    <w:p>
      <w:pPr>
        <w:ind w:left="630" w:leftChars="300" w:firstLine="411" w:firstLineChars="196"/>
        <w:outlineLvl w:val="0"/>
        <w:rPr>
          <w:rFonts w:ascii="宋体" w:hAnsi="宋体"/>
        </w:rPr>
      </w:pPr>
      <w:r>
        <w:rPr>
          <w:rFonts w:hint="eastAsia" w:ascii="宋体" w:hAnsi="宋体"/>
        </w:rPr>
        <w:t>第八章  定标及公示</w:t>
      </w:r>
    </w:p>
    <w:p>
      <w:pPr>
        <w:ind w:left="630" w:leftChars="300" w:firstLine="411" w:firstLineChars="196"/>
        <w:outlineLvl w:val="0"/>
        <w:rPr>
          <w:rFonts w:ascii="宋体" w:hAnsi="宋体"/>
        </w:rPr>
      </w:pPr>
      <w:r>
        <w:rPr>
          <w:rFonts w:hint="eastAsia" w:ascii="宋体" w:hAnsi="宋体"/>
        </w:rPr>
        <w:t>第九章  公开招标失败的后续处理</w:t>
      </w:r>
    </w:p>
    <w:p>
      <w:pPr>
        <w:ind w:left="630" w:leftChars="300" w:firstLine="411" w:firstLineChars="196"/>
        <w:outlineLvl w:val="0"/>
        <w:rPr>
          <w:rFonts w:ascii="宋体" w:hAnsi="宋体"/>
        </w:rPr>
      </w:pPr>
      <w:r>
        <w:rPr>
          <w:rFonts w:hint="eastAsia" w:ascii="宋体" w:hAnsi="宋体"/>
        </w:rPr>
        <w:t>第十章  合同的授予与备案</w:t>
      </w:r>
    </w:p>
    <w:p>
      <w:pPr>
        <w:ind w:left="630" w:leftChars="300" w:firstLine="411" w:firstLineChars="196"/>
        <w:outlineLvl w:val="0"/>
        <w:rPr>
          <w:rFonts w:ascii="宋体" w:hAnsi="宋体"/>
        </w:rPr>
      </w:pPr>
      <w:r>
        <w:rPr>
          <w:rFonts w:hint="eastAsia" w:ascii="宋体" w:hAnsi="宋体"/>
        </w:rPr>
        <w:t>第十一章  质疑处理</w:t>
      </w:r>
    </w:p>
    <w:p>
      <w:pPr>
        <w:ind w:firstLine="411" w:firstLineChars="196"/>
        <w:rPr>
          <w:rFonts w:ascii="宋体" w:hAnsi="宋体"/>
        </w:rPr>
      </w:pPr>
      <w:r>
        <w:rPr>
          <w:rFonts w:hint="eastAsia" w:ascii="宋体" w:hAnsi="宋体"/>
        </w:rPr>
        <w:t>1</w:t>
      </w:r>
      <w:r>
        <w:rPr>
          <w:rFonts w:ascii="宋体" w:hAnsi="宋体"/>
        </w:rPr>
        <w:t>1</w:t>
      </w:r>
      <w:r>
        <w:rPr>
          <w:rFonts w:hint="eastAsia" w:ascii="宋体" w:hAnsi="宋体"/>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rPr>
      </w:pPr>
      <w:r>
        <w:rPr>
          <w:rFonts w:hint="eastAsia" w:ascii="宋体" w:hAnsi="宋体"/>
        </w:rPr>
        <w:t>1</w:t>
      </w:r>
      <w:r>
        <w:rPr>
          <w:rFonts w:ascii="宋体" w:hAnsi="宋体"/>
        </w:rPr>
        <w:t>1</w:t>
      </w:r>
      <w:r>
        <w:rPr>
          <w:rFonts w:hint="eastAsia" w:ascii="宋体" w:hAnsi="宋体"/>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．招标文件的澄清</w:t>
      </w:r>
    </w:p>
    <w:p>
      <w:pPr>
        <w:ind w:firstLine="411" w:firstLineChars="196"/>
        <w:rPr>
          <w:rFonts w:ascii="宋体" w:hAnsi="宋体"/>
        </w:rPr>
      </w:pPr>
      <w:r>
        <w:rPr>
          <w:rFonts w:hint="eastAsia" w:ascii="宋体" w:hAnsi="宋体"/>
        </w:rPr>
        <w:t>1</w:t>
      </w:r>
      <w:r>
        <w:rPr>
          <w:rFonts w:ascii="宋体" w:hAnsi="宋体"/>
        </w:rPr>
        <w:t>2</w:t>
      </w:r>
      <w:r>
        <w:rPr>
          <w:rFonts w:hint="eastAsia" w:ascii="宋体" w:hAnsi="宋体"/>
        </w:rPr>
        <w:t>.1招标文件澄清的目的是澄清、解答投标人在查阅招标文件后或现场踏勘中可能提出的与投标有关的疑问或询问。</w:t>
      </w:r>
    </w:p>
    <w:p>
      <w:pPr>
        <w:ind w:firstLine="411" w:firstLineChars="196"/>
        <w:rPr>
          <w:rFonts w:ascii="宋体" w:hAnsi="宋体"/>
        </w:rPr>
      </w:pPr>
      <w:r>
        <w:rPr>
          <w:rFonts w:hint="eastAsia" w:ascii="宋体" w:hAnsi="宋体"/>
        </w:rPr>
        <w:t>1</w:t>
      </w:r>
      <w:r>
        <w:rPr>
          <w:rFonts w:ascii="宋体" w:hAnsi="宋体"/>
        </w:rPr>
        <w:t>2</w:t>
      </w:r>
      <w:r>
        <w:rPr>
          <w:rFonts w:hint="eastAsia" w:ascii="宋体" w:hAnsi="宋体"/>
        </w:rPr>
        <w:t>.2投标人如对招标文件内容有疑问，应当在招标公告规定的澄清（提问）截止时间前以</w:t>
      </w:r>
      <w:r>
        <w:rPr>
          <w:rFonts w:hint="eastAsia" w:ascii="宋体" w:hAnsi="宋体"/>
          <w:b/>
          <w:bCs/>
        </w:rPr>
        <w:t>书面提问的形式</w:t>
      </w:r>
      <w:r>
        <w:rPr>
          <w:rFonts w:hint="eastAsia" w:ascii="宋体" w:hAnsi="宋体"/>
        </w:rPr>
        <w:t>提交政府集中采购机构。</w:t>
      </w:r>
    </w:p>
    <w:p>
      <w:pPr>
        <w:ind w:firstLine="411" w:firstLineChars="196"/>
        <w:rPr>
          <w:rFonts w:ascii="宋体" w:hAnsi="宋体"/>
        </w:rPr>
      </w:pPr>
      <w:r>
        <w:rPr>
          <w:rFonts w:hint="eastAsia" w:ascii="宋体" w:hAnsi="宋体"/>
        </w:rPr>
        <w:t>1</w:t>
      </w:r>
      <w:r>
        <w:rPr>
          <w:rFonts w:ascii="宋体" w:hAnsi="宋体"/>
        </w:rPr>
        <w:t>2</w:t>
      </w:r>
      <w:r>
        <w:rPr>
          <w:rFonts w:hint="eastAsia" w:ascii="宋体" w:hAnsi="宋体"/>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rPr>
        <w:t>3.3</w:t>
      </w:r>
      <w:r>
        <w:rPr>
          <w:rFonts w:hint="eastAsia" w:ascii="宋体" w:hAnsi="宋体"/>
        </w:rPr>
        <w:t>、1</w:t>
      </w:r>
      <w:r>
        <w:rPr>
          <w:rFonts w:ascii="宋体" w:hAnsi="宋体"/>
        </w:rPr>
        <w:t>3.4</w:t>
      </w:r>
      <w:r>
        <w:rPr>
          <w:rFonts w:hint="eastAsia" w:ascii="宋体" w:hAnsi="宋体"/>
        </w:rPr>
        <w:t>款规定执行。</w:t>
      </w:r>
    </w:p>
    <w:p>
      <w:pPr>
        <w:rPr>
          <w:rFonts w:ascii="宋体" w:hAnsi="宋体"/>
          <w:sz w:val="24"/>
        </w:rPr>
      </w:pPr>
      <w:r>
        <w:rPr>
          <w:rFonts w:ascii="宋体" w:hAnsi="宋体"/>
          <w:sz w:val="24"/>
        </w:rPr>
        <w:t>1</w:t>
      </w:r>
      <w:r>
        <w:rPr>
          <w:rFonts w:hint="eastAsia" w:ascii="宋体" w:hAnsi="宋体"/>
          <w:sz w:val="24"/>
        </w:rPr>
        <w:t>3．招标文件的修改</w:t>
      </w:r>
    </w:p>
    <w:p>
      <w:pPr>
        <w:ind w:firstLine="411" w:firstLineChars="196"/>
        <w:rPr>
          <w:rFonts w:ascii="宋体" w:hAnsi="宋体"/>
        </w:rPr>
      </w:pPr>
      <w:r>
        <w:rPr>
          <w:rFonts w:ascii="宋体" w:hAnsi="宋体"/>
        </w:rPr>
        <w:t>1</w:t>
      </w:r>
      <w:r>
        <w:rPr>
          <w:rFonts w:hint="eastAsia" w:ascii="宋体" w:hAnsi="宋体"/>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rPr>
      </w:pPr>
      <w:r>
        <w:rPr>
          <w:rFonts w:ascii="宋体" w:hAnsi="宋体"/>
        </w:rPr>
        <w:t>1</w:t>
      </w:r>
      <w:r>
        <w:rPr>
          <w:rFonts w:hint="eastAsia" w:ascii="宋体" w:hAnsi="宋体"/>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rPr>
      </w:pPr>
      <w:r>
        <w:rPr>
          <w:rFonts w:ascii="宋体" w:hAnsi="宋体"/>
        </w:rPr>
        <w:t>1</w:t>
      </w:r>
      <w:r>
        <w:rPr>
          <w:rFonts w:hint="eastAsia" w:ascii="宋体" w:hAnsi="宋体"/>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rPr>
      </w:pPr>
      <w:r>
        <w:rPr>
          <w:rFonts w:ascii="宋体" w:hAnsi="宋体"/>
        </w:rPr>
        <w:t>1</w:t>
      </w:r>
      <w:r>
        <w:rPr>
          <w:rFonts w:hint="eastAsia" w:ascii="宋体" w:hAnsi="宋体"/>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134"/>
    </w:p>
    <w:p>
      <w:pPr>
        <w:pStyle w:val="5"/>
        <w:tabs>
          <w:tab w:val="left" w:pos="360"/>
        </w:tabs>
        <w:spacing w:before="156" w:beforeLines="50" w:after="156" w:afterLines="50"/>
        <w:ind w:firstLine="2530" w:firstLineChars="900"/>
        <w:jc w:val="both"/>
        <w:rPr>
          <w:rFonts w:ascii="宋体" w:hAnsi="宋体" w:eastAsia="宋体"/>
          <w:sz w:val="28"/>
          <w:szCs w:val="28"/>
        </w:rPr>
      </w:pPr>
      <w:r>
        <w:rPr>
          <w:rFonts w:hint="eastAsia" w:ascii="宋体" w:hAnsi="宋体" w:eastAsia="宋体"/>
          <w:sz w:val="28"/>
          <w:szCs w:val="28"/>
        </w:rPr>
        <w:t>第三章  投标文件的编制</w:t>
      </w:r>
    </w:p>
    <w:p>
      <w:pPr>
        <w:rPr>
          <w:rFonts w:ascii="宋体" w:hAnsi="宋体"/>
          <w:sz w:val="24"/>
        </w:rPr>
      </w:pPr>
      <w:r>
        <w:rPr>
          <w:rFonts w:hint="eastAsia" w:ascii="宋体" w:hAnsi="宋体"/>
          <w:sz w:val="24"/>
        </w:rPr>
        <w:t>14．</w:t>
      </w:r>
      <w:bookmarkStart w:id="135" w:name="_Hlk72400236"/>
      <w:r>
        <w:rPr>
          <w:rFonts w:hint="eastAsia" w:ascii="宋体" w:hAnsi="宋体"/>
          <w:sz w:val="24"/>
        </w:rPr>
        <w:t>投标文件的语言及度量单位</w:t>
      </w:r>
    </w:p>
    <w:p>
      <w:pPr>
        <w:ind w:firstLine="411" w:firstLineChars="196"/>
        <w:rPr>
          <w:rFonts w:ascii="宋体" w:hAnsi="宋体"/>
        </w:rPr>
      </w:pPr>
      <w:r>
        <w:rPr>
          <w:rFonts w:hint="eastAsia" w:ascii="宋体" w:hAnsi="宋体"/>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rPr>
      </w:pPr>
      <w:r>
        <w:rPr>
          <w:rFonts w:hint="eastAsia" w:ascii="宋体" w:hAnsi="宋体"/>
        </w:rPr>
        <w:t>14.2 除技术规范另有规定外，投标文件使用的度量单位，均采用中华人民共和国法定计量单位。</w:t>
      </w:r>
    </w:p>
    <w:bookmarkEnd w:id="135"/>
    <w:p>
      <w:pPr>
        <w:rPr>
          <w:rFonts w:ascii="宋体" w:hAnsi="宋体"/>
          <w:sz w:val="24"/>
        </w:rPr>
      </w:pPr>
      <w:r>
        <w:rPr>
          <w:rFonts w:hint="eastAsia" w:ascii="宋体" w:hAnsi="宋体"/>
          <w:sz w:val="24"/>
        </w:rPr>
        <w:t>15．</w:t>
      </w:r>
      <w:bookmarkStart w:id="136" w:name="_Hlk72401567"/>
      <w:r>
        <w:rPr>
          <w:rFonts w:hint="eastAsia" w:ascii="宋体" w:hAnsi="宋体"/>
          <w:sz w:val="24"/>
        </w:rPr>
        <w:t>投标文件的组成</w:t>
      </w:r>
    </w:p>
    <w:p>
      <w:pPr>
        <w:ind w:firstLine="411" w:firstLineChars="196"/>
        <w:rPr>
          <w:rFonts w:ascii="宋体" w:hAnsi="宋体"/>
        </w:rPr>
      </w:pPr>
      <w:r>
        <w:rPr>
          <w:rFonts w:hint="eastAsia" w:ascii="宋体" w:hAnsi="宋体"/>
        </w:rPr>
        <w:t>具体内容在招标文件专用条款中进行规定。</w:t>
      </w:r>
    </w:p>
    <w:p>
      <w:pPr>
        <w:rPr>
          <w:rFonts w:ascii="宋体" w:hAnsi="宋体"/>
          <w:sz w:val="24"/>
        </w:rPr>
      </w:pPr>
      <w:r>
        <w:rPr>
          <w:rFonts w:ascii="宋体" w:hAnsi="宋体"/>
          <w:sz w:val="24"/>
        </w:rPr>
        <w:t>16．投标文件格式</w:t>
      </w:r>
    </w:p>
    <w:p>
      <w:pPr>
        <w:ind w:firstLine="411" w:firstLineChars="196"/>
        <w:rPr>
          <w:rFonts w:ascii="宋体" w:hAnsi="宋体"/>
        </w:rPr>
      </w:pPr>
      <w:r>
        <w:rPr>
          <w:rFonts w:hint="eastAsia" w:ascii="宋体" w:hAnsi="宋体"/>
        </w:rPr>
        <w:t>投标文件包括本通用条款第</w:t>
      </w:r>
      <w:r>
        <w:rPr>
          <w:rFonts w:ascii="宋体" w:hAnsi="宋体"/>
        </w:rPr>
        <w:t>15条中规定的内容。如</w:t>
      </w:r>
      <w:r>
        <w:rPr>
          <w:rFonts w:ascii="宋体" w:hAnsi="宋体"/>
          <w:b/>
          <w:bCs/>
          <w:color w:val="FF0000"/>
        </w:rPr>
        <w:t>招标文件提供了投标文件格式，则</w:t>
      </w:r>
      <w:r>
        <w:rPr>
          <w:rFonts w:hint="eastAsia" w:ascii="宋体" w:hAnsi="宋体"/>
          <w:b/>
          <w:bCs/>
          <w:color w:val="FF0000"/>
        </w:rPr>
        <w:t>投标人提交的投标文件应毫无例外地使用招标文件所提供的相应格式</w:t>
      </w:r>
      <w:r>
        <w:rPr>
          <w:rFonts w:hint="eastAsia" w:ascii="宋体" w:hAnsi="宋体"/>
        </w:rPr>
        <w:t>（表格均可按同样格式扩展）。</w:t>
      </w:r>
    </w:p>
    <w:p>
      <w:pPr>
        <w:rPr>
          <w:rFonts w:ascii="宋体" w:hAnsi="宋体"/>
          <w:sz w:val="24"/>
        </w:rPr>
      </w:pPr>
      <w:r>
        <w:rPr>
          <w:rFonts w:hint="eastAsia" w:ascii="宋体" w:hAnsi="宋体"/>
          <w:sz w:val="24"/>
        </w:rPr>
        <w:t>17．投标货币</w:t>
      </w:r>
    </w:p>
    <w:p>
      <w:pPr>
        <w:ind w:firstLine="411" w:firstLineChars="196"/>
        <w:rPr>
          <w:rFonts w:ascii="宋体" w:hAnsi="宋体"/>
        </w:rPr>
      </w:pPr>
      <w:r>
        <w:rPr>
          <w:rFonts w:hint="eastAsia" w:ascii="宋体" w:hAnsi="宋体"/>
        </w:rPr>
        <w:t>本项目的投标报价应以人民币计。</w:t>
      </w:r>
    </w:p>
    <w:bookmarkEnd w:id="136"/>
    <w:p>
      <w:pPr>
        <w:rPr>
          <w:rFonts w:ascii="宋体" w:hAnsi="宋体"/>
          <w:sz w:val="24"/>
        </w:rPr>
      </w:pPr>
      <w:r>
        <w:rPr>
          <w:rFonts w:hint="eastAsia" w:ascii="宋体" w:hAnsi="宋体"/>
          <w:sz w:val="24"/>
        </w:rPr>
        <w:t>18．</w:t>
      </w:r>
      <w:bookmarkStart w:id="137" w:name="_Hlk72401735"/>
      <w:r>
        <w:rPr>
          <w:rFonts w:hint="eastAsia" w:ascii="宋体" w:hAnsi="宋体"/>
          <w:sz w:val="24"/>
        </w:rPr>
        <w:t>证明投标文件投标技术方案的合格性和符合招标文件规定的文件要求</w:t>
      </w:r>
    </w:p>
    <w:p>
      <w:pPr>
        <w:ind w:firstLine="411" w:firstLineChars="196"/>
        <w:rPr>
          <w:rFonts w:ascii="宋体" w:hAnsi="宋体"/>
        </w:rPr>
      </w:pPr>
      <w:r>
        <w:rPr>
          <w:rFonts w:hint="eastAsia" w:ascii="宋体" w:hAnsi="宋体"/>
        </w:rPr>
        <w:t>18</w:t>
      </w:r>
      <w:r>
        <w:rPr>
          <w:rFonts w:ascii="宋体" w:hAnsi="宋体"/>
        </w:rPr>
        <w:t xml:space="preserve">.1 </w:t>
      </w:r>
      <w:r>
        <w:rPr>
          <w:rFonts w:hint="eastAsia" w:ascii="宋体" w:hAnsi="宋体"/>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rPr>
      </w:pPr>
      <w:r>
        <w:rPr>
          <w:rFonts w:ascii="宋体" w:hAnsi="宋体"/>
        </w:rPr>
        <w:t>1</w:t>
      </w:r>
      <w:r>
        <w:rPr>
          <w:rFonts w:hint="eastAsia" w:ascii="宋体" w:hAnsi="宋体"/>
        </w:rPr>
        <w:t>8</w:t>
      </w:r>
      <w:r>
        <w:rPr>
          <w:rFonts w:ascii="宋体" w:hAnsi="宋体"/>
        </w:rPr>
        <w:t xml:space="preserve">.2 </w:t>
      </w:r>
      <w:r>
        <w:rPr>
          <w:rFonts w:hint="eastAsia" w:ascii="宋体" w:hAnsi="宋体"/>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rPr>
      </w:pPr>
      <w:r>
        <w:rPr>
          <w:rFonts w:hint="eastAsia" w:ascii="宋体" w:hAnsi="宋体"/>
        </w:rPr>
        <w:t>18.2.1主要技术指标和性能的详细说明。</w:t>
      </w:r>
    </w:p>
    <w:p>
      <w:pPr>
        <w:ind w:firstLine="411" w:firstLineChars="196"/>
        <w:rPr>
          <w:rFonts w:ascii="宋体" w:hAnsi="宋体"/>
        </w:rPr>
      </w:pPr>
      <w:r>
        <w:rPr>
          <w:rFonts w:hint="eastAsia" w:ascii="宋体" w:hAnsi="宋体"/>
        </w:rPr>
        <w:t>18.2.</w:t>
      </w:r>
      <w:r>
        <w:rPr>
          <w:rFonts w:ascii="宋体" w:hAnsi="宋体"/>
        </w:rPr>
        <w:t>2</w:t>
      </w:r>
      <w:r>
        <w:rPr>
          <w:rFonts w:hint="eastAsia" w:ascii="宋体" w:hAnsi="宋体"/>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rPr>
      </w:pPr>
      <w:r>
        <w:rPr>
          <w:rFonts w:hint="eastAsia" w:ascii="宋体" w:hAnsi="宋体"/>
        </w:rPr>
        <w:t>18.2.</w:t>
      </w:r>
      <w:r>
        <w:rPr>
          <w:rFonts w:ascii="宋体" w:hAnsi="宋体"/>
        </w:rPr>
        <w:t>3</w:t>
      </w:r>
      <w:r>
        <w:rPr>
          <w:rFonts w:hint="eastAsia" w:ascii="宋体" w:hAnsi="宋体"/>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rPr>
      </w:pPr>
      <w:r>
        <w:rPr>
          <w:rFonts w:hint="eastAsia" w:ascii="宋体" w:hAnsi="宋体"/>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ind w:firstLine="411" w:firstLineChars="196"/>
        <w:rPr>
          <w:rFonts w:ascii="宋体" w:hAnsi="宋体"/>
        </w:rPr>
      </w:pPr>
      <w:r>
        <w:rPr>
          <w:rFonts w:hint="eastAsia" w:ascii="宋体" w:hAnsi="宋体"/>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rPr>
      </w:pPr>
      <w:r>
        <w:rPr>
          <w:rFonts w:hint="eastAsia" w:ascii="宋体" w:hAnsi="宋体"/>
        </w:rPr>
        <w:t>18.3相关资料不符合18.2款要求的，评审委员会有权认定为投标技术方案不合格响应，其相关分数予以扣减或作投标无效处理。</w:t>
      </w:r>
    </w:p>
    <w:p>
      <w:pPr>
        <w:ind w:firstLine="411" w:firstLineChars="196"/>
        <w:rPr>
          <w:rFonts w:ascii="宋体" w:hAnsi="宋体"/>
        </w:rPr>
      </w:pPr>
      <w:r>
        <w:rPr>
          <w:rFonts w:ascii="宋体" w:hAnsi="宋体"/>
        </w:rPr>
        <w:t>1</w:t>
      </w:r>
      <w:r>
        <w:rPr>
          <w:rFonts w:hint="eastAsia" w:ascii="宋体" w:hAnsi="宋体"/>
        </w:rPr>
        <w:t>8</w:t>
      </w:r>
      <w:r>
        <w:rPr>
          <w:rFonts w:ascii="宋体" w:hAnsi="宋体"/>
        </w:rPr>
        <w:t>.</w:t>
      </w:r>
      <w:r>
        <w:rPr>
          <w:rFonts w:hint="eastAsia" w:ascii="宋体" w:hAnsi="宋体"/>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ind w:firstLine="411" w:firstLineChars="196"/>
        <w:rPr>
          <w:rFonts w:ascii="宋体" w:hAnsi="宋体"/>
        </w:rPr>
      </w:pPr>
      <w:r>
        <w:rPr>
          <w:rFonts w:hint="eastAsia" w:ascii="宋体" w:hAnsi="宋体"/>
        </w:rPr>
        <w:t>18.5除非另有规定或说明，投标人对同一项目投标时，不得同时提供两套或两套以上的投标方案。</w:t>
      </w:r>
    </w:p>
    <w:bookmarkEnd w:id="137"/>
    <w:p>
      <w:pPr>
        <w:rPr>
          <w:rFonts w:ascii="宋体" w:hAnsi="宋体"/>
          <w:sz w:val="24"/>
        </w:rPr>
      </w:pPr>
      <w:r>
        <w:rPr>
          <w:rFonts w:hint="eastAsia" w:ascii="宋体" w:hAnsi="宋体"/>
          <w:sz w:val="24"/>
        </w:rPr>
        <w:t>19．</w:t>
      </w:r>
      <w:bookmarkStart w:id="138" w:name="_Hlk72402034"/>
      <w:r>
        <w:rPr>
          <w:rFonts w:hint="eastAsia" w:ascii="宋体" w:hAnsi="宋体"/>
          <w:sz w:val="24"/>
        </w:rPr>
        <w:t>投标文件其他证明文件的要求</w:t>
      </w:r>
    </w:p>
    <w:p>
      <w:pPr>
        <w:ind w:firstLine="420" w:firstLineChars="200"/>
        <w:rPr>
          <w:rFonts w:ascii="宋体" w:hAnsi="宋体"/>
          <w:color w:val="FF0000"/>
        </w:rPr>
      </w:pPr>
      <w:r>
        <w:rPr>
          <w:rFonts w:hint="eastAsia" w:ascii="宋体" w:hAnsi="宋体"/>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39" w:name="_Hlk71407299"/>
    </w:p>
    <w:bookmarkEnd w:id="139"/>
    <w:p>
      <w:pPr>
        <w:ind w:firstLine="411" w:firstLineChars="196"/>
        <w:rPr>
          <w:rFonts w:ascii="宋体" w:hAnsi="宋体"/>
        </w:rPr>
      </w:pPr>
      <w:r>
        <w:rPr>
          <w:rFonts w:hint="eastAsia" w:ascii="宋体" w:hAnsi="宋体"/>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宋体" w:hAnsi="宋体"/>
          <w:sz w:val="24"/>
        </w:rPr>
      </w:pPr>
      <w:r>
        <w:rPr>
          <w:rFonts w:hint="eastAsia" w:ascii="宋体" w:hAnsi="宋体"/>
          <w:sz w:val="24"/>
        </w:rPr>
        <w:t>20．投标有效期</w:t>
      </w:r>
    </w:p>
    <w:bookmarkEnd w:id="138"/>
    <w:p>
      <w:pPr>
        <w:ind w:firstLine="411" w:firstLineChars="196"/>
        <w:rPr>
          <w:rFonts w:ascii="宋体" w:hAnsi="宋体"/>
        </w:rPr>
      </w:pPr>
      <w:bookmarkStart w:id="140" w:name="_Hlk72402214"/>
      <w:r>
        <w:rPr>
          <w:rFonts w:hint="eastAsia" w:ascii="宋体" w:hAnsi="宋体"/>
        </w:rPr>
        <w:t>20.1 投标有效期为</w:t>
      </w:r>
      <w:r>
        <w:rPr>
          <w:rFonts w:hint="eastAsia" w:ascii="宋体" w:hAnsi="宋体" w:cs="Arial"/>
        </w:rPr>
        <w:t>从投标截止之日算起的日历天数。</w:t>
      </w:r>
      <w:r>
        <w:rPr>
          <w:rFonts w:hint="eastAsia" w:ascii="宋体" w:hAnsi="宋体"/>
        </w:rPr>
        <w:t>在此期限内，所有投标文件均保持有效。</w:t>
      </w:r>
    </w:p>
    <w:p>
      <w:pPr>
        <w:ind w:firstLine="411" w:firstLineChars="196"/>
        <w:rPr>
          <w:rFonts w:ascii="宋体" w:hAnsi="宋体"/>
        </w:rPr>
      </w:pPr>
      <w:r>
        <w:rPr>
          <w:rFonts w:hint="eastAsia" w:ascii="宋体" w:hAnsi="宋体"/>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rPr>
      </w:pPr>
      <w:r>
        <w:rPr>
          <w:rFonts w:hint="eastAsia" w:ascii="宋体" w:hAnsi="宋体"/>
        </w:rPr>
        <w:t>20</w:t>
      </w:r>
      <w:r>
        <w:rPr>
          <w:rFonts w:ascii="宋体" w:hAnsi="宋体"/>
        </w:rPr>
        <w:t>.3</w:t>
      </w:r>
      <w:r>
        <w:rPr>
          <w:rFonts w:hint="eastAsia" w:ascii="宋体" w:hAnsi="宋体"/>
        </w:rPr>
        <w:t xml:space="preserve"> 中标供应商的投标文件有效期，截止于完成本招标文件规定的全部项目内容，并通过竣工验收及保修期结束。</w:t>
      </w:r>
    </w:p>
    <w:bookmarkEnd w:id="140"/>
    <w:p>
      <w:pPr>
        <w:rPr>
          <w:rFonts w:ascii="宋体" w:hAnsi="宋体"/>
          <w:sz w:val="24"/>
        </w:rPr>
      </w:pPr>
      <w:r>
        <w:rPr>
          <w:rFonts w:hint="eastAsia" w:ascii="宋体" w:hAnsi="宋体"/>
          <w:sz w:val="24"/>
        </w:rPr>
        <w:t>21．</w:t>
      </w:r>
      <w:bookmarkStart w:id="141" w:name="_Hlk72402325"/>
      <w:r>
        <w:rPr>
          <w:rFonts w:hint="eastAsia" w:ascii="宋体" w:hAnsi="宋体"/>
          <w:sz w:val="24"/>
        </w:rPr>
        <w:t xml:space="preserve">关于投标保证金 </w:t>
      </w:r>
    </w:p>
    <w:p>
      <w:pPr>
        <w:ind w:firstLine="411" w:firstLineChars="196"/>
        <w:rPr>
          <w:rFonts w:ascii="宋体" w:hAnsi="宋体"/>
        </w:rPr>
      </w:pPr>
      <w:r>
        <w:rPr>
          <w:rFonts w:hint="eastAsia" w:ascii="宋体" w:hAnsi="宋体"/>
        </w:rPr>
        <w:t xml:space="preserve"> 21.1 根据第一册专用条款中的规定，足额缴纳。供应商有下列情形之一的，磋商保证金不予退还：</w:t>
      </w:r>
    </w:p>
    <w:p>
      <w:pPr>
        <w:ind w:firstLine="411" w:firstLineChars="196"/>
        <w:rPr>
          <w:rFonts w:ascii="宋体" w:hAnsi="宋体"/>
        </w:rPr>
      </w:pPr>
      <w:r>
        <w:rPr>
          <w:rFonts w:hint="eastAsia" w:ascii="宋体" w:hAnsi="宋体"/>
        </w:rPr>
        <w:t>（一）供应商在提交响应文件截止时间后撤回响应文件的；</w:t>
      </w:r>
    </w:p>
    <w:p>
      <w:pPr>
        <w:ind w:firstLine="411" w:firstLineChars="196"/>
        <w:rPr>
          <w:rFonts w:ascii="宋体" w:hAnsi="宋体"/>
        </w:rPr>
      </w:pPr>
      <w:r>
        <w:rPr>
          <w:rFonts w:hint="eastAsia" w:ascii="宋体" w:hAnsi="宋体"/>
        </w:rPr>
        <w:t>（二）供应商在响应文件中提供虚假材料的；</w:t>
      </w:r>
    </w:p>
    <w:p>
      <w:pPr>
        <w:ind w:left="428" w:leftChars="200" w:hanging="8" w:hangingChars="4"/>
        <w:rPr>
          <w:rFonts w:ascii="宋体" w:hAnsi="宋体"/>
        </w:rPr>
      </w:pPr>
      <w:r>
        <w:rPr>
          <w:rFonts w:hint="eastAsia" w:ascii="宋体" w:hAnsi="宋体"/>
        </w:rPr>
        <w:t>（三）除因不可抗力或招标文件认可的情形以外，成交供应商不与采购人签订合同的；（四）供应商与采购人、其他供应商或者采购代理机构恶意串通的；</w:t>
      </w:r>
    </w:p>
    <w:p>
      <w:pPr>
        <w:ind w:left="428" w:leftChars="200" w:hanging="8" w:hangingChars="4"/>
        <w:rPr>
          <w:rFonts w:ascii="宋体" w:hAnsi="宋体"/>
        </w:rPr>
      </w:pPr>
      <w:r>
        <w:rPr>
          <w:rFonts w:hint="eastAsia" w:ascii="宋体" w:hAnsi="宋体"/>
        </w:rPr>
        <w:t>（五）招标文件规定的其他情形。</w:t>
      </w:r>
    </w:p>
    <w:p>
      <w:pPr>
        <w:rPr>
          <w:rFonts w:ascii="宋体" w:hAnsi="宋体"/>
          <w:sz w:val="24"/>
        </w:rPr>
      </w:pPr>
      <w:r>
        <w:rPr>
          <w:rFonts w:hint="eastAsia" w:ascii="宋体" w:hAnsi="宋体"/>
          <w:sz w:val="24"/>
        </w:rPr>
        <w:t>22．投标人的替代方案</w:t>
      </w:r>
    </w:p>
    <w:p>
      <w:pPr>
        <w:ind w:firstLine="411" w:firstLineChars="196"/>
        <w:rPr>
          <w:rFonts w:ascii="宋体" w:hAnsi="宋体"/>
        </w:rPr>
      </w:pPr>
      <w:r>
        <w:rPr>
          <w:rFonts w:hint="eastAsia" w:ascii="宋体" w:hAnsi="宋体"/>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rPr>
      </w:pPr>
      <w:r>
        <w:rPr>
          <w:rFonts w:hint="eastAsia" w:ascii="宋体" w:hAnsi="宋体"/>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141"/>
    <w:p>
      <w:pPr>
        <w:rPr>
          <w:rFonts w:ascii="宋体" w:hAnsi="宋体"/>
          <w:sz w:val="24"/>
        </w:rPr>
      </w:pPr>
      <w:r>
        <w:rPr>
          <w:rFonts w:hint="eastAsia" w:ascii="宋体" w:hAnsi="宋体"/>
          <w:sz w:val="24"/>
        </w:rPr>
        <w:t>23．</w:t>
      </w:r>
      <w:bookmarkStart w:id="142" w:name="_Hlk72402860"/>
      <w:r>
        <w:rPr>
          <w:rFonts w:ascii="宋体" w:hAnsi="宋体"/>
          <w:sz w:val="24"/>
        </w:rPr>
        <w:t>投标文件的</w:t>
      </w:r>
      <w:r>
        <w:rPr>
          <w:rFonts w:hint="eastAsia" w:ascii="宋体" w:hAnsi="宋体"/>
          <w:sz w:val="24"/>
        </w:rPr>
        <w:t>制作</w:t>
      </w:r>
      <w:r>
        <w:rPr>
          <w:rFonts w:ascii="宋体" w:hAnsi="宋体"/>
          <w:sz w:val="24"/>
        </w:rPr>
        <w:t>要求</w:t>
      </w:r>
    </w:p>
    <w:p>
      <w:pPr>
        <w:ind w:firstLine="411" w:firstLineChars="196"/>
        <w:rPr>
          <w:rFonts w:ascii="宋体" w:hAnsi="宋体"/>
        </w:rPr>
      </w:pPr>
      <w:r>
        <w:rPr>
          <w:rFonts w:hint="eastAsia" w:ascii="宋体" w:hAnsi="宋体"/>
        </w:rPr>
        <w:t>23.1投标人应准备所投项目的电子投标文件一份。通过新疆政采云平台投标文件制作专用软件制作。</w:t>
      </w:r>
    </w:p>
    <w:p>
      <w:pPr>
        <w:ind w:firstLine="411" w:firstLineChars="196"/>
        <w:rPr>
          <w:rFonts w:ascii="宋体" w:hAnsi="宋体"/>
        </w:rPr>
      </w:pPr>
      <w:r>
        <w:rPr>
          <w:rFonts w:hint="eastAsia" w:ascii="宋体" w:hAnsi="宋体"/>
        </w:rPr>
        <w:t>23.2投标人在使用《投标文件制作软件》编制投标书时须注意：</w:t>
      </w:r>
    </w:p>
    <w:p>
      <w:pPr>
        <w:ind w:firstLine="411" w:firstLineChars="196"/>
        <w:rPr>
          <w:rFonts w:ascii="宋体" w:hAnsi="宋体"/>
        </w:rPr>
      </w:pPr>
      <w:r>
        <w:rPr>
          <w:rFonts w:hint="eastAsia" w:ascii="宋体" w:hAnsi="宋体"/>
        </w:rPr>
        <w:t>23.2.1导入《投标文件制作软件》的招标文件项目编号、包号应与以此制作的投标文件项目编号、包号一致。例如，不能将甲项目A包的招标书导入《投标文件制作软件》，制作乙项目B包的投标书。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23.2.3要求用《投标文件制作软件》编制投标书的包，不能用其它方式编制投标书。编制投标文件时，电脑须连通互联网。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w:t>
      </w:r>
    </w:p>
    <w:p>
      <w:pPr>
        <w:ind w:firstLine="411" w:firstLineChars="196"/>
        <w:rPr>
          <w:rFonts w:ascii="宋体" w:hAnsi="宋体"/>
        </w:rPr>
      </w:pPr>
      <w:r>
        <w:rPr>
          <w:rFonts w:hint="eastAsia" w:ascii="宋体" w:hAnsi="宋体"/>
        </w:rPr>
        <w:t>23.2.5完整填写“投标关键信息”，“开标一览表”中的“投标报价”将作为价格分计算依据；其它信息仅是对投标文件相关内容的概括性表述，不作为评审依据。</w:t>
      </w:r>
    </w:p>
    <w:p>
      <w:pPr>
        <w:ind w:firstLine="420" w:firstLineChars="200"/>
        <w:rPr>
          <w:rFonts w:ascii="宋体" w:hAnsi="宋体"/>
          <w:b/>
        </w:rPr>
      </w:pPr>
      <w:r>
        <w:rPr>
          <w:rFonts w:hint="eastAsia" w:ascii="宋体" w:hAnsi="宋体"/>
        </w:rPr>
        <w:t>23.2.6投标人在编辑投标文件时，</w:t>
      </w:r>
      <w:r>
        <w:rPr>
          <w:rFonts w:hint="eastAsia" w:ascii="宋体" w:hAnsi="宋体"/>
          <w:b/>
        </w:rPr>
        <w:t>在投标文件目录中属于本节点内容的必须在本节点上传。</w:t>
      </w:r>
    </w:p>
    <w:p>
      <w:pPr>
        <w:ind w:firstLine="420" w:firstLineChars="200"/>
        <w:rPr>
          <w:rFonts w:ascii="宋体" w:hAnsi="宋体"/>
          <w:bCs/>
        </w:rPr>
      </w:pPr>
      <w:r>
        <w:rPr>
          <w:rFonts w:hint="eastAsia" w:ascii="宋体" w:hAnsi="宋体"/>
        </w:rPr>
        <w:t>23.2.7投标文件编写完成后，</w:t>
      </w:r>
      <w:r>
        <w:rPr>
          <w:rFonts w:hint="eastAsia" w:ascii="宋体" w:hAnsi="宋体"/>
          <w:bCs/>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拨打政采云95763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1" w:firstLineChars="196"/>
        <w:rPr>
          <w:rFonts w:ascii="宋体" w:hAnsi="宋体"/>
        </w:rPr>
      </w:pPr>
      <w:r>
        <w:rPr>
          <w:rFonts w:hint="eastAsia" w:ascii="宋体" w:hAnsi="宋体"/>
          <w:bCs/>
        </w:rPr>
        <w:t>23.4各类</w:t>
      </w:r>
      <w:r>
        <w:rPr>
          <w:rFonts w:hint="eastAsia" w:ascii="宋体" w:hAnsi="宋体"/>
        </w:rPr>
        <w:t>资格（资质）文件提供扫描件，专用条款另有要求的除外。</w:t>
      </w:r>
      <w:bookmarkEnd w:id="142"/>
    </w:p>
    <w:p>
      <w:pPr>
        <w:pStyle w:val="5"/>
        <w:tabs>
          <w:tab w:val="left" w:pos="360"/>
        </w:tabs>
        <w:spacing w:before="156" w:beforeLines="50" w:after="156" w:afterLines="50"/>
        <w:ind w:firstLine="2530" w:firstLineChars="900"/>
        <w:jc w:val="both"/>
        <w:rPr>
          <w:rFonts w:ascii="宋体" w:hAnsi="宋体" w:eastAsia="宋体"/>
          <w:sz w:val="28"/>
          <w:szCs w:val="28"/>
        </w:rPr>
      </w:pPr>
      <w:r>
        <w:rPr>
          <w:rFonts w:hint="eastAsia" w:ascii="宋体" w:hAnsi="宋体" w:eastAsia="宋体"/>
          <w:sz w:val="28"/>
          <w:szCs w:val="28"/>
        </w:rPr>
        <w:t>第四章  投标文件的递交</w:t>
      </w:r>
      <w:bookmarkStart w:id="143" w:name="_Hlk72405459"/>
    </w:p>
    <w:p>
      <w:pPr>
        <w:rPr>
          <w:rFonts w:ascii="宋体" w:hAnsi="宋体"/>
          <w:sz w:val="24"/>
        </w:rPr>
      </w:pPr>
      <w:r>
        <w:rPr>
          <w:rFonts w:hint="eastAsia" w:ascii="宋体" w:hAnsi="宋体"/>
          <w:sz w:val="24"/>
        </w:rPr>
        <w:t>24．投标书的保密</w:t>
      </w:r>
    </w:p>
    <w:p>
      <w:pPr>
        <w:ind w:firstLine="411" w:firstLineChars="196"/>
        <w:rPr>
          <w:rFonts w:ascii="宋体" w:hAnsi="宋体"/>
        </w:rPr>
      </w:pPr>
      <w:r>
        <w:rPr>
          <w:rFonts w:hint="eastAsia" w:ascii="宋体" w:hAnsi="宋体"/>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开标时间后才能解密查看。</w:t>
      </w:r>
    </w:p>
    <w:p>
      <w:pPr>
        <w:ind w:firstLine="420" w:firstLineChars="200"/>
        <w:rPr>
          <w:rFonts w:ascii="宋体" w:hAnsi="宋体"/>
          <w:bCs/>
        </w:rPr>
      </w:pPr>
      <w:r>
        <w:rPr>
          <w:rFonts w:hint="eastAsia" w:ascii="宋体" w:hAnsi="宋体"/>
          <w:bCs/>
        </w:rPr>
        <w:t>24.2若采购项目出现延期情况：</w:t>
      </w:r>
    </w:p>
    <w:p>
      <w:pPr>
        <w:ind w:firstLine="420" w:firstLineChars="200"/>
        <w:rPr>
          <w:rFonts w:ascii="宋体" w:hAnsi="宋体"/>
          <w:bCs/>
          <w:sz w:val="24"/>
        </w:rPr>
      </w:pPr>
      <w:r>
        <w:rPr>
          <w:rFonts w:hint="eastAsia" w:ascii="宋体" w:hAnsi="宋体"/>
          <w:bCs/>
        </w:rPr>
        <w:t>如果供下载的招标文件有更新，投标人必须重新下载招标文件、重新制作投标文件、重新加密投标文件、重新上传投标文件。</w:t>
      </w:r>
    </w:p>
    <w:p>
      <w:pPr>
        <w:rPr>
          <w:rFonts w:ascii="宋体" w:hAnsi="宋体"/>
          <w:sz w:val="24"/>
        </w:rPr>
      </w:pPr>
      <w:r>
        <w:rPr>
          <w:rFonts w:hint="eastAsia" w:ascii="宋体" w:hAnsi="宋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用电子密钥登录新疆政采云平台上传投标文件。如上传过程中遇到问题，可拨打技术支持电话，联系方式：95763</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r>
        <w:rPr>
          <w:rFonts w:hint="eastAsia" w:ascii="宋体" w:hAnsi="宋体"/>
        </w:rPr>
        <w:t>25.4.投标人须在开标当日的开标时间至解密截止时间内进行在线解密，逾期未解密的作无效处理。</w:t>
      </w:r>
    </w:p>
    <w:bookmarkEnd w:id="143"/>
    <w:p>
      <w:pPr>
        <w:rPr>
          <w:rFonts w:ascii="宋体" w:hAnsi="宋体"/>
          <w:sz w:val="24"/>
        </w:rPr>
      </w:pPr>
      <w:r>
        <w:rPr>
          <w:rFonts w:hint="eastAsia" w:ascii="宋体" w:hAnsi="宋体"/>
          <w:sz w:val="24"/>
        </w:rPr>
        <w:t>26. 样品、演示、方案讲解</w:t>
      </w:r>
    </w:p>
    <w:p>
      <w:pPr>
        <w:ind w:firstLine="411" w:firstLineChars="196"/>
        <w:rPr>
          <w:rFonts w:ascii="宋体" w:hAnsi="宋体"/>
        </w:rPr>
      </w:pPr>
      <w:r>
        <w:rPr>
          <w:rFonts w:hint="eastAsia" w:ascii="宋体" w:hAnsi="宋体"/>
        </w:rPr>
        <w:t>26.1 样品、演示、方案讲解等事项在招标文件专用条款中进行规定。</w:t>
      </w:r>
    </w:p>
    <w:p>
      <w:pPr>
        <w:rPr>
          <w:rFonts w:ascii="宋体" w:hAnsi="宋体"/>
          <w:sz w:val="24"/>
        </w:rPr>
      </w:pPr>
      <w:bookmarkStart w:id="144" w:name="_Hlk72428346"/>
      <w:r>
        <w:rPr>
          <w:rFonts w:ascii="宋体" w:hAnsi="宋体"/>
          <w:sz w:val="24"/>
        </w:rPr>
        <w:t>2</w:t>
      </w:r>
      <w:r>
        <w:rPr>
          <w:rFonts w:hint="eastAsia" w:ascii="宋体" w:hAnsi="宋体"/>
          <w:sz w:val="24"/>
        </w:rPr>
        <w:t>7．</w:t>
      </w:r>
      <w:r>
        <w:rPr>
          <w:rFonts w:ascii="宋体" w:hAnsi="宋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rPr>
      </w:pPr>
      <w:r>
        <w:rPr>
          <w:rFonts w:hint="eastAsia" w:ascii="宋体" w:hAnsi="宋体"/>
        </w:rPr>
        <w:t>27.4政府集中采购机构不退还投标文件，专用条款另有规定的除外。</w:t>
      </w:r>
    </w:p>
    <w:bookmarkEnd w:id="144"/>
    <w:p>
      <w:pPr>
        <w:pStyle w:val="5"/>
        <w:tabs>
          <w:tab w:val="left" w:pos="360"/>
        </w:tabs>
        <w:spacing w:before="156" w:beforeLines="50" w:after="156" w:afterLines="50"/>
        <w:ind w:firstLine="3092" w:firstLineChars="1100"/>
        <w:jc w:val="both"/>
        <w:rPr>
          <w:rFonts w:ascii="宋体" w:hAnsi="宋体" w:eastAsia="宋体"/>
          <w:sz w:val="28"/>
          <w:szCs w:val="28"/>
        </w:rPr>
      </w:pPr>
      <w:r>
        <w:rPr>
          <w:rFonts w:hint="eastAsia" w:ascii="宋体" w:hAnsi="宋体" w:eastAsia="宋体"/>
          <w:sz w:val="28"/>
          <w:szCs w:val="28"/>
        </w:rPr>
        <w:t>第五章  开标</w:t>
      </w:r>
    </w:p>
    <w:p>
      <w:pPr>
        <w:rPr>
          <w:rFonts w:ascii="宋体" w:hAnsi="宋体"/>
          <w:sz w:val="24"/>
        </w:rPr>
      </w:pPr>
      <w:r>
        <w:rPr>
          <w:rFonts w:hint="eastAsia" w:ascii="宋体" w:hAnsi="宋体"/>
          <w:sz w:val="24"/>
        </w:rPr>
        <w:t>28．开标</w:t>
      </w:r>
    </w:p>
    <w:p>
      <w:pPr>
        <w:ind w:firstLine="420" w:firstLineChars="200"/>
        <w:rPr>
          <w:rFonts w:ascii="宋体" w:hAnsi="宋体"/>
        </w:rPr>
      </w:pPr>
      <w:r>
        <w:rPr>
          <w:rFonts w:ascii="宋体" w:hAnsi="宋体"/>
        </w:rPr>
        <w:t>2</w:t>
      </w:r>
      <w:r>
        <w:rPr>
          <w:rFonts w:hint="eastAsia" w:ascii="宋体" w:hAnsi="宋体"/>
        </w:rPr>
        <w:t>8</w:t>
      </w:r>
      <w:r>
        <w:rPr>
          <w:rFonts w:ascii="宋体" w:hAnsi="宋体"/>
        </w:rPr>
        <w:t>.</w:t>
      </w:r>
      <w:r>
        <w:rPr>
          <w:rFonts w:hint="eastAsia" w:ascii="宋体" w:hAnsi="宋体"/>
        </w:rPr>
        <w:t>1投标人须在开标当日的开标时间至解密截止时间内进行解密，逾期未解密的作无效处理。</w:t>
      </w:r>
    </w:p>
    <w:p>
      <w:pPr>
        <w:ind w:firstLine="359" w:firstLineChars="171"/>
        <w:rPr>
          <w:rFonts w:ascii="宋体" w:hAnsi="宋体"/>
        </w:rPr>
      </w:pPr>
      <w:r>
        <w:rPr>
          <w:rFonts w:hint="eastAsia" w:ascii="宋体" w:hAnsi="宋体"/>
        </w:rPr>
        <w:t>2</w:t>
      </w:r>
      <w:r>
        <w:rPr>
          <w:rFonts w:ascii="宋体" w:hAnsi="宋体"/>
        </w:rPr>
        <w:t xml:space="preserve">8.2 </w:t>
      </w:r>
      <w:r>
        <w:rPr>
          <w:rFonts w:hint="eastAsia" w:ascii="宋体" w:hAnsi="宋体"/>
        </w:rPr>
        <w:t>政府集中采购机构将在满足开标条件（</w:t>
      </w:r>
      <w:r>
        <w:rPr>
          <w:rFonts w:hint="eastAsia" w:ascii="宋体" w:hAnsi="宋体" w:cs="宋体"/>
          <w:color w:val="333333"/>
          <w:sz w:val="20"/>
          <w:szCs w:val="20"/>
        </w:rPr>
        <w:t>①</w:t>
      </w:r>
      <w:r>
        <w:rPr>
          <w:rFonts w:hint="eastAsia" w:ascii="宋体" w:hAnsi="宋体"/>
        </w:rPr>
        <w:t>解密时间结束，解密后的投标供应商数量满足开标要求或</w:t>
      </w:r>
      <w:r>
        <w:rPr>
          <w:rFonts w:hint="eastAsia" w:ascii="宋体" w:hAnsi="宋体" w:cs="宋体"/>
          <w:color w:val="333333"/>
          <w:sz w:val="20"/>
          <w:szCs w:val="20"/>
        </w:rPr>
        <w:t>②</w:t>
      </w:r>
      <w:r>
        <w:rPr>
          <w:rFonts w:hint="eastAsia" w:ascii="宋体" w:hAnsi="宋体"/>
        </w:rPr>
        <w:t>解密时间结束前所有投标供应商均完成投标文件解密）后，对投标文件进行开标，并在网上公布开标结果。</w:t>
      </w:r>
    </w:p>
    <w:p>
      <w:pPr>
        <w:pStyle w:val="5"/>
        <w:tabs>
          <w:tab w:val="left" w:pos="360"/>
        </w:tabs>
        <w:spacing w:before="156" w:beforeLines="50" w:after="156" w:afterLines="50"/>
        <w:ind w:firstLine="2811" w:firstLineChars="1000"/>
        <w:jc w:val="both"/>
        <w:rPr>
          <w:rFonts w:ascii="宋体" w:hAnsi="宋体" w:eastAsia="宋体"/>
          <w:sz w:val="28"/>
          <w:szCs w:val="28"/>
        </w:rPr>
      </w:pPr>
      <w:r>
        <w:rPr>
          <w:rFonts w:hint="eastAsia" w:ascii="宋体" w:hAnsi="宋体" w:eastAsia="宋体"/>
          <w:sz w:val="28"/>
          <w:szCs w:val="28"/>
        </w:rPr>
        <w:t>第六章   评审要求</w:t>
      </w:r>
    </w:p>
    <w:p>
      <w:pPr>
        <w:rPr>
          <w:rFonts w:ascii="宋体" w:hAnsi="宋体"/>
          <w:sz w:val="24"/>
        </w:rPr>
      </w:pPr>
      <w:r>
        <w:rPr>
          <w:rFonts w:hint="eastAsia" w:ascii="宋体" w:hAnsi="宋体"/>
          <w:sz w:val="24"/>
        </w:rPr>
        <w:t>29．评审委员会组成</w:t>
      </w:r>
    </w:p>
    <w:p>
      <w:pPr>
        <w:ind w:firstLine="411" w:firstLineChars="196"/>
        <w:rPr>
          <w:rFonts w:ascii="宋体" w:hAnsi="宋体"/>
        </w:rPr>
      </w:pPr>
      <w:r>
        <w:rPr>
          <w:rFonts w:hint="eastAsia" w:ascii="宋体" w:hAnsi="宋体"/>
        </w:rPr>
        <w:t>29.1网上开标结束后召开评审会议，评审委员会由政府集中采购机构依法组建，负责评审活动。</w:t>
      </w:r>
    </w:p>
    <w:p>
      <w:pPr>
        <w:ind w:firstLine="411" w:firstLineChars="196"/>
        <w:rPr>
          <w:rFonts w:ascii="宋体" w:hAnsi="宋体"/>
        </w:rPr>
      </w:pPr>
      <w:bookmarkStart w:id="145" w:name="_Hlk72436580"/>
      <w:r>
        <w:rPr>
          <w:rFonts w:hint="eastAsia" w:ascii="宋体" w:hAnsi="宋体"/>
        </w:rPr>
        <w:t>评审委员会由采购人代表和评审专家组成，成员人数应当为3人以上单数（部分条件下为7人以上单数），其中评审专家不得少于成员总数的三分之二。</w:t>
      </w:r>
      <w:bookmarkEnd w:id="145"/>
      <w:r>
        <w:rPr>
          <w:rFonts w:hint="eastAsia" w:ascii="宋体" w:hAnsi="宋体"/>
        </w:rPr>
        <w:t>评审专家一般是从新疆政采云平台政府采购评审专家库中随机抽取。采购人代表须持采购人出具的《评审授权书》参加评审。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ascii="宋体" w:hAnsi="宋体"/>
        </w:rPr>
        <w:t>信息公开的内容除外</w:t>
      </w:r>
      <w:r>
        <w:rPr>
          <w:rFonts w:hint="eastAsia" w:ascii="宋体" w:hAnsi="宋体"/>
          <w:bCs/>
        </w:rPr>
        <w:t>）。</w:t>
      </w:r>
    </w:p>
    <w:p>
      <w:pPr>
        <w:rPr>
          <w:rFonts w:ascii="宋体" w:hAnsi="宋体"/>
          <w:sz w:val="24"/>
        </w:rPr>
      </w:pPr>
      <w:r>
        <w:rPr>
          <w:rFonts w:hint="eastAsia" w:ascii="宋体" w:hAnsi="宋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（3）招标文件规定的投标人的资格、预算金额、商务条款；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宋体" w:hAnsi="宋体"/>
          <w:sz w:val="24"/>
        </w:rPr>
      </w:pPr>
      <w:r>
        <w:rPr>
          <w:rFonts w:hint="eastAsia" w:ascii="宋体" w:hAnsi="宋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rPr>
        <w:t>评审委员会</w:t>
      </w:r>
      <w:r>
        <w:rPr>
          <w:rFonts w:hint="eastAsia" w:ascii="宋体" w:hAnsi="宋体"/>
          <w:bCs/>
        </w:rPr>
        <w:t>成员的评标活动应当独立进行，并应遵循投标文件初审、澄清有关问题、比较与评价、确定中标供应商、编写评审报告的工作程序。</w:t>
      </w:r>
    </w:p>
    <w:p>
      <w:pPr>
        <w:pStyle w:val="13"/>
        <w:ind w:left="1260" w:hanging="420"/>
        <w:rPr>
          <w:rFonts w:ascii="宋体" w:hAnsi="宋体"/>
        </w:rPr>
      </w:pPr>
    </w:p>
    <w:p>
      <w:pPr>
        <w:pStyle w:val="5"/>
        <w:tabs>
          <w:tab w:val="left" w:pos="360"/>
        </w:tabs>
        <w:spacing w:before="156" w:beforeLines="50" w:after="156" w:afterLines="50"/>
        <w:ind w:firstLine="2249" w:firstLineChars="800"/>
        <w:jc w:val="both"/>
        <w:rPr>
          <w:rFonts w:ascii="宋体" w:hAnsi="宋体" w:eastAsia="宋体"/>
          <w:sz w:val="28"/>
          <w:szCs w:val="28"/>
        </w:rPr>
      </w:pPr>
      <w:r>
        <w:rPr>
          <w:rFonts w:hint="eastAsia" w:ascii="宋体" w:hAnsi="宋体" w:eastAsia="宋体"/>
          <w:sz w:val="28"/>
          <w:szCs w:val="28"/>
        </w:rPr>
        <w:t>第七章  评审程序及评审方法</w:t>
      </w:r>
    </w:p>
    <w:p>
      <w:pPr>
        <w:rPr>
          <w:rFonts w:ascii="宋体" w:hAnsi="宋体"/>
          <w:sz w:val="24"/>
        </w:rPr>
      </w:pPr>
      <w:r>
        <w:rPr>
          <w:rFonts w:hint="eastAsia" w:ascii="宋体" w:hAnsi="宋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rPr>
          <w:rFonts w:ascii="宋体" w:hAnsi="宋体"/>
        </w:rPr>
      </w:pPr>
      <w:r>
        <w:rPr>
          <w:rFonts w:hint="eastAsia" w:ascii="宋体" w:hAnsi="宋体"/>
        </w:rPr>
        <w:t>32.4.1不同投标人的投标文件由同一单位或者同一个人编制，或者由同一个人分阶段参与编制；</w:t>
      </w:r>
    </w:p>
    <w:p>
      <w:pPr>
        <w:ind w:firstLine="411" w:firstLineChars="196"/>
        <w:rPr>
          <w:rFonts w:ascii="宋体" w:hAnsi="宋体"/>
        </w:rPr>
      </w:pPr>
      <w:r>
        <w:rPr>
          <w:rFonts w:ascii="宋体" w:hAnsi="宋体"/>
        </w:rPr>
        <w:t>32.4.</w:t>
      </w:r>
      <w:r>
        <w:rPr>
          <w:rFonts w:hint="eastAsia" w:ascii="宋体" w:hAnsi="宋体"/>
        </w:rPr>
        <w:t>2不同投标人委托同一单位或者个人办理投标事宜；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ind w:firstLine="420" w:firstLineChars="200"/>
        <w:rPr>
          <w:rFonts w:ascii="宋体" w:hAnsi="宋体"/>
          <w:sz w:val="24"/>
        </w:rPr>
      </w:pPr>
      <w:r>
        <w:rPr>
          <w:rFonts w:ascii="宋体" w:hAnsi="宋体"/>
        </w:rPr>
        <w:t>32.6不同投标人的“文件制作时间”“文件制作机器码”“文件创建标识码”“IP”“上传时间”等信息异常一致的，不得作为投标无效的理由。如出现上述异常情况，应报主管部门处理。</w:t>
      </w:r>
      <w:r>
        <w:rPr>
          <w:rFonts w:hint="eastAsia" w:ascii="宋体" w:hAnsi="宋体"/>
          <w:sz w:val="24"/>
        </w:rPr>
        <w:t>33．澄清有关问题</w:t>
      </w:r>
    </w:p>
    <w:p>
      <w:pPr>
        <w:ind w:firstLine="411" w:firstLineChars="196"/>
        <w:rPr>
          <w:rFonts w:ascii="宋体" w:hAnsi="宋体"/>
        </w:rPr>
      </w:pPr>
      <w:bookmarkStart w:id="146"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rFonts w:ascii="宋体" w:hAnsi="宋体"/>
        </w:rPr>
        <w:t>招标文件存在歧义、重大缺陷导致评</w:t>
      </w:r>
      <w:r>
        <w:rPr>
          <w:rFonts w:hint="eastAsia" w:ascii="宋体" w:hAnsi="宋体"/>
        </w:rPr>
        <w:t>审</w:t>
      </w:r>
      <w:r>
        <w:rPr>
          <w:rFonts w:ascii="宋体" w:hAnsi="宋体"/>
        </w:rPr>
        <w:t>工作无法进行</w:t>
      </w:r>
      <w:r>
        <w:rPr>
          <w:rFonts w:hint="eastAsia" w:ascii="宋体" w:hAnsi="宋体"/>
        </w:rPr>
        <w:t>的情况），评审委员会有权进行评判，但对同一条款的评判应适用于每个投标人。</w:t>
      </w:r>
      <w:bookmarkEnd w:id="146"/>
    </w:p>
    <w:p>
      <w:pPr>
        <w:ind w:firstLine="411" w:firstLineChars="196"/>
        <w:rPr>
          <w:rFonts w:ascii="宋体" w:hAnsi="宋体"/>
        </w:rPr>
      </w:pPr>
      <w:r>
        <w:rPr>
          <w:rFonts w:hint="eastAsia" w:ascii="宋体" w:hAnsi="宋体"/>
        </w:rPr>
        <w:t>3</w:t>
      </w:r>
      <w:r>
        <w:rPr>
          <w:rFonts w:ascii="宋体" w:hAnsi="宋体"/>
        </w:rPr>
        <w:t>3.2评</w:t>
      </w:r>
      <w:r>
        <w:rPr>
          <w:rFonts w:hint="eastAsia" w:ascii="宋体" w:hAnsi="宋体"/>
        </w:rPr>
        <w:t>审</w:t>
      </w:r>
      <w:r>
        <w:rPr>
          <w:rFonts w:ascii="宋体" w:hAnsi="宋体"/>
        </w:rPr>
        <w:t>委员会发现招标文件存在歧义、重大缺陷导致评</w:t>
      </w:r>
      <w:r>
        <w:rPr>
          <w:rFonts w:hint="eastAsia" w:ascii="宋体" w:hAnsi="宋体"/>
        </w:rPr>
        <w:t>审</w:t>
      </w:r>
      <w:r>
        <w:rPr>
          <w:rFonts w:ascii="宋体" w:hAnsi="宋体"/>
        </w:rPr>
        <w:t>工作无法进行，或者招标文件内容违反国家有关强制性规定的，应当停止评</w:t>
      </w:r>
      <w:r>
        <w:rPr>
          <w:rFonts w:hint="eastAsia" w:ascii="宋体" w:hAnsi="宋体"/>
        </w:rPr>
        <w:t>审</w:t>
      </w:r>
      <w:r>
        <w:rPr>
          <w:rFonts w:ascii="宋体" w:hAnsi="宋体"/>
        </w:rPr>
        <w:t>工作，与</w:t>
      </w:r>
      <w:r>
        <w:rPr>
          <w:rFonts w:hint="eastAsia" w:ascii="宋体" w:hAnsi="宋体"/>
        </w:rPr>
        <w:t>政府集中采购机构</w:t>
      </w:r>
      <w:r>
        <w:rPr>
          <w:rFonts w:ascii="宋体" w:hAnsi="宋体"/>
        </w:rPr>
        <w:t>沟通并作书面记录。</w:t>
      </w:r>
      <w:r>
        <w:rPr>
          <w:rFonts w:hint="eastAsia" w:ascii="宋体" w:hAnsi="宋体"/>
        </w:rPr>
        <w:t>经</w:t>
      </w:r>
      <w:r>
        <w:rPr>
          <w:rFonts w:ascii="宋体" w:hAnsi="宋体"/>
        </w:rPr>
        <w:t>确认后，</w:t>
      </w:r>
      <w:r>
        <w:rPr>
          <w:rFonts w:hint="eastAsia" w:ascii="宋体" w:hAnsi="宋体"/>
        </w:rPr>
        <w:t>项目</w:t>
      </w:r>
      <w:r>
        <w:rPr>
          <w:rFonts w:ascii="宋体" w:hAnsi="宋体"/>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rPr>
      </w:pPr>
      <w:r>
        <w:rPr>
          <w:rFonts w:hint="eastAsia" w:ascii="宋体" w:hAnsi="宋体"/>
        </w:rPr>
        <w:t>根据本通用条款第34条，凡属于评审委员会在评审中发现的算术错误进行核实的修改不在此列。</w:t>
      </w:r>
    </w:p>
    <w:p>
      <w:pPr>
        <w:rPr>
          <w:rFonts w:ascii="宋体" w:hAnsi="宋体"/>
          <w:sz w:val="24"/>
        </w:rPr>
      </w:pPr>
      <w:bookmarkStart w:id="147" w:name="_Toc73521669"/>
      <w:bookmarkStart w:id="148" w:name="_Toc100052400"/>
      <w:bookmarkStart w:id="149" w:name="_Toc73521581"/>
      <w:bookmarkStart w:id="150" w:name="_Toc73518151"/>
      <w:bookmarkStart w:id="151" w:name="_Toc73517673"/>
      <w:r>
        <w:rPr>
          <w:rFonts w:hint="eastAsia" w:ascii="宋体" w:hAnsi="宋体"/>
          <w:sz w:val="24"/>
        </w:rPr>
        <w:t>34．错误的修正</w:t>
      </w:r>
      <w:bookmarkEnd w:id="147"/>
      <w:bookmarkEnd w:id="148"/>
      <w:bookmarkEnd w:id="149"/>
      <w:bookmarkEnd w:id="150"/>
      <w:bookmarkEnd w:id="151"/>
    </w:p>
    <w:p>
      <w:pPr>
        <w:ind w:firstLine="411" w:firstLineChars="196"/>
        <w:rPr>
          <w:rFonts w:ascii="宋体" w:hAnsi="宋体"/>
        </w:rPr>
      </w:pPr>
      <w:r>
        <w:rPr>
          <w:rFonts w:hint="eastAsia" w:ascii="宋体" w:hAnsi="宋体"/>
        </w:rPr>
        <w:t>投标文件报价出现前后不一致的，除专用条款另有规定外，按照下列规定修正：</w:t>
      </w:r>
    </w:p>
    <w:p>
      <w:pPr>
        <w:ind w:firstLine="411" w:firstLineChars="196"/>
        <w:rPr>
          <w:rFonts w:ascii="宋体" w:hAnsi="宋体"/>
        </w:rPr>
      </w:pPr>
      <w:r>
        <w:rPr>
          <w:rFonts w:hint="eastAsia" w:ascii="宋体" w:hAnsi="宋体"/>
        </w:rPr>
        <w:t>34.1投标文件中开标一览表投标报价内容与投标文件中投标报价相应内容不一致的，以开标一览表为准；</w:t>
      </w:r>
    </w:p>
    <w:p>
      <w:pPr>
        <w:ind w:firstLine="411" w:firstLineChars="196"/>
        <w:rPr>
          <w:rFonts w:ascii="宋体" w:hAnsi="宋体"/>
        </w:rPr>
      </w:pPr>
      <w:r>
        <w:rPr>
          <w:rFonts w:hint="eastAsia" w:ascii="宋体" w:hAnsi="宋体"/>
        </w:rPr>
        <w:t>34.2大写金额和小写金额不一致的，以大写金额为准；</w:t>
      </w:r>
    </w:p>
    <w:p>
      <w:pPr>
        <w:ind w:firstLine="411" w:firstLineChars="196"/>
        <w:rPr>
          <w:rFonts w:ascii="宋体" w:hAnsi="宋体"/>
        </w:rPr>
      </w:pPr>
      <w:r>
        <w:rPr>
          <w:rFonts w:hint="eastAsia" w:ascii="宋体" w:hAnsi="宋体"/>
        </w:rPr>
        <w:t>34.3单价金额小数点或者百分比有明显错位，以开标一览表的总价为准，并修改单价；</w:t>
      </w:r>
    </w:p>
    <w:p>
      <w:pPr>
        <w:ind w:firstLine="411" w:firstLineChars="196"/>
        <w:rPr>
          <w:rFonts w:ascii="宋体" w:hAnsi="宋体"/>
        </w:rPr>
      </w:pPr>
      <w:r>
        <w:rPr>
          <w:rFonts w:hint="eastAsia" w:ascii="宋体" w:hAnsi="宋体"/>
        </w:rPr>
        <w:t>34.4总价金额与按单价汇总金额不一致的，以单价金额计算结果为准。</w:t>
      </w:r>
    </w:p>
    <w:p>
      <w:pPr>
        <w:ind w:firstLine="411" w:firstLineChars="196"/>
        <w:rPr>
          <w:rFonts w:ascii="宋体" w:hAnsi="宋体"/>
        </w:rPr>
      </w:pPr>
      <w:r>
        <w:rPr>
          <w:rFonts w:hint="eastAsia" w:ascii="宋体" w:hAnsi="宋体"/>
        </w:rPr>
        <w:t>34.5同时出现两种以上不一致的，按照前款规定的顺序修正。修正后的报价按照本通用条款33条的规定，经投标人确认后产生约束力，投标人不确认的，其投标无效。</w:t>
      </w:r>
    </w:p>
    <w:p>
      <w:pPr>
        <w:rPr>
          <w:rFonts w:ascii="宋体" w:hAnsi="宋体"/>
          <w:sz w:val="24"/>
        </w:rPr>
      </w:pPr>
      <w:r>
        <w:rPr>
          <w:rFonts w:hint="eastAsia" w:ascii="宋体" w:hAnsi="宋体"/>
          <w:sz w:val="24"/>
        </w:rPr>
        <w:t>35．投标文件的比较与评价</w:t>
      </w:r>
    </w:p>
    <w:p>
      <w:pPr>
        <w:ind w:firstLine="411" w:firstLineChars="196"/>
        <w:rPr>
          <w:rFonts w:ascii="宋体" w:hAnsi="宋体"/>
        </w:rPr>
      </w:pPr>
      <w:r>
        <w:rPr>
          <w:rFonts w:hint="eastAsia" w:ascii="宋体" w:hAnsi="宋体"/>
        </w:rPr>
        <w:t>评审委员会将按照政府采购法律法规，仅对通过资格性审查和符合性审查的投标文件进行综合比较与评价。</w:t>
      </w:r>
    </w:p>
    <w:p>
      <w:pPr>
        <w:ind w:firstLine="411" w:firstLineChars="196"/>
        <w:rPr>
          <w:rFonts w:ascii="宋体" w:hAnsi="宋体"/>
        </w:rPr>
      </w:pPr>
      <w:r>
        <w:rPr>
          <w:rFonts w:hint="eastAsia" w:ascii="宋体" w:hAnsi="宋体"/>
        </w:rPr>
        <w:t>评审委员会成员对需要共同认定的事项存在争议的，应当按照少数服从多数的原则作出结论。持不同意见的评审委员会成员应当书面作出说明，否则视为无异议。</w:t>
      </w:r>
    </w:p>
    <w:p>
      <w:pPr>
        <w:rPr>
          <w:rFonts w:ascii="宋体" w:hAnsi="宋体"/>
          <w:sz w:val="24"/>
        </w:rPr>
      </w:pPr>
      <w:r>
        <w:rPr>
          <w:rFonts w:hint="eastAsia" w:ascii="宋体" w:hAnsi="宋体"/>
          <w:sz w:val="24"/>
        </w:rPr>
        <w:t>36. 实地考察或资料查验</w:t>
      </w:r>
    </w:p>
    <w:p>
      <w:pPr>
        <w:ind w:firstLine="411" w:firstLineChars="196"/>
        <w:rPr>
          <w:rFonts w:ascii="宋体" w:hAnsi="宋体"/>
        </w:rPr>
      </w:pPr>
      <w:r>
        <w:rPr>
          <w:rFonts w:hint="eastAsia" w:ascii="宋体" w:hAnsi="宋体"/>
        </w:rPr>
        <w:t>36.1在评审过程中，评审委员会有权决定是否对本项目投标人进行实地考察或资料查验（原件）。投标人应随时做好接受实地考察或资料查验的准备。</w:t>
      </w:r>
    </w:p>
    <w:p>
      <w:pPr>
        <w:rPr>
          <w:rFonts w:ascii="宋体" w:hAnsi="宋体"/>
          <w:sz w:val="24"/>
        </w:rPr>
      </w:pPr>
      <w:r>
        <w:rPr>
          <w:rFonts w:hint="eastAsia" w:ascii="宋体" w:hAnsi="宋体"/>
          <w:sz w:val="24"/>
        </w:rPr>
        <w:t>37．评审方法</w:t>
      </w:r>
    </w:p>
    <w:p>
      <w:pPr>
        <w:ind w:firstLine="413" w:firstLineChars="196"/>
        <w:rPr>
          <w:rFonts w:ascii="宋体" w:hAnsi="宋体"/>
          <w:b/>
          <w:bCs/>
        </w:rPr>
      </w:pPr>
      <w:r>
        <w:rPr>
          <w:rFonts w:hint="eastAsia" w:ascii="宋体" w:hAnsi="宋体"/>
          <w:b/>
          <w:bCs/>
        </w:rPr>
        <w:t>37.1.1最低价法</w:t>
      </w:r>
    </w:p>
    <w:p>
      <w:pPr>
        <w:ind w:firstLine="411" w:firstLineChars="196"/>
        <w:rPr>
          <w:rFonts w:ascii="宋体" w:hAnsi="宋体"/>
        </w:rPr>
      </w:pPr>
      <w:bookmarkStart w:id="152" w:name="_Hlk72438142"/>
      <w:r>
        <w:rPr>
          <w:rFonts w:ascii="宋体" w:hAnsi="宋体"/>
        </w:rPr>
        <w:t>最低价法，是指</w:t>
      </w:r>
      <w:r>
        <w:rPr>
          <w:rFonts w:hint="eastAsia" w:ascii="宋体" w:hAnsi="宋体"/>
        </w:rPr>
        <w:t>完全</w:t>
      </w:r>
      <w:r>
        <w:rPr>
          <w:rFonts w:ascii="宋体" w:hAnsi="宋体"/>
        </w:rPr>
        <w:t>满足招标文件实质性要求，</w:t>
      </w:r>
      <w:r>
        <w:rPr>
          <w:rFonts w:hint="eastAsia" w:ascii="宋体" w:hAnsi="宋体"/>
        </w:rPr>
        <w:t>按照报价由低到高的顺序，依据招标文件中规定的数量或者比例推荐候选中标供应商。</w:t>
      </w:r>
    </w:p>
    <w:p>
      <w:pPr>
        <w:ind w:firstLine="413" w:firstLineChars="196"/>
        <w:rPr>
          <w:rFonts w:ascii="宋体" w:hAnsi="宋体"/>
          <w:b/>
          <w:bCs/>
        </w:rPr>
      </w:pPr>
      <w:r>
        <w:rPr>
          <w:rFonts w:hint="eastAsia" w:ascii="宋体" w:hAnsi="宋体"/>
          <w:b/>
          <w:bCs/>
        </w:rPr>
        <w:t>37.1.2综合评分法</w:t>
      </w:r>
    </w:p>
    <w:p>
      <w:pPr>
        <w:ind w:firstLine="411" w:firstLineChars="196"/>
        <w:rPr>
          <w:rFonts w:ascii="宋体" w:hAnsi="宋体"/>
        </w:rPr>
      </w:pPr>
      <w:r>
        <w:rPr>
          <w:rFonts w:ascii="宋体" w:hAnsi="宋体"/>
        </w:rPr>
        <w:t>综合评分法，是指</w:t>
      </w:r>
      <w:r>
        <w:rPr>
          <w:rFonts w:hint="eastAsia" w:ascii="宋体" w:hAnsi="宋体"/>
        </w:rPr>
        <w:t>在</w:t>
      </w:r>
      <w:r>
        <w:rPr>
          <w:rFonts w:ascii="宋体" w:hAnsi="宋体"/>
        </w:rPr>
        <w:t>满足招标文件全部实质性要求</w:t>
      </w:r>
      <w:r>
        <w:rPr>
          <w:rFonts w:hint="eastAsia" w:ascii="宋体" w:hAnsi="宋体"/>
        </w:rPr>
        <w:t>的前提下</w:t>
      </w:r>
      <w:r>
        <w:rPr>
          <w:rFonts w:ascii="宋体" w:hAnsi="宋体"/>
        </w:rPr>
        <w:t>，</w:t>
      </w:r>
      <w:r>
        <w:rPr>
          <w:rFonts w:hint="eastAsia" w:ascii="宋体" w:hAnsi="宋体"/>
        </w:rPr>
        <w:t>按照招标文件中规定的各项因素进行综合评审，评审总得分排名前列的投标人，作为推荐的候选中标供应商。</w:t>
      </w:r>
      <w:bookmarkEnd w:id="152"/>
    </w:p>
    <w:p>
      <w:pPr>
        <w:ind w:firstLine="413" w:firstLineChars="196"/>
        <w:rPr>
          <w:rFonts w:ascii="宋体" w:hAnsi="宋体"/>
          <w:b/>
          <w:bCs/>
        </w:rPr>
      </w:pPr>
      <w:r>
        <w:rPr>
          <w:rFonts w:hint="eastAsia" w:ascii="宋体" w:hAnsi="宋体"/>
          <w:b/>
          <w:bCs/>
        </w:rPr>
        <w:t>37.2 本项目采用的评审方法见本项目招标文件第一册“专用条款”的相关内容。</w:t>
      </w:r>
    </w:p>
    <w:p>
      <w:pPr>
        <w:ind w:firstLine="413" w:firstLineChars="196"/>
        <w:rPr>
          <w:rFonts w:ascii="宋体" w:hAnsi="宋体"/>
          <w:b/>
          <w:bCs/>
        </w:rPr>
      </w:pPr>
      <w:r>
        <w:rPr>
          <w:rFonts w:hint="eastAsia" w:ascii="宋体" w:hAnsi="宋体"/>
          <w:b/>
          <w:bCs/>
        </w:rPr>
        <w:t>37.3重新评审的情形</w:t>
      </w:r>
    </w:p>
    <w:p>
      <w:pPr>
        <w:ind w:firstLine="411" w:firstLineChars="196"/>
        <w:rPr>
          <w:rFonts w:ascii="宋体" w:hAnsi="宋体"/>
          <w:b/>
          <w:bCs/>
        </w:rPr>
      </w:pPr>
      <w:r>
        <w:rPr>
          <w:rFonts w:hint="eastAsia" w:ascii="宋体" w:hAnsi="宋体" w:cs="宋体"/>
          <w:kern w:val="0"/>
        </w:rPr>
        <w:t>评审结果汇总完成后，除下列情形外，任何人不得修改评审结果：</w:t>
      </w:r>
    </w:p>
    <w:p>
      <w:pPr>
        <w:ind w:firstLine="411" w:firstLineChars="196"/>
        <w:rPr>
          <w:rFonts w:ascii="宋体" w:hAnsi="宋体" w:cs="宋体"/>
          <w:kern w:val="0"/>
        </w:rPr>
      </w:pPr>
      <w:r>
        <w:rPr>
          <w:rFonts w:hint="eastAsia" w:ascii="宋体" w:hAnsi="宋体" w:cs="宋体"/>
          <w:kern w:val="0"/>
        </w:rPr>
        <w:t>37.3.1分值汇总计算错误的；</w:t>
      </w:r>
    </w:p>
    <w:p>
      <w:pPr>
        <w:ind w:firstLine="411" w:firstLineChars="196"/>
        <w:rPr>
          <w:rFonts w:ascii="宋体" w:hAnsi="宋体" w:cs="宋体"/>
          <w:kern w:val="0"/>
        </w:rPr>
      </w:pPr>
      <w:r>
        <w:rPr>
          <w:rFonts w:hint="eastAsia" w:ascii="宋体" w:hAnsi="宋体" w:cs="宋体"/>
          <w:kern w:val="0"/>
        </w:rPr>
        <w:t>37.3.2分项评分超出评分标准范围的；</w:t>
      </w:r>
    </w:p>
    <w:p>
      <w:pPr>
        <w:ind w:firstLine="411" w:firstLineChars="196"/>
        <w:rPr>
          <w:rFonts w:ascii="宋体" w:hAnsi="宋体" w:cs="宋体"/>
          <w:kern w:val="0"/>
        </w:rPr>
      </w:pPr>
      <w:r>
        <w:rPr>
          <w:rFonts w:hint="eastAsia" w:ascii="宋体" w:hAnsi="宋体" w:cs="宋体"/>
          <w:kern w:val="0"/>
        </w:rPr>
        <w:t>37.3.3评审委员会成员对客观评审因素评分不一致的；</w:t>
      </w:r>
    </w:p>
    <w:p>
      <w:pPr>
        <w:ind w:firstLine="411" w:firstLineChars="196"/>
        <w:rPr>
          <w:rFonts w:ascii="宋体" w:hAnsi="宋体" w:cs="宋体"/>
          <w:kern w:val="0"/>
        </w:rPr>
      </w:pPr>
      <w:r>
        <w:rPr>
          <w:rFonts w:hint="eastAsia" w:ascii="宋体" w:hAnsi="宋体" w:cs="宋体"/>
          <w:kern w:val="0"/>
        </w:rPr>
        <w:t>37.3.4经评审委员会认定评分畸高、畸低的。</w:t>
      </w:r>
    </w:p>
    <w:p>
      <w:pPr>
        <w:ind w:firstLine="411" w:firstLineChars="196"/>
        <w:rPr>
          <w:rFonts w:ascii="宋体" w:hAnsi="宋体" w:cs="宋体"/>
          <w:kern w:val="0"/>
        </w:rPr>
      </w:pPr>
      <w:r>
        <w:rPr>
          <w:rFonts w:hint="eastAsia" w:ascii="宋体" w:hAnsi="宋体" w:cs="宋体"/>
          <w:kern w:val="0"/>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rPr>
      </w:pPr>
      <w:r>
        <w:rPr>
          <w:rFonts w:hint="eastAsia" w:ascii="宋体" w:hAnsi="宋体" w:cs="宋体"/>
          <w:kern w:val="0"/>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rPr>
      </w:pPr>
      <w:r>
        <w:rPr>
          <w:rFonts w:hint="eastAsia" w:ascii="宋体" w:hAnsi="宋体"/>
          <w:b/>
          <w:bCs/>
        </w:rPr>
        <w:t xml:space="preserve"> 37.4重新组建评审委员会的情形</w:t>
      </w:r>
    </w:p>
    <w:p>
      <w:pPr>
        <w:ind w:firstLine="411" w:firstLineChars="196"/>
        <w:rPr>
          <w:rFonts w:ascii="宋体" w:hAnsi="宋体" w:cs="宋体"/>
          <w:kern w:val="0"/>
        </w:rPr>
      </w:pPr>
      <w:r>
        <w:rPr>
          <w:rFonts w:hint="eastAsia" w:ascii="宋体" w:hAnsi="宋体" w:cs="宋体"/>
          <w:kern w:val="0"/>
        </w:rPr>
        <w:t>评审委员会或者其成员存在下列情形导致评审结果无效的，重新组建评审委员会进行评标，并书面报告本级财政部门：</w:t>
      </w:r>
    </w:p>
    <w:p>
      <w:pPr>
        <w:ind w:firstLine="411" w:firstLineChars="196"/>
        <w:rPr>
          <w:rFonts w:ascii="宋体" w:hAnsi="宋体" w:cs="宋体"/>
          <w:kern w:val="0"/>
        </w:rPr>
      </w:pPr>
      <w:r>
        <w:rPr>
          <w:rFonts w:hint="eastAsia" w:ascii="宋体" w:hAnsi="宋体" w:cs="宋体"/>
          <w:kern w:val="0"/>
        </w:rPr>
        <w:t>37.4.1评审委员会组成不符合《政府采购货物和服务招标投标管理办法》规定的；</w:t>
      </w:r>
    </w:p>
    <w:p>
      <w:pPr>
        <w:ind w:firstLine="411" w:firstLineChars="196"/>
        <w:rPr>
          <w:rFonts w:ascii="宋体" w:hAnsi="宋体" w:cs="宋体"/>
          <w:kern w:val="0"/>
        </w:rPr>
      </w:pPr>
      <w:r>
        <w:rPr>
          <w:rFonts w:hint="eastAsia" w:ascii="宋体" w:hAnsi="宋体" w:cs="宋体"/>
          <w:kern w:val="0"/>
        </w:rPr>
        <w:t>37.4.2有《政府采购货物和服务招标投标管理办法》第六十二条第一至五项情形的；</w:t>
      </w:r>
    </w:p>
    <w:p>
      <w:pPr>
        <w:ind w:firstLine="411" w:firstLineChars="196"/>
        <w:rPr>
          <w:rFonts w:ascii="宋体" w:hAnsi="宋体" w:cs="宋体"/>
          <w:kern w:val="0"/>
        </w:rPr>
      </w:pPr>
      <w:r>
        <w:rPr>
          <w:rFonts w:hint="eastAsia" w:ascii="宋体" w:hAnsi="宋体" w:cs="宋体"/>
          <w:kern w:val="0"/>
        </w:rPr>
        <w:t>37.4.3评审委员会及其成员独立评标受到非法干预的；</w:t>
      </w:r>
    </w:p>
    <w:p>
      <w:pPr>
        <w:ind w:firstLine="411" w:firstLineChars="196"/>
        <w:rPr>
          <w:rFonts w:ascii="宋体" w:hAnsi="宋体" w:cs="宋体"/>
          <w:kern w:val="0"/>
        </w:rPr>
      </w:pPr>
      <w:r>
        <w:rPr>
          <w:rFonts w:hint="eastAsia" w:ascii="宋体" w:hAnsi="宋体" w:cs="宋体"/>
          <w:kern w:val="0"/>
        </w:rPr>
        <w:t>37.4.4有政府采购法实施条例第七十五条规定的违法行为的。</w:t>
      </w:r>
    </w:p>
    <w:p>
      <w:pPr>
        <w:ind w:firstLine="411" w:firstLineChars="196"/>
        <w:rPr>
          <w:rFonts w:ascii="宋体" w:hAnsi="宋体" w:cs="宋体"/>
          <w:kern w:val="0"/>
        </w:rPr>
      </w:pPr>
      <w:r>
        <w:rPr>
          <w:rFonts w:hint="eastAsia" w:ascii="宋体" w:hAnsi="宋体" w:cs="宋体"/>
          <w:kern w:val="0"/>
        </w:rPr>
        <w:t>有违法违规行为的原评审委员会成员不得参加重新组建的评审委员会。</w:t>
      </w:r>
    </w:p>
    <w:p>
      <w:pPr>
        <w:pStyle w:val="5"/>
        <w:tabs>
          <w:tab w:val="left" w:pos="360"/>
        </w:tabs>
        <w:spacing w:before="156" w:beforeLines="50" w:after="156" w:afterLines="50"/>
        <w:ind w:firstLine="2530" w:firstLineChars="900"/>
        <w:jc w:val="both"/>
        <w:rPr>
          <w:rFonts w:ascii="宋体" w:hAnsi="宋体" w:eastAsia="宋体"/>
          <w:sz w:val="28"/>
          <w:szCs w:val="28"/>
        </w:rPr>
      </w:pPr>
      <w:r>
        <w:rPr>
          <w:rFonts w:hint="eastAsia" w:ascii="宋体" w:hAnsi="宋体" w:eastAsia="宋体"/>
          <w:sz w:val="28"/>
          <w:szCs w:val="28"/>
        </w:rPr>
        <w:t>第八章  定标及公示</w:t>
      </w:r>
    </w:p>
    <w:p>
      <w:pPr>
        <w:rPr>
          <w:rFonts w:ascii="宋体" w:hAnsi="宋体"/>
          <w:sz w:val="24"/>
        </w:rPr>
      </w:pPr>
      <w:r>
        <w:rPr>
          <w:rFonts w:hint="eastAsia" w:ascii="宋体" w:hAnsi="宋体"/>
          <w:sz w:val="24"/>
        </w:rPr>
        <w:t>38．定标方法</w:t>
      </w:r>
    </w:p>
    <w:p>
      <w:pPr>
        <w:ind w:firstLine="411" w:firstLineChars="196"/>
        <w:rPr>
          <w:rFonts w:ascii="宋体" w:hAnsi="宋体"/>
        </w:rPr>
      </w:pPr>
      <w:bookmarkStart w:id="153" w:name="_Hlk73782795"/>
      <w:r>
        <w:rPr>
          <w:rFonts w:hint="eastAsia" w:ascii="宋体" w:hAnsi="宋体"/>
        </w:rPr>
        <w:t>38.1非评定分离项目定标方法</w:t>
      </w:r>
    </w:p>
    <w:p>
      <w:pPr>
        <w:ind w:firstLine="411" w:firstLineChars="196"/>
        <w:rPr>
          <w:rFonts w:ascii="宋体" w:hAnsi="宋体"/>
        </w:rPr>
      </w:pPr>
      <w:r>
        <w:rPr>
          <w:rFonts w:hint="eastAsia" w:ascii="宋体" w:hAnsi="宋体"/>
        </w:rPr>
        <w:t>38</w:t>
      </w:r>
      <w:r>
        <w:rPr>
          <w:rFonts w:ascii="宋体" w:hAnsi="宋体"/>
        </w:rPr>
        <w:t>.</w:t>
      </w:r>
      <w:r>
        <w:rPr>
          <w:rFonts w:hint="eastAsia" w:ascii="宋体" w:hAnsi="宋体"/>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宋体" w:hAnsi="宋体"/>
        </w:rPr>
      </w:pPr>
      <w:r>
        <w:rPr>
          <w:rFonts w:hint="eastAsia" w:ascii="宋体" w:hAnsi="宋体"/>
        </w:rPr>
        <w:t>38</w:t>
      </w:r>
      <w:r>
        <w:rPr>
          <w:rFonts w:ascii="宋体" w:hAnsi="宋体"/>
        </w:rPr>
        <w:t>.</w:t>
      </w:r>
      <w:r>
        <w:rPr>
          <w:rFonts w:hint="eastAsia" w:ascii="宋体" w:hAnsi="宋体"/>
        </w:rPr>
        <w:t>1.2</w:t>
      </w:r>
      <w:r>
        <w:rPr>
          <w:rFonts w:ascii="宋体" w:hAnsi="宋体"/>
        </w:rPr>
        <w:t>采用最低价法的，评</w:t>
      </w:r>
      <w:r>
        <w:rPr>
          <w:rFonts w:hint="eastAsia" w:ascii="宋体" w:hAnsi="宋体"/>
        </w:rPr>
        <w:t>审</w:t>
      </w:r>
      <w:r>
        <w:rPr>
          <w:rFonts w:ascii="宋体" w:hAnsi="宋体"/>
        </w:rPr>
        <w:t>结果按投标报价由低到高顺序排列。投标报价相同的并列。投标文件满足招标文件全部实质性要求且投标报价最低的</w:t>
      </w:r>
      <w:r>
        <w:rPr>
          <w:rFonts w:hint="eastAsia" w:ascii="宋体" w:hAnsi="宋体"/>
        </w:rPr>
        <w:t>投标人为</w:t>
      </w:r>
      <w:bookmarkStart w:id="154" w:name="_Hlk73821177"/>
      <w:r>
        <w:rPr>
          <w:rFonts w:hint="eastAsia" w:ascii="宋体" w:hAnsi="宋体"/>
        </w:rPr>
        <w:t>中标供应商</w:t>
      </w:r>
      <w:r>
        <w:rPr>
          <w:rFonts w:ascii="宋体" w:hAnsi="宋体"/>
        </w:rPr>
        <w:t>（</w:t>
      </w:r>
      <w:r>
        <w:rPr>
          <w:rFonts w:hint="eastAsia" w:ascii="宋体" w:hAnsi="宋体"/>
        </w:rPr>
        <w:t>排名</w:t>
      </w:r>
      <w:r>
        <w:rPr>
          <w:rFonts w:ascii="宋体" w:hAnsi="宋体"/>
        </w:rPr>
        <w:t>第二</w:t>
      </w:r>
      <w:r>
        <w:rPr>
          <w:rFonts w:hint="eastAsia" w:ascii="宋体" w:hAnsi="宋体"/>
        </w:rPr>
        <w:t>的投标人为第一替补中标候选人、排名</w:t>
      </w:r>
      <w:r>
        <w:rPr>
          <w:rFonts w:ascii="宋体" w:hAnsi="宋体"/>
        </w:rPr>
        <w:t>第</w:t>
      </w:r>
      <w:r>
        <w:rPr>
          <w:rFonts w:hint="eastAsia" w:ascii="宋体" w:hAnsi="宋体"/>
        </w:rPr>
        <w:t>三的投标人为第二替补中标候选人</w:t>
      </w:r>
      <w:bookmarkEnd w:id="154"/>
      <w:r>
        <w:rPr>
          <w:rFonts w:ascii="宋体" w:hAnsi="宋体"/>
        </w:rPr>
        <w:t>）。</w:t>
      </w:r>
    </w:p>
    <w:p>
      <w:pPr>
        <w:ind w:firstLine="411" w:firstLineChars="196"/>
        <w:rPr>
          <w:rFonts w:ascii="宋体" w:hAnsi="宋体"/>
        </w:rPr>
      </w:pPr>
      <w:r>
        <w:rPr>
          <w:rFonts w:hint="eastAsia" w:ascii="宋体" w:hAnsi="宋体"/>
        </w:rPr>
        <w:t>38</w:t>
      </w:r>
      <w:r>
        <w:rPr>
          <w:rFonts w:ascii="宋体" w:hAnsi="宋体"/>
        </w:rPr>
        <w:t>.</w:t>
      </w:r>
      <w:r>
        <w:rPr>
          <w:rFonts w:hint="eastAsia" w:ascii="宋体" w:hAnsi="宋体"/>
        </w:rPr>
        <w:t>1.3</w:t>
      </w:r>
      <w:r>
        <w:rPr>
          <w:rFonts w:ascii="宋体" w:hAnsi="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宋体" w:hAnsi="宋体"/>
        </w:rPr>
        <w:t>为中标供应商</w:t>
      </w:r>
      <w:r>
        <w:rPr>
          <w:rFonts w:ascii="宋体" w:hAnsi="宋体"/>
        </w:rPr>
        <w:t>（</w:t>
      </w:r>
      <w:r>
        <w:rPr>
          <w:rFonts w:hint="eastAsia" w:ascii="宋体" w:hAnsi="宋体"/>
        </w:rPr>
        <w:t>排名</w:t>
      </w:r>
      <w:r>
        <w:rPr>
          <w:rFonts w:ascii="宋体" w:hAnsi="宋体"/>
        </w:rPr>
        <w:t>第二</w:t>
      </w:r>
      <w:r>
        <w:rPr>
          <w:rFonts w:hint="eastAsia" w:ascii="宋体" w:hAnsi="宋体"/>
        </w:rPr>
        <w:t>的投标人为第一替补中标候选人、排名</w:t>
      </w:r>
      <w:r>
        <w:rPr>
          <w:rFonts w:ascii="宋体" w:hAnsi="宋体"/>
        </w:rPr>
        <w:t>第</w:t>
      </w:r>
      <w:r>
        <w:rPr>
          <w:rFonts w:hint="eastAsia" w:ascii="宋体" w:hAnsi="宋体"/>
        </w:rPr>
        <w:t>三的投标人为第二替补中标候选人</w:t>
      </w:r>
      <w:r>
        <w:rPr>
          <w:rFonts w:ascii="宋体" w:hAnsi="宋体"/>
        </w:rPr>
        <w:t>）。</w:t>
      </w:r>
      <w:r>
        <w:rPr>
          <w:rFonts w:hint="eastAsia" w:ascii="宋体" w:hAnsi="宋体"/>
        </w:rPr>
        <w:t>出现</w:t>
      </w:r>
      <w:r>
        <w:rPr>
          <w:rFonts w:ascii="宋体" w:hAnsi="宋体"/>
        </w:rPr>
        <w:t>得分且投标报价相同的并列</w:t>
      </w:r>
      <w:r>
        <w:rPr>
          <w:rFonts w:hint="eastAsia" w:ascii="宋体" w:hAnsi="宋体"/>
        </w:rPr>
        <w:t>情况时，采取随机抽取的方式确定，具体操作办法及流程由评审委员会确定。</w:t>
      </w:r>
    </w:p>
    <w:p>
      <w:pPr>
        <w:ind w:firstLine="411" w:firstLineChars="196"/>
        <w:rPr>
          <w:rFonts w:ascii="宋体" w:hAnsi="宋体"/>
        </w:rPr>
      </w:pPr>
      <w:r>
        <w:rPr>
          <w:rFonts w:hint="eastAsia" w:ascii="宋体" w:hAnsi="宋体"/>
        </w:rPr>
        <w:t>38.2评定分离项目定标方法</w:t>
      </w:r>
    </w:p>
    <w:p>
      <w:pPr>
        <w:ind w:firstLine="411" w:firstLineChars="196"/>
        <w:rPr>
          <w:rFonts w:ascii="宋体" w:hAnsi="宋体"/>
        </w:rPr>
      </w:pPr>
      <w:r>
        <w:rPr>
          <w:rFonts w:hint="eastAsia" w:ascii="宋体" w:hAnsi="宋体"/>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rFonts w:ascii="宋体" w:hAnsi="宋体"/>
        </w:rPr>
      </w:pPr>
      <w:r>
        <w:rPr>
          <w:rFonts w:ascii="宋体" w:hAnsi="宋体"/>
        </w:rPr>
        <w:t xml:space="preserve">38.2.2 </w:t>
      </w:r>
      <w:bookmarkStart w:id="155" w:name="_Hlk71469733"/>
      <w:r>
        <w:rPr>
          <w:rFonts w:ascii="宋体" w:hAnsi="宋体"/>
        </w:rPr>
        <w:t>适用评定分离的政府采购项目，采用综合评分法评</w:t>
      </w:r>
      <w:r>
        <w:rPr>
          <w:rFonts w:hint="eastAsia" w:ascii="宋体" w:hAnsi="宋体"/>
        </w:rPr>
        <w:t>审。评审委员会按照评审结果，推荐</w:t>
      </w:r>
      <w:r>
        <w:rPr>
          <w:rFonts w:ascii="宋体" w:hAnsi="宋体"/>
        </w:rPr>
        <w:t>三个合格的候选中标供应商。</w:t>
      </w:r>
    </w:p>
    <w:p>
      <w:pPr>
        <w:ind w:firstLine="411" w:firstLineChars="196"/>
        <w:rPr>
          <w:rFonts w:ascii="宋体" w:hAnsi="宋体"/>
        </w:rPr>
      </w:pPr>
      <w:r>
        <w:rPr>
          <w:rFonts w:hint="eastAsia" w:ascii="宋体" w:hAnsi="宋体"/>
        </w:rPr>
        <w:t>38.2.3</w:t>
      </w:r>
      <w:bookmarkStart w:id="156" w:name="_Hlk71469688"/>
      <w:r>
        <w:rPr>
          <w:rFonts w:ascii="宋体" w:hAnsi="宋体"/>
        </w:rPr>
        <w:t>适用评定分离的政府采购项目，</w:t>
      </w:r>
      <w:r>
        <w:rPr>
          <w:rFonts w:hint="eastAsia" w:ascii="宋体" w:hAnsi="宋体"/>
        </w:rPr>
        <w:t>按照自定法确定中标供应商：自定法是指采购人组织定标委员会，由定标委员会在三家候选中标供应商中确定中标供应商。</w:t>
      </w:r>
      <w:bookmarkEnd w:id="155"/>
      <w:bookmarkEnd w:id="156"/>
    </w:p>
    <w:p>
      <w:pPr>
        <w:ind w:firstLine="411" w:firstLineChars="196"/>
        <w:rPr>
          <w:rFonts w:ascii="宋体" w:hAnsi="宋体"/>
        </w:rPr>
      </w:pPr>
      <w:r>
        <w:rPr>
          <w:rFonts w:ascii="宋体" w:hAnsi="宋体"/>
        </w:rPr>
        <w:t>38.2.4</w:t>
      </w:r>
      <w:r>
        <w:rPr>
          <w:rFonts w:hint="eastAsia" w:ascii="宋体" w:hAnsi="宋体"/>
        </w:rPr>
        <w:t>政府集中采购机构</w:t>
      </w:r>
      <w:r>
        <w:rPr>
          <w:rFonts w:ascii="宋体" w:hAnsi="宋体"/>
        </w:rPr>
        <w:t>应当自评审结束之日起两个工作日内将候选中标供应商名单及其投标文件、评审报告送交采购人</w:t>
      </w:r>
      <w:r>
        <w:rPr>
          <w:rFonts w:hint="eastAsia" w:ascii="宋体" w:hAnsi="宋体"/>
        </w:rPr>
        <w:t>。</w:t>
      </w:r>
      <w:r>
        <w:rPr>
          <w:rFonts w:ascii="宋体" w:hAnsi="宋体"/>
        </w:rPr>
        <w:t>采购人应当安排专人对定标过程进行书面记录，形成定标报告，作为采购文件的组成部分存档，并及时将定标结果反馈</w:t>
      </w:r>
      <w:r>
        <w:rPr>
          <w:rFonts w:hint="eastAsia" w:ascii="宋体" w:hAnsi="宋体"/>
        </w:rPr>
        <w:t>政府集中采购机构。说明：采购人及投标供应商应按照上述方法提前做好相关准备。</w:t>
      </w:r>
    </w:p>
    <w:p>
      <w:pPr>
        <w:ind w:firstLine="411" w:firstLineChars="196"/>
        <w:rPr>
          <w:rFonts w:ascii="宋体" w:hAnsi="宋体"/>
        </w:rPr>
      </w:pPr>
      <w:r>
        <w:rPr>
          <w:rFonts w:hint="eastAsia" w:ascii="宋体" w:hAnsi="宋体"/>
        </w:rPr>
        <w:t>38.3专用条款另有规定的，按专用条款相关要求定标。</w:t>
      </w:r>
      <w:bookmarkEnd w:id="153"/>
    </w:p>
    <w:p>
      <w:pPr>
        <w:rPr>
          <w:rFonts w:ascii="宋体" w:hAnsi="宋体"/>
          <w:sz w:val="24"/>
        </w:rPr>
      </w:pPr>
      <w:r>
        <w:rPr>
          <w:rFonts w:hint="eastAsia" w:ascii="宋体" w:hAnsi="宋体"/>
          <w:sz w:val="24"/>
        </w:rPr>
        <w:t>39．编写评审报告</w:t>
      </w:r>
    </w:p>
    <w:p>
      <w:pPr>
        <w:ind w:firstLine="411" w:firstLineChars="196"/>
        <w:rPr>
          <w:rFonts w:ascii="宋体" w:hAnsi="宋体"/>
        </w:rPr>
      </w:pPr>
      <w:r>
        <w:rPr>
          <w:rFonts w:hint="eastAsia" w:ascii="宋体" w:hAnsi="宋体"/>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宋体" w:hAnsi="宋体"/>
          <w:sz w:val="24"/>
        </w:rPr>
      </w:pPr>
      <w:r>
        <w:rPr>
          <w:rFonts w:hint="eastAsia" w:ascii="宋体" w:hAnsi="宋体"/>
          <w:sz w:val="24"/>
        </w:rPr>
        <w:t>40．中标公告</w:t>
      </w:r>
    </w:p>
    <w:p>
      <w:pPr>
        <w:ind w:firstLine="411" w:firstLineChars="196"/>
        <w:rPr>
          <w:rFonts w:ascii="宋体" w:hAnsi="宋体"/>
        </w:rPr>
      </w:pPr>
      <w:r>
        <w:rPr>
          <w:rFonts w:hint="eastAsia" w:ascii="宋体" w:hAnsi="宋体"/>
        </w:rPr>
        <w:t>40.1</w:t>
      </w:r>
      <w:bookmarkStart w:id="157" w:name="_Hlk72438709"/>
      <w:r>
        <w:rPr>
          <w:rFonts w:hint="eastAsia" w:ascii="宋体" w:hAnsi="宋体"/>
        </w:rPr>
        <w:t>为体现“公开、公平、公正”的原则，评审结束后经采购人确认（确定）评审结果，政府集中采购机构将在“新疆政采云平台”上发布中标结果公告。</w:t>
      </w:r>
      <w:bookmarkEnd w:id="157"/>
      <w:bookmarkStart w:id="158" w:name="_Hlk72438751"/>
      <w:r>
        <w:rPr>
          <w:rFonts w:hint="eastAsia" w:ascii="宋体" w:hAnsi="宋体"/>
        </w:rPr>
        <w:t>供应商如对评审结果有异议，</w:t>
      </w:r>
      <w:r>
        <w:rPr>
          <w:rFonts w:ascii="宋体" w:hAnsi="宋体"/>
        </w:rPr>
        <w:t>可在发布公示日期起</w:t>
      </w:r>
      <w:r>
        <w:rPr>
          <w:rFonts w:hint="eastAsia" w:ascii="宋体" w:hAnsi="宋体"/>
        </w:rPr>
        <w:t>七</w:t>
      </w:r>
      <w:r>
        <w:rPr>
          <w:rFonts w:ascii="宋体" w:hAnsi="宋体"/>
        </w:rPr>
        <w:t>个工作日内向</w:t>
      </w:r>
      <w:r>
        <w:rPr>
          <w:rFonts w:hint="eastAsia" w:ascii="宋体" w:hAnsi="宋体"/>
        </w:rPr>
        <w:t>政府集中采购机构</w:t>
      </w:r>
      <w:r>
        <w:rPr>
          <w:rFonts w:ascii="宋体" w:hAnsi="宋体"/>
        </w:rPr>
        <w:t>提出。 监督电话：</w:t>
      </w:r>
      <w:r>
        <w:rPr>
          <w:rFonts w:hint="eastAsia" w:ascii="宋体" w:hAnsi="宋体"/>
        </w:rPr>
        <w:t>0996-2024012</w:t>
      </w:r>
      <w:r>
        <w:rPr>
          <w:rFonts w:ascii="宋体" w:hAnsi="宋体"/>
        </w:rPr>
        <w:t>。</w:t>
      </w:r>
      <w:r>
        <w:rPr>
          <w:rFonts w:hint="eastAsia" w:ascii="宋体" w:hAnsi="宋体"/>
        </w:rPr>
        <w:t>若在公示期内未提出质疑，则视为认同该评审结果。</w:t>
      </w:r>
    </w:p>
    <w:bookmarkEnd w:id="158"/>
    <w:p>
      <w:pPr>
        <w:ind w:firstLine="411" w:firstLineChars="196"/>
        <w:rPr>
          <w:rFonts w:ascii="宋体" w:hAnsi="宋体"/>
        </w:rPr>
      </w:pPr>
      <w:r>
        <w:rPr>
          <w:rFonts w:hint="eastAsia" w:ascii="宋体" w:hAnsi="宋体"/>
        </w:rPr>
        <w:t>40.2质疑、投诉供应商应保证质疑、投诉内容的真实性和可靠性，并承担相应的法律责任。</w:t>
      </w:r>
    </w:p>
    <w:p>
      <w:pPr>
        <w:rPr>
          <w:rFonts w:ascii="宋体" w:hAnsi="宋体"/>
          <w:sz w:val="24"/>
        </w:rPr>
      </w:pPr>
      <w:r>
        <w:rPr>
          <w:rFonts w:hint="eastAsia" w:ascii="宋体" w:hAnsi="宋体"/>
          <w:sz w:val="24"/>
        </w:rPr>
        <w:t>41．中标通知书</w:t>
      </w:r>
    </w:p>
    <w:p>
      <w:pPr>
        <w:ind w:firstLine="411" w:firstLineChars="196"/>
        <w:rPr>
          <w:rFonts w:ascii="宋体" w:hAnsi="宋体"/>
        </w:rPr>
      </w:pPr>
      <w:r>
        <w:rPr>
          <w:rFonts w:hint="eastAsia" w:ascii="宋体" w:hAnsi="宋体"/>
        </w:rPr>
        <w:t>41</w:t>
      </w:r>
      <w:r>
        <w:rPr>
          <w:rFonts w:ascii="宋体" w:hAnsi="宋体"/>
        </w:rPr>
        <w:t>.</w:t>
      </w:r>
      <w:r>
        <w:rPr>
          <w:rFonts w:hint="eastAsia" w:ascii="宋体" w:hAnsi="宋体"/>
        </w:rPr>
        <w:t>1</w:t>
      </w:r>
      <w:bookmarkStart w:id="159" w:name="_Hlk72438863"/>
      <w:r>
        <w:rPr>
          <w:rFonts w:hint="eastAsia" w:ascii="宋体" w:hAnsi="宋体"/>
        </w:rPr>
        <w:t>中标公告公布以后无异常的情况下,中标供应商和采购人可自行在“新疆政采云平台）”上打印电子</w:t>
      </w:r>
      <w:r>
        <w:rPr>
          <w:rFonts w:hint="eastAsia" w:ascii="宋体" w:hAnsi="宋体"/>
          <w:bCs/>
        </w:rPr>
        <w:t>中标通知书。</w:t>
      </w:r>
      <w:bookmarkEnd w:id="159"/>
    </w:p>
    <w:p>
      <w:pPr>
        <w:ind w:firstLine="411" w:firstLineChars="196"/>
        <w:rPr>
          <w:rFonts w:ascii="宋体" w:hAnsi="宋体"/>
        </w:rPr>
      </w:pPr>
      <w:r>
        <w:rPr>
          <w:rFonts w:hint="eastAsia" w:ascii="宋体" w:hAnsi="宋体"/>
        </w:rPr>
        <w:t>41</w:t>
      </w:r>
      <w:r>
        <w:rPr>
          <w:rFonts w:ascii="宋体" w:hAnsi="宋体"/>
        </w:rPr>
        <w:t>.2</w:t>
      </w:r>
      <w:r>
        <w:rPr>
          <w:rFonts w:hint="eastAsia" w:ascii="宋体" w:hAnsi="宋体"/>
        </w:rPr>
        <w:t>中标通知书是合同的重要组成部分。</w:t>
      </w:r>
    </w:p>
    <w:p>
      <w:pPr>
        <w:ind w:firstLine="411" w:firstLineChars="196"/>
        <w:rPr>
          <w:rFonts w:ascii="宋体" w:hAnsi="宋体"/>
        </w:rPr>
      </w:pPr>
      <w:bookmarkStart w:id="160" w:name="_Hlk71407340"/>
      <w:r>
        <w:rPr>
          <w:rFonts w:hint="eastAsia" w:ascii="宋体" w:hAnsi="宋体"/>
        </w:rPr>
        <w:t>41.3因质疑投诉或其它原因导致项目结果变更或采购终止的，政府集中采购机构有权吊销中标通知书。</w:t>
      </w:r>
    </w:p>
    <w:bookmarkEnd w:id="160"/>
    <w:p>
      <w:pPr>
        <w:pStyle w:val="5"/>
        <w:tabs>
          <w:tab w:val="left" w:pos="360"/>
        </w:tabs>
        <w:spacing w:before="156" w:beforeLines="50" w:after="156" w:afterLines="50"/>
        <w:ind w:firstLine="2249" w:firstLineChars="800"/>
        <w:jc w:val="both"/>
        <w:rPr>
          <w:rFonts w:ascii="宋体" w:hAnsi="宋体" w:eastAsia="宋体"/>
          <w:sz w:val="28"/>
          <w:szCs w:val="28"/>
        </w:rPr>
      </w:pPr>
      <w:r>
        <w:rPr>
          <w:rFonts w:hint="eastAsia" w:ascii="宋体" w:hAnsi="宋体" w:eastAsia="宋体"/>
          <w:sz w:val="28"/>
          <w:szCs w:val="28"/>
        </w:rPr>
        <w:t>第九章  公开招标失败的后续处理</w:t>
      </w:r>
    </w:p>
    <w:p>
      <w:pPr>
        <w:rPr>
          <w:rFonts w:ascii="宋体" w:hAnsi="宋体"/>
          <w:sz w:val="24"/>
        </w:rPr>
      </w:pPr>
      <w:r>
        <w:rPr>
          <w:rFonts w:hint="eastAsia" w:ascii="宋体" w:hAnsi="宋体"/>
          <w:sz w:val="24"/>
        </w:rPr>
        <w:t>42．公开招标失败的处理</w:t>
      </w:r>
    </w:p>
    <w:p>
      <w:pPr>
        <w:ind w:firstLine="411" w:firstLineChars="196"/>
        <w:rPr>
          <w:rFonts w:ascii="宋体" w:hAnsi="宋体"/>
        </w:rPr>
      </w:pPr>
      <w:r>
        <w:rPr>
          <w:rFonts w:hint="eastAsia" w:ascii="宋体" w:hAnsi="宋体"/>
        </w:rPr>
        <w:t>42.1本项目公开招标过程中若由于投标截止后实际递交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rPr>
      </w:pPr>
      <w:r>
        <w:rPr>
          <w:rFonts w:hint="eastAsia" w:ascii="宋体" w:hAnsi="宋体"/>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rPr>
      </w:pPr>
      <w:r>
        <w:rPr>
          <w:rFonts w:hint="eastAsia" w:ascii="宋体" w:hAnsi="宋体"/>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ind w:firstLine="420" w:firstLineChars="200"/>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pStyle w:val="5"/>
        <w:tabs>
          <w:tab w:val="left" w:pos="360"/>
        </w:tabs>
        <w:spacing w:before="156" w:beforeLines="50" w:after="156" w:afterLines="50"/>
        <w:ind w:firstLine="2811" w:firstLineChars="1000"/>
        <w:jc w:val="both"/>
        <w:rPr>
          <w:rFonts w:ascii="宋体" w:hAnsi="宋体" w:eastAsia="宋体"/>
          <w:sz w:val="28"/>
          <w:szCs w:val="28"/>
        </w:rPr>
      </w:pPr>
      <w:bookmarkStart w:id="161" w:name="_Hlk72439043"/>
      <w:r>
        <w:rPr>
          <w:rFonts w:hint="eastAsia" w:ascii="宋体" w:hAnsi="宋体" w:eastAsia="宋体"/>
          <w:sz w:val="28"/>
          <w:szCs w:val="28"/>
        </w:rPr>
        <w:t>第十章  合同的授予与备案</w:t>
      </w:r>
      <w:bookmarkEnd w:id="161"/>
    </w:p>
    <w:p>
      <w:pPr>
        <w:rPr>
          <w:rFonts w:ascii="宋体" w:hAnsi="宋体"/>
          <w:sz w:val="24"/>
        </w:rPr>
      </w:pPr>
      <w:bookmarkStart w:id="162" w:name="_Toc73521674"/>
      <w:bookmarkStart w:id="163" w:name="_Toc73518157"/>
      <w:bookmarkStart w:id="164" w:name="_Toc100052408"/>
      <w:bookmarkStart w:id="165" w:name="_Toc73521586"/>
      <w:bookmarkStart w:id="166" w:name="_Toc73517679"/>
      <w:bookmarkStart w:id="167" w:name="_Hlk72439088"/>
      <w:r>
        <w:rPr>
          <w:rFonts w:hint="eastAsia" w:ascii="宋体" w:hAnsi="宋体"/>
          <w:sz w:val="24"/>
        </w:rPr>
        <w:t>43．合同授予标准</w:t>
      </w:r>
      <w:bookmarkEnd w:id="162"/>
      <w:bookmarkEnd w:id="163"/>
      <w:bookmarkEnd w:id="164"/>
      <w:bookmarkEnd w:id="165"/>
      <w:bookmarkEnd w:id="166"/>
    </w:p>
    <w:p>
      <w:pPr>
        <w:ind w:firstLine="411" w:firstLineChars="196"/>
        <w:rPr>
          <w:rFonts w:ascii="宋体" w:hAnsi="宋体"/>
        </w:rPr>
      </w:pPr>
      <w:r>
        <w:rPr>
          <w:rFonts w:hint="eastAsia" w:ascii="宋体" w:hAnsi="宋体"/>
        </w:rPr>
        <w:t>本项目的合同将授予经本招标文件规定评审确定的中标供应商。</w:t>
      </w:r>
    </w:p>
    <w:p>
      <w:pPr>
        <w:rPr>
          <w:rFonts w:ascii="宋体" w:hAnsi="宋体"/>
          <w:sz w:val="24"/>
        </w:rPr>
      </w:pPr>
      <w:bookmarkStart w:id="168" w:name="_Toc100052409"/>
      <w:bookmarkStart w:id="169" w:name="_Toc73521587"/>
      <w:bookmarkStart w:id="170" w:name="_Toc73517680"/>
      <w:bookmarkStart w:id="171" w:name="_Toc73518158"/>
      <w:bookmarkStart w:id="172" w:name="_Toc73521675"/>
      <w:r>
        <w:rPr>
          <w:rFonts w:hint="eastAsia" w:ascii="宋体" w:hAnsi="宋体"/>
          <w:sz w:val="24"/>
        </w:rPr>
        <w:t>44．</w:t>
      </w:r>
      <w:bookmarkEnd w:id="168"/>
      <w:bookmarkEnd w:id="169"/>
      <w:bookmarkEnd w:id="170"/>
      <w:bookmarkEnd w:id="171"/>
      <w:bookmarkEnd w:id="172"/>
      <w:r>
        <w:rPr>
          <w:rFonts w:hint="eastAsia" w:ascii="宋体" w:hAnsi="宋体"/>
          <w:sz w:val="24"/>
        </w:rPr>
        <w:t>接受和拒绝任何或所有投标的权力</w:t>
      </w:r>
    </w:p>
    <w:p>
      <w:pPr>
        <w:ind w:firstLine="411" w:firstLineChars="196"/>
        <w:rPr>
          <w:rFonts w:ascii="宋体" w:hAnsi="宋体"/>
        </w:rPr>
      </w:pPr>
      <w:r>
        <w:rPr>
          <w:rFonts w:hint="eastAsia" w:ascii="宋体" w:hAnsi="宋体"/>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宋体" w:hAnsi="宋体"/>
          <w:sz w:val="24"/>
        </w:rPr>
      </w:pPr>
      <w:bookmarkStart w:id="173" w:name="_Toc73521589"/>
      <w:bookmarkStart w:id="174" w:name="_Toc100052410"/>
      <w:bookmarkStart w:id="175" w:name="_Toc73521677"/>
      <w:bookmarkStart w:id="176" w:name="_Toc73517682"/>
      <w:bookmarkStart w:id="177" w:name="_Toc73518160"/>
      <w:r>
        <w:rPr>
          <w:rFonts w:hint="eastAsia" w:ascii="宋体" w:hAnsi="宋体"/>
          <w:sz w:val="24"/>
        </w:rPr>
        <w:t>45．合同的签订</w:t>
      </w:r>
      <w:bookmarkEnd w:id="173"/>
      <w:bookmarkEnd w:id="174"/>
      <w:bookmarkEnd w:id="175"/>
      <w:bookmarkEnd w:id="176"/>
      <w:bookmarkEnd w:id="177"/>
    </w:p>
    <w:p>
      <w:pPr>
        <w:ind w:firstLine="411" w:firstLineChars="196"/>
        <w:rPr>
          <w:rFonts w:ascii="宋体" w:hAnsi="宋体"/>
        </w:rPr>
      </w:pPr>
      <w:r>
        <w:rPr>
          <w:rFonts w:hint="eastAsia" w:ascii="宋体" w:hAnsi="宋体"/>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rPr>
      </w:pPr>
      <w:r>
        <w:rPr>
          <w:rFonts w:hint="eastAsia" w:ascii="宋体" w:hAnsi="宋体"/>
        </w:rPr>
        <w:t>45.2中标人如不按本通用条款第45</w:t>
      </w:r>
      <w:r>
        <w:rPr>
          <w:rFonts w:ascii="宋体" w:hAnsi="宋体"/>
        </w:rPr>
        <w:t>.1</w:t>
      </w:r>
      <w:r>
        <w:rPr>
          <w:rFonts w:hint="eastAsia" w:ascii="宋体" w:hAnsi="宋体"/>
        </w:rPr>
        <w:t>款的规定与采购人签订合同，</w:t>
      </w:r>
      <w:r>
        <w:rPr>
          <w:rFonts w:ascii="宋体" w:hAnsi="宋体" w:cs="宋体"/>
          <w:kern w:val="0"/>
        </w:rPr>
        <w:t>情节严重的，由</w:t>
      </w:r>
      <w:r>
        <w:rPr>
          <w:rFonts w:hint="eastAsia" w:ascii="宋体" w:hAnsi="宋体" w:cs="宋体"/>
          <w:kern w:val="0"/>
        </w:rPr>
        <w:t>同级财政</w:t>
      </w:r>
      <w:r>
        <w:rPr>
          <w:rFonts w:ascii="宋体" w:hAnsi="宋体" w:cs="宋体"/>
          <w:kern w:val="0"/>
        </w:rPr>
        <w:t>部门记入供应商诚信档案，予以通报</w:t>
      </w:r>
      <w:r>
        <w:rPr>
          <w:rFonts w:hint="eastAsia" w:ascii="宋体" w:hAnsi="宋体"/>
        </w:rPr>
        <w:t>；</w:t>
      </w:r>
    </w:p>
    <w:p>
      <w:pPr>
        <w:ind w:firstLine="411" w:firstLineChars="196"/>
        <w:rPr>
          <w:rFonts w:ascii="宋体" w:hAnsi="宋体"/>
        </w:rPr>
      </w:pPr>
      <w:r>
        <w:rPr>
          <w:rFonts w:hint="eastAsia" w:ascii="宋体" w:hAnsi="宋体"/>
        </w:rPr>
        <w:t>45.3中标人应当按照合同约定履行义务，完成中标项目，不得将中标项目转让（转包）给他人。</w:t>
      </w:r>
    </w:p>
    <w:p>
      <w:pPr>
        <w:rPr>
          <w:rFonts w:ascii="宋体" w:hAnsi="宋体"/>
          <w:sz w:val="24"/>
        </w:rPr>
      </w:pPr>
      <w:bookmarkStart w:id="178" w:name="_Toc73521678"/>
      <w:bookmarkStart w:id="179" w:name="_Toc73521590"/>
      <w:bookmarkStart w:id="180" w:name="_Toc73517683"/>
      <w:bookmarkStart w:id="181" w:name="_Toc100052411"/>
      <w:bookmarkStart w:id="182" w:name="_Toc73518161"/>
      <w:r>
        <w:rPr>
          <w:rFonts w:hint="eastAsia" w:ascii="宋体" w:hAnsi="宋体"/>
          <w:sz w:val="24"/>
        </w:rPr>
        <w:t>46．履约担保</w:t>
      </w:r>
      <w:bookmarkEnd w:id="178"/>
      <w:bookmarkEnd w:id="179"/>
      <w:bookmarkEnd w:id="180"/>
      <w:bookmarkEnd w:id="181"/>
      <w:bookmarkEnd w:id="182"/>
    </w:p>
    <w:p>
      <w:pPr>
        <w:ind w:firstLine="411" w:firstLineChars="196"/>
        <w:rPr>
          <w:rFonts w:ascii="宋体" w:hAnsi="宋体"/>
        </w:rPr>
      </w:pPr>
      <w:r>
        <w:rPr>
          <w:rFonts w:hint="eastAsia" w:ascii="宋体" w:hAnsi="宋体"/>
        </w:rPr>
        <w:t>46.1在签订项目合同的同时，中标人应按“对通用条款的补充内容”中规定的金额向采购人提交履约担保；</w:t>
      </w:r>
    </w:p>
    <w:p>
      <w:pPr>
        <w:ind w:firstLine="411" w:firstLineChars="196"/>
        <w:rPr>
          <w:rFonts w:ascii="宋体" w:hAnsi="宋体"/>
        </w:rPr>
      </w:pPr>
      <w:r>
        <w:rPr>
          <w:rFonts w:hint="eastAsia" w:ascii="宋体" w:hAnsi="宋体"/>
        </w:rPr>
        <w:t>46.2，允许供应商自主选择以支票、汇票、本票、保函等非现金方式提交履约担保；</w:t>
      </w:r>
      <w:r>
        <w:rPr>
          <w:rFonts w:ascii="宋体" w:hAnsi="宋体"/>
        </w:rPr>
        <w:t>中标</w:t>
      </w:r>
      <w:r>
        <w:rPr>
          <w:rFonts w:hint="eastAsia" w:ascii="宋体" w:hAnsi="宋体"/>
        </w:rPr>
        <w:t>人</w:t>
      </w:r>
      <w:r>
        <w:rPr>
          <w:rFonts w:ascii="宋体" w:hAnsi="宋体"/>
        </w:rPr>
        <w:t>提交履约</w:t>
      </w:r>
      <w:r>
        <w:rPr>
          <w:rFonts w:hint="eastAsia" w:ascii="宋体" w:hAnsi="宋体"/>
        </w:rPr>
        <w:t>担保不是</w:t>
      </w:r>
      <w:r>
        <w:rPr>
          <w:rFonts w:ascii="宋体" w:hAnsi="宋体"/>
        </w:rPr>
        <w:t>合同签订的</w:t>
      </w:r>
      <w:r>
        <w:rPr>
          <w:rFonts w:hint="eastAsia" w:ascii="宋体" w:hAnsi="宋体"/>
        </w:rPr>
        <w:t>前提</w:t>
      </w:r>
      <w:r>
        <w:rPr>
          <w:rFonts w:ascii="宋体" w:hAnsi="宋体"/>
        </w:rPr>
        <w:t>条件，不要求中标</w:t>
      </w:r>
      <w:r>
        <w:rPr>
          <w:rFonts w:hint="eastAsia" w:ascii="宋体" w:hAnsi="宋体"/>
        </w:rPr>
        <w:t>人</w:t>
      </w:r>
      <w:r>
        <w:rPr>
          <w:rFonts w:ascii="宋体" w:hAnsi="宋体"/>
        </w:rPr>
        <w:t>提供除法律、法规明确规定外的其他担保</w:t>
      </w:r>
      <w:r>
        <w:rPr>
          <w:rFonts w:hint="eastAsia" w:ascii="宋体" w:hAnsi="宋体"/>
        </w:rPr>
        <w:t>。</w:t>
      </w:r>
    </w:p>
    <w:p>
      <w:pPr>
        <w:rPr>
          <w:rFonts w:ascii="宋体" w:hAnsi="宋体"/>
          <w:sz w:val="24"/>
        </w:rPr>
      </w:pPr>
      <w:r>
        <w:rPr>
          <w:rFonts w:hint="eastAsia" w:ascii="宋体" w:hAnsi="宋体"/>
          <w:sz w:val="24"/>
        </w:rPr>
        <w:t>47. 合同备案</w:t>
      </w:r>
    </w:p>
    <w:p>
      <w:pPr>
        <w:ind w:firstLine="411" w:firstLineChars="196"/>
        <w:rPr>
          <w:rFonts w:ascii="宋体" w:hAnsi="宋体"/>
        </w:rPr>
      </w:pPr>
      <w:r>
        <w:rPr>
          <w:rFonts w:hint="eastAsia" w:ascii="宋体" w:hAnsi="宋体"/>
        </w:rPr>
        <w:t>采购人与中标人应于合同签订之日起十日内，由采购人或委托中标人将采购合同副本抄送合同备案工作实施机构备案。</w:t>
      </w:r>
    </w:p>
    <w:p>
      <w:pPr>
        <w:rPr>
          <w:rFonts w:ascii="宋体" w:hAnsi="宋体"/>
          <w:sz w:val="24"/>
        </w:rPr>
      </w:pPr>
      <w:r>
        <w:rPr>
          <w:rFonts w:hint="eastAsia" w:ascii="宋体" w:hAnsi="宋体"/>
          <w:sz w:val="24"/>
        </w:rPr>
        <w:t>48. 合同变更</w:t>
      </w:r>
    </w:p>
    <w:p>
      <w:pPr>
        <w:ind w:firstLine="411" w:firstLineChars="196"/>
        <w:rPr>
          <w:rFonts w:ascii="宋体" w:hAnsi="宋体"/>
        </w:rPr>
      </w:pPr>
      <w:r>
        <w:rPr>
          <w:rFonts w:hint="eastAsia" w:ascii="宋体" w:hAnsi="宋体"/>
        </w:rPr>
        <w:t>合同变更事宜按财政部门相关规定执行。</w:t>
      </w:r>
    </w:p>
    <w:p>
      <w:pPr>
        <w:rPr>
          <w:rFonts w:ascii="宋体" w:hAnsi="宋体"/>
          <w:sz w:val="24"/>
        </w:rPr>
      </w:pPr>
      <w:r>
        <w:rPr>
          <w:rFonts w:hint="eastAsia" w:ascii="宋体" w:hAnsi="宋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宋体" w:hAnsi="宋体"/>
          <w:sz w:val="24"/>
        </w:rPr>
      </w:pPr>
      <w:r>
        <w:rPr>
          <w:rFonts w:hint="eastAsia" w:ascii="宋体" w:hAnsi="宋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宋体" w:hAnsi="宋体"/>
          <w:sz w:val="24"/>
        </w:rPr>
      </w:pPr>
      <w:r>
        <w:rPr>
          <w:rFonts w:hint="eastAsia" w:ascii="宋体" w:hAnsi="宋体"/>
          <w:sz w:val="24"/>
        </w:rPr>
        <w:t>51. 供应商违法责任</w:t>
      </w:r>
    </w:p>
    <w:p>
      <w:pPr>
        <w:ind w:firstLine="411" w:firstLineChars="196"/>
        <w:rPr>
          <w:rFonts w:ascii="宋体" w:hAnsi="宋体"/>
        </w:rPr>
      </w:pPr>
      <w:r>
        <w:rPr>
          <w:rFonts w:hint="eastAsia" w:ascii="宋体" w:hAnsi="宋体"/>
        </w:rPr>
        <w:t>5</w:t>
      </w:r>
      <w:r>
        <w:rPr>
          <w:rFonts w:ascii="宋体" w:hAnsi="宋体"/>
        </w:rPr>
        <w:t>1.1</w:t>
      </w:r>
      <w:r>
        <w:rPr>
          <w:rFonts w:hint="eastAsia" w:ascii="宋体" w:hAnsi="宋体"/>
        </w:rPr>
        <w:t>供应商在政府采购中，有下列行为之一的，一至三年内禁止其参与本市政府采购，并由主管部门记入供应商诚信档案，处以采购金额千分之十以上千分之二十以下的罚款；情节严重的，取消其参与本地区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rPr>
      </w:pPr>
      <w:r>
        <w:rPr>
          <w:rFonts w:hint="eastAsia" w:ascii="宋体" w:hAnsi="宋体"/>
        </w:rPr>
        <w:t>（1）在采购活动中应当回避而未回避的；</w:t>
      </w:r>
    </w:p>
    <w:p>
      <w:pPr>
        <w:ind w:firstLine="411" w:firstLineChars="196"/>
        <w:rPr>
          <w:rFonts w:ascii="宋体" w:hAnsi="宋体"/>
        </w:rPr>
      </w:pPr>
      <w:r>
        <w:rPr>
          <w:rFonts w:hint="eastAsia" w:ascii="宋体" w:hAnsi="宋体"/>
        </w:rPr>
        <w:t>（2）未按本条例规定签订、履行采购合同，造成严重后果的；</w:t>
      </w:r>
    </w:p>
    <w:p>
      <w:pPr>
        <w:ind w:firstLine="411" w:firstLineChars="196"/>
        <w:rPr>
          <w:rFonts w:ascii="宋体" w:hAnsi="宋体"/>
        </w:rPr>
      </w:pPr>
      <w:r>
        <w:rPr>
          <w:rFonts w:hint="eastAsia" w:ascii="宋体" w:hAnsi="宋体"/>
        </w:rPr>
        <w:t>（3）隐瞒真实情况，提供虚假资料的；</w:t>
      </w:r>
    </w:p>
    <w:p>
      <w:pPr>
        <w:ind w:firstLine="411" w:firstLineChars="196"/>
        <w:rPr>
          <w:rFonts w:ascii="宋体" w:hAnsi="宋体"/>
        </w:rPr>
      </w:pPr>
      <w:r>
        <w:rPr>
          <w:rFonts w:hint="eastAsia" w:ascii="宋体" w:hAnsi="宋体"/>
        </w:rPr>
        <w:t>（4）以非法手段排斥其他供应商参与竞争的；</w:t>
      </w:r>
    </w:p>
    <w:p>
      <w:pPr>
        <w:ind w:firstLine="411" w:firstLineChars="196"/>
        <w:rPr>
          <w:rFonts w:ascii="宋体" w:hAnsi="宋体"/>
        </w:rPr>
      </w:pPr>
      <w:r>
        <w:rPr>
          <w:rFonts w:hint="eastAsia" w:ascii="宋体" w:hAnsi="宋体"/>
        </w:rPr>
        <w:t>（5）与其他采购参加人串通投标的；</w:t>
      </w:r>
    </w:p>
    <w:p>
      <w:pPr>
        <w:ind w:firstLine="411" w:firstLineChars="196"/>
        <w:rPr>
          <w:rFonts w:ascii="宋体" w:hAnsi="宋体"/>
        </w:rPr>
      </w:pPr>
      <w:r>
        <w:rPr>
          <w:rFonts w:hint="eastAsia" w:ascii="宋体" w:hAnsi="宋体"/>
        </w:rPr>
        <w:t>（6）恶意投诉的；</w:t>
      </w:r>
    </w:p>
    <w:p>
      <w:pPr>
        <w:ind w:firstLine="411" w:firstLineChars="196"/>
        <w:rPr>
          <w:rFonts w:ascii="宋体" w:hAnsi="宋体"/>
        </w:rPr>
      </w:pPr>
      <w:r>
        <w:rPr>
          <w:rFonts w:hint="eastAsia" w:ascii="宋体" w:hAnsi="宋体"/>
        </w:rPr>
        <w:t>（7）向采购项目相关人行贿或者提供其他不当利益的；</w:t>
      </w:r>
    </w:p>
    <w:p>
      <w:pPr>
        <w:ind w:firstLine="411" w:firstLineChars="196"/>
        <w:rPr>
          <w:rFonts w:ascii="宋体" w:hAnsi="宋体"/>
        </w:rPr>
      </w:pPr>
      <w:r>
        <w:rPr>
          <w:rFonts w:hint="eastAsia" w:ascii="宋体" w:hAnsi="宋体"/>
        </w:rPr>
        <w:t>（8）阻碍、抗拒主管部门监督检查的；</w:t>
      </w:r>
    </w:p>
    <w:p>
      <w:pPr>
        <w:ind w:firstLine="411" w:firstLineChars="196"/>
        <w:rPr>
          <w:rFonts w:ascii="宋体" w:hAnsi="宋体"/>
        </w:rPr>
      </w:pPr>
      <w:r>
        <w:rPr>
          <w:rFonts w:hint="eastAsia" w:ascii="宋体" w:hAnsi="宋体"/>
        </w:rPr>
        <w:t>（9）其他违反本条例规定的行为。</w:t>
      </w:r>
    </w:p>
    <w:p>
      <w:pPr>
        <w:ind w:firstLine="411" w:firstLineChars="196"/>
        <w:rPr>
          <w:rFonts w:ascii="宋体" w:hAnsi="宋体"/>
        </w:rPr>
      </w:pPr>
      <w:r>
        <w:rPr>
          <w:rFonts w:hint="eastAsia" w:ascii="宋体" w:hAnsi="宋体"/>
        </w:rPr>
        <w:t>5</w:t>
      </w:r>
      <w:r>
        <w:rPr>
          <w:rFonts w:ascii="宋体" w:hAnsi="宋体"/>
        </w:rPr>
        <w:t xml:space="preserve">1.2 </w:t>
      </w:r>
      <w:r>
        <w:rPr>
          <w:rFonts w:hint="eastAsia" w:ascii="宋体" w:hAnsi="宋体"/>
        </w:rPr>
        <w:t>有下述四条所列情形的，</w:t>
      </w:r>
      <w:bookmarkStart w:id="183" w:name="_Hlk72440769"/>
      <w:r>
        <w:rPr>
          <w:rFonts w:hint="eastAsia" w:ascii="宋体" w:hAnsi="宋体"/>
        </w:rPr>
        <w:t>采购人或政府集中采购机构</w:t>
      </w:r>
      <w:bookmarkEnd w:id="183"/>
      <w:r>
        <w:rPr>
          <w:rFonts w:hint="eastAsia" w:ascii="宋体" w:hAnsi="宋体"/>
        </w:rPr>
        <w:t>可将有关情况报同级财政部门，由财政部门根据实际情况记入供应商诚信档案，予以通报：</w:t>
      </w:r>
    </w:p>
    <w:p>
      <w:pPr>
        <w:ind w:firstLine="411" w:firstLineChars="196"/>
        <w:rPr>
          <w:rFonts w:ascii="宋体" w:hAnsi="宋体"/>
        </w:rPr>
      </w:pPr>
      <w:r>
        <w:rPr>
          <w:rFonts w:hint="eastAsia" w:ascii="宋体" w:hAnsi="宋体"/>
        </w:rPr>
        <w:t>（1</w:t>
      </w:r>
      <w:r>
        <w:rPr>
          <w:rFonts w:ascii="宋体" w:hAnsi="宋体"/>
        </w:rPr>
        <w:t>）投标截止后，撤销投标的；</w:t>
      </w:r>
    </w:p>
    <w:p>
      <w:pPr>
        <w:ind w:firstLine="411" w:firstLineChars="196"/>
        <w:rPr>
          <w:rFonts w:ascii="宋体" w:hAnsi="宋体"/>
        </w:rPr>
      </w:pPr>
      <w:r>
        <w:rPr>
          <w:rFonts w:ascii="宋体" w:hAnsi="宋体"/>
        </w:rPr>
        <w:t>（</w:t>
      </w:r>
      <w:r>
        <w:rPr>
          <w:rFonts w:hint="eastAsia" w:ascii="宋体" w:hAnsi="宋体"/>
        </w:rPr>
        <w:t>2</w:t>
      </w:r>
      <w:r>
        <w:rPr>
          <w:rFonts w:ascii="宋体" w:hAnsi="宋体"/>
        </w:rPr>
        <w:t>）中标后无正当理由未在规定期限内签订合同的；</w:t>
      </w:r>
    </w:p>
    <w:p>
      <w:pPr>
        <w:ind w:firstLine="411" w:firstLineChars="196"/>
        <w:rPr>
          <w:rFonts w:ascii="宋体" w:hAnsi="宋体"/>
        </w:rPr>
      </w:pPr>
      <w:r>
        <w:rPr>
          <w:rFonts w:ascii="宋体" w:hAnsi="宋体"/>
        </w:rPr>
        <w:t>（</w:t>
      </w:r>
      <w:r>
        <w:rPr>
          <w:rFonts w:hint="eastAsia" w:ascii="宋体" w:hAnsi="宋体"/>
        </w:rPr>
        <w:t>3</w:t>
      </w:r>
      <w:r>
        <w:rPr>
          <w:rFonts w:ascii="宋体" w:hAnsi="宋体"/>
        </w:rPr>
        <w:t>）将中标项目转让给他人、或者在投标文件中未说明且未经采购人、采购招标机构同意，将中标项目分包给他人的；</w:t>
      </w:r>
    </w:p>
    <w:p>
      <w:pPr>
        <w:ind w:firstLine="411" w:firstLineChars="196"/>
        <w:rPr>
          <w:rFonts w:ascii="宋体" w:hAnsi="宋体"/>
        </w:rPr>
      </w:pPr>
      <w:r>
        <w:rPr>
          <w:rFonts w:ascii="宋体" w:hAnsi="宋体"/>
        </w:rPr>
        <w:t>（</w:t>
      </w:r>
      <w:r>
        <w:rPr>
          <w:rFonts w:hint="eastAsia" w:ascii="宋体" w:hAnsi="宋体"/>
        </w:rPr>
        <w:t>4</w:t>
      </w:r>
      <w:r>
        <w:rPr>
          <w:rFonts w:ascii="宋体" w:hAnsi="宋体"/>
        </w:rPr>
        <w:t>）拒绝履行合同义务的</w:t>
      </w:r>
      <w:r>
        <w:rPr>
          <w:rFonts w:hint="eastAsia" w:ascii="宋体" w:hAnsi="宋体"/>
        </w:rPr>
        <w:t>。</w:t>
      </w:r>
    </w:p>
    <w:bookmarkEnd w:id="167"/>
    <w:p>
      <w:pPr>
        <w:pStyle w:val="5"/>
        <w:tabs>
          <w:tab w:val="left" w:pos="360"/>
        </w:tabs>
        <w:spacing w:before="156" w:beforeLines="50" w:after="156" w:afterLines="50"/>
        <w:ind w:firstLine="2530" w:firstLineChars="900"/>
        <w:jc w:val="both"/>
        <w:rPr>
          <w:rFonts w:ascii="宋体" w:hAnsi="宋体" w:eastAsia="宋体"/>
          <w:sz w:val="28"/>
          <w:szCs w:val="28"/>
        </w:rPr>
      </w:pPr>
      <w:r>
        <w:rPr>
          <w:rFonts w:hint="eastAsia" w:ascii="宋体" w:hAnsi="宋体" w:eastAsia="宋体"/>
          <w:sz w:val="28"/>
          <w:szCs w:val="28"/>
        </w:rPr>
        <w:t>第十一章  质疑处理</w:t>
      </w:r>
    </w:p>
    <w:p>
      <w:pPr>
        <w:rPr>
          <w:rFonts w:ascii="宋体" w:hAnsi="宋体"/>
          <w:sz w:val="24"/>
        </w:rPr>
      </w:pPr>
      <w:bookmarkStart w:id="184" w:name="_Hlk72439706"/>
      <w:r>
        <w:rPr>
          <w:rFonts w:hint="eastAsia" w:ascii="宋体" w:hAnsi="宋体"/>
          <w:sz w:val="24"/>
        </w:rPr>
        <w:t>52.质疑提出与答复</w:t>
      </w:r>
    </w:p>
    <w:p>
      <w:pPr>
        <w:rPr>
          <w:rFonts w:ascii="宋体" w:hAnsi="宋体"/>
        </w:rPr>
      </w:pPr>
      <w:r>
        <w:rPr>
          <w:rFonts w:hint="eastAsia" w:ascii="宋体" w:hAnsi="宋体"/>
        </w:rPr>
        <w:t xml:space="preserve">    52.1提出质疑</w:t>
      </w:r>
    </w:p>
    <w:p>
      <w:pPr>
        <w:rPr>
          <w:rFonts w:ascii="宋体" w:hAnsi="宋体"/>
        </w:rPr>
      </w:pPr>
      <w:r>
        <w:rPr>
          <w:rFonts w:hint="eastAsia" w:ascii="宋体" w:hAnsi="宋体"/>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rPr>
      </w:pPr>
      <w:r>
        <w:rPr>
          <w:rFonts w:hint="eastAsia" w:ascii="宋体" w:hAnsi="宋体"/>
        </w:rPr>
        <w:t xml:space="preserve">    52.2</w:t>
      </w:r>
      <w:r>
        <w:rPr>
          <w:rFonts w:ascii="宋体" w:hAnsi="宋体"/>
        </w:rPr>
        <w:t>法律依据</w:t>
      </w:r>
    </w:p>
    <w:p>
      <w:pPr>
        <w:rPr>
          <w:rFonts w:ascii="宋体" w:hAnsi="宋体"/>
        </w:rPr>
      </w:pPr>
      <w:r>
        <w:rPr>
          <w:rFonts w:hint="eastAsia" w:ascii="宋体" w:hAnsi="宋体"/>
        </w:rPr>
        <w:t xml:space="preserve">    《中华人民共和国政府采购法》、《中华人民共和国政府采购法实施条例》、《政府采购质疑和投诉办法》（财政部令第94号）和其他有关法律法规规定。</w:t>
      </w:r>
    </w:p>
    <w:p>
      <w:pPr>
        <w:rPr>
          <w:rFonts w:ascii="宋体" w:hAnsi="宋体"/>
        </w:rPr>
      </w:pPr>
      <w:r>
        <w:rPr>
          <w:rFonts w:hint="eastAsia" w:ascii="宋体" w:hAnsi="宋体"/>
        </w:rPr>
        <w:t>52.3质疑条件</w:t>
      </w:r>
    </w:p>
    <w:p>
      <w:pPr>
        <w:rPr>
          <w:rFonts w:ascii="宋体" w:hAnsi="宋体"/>
        </w:rPr>
      </w:pPr>
      <w:r>
        <w:rPr>
          <w:rFonts w:hint="eastAsia" w:ascii="宋体" w:hAnsi="宋体"/>
        </w:rPr>
        <w:t xml:space="preserve">    52.3.1提出质疑的供应商应当是参与所质疑项目采购活动的供应商；</w:t>
      </w:r>
      <w:bookmarkStart w:id="185" w:name="_Hlk75374941"/>
      <w:r>
        <w:rPr>
          <w:rFonts w:hint="eastAsia" w:ascii="宋体" w:hAnsi="宋体"/>
        </w:rPr>
        <w:t>以联合体形式参与的，质疑应当由组成联合体的所有成员共同提出</w:t>
      </w:r>
      <w:bookmarkEnd w:id="185"/>
      <w:r>
        <w:rPr>
          <w:rFonts w:hint="eastAsia" w:ascii="宋体" w:hAnsi="宋体"/>
        </w:rPr>
        <w:t>；</w:t>
      </w:r>
    </w:p>
    <w:p>
      <w:pPr>
        <w:rPr>
          <w:rFonts w:ascii="宋体" w:hAnsi="宋体"/>
        </w:rPr>
      </w:pPr>
      <w:r>
        <w:rPr>
          <w:rFonts w:hint="eastAsia" w:ascii="宋体" w:hAnsi="宋体"/>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rPr>
      </w:pPr>
      <w:r>
        <w:rPr>
          <w:rFonts w:hint="eastAsia" w:ascii="宋体" w:hAnsi="宋体"/>
        </w:rPr>
        <w:t>52.3.3应提交书面质疑函，质疑函应当包括以下内容：</w:t>
      </w:r>
    </w:p>
    <w:p>
      <w:pPr>
        <w:ind w:firstLine="420"/>
        <w:rPr>
          <w:rFonts w:ascii="宋体" w:hAnsi="宋体"/>
        </w:rPr>
      </w:pPr>
      <w:r>
        <w:rPr>
          <w:rFonts w:hint="eastAsia" w:ascii="宋体" w:hAnsi="宋体"/>
        </w:rPr>
        <w:t>（1）供应商的名称（或者姓名）、地址、邮编、邮箱、联系人及联系电话；</w:t>
      </w:r>
    </w:p>
    <w:p>
      <w:pPr>
        <w:ind w:firstLine="420" w:firstLineChars="200"/>
        <w:rPr>
          <w:rFonts w:ascii="宋体" w:hAnsi="宋体"/>
        </w:rPr>
      </w:pPr>
      <w:r>
        <w:rPr>
          <w:rFonts w:hint="eastAsia" w:ascii="宋体" w:hAnsi="宋体"/>
        </w:rPr>
        <w:t>（2）质疑项目的名称、编号；</w:t>
      </w:r>
    </w:p>
    <w:p>
      <w:pPr>
        <w:ind w:firstLine="420" w:firstLineChars="200"/>
        <w:rPr>
          <w:rFonts w:ascii="宋体" w:hAnsi="宋体"/>
        </w:rPr>
      </w:pPr>
      <w:r>
        <w:rPr>
          <w:rFonts w:hint="eastAsia" w:ascii="宋体" w:hAnsi="宋体"/>
        </w:rPr>
        <w:t>（3）具体、明确的质疑对象、质疑事项和质疑请求；</w:t>
      </w:r>
    </w:p>
    <w:p>
      <w:pPr>
        <w:ind w:firstLine="420" w:firstLineChars="200"/>
        <w:rPr>
          <w:rFonts w:ascii="宋体" w:hAnsi="宋体"/>
        </w:rPr>
      </w:pPr>
      <w:r>
        <w:rPr>
          <w:rFonts w:hint="eastAsia" w:ascii="宋体" w:hAnsi="宋体"/>
        </w:rPr>
        <w:t>（4）因质疑事项而受损害的权益；</w:t>
      </w:r>
    </w:p>
    <w:p>
      <w:pPr>
        <w:ind w:firstLine="420" w:firstLineChars="200"/>
        <w:rPr>
          <w:rFonts w:ascii="宋体" w:hAnsi="宋体"/>
        </w:rPr>
      </w:pPr>
      <w:r>
        <w:rPr>
          <w:rFonts w:hint="eastAsia" w:ascii="宋体" w:hAnsi="宋体"/>
        </w:rPr>
        <w:t>（5）事实依据；</w:t>
      </w:r>
    </w:p>
    <w:p>
      <w:pPr>
        <w:ind w:firstLine="420" w:firstLineChars="200"/>
        <w:rPr>
          <w:rFonts w:ascii="宋体" w:hAnsi="宋体"/>
        </w:rPr>
      </w:pPr>
      <w:r>
        <w:rPr>
          <w:rFonts w:hint="eastAsia" w:ascii="宋体" w:hAnsi="宋体"/>
        </w:rPr>
        <w:t>（6）必要的法律依据；</w:t>
      </w:r>
    </w:p>
    <w:p>
      <w:pPr>
        <w:ind w:firstLine="420" w:firstLineChars="200"/>
        <w:rPr>
          <w:rFonts w:ascii="宋体" w:hAnsi="宋体"/>
        </w:rPr>
      </w:pPr>
      <w:r>
        <w:rPr>
          <w:rFonts w:hint="eastAsia" w:ascii="宋体" w:hAnsi="宋体"/>
        </w:rPr>
        <w:t>（7）提出质疑的日期。</w:t>
      </w:r>
    </w:p>
    <w:p>
      <w:pPr>
        <w:ind w:firstLine="420" w:firstLineChars="200"/>
        <w:rPr>
          <w:rFonts w:ascii="宋体" w:hAnsi="宋体"/>
        </w:rPr>
      </w:pPr>
      <w:r>
        <w:rPr>
          <w:rFonts w:hint="eastAsia" w:ascii="宋体" w:hAnsi="宋体"/>
        </w:rPr>
        <w:t>供应商为自然人的，应当由本人签字；供应商为法人或者其他组织的，应当由法定代表人（负责人），或者其授权代理人签字或者盖章，并加盖公章。</w:t>
      </w:r>
    </w:p>
    <w:p>
      <w:pPr>
        <w:ind w:firstLine="420" w:firstLineChars="200"/>
        <w:rPr>
          <w:rFonts w:ascii="宋体" w:hAnsi="宋体"/>
        </w:rPr>
      </w:pPr>
      <w:r>
        <w:rPr>
          <w:rFonts w:hint="eastAsia" w:ascii="宋体" w:hAnsi="宋体"/>
        </w:rPr>
        <w:t>52.4提交</w:t>
      </w:r>
      <w:r>
        <w:rPr>
          <w:rFonts w:ascii="宋体" w:hAnsi="宋体"/>
        </w:rPr>
        <w:t>材料</w:t>
      </w:r>
    </w:p>
    <w:p>
      <w:pPr>
        <w:ind w:firstLine="420" w:firstLineChars="200"/>
        <w:rPr>
          <w:rFonts w:ascii="宋体" w:hAnsi="宋体"/>
        </w:rPr>
      </w:pPr>
      <w:r>
        <w:rPr>
          <w:rFonts w:hint="eastAsia" w:ascii="宋体" w:hAnsi="宋体"/>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rPr>
      </w:pPr>
      <w:r>
        <w:rPr>
          <w:rFonts w:hint="eastAsia" w:ascii="宋体" w:hAnsi="宋体"/>
        </w:rPr>
        <w:t>供应商可以委托代理人进行质疑。</w:t>
      </w:r>
      <w:r>
        <w:rPr>
          <w:rFonts w:ascii="宋体" w:hAnsi="宋体"/>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rPr>
      </w:pPr>
      <w:r>
        <w:rPr>
          <w:rFonts w:hint="eastAsia" w:ascii="宋体" w:hAnsi="宋体"/>
        </w:rPr>
        <w:t>52.5提交方式</w:t>
      </w:r>
    </w:p>
    <w:p>
      <w:pPr>
        <w:ind w:firstLine="420" w:firstLineChars="200"/>
        <w:rPr>
          <w:rFonts w:ascii="宋体" w:hAnsi="宋体"/>
          <w:b/>
          <w:bCs/>
        </w:rPr>
      </w:pPr>
      <w:r>
        <w:rPr>
          <w:rFonts w:hint="eastAsia" w:ascii="宋体" w:hAnsi="宋体"/>
        </w:rPr>
        <w:t>5</w:t>
      </w:r>
      <w:r>
        <w:rPr>
          <w:rFonts w:ascii="宋体" w:hAnsi="宋体"/>
        </w:rPr>
        <w:t>2.5.</w:t>
      </w:r>
      <w:r>
        <w:rPr>
          <w:rFonts w:hint="eastAsia" w:ascii="宋体" w:hAnsi="宋体"/>
        </w:rPr>
        <w:t>1请质疑供应商根据附件质疑函范本所发布的质疑指引、质疑函模板填写质疑函并提交书面质疑材料。</w:t>
      </w:r>
      <w:r>
        <w:rPr>
          <w:rFonts w:hint="eastAsia" w:ascii="宋体" w:hAnsi="宋体"/>
          <w:b/>
          <w:bCs/>
        </w:rPr>
        <w:t>地址：新疆库尔勒市索克巴格路州住建大厦14楼政府采购交易科，质疑咨询电话：0996-2035295。</w:t>
      </w:r>
    </w:p>
    <w:p>
      <w:pPr>
        <w:ind w:firstLine="420" w:firstLineChars="200"/>
        <w:rPr>
          <w:rFonts w:ascii="宋体" w:hAnsi="宋体"/>
        </w:rPr>
      </w:pPr>
      <w:r>
        <w:rPr>
          <w:rFonts w:hint="eastAsia" w:ascii="宋体" w:hAnsi="宋体"/>
        </w:rPr>
        <w:t>52.6收文办理</w:t>
      </w:r>
      <w:r>
        <w:rPr>
          <w:rFonts w:ascii="宋体" w:hAnsi="宋体"/>
        </w:rPr>
        <w:t>程序</w:t>
      </w:r>
    </w:p>
    <w:p>
      <w:pPr>
        <w:ind w:firstLine="420" w:firstLineChars="200"/>
        <w:rPr>
          <w:rFonts w:ascii="宋体" w:hAnsi="宋体"/>
        </w:rPr>
      </w:pPr>
      <w:r>
        <w:rPr>
          <w:rFonts w:hint="eastAsia" w:ascii="宋体" w:hAnsi="宋体"/>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宋体" w:hAnsi="宋体"/>
          <w:sz w:val="28"/>
          <w:szCs w:val="28"/>
        </w:rPr>
      </w:pPr>
      <w:r>
        <w:rPr>
          <w:rFonts w:hint="eastAsia" w:ascii="宋体" w:hAnsi="宋体"/>
        </w:rPr>
        <w:t>52.6.2供应商提交的质疑材料不符合质疑条件的，视情况处理：</w:t>
      </w:r>
    </w:p>
    <w:p>
      <w:pPr>
        <w:ind w:firstLine="420" w:firstLineChars="200"/>
        <w:rPr>
          <w:rFonts w:ascii="宋体" w:hAnsi="宋体"/>
        </w:rPr>
      </w:pPr>
      <w:r>
        <w:rPr>
          <w:rFonts w:hint="eastAsia" w:ascii="宋体" w:hAnsi="宋体"/>
        </w:rPr>
        <w:t>供应商提交的质疑材料不全或者未按要求签字或者盖章的，政府集中采购机构应当一次性告知供应商需补正的内容和补正期限。</w:t>
      </w:r>
    </w:p>
    <w:p>
      <w:pPr>
        <w:ind w:firstLine="420" w:firstLineChars="200"/>
        <w:rPr>
          <w:rFonts w:ascii="宋体" w:hAnsi="宋体"/>
        </w:rPr>
      </w:pPr>
      <w:r>
        <w:rPr>
          <w:rFonts w:hint="eastAsia" w:ascii="宋体" w:hAnsi="宋体"/>
        </w:rPr>
        <w:t>供应商提交的质疑存在下列情形之一的，不予受理：</w:t>
      </w:r>
    </w:p>
    <w:p>
      <w:pPr>
        <w:ind w:firstLine="420" w:firstLineChars="200"/>
        <w:rPr>
          <w:rFonts w:ascii="宋体" w:hAnsi="宋体"/>
        </w:rPr>
      </w:pPr>
      <w:r>
        <w:rPr>
          <w:rFonts w:hint="eastAsia" w:ascii="宋体" w:hAnsi="宋体"/>
        </w:rPr>
        <w:t>（1）质疑主体不满足要求的；</w:t>
      </w:r>
    </w:p>
    <w:p>
      <w:pPr>
        <w:ind w:firstLine="420" w:firstLineChars="200"/>
        <w:rPr>
          <w:rFonts w:ascii="宋体" w:hAnsi="宋体"/>
        </w:rPr>
      </w:pPr>
      <w:r>
        <w:rPr>
          <w:rFonts w:hint="eastAsia" w:ascii="宋体" w:hAnsi="宋体"/>
        </w:rPr>
        <w:t>（2）供应商自身权益未受到损害的；</w:t>
      </w:r>
    </w:p>
    <w:p>
      <w:pPr>
        <w:ind w:firstLine="420" w:firstLineChars="200"/>
        <w:rPr>
          <w:rFonts w:ascii="宋体" w:hAnsi="宋体"/>
        </w:rPr>
      </w:pPr>
      <w:r>
        <w:rPr>
          <w:rFonts w:hint="eastAsia" w:ascii="宋体" w:hAnsi="宋体"/>
        </w:rPr>
        <w:t>（3）供应商未在法定质疑期限内提出质疑的；</w:t>
      </w:r>
    </w:p>
    <w:p>
      <w:pPr>
        <w:ind w:firstLine="420" w:firstLineChars="200"/>
        <w:rPr>
          <w:rFonts w:ascii="宋体" w:hAnsi="宋体"/>
        </w:rPr>
      </w:pPr>
      <w:r>
        <w:rPr>
          <w:rFonts w:hint="eastAsia" w:ascii="宋体" w:hAnsi="宋体"/>
        </w:rPr>
        <w:t>（4）质疑材料不全或者未按要求签字或者盖章的情况下，要求补正后，逾期未补正或者补正后仍不符合规定的；</w:t>
      </w:r>
    </w:p>
    <w:p>
      <w:pPr>
        <w:ind w:firstLine="420" w:firstLineChars="200"/>
        <w:rPr>
          <w:rFonts w:ascii="宋体" w:hAnsi="宋体"/>
        </w:rPr>
      </w:pPr>
      <w:r>
        <w:rPr>
          <w:rFonts w:hint="eastAsia" w:ascii="宋体" w:hAnsi="宋体"/>
        </w:rPr>
        <w:t>（5）其他不符合受理条件情形的。</w:t>
      </w:r>
    </w:p>
    <w:p>
      <w:pPr>
        <w:ind w:firstLine="420" w:firstLineChars="200"/>
        <w:rPr>
          <w:rFonts w:ascii="宋体" w:hAnsi="宋体"/>
        </w:rPr>
      </w:pPr>
      <w:r>
        <w:rPr>
          <w:rFonts w:hint="eastAsia" w:ascii="宋体" w:hAnsi="宋体"/>
        </w:rPr>
        <w:t>质疑事项不予受理的，政府集中采购机构应当向供应商出具不符合质疑条件告知书。</w:t>
      </w:r>
    </w:p>
    <w:p>
      <w:pPr>
        <w:rPr>
          <w:rFonts w:ascii="宋体" w:hAnsi="宋体"/>
        </w:rPr>
      </w:pPr>
      <w:r>
        <w:rPr>
          <w:rFonts w:hint="eastAsia" w:ascii="宋体" w:hAnsi="宋体"/>
        </w:rPr>
        <w:t xml:space="preserve">  52.7质疑答复时限</w:t>
      </w:r>
    </w:p>
    <w:p>
      <w:pPr>
        <w:rPr>
          <w:rFonts w:ascii="宋体" w:hAnsi="宋体"/>
        </w:rPr>
      </w:pPr>
      <w:r>
        <w:rPr>
          <w:rFonts w:hint="eastAsia" w:ascii="宋体" w:hAnsi="宋体"/>
        </w:rPr>
        <w:t xml:space="preserve">    自收文之日起七个工作日内。</w:t>
      </w:r>
    </w:p>
    <w:p>
      <w:pPr>
        <w:rPr>
          <w:rFonts w:ascii="宋体" w:hAnsi="宋体"/>
        </w:rPr>
      </w:pPr>
      <w:r>
        <w:rPr>
          <w:rFonts w:hint="eastAsia" w:ascii="宋体" w:hAnsi="宋体"/>
        </w:rPr>
        <w:t xml:space="preserve">    52.8投诉</w:t>
      </w:r>
    </w:p>
    <w:p>
      <w:pPr>
        <w:rPr>
          <w:rFonts w:ascii="宋体" w:hAnsi="宋体"/>
        </w:rPr>
      </w:pPr>
      <w:r>
        <w:rPr>
          <w:rFonts w:hint="eastAsia" w:ascii="宋体" w:hAnsi="宋体"/>
        </w:rPr>
        <w:t xml:space="preserve">    对质疑答复不满意或者未在规定时间内答复的，提出质疑的供应商可以在答复期满后15个工作日内向同级财政部门投诉。</w:t>
      </w:r>
    </w:p>
    <w:p>
      <w:pPr>
        <w:rPr>
          <w:rFonts w:ascii="宋体" w:hAnsi="宋体"/>
          <w:sz w:val="24"/>
        </w:rPr>
      </w:pPr>
      <w:r>
        <w:rPr>
          <w:rFonts w:hint="eastAsia" w:ascii="宋体" w:hAnsi="宋体"/>
          <w:sz w:val="24"/>
        </w:rPr>
        <w:t>53. 质疑后续处理</w:t>
      </w:r>
    </w:p>
    <w:p>
      <w:pPr>
        <w:rPr>
          <w:rFonts w:ascii="宋体" w:hAnsi="宋体"/>
        </w:rPr>
      </w:pPr>
      <w:r>
        <w:rPr>
          <w:rFonts w:hint="eastAsia" w:ascii="宋体" w:hAnsi="宋体"/>
        </w:rPr>
        <w:t xml:space="preserve">    53.1供应商质疑不成立，或者成立但未对中标、成交结果构成影响的，继续开展采购活动。</w:t>
      </w:r>
    </w:p>
    <w:p>
      <w:pPr>
        <w:rPr>
          <w:rFonts w:ascii="宋体" w:hAnsi="宋体"/>
        </w:rPr>
      </w:pPr>
      <w:r>
        <w:rPr>
          <w:rFonts w:hint="eastAsia" w:ascii="宋体" w:hAnsi="宋体"/>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bookmarkEnd w:id="184"/>
    <w:p>
      <w:pPr>
        <w:rPr>
          <w:rFonts w:ascii="宋体" w:hAnsi="宋体"/>
        </w:rPr>
      </w:pPr>
    </w:p>
    <w:p>
      <w:pPr>
        <w:rPr>
          <w:rFonts w:ascii="宋体" w:hAnsi="宋体"/>
          <w:b/>
          <w:bCs/>
          <w:kern w:val="0"/>
          <w:sz w:val="28"/>
          <w:szCs w:val="28"/>
        </w:rPr>
      </w:pPr>
    </w:p>
    <w:p>
      <w:pPr>
        <w:rPr>
          <w:rFonts w:ascii="宋体" w:hAnsi="宋体" w:cs="方正黑体_GBK"/>
          <w:b/>
          <w:bCs/>
          <w:sz w:val="30"/>
          <w:szCs w:val="30"/>
        </w:rPr>
      </w:pPr>
    </w:p>
    <w:p>
      <w:pPr>
        <w:jc w:val="center"/>
        <w:rPr>
          <w:rFonts w:ascii="宋体" w:hAnsi="宋体" w:cs="方正黑体_GBK"/>
          <w:b/>
          <w:bCs/>
          <w:sz w:val="30"/>
          <w:szCs w:val="30"/>
        </w:rPr>
      </w:pPr>
      <w:r>
        <w:rPr>
          <w:rFonts w:hint="eastAsia" w:ascii="宋体" w:hAnsi="宋体" w:cs="方正黑体_GBK"/>
          <w:b/>
          <w:bCs/>
          <w:sz w:val="30"/>
          <w:szCs w:val="30"/>
        </w:rPr>
        <w:t>质疑函范本</w:t>
      </w:r>
    </w:p>
    <w:p>
      <w:pPr>
        <w:adjustRightInd w:val="0"/>
        <w:snapToGrid w:val="0"/>
        <w:spacing w:before="312" w:beforeLines="100" w:line="360" w:lineRule="auto"/>
        <w:rPr>
          <w:rFonts w:ascii="宋体" w:hAnsi="宋体" w:cs="宋体"/>
          <w:spacing w:val="-4"/>
          <w:kern w:val="0"/>
        </w:rPr>
      </w:pPr>
      <w:r>
        <w:rPr>
          <w:rFonts w:hint="eastAsia" w:ascii="宋体" w:hAnsi="宋体" w:cs="宋体"/>
          <w:spacing w:val="-4"/>
          <w:kern w:val="0"/>
        </w:rPr>
        <w:t>一、质疑供应商基本信息</w:t>
      </w:r>
    </w:p>
    <w:p>
      <w:pPr>
        <w:adjustRightInd w:val="0"/>
        <w:snapToGrid w:val="0"/>
        <w:spacing w:line="360" w:lineRule="auto"/>
        <w:rPr>
          <w:rFonts w:ascii="宋体" w:hAnsi="宋体" w:cs="宋体"/>
          <w:spacing w:val="-4"/>
          <w:kern w:val="0"/>
        </w:rPr>
      </w:pPr>
      <w:r>
        <w:rPr>
          <w:rFonts w:hint="eastAsia" w:ascii="宋体" w:hAnsi="宋体" w:cs="宋体"/>
          <w:spacing w:val="-4"/>
          <w:kern w:val="0"/>
        </w:rPr>
        <w:t>质疑供应商：</w:t>
      </w:r>
    </w:p>
    <w:p>
      <w:pPr>
        <w:adjustRightInd w:val="0"/>
        <w:snapToGrid w:val="0"/>
        <w:spacing w:line="360" w:lineRule="auto"/>
        <w:rPr>
          <w:rFonts w:ascii="宋体" w:hAnsi="宋体" w:cs="宋体"/>
          <w:spacing w:val="-4"/>
          <w:kern w:val="0"/>
        </w:rPr>
      </w:pPr>
      <w:r>
        <w:rPr>
          <w:rFonts w:hint="eastAsia" w:ascii="宋体" w:hAnsi="宋体" w:cs="宋体"/>
          <w:spacing w:val="-4"/>
          <w:kern w:val="0"/>
        </w:rPr>
        <w:t xml:space="preserve">地址：                             邮编：                                    </w:t>
      </w:r>
    </w:p>
    <w:p>
      <w:pPr>
        <w:adjustRightInd w:val="0"/>
        <w:snapToGrid w:val="0"/>
        <w:spacing w:line="360" w:lineRule="auto"/>
        <w:rPr>
          <w:rFonts w:ascii="宋体" w:hAnsi="宋体" w:cs="宋体"/>
          <w:spacing w:val="-4"/>
          <w:kern w:val="0"/>
        </w:rPr>
      </w:pPr>
      <w:r>
        <w:rPr>
          <w:rFonts w:hint="eastAsia" w:ascii="宋体" w:hAnsi="宋体" w:cs="宋体"/>
          <w:spacing w:val="-4"/>
          <w:kern w:val="0"/>
        </w:rPr>
        <w:t xml:space="preserve">联系人：                           联系电话：                                       </w:t>
      </w:r>
    </w:p>
    <w:p>
      <w:pPr>
        <w:adjustRightInd w:val="0"/>
        <w:snapToGrid w:val="0"/>
        <w:spacing w:line="360" w:lineRule="auto"/>
        <w:rPr>
          <w:rFonts w:ascii="宋体" w:hAnsi="宋体" w:cs="宋体"/>
          <w:spacing w:val="-4"/>
          <w:kern w:val="0"/>
        </w:rPr>
      </w:pPr>
      <w:r>
        <w:rPr>
          <w:rFonts w:hint="eastAsia" w:ascii="宋体" w:hAnsi="宋体" w:cs="宋体"/>
          <w:spacing w:val="-4"/>
          <w:kern w:val="0"/>
        </w:rPr>
        <w:t>授权代表：</w:t>
      </w:r>
    </w:p>
    <w:p>
      <w:pPr>
        <w:adjustRightInd w:val="0"/>
        <w:snapToGrid w:val="0"/>
        <w:spacing w:line="360" w:lineRule="auto"/>
        <w:rPr>
          <w:rFonts w:ascii="宋体" w:hAnsi="宋体" w:cs="宋体"/>
          <w:spacing w:val="-4"/>
          <w:kern w:val="0"/>
        </w:rPr>
      </w:pPr>
      <w:r>
        <w:rPr>
          <w:rFonts w:hint="eastAsia" w:ascii="宋体" w:hAnsi="宋体" w:cs="宋体"/>
          <w:spacing w:val="-4"/>
          <w:kern w:val="0"/>
        </w:rPr>
        <w:t>联系电话：</w:t>
      </w:r>
    </w:p>
    <w:p>
      <w:pPr>
        <w:adjustRightInd w:val="0"/>
        <w:snapToGrid w:val="0"/>
        <w:spacing w:line="360" w:lineRule="auto"/>
        <w:rPr>
          <w:rFonts w:ascii="宋体" w:hAnsi="宋体" w:cs="宋体"/>
          <w:spacing w:val="-4"/>
          <w:kern w:val="0"/>
        </w:rPr>
      </w:pPr>
      <w:r>
        <w:rPr>
          <w:rFonts w:hint="eastAsia" w:ascii="宋体" w:hAnsi="宋体" w:cs="宋体"/>
          <w:spacing w:val="-4"/>
          <w:kern w:val="0"/>
        </w:rPr>
        <w:t xml:space="preserve">地址：                              邮编：                                     </w:t>
      </w:r>
    </w:p>
    <w:p>
      <w:pPr>
        <w:adjustRightInd w:val="0"/>
        <w:snapToGrid w:val="0"/>
        <w:spacing w:line="360" w:lineRule="auto"/>
        <w:rPr>
          <w:rFonts w:ascii="宋体" w:hAnsi="宋体" w:cs="宋体"/>
          <w:spacing w:val="-4"/>
          <w:kern w:val="0"/>
        </w:rPr>
      </w:pPr>
      <w:r>
        <w:rPr>
          <w:rFonts w:hint="eastAsia" w:ascii="宋体" w:hAnsi="宋体" w:cs="宋体"/>
          <w:spacing w:val="-4"/>
          <w:kern w:val="0"/>
        </w:rPr>
        <w:t>二、质疑项目基本情况</w:t>
      </w:r>
    </w:p>
    <w:p>
      <w:pPr>
        <w:adjustRightInd w:val="0"/>
        <w:snapToGrid w:val="0"/>
        <w:spacing w:line="360" w:lineRule="auto"/>
        <w:rPr>
          <w:rFonts w:ascii="宋体" w:hAnsi="宋体" w:cs="宋体"/>
          <w:spacing w:val="-4"/>
          <w:kern w:val="0"/>
        </w:rPr>
      </w:pPr>
      <w:r>
        <w:rPr>
          <w:rFonts w:hint="eastAsia" w:ascii="宋体" w:hAnsi="宋体" w:cs="宋体"/>
          <w:spacing w:val="-4"/>
          <w:kern w:val="0"/>
        </w:rPr>
        <w:t>质疑项目的名称：</w:t>
      </w:r>
    </w:p>
    <w:p>
      <w:pPr>
        <w:adjustRightInd w:val="0"/>
        <w:snapToGrid w:val="0"/>
        <w:spacing w:line="360" w:lineRule="auto"/>
        <w:rPr>
          <w:rFonts w:ascii="宋体" w:hAnsi="宋体" w:cs="宋体"/>
          <w:spacing w:val="-4"/>
          <w:kern w:val="0"/>
        </w:rPr>
      </w:pPr>
      <w:r>
        <w:rPr>
          <w:rFonts w:hint="eastAsia" w:ascii="宋体" w:hAnsi="宋体" w:cs="宋体"/>
          <w:spacing w:val="-4"/>
          <w:kern w:val="0"/>
        </w:rPr>
        <w:t xml:space="preserve">质疑项目的编号：                         包号：                           </w:t>
      </w:r>
    </w:p>
    <w:p>
      <w:pPr>
        <w:adjustRightInd w:val="0"/>
        <w:snapToGrid w:val="0"/>
        <w:spacing w:line="360" w:lineRule="auto"/>
        <w:rPr>
          <w:rFonts w:ascii="宋体" w:hAnsi="宋体" w:cs="宋体"/>
          <w:spacing w:val="-4"/>
          <w:kern w:val="0"/>
        </w:rPr>
      </w:pPr>
      <w:r>
        <w:rPr>
          <w:rFonts w:hint="eastAsia" w:ascii="宋体" w:hAnsi="宋体" w:cs="宋体"/>
          <w:spacing w:val="-4"/>
          <w:kern w:val="0"/>
        </w:rPr>
        <w:t>采购人名称：</w:t>
      </w:r>
    </w:p>
    <w:p>
      <w:pPr>
        <w:adjustRightInd w:val="0"/>
        <w:snapToGrid w:val="0"/>
        <w:spacing w:line="360" w:lineRule="auto"/>
        <w:rPr>
          <w:rFonts w:ascii="宋体" w:hAnsi="宋体" w:cs="宋体"/>
          <w:spacing w:val="-4"/>
          <w:kern w:val="0"/>
        </w:rPr>
      </w:pPr>
      <w:r>
        <w:rPr>
          <w:rFonts w:hint="eastAsia" w:ascii="宋体" w:hAnsi="宋体" w:cs="宋体"/>
          <w:spacing w:val="-4"/>
          <w:kern w:val="0"/>
        </w:rPr>
        <w:t>采购文件获取日期：</w:t>
      </w:r>
    </w:p>
    <w:p>
      <w:pPr>
        <w:adjustRightInd w:val="0"/>
        <w:snapToGrid w:val="0"/>
        <w:spacing w:line="360" w:lineRule="auto"/>
        <w:rPr>
          <w:rFonts w:ascii="宋体" w:hAnsi="宋体" w:cs="宋体"/>
          <w:spacing w:val="-4"/>
          <w:kern w:val="0"/>
        </w:rPr>
      </w:pPr>
      <w:r>
        <w:rPr>
          <w:rFonts w:hint="eastAsia" w:ascii="宋体" w:hAnsi="宋体" w:cs="宋体"/>
          <w:spacing w:val="-4"/>
          <w:kern w:val="0"/>
        </w:rPr>
        <w:t>三、质疑事项具体内容</w:t>
      </w:r>
    </w:p>
    <w:p>
      <w:pPr>
        <w:adjustRightInd w:val="0"/>
        <w:snapToGrid w:val="0"/>
        <w:spacing w:line="360" w:lineRule="auto"/>
        <w:rPr>
          <w:rFonts w:ascii="宋体" w:hAnsi="宋体" w:cs="宋体"/>
          <w:spacing w:val="-4"/>
          <w:kern w:val="0"/>
        </w:rPr>
      </w:pPr>
      <w:r>
        <w:rPr>
          <w:rFonts w:hint="eastAsia" w:ascii="宋体" w:hAnsi="宋体" w:cs="宋体"/>
          <w:spacing w:val="-4"/>
          <w:kern w:val="0"/>
        </w:rPr>
        <w:t>质疑事项1：</w:t>
      </w:r>
    </w:p>
    <w:p>
      <w:pPr>
        <w:adjustRightInd w:val="0"/>
        <w:snapToGrid w:val="0"/>
        <w:spacing w:line="360" w:lineRule="auto"/>
        <w:rPr>
          <w:rFonts w:ascii="宋体" w:hAnsi="宋体" w:cs="宋体"/>
          <w:spacing w:val="-4"/>
          <w:kern w:val="0"/>
        </w:rPr>
      </w:pPr>
      <w:r>
        <w:rPr>
          <w:rFonts w:hint="eastAsia" w:ascii="宋体" w:hAnsi="宋体" w:cs="宋体"/>
          <w:spacing w:val="-4"/>
          <w:kern w:val="0"/>
        </w:rPr>
        <w:t>事实依据：</w:t>
      </w:r>
    </w:p>
    <w:p>
      <w:pPr>
        <w:adjustRightInd w:val="0"/>
        <w:snapToGrid w:val="0"/>
        <w:spacing w:line="360" w:lineRule="auto"/>
        <w:rPr>
          <w:rFonts w:ascii="宋体" w:hAnsi="宋体" w:cs="宋体"/>
          <w:spacing w:val="-4"/>
          <w:kern w:val="0"/>
        </w:rPr>
      </w:pPr>
      <w:r>
        <w:rPr>
          <w:rFonts w:hint="eastAsia" w:ascii="宋体" w:hAnsi="宋体" w:cs="宋体"/>
          <w:spacing w:val="-4"/>
          <w:kern w:val="0"/>
        </w:rPr>
        <w:t>法律依据：</w:t>
      </w:r>
    </w:p>
    <w:p>
      <w:pPr>
        <w:adjustRightInd w:val="0"/>
        <w:snapToGrid w:val="0"/>
        <w:spacing w:line="360" w:lineRule="auto"/>
        <w:rPr>
          <w:rFonts w:ascii="宋体" w:hAnsi="宋体" w:cs="宋体"/>
          <w:spacing w:val="-4"/>
          <w:kern w:val="0"/>
        </w:rPr>
      </w:pPr>
      <w:r>
        <w:rPr>
          <w:rFonts w:hint="eastAsia" w:ascii="宋体" w:hAnsi="宋体" w:cs="宋体"/>
          <w:spacing w:val="-4"/>
          <w:kern w:val="0"/>
        </w:rPr>
        <w:t>质疑事项2</w:t>
      </w:r>
    </w:p>
    <w:p>
      <w:pPr>
        <w:adjustRightInd w:val="0"/>
        <w:snapToGrid w:val="0"/>
        <w:spacing w:line="360" w:lineRule="auto"/>
        <w:rPr>
          <w:rFonts w:ascii="宋体" w:hAnsi="宋体" w:cs="宋体"/>
          <w:spacing w:val="-4"/>
          <w:kern w:val="0"/>
        </w:rPr>
      </w:pPr>
      <w:r>
        <w:rPr>
          <w:rFonts w:hint="eastAsia" w:ascii="宋体" w:hAnsi="宋体" w:cs="宋体"/>
          <w:spacing w:val="-4"/>
          <w:kern w:val="0"/>
        </w:rPr>
        <w:t>……</w:t>
      </w:r>
    </w:p>
    <w:p>
      <w:pPr>
        <w:adjustRightInd w:val="0"/>
        <w:snapToGrid w:val="0"/>
        <w:spacing w:line="360" w:lineRule="auto"/>
        <w:rPr>
          <w:rFonts w:ascii="宋体" w:hAnsi="宋体" w:cs="宋体"/>
          <w:spacing w:val="-4"/>
          <w:kern w:val="0"/>
        </w:rPr>
      </w:pPr>
      <w:r>
        <w:rPr>
          <w:rFonts w:hint="eastAsia" w:ascii="宋体" w:hAnsi="宋体" w:cs="宋体"/>
          <w:spacing w:val="-4"/>
          <w:kern w:val="0"/>
        </w:rPr>
        <w:t>四、与质疑事项相关的质疑请求</w:t>
      </w:r>
    </w:p>
    <w:p>
      <w:pPr>
        <w:adjustRightInd w:val="0"/>
        <w:snapToGrid w:val="0"/>
        <w:spacing w:line="360" w:lineRule="auto"/>
        <w:rPr>
          <w:rFonts w:ascii="宋体" w:hAnsi="宋体" w:cs="宋体"/>
          <w:spacing w:val="-4"/>
          <w:kern w:val="0"/>
        </w:rPr>
      </w:pPr>
      <w:r>
        <w:rPr>
          <w:rFonts w:hint="eastAsia" w:ascii="宋体" w:hAnsi="宋体" w:cs="宋体"/>
          <w:spacing w:val="-4"/>
          <w:kern w:val="0"/>
        </w:rPr>
        <w:t>请求：</w:t>
      </w:r>
    </w:p>
    <w:p>
      <w:pPr>
        <w:rPr>
          <w:rFonts w:ascii="宋体" w:hAnsi="宋体" w:cs="宋体"/>
          <w:spacing w:val="-4"/>
          <w:kern w:val="0"/>
        </w:rPr>
      </w:pPr>
      <w:r>
        <w:rPr>
          <w:rFonts w:hint="eastAsia" w:ascii="宋体" w:hAnsi="宋体" w:cs="宋体"/>
          <w:spacing w:val="-4"/>
          <w:kern w:val="0"/>
        </w:rPr>
        <w:t xml:space="preserve">签字(签章)：                   公章：                      </w:t>
      </w:r>
    </w:p>
    <w:p>
      <w:pPr>
        <w:rPr>
          <w:rFonts w:ascii="宋体" w:hAnsi="宋体" w:cs="宋体"/>
          <w:spacing w:val="-4"/>
          <w:kern w:val="0"/>
        </w:rPr>
      </w:pPr>
      <w:r>
        <w:rPr>
          <w:rFonts w:hint="eastAsia" w:ascii="宋体" w:hAnsi="宋体" w:cs="宋体"/>
          <w:spacing w:val="-4"/>
          <w:kern w:val="0"/>
        </w:rPr>
        <w:t xml:space="preserve">日期：    </w:t>
      </w:r>
    </w:p>
    <w:p>
      <w:pPr>
        <w:spacing w:line="400" w:lineRule="exact"/>
        <w:rPr>
          <w:rFonts w:ascii="宋体" w:hAnsi="宋体" w:cs="宋体"/>
          <w:spacing w:val="-4"/>
          <w:kern w:val="0"/>
        </w:rPr>
      </w:pPr>
    </w:p>
    <w:p>
      <w:pPr>
        <w:spacing w:line="400" w:lineRule="exact"/>
        <w:rPr>
          <w:rFonts w:ascii="宋体" w:hAnsi="宋体" w:cs="宋体"/>
          <w:b/>
          <w:bCs/>
          <w:spacing w:val="-4"/>
          <w:kern w:val="0"/>
        </w:rPr>
      </w:pPr>
      <w:r>
        <w:rPr>
          <w:rFonts w:hint="eastAsia" w:ascii="宋体" w:hAnsi="宋体" w:cs="宋体"/>
          <w:b/>
          <w:bCs/>
          <w:spacing w:val="-4"/>
          <w:kern w:val="0"/>
        </w:rPr>
        <w:t>质疑函制作说明：</w:t>
      </w:r>
    </w:p>
    <w:p>
      <w:pPr>
        <w:widowControl/>
        <w:spacing w:line="400" w:lineRule="exact"/>
        <w:ind w:firstLine="404" w:firstLineChars="200"/>
        <w:jc w:val="left"/>
        <w:rPr>
          <w:rFonts w:ascii="宋体" w:hAnsi="宋体" w:cs="宋体"/>
          <w:spacing w:val="-4"/>
          <w:kern w:val="0"/>
        </w:rPr>
      </w:pPr>
      <w:r>
        <w:rPr>
          <w:rFonts w:hint="eastAsia" w:ascii="宋体" w:hAnsi="宋体" w:cs="宋体"/>
          <w:spacing w:val="-4"/>
          <w:kern w:val="0"/>
        </w:rPr>
        <w:t>1.供应商提出质疑时，应提交质疑函和必要的证明材料。</w:t>
      </w:r>
    </w:p>
    <w:p>
      <w:pPr>
        <w:widowControl/>
        <w:spacing w:line="400" w:lineRule="exact"/>
        <w:ind w:firstLine="404" w:firstLineChars="200"/>
        <w:jc w:val="left"/>
        <w:rPr>
          <w:rFonts w:ascii="宋体" w:hAnsi="宋体" w:cs="宋体"/>
          <w:spacing w:val="-4"/>
          <w:kern w:val="0"/>
        </w:rPr>
      </w:pPr>
      <w:r>
        <w:rPr>
          <w:rFonts w:hint="eastAsia" w:ascii="宋体" w:hAnsi="宋体" w:cs="宋体"/>
          <w:spacing w:val="-4"/>
          <w:kern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400" w:lineRule="exact"/>
        <w:ind w:firstLine="404" w:firstLineChars="200"/>
        <w:jc w:val="left"/>
        <w:rPr>
          <w:rFonts w:ascii="宋体" w:hAnsi="宋体" w:cs="宋体"/>
          <w:spacing w:val="-4"/>
          <w:kern w:val="0"/>
        </w:rPr>
      </w:pPr>
      <w:r>
        <w:rPr>
          <w:rFonts w:hint="eastAsia" w:ascii="宋体" w:hAnsi="宋体" w:cs="宋体"/>
          <w:spacing w:val="-4"/>
          <w:kern w:val="0"/>
        </w:rPr>
        <w:t>3.质疑供应商若对项目的某一分包进行质疑，质疑函中应列明具体分包号。</w:t>
      </w:r>
    </w:p>
    <w:p>
      <w:pPr>
        <w:widowControl/>
        <w:spacing w:line="400" w:lineRule="exact"/>
        <w:ind w:firstLine="404" w:firstLineChars="200"/>
        <w:jc w:val="left"/>
        <w:rPr>
          <w:rFonts w:ascii="宋体" w:hAnsi="宋体" w:cs="宋体"/>
          <w:spacing w:val="-4"/>
          <w:kern w:val="0"/>
        </w:rPr>
      </w:pPr>
      <w:r>
        <w:rPr>
          <w:rFonts w:hint="eastAsia" w:ascii="宋体" w:hAnsi="宋体" w:cs="宋体"/>
          <w:spacing w:val="-4"/>
          <w:kern w:val="0"/>
        </w:rPr>
        <w:t>4.质疑函的质疑事项应具体、明确，并有必要的事实依据和法律依据。</w:t>
      </w:r>
    </w:p>
    <w:p>
      <w:pPr>
        <w:widowControl/>
        <w:spacing w:line="400" w:lineRule="exact"/>
        <w:ind w:firstLine="404" w:firstLineChars="200"/>
        <w:jc w:val="left"/>
        <w:rPr>
          <w:rFonts w:ascii="宋体" w:hAnsi="宋体" w:cs="宋体"/>
          <w:spacing w:val="-4"/>
          <w:kern w:val="0"/>
        </w:rPr>
      </w:pPr>
      <w:r>
        <w:rPr>
          <w:rFonts w:hint="eastAsia" w:ascii="宋体" w:hAnsi="宋体" w:cs="宋体"/>
          <w:spacing w:val="-4"/>
          <w:kern w:val="0"/>
        </w:rPr>
        <w:t>5.质疑函的质疑请求应与质疑事项相关。</w:t>
      </w:r>
    </w:p>
    <w:p>
      <w:pPr>
        <w:widowControl/>
        <w:spacing w:line="400" w:lineRule="exact"/>
        <w:ind w:firstLine="404" w:firstLineChars="200"/>
        <w:jc w:val="left"/>
        <w:rPr>
          <w:rFonts w:ascii="宋体" w:hAnsi="宋体" w:cs="宋体"/>
          <w:spacing w:val="-4"/>
          <w:kern w:val="0"/>
        </w:rPr>
      </w:pPr>
      <w:r>
        <w:rPr>
          <w:rFonts w:hint="eastAsia" w:ascii="宋体" w:hAnsi="宋体" w:cs="宋体"/>
          <w:spacing w:val="-4"/>
          <w:kern w:val="0"/>
        </w:rPr>
        <w:t>6.质疑供应商为自然人的，质疑函应由本人签字；质疑供应商为法人或者其他组织的，质疑函应由法定代表人、主要负责人，或者其授权代表签字或者盖章，并加盖公章。</w:t>
      </w:r>
    </w:p>
    <w:p>
      <w:pPr>
        <w:widowControl/>
        <w:spacing w:line="400" w:lineRule="exact"/>
        <w:ind w:firstLine="404" w:firstLineChars="200"/>
        <w:jc w:val="left"/>
        <w:rPr>
          <w:rFonts w:ascii="宋体" w:hAnsi="宋体" w:cs="宋体"/>
          <w:spacing w:val="-4"/>
          <w:kern w:val="0"/>
        </w:rPr>
      </w:pPr>
      <w:r>
        <w:rPr>
          <w:rFonts w:hint="eastAsia" w:ascii="宋体" w:hAnsi="宋体" w:cs="宋体"/>
          <w:spacing w:val="-4"/>
          <w:kern w:val="0"/>
        </w:rPr>
        <w:t>7.质疑函份数要求：一式三份。</w:t>
      </w:r>
    </w:p>
    <w:p>
      <w:pPr>
        <w:ind w:firstLine="2650" w:firstLineChars="600"/>
        <w:rPr>
          <w:rFonts w:ascii="宋体" w:hAnsi="宋体" w:cs="Arial"/>
          <w:b/>
          <w:bCs/>
          <w:sz w:val="44"/>
          <w:szCs w:val="44"/>
        </w:rPr>
      </w:pPr>
    </w:p>
    <w:p>
      <w:pPr>
        <w:ind w:firstLine="2650" w:firstLineChars="600"/>
        <w:rPr>
          <w:rFonts w:ascii="宋体" w:hAnsi="宋体" w:cs="Arial"/>
          <w:b/>
          <w:bCs/>
          <w:sz w:val="44"/>
          <w:szCs w:val="44"/>
        </w:rPr>
      </w:pPr>
    </w:p>
    <w:p>
      <w:pPr>
        <w:ind w:firstLine="2650" w:firstLineChars="600"/>
        <w:rPr>
          <w:rFonts w:ascii="宋体" w:hAnsi="宋体" w:cs="Arial"/>
          <w:b/>
          <w:bCs/>
          <w:sz w:val="44"/>
          <w:szCs w:val="44"/>
        </w:rPr>
      </w:pPr>
    </w:p>
    <w:p>
      <w:pPr>
        <w:jc w:val="center"/>
        <w:rPr>
          <w:rFonts w:ascii="宋体" w:hAnsi="宋体"/>
        </w:rPr>
      </w:pPr>
      <w:r>
        <w:rPr>
          <w:rFonts w:ascii="宋体" w:hAnsi="宋体"/>
        </w:rPr>
        <w:t>---- END ----</w:t>
      </w:r>
    </w:p>
    <w:p>
      <w:pPr>
        <w:rPr>
          <w:rFonts w:ascii="宋体" w:hAnsi="宋体" w:cs="Arial"/>
          <w:b/>
          <w:bCs/>
          <w:sz w:val="44"/>
          <w:szCs w:val="44"/>
        </w:rPr>
        <w:sectPr>
          <w:headerReference r:id="rId11" w:type="default"/>
          <w:footerReference r:id="rId12" w:type="default"/>
          <w:pgSz w:w="11906" w:h="16838"/>
          <w:pgMar w:top="1440" w:right="1800" w:bottom="1440" w:left="1800" w:header="851" w:footer="992" w:gutter="0"/>
          <w:cols w:space="720" w:num="1"/>
          <w:docGrid w:type="lines" w:linePitch="312" w:charSpace="0"/>
        </w:sectPr>
      </w:pPr>
    </w:p>
    <w:bookmarkEnd w:id="4"/>
    <w:bookmarkEnd w:id="5"/>
    <w:bookmarkEnd w:id="6"/>
    <w:bookmarkEnd w:id="7"/>
    <w:bookmarkEnd w:id="8"/>
    <w:p>
      <w:pPr>
        <w:tabs>
          <w:tab w:val="left" w:pos="2556"/>
        </w:tabs>
        <w:ind w:firstLine="5040" w:firstLineChars="1400"/>
        <w:rPr>
          <w:rFonts w:ascii="宋体" w:hAnsi="宋体" w:cs="方正黑体_GBK"/>
          <w:sz w:val="36"/>
          <w:szCs w:val="36"/>
        </w:rPr>
      </w:pPr>
      <w:bookmarkStart w:id="186" w:name="_Toc462564139"/>
      <w:bookmarkStart w:id="187" w:name="_Toc120614281"/>
      <w:bookmarkStart w:id="188" w:name="_Toc479757211"/>
      <w:bookmarkStart w:id="189" w:name="_Toc49090575"/>
      <w:bookmarkStart w:id="190" w:name="_Toc26554093"/>
      <w:r>
        <w:rPr>
          <w:rFonts w:hint="eastAsia" w:ascii="宋体" w:hAnsi="宋体" w:cs="方正黑体_GBK"/>
          <w:sz w:val="36"/>
          <w:szCs w:val="36"/>
        </w:rPr>
        <w:t>项目采购前期现场踏勘记录表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057"/>
        <w:gridCol w:w="1508"/>
        <w:gridCol w:w="3052"/>
        <w:gridCol w:w="1812"/>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44" w:type="dxa"/>
            <w:vAlign w:val="center"/>
          </w:tcPr>
          <w:p>
            <w:pPr>
              <w:jc w:val="center"/>
              <w:rPr>
                <w:rFonts w:ascii="宋体" w:hAnsi="宋体" w:cs="宋体"/>
              </w:rPr>
            </w:pPr>
            <w:r>
              <w:rPr>
                <w:rFonts w:hint="eastAsia" w:ascii="宋体" w:hAnsi="宋体" w:cs="宋体"/>
              </w:rPr>
              <w:t>项目名称</w:t>
            </w:r>
          </w:p>
        </w:tc>
        <w:tc>
          <w:tcPr>
            <w:tcW w:w="5617" w:type="dxa"/>
            <w:gridSpan w:val="3"/>
            <w:vAlign w:val="center"/>
          </w:tcPr>
          <w:p>
            <w:pPr>
              <w:jc w:val="center"/>
              <w:rPr>
                <w:rFonts w:ascii="宋体" w:hAnsi="宋体" w:cs="宋体"/>
              </w:rPr>
            </w:pPr>
          </w:p>
        </w:tc>
        <w:tc>
          <w:tcPr>
            <w:tcW w:w="1812" w:type="dxa"/>
            <w:vAlign w:val="center"/>
          </w:tcPr>
          <w:p>
            <w:pPr>
              <w:jc w:val="center"/>
              <w:rPr>
                <w:rFonts w:ascii="宋体" w:hAnsi="宋体" w:cs="宋体"/>
              </w:rPr>
            </w:pPr>
            <w:r>
              <w:rPr>
                <w:rFonts w:hint="eastAsia" w:ascii="宋体" w:hAnsi="宋体" w:cs="宋体"/>
              </w:rPr>
              <w:t>采购单位</w:t>
            </w:r>
          </w:p>
        </w:tc>
        <w:tc>
          <w:tcPr>
            <w:tcW w:w="536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44" w:type="dxa"/>
            <w:vAlign w:val="center"/>
          </w:tcPr>
          <w:p>
            <w:pPr>
              <w:jc w:val="center"/>
              <w:rPr>
                <w:rFonts w:ascii="宋体" w:hAnsi="宋体" w:cs="宋体"/>
              </w:rPr>
            </w:pPr>
            <w:r>
              <w:rPr>
                <w:rFonts w:hint="eastAsia" w:ascii="宋体" w:hAnsi="宋体" w:cs="宋体"/>
              </w:rPr>
              <w:t>勘察日期</w:t>
            </w:r>
          </w:p>
        </w:tc>
        <w:tc>
          <w:tcPr>
            <w:tcW w:w="5617" w:type="dxa"/>
            <w:gridSpan w:val="3"/>
            <w:vAlign w:val="center"/>
          </w:tcPr>
          <w:p>
            <w:pPr>
              <w:jc w:val="center"/>
              <w:rPr>
                <w:rFonts w:ascii="宋体" w:hAnsi="宋体" w:cs="宋体"/>
              </w:rPr>
            </w:pPr>
          </w:p>
        </w:tc>
        <w:tc>
          <w:tcPr>
            <w:tcW w:w="1812" w:type="dxa"/>
            <w:vAlign w:val="center"/>
          </w:tcPr>
          <w:p>
            <w:pPr>
              <w:jc w:val="center"/>
              <w:rPr>
                <w:rFonts w:ascii="宋体" w:hAnsi="宋体" w:cs="宋体"/>
              </w:rPr>
            </w:pPr>
            <w:r>
              <w:rPr>
                <w:rFonts w:hint="eastAsia" w:ascii="宋体" w:hAnsi="宋体" w:cs="宋体"/>
              </w:rPr>
              <w:t>工程地点</w:t>
            </w:r>
          </w:p>
        </w:tc>
        <w:tc>
          <w:tcPr>
            <w:tcW w:w="536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44" w:type="dxa"/>
            <w:vAlign w:val="center"/>
          </w:tcPr>
          <w:p>
            <w:pPr>
              <w:jc w:val="center"/>
              <w:rPr>
                <w:rFonts w:ascii="宋体" w:hAnsi="宋体" w:cs="宋体"/>
              </w:rPr>
            </w:pPr>
            <w:r>
              <w:rPr>
                <w:rFonts w:hint="eastAsia" w:ascii="宋体" w:hAnsi="宋体" w:cs="宋体"/>
              </w:rPr>
              <w:t>踏勘供应商</w:t>
            </w:r>
          </w:p>
        </w:tc>
        <w:tc>
          <w:tcPr>
            <w:tcW w:w="5617" w:type="dxa"/>
            <w:gridSpan w:val="3"/>
            <w:vAlign w:val="center"/>
          </w:tcPr>
          <w:p>
            <w:pPr>
              <w:jc w:val="center"/>
              <w:rPr>
                <w:rFonts w:ascii="宋体" w:hAnsi="宋体" w:cs="宋体"/>
              </w:rPr>
            </w:pPr>
          </w:p>
        </w:tc>
        <w:tc>
          <w:tcPr>
            <w:tcW w:w="1812" w:type="dxa"/>
            <w:vAlign w:val="center"/>
          </w:tcPr>
          <w:p>
            <w:pPr>
              <w:jc w:val="center"/>
              <w:rPr>
                <w:rFonts w:ascii="宋体" w:hAnsi="宋体" w:cs="宋体"/>
              </w:rPr>
            </w:pPr>
            <w:r>
              <w:rPr>
                <w:rFonts w:hint="eastAsia" w:ascii="宋体" w:hAnsi="宋体" w:cs="宋体"/>
              </w:rPr>
              <w:t>联系人、联系电话</w:t>
            </w:r>
          </w:p>
        </w:tc>
        <w:tc>
          <w:tcPr>
            <w:tcW w:w="5365"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44" w:type="dxa"/>
            <w:vMerge w:val="restart"/>
            <w:vAlign w:val="center"/>
          </w:tcPr>
          <w:p>
            <w:pPr>
              <w:jc w:val="center"/>
              <w:rPr>
                <w:rFonts w:ascii="宋体" w:hAnsi="宋体" w:cs="宋体"/>
              </w:rPr>
            </w:pPr>
            <w:r>
              <w:rPr>
                <w:rFonts w:hint="eastAsia" w:ascii="宋体" w:hAnsi="宋体" w:cs="宋体"/>
              </w:rPr>
              <w:t>现场踏勘</w:t>
            </w:r>
          </w:p>
          <w:p>
            <w:pPr>
              <w:jc w:val="center"/>
              <w:rPr>
                <w:rFonts w:ascii="宋体" w:hAnsi="宋体" w:cs="宋体"/>
              </w:rPr>
            </w:pPr>
            <w:r>
              <w:rPr>
                <w:rFonts w:hint="eastAsia" w:ascii="宋体" w:hAnsi="宋体" w:cs="宋体"/>
              </w:rPr>
              <w:t>提交资料</w:t>
            </w:r>
          </w:p>
        </w:tc>
        <w:tc>
          <w:tcPr>
            <w:tcW w:w="2565" w:type="dxa"/>
            <w:gridSpan w:val="2"/>
            <w:vAlign w:val="center"/>
          </w:tcPr>
          <w:p>
            <w:pPr>
              <w:jc w:val="center"/>
              <w:rPr>
                <w:rFonts w:ascii="宋体" w:hAnsi="宋体" w:cs="宋体"/>
              </w:rPr>
            </w:pPr>
            <w:r>
              <w:rPr>
                <w:rFonts w:hint="eastAsia" w:ascii="宋体" w:hAnsi="宋体" w:cs="宋体"/>
              </w:rPr>
              <w:t>授权委托书原件（盖公章）</w:t>
            </w:r>
          </w:p>
        </w:tc>
        <w:tc>
          <w:tcPr>
            <w:tcW w:w="10229" w:type="dxa"/>
            <w:gridSpan w:val="3"/>
            <w:vAlign w:val="center"/>
          </w:tcPr>
          <w:p>
            <w:pPr>
              <w:jc w:val="center"/>
              <w:rPr>
                <w:rFonts w:ascii="宋体" w:hAnsi="宋体" w:cs="宋体"/>
              </w:rPr>
            </w:pPr>
            <w:r>
              <w:rPr>
                <w:rFonts w:hint="eastAsia" w:ascii="宋体" w:hAnsi="宋体" w:cs="宋体"/>
              </w:rPr>
              <w:sym w:font="Wingdings" w:char="00A8"/>
            </w:r>
            <w:r>
              <w:rPr>
                <w:rFonts w:hint="eastAsia" w:ascii="宋体" w:hAnsi="宋体" w:cs="宋体"/>
              </w:rPr>
              <w:t xml:space="preserve">符合  </w:t>
            </w:r>
            <w:r>
              <w:rPr>
                <w:rFonts w:hint="eastAsia" w:ascii="宋体" w:hAnsi="宋体" w:cs="宋体"/>
              </w:rPr>
              <w:sym w:font="Wingdings" w:char="00A8"/>
            </w:r>
            <w:r>
              <w:rPr>
                <w:rFonts w:hint="eastAsia" w:ascii="宋体" w:hAnsi="宋体" w:cs="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4" w:type="dxa"/>
            <w:vMerge w:val="continue"/>
            <w:vAlign w:val="center"/>
          </w:tcPr>
          <w:p>
            <w:pPr>
              <w:jc w:val="center"/>
              <w:rPr>
                <w:rFonts w:ascii="宋体" w:hAnsi="宋体" w:cs="宋体"/>
              </w:rPr>
            </w:pPr>
          </w:p>
        </w:tc>
        <w:tc>
          <w:tcPr>
            <w:tcW w:w="2565" w:type="dxa"/>
            <w:gridSpan w:val="2"/>
            <w:vAlign w:val="center"/>
          </w:tcPr>
          <w:p>
            <w:pPr>
              <w:jc w:val="center"/>
              <w:rPr>
                <w:rFonts w:ascii="宋体" w:hAnsi="宋体" w:cs="宋体"/>
              </w:rPr>
            </w:pPr>
            <w:r>
              <w:rPr>
                <w:rFonts w:hint="eastAsia" w:ascii="宋体" w:hAnsi="宋体" w:cs="宋体"/>
              </w:rPr>
              <w:t>本人身份证原件</w:t>
            </w:r>
          </w:p>
        </w:tc>
        <w:tc>
          <w:tcPr>
            <w:tcW w:w="10229" w:type="dxa"/>
            <w:gridSpan w:val="3"/>
            <w:vAlign w:val="center"/>
          </w:tcPr>
          <w:p>
            <w:pPr>
              <w:jc w:val="center"/>
              <w:rPr>
                <w:rFonts w:ascii="宋体" w:hAnsi="宋体" w:cs="宋体"/>
              </w:rPr>
            </w:pPr>
            <w:r>
              <w:rPr>
                <w:rFonts w:hint="eastAsia" w:ascii="宋体" w:hAnsi="宋体" w:cs="宋体"/>
              </w:rPr>
              <w:sym w:font="Wingdings" w:char="00A8"/>
            </w:r>
            <w:r>
              <w:rPr>
                <w:rFonts w:hint="eastAsia" w:ascii="宋体" w:hAnsi="宋体" w:cs="宋体"/>
              </w:rPr>
              <w:t xml:space="preserve">符合  </w:t>
            </w:r>
            <w:r>
              <w:rPr>
                <w:rFonts w:hint="eastAsia" w:ascii="宋体" w:hAnsi="宋体" w:cs="宋体"/>
              </w:rPr>
              <w:sym w:font="Wingdings" w:char="00A8"/>
            </w:r>
            <w:r>
              <w:rPr>
                <w:rFonts w:hint="eastAsia" w:ascii="宋体" w:hAnsi="宋体" w:cs="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61" w:type="dxa"/>
            <w:gridSpan w:val="4"/>
            <w:vAlign w:val="center"/>
          </w:tcPr>
          <w:p>
            <w:pPr>
              <w:jc w:val="center"/>
              <w:rPr>
                <w:rFonts w:ascii="宋体" w:hAnsi="宋体" w:cs="宋体"/>
              </w:rPr>
            </w:pPr>
            <w:r>
              <w:rPr>
                <w:rFonts w:hint="eastAsia" w:ascii="宋体" w:hAnsi="宋体" w:cs="宋体"/>
              </w:rPr>
              <w:t>确认勘察内容</w:t>
            </w:r>
          </w:p>
        </w:tc>
        <w:tc>
          <w:tcPr>
            <w:tcW w:w="7177" w:type="dxa"/>
            <w:gridSpan w:val="2"/>
            <w:vAlign w:val="center"/>
          </w:tcPr>
          <w:p>
            <w:pPr>
              <w:jc w:val="center"/>
              <w:rPr>
                <w:rFonts w:ascii="宋体" w:hAnsi="宋体" w:cs="宋体"/>
              </w:rPr>
            </w:pPr>
            <w:r>
              <w:rPr>
                <w:rFonts w:hint="eastAsia" w:ascii="宋体" w:hAnsi="宋体" w:cs="宋体"/>
              </w:rPr>
              <w:t>确认情况</w:t>
            </w:r>
          </w:p>
          <w:p>
            <w:pPr>
              <w:jc w:val="center"/>
              <w:rPr>
                <w:rFonts w:ascii="宋体" w:hAnsi="宋体" w:cs="宋体"/>
              </w:rPr>
            </w:pPr>
            <w:r>
              <w:rPr>
                <w:rFonts w:hint="eastAsia" w:ascii="宋体" w:hAnsi="宋体" w:cs="宋体"/>
              </w:rPr>
              <w:t>如“否”请说明情况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pPr>
              <w:jc w:val="left"/>
              <w:rPr>
                <w:rFonts w:ascii="宋体" w:hAnsi="宋体" w:cs="宋体"/>
              </w:rPr>
            </w:pPr>
            <w:r>
              <w:rPr>
                <w:rFonts w:hint="eastAsia" w:ascii="宋体" w:hAnsi="宋体" w:cs="宋体"/>
              </w:rPr>
              <w:t>1、</w:t>
            </w:r>
          </w:p>
        </w:tc>
        <w:tc>
          <w:tcPr>
            <w:tcW w:w="7177" w:type="dxa"/>
            <w:gridSpan w:val="2"/>
            <w:vAlign w:val="center"/>
          </w:tcPr>
          <w:p>
            <w:pPr>
              <w:ind w:firstLine="420" w:firstLineChars="200"/>
              <w:jc w:val="left"/>
              <w:rPr>
                <w:rFonts w:ascii="宋体" w:hAnsi="宋体" w:cs="宋体"/>
              </w:rPr>
            </w:pPr>
            <w:r>
              <w:rPr>
                <w:rFonts w:hint="eastAsia" w:ascii="宋体" w:hAnsi="宋体" w:cs="宋体"/>
              </w:rPr>
              <w:sym w:font="Wingdings" w:char="00A8"/>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pPr>
              <w:jc w:val="left"/>
              <w:rPr>
                <w:rFonts w:ascii="宋体" w:hAnsi="宋体"/>
              </w:rPr>
            </w:pPr>
            <w:r>
              <w:rPr>
                <w:rFonts w:hint="eastAsia" w:ascii="宋体" w:hAnsi="宋体" w:cs="宋体"/>
              </w:rPr>
              <w:t>2、</w:t>
            </w:r>
          </w:p>
        </w:tc>
        <w:tc>
          <w:tcPr>
            <w:tcW w:w="7177" w:type="dxa"/>
            <w:gridSpan w:val="2"/>
            <w:vAlign w:val="center"/>
          </w:tcPr>
          <w:p>
            <w:pPr>
              <w:ind w:firstLine="420" w:firstLineChars="200"/>
              <w:jc w:val="left"/>
              <w:rPr>
                <w:rFonts w:ascii="宋体" w:hAnsi="宋体" w:cs="宋体"/>
              </w:rPr>
            </w:pPr>
            <w:r>
              <w:rPr>
                <w:rFonts w:hint="eastAsia" w:ascii="宋体" w:hAnsi="宋体" w:cs="宋体"/>
              </w:rPr>
              <w:sym w:font="Wingdings" w:char="00A8"/>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pPr>
              <w:jc w:val="left"/>
              <w:rPr>
                <w:rFonts w:ascii="宋体" w:hAnsi="宋体" w:cs="宋体"/>
              </w:rPr>
            </w:pPr>
            <w:r>
              <w:rPr>
                <w:rFonts w:hint="eastAsia" w:ascii="宋体" w:hAnsi="宋体" w:cs="宋体"/>
              </w:rPr>
              <w:t>3、</w:t>
            </w:r>
          </w:p>
        </w:tc>
        <w:tc>
          <w:tcPr>
            <w:tcW w:w="7177" w:type="dxa"/>
            <w:gridSpan w:val="2"/>
            <w:vAlign w:val="center"/>
          </w:tcPr>
          <w:p>
            <w:pPr>
              <w:ind w:firstLine="420" w:firstLineChars="200"/>
              <w:jc w:val="left"/>
              <w:rPr>
                <w:rFonts w:ascii="宋体" w:hAnsi="宋体" w:cs="宋体"/>
              </w:rPr>
            </w:pPr>
            <w:r>
              <w:rPr>
                <w:rFonts w:hint="eastAsia" w:ascii="宋体" w:hAnsi="宋体" w:cs="宋体"/>
              </w:rPr>
              <w:sym w:font="Wingdings" w:char="00A8"/>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pPr>
              <w:jc w:val="left"/>
              <w:rPr>
                <w:rFonts w:ascii="宋体" w:hAnsi="宋体" w:cs="宋体"/>
              </w:rPr>
            </w:pPr>
            <w:r>
              <w:rPr>
                <w:rFonts w:hint="eastAsia" w:ascii="宋体" w:hAnsi="宋体" w:cs="宋体"/>
              </w:rPr>
              <w:t>4、</w:t>
            </w:r>
          </w:p>
        </w:tc>
        <w:tc>
          <w:tcPr>
            <w:tcW w:w="7177" w:type="dxa"/>
            <w:gridSpan w:val="2"/>
            <w:vAlign w:val="center"/>
          </w:tcPr>
          <w:p>
            <w:pPr>
              <w:ind w:firstLine="420" w:firstLineChars="200"/>
              <w:jc w:val="left"/>
              <w:rPr>
                <w:rFonts w:ascii="宋体" w:hAnsi="宋体" w:cs="宋体"/>
              </w:rPr>
            </w:pPr>
            <w:r>
              <w:rPr>
                <w:rFonts w:hint="eastAsia" w:ascii="宋体" w:hAnsi="宋体" w:cs="宋体"/>
              </w:rPr>
              <w:sym w:font="Wingdings" w:char="00A8"/>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61" w:type="dxa"/>
            <w:gridSpan w:val="4"/>
            <w:vAlign w:val="center"/>
          </w:tcPr>
          <w:p>
            <w:pPr>
              <w:jc w:val="left"/>
              <w:rPr>
                <w:rFonts w:ascii="宋体" w:hAnsi="宋体" w:cs="宋体"/>
              </w:rPr>
            </w:pPr>
            <w:r>
              <w:rPr>
                <w:rFonts w:hint="eastAsia" w:ascii="宋体" w:hAnsi="宋体" w:cs="宋体"/>
              </w:rPr>
              <w:t>5、</w:t>
            </w:r>
          </w:p>
        </w:tc>
        <w:tc>
          <w:tcPr>
            <w:tcW w:w="7177" w:type="dxa"/>
            <w:gridSpan w:val="2"/>
            <w:vAlign w:val="center"/>
          </w:tcPr>
          <w:p>
            <w:pPr>
              <w:ind w:firstLine="420" w:firstLineChars="200"/>
              <w:jc w:val="left"/>
              <w:rPr>
                <w:rFonts w:ascii="宋体" w:hAnsi="宋体" w:cs="宋体"/>
              </w:rPr>
            </w:pPr>
            <w:r>
              <w:rPr>
                <w:rFonts w:hint="eastAsia" w:ascii="宋体" w:hAnsi="宋体" w:cs="宋体"/>
              </w:rPr>
              <w:sym w:font="Wingdings" w:char="00A8"/>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601" w:type="dxa"/>
            <w:gridSpan w:val="2"/>
            <w:vAlign w:val="center"/>
          </w:tcPr>
          <w:p>
            <w:pPr>
              <w:jc w:val="center"/>
              <w:rPr>
                <w:rFonts w:ascii="宋体" w:hAnsi="宋体" w:cs="宋体"/>
              </w:rPr>
            </w:pPr>
            <w:r>
              <w:rPr>
                <w:rFonts w:hint="eastAsia" w:ascii="宋体" w:hAnsi="宋体" w:cs="宋体"/>
              </w:rPr>
              <w:t>其他需要补充说明的情况</w:t>
            </w:r>
          </w:p>
        </w:tc>
        <w:tc>
          <w:tcPr>
            <w:tcW w:w="11737" w:type="dxa"/>
            <w:gridSpan w:val="4"/>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544" w:type="dxa"/>
            <w:vAlign w:val="center"/>
          </w:tcPr>
          <w:p>
            <w:pPr>
              <w:jc w:val="center"/>
              <w:rPr>
                <w:rFonts w:ascii="宋体" w:hAnsi="宋体" w:cs="宋体"/>
              </w:rPr>
            </w:pPr>
            <w:r>
              <w:rPr>
                <w:rFonts w:hint="eastAsia" w:ascii="宋体" w:hAnsi="宋体" w:cs="宋体"/>
              </w:rPr>
              <w:t>采购单位确认（盖章）</w:t>
            </w:r>
          </w:p>
        </w:tc>
        <w:tc>
          <w:tcPr>
            <w:tcW w:w="5617" w:type="dxa"/>
            <w:gridSpan w:val="3"/>
            <w:vAlign w:val="bottom"/>
          </w:tcPr>
          <w:p>
            <w:pPr>
              <w:jc w:val="right"/>
              <w:rPr>
                <w:rFonts w:ascii="宋体" w:hAnsi="宋体" w:cs="宋体"/>
              </w:rPr>
            </w:pPr>
            <w:r>
              <w:rPr>
                <w:rFonts w:hint="eastAsia" w:ascii="宋体" w:hAnsi="宋体" w:cs="宋体"/>
              </w:rPr>
              <w:t>年  月  日</w:t>
            </w:r>
          </w:p>
        </w:tc>
        <w:tc>
          <w:tcPr>
            <w:tcW w:w="1812" w:type="dxa"/>
            <w:vAlign w:val="center"/>
          </w:tcPr>
          <w:p>
            <w:pPr>
              <w:jc w:val="center"/>
              <w:rPr>
                <w:rFonts w:ascii="宋体" w:hAnsi="宋体" w:cs="宋体"/>
              </w:rPr>
            </w:pPr>
            <w:r>
              <w:rPr>
                <w:rFonts w:hint="eastAsia" w:ascii="宋体" w:hAnsi="宋体" w:cs="宋体"/>
              </w:rPr>
              <w:t>踏勘供应商签字确认</w:t>
            </w:r>
          </w:p>
        </w:tc>
        <w:tc>
          <w:tcPr>
            <w:tcW w:w="5365" w:type="dxa"/>
            <w:vAlign w:val="bottom"/>
          </w:tcPr>
          <w:p>
            <w:pPr>
              <w:jc w:val="right"/>
              <w:rPr>
                <w:rFonts w:ascii="宋体" w:hAnsi="宋体" w:cs="宋体"/>
              </w:rPr>
            </w:pPr>
            <w:r>
              <w:rPr>
                <w:rFonts w:hint="eastAsia" w:ascii="宋体" w:hAnsi="宋体" w:cs="宋体"/>
              </w:rPr>
              <w:t>年  月  日</w:t>
            </w:r>
          </w:p>
        </w:tc>
      </w:tr>
    </w:tbl>
    <w:p>
      <w:pPr>
        <w:jc w:val="left"/>
        <w:rPr>
          <w:rFonts w:ascii="宋体" w:hAnsi="宋体"/>
        </w:rPr>
      </w:pPr>
      <w:r>
        <w:rPr>
          <w:rFonts w:hint="eastAsia" w:ascii="宋体" w:hAnsi="宋体" w:cs="宋体"/>
          <w:sz w:val="24"/>
          <w:szCs w:val="24"/>
        </w:rPr>
        <w:t>注：本表一式两份，采购单位与踏勘供应商各持一份。</w:t>
      </w:r>
      <w:bookmarkEnd w:id="186"/>
      <w:bookmarkEnd w:id="187"/>
      <w:bookmarkEnd w:id="188"/>
      <w:bookmarkEnd w:id="189"/>
      <w:bookmarkEnd w:id="19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40"/>
        <w:tab w:val="right" w:pos="8300"/>
      </w:tabs>
      <w:jc w:val="center"/>
    </w:pPr>
    <w:r>
      <w:fldChar w:fldCharType="begin"/>
    </w:r>
    <w:r>
      <w:instrText xml:space="preserve"> PAGE   \* MERGEFORMAT </w:instrText>
    </w:r>
    <w:r>
      <w:fldChar w:fldCharType="separate"/>
    </w:r>
    <w:r>
      <w:rPr>
        <w:lang w:val="zh-CN"/>
      </w:rPr>
      <w:t>147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fldChar w:fldCharType="begin"/>
                          </w:r>
                          <w:r>
                            <w:instrText xml:space="preserve"> PAGE   \* MERGEFORMAT </w:instrText>
                          </w:r>
                          <w:r>
                            <w:fldChar w:fldCharType="separate"/>
                          </w:r>
                          <w:r>
                            <w:rPr>
                              <w:lang w:val="zh-CN"/>
                            </w:rPr>
                            <w:t>145</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37w1sQBAACQAwAADgAAAGRycy9lMm9Eb2MueG1srVPNjtMwEL4j8Q6W&#10;79RpV0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h37w1sQBAACQAwAADgAAAAAAAAABACAAAAAeAQAAZHJzL2Uyb0RvYy54bWxQ&#10;SwUGAAAAAAYABgBZAQAAVAU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lang w:val="zh-CN"/>
                      </w:rPr>
                      <w:t>145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fldChar w:fldCharType="begin"/>
                          </w:r>
                          <w:r>
                            <w:instrText xml:space="preserve"> PAGE   \* MERGEFORMAT </w:instrText>
                          </w:r>
                          <w:r>
                            <w:fldChar w:fldCharType="separate"/>
                          </w:r>
                          <w:r>
                            <w:rPr>
                              <w:lang w:val="zh-CN"/>
                            </w:rPr>
                            <w:t>39</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Jf2MMBAACR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TEcYsTv3z/dvnx6/LzK1lW&#10;L19lifoANWbeBcxNw1s/YPrsB3Rm5oOKNn+RE8E4op2vAsshEZEfrVfrdYUhgbH5gvjs4XmIkN5J&#10;b0k2GhpxgkVYfvoAaUydU3I152+1MWWKxv3lQMzsYbn3scdspWE/TIT2vj0jnx6H31CHu06Jee9Q&#10;W+wvzUacjf1k5BoQ3hwTFi79ZNQRaiqGkyqMpq3Kq/DnvWQ9/E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wkl/YwwEAAJEDAAAOAAAAAAAAAAEAIAAAAB4BAABkcnMvZTJvRG9jLnhtbFBL&#10;BQYAAAAABgAGAFkBAABT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lang w:val="zh-CN"/>
                      </w:rP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rPr>
                              <w:lang w:val="zh-CN"/>
                            </w:rPr>
                            <w:t>152</w:t>
                          </w:r>
                          <w:r>
                            <w:fldChar w:fldCharType="end"/>
                          </w:r>
                        </w:p>
                      </w:txbxContent>
                    </wps:txbx>
                    <wps:bodyPr vert="horz" wrap="none" lIns="0" tIns="0" rIns="0" bIns="0" anchor="t" anchorCtr="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A5VQjdAQAAxAMAAA4AAAAAAAAA&#10;AQAgAAAAHgEAAGRycy9lMm9Eb2MueG1sUEsFBgAAAAAGAAYAWQEAAG0FA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lang w:val="zh-CN"/>
                      </w:rPr>
                      <w:t>152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t>18</w:t>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cVsQBAACR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q9fLLFEfoMbMh4C5abjzA6bPfkBnZj6oaPMXORGMo8Dnq8BySETkR+vVel1hSGBsviA+e3weIqS3&#10;0luSjYZGnGARlp/eQxpT55Rczfl7bUyZonF/ORAze1jufewxW2nYDxOhvW/PyKfH4TfU4a5TYt45&#10;1DbvyWzE2dhPRq4B4faYsHDpJ6OOUFMxnFRhNG1VXoU/7yXr8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r+cVsQBAACRAwAADgAAAAAAAAABACAAAAAeAQAAZHJzL2Uyb0RvYy54bWxQ&#10;SwUGAAAAAAYABgBZAQAAVAUAAAAA&#10;">
              <v:fill on="f" focussize="0,0"/>
              <v:stroke on="f"/>
              <v:imagedata o:title=""/>
              <o:lock v:ext="edit" aspectratio="f"/>
              <v:textbox inset="0mm,0mm,0mm,0mm" style="mso-fit-shape-to-text:t;">
                <w:txbxContent>
                  <w:p>
                    <w:r>
                      <w:t>18</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double" w:color="auto" w:sz="8" w:space="1"/>
      </w:pBdr>
      <w:ind w:left="0" w:firstLine="0"/>
      <w:rPr>
        <w:color w:val="000000"/>
      </w:rPr>
    </w:pPr>
    <w:r>
      <w:rPr>
        <w:rFonts w:hint="eastAsia"/>
        <w:color w:val="000000"/>
        <w:sz w:val="21"/>
        <w:szCs w:val="21"/>
      </w:rPr>
      <w:t>巴州政务服务和公共资源交易中心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double" w:color="auto" w:sz="8" w:space="1"/>
      </w:pBdr>
    </w:pPr>
    <w:r>
      <w:rPr>
        <w:rFonts w:hint="eastAsia"/>
        <w:sz w:val="21"/>
        <w:szCs w:val="21"/>
      </w:rPr>
      <w:t>巴州政务服务和公共资源交易中心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double" w:color="auto" w:sz="8" w:space="1"/>
      </w:pBdr>
      <w:ind w:left="0" w:firstLine="0"/>
      <w:rPr>
        <w:color w:val="auto"/>
      </w:rPr>
    </w:pPr>
    <w:r>
      <w:rPr>
        <w:rFonts w:hint="eastAsia"/>
        <w:color w:val="auto"/>
        <w:sz w:val="21"/>
        <w:szCs w:val="21"/>
      </w:rPr>
      <w:t xml:space="preserve">巴州政务服务和公共资源交易中心                                       </w:t>
    </w:r>
    <w:bookmarkStart w:id="191" w:name="OLE_LINK80"/>
    <w:r>
      <w:rPr>
        <w:rFonts w:hint="eastAsia"/>
        <w:color w:val="auto"/>
        <w:sz w:val="21"/>
        <w:szCs w:val="21"/>
      </w:rPr>
      <w:t xml:space="preserve"> </w:t>
    </w:r>
    <w:bookmarkStart w:id="192" w:name="OLE_LINK82"/>
    <w:r>
      <w:rPr>
        <w:rFonts w:hint="eastAsia"/>
        <w:color w:val="auto"/>
        <w:sz w:val="21"/>
        <w:szCs w:val="21"/>
      </w:rPr>
      <w:t>公开招标文件</w:t>
    </w:r>
    <w:bookmarkEnd w:id="191"/>
    <w:bookmarkEnd w:id="19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0" w:firstLine="0"/>
      <w:rPr>
        <w:color w:val="auto"/>
        <w:sz w:val="21"/>
        <w:szCs w:val="21"/>
      </w:rPr>
    </w:pPr>
    <w:r>
      <w:rPr>
        <w:rFonts w:hint="eastAsia"/>
        <w:color w:val="auto"/>
        <w:sz w:val="21"/>
        <w:szCs w:val="21"/>
      </w:rPr>
      <w:t>巴州政务服务和公共资源交易中心                             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9384FF4B"/>
    <w:multiLevelType w:val="singleLevel"/>
    <w:tmpl w:val="9384FF4B"/>
    <w:lvl w:ilvl="0" w:tentative="0">
      <w:start w:val="11"/>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06784D56"/>
    <w:multiLevelType w:val="singleLevel"/>
    <w:tmpl w:val="06784D56"/>
    <w:lvl w:ilvl="0" w:tentative="0">
      <w:start w:val="1"/>
      <w:numFmt w:val="upperLetter"/>
      <w:pStyle w:val="142"/>
      <w:lvlText w:val="附录%1."/>
      <w:lvlJc w:val="left"/>
      <w:pPr>
        <w:tabs>
          <w:tab w:val="left" w:pos="907"/>
        </w:tabs>
        <w:ind w:left="907" w:hanging="907"/>
      </w:pPr>
      <w:rPr>
        <w:rFonts w:hint="eastAsia"/>
      </w:rPr>
    </w:lvl>
  </w:abstractNum>
  <w:abstractNum w:abstractNumId="7">
    <w:nsid w:val="33365EB7"/>
    <w:multiLevelType w:val="singleLevel"/>
    <w:tmpl w:val="33365EB7"/>
    <w:lvl w:ilvl="0" w:tentative="0">
      <w:start w:val="1"/>
      <w:numFmt w:val="decimal"/>
      <w:suff w:val="nothing"/>
      <w:lvlText w:val="%1、"/>
      <w:lvlJc w:val="left"/>
    </w:lvl>
  </w:abstractNum>
  <w:abstractNum w:abstractNumId="8">
    <w:nsid w:val="403A4245"/>
    <w:multiLevelType w:val="singleLevel"/>
    <w:tmpl w:val="403A4245"/>
    <w:lvl w:ilvl="0" w:tentative="0">
      <w:start w:val="2"/>
      <w:numFmt w:val="chineseCounting"/>
      <w:suff w:val="nothing"/>
      <w:lvlText w:val="%1、"/>
      <w:lvlJc w:val="left"/>
      <w:rPr>
        <w:rFonts w:hint="eastAsia"/>
      </w:rPr>
    </w:lvl>
  </w:abstractNum>
  <w:abstractNum w:abstractNumId="9">
    <w:nsid w:val="420C153B"/>
    <w:multiLevelType w:val="multilevel"/>
    <w:tmpl w:val="420C153B"/>
    <w:lvl w:ilvl="0" w:tentative="0">
      <w:start w:val="1"/>
      <w:numFmt w:val="decimal"/>
      <w:pStyle w:val="1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4C0C1BFB"/>
    <w:multiLevelType w:val="singleLevel"/>
    <w:tmpl w:val="4C0C1BFB"/>
    <w:lvl w:ilvl="0" w:tentative="0">
      <w:start w:val="1"/>
      <w:numFmt w:val="decimal"/>
      <w:pStyle w:val="124"/>
      <w:lvlText w:val="（%1）"/>
      <w:lvlJc w:val="left"/>
      <w:pPr>
        <w:tabs>
          <w:tab w:val="left" w:pos="810"/>
        </w:tabs>
        <w:ind w:left="810" w:hanging="810"/>
      </w:pPr>
      <w:rPr>
        <w:rFonts w:hint="eastAsia"/>
      </w:rPr>
    </w:lvl>
  </w:abstractNum>
  <w:abstractNum w:abstractNumId="11">
    <w:nsid w:val="54CE886D"/>
    <w:multiLevelType w:val="singleLevel"/>
    <w:tmpl w:val="54CE886D"/>
    <w:lvl w:ilvl="0" w:tentative="0">
      <w:start w:val="1"/>
      <w:numFmt w:val="decimal"/>
      <w:suff w:val="nothing"/>
      <w:lvlText w:val="%1、"/>
      <w:lvlJc w:val="left"/>
    </w:lvl>
  </w:abstractNum>
  <w:abstractNum w:abstractNumId="1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12"/>
  </w:num>
  <w:num w:numId="2">
    <w:abstractNumId w:val="10"/>
  </w:num>
  <w:num w:numId="3">
    <w:abstractNumId w:val="9"/>
  </w:num>
  <w:num w:numId="4">
    <w:abstractNumId w:val="6"/>
  </w:num>
  <w:num w:numId="5">
    <w:abstractNumId w:val="8"/>
  </w:num>
  <w:num w:numId="6">
    <w:abstractNumId w:val="11"/>
  </w:num>
  <w:num w:numId="7">
    <w:abstractNumId w:val="7"/>
  </w:num>
  <w:num w:numId="8">
    <w:abstractNumId w:val="1"/>
  </w:num>
  <w:num w:numId="9">
    <w:abstractNumId w:val="0"/>
  </w:num>
  <w:num w:numId="10">
    <w:abstractNumId w:val="4"/>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ZTUxMTY1YmM4YTY3MmI2MDM0MGU1NjU0OTdjMmYifQ=="/>
  </w:docVars>
  <w:rsids>
    <w:rsidRoot w:val="00D37234"/>
    <w:rsid w:val="00000B50"/>
    <w:rsid w:val="000012AD"/>
    <w:rsid w:val="00002023"/>
    <w:rsid w:val="000021C3"/>
    <w:rsid w:val="00002A41"/>
    <w:rsid w:val="00003038"/>
    <w:rsid w:val="000036FB"/>
    <w:rsid w:val="00003E3B"/>
    <w:rsid w:val="000040E6"/>
    <w:rsid w:val="0000553F"/>
    <w:rsid w:val="00006327"/>
    <w:rsid w:val="00006E32"/>
    <w:rsid w:val="00007678"/>
    <w:rsid w:val="00010521"/>
    <w:rsid w:val="00010E39"/>
    <w:rsid w:val="00010EC6"/>
    <w:rsid w:val="00011619"/>
    <w:rsid w:val="00011FF2"/>
    <w:rsid w:val="00012BC2"/>
    <w:rsid w:val="0001340E"/>
    <w:rsid w:val="000134F1"/>
    <w:rsid w:val="000144A3"/>
    <w:rsid w:val="00015AD6"/>
    <w:rsid w:val="00015CBB"/>
    <w:rsid w:val="000178E0"/>
    <w:rsid w:val="00017D33"/>
    <w:rsid w:val="00020624"/>
    <w:rsid w:val="000214BA"/>
    <w:rsid w:val="000217F4"/>
    <w:rsid w:val="00023805"/>
    <w:rsid w:val="0002382E"/>
    <w:rsid w:val="000254AE"/>
    <w:rsid w:val="000254B1"/>
    <w:rsid w:val="0002607A"/>
    <w:rsid w:val="00026720"/>
    <w:rsid w:val="000269AE"/>
    <w:rsid w:val="0002771F"/>
    <w:rsid w:val="000300C7"/>
    <w:rsid w:val="00031135"/>
    <w:rsid w:val="000313D5"/>
    <w:rsid w:val="00031400"/>
    <w:rsid w:val="00033D51"/>
    <w:rsid w:val="00034EE1"/>
    <w:rsid w:val="00035B84"/>
    <w:rsid w:val="00035DB5"/>
    <w:rsid w:val="00035FD3"/>
    <w:rsid w:val="00036464"/>
    <w:rsid w:val="000368D5"/>
    <w:rsid w:val="00041C0C"/>
    <w:rsid w:val="00044238"/>
    <w:rsid w:val="00045FCC"/>
    <w:rsid w:val="0004682D"/>
    <w:rsid w:val="0004737D"/>
    <w:rsid w:val="00050598"/>
    <w:rsid w:val="000527CA"/>
    <w:rsid w:val="00052F6E"/>
    <w:rsid w:val="000533AB"/>
    <w:rsid w:val="00054001"/>
    <w:rsid w:val="00055613"/>
    <w:rsid w:val="00055942"/>
    <w:rsid w:val="00055E74"/>
    <w:rsid w:val="0005789F"/>
    <w:rsid w:val="0006136C"/>
    <w:rsid w:val="00063CEE"/>
    <w:rsid w:val="00063F19"/>
    <w:rsid w:val="00064391"/>
    <w:rsid w:val="0006639D"/>
    <w:rsid w:val="000664B9"/>
    <w:rsid w:val="0006714F"/>
    <w:rsid w:val="00071811"/>
    <w:rsid w:val="00071CEE"/>
    <w:rsid w:val="0007307E"/>
    <w:rsid w:val="00073596"/>
    <w:rsid w:val="00075DBF"/>
    <w:rsid w:val="000760C9"/>
    <w:rsid w:val="00076D7B"/>
    <w:rsid w:val="00076DB5"/>
    <w:rsid w:val="0007732F"/>
    <w:rsid w:val="00077725"/>
    <w:rsid w:val="00083A9A"/>
    <w:rsid w:val="00083F9C"/>
    <w:rsid w:val="00084F92"/>
    <w:rsid w:val="00086928"/>
    <w:rsid w:val="00087583"/>
    <w:rsid w:val="00091368"/>
    <w:rsid w:val="00091374"/>
    <w:rsid w:val="0009190E"/>
    <w:rsid w:val="000920C7"/>
    <w:rsid w:val="00094CF9"/>
    <w:rsid w:val="0009585A"/>
    <w:rsid w:val="00095E05"/>
    <w:rsid w:val="00097697"/>
    <w:rsid w:val="000A0A40"/>
    <w:rsid w:val="000A437C"/>
    <w:rsid w:val="000B09F2"/>
    <w:rsid w:val="000B0F3D"/>
    <w:rsid w:val="000B111A"/>
    <w:rsid w:val="000B1318"/>
    <w:rsid w:val="000B2104"/>
    <w:rsid w:val="000C095E"/>
    <w:rsid w:val="000C0CB7"/>
    <w:rsid w:val="000C26EA"/>
    <w:rsid w:val="000C33FA"/>
    <w:rsid w:val="000C4195"/>
    <w:rsid w:val="000C42B7"/>
    <w:rsid w:val="000C5411"/>
    <w:rsid w:val="000C54F2"/>
    <w:rsid w:val="000C550D"/>
    <w:rsid w:val="000C676C"/>
    <w:rsid w:val="000C6C44"/>
    <w:rsid w:val="000C714C"/>
    <w:rsid w:val="000C77A1"/>
    <w:rsid w:val="000D0BBA"/>
    <w:rsid w:val="000D2400"/>
    <w:rsid w:val="000D26C1"/>
    <w:rsid w:val="000D26D8"/>
    <w:rsid w:val="000D3EE4"/>
    <w:rsid w:val="000D4D2B"/>
    <w:rsid w:val="000D79FB"/>
    <w:rsid w:val="000E0173"/>
    <w:rsid w:val="000E0F51"/>
    <w:rsid w:val="000E157E"/>
    <w:rsid w:val="000E1A22"/>
    <w:rsid w:val="000E321A"/>
    <w:rsid w:val="000E5078"/>
    <w:rsid w:val="000E6DA3"/>
    <w:rsid w:val="000F0EB5"/>
    <w:rsid w:val="000F1316"/>
    <w:rsid w:val="000F3923"/>
    <w:rsid w:val="000F4D9E"/>
    <w:rsid w:val="000F5CDE"/>
    <w:rsid w:val="000F5E8A"/>
    <w:rsid w:val="000F7537"/>
    <w:rsid w:val="000F79EE"/>
    <w:rsid w:val="00100053"/>
    <w:rsid w:val="00100A5E"/>
    <w:rsid w:val="00101DB7"/>
    <w:rsid w:val="00102619"/>
    <w:rsid w:val="00102D5E"/>
    <w:rsid w:val="001033A8"/>
    <w:rsid w:val="00103454"/>
    <w:rsid w:val="00105903"/>
    <w:rsid w:val="001061A4"/>
    <w:rsid w:val="00107440"/>
    <w:rsid w:val="00107CDA"/>
    <w:rsid w:val="001101E9"/>
    <w:rsid w:val="00111226"/>
    <w:rsid w:val="00111F3D"/>
    <w:rsid w:val="00114CA6"/>
    <w:rsid w:val="001160D7"/>
    <w:rsid w:val="00120A69"/>
    <w:rsid w:val="00121CC9"/>
    <w:rsid w:val="0012380A"/>
    <w:rsid w:val="00124CD5"/>
    <w:rsid w:val="001252B0"/>
    <w:rsid w:val="001256AE"/>
    <w:rsid w:val="00127A72"/>
    <w:rsid w:val="00127C63"/>
    <w:rsid w:val="00131277"/>
    <w:rsid w:val="00131881"/>
    <w:rsid w:val="00131A58"/>
    <w:rsid w:val="001333E9"/>
    <w:rsid w:val="0013433C"/>
    <w:rsid w:val="0013477E"/>
    <w:rsid w:val="00134831"/>
    <w:rsid w:val="001372D8"/>
    <w:rsid w:val="00140DFA"/>
    <w:rsid w:val="00141F88"/>
    <w:rsid w:val="0014204A"/>
    <w:rsid w:val="0014483C"/>
    <w:rsid w:val="00146F7C"/>
    <w:rsid w:val="0014735C"/>
    <w:rsid w:val="001477FB"/>
    <w:rsid w:val="001502E5"/>
    <w:rsid w:val="001510B7"/>
    <w:rsid w:val="0015158B"/>
    <w:rsid w:val="00152FA5"/>
    <w:rsid w:val="001541B9"/>
    <w:rsid w:val="001544A4"/>
    <w:rsid w:val="0015497E"/>
    <w:rsid w:val="00154CA1"/>
    <w:rsid w:val="001551BF"/>
    <w:rsid w:val="00157E5B"/>
    <w:rsid w:val="00160AE5"/>
    <w:rsid w:val="001613A6"/>
    <w:rsid w:val="001637D2"/>
    <w:rsid w:val="0016437E"/>
    <w:rsid w:val="0016469D"/>
    <w:rsid w:val="00164C69"/>
    <w:rsid w:val="00166EFF"/>
    <w:rsid w:val="00170A2D"/>
    <w:rsid w:val="00171360"/>
    <w:rsid w:val="00171D87"/>
    <w:rsid w:val="001749B6"/>
    <w:rsid w:val="00174A31"/>
    <w:rsid w:val="0017505E"/>
    <w:rsid w:val="00176950"/>
    <w:rsid w:val="0018156A"/>
    <w:rsid w:val="00182E37"/>
    <w:rsid w:val="00183EB5"/>
    <w:rsid w:val="00187B49"/>
    <w:rsid w:val="00187C1F"/>
    <w:rsid w:val="00187DC4"/>
    <w:rsid w:val="0019076F"/>
    <w:rsid w:val="00193274"/>
    <w:rsid w:val="00193DAC"/>
    <w:rsid w:val="00194202"/>
    <w:rsid w:val="001946FF"/>
    <w:rsid w:val="00194F22"/>
    <w:rsid w:val="001953B0"/>
    <w:rsid w:val="00195808"/>
    <w:rsid w:val="00195A83"/>
    <w:rsid w:val="001A07C4"/>
    <w:rsid w:val="001A1033"/>
    <w:rsid w:val="001A187D"/>
    <w:rsid w:val="001A18C0"/>
    <w:rsid w:val="001A1D99"/>
    <w:rsid w:val="001A26B5"/>
    <w:rsid w:val="001A27C2"/>
    <w:rsid w:val="001A304A"/>
    <w:rsid w:val="001A3BFA"/>
    <w:rsid w:val="001A57FF"/>
    <w:rsid w:val="001A6C7F"/>
    <w:rsid w:val="001A7BA0"/>
    <w:rsid w:val="001A7F3C"/>
    <w:rsid w:val="001B2822"/>
    <w:rsid w:val="001B34C4"/>
    <w:rsid w:val="001B37C7"/>
    <w:rsid w:val="001B4172"/>
    <w:rsid w:val="001B52A8"/>
    <w:rsid w:val="001B5378"/>
    <w:rsid w:val="001B6B93"/>
    <w:rsid w:val="001B79B5"/>
    <w:rsid w:val="001C0231"/>
    <w:rsid w:val="001C02D6"/>
    <w:rsid w:val="001C084D"/>
    <w:rsid w:val="001C1947"/>
    <w:rsid w:val="001C21EF"/>
    <w:rsid w:val="001C2404"/>
    <w:rsid w:val="001C2454"/>
    <w:rsid w:val="001C29F7"/>
    <w:rsid w:val="001C3136"/>
    <w:rsid w:val="001C37D3"/>
    <w:rsid w:val="001C39BE"/>
    <w:rsid w:val="001C6670"/>
    <w:rsid w:val="001C69AD"/>
    <w:rsid w:val="001D03CD"/>
    <w:rsid w:val="001D0B04"/>
    <w:rsid w:val="001D0EA3"/>
    <w:rsid w:val="001D1087"/>
    <w:rsid w:val="001D1E13"/>
    <w:rsid w:val="001D3DF4"/>
    <w:rsid w:val="001D4073"/>
    <w:rsid w:val="001D4B6D"/>
    <w:rsid w:val="001D4C6F"/>
    <w:rsid w:val="001D4C79"/>
    <w:rsid w:val="001D5588"/>
    <w:rsid w:val="001D6F14"/>
    <w:rsid w:val="001E1785"/>
    <w:rsid w:val="001E19C0"/>
    <w:rsid w:val="001E2A27"/>
    <w:rsid w:val="001E482F"/>
    <w:rsid w:val="001E48AF"/>
    <w:rsid w:val="001E6CFD"/>
    <w:rsid w:val="001F2054"/>
    <w:rsid w:val="001F35A1"/>
    <w:rsid w:val="001F4946"/>
    <w:rsid w:val="001F4B41"/>
    <w:rsid w:val="001F58DB"/>
    <w:rsid w:val="001F6423"/>
    <w:rsid w:val="001F64B1"/>
    <w:rsid w:val="001F6652"/>
    <w:rsid w:val="001F66B6"/>
    <w:rsid w:val="001F6BBF"/>
    <w:rsid w:val="00200726"/>
    <w:rsid w:val="00201570"/>
    <w:rsid w:val="00201AAD"/>
    <w:rsid w:val="002026FD"/>
    <w:rsid w:val="002029A0"/>
    <w:rsid w:val="00203FDB"/>
    <w:rsid w:val="00204B0E"/>
    <w:rsid w:val="00207854"/>
    <w:rsid w:val="00211160"/>
    <w:rsid w:val="002114C5"/>
    <w:rsid w:val="0021150E"/>
    <w:rsid w:val="00211D84"/>
    <w:rsid w:val="002129B4"/>
    <w:rsid w:val="00213305"/>
    <w:rsid w:val="00213554"/>
    <w:rsid w:val="002135F1"/>
    <w:rsid w:val="00213952"/>
    <w:rsid w:val="0021413E"/>
    <w:rsid w:val="00214FBC"/>
    <w:rsid w:val="002150AA"/>
    <w:rsid w:val="0021547D"/>
    <w:rsid w:val="00215D7A"/>
    <w:rsid w:val="0021681C"/>
    <w:rsid w:val="00216D78"/>
    <w:rsid w:val="0022068B"/>
    <w:rsid w:val="00221442"/>
    <w:rsid w:val="00224BF6"/>
    <w:rsid w:val="00224D56"/>
    <w:rsid w:val="002250E1"/>
    <w:rsid w:val="0022514B"/>
    <w:rsid w:val="002251B2"/>
    <w:rsid w:val="00225592"/>
    <w:rsid w:val="00227982"/>
    <w:rsid w:val="00227BB6"/>
    <w:rsid w:val="00227C43"/>
    <w:rsid w:val="0023202D"/>
    <w:rsid w:val="00232077"/>
    <w:rsid w:val="002331F2"/>
    <w:rsid w:val="002349F7"/>
    <w:rsid w:val="00235603"/>
    <w:rsid w:val="002369AF"/>
    <w:rsid w:val="00241187"/>
    <w:rsid w:val="00241203"/>
    <w:rsid w:val="00241671"/>
    <w:rsid w:val="00243079"/>
    <w:rsid w:val="00243975"/>
    <w:rsid w:val="002447BD"/>
    <w:rsid w:val="0024548B"/>
    <w:rsid w:val="00246130"/>
    <w:rsid w:val="00246C19"/>
    <w:rsid w:val="002479CA"/>
    <w:rsid w:val="00250987"/>
    <w:rsid w:val="00252722"/>
    <w:rsid w:val="002537B2"/>
    <w:rsid w:val="00253E7E"/>
    <w:rsid w:val="00254207"/>
    <w:rsid w:val="00255C8D"/>
    <w:rsid w:val="00255FEB"/>
    <w:rsid w:val="00261A7E"/>
    <w:rsid w:val="00263E05"/>
    <w:rsid w:val="002640B2"/>
    <w:rsid w:val="00264902"/>
    <w:rsid w:val="00264FAC"/>
    <w:rsid w:val="002657FF"/>
    <w:rsid w:val="00267D06"/>
    <w:rsid w:val="00267D13"/>
    <w:rsid w:val="002702B6"/>
    <w:rsid w:val="00270609"/>
    <w:rsid w:val="00270858"/>
    <w:rsid w:val="00270E78"/>
    <w:rsid w:val="00270EEE"/>
    <w:rsid w:val="00270F7A"/>
    <w:rsid w:val="0027159B"/>
    <w:rsid w:val="002750C2"/>
    <w:rsid w:val="00275F24"/>
    <w:rsid w:val="0027611E"/>
    <w:rsid w:val="00276467"/>
    <w:rsid w:val="002767AF"/>
    <w:rsid w:val="00276C85"/>
    <w:rsid w:val="002773BE"/>
    <w:rsid w:val="00280CC5"/>
    <w:rsid w:val="00280F98"/>
    <w:rsid w:val="00280F9F"/>
    <w:rsid w:val="00281B22"/>
    <w:rsid w:val="00282FDE"/>
    <w:rsid w:val="0028368D"/>
    <w:rsid w:val="00284F56"/>
    <w:rsid w:val="0028524A"/>
    <w:rsid w:val="0028532D"/>
    <w:rsid w:val="00286E46"/>
    <w:rsid w:val="00287A23"/>
    <w:rsid w:val="0029224A"/>
    <w:rsid w:val="0029269B"/>
    <w:rsid w:val="00292EBF"/>
    <w:rsid w:val="00293ED7"/>
    <w:rsid w:val="00296412"/>
    <w:rsid w:val="00296520"/>
    <w:rsid w:val="00296EE7"/>
    <w:rsid w:val="00297C93"/>
    <w:rsid w:val="002A1B0C"/>
    <w:rsid w:val="002A35C8"/>
    <w:rsid w:val="002A67A6"/>
    <w:rsid w:val="002A693A"/>
    <w:rsid w:val="002A7962"/>
    <w:rsid w:val="002B084C"/>
    <w:rsid w:val="002B11E6"/>
    <w:rsid w:val="002B1B75"/>
    <w:rsid w:val="002B2BAF"/>
    <w:rsid w:val="002B3E53"/>
    <w:rsid w:val="002B6716"/>
    <w:rsid w:val="002B70EF"/>
    <w:rsid w:val="002C00C1"/>
    <w:rsid w:val="002C067B"/>
    <w:rsid w:val="002C2466"/>
    <w:rsid w:val="002C29A7"/>
    <w:rsid w:val="002C37EC"/>
    <w:rsid w:val="002C3863"/>
    <w:rsid w:val="002C4418"/>
    <w:rsid w:val="002C5E7E"/>
    <w:rsid w:val="002C75A7"/>
    <w:rsid w:val="002D046F"/>
    <w:rsid w:val="002D15D0"/>
    <w:rsid w:val="002D3E1D"/>
    <w:rsid w:val="002D4138"/>
    <w:rsid w:val="002D44AA"/>
    <w:rsid w:val="002D703B"/>
    <w:rsid w:val="002D78A6"/>
    <w:rsid w:val="002D7B1C"/>
    <w:rsid w:val="002D7F6F"/>
    <w:rsid w:val="002E0200"/>
    <w:rsid w:val="002E0576"/>
    <w:rsid w:val="002E1397"/>
    <w:rsid w:val="002E192A"/>
    <w:rsid w:val="002E2B69"/>
    <w:rsid w:val="002E3028"/>
    <w:rsid w:val="002E4A67"/>
    <w:rsid w:val="002E4B77"/>
    <w:rsid w:val="002E4D8D"/>
    <w:rsid w:val="002E761A"/>
    <w:rsid w:val="002E7638"/>
    <w:rsid w:val="002E7FEC"/>
    <w:rsid w:val="002F080F"/>
    <w:rsid w:val="002F0B59"/>
    <w:rsid w:val="002F0E29"/>
    <w:rsid w:val="002F2018"/>
    <w:rsid w:val="002F3C42"/>
    <w:rsid w:val="002F3DAA"/>
    <w:rsid w:val="002F45B0"/>
    <w:rsid w:val="002F4C80"/>
    <w:rsid w:val="002F56BB"/>
    <w:rsid w:val="002F5748"/>
    <w:rsid w:val="002F57C5"/>
    <w:rsid w:val="002F5A9D"/>
    <w:rsid w:val="002F7C78"/>
    <w:rsid w:val="002F7F15"/>
    <w:rsid w:val="00300F2D"/>
    <w:rsid w:val="00301D55"/>
    <w:rsid w:val="00302002"/>
    <w:rsid w:val="00303AB3"/>
    <w:rsid w:val="00303E18"/>
    <w:rsid w:val="003062C7"/>
    <w:rsid w:val="003065CE"/>
    <w:rsid w:val="003077D7"/>
    <w:rsid w:val="00310052"/>
    <w:rsid w:val="00310924"/>
    <w:rsid w:val="003119DF"/>
    <w:rsid w:val="00315D25"/>
    <w:rsid w:val="00316838"/>
    <w:rsid w:val="00316C0E"/>
    <w:rsid w:val="003176F0"/>
    <w:rsid w:val="00317A43"/>
    <w:rsid w:val="00317CA3"/>
    <w:rsid w:val="00320A43"/>
    <w:rsid w:val="00320F55"/>
    <w:rsid w:val="00321DA1"/>
    <w:rsid w:val="003238EE"/>
    <w:rsid w:val="00324B2C"/>
    <w:rsid w:val="003306B9"/>
    <w:rsid w:val="003320F3"/>
    <w:rsid w:val="0033584E"/>
    <w:rsid w:val="00336151"/>
    <w:rsid w:val="0033681E"/>
    <w:rsid w:val="003375A1"/>
    <w:rsid w:val="00340187"/>
    <w:rsid w:val="0034142F"/>
    <w:rsid w:val="00341757"/>
    <w:rsid w:val="00342DCC"/>
    <w:rsid w:val="00343BB6"/>
    <w:rsid w:val="00344805"/>
    <w:rsid w:val="00344B6D"/>
    <w:rsid w:val="0034542F"/>
    <w:rsid w:val="003458F9"/>
    <w:rsid w:val="0034648C"/>
    <w:rsid w:val="0034699A"/>
    <w:rsid w:val="00346D70"/>
    <w:rsid w:val="00347AB6"/>
    <w:rsid w:val="00350189"/>
    <w:rsid w:val="003508CE"/>
    <w:rsid w:val="00351988"/>
    <w:rsid w:val="00351C56"/>
    <w:rsid w:val="00352EFB"/>
    <w:rsid w:val="003543A9"/>
    <w:rsid w:val="00355938"/>
    <w:rsid w:val="00356239"/>
    <w:rsid w:val="003570D2"/>
    <w:rsid w:val="00357549"/>
    <w:rsid w:val="00357F4D"/>
    <w:rsid w:val="00361201"/>
    <w:rsid w:val="00362C38"/>
    <w:rsid w:val="00363EC7"/>
    <w:rsid w:val="003646CC"/>
    <w:rsid w:val="00364EDB"/>
    <w:rsid w:val="0036776C"/>
    <w:rsid w:val="003715B6"/>
    <w:rsid w:val="00372D3E"/>
    <w:rsid w:val="00373601"/>
    <w:rsid w:val="00373708"/>
    <w:rsid w:val="00373911"/>
    <w:rsid w:val="00374ADB"/>
    <w:rsid w:val="00375DF0"/>
    <w:rsid w:val="00375F18"/>
    <w:rsid w:val="00377169"/>
    <w:rsid w:val="0037721C"/>
    <w:rsid w:val="00377CC7"/>
    <w:rsid w:val="00381306"/>
    <w:rsid w:val="0038282F"/>
    <w:rsid w:val="00382FB7"/>
    <w:rsid w:val="00384933"/>
    <w:rsid w:val="003849D4"/>
    <w:rsid w:val="00385B86"/>
    <w:rsid w:val="00386ACE"/>
    <w:rsid w:val="00387097"/>
    <w:rsid w:val="003872C9"/>
    <w:rsid w:val="003919D8"/>
    <w:rsid w:val="00391DF3"/>
    <w:rsid w:val="003931D2"/>
    <w:rsid w:val="00393A1F"/>
    <w:rsid w:val="00394D4B"/>
    <w:rsid w:val="00395681"/>
    <w:rsid w:val="0039611D"/>
    <w:rsid w:val="00396C2C"/>
    <w:rsid w:val="003A0F75"/>
    <w:rsid w:val="003A201F"/>
    <w:rsid w:val="003A2A26"/>
    <w:rsid w:val="003A359F"/>
    <w:rsid w:val="003A3E40"/>
    <w:rsid w:val="003A543B"/>
    <w:rsid w:val="003A6696"/>
    <w:rsid w:val="003A787B"/>
    <w:rsid w:val="003B1B8D"/>
    <w:rsid w:val="003B2DBA"/>
    <w:rsid w:val="003B3157"/>
    <w:rsid w:val="003B4334"/>
    <w:rsid w:val="003B43AD"/>
    <w:rsid w:val="003B515E"/>
    <w:rsid w:val="003B529D"/>
    <w:rsid w:val="003B5AD2"/>
    <w:rsid w:val="003B5EF0"/>
    <w:rsid w:val="003B7315"/>
    <w:rsid w:val="003B7727"/>
    <w:rsid w:val="003C0167"/>
    <w:rsid w:val="003C1167"/>
    <w:rsid w:val="003C1CD0"/>
    <w:rsid w:val="003C2871"/>
    <w:rsid w:val="003C2A6D"/>
    <w:rsid w:val="003C351A"/>
    <w:rsid w:val="003C3C93"/>
    <w:rsid w:val="003C45FD"/>
    <w:rsid w:val="003C4D5A"/>
    <w:rsid w:val="003C56E8"/>
    <w:rsid w:val="003C5C27"/>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5F6"/>
    <w:rsid w:val="003F5F28"/>
    <w:rsid w:val="003F7404"/>
    <w:rsid w:val="00401CB7"/>
    <w:rsid w:val="00401E65"/>
    <w:rsid w:val="0040243C"/>
    <w:rsid w:val="00402F1F"/>
    <w:rsid w:val="00407C08"/>
    <w:rsid w:val="00411EE8"/>
    <w:rsid w:val="004132F7"/>
    <w:rsid w:val="00413748"/>
    <w:rsid w:val="004152A0"/>
    <w:rsid w:val="004177AB"/>
    <w:rsid w:val="00417D89"/>
    <w:rsid w:val="00417DE5"/>
    <w:rsid w:val="00420F30"/>
    <w:rsid w:val="0042107D"/>
    <w:rsid w:val="00421476"/>
    <w:rsid w:val="004222A6"/>
    <w:rsid w:val="00422896"/>
    <w:rsid w:val="00423863"/>
    <w:rsid w:val="0042394B"/>
    <w:rsid w:val="00424246"/>
    <w:rsid w:val="0042442B"/>
    <w:rsid w:val="00425878"/>
    <w:rsid w:val="00425AED"/>
    <w:rsid w:val="00426093"/>
    <w:rsid w:val="004263B3"/>
    <w:rsid w:val="004266DB"/>
    <w:rsid w:val="00426987"/>
    <w:rsid w:val="00427D06"/>
    <w:rsid w:val="0043085D"/>
    <w:rsid w:val="00430CEA"/>
    <w:rsid w:val="0043137F"/>
    <w:rsid w:val="00432B25"/>
    <w:rsid w:val="00433AA9"/>
    <w:rsid w:val="00433E58"/>
    <w:rsid w:val="004342CE"/>
    <w:rsid w:val="004365F0"/>
    <w:rsid w:val="004372D1"/>
    <w:rsid w:val="00440B79"/>
    <w:rsid w:val="00441C99"/>
    <w:rsid w:val="00442013"/>
    <w:rsid w:val="0044504A"/>
    <w:rsid w:val="00445DD0"/>
    <w:rsid w:val="0044618B"/>
    <w:rsid w:val="00446944"/>
    <w:rsid w:val="004472F6"/>
    <w:rsid w:val="004474F1"/>
    <w:rsid w:val="0044786A"/>
    <w:rsid w:val="00451285"/>
    <w:rsid w:val="00451C2C"/>
    <w:rsid w:val="00455551"/>
    <w:rsid w:val="0046004A"/>
    <w:rsid w:val="00460782"/>
    <w:rsid w:val="00461077"/>
    <w:rsid w:val="004613FD"/>
    <w:rsid w:val="00461967"/>
    <w:rsid w:val="00461A67"/>
    <w:rsid w:val="00461A96"/>
    <w:rsid w:val="004629B0"/>
    <w:rsid w:val="004639B1"/>
    <w:rsid w:val="00463AFA"/>
    <w:rsid w:val="004710C4"/>
    <w:rsid w:val="0047189B"/>
    <w:rsid w:val="0047253D"/>
    <w:rsid w:val="00472CBE"/>
    <w:rsid w:val="00473367"/>
    <w:rsid w:val="0047381F"/>
    <w:rsid w:val="00473C95"/>
    <w:rsid w:val="00476ACD"/>
    <w:rsid w:val="0047734E"/>
    <w:rsid w:val="00477ADD"/>
    <w:rsid w:val="00480325"/>
    <w:rsid w:val="004803B5"/>
    <w:rsid w:val="00480999"/>
    <w:rsid w:val="00480DC5"/>
    <w:rsid w:val="00482632"/>
    <w:rsid w:val="00482709"/>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30E6"/>
    <w:rsid w:val="0049420D"/>
    <w:rsid w:val="00495FD5"/>
    <w:rsid w:val="004A00A9"/>
    <w:rsid w:val="004A147C"/>
    <w:rsid w:val="004A1507"/>
    <w:rsid w:val="004A16D9"/>
    <w:rsid w:val="004A1865"/>
    <w:rsid w:val="004A21EF"/>
    <w:rsid w:val="004A2DA5"/>
    <w:rsid w:val="004A3762"/>
    <w:rsid w:val="004B19C1"/>
    <w:rsid w:val="004B246E"/>
    <w:rsid w:val="004B4AF9"/>
    <w:rsid w:val="004B4CC3"/>
    <w:rsid w:val="004B6D38"/>
    <w:rsid w:val="004B6DC9"/>
    <w:rsid w:val="004B6FBF"/>
    <w:rsid w:val="004C199B"/>
    <w:rsid w:val="004C35DD"/>
    <w:rsid w:val="004C44BC"/>
    <w:rsid w:val="004C64CB"/>
    <w:rsid w:val="004C6900"/>
    <w:rsid w:val="004C6B7A"/>
    <w:rsid w:val="004C70CE"/>
    <w:rsid w:val="004C774A"/>
    <w:rsid w:val="004D10CE"/>
    <w:rsid w:val="004D1DAE"/>
    <w:rsid w:val="004D20D8"/>
    <w:rsid w:val="004D2FEF"/>
    <w:rsid w:val="004D3D3B"/>
    <w:rsid w:val="004D4416"/>
    <w:rsid w:val="004D4DF1"/>
    <w:rsid w:val="004D5A75"/>
    <w:rsid w:val="004E1641"/>
    <w:rsid w:val="004E1780"/>
    <w:rsid w:val="004E2547"/>
    <w:rsid w:val="004E2B96"/>
    <w:rsid w:val="004E4069"/>
    <w:rsid w:val="004E42B6"/>
    <w:rsid w:val="004E59D5"/>
    <w:rsid w:val="004F02F0"/>
    <w:rsid w:val="004F05EC"/>
    <w:rsid w:val="004F0B8C"/>
    <w:rsid w:val="004F1130"/>
    <w:rsid w:val="004F180B"/>
    <w:rsid w:val="004F2D73"/>
    <w:rsid w:val="004F2FEF"/>
    <w:rsid w:val="004F3277"/>
    <w:rsid w:val="004F543A"/>
    <w:rsid w:val="004F5614"/>
    <w:rsid w:val="004F5FE8"/>
    <w:rsid w:val="004F6692"/>
    <w:rsid w:val="005000AE"/>
    <w:rsid w:val="00500F24"/>
    <w:rsid w:val="0050144C"/>
    <w:rsid w:val="00502618"/>
    <w:rsid w:val="00503D2C"/>
    <w:rsid w:val="00504875"/>
    <w:rsid w:val="005056C0"/>
    <w:rsid w:val="00505FEF"/>
    <w:rsid w:val="005069E2"/>
    <w:rsid w:val="00506DCB"/>
    <w:rsid w:val="005109EA"/>
    <w:rsid w:val="00512587"/>
    <w:rsid w:val="005130CC"/>
    <w:rsid w:val="00513312"/>
    <w:rsid w:val="005140BE"/>
    <w:rsid w:val="0051457B"/>
    <w:rsid w:val="0051588C"/>
    <w:rsid w:val="00515B52"/>
    <w:rsid w:val="00516F0A"/>
    <w:rsid w:val="00517791"/>
    <w:rsid w:val="00517B5A"/>
    <w:rsid w:val="0052372F"/>
    <w:rsid w:val="005241ED"/>
    <w:rsid w:val="00524999"/>
    <w:rsid w:val="00524D32"/>
    <w:rsid w:val="00525ABC"/>
    <w:rsid w:val="005274DB"/>
    <w:rsid w:val="0052786A"/>
    <w:rsid w:val="00531126"/>
    <w:rsid w:val="00531461"/>
    <w:rsid w:val="00531E44"/>
    <w:rsid w:val="00532144"/>
    <w:rsid w:val="00532583"/>
    <w:rsid w:val="005329C7"/>
    <w:rsid w:val="00533C4E"/>
    <w:rsid w:val="0053652A"/>
    <w:rsid w:val="005370DA"/>
    <w:rsid w:val="00541234"/>
    <w:rsid w:val="005413F9"/>
    <w:rsid w:val="00541D72"/>
    <w:rsid w:val="00542948"/>
    <w:rsid w:val="00544C26"/>
    <w:rsid w:val="0054560C"/>
    <w:rsid w:val="0054695F"/>
    <w:rsid w:val="00550E5A"/>
    <w:rsid w:val="00551CC7"/>
    <w:rsid w:val="00551FA0"/>
    <w:rsid w:val="0055360D"/>
    <w:rsid w:val="00555955"/>
    <w:rsid w:val="00557558"/>
    <w:rsid w:val="0056019B"/>
    <w:rsid w:val="00560D0C"/>
    <w:rsid w:val="00561076"/>
    <w:rsid w:val="0056140C"/>
    <w:rsid w:val="00562990"/>
    <w:rsid w:val="00562D2C"/>
    <w:rsid w:val="00563224"/>
    <w:rsid w:val="0056324E"/>
    <w:rsid w:val="005644FD"/>
    <w:rsid w:val="00564883"/>
    <w:rsid w:val="00564F7B"/>
    <w:rsid w:val="00564F9A"/>
    <w:rsid w:val="00570226"/>
    <w:rsid w:val="00571918"/>
    <w:rsid w:val="0057213D"/>
    <w:rsid w:val="005737C9"/>
    <w:rsid w:val="00573D5C"/>
    <w:rsid w:val="00574032"/>
    <w:rsid w:val="0057530D"/>
    <w:rsid w:val="00576232"/>
    <w:rsid w:val="0057660D"/>
    <w:rsid w:val="00580612"/>
    <w:rsid w:val="00580814"/>
    <w:rsid w:val="005815BE"/>
    <w:rsid w:val="00581985"/>
    <w:rsid w:val="00581A36"/>
    <w:rsid w:val="00581CC3"/>
    <w:rsid w:val="00583D3B"/>
    <w:rsid w:val="00584298"/>
    <w:rsid w:val="005862F7"/>
    <w:rsid w:val="00587127"/>
    <w:rsid w:val="005879B9"/>
    <w:rsid w:val="00587EC6"/>
    <w:rsid w:val="00590EE1"/>
    <w:rsid w:val="00594C98"/>
    <w:rsid w:val="005957FD"/>
    <w:rsid w:val="00595D5A"/>
    <w:rsid w:val="00597277"/>
    <w:rsid w:val="005A1802"/>
    <w:rsid w:val="005A1FD8"/>
    <w:rsid w:val="005A3A15"/>
    <w:rsid w:val="005A4622"/>
    <w:rsid w:val="005A4DAF"/>
    <w:rsid w:val="005A538C"/>
    <w:rsid w:val="005B0562"/>
    <w:rsid w:val="005B0D40"/>
    <w:rsid w:val="005B0D5A"/>
    <w:rsid w:val="005B1A8B"/>
    <w:rsid w:val="005B20EB"/>
    <w:rsid w:val="005B2186"/>
    <w:rsid w:val="005B2208"/>
    <w:rsid w:val="005B25E7"/>
    <w:rsid w:val="005B284F"/>
    <w:rsid w:val="005B3EE0"/>
    <w:rsid w:val="005B3F4A"/>
    <w:rsid w:val="005B41AD"/>
    <w:rsid w:val="005B520E"/>
    <w:rsid w:val="005B7AAD"/>
    <w:rsid w:val="005C2806"/>
    <w:rsid w:val="005C2941"/>
    <w:rsid w:val="005C3EAF"/>
    <w:rsid w:val="005C6801"/>
    <w:rsid w:val="005C7620"/>
    <w:rsid w:val="005D0135"/>
    <w:rsid w:val="005D197A"/>
    <w:rsid w:val="005D27E4"/>
    <w:rsid w:val="005D34D5"/>
    <w:rsid w:val="005D452A"/>
    <w:rsid w:val="005D59C2"/>
    <w:rsid w:val="005D5F48"/>
    <w:rsid w:val="005D6C2B"/>
    <w:rsid w:val="005D7200"/>
    <w:rsid w:val="005D76DA"/>
    <w:rsid w:val="005E1238"/>
    <w:rsid w:val="005E1792"/>
    <w:rsid w:val="005E22B7"/>
    <w:rsid w:val="005E232E"/>
    <w:rsid w:val="005E30F4"/>
    <w:rsid w:val="005E42AF"/>
    <w:rsid w:val="005E6055"/>
    <w:rsid w:val="005E79EF"/>
    <w:rsid w:val="005E7D55"/>
    <w:rsid w:val="005F0CA7"/>
    <w:rsid w:val="005F2B86"/>
    <w:rsid w:val="005F34E4"/>
    <w:rsid w:val="005F4E1F"/>
    <w:rsid w:val="005F50AA"/>
    <w:rsid w:val="005F5C57"/>
    <w:rsid w:val="005F68A0"/>
    <w:rsid w:val="005F6E74"/>
    <w:rsid w:val="005F7393"/>
    <w:rsid w:val="00601800"/>
    <w:rsid w:val="006026CF"/>
    <w:rsid w:val="00602974"/>
    <w:rsid w:val="006037E7"/>
    <w:rsid w:val="00604122"/>
    <w:rsid w:val="00604EE1"/>
    <w:rsid w:val="0060514E"/>
    <w:rsid w:val="00605499"/>
    <w:rsid w:val="00606153"/>
    <w:rsid w:val="00607BDE"/>
    <w:rsid w:val="00610478"/>
    <w:rsid w:val="00611B7B"/>
    <w:rsid w:val="006125F6"/>
    <w:rsid w:val="00612E09"/>
    <w:rsid w:val="00613BD4"/>
    <w:rsid w:val="00613EC9"/>
    <w:rsid w:val="00615C60"/>
    <w:rsid w:val="00616B9A"/>
    <w:rsid w:val="00620798"/>
    <w:rsid w:val="00620A02"/>
    <w:rsid w:val="00620FB8"/>
    <w:rsid w:val="0062161E"/>
    <w:rsid w:val="00622100"/>
    <w:rsid w:val="00622BBE"/>
    <w:rsid w:val="00623233"/>
    <w:rsid w:val="006233F1"/>
    <w:rsid w:val="006235A4"/>
    <w:rsid w:val="0063168A"/>
    <w:rsid w:val="006327CA"/>
    <w:rsid w:val="006334DB"/>
    <w:rsid w:val="0063359A"/>
    <w:rsid w:val="0063389F"/>
    <w:rsid w:val="0063484A"/>
    <w:rsid w:val="006366D3"/>
    <w:rsid w:val="00636D68"/>
    <w:rsid w:val="0063764D"/>
    <w:rsid w:val="00637F29"/>
    <w:rsid w:val="00640A52"/>
    <w:rsid w:val="006414AE"/>
    <w:rsid w:val="00641D5B"/>
    <w:rsid w:val="00642C5D"/>
    <w:rsid w:val="00643113"/>
    <w:rsid w:val="00643235"/>
    <w:rsid w:val="006441FF"/>
    <w:rsid w:val="00644276"/>
    <w:rsid w:val="006444FB"/>
    <w:rsid w:val="00644F9E"/>
    <w:rsid w:val="00645A43"/>
    <w:rsid w:val="00646E6B"/>
    <w:rsid w:val="006470D3"/>
    <w:rsid w:val="00647B5F"/>
    <w:rsid w:val="00647FFD"/>
    <w:rsid w:val="00652D1E"/>
    <w:rsid w:val="0065333B"/>
    <w:rsid w:val="00654364"/>
    <w:rsid w:val="00656741"/>
    <w:rsid w:val="00656E91"/>
    <w:rsid w:val="006625D5"/>
    <w:rsid w:val="00663AA2"/>
    <w:rsid w:val="006659B3"/>
    <w:rsid w:val="006666E7"/>
    <w:rsid w:val="006669B9"/>
    <w:rsid w:val="00666D45"/>
    <w:rsid w:val="0067155D"/>
    <w:rsid w:val="00671D55"/>
    <w:rsid w:val="00672174"/>
    <w:rsid w:val="00672511"/>
    <w:rsid w:val="006727DB"/>
    <w:rsid w:val="00672AC0"/>
    <w:rsid w:val="0067457D"/>
    <w:rsid w:val="006751C3"/>
    <w:rsid w:val="00675D8E"/>
    <w:rsid w:val="00677215"/>
    <w:rsid w:val="00677D3C"/>
    <w:rsid w:val="00677FCB"/>
    <w:rsid w:val="006806A0"/>
    <w:rsid w:val="00680FBF"/>
    <w:rsid w:val="00680FD5"/>
    <w:rsid w:val="00681E02"/>
    <w:rsid w:val="00681F60"/>
    <w:rsid w:val="006821F1"/>
    <w:rsid w:val="0068231F"/>
    <w:rsid w:val="00683881"/>
    <w:rsid w:val="00684443"/>
    <w:rsid w:val="0068608D"/>
    <w:rsid w:val="00686B65"/>
    <w:rsid w:val="00686C3E"/>
    <w:rsid w:val="00691E5A"/>
    <w:rsid w:val="00692790"/>
    <w:rsid w:val="006932A6"/>
    <w:rsid w:val="006943B1"/>
    <w:rsid w:val="00694A7F"/>
    <w:rsid w:val="006952FE"/>
    <w:rsid w:val="0069530B"/>
    <w:rsid w:val="006965B4"/>
    <w:rsid w:val="00697F18"/>
    <w:rsid w:val="006A0DFB"/>
    <w:rsid w:val="006A2053"/>
    <w:rsid w:val="006A20A7"/>
    <w:rsid w:val="006A2213"/>
    <w:rsid w:val="006A3B05"/>
    <w:rsid w:val="006A530E"/>
    <w:rsid w:val="006A7659"/>
    <w:rsid w:val="006A7E1D"/>
    <w:rsid w:val="006B014A"/>
    <w:rsid w:val="006B2E16"/>
    <w:rsid w:val="006B301E"/>
    <w:rsid w:val="006B39DB"/>
    <w:rsid w:val="006B6E2F"/>
    <w:rsid w:val="006C010E"/>
    <w:rsid w:val="006C24A6"/>
    <w:rsid w:val="006C29A8"/>
    <w:rsid w:val="006C3D35"/>
    <w:rsid w:val="006C6406"/>
    <w:rsid w:val="006D1BFF"/>
    <w:rsid w:val="006D277B"/>
    <w:rsid w:val="006D2BBC"/>
    <w:rsid w:val="006D2E1F"/>
    <w:rsid w:val="006D2F88"/>
    <w:rsid w:val="006D2FBF"/>
    <w:rsid w:val="006D3A19"/>
    <w:rsid w:val="006D3C0B"/>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417"/>
    <w:rsid w:val="006F4A43"/>
    <w:rsid w:val="006F60F7"/>
    <w:rsid w:val="006F7BDC"/>
    <w:rsid w:val="007000A4"/>
    <w:rsid w:val="00702618"/>
    <w:rsid w:val="00703E9E"/>
    <w:rsid w:val="00703EBD"/>
    <w:rsid w:val="00704E67"/>
    <w:rsid w:val="00705115"/>
    <w:rsid w:val="0070651C"/>
    <w:rsid w:val="00711C3B"/>
    <w:rsid w:val="00711E18"/>
    <w:rsid w:val="00713FFA"/>
    <w:rsid w:val="0071427C"/>
    <w:rsid w:val="007146F7"/>
    <w:rsid w:val="0071631E"/>
    <w:rsid w:val="00716632"/>
    <w:rsid w:val="00716702"/>
    <w:rsid w:val="00717698"/>
    <w:rsid w:val="00720115"/>
    <w:rsid w:val="00721665"/>
    <w:rsid w:val="00721700"/>
    <w:rsid w:val="00722A7B"/>
    <w:rsid w:val="00725A32"/>
    <w:rsid w:val="00726C14"/>
    <w:rsid w:val="007277F0"/>
    <w:rsid w:val="00727A7D"/>
    <w:rsid w:val="00727D39"/>
    <w:rsid w:val="00730977"/>
    <w:rsid w:val="00733908"/>
    <w:rsid w:val="00734542"/>
    <w:rsid w:val="00734AA6"/>
    <w:rsid w:val="00735288"/>
    <w:rsid w:val="00737EBA"/>
    <w:rsid w:val="00740C8C"/>
    <w:rsid w:val="0074531B"/>
    <w:rsid w:val="0074572F"/>
    <w:rsid w:val="00747662"/>
    <w:rsid w:val="007501AF"/>
    <w:rsid w:val="00751574"/>
    <w:rsid w:val="007515CC"/>
    <w:rsid w:val="0075297E"/>
    <w:rsid w:val="00752B83"/>
    <w:rsid w:val="00753568"/>
    <w:rsid w:val="00753D56"/>
    <w:rsid w:val="00755371"/>
    <w:rsid w:val="00760F7A"/>
    <w:rsid w:val="00761783"/>
    <w:rsid w:val="00761DEC"/>
    <w:rsid w:val="00762CE9"/>
    <w:rsid w:val="007638CF"/>
    <w:rsid w:val="0076480E"/>
    <w:rsid w:val="00766A0D"/>
    <w:rsid w:val="0076701E"/>
    <w:rsid w:val="00767FBB"/>
    <w:rsid w:val="007721EB"/>
    <w:rsid w:val="007727D8"/>
    <w:rsid w:val="00774164"/>
    <w:rsid w:val="00775A41"/>
    <w:rsid w:val="00777D52"/>
    <w:rsid w:val="00780CDB"/>
    <w:rsid w:val="0078474D"/>
    <w:rsid w:val="00785A40"/>
    <w:rsid w:val="007902B4"/>
    <w:rsid w:val="00790661"/>
    <w:rsid w:val="00791230"/>
    <w:rsid w:val="00791649"/>
    <w:rsid w:val="00794260"/>
    <w:rsid w:val="00794C51"/>
    <w:rsid w:val="007952DF"/>
    <w:rsid w:val="00795557"/>
    <w:rsid w:val="00795A57"/>
    <w:rsid w:val="007A08E7"/>
    <w:rsid w:val="007A383E"/>
    <w:rsid w:val="007A7A18"/>
    <w:rsid w:val="007B0DCE"/>
    <w:rsid w:val="007B14B1"/>
    <w:rsid w:val="007B16DD"/>
    <w:rsid w:val="007B7ABF"/>
    <w:rsid w:val="007C1569"/>
    <w:rsid w:val="007D1506"/>
    <w:rsid w:val="007D3F39"/>
    <w:rsid w:val="007D40E2"/>
    <w:rsid w:val="007D490C"/>
    <w:rsid w:val="007D512D"/>
    <w:rsid w:val="007D5132"/>
    <w:rsid w:val="007D5221"/>
    <w:rsid w:val="007D52FD"/>
    <w:rsid w:val="007D6351"/>
    <w:rsid w:val="007D68FB"/>
    <w:rsid w:val="007E1466"/>
    <w:rsid w:val="007E2571"/>
    <w:rsid w:val="007E4A08"/>
    <w:rsid w:val="007E4FAB"/>
    <w:rsid w:val="007E5A1C"/>
    <w:rsid w:val="007E5CFD"/>
    <w:rsid w:val="007E7CC0"/>
    <w:rsid w:val="007E7E9F"/>
    <w:rsid w:val="007F2020"/>
    <w:rsid w:val="007F4C3B"/>
    <w:rsid w:val="007F53E2"/>
    <w:rsid w:val="007F561B"/>
    <w:rsid w:val="007F5749"/>
    <w:rsid w:val="007F6F33"/>
    <w:rsid w:val="00800724"/>
    <w:rsid w:val="00800BAC"/>
    <w:rsid w:val="00801272"/>
    <w:rsid w:val="0080467D"/>
    <w:rsid w:val="00804EF2"/>
    <w:rsid w:val="00805C95"/>
    <w:rsid w:val="00805E97"/>
    <w:rsid w:val="00806153"/>
    <w:rsid w:val="008063C6"/>
    <w:rsid w:val="008063CB"/>
    <w:rsid w:val="00810100"/>
    <w:rsid w:val="008109B0"/>
    <w:rsid w:val="00810C91"/>
    <w:rsid w:val="008125CA"/>
    <w:rsid w:val="00815852"/>
    <w:rsid w:val="008158EF"/>
    <w:rsid w:val="00816EE6"/>
    <w:rsid w:val="008176D0"/>
    <w:rsid w:val="00817A74"/>
    <w:rsid w:val="008205C9"/>
    <w:rsid w:val="00820D79"/>
    <w:rsid w:val="00821091"/>
    <w:rsid w:val="008210D4"/>
    <w:rsid w:val="00821AEF"/>
    <w:rsid w:val="00821FA6"/>
    <w:rsid w:val="00822573"/>
    <w:rsid w:val="00822AC8"/>
    <w:rsid w:val="00822B35"/>
    <w:rsid w:val="00823272"/>
    <w:rsid w:val="008232BD"/>
    <w:rsid w:val="00826134"/>
    <w:rsid w:val="008263E2"/>
    <w:rsid w:val="0082688C"/>
    <w:rsid w:val="00826CD8"/>
    <w:rsid w:val="00831B06"/>
    <w:rsid w:val="00832016"/>
    <w:rsid w:val="00832E5D"/>
    <w:rsid w:val="00833452"/>
    <w:rsid w:val="0083356B"/>
    <w:rsid w:val="008338D8"/>
    <w:rsid w:val="008355D4"/>
    <w:rsid w:val="008370C1"/>
    <w:rsid w:val="008407E2"/>
    <w:rsid w:val="00840E99"/>
    <w:rsid w:val="00843EED"/>
    <w:rsid w:val="0084407C"/>
    <w:rsid w:val="00845A4C"/>
    <w:rsid w:val="00845CFF"/>
    <w:rsid w:val="0084647B"/>
    <w:rsid w:val="0084796E"/>
    <w:rsid w:val="00850B80"/>
    <w:rsid w:val="008516E1"/>
    <w:rsid w:val="00851E51"/>
    <w:rsid w:val="008520C9"/>
    <w:rsid w:val="00852B78"/>
    <w:rsid w:val="008539C7"/>
    <w:rsid w:val="00853F4B"/>
    <w:rsid w:val="008547DC"/>
    <w:rsid w:val="00854976"/>
    <w:rsid w:val="00854A2D"/>
    <w:rsid w:val="00855555"/>
    <w:rsid w:val="008568AC"/>
    <w:rsid w:val="00857BC3"/>
    <w:rsid w:val="00860742"/>
    <w:rsid w:val="00861F00"/>
    <w:rsid w:val="008621BC"/>
    <w:rsid w:val="0086232B"/>
    <w:rsid w:val="00863D85"/>
    <w:rsid w:val="0086712E"/>
    <w:rsid w:val="00867241"/>
    <w:rsid w:val="00870AAD"/>
    <w:rsid w:val="008715E0"/>
    <w:rsid w:val="008742ED"/>
    <w:rsid w:val="00875931"/>
    <w:rsid w:val="00876248"/>
    <w:rsid w:val="0087713C"/>
    <w:rsid w:val="0087740E"/>
    <w:rsid w:val="00880A8D"/>
    <w:rsid w:val="00885FC4"/>
    <w:rsid w:val="00886153"/>
    <w:rsid w:val="00887E94"/>
    <w:rsid w:val="00892DC1"/>
    <w:rsid w:val="00894558"/>
    <w:rsid w:val="00897341"/>
    <w:rsid w:val="008A067E"/>
    <w:rsid w:val="008A0C4A"/>
    <w:rsid w:val="008A1810"/>
    <w:rsid w:val="008A212F"/>
    <w:rsid w:val="008A21EC"/>
    <w:rsid w:val="008A291B"/>
    <w:rsid w:val="008A318E"/>
    <w:rsid w:val="008A5B65"/>
    <w:rsid w:val="008A70C8"/>
    <w:rsid w:val="008A793D"/>
    <w:rsid w:val="008A7B56"/>
    <w:rsid w:val="008B0885"/>
    <w:rsid w:val="008B383A"/>
    <w:rsid w:val="008B4097"/>
    <w:rsid w:val="008B45DD"/>
    <w:rsid w:val="008C0EFC"/>
    <w:rsid w:val="008C2A57"/>
    <w:rsid w:val="008C399B"/>
    <w:rsid w:val="008C4171"/>
    <w:rsid w:val="008C675A"/>
    <w:rsid w:val="008C70A7"/>
    <w:rsid w:val="008C7766"/>
    <w:rsid w:val="008D0021"/>
    <w:rsid w:val="008D04B8"/>
    <w:rsid w:val="008D199A"/>
    <w:rsid w:val="008D29E2"/>
    <w:rsid w:val="008D4366"/>
    <w:rsid w:val="008D4DEA"/>
    <w:rsid w:val="008D53C9"/>
    <w:rsid w:val="008D7C24"/>
    <w:rsid w:val="008E206E"/>
    <w:rsid w:val="008E22E9"/>
    <w:rsid w:val="008E27EA"/>
    <w:rsid w:val="008E296A"/>
    <w:rsid w:val="008E35A7"/>
    <w:rsid w:val="008E3E12"/>
    <w:rsid w:val="008E4BC0"/>
    <w:rsid w:val="008E538F"/>
    <w:rsid w:val="008E5B0E"/>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4FB1"/>
    <w:rsid w:val="00917A79"/>
    <w:rsid w:val="0092024E"/>
    <w:rsid w:val="00920842"/>
    <w:rsid w:val="00921D77"/>
    <w:rsid w:val="0092428A"/>
    <w:rsid w:val="009249B4"/>
    <w:rsid w:val="0092501C"/>
    <w:rsid w:val="00926627"/>
    <w:rsid w:val="00927FE6"/>
    <w:rsid w:val="009316D2"/>
    <w:rsid w:val="009319C3"/>
    <w:rsid w:val="00931CE7"/>
    <w:rsid w:val="009334EE"/>
    <w:rsid w:val="00935971"/>
    <w:rsid w:val="009364DE"/>
    <w:rsid w:val="00937108"/>
    <w:rsid w:val="00937B24"/>
    <w:rsid w:val="00941790"/>
    <w:rsid w:val="009438EB"/>
    <w:rsid w:val="00943A59"/>
    <w:rsid w:val="00943F44"/>
    <w:rsid w:val="00945114"/>
    <w:rsid w:val="00945370"/>
    <w:rsid w:val="00945D69"/>
    <w:rsid w:val="00946ABA"/>
    <w:rsid w:val="00946C15"/>
    <w:rsid w:val="00947663"/>
    <w:rsid w:val="00947E99"/>
    <w:rsid w:val="00950FB3"/>
    <w:rsid w:val="0095174A"/>
    <w:rsid w:val="009525C3"/>
    <w:rsid w:val="00953BBB"/>
    <w:rsid w:val="00954BFE"/>
    <w:rsid w:val="00954E69"/>
    <w:rsid w:val="00955155"/>
    <w:rsid w:val="00956694"/>
    <w:rsid w:val="00962005"/>
    <w:rsid w:val="009625D4"/>
    <w:rsid w:val="0096362C"/>
    <w:rsid w:val="009668C2"/>
    <w:rsid w:val="00971E52"/>
    <w:rsid w:val="00971FF7"/>
    <w:rsid w:val="00972AF9"/>
    <w:rsid w:val="00973F66"/>
    <w:rsid w:val="00975A18"/>
    <w:rsid w:val="00976359"/>
    <w:rsid w:val="009800AA"/>
    <w:rsid w:val="009803F5"/>
    <w:rsid w:val="0098223A"/>
    <w:rsid w:val="00982397"/>
    <w:rsid w:val="009824A4"/>
    <w:rsid w:val="009828F8"/>
    <w:rsid w:val="009835BB"/>
    <w:rsid w:val="00983904"/>
    <w:rsid w:val="00983B24"/>
    <w:rsid w:val="0098642B"/>
    <w:rsid w:val="00987188"/>
    <w:rsid w:val="00987369"/>
    <w:rsid w:val="00987EEB"/>
    <w:rsid w:val="00990672"/>
    <w:rsid w:val="00992680"/>
    <w:rsid w:val="009928B8"/>
    <w:rsid w:val="00992D59"/>
    <w:rsid w:val="00994812"/>
    <w:rsid w:val="009948ED"/>
    <w:rsid w:val="00995977"/>
    <w:rsid w:val="00995AF3"/>
    <w:rsid w:val="00995B1C"/>
    <w:rsid w:val="009A0DED"/>
    <w:rsid w:val="009A0FE1"/>
    <w:rsid w:val="009A1207"/>
    <w:rsid w:val="009A12CC"/>
    <w:rsid w:val="009A1E6A"/>
    <w:rsid w:val="009A2E1F"/>
    <w:rsid w:val="009A322D"/>
    <w:rsid w:val="009A4021"/>
    <w:rsid w:val="009A5A12"/>
    <w:rsid w:val="009A5E63"/>
    <w:rsid w:val="009A6718"/>
    <w:rsid w:val="009A6D5C"/>
    <w:rsid w:val="009B00F8"/>
    <w:rsid w:val="009B0EBA"/>
    <w:rsid w:val="009B2512"/>
    <w:rsid w:val="009B3EF7"/>
    <w:rsid w:val="009B4072"/>
    <w:rsid w:val="009B4657"/>
    <w:rsid w:val="009B5096"/>
    <w:rsid w:val="009B79E5"/>
    <w:rsid w:val="009B7E34"/>
    <w:rsid w:val="009B7FEF"/>
    <w:rsid w:val="009C2B21"/>
    <w:rsid w:val="009C3CC4"/>
    <w:rsid w:val="009C57D2"/>
    <w:rsid w:val="009C6D07"/>
    <w:rsid w:val="009C7CC2"/>
    <w:rsid w:val="009D39FF"/>
    <w:rsid w:val="009D4EA6"/>
    <w:rsid w:val="009D4EB3"/>
    <w:rsid w:val="009D6298"/>
    <w:rsid w:val="009D7D5C"/>
    <w:rsid w:val="009D7F85"/>
    <w:rsid w:val="009E1A2F"/>
    <w:rsid w:val="009E50F7"/>
    <w:rsid w:val="009E7800"/>
    <w:rsid w:val="009F3B3B"/>
    <w:rsid w:val="009F512E"/>
    <w:rsid w:val="009F7CB7"/>
    <w:rsid w:val="00A019F4"/>
    <w:rsid w:val="00A01BA0"/>
    <w:rsid w:val="00A02040"/>
    <w:rsid w:val="00A0357B"/>
    <w:rsid w:val="00A037B8"/>
    <w:rsid w:val="00A03C0A"/>
    <w:rsid w:val="00A03DE2"/>
    <w:rsid w:val="00A045F4"/>
    <w:rsid w:val="00A05F20"/>
    <w:rsid w:val="00A06332"/>
    <w:rsid w:val="00A11095"/>
    <w:rsid w:val="00A122DF"/>
    <w:rsid w:val="00A12542"/>
    <w:rsid w:val="00A13BEA"/>
    <w:rsid w:val="00A14171"/>
    <w:rsid w:val="00A15232"/>
    <w:rsid w:val="00A15EDE"/>
    <w:rsid w:val="00A16B79"/>
    <w:rsid w:val="00A16E24"/>
    <w:rsid w:val="00A22C11"/>
    <w:rsid w:val="00A25378"/>
    <w:rsid w:val="00A269BE"/>
    <w:rsid w:val="00A26F02"/>
    <w:rsid w:val="00A27013"/>
    <w:rsid w:val="00A2716D"/>
    <w:rsid w:val="00A27EDD"/>
    <w:rsid w:val="00A31625"/>
    <w:rsid w:val="00A33A76"/>
    <w:rsid w:val="00A33BAB"/>
    <w:rsid w:val="00A34A44"/>
    <w:rsid w:val="00A35926"/>
    <w:rsid w:val="00A35BA2"/>
    <w:rsid w:val="00A35C68"/>
    <w:rsid w:val="00A37278"/>
    <w:rsid w:val="00A37D8B"/>
    <w:rsid w:val="00A40BCD"/>
    <w:rsid w:val="00A411A3"/>
    <w:rsid w:val="00A418F9"/>
    <w:rsid w:val="00A42DA7"/>
    <w:rsid w:val="00A438A7"/>
    <w:rsid w:val="00A447C7"/>
    <w:rsid w:val="00A467C8"/>
    <w:rsid w:val="00A51444"/>
    <w:rsid w:val="00A51E42"/>
    <w:rsid w:val="00A52F13"/>
    <w:rsid w:val="00A5322E"/>
    <w:rsid w:val="00A53677"/>
    <w:rsid w:val="00A54354"/>
    <w:rsid w:val="00A548B5"/>
    <w:rsid w:val="00A56003"/>
    <w:rsid w:val="00A56D55"/>
    <w:rsid w:val="00A56EED"/>
    <w:rsid w:val="00A57F20"/>
    <w:rsid w:val="00A60262"/>
    <w:rsid w:val="00A60265"/>
    <w:rsid w:val="00A60532"/>
    <w:rsid w:val="00A6109B"/>
    <w:rsid w:val="00A63987"/>
    <w:rsid w:val="00A64E89"/>
    <w:rsid w:val="00A70CA8"/>
    <w:rsid w:val="00A71E75"/>
    <w:rsid w:val="00A7260C"/>
    <w:rsid w:val="00A73799"/>
    <w:rsid w:val="00A74DBB"/>
    <w:rsid w:val="00A765DF"/>
    <w:rsid w:val="00A77FB3"/>
    <w:rsid w:val="00A808DD"/>
    <w:rsid w:val="00A820A8"/>
    <w:rsid w:val="00A821B5"/>
    <w:rsid w:val="00A869AC"/>
    <w:rsid w:val="00A86C3B"/>
    <w:rsid w:val="00A90235"/>
    <w:rsid w:val="00A902F6"/>
    <w:rsid w:val="00A90CBF"/>
    <w:rsid w:val="00A90E4D"/>
    <w:rsid w:val="00A91B7E"/>
    <w:rsid w:val="00A954C6"/>
    <w:rsid w:val="00AA0091"/>
    <w:rsid w:val="00AA00AD"/>
    <w:rsid w:val="00AA04CD"/>
    <w:rsid w:val="00AA0888"/>
    <w:rsid w:val="00AA12D7"/>
    <w:rsid w:val="00AA1BDD"/>
    <w:rsid w:val="00AA45A7"/>
    <w:rsid w:val="00AA46B9"/>
    <w:rsid w:val="00AA4F80"/>
    <w:rsid w:val="00AA575E"/>
    <w:rsid w:val="00AA5ADD"/>
    <w:rsid w:val="00AA5D39"/>
    <w:rsid w:val="00AB0265"/>
    <w:rsid w:val="00AB03C2"/>
    <w:rsid w:val="00AB1105"/>
    <w:rsid w:val="00AB2564"/>
    <w:rsid w:val="00AB3BA3"/>
    <w:rsid w:val="00AB490F"/>
    <w:rsid w:val="00AB4E34"/>
    <w:rsid w:val="00AB547D"/>
    <w:rsid w:val="00AC0042"/>
    <w:rsid w:val="00AC01B5"/>
    <w:rsid w:val="00AC0CA1"/>
    <w:rsid w:val="00AC13F4"/>
    <w:rsid w:val="00AC25D1"/>
    <w:rsid w:val="00AC3044"/>
    <w:rsid w:val="00AC305A"/>
    <w:rsid w:val="00AC3EAF"/>
    <w:rsid w:val="00AC613F"/>
    <w:rsid w:val="00AC6560"/>
    <w:rsid w:val="00AC7A12"/>
    <w:rsid w:val="00AD107E"/>
    <w:rsid w:val="00AD1611"/>
    <w:rsid w:val="00AD26BE"/>
    <w:rsid w:val="00AD3297"/>
    <w:rsid w:val="00AD3405"/>
    <w:rsid w:val="00AD394E"/>
    <w:rsid w:val="00AD5653"/>
    <w:rsid w:val="00AE24D0"/>
    <w:rsid w:val="00AE666E"/>
    <w:rsid w:val="00AE6D69"/>
    <w:rsid w:val="00AE705F"/>
    <w:rsid w:val="00AE71A1"/>
    <w:rsid w:val="00AF2825"/>
    <w:rsid w:val="00AF2E9A"/>
    <w:rsid w:val="00AF3FB7"/>
    <w:rsid w:val="00AF4183"/>
    <w:rsid w:val="00AF4DC6"/>
    <w:rsid w:val="00AF4DEC"/>
    <w:rsid w:val="00AF4FF8"/>
    <w:rsid w:val="00AF50B7"/>
    <w:rsid w:val="00AF6367"/>
    <w:rsid w:val="00B00498"/>
    <w:rsid w:val="00B00823"/>
    <w:rsid w:val="00B01606"/>
    <w:rsid w:val="00B0452E"/>
    <w:rsid w:val="00B0458E"/>
    <w:rsid w:val="00B05012"/>
    <w:rsid w:val="00B05BB3"/>
    <w:rsid w:val="00B10DDB"/>
    <w:rsid w:val="00B10F04"/>
    <w:rsid w:val="00B1130A"/>
    <w:rsid w:val="00B11DC0"/>
    <w:rsid w:val="00B1229D"/>
    <w:rsid w:val="00B12AF7"/>
    <w:rsid w:val="00B12BDA"/>
    <w:rsid w:val="00B13827"/>
    <w:rsid w:val="00B150B3"/>
    <w:rsid w:val="00B15380"/>
    <w:rsid w:val="00B175A0"/>
    <w:rsid w:val="00B214D3"/>
    <w:rsid w:val="00B23BD4"/>
    <w:rsid w:val="00B2406E"/>
    <w:rsid w:val="00B25B24"/>
    <w:rsid w:val="00B27108"/>
    <w:rsid w:val="00B3037F"/>
    <w:rsid w:val="00B30769"/>
    <w:rsid w:val="00B319DD"/>
    <w:rsid w:val="00B329B6"/>
    <w:rsid w:val="00B3349F"/>
    <w:rsid w:val="00B33DCE"/>
    <w:rsid w:val="00B34013"/>
    <w:rsid w:val="00B34F8F"/>
    <w:rsid w:val="00B353E9"/>
    <w:rsid w:val="00B37542"/>
    <w:rsid w:val="00B4071D"/>
    <w:rsid w:val="00B41D59"/>
    <w:rsid w:val="00B42AC5"/>
    <w:rsid w:val="00B43284"/>
    <w:rsid w:val="00B43C1B"/>
    <w:rsid w:val="00B444B6"/>
    <w:rsid w:val="00B44752"/>
    <w:rsid w:val="00B447B4"/>
    <w:rsid w:val="00B45596"/>
    <w:rsid w:val="00B45AEE"/>
    <w:rsid w:val="00B46244"/>
    <w:rsid w:val="00B465BD"/>
    <w:rsid w:val="00B469E5"/>
    <w:rsid w:val="00B471A4"/>
    <w:rsid w:val="00B47BD3"/>
    <w:rsid w:val="00B500DB"/>
    <w:rsid w:val="00B5089C"/>
    <w:rsid w:val="00B51AA4"/>
    <w:rsid w:val="00B525B5"/>
    <w:rsid w:val="00B54EFD"/>
    <w:rsid w:val="00B555CE"/>
    <w:rsid w:val="00B55836"/>
    <w:rsid w:val="00B55870"/>
    <w:rsid w:val="00B5651F"/>
    <w:rsid w:val="00B56C7F"/>
    <w:rsid w:val="00B579E5"/>
    <w:rsid w:val="00B60ECC"/>
    <w:rsid w:val="00B62EA8"/>
    <w:rsid w:val="00B63002"/>
    <w:rsid w:val="00B6479C"/>
    <w:rsid w:val="00B64F87"/>
    <w:rsid w:val="00B64FE3"/>
    <w:rsid w:val="00B653BB"/>
    <w:rsid w:val="00B65AD5"/>
    <w:rsid w:val="00B66533"/>
    <w:rsid w:val="00B66B50"/>
    <w:rsid w:val="00B6704D"/>
    <w:rsid w:val="00B71427"/>
    <w:rsid w:val="00B71AD4"/>
    <w:rsid w:val="00B72829"/>
    <w:rsid w:val="00B72948"/>
    <w:rsid w:val="00B73520"/>
    <w:rsid w:val="00B7368F"/>
    <w:rsid w:val="00B745FB"/>
    <w:rsid w:val="00B76488"/>
    <w:rsid w:val="00B764B0"/>
    <w:rsid w:val="00B77D12"/>
    <w:rsid w:val="00B8043E"/>
    <w:rsid w:val="00B80864"/>
    <w:rsid w:val="00B817CF"/>
    <w:rsid w:val="00B8269F"/>
    <w:rsid w:val="00B83201"/>
    <w:rsid w:val="00B8338B"/>
    <w:rsid w:val="00B83C43"/>
    <w:rsid w:val="00B83E72"/>
    <w:rsid w:val="00B851FB"/>
    <w:rsid w:val="00B908E7"/>
    <w:rsid w:val="00B93186"/>
    <w:rsid w:val="00B9472A"/>
    <w:rsid w:val="00B94780"/>
    <w:rsid w:val="00B974E5"/>
    <w:rsid w:val="00BA0A43"/>
    <w:rsid w:val="00BA1DC6"/>
    <w:rsid w:val="00BA2102"/>
    <w:rsid w:val="00BA4D63"/>
    <w:rsid w:val="00BA645F"/>
    <w:rsid w:val="00BB0257"/>
    <w:rsid w:val="00BB02DB"/>
    <w:rsid w:val="00BB19B7"/>
    <w:rsid w:val="00BB32B8"/>
    <w:rsid w:val="00BB4322"/>
    <w:rsid w:val="00BB5B80"/>
    <w:rsid w:val="00BB60B8"/>
    <w:rsid w:val="00BC039A"/>
    <w:rsid w:val="00BC085E"/>
    <w:rsid w:val="00BC5FDF"/>
    <w:rsid w:val="00BC634D"/>
    <w:rsid w:val="00BC7FE9"/>
    <w:rsid w:val="00BD02F5"/>
    <w:rsid w:val="00BD20CF"/>
    <w:rsid w:val="00BD3E0D"/>
    <w:rsid w:val="00BD4529"/>
    <w:rsid w:val="00BD4CA2"/>
    <w:rsid w:val="00BD4E96"/>
    <w:rsid w:val="00BD589C"/>
    <w:rsid w:val="00BD7706"/>
    <w:rsid w:val="00BD77B5"/>
    <w:rsid w:val="00BD7C6D"/>
    <w:rsid w:val="00BE095B"/>
    <w:rsid w:val="00BE22B6"/>
    <w:rsid w:val="00BE4C09"/>
    <w:rsid w:val="00BE4D08"/>
    <w:rsid w:val="00BE4FC8"/>
    <w:rsid w:val="00BE5551"/>
    <w:rsid w:val="00BE5DB0"/>
    <w:rsid w:val="00BE7F6A"/>
    <w:rsid w:val="00BF063B"/>
    <w:rsid w:val="00BF08F0"/>
    <w:rsid w:val="00BF195B"/>
    <w:rsid w:val="00BF22AD"/>
    <w:rsid w:val="00BF2B03"/>
    <w:rsid w:val="00BF2D29"/>
    <w:rsid w:val="00BF32B7"/>
    <w:rsid w:val="00BF3DA2"/>
    <w:rsid w:val="00BF3FB8"/>
    <w:rsid w:val="00BF4F27"/>
    <w:rsid w:val="00BF6C8C"/>
    <w:rsid w:val="00BF6D0B"/>
    <w:rsid w:val="00BF7E18"/>
    <w:rsid w:val="00C00C3B"/>
    <w:rsid w:val="00C0268E"/>
    <w:rsid w:val="00C0358B"/>
    <w:rsid w:val="00C0449D"/>
    <w:rsid w:val="00C064A7"/>
    <w:rsid w:val="00C07E6C"/>
    <w:rsid w:val="00C102D6"/>
    <w:rsid w:val="00C103E2"/>
    <w:rsid w:val="00C110AA"/>
    <w:rsid w:val="00C11385"/>
    <w:rsid w:val="00C11843"/>
    <w:rsid w:val="00C11AF0"/>
    <w:rsid w:val="00C11EC4"/>
    <w:rsid w:val="00C1217A"/>
    <w:rsid w:val="00C125DB"/>
    <w:rsid w:val="00C12ED0"/>
    <w:rsid w:val="00C13613"/>
    <w:rsid w:val="00C16CA0"/>
    <w:rsid w:val="00C2149B"/>
    <w:rsid w:val="00C22419"/>
    <w:rsid w:val="00C245D1"/>
    <w:rsid w:val="00C262BA"/>
    <w:rsid w:val="00C2791D"/>
    <w:rsid w:val="00C27D64"/>
    <w:rsid w:val="00C30E16"/>
    <w:rsid w:val="00C35E83"/>
    <w:rsid w:val="00C36115"/>
    <w:rsid w:val="00C410A8"/>
    <w:rsid w:val="00C41594"/>
    <w:rsid w:val="00C41C1F"/>
    <w:rsid w:val="00C4245A"/>
    <w:rsid w:val="00C42A53"/>
    <w:rsid w:val="00C43D5D"/>
    <w:rsid w:val="00C44C80"/>
    <w:rsid w:val="00C45335"/>
    <w:rsid w:val="00C50857"/>
    <w:rsid w:val="00C52130"/>
    <w:rsid w:val="00C52361"/>
    <w:rsid w:val="00C524ED"/>
    <w:rsid w:val="00C52A0B"/>
    <w:rsid w:val="00C57489"/>
    <w:rsid w:val="00C604BD"/>
    <w:rsid w:val="00C61872"/>
    <w:rsid w:val="00C631D2"/>
    <w:rsid w:val="00C63E2A"/>
    <w:rsid w:val="00C6614D"/>
    <w:rsid w:val="00C66FE8"/>
    <w:rsid w:val="00C67F47"/>
    <w:rsid w:val="00C70B7F"/>
    <w:rsid w:val="00C71983"/>
    <w:rsid w:val="00C721B6"/>
    <w:rsid w:val="00C7234D"/>
    <w:rsid w:val="00C737A6"/>
    <w:rsid w:val="00C74171"/>
    <w:rsid w:val="00C74338"/>
    <w:rsid w:val="00C74C4D"/>
    <w:rsid w:val="00C77337"/>
    <w:rsid w:val="00C801A7"/>
    <w:rsid w:val="00C8036D"/>
    <w:rsid w:val="00C80A33"/>
    <w:rsid w:val="00C80DCA"/>
    <w:rsid w:val="00C81771"/>
    <w:rsid w:val="00C8411E"/>
    <w:rsid w:val="00C84E9B"/>
    <w:rsid w:val="00C86851"/>
    <w:rsid w:val="00C86BF0"/>
    <w:rsid w:val="00C87EB7"/>
    <w:rsid w:val="00C9170C"/>
    <w:rsid w:val="00C926A4"/>
    <w:rsid w:val="00C92B56"/>
    <w:rsid w:val="00C930DF"/>
    <w:rsid w:val="00C93222"/>
    <w:rsid w:val="00C9461A"/>
    <w:rsid w:val="00C94F87"/>
    <w:rsid w:val="00C969D1"/>
    <w:rsid w:val="00C97927"/>
    <w:rsid w:val="00C97A9F"/>
    <w:rsid w:val="00C97B30"/>
    <w:rsid w:val="00CA0D6F"/>
    <w:rsid w:val="00CA1D21"/>
    <w:rsid w:val="00CA224C"/>
    <w:rsid w:val="00CA3342"/>
    <w:rsid w:val="00CA33F8"/>
    <w:rsid w:val="00CA3A65"/>
    <w:rsid w:val="00CA735A"/>
    <w:rsid w:val="00CA7F9F"/>
    <w:rsid w:val="00CB04A4"/>
    <w:rsid w:val="00CB2002"/>
    <w:rsid w:val="00CB28E7"/>
    <w:rsid w:val="00CB2B77"/>
    <w:rsid w:val="00CB2DEE"/>
    <w:rsid w:val="00CB5475"/>
    <w:rsid w:val="00CB54F4"/>
    <w:rsid w:val="00CB649B"/>
    <w:rsid w:val="00CB6718"/>
    <w:rsid w:val="00CB6BBB"/>
    <w:rsid w:val="00CC0807"/>
    <w:rsid w:val="00CC0852"/>
    <w:rsid w:val="00CC09C8"/>
    <w:rsid w:val="00CC0DF1"/>
    <w:rsid w:val="00CC1E5D"/>
    <w:rsid w:val="00CC257A"/>
    <w:rsid w:val="00CC3662"/>
    <w:rsid w:val="00CC48AC"/>
    <w:rsid w:val="00CC4BBA"/>
    <w:rsid w:val="00CC4CA4"/>
    <w:rsid w:val="00CC513F"/>
    <w:rsid w:val="00CC6809"/>
    <w:rsid w:val="00CD17D5"/>
    <w:rsid w:val="00CD3B53"/>
    <w:rsid w:val="00CD5B08"/>
    <w:rsid w:val="00CD76A5"/>
    <w:rsid w:val="00CE08E1"/>
    <w:rsid w:val="00CE114E"/>
    <w:rsid w:val="00CE3355"/>
    <w:rsid w:val="00CE4370"/>
    <w:rsid w:val="00CE43FB"/>
    <w:rsid w:val="00CE55F3"/>
    <w:rsid w:val="00CE660C"/>
    <w:rsid w:val="00CE66EA"/>
    <w:rsid w:val="00CE720B"/>
    <w:rsid w:val="00CE7445"/>
    <w:rsid w:val="00CE7C56"/>
    <w:rsid w:val="00CE7E94"/>
    <w:rsid w:val="00CE7ED3"/>
    <w:rsid w:val="00CF170D"/>
    <w:rsid w:val="00CF2BB7"/>
    <w:rsid w:val="00CF3F63"/>
    <w:rsid w:val="00CF410F"/>
    <w:rsid w:val="00CF60E0"/>
    <w:rsid w:val="00CF716B"/>
    <w:rsid w:val="00D00673"/>
    <w:rsid w:val="00D00AA2"/>
    <w:rsid w:val="00D0198A"/>
    <w:rsid w:val="00D034AB"/>
    <w:rsid w:val="00D03AF1"/>
    <w:rsid w:val="00D04237"/>
    <w:rsid w:val="00D0437F"/>
    <w:rsid w:val="00D06750"/>
    <w:rsid w:val="00D06C89"/>
    <w:rsid w:val="00D06FC1"/>
    <w:rsid w:val="00D07907"/>
    <w:rsid w:val="00D106B9"/>
    <w:rsid w:val="00D14B38"/>
    <w:rsid w:val="00D14C64"/>
    <w:rsid w:val="00D164E6"/>
    <w:rsid w:val="00D16B57"/>
    <w:rsid w:val="00D16B59"/>
    <w:rsid w:val="00D21203"/>
    <w:rsid w:val="00D224A3"/>
    <w:rsid w:val="00D226E5"/>
    <w:rsid w:val="00D232C6"/>
    <w:rsid w:val="00D23717"/>
    <w:rsid w:val="00D23D3B"/>
    <w:rsid w:val="00D25C8B"/>
    <w:rsid w:val="00D25D12"/>
    <w:rsid w:val="00D27188"/>
    <w:rsid w:val="00D27859"/>
    <w:rsid w:val="00D30EF4"/>
    <w:rsid w:val="00D31430"/>
    <w:rsid w:val="00D3376E"/>
    <w:rsid w:val="00D33ACB"/>
    <w:rsid w:val="00D363FD"/>
    <w:rsid w:val="00D37234"/>
    <w:rsid w:val="00D37FE6"/>
    <w:rsid w:val="00D4096C"/>
    <w:rsid w:val="00D40EB1"/>
    <w:rsid w:val="00D416E3"/>
    <w:rsid w:val="00D41EDC"/>
    <w:rsid w:val="00D41F7E"/>
    <w:rsid w:val="00D428A0"/>
    <w:rsid w:val="00D43564"/>
    <w:rsid w:val="00D43750"/>
    <w:rsid w:val="00D43C45"/>
    <w:rsid w:val="00D44AF3"/>
    <w:rsid w:val="00D47001"/>
    <w:rsid w:val="00D5001E"/>
    <w:rsid w:val="00D504EE"/>
    <w:rsid w:val="00D51894"/>
    <w:rsid w:val="00D51AFA"/>
    <w:rsid w:val="00D51B3B"/>
    <w:rsid w:val="00D52153"/>
    <w:rsid w:val="00D5327B"/>
    <w:rsid w:val="00D5379A"/>
    <w:rsid w:val="00D55BDB"/>
    <w:rsid w:val="00D5613C"/>
    <w:rsid w:val="00D565C9"/>
    <w:rsid w:val="00D57629"/>
    <w:rsid w:val="00D60878"/>
    <w:rsid w:val="00D60ECA"/>
    <w:rsid w:val="00D64531"/>
    <w:rsid w:val="00D647E8"/>
    <w:rsid w:val="00D64944"/>
    <w:rsid w:val="00D67710"/>
    <w:rsid w:val="00D72FEF"/>
    <w:rsid w:val="00D74984"/>
    <w:rsid w:val="00D775DD"/>
    <w:rsid w:val="00D775EF"/>
    <w:rsid w:val="00D77E69"/>
    <w:rsid w:val="00D803E8"/>
    <w:rsid w:val="00D805DB"/>
    <w:rsid w:val="00D819E2"/>
    <w:rsid w:val="00D822F1"/>
    <w:rsid w:val="00D824F4"/>
    <w:rsid w:val="00D8372F"/>
    <w:rsid w:val="00D90332"/>
    <w:rsid w:val="00D9073B"/>
    <w:rsid w:val="00D90A41"/>
    <w:rsid w:val="00D92988"/>
    <w:rsid w:val="00D9377B"/>
    <w:rsid w:val="00D94EAB"/>
    <w:rsid w:val="00D96031"/>
    <w:rsid w:val="00D96ABC"/>
    <w:rsid w:val="00D97067"/>
    <w:rsid w:val="00D9727A"/>
    <w:rsid w:val="00D97622"/>
    <w:rsid w:val="00DA003A"/>
    <w:rsid w:val="00DA2415"/>
    <w:rsid w:val="00DA27AF"/>
    <w:rsid w:val="00DA3A59"/>
    <w:rsid w:val="00DA3CED"/>
    <w:rsid w:val="00DA421F"/>
    <w:rsid w:val="00DA5D20"/>
    <w:rsid w:val="00DA615F"/>
    <w:rsid w:val="00DA6586"/>
    <w:rsid w:val="00DA66CE"/>
    <w:rsid w:val="00DA6B93"/>
    <w:rsid w:val="00DB28C3"/>
    <w:rsid w:val="00DB3AA4"/>
    <w:rsid w:val="00DB50FF"/>
    <w:rsid w:val="00DB5495"/>
    <w:rsid w:val="00DB5C36"/>
    <w:rsid w:val="00DB7367"/>
    <w:rsid w:val="00DC0208"/>
    <w:rsid w:val="00DC09F8"/>
    <w:rsid w:val="00DC195D"/>
    <w:rsid w:val="00DC25D6"/>
    <w:rsid w:val="00DC2612"/>
    <w:rsid w:val="00DC3351"/>
    <w:rsid w:val="00DC3C3D"/>
    <w:rsid w:val="00DC4761"/>
    <w:rsid w:val="00DC4E10"/>
    <w:rsid w:val="00DC54A5"/>
    <w:rsid w:val="00DC55B3"/>
    <w:rsid w:val="00DC5853"/>
    <w:rsid w:val="00DC5DCA"/>
    <w:rsid w:val="00DC79F4"/>
    <w:rsid w:val="00DD16BB"/>
    <w:rsid w:val="00DD32B0"/>
    <w:rsid w:val="00DD341D"/>
    <w:rsid w:val="00DD388B"/>
    <w:rsid w:val="00DD45D1"/>
    <w:rsid w:val="00DD4895"/>
    <w:rsid w:val="00DE106B"/>
    <w:rsid w:val="00DE2F57"/>
    <w:rsid w:val="00DE496D"/>
    <w:rsid w:val="00DE4D98"/>
    <w:rsid w:val="00DE515C"/>
    <w:rsid w:val="00DE5BB1"/>
    <w:rsid w:val="00DE60C5"/>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E1"/>
    <w:rsid w:val="00E033BE"/>
    <w:rsid w:val="00E042A2"/>
    <w:rsid w:val="00E04CB5"/>
    <w:rsid w:val="00E06D95"/>
    <w:rsid w:val="00E070BA"/>
    <w:rsid w:val="00E075CF"/>
    <w:rsid w:val="00E10563"/>
    <w:rsid w:val="00E10819"/>
    <w:rsid w:val="00E10FD4"/>
    <w:rsid w:val="00E118A4"/>
    <w:rsid w:val="00E11C4A"/>
    <w:rsid w:val="00E12F28"/>
    <w:rsid w:val="00E13183"/>
    <w:rsid w:val="00E1445A"/>
    <w:rsid w:val="00E1696F"/>
    <w:rsid w:val="00E17F27"/>
    <w:rsid w:val="00E20A8B"/>
    <w:rsid w:val="00E2125F"/>
    <w:rsid w:val="00E21D8C"/>
    <w:rsid w:val="00E22B48"/>
    <w:rsid w:val="00E233FF"/>
    <w:rsid w:val="00E25019"/>
    <w:rsid w:val="00E2511A"/>
    <w:rsid w:val="00E27092"/>
    <w:rsid w:val="00E32577"/>
    <w:rsid w:val="00E33FBD"/>
    <w:rsid w:val="00E35C21"/>
    <w:rsid w:val="00E360F0"/>
    <w:rsid w:val="00E36B2F"/>
    <w:rsid w:val="00E370FB"/>
    <w:rsid w:val="00E37BDE"/>
    <w:rsid w:val="00E42A0C"/>
    <w:rsid w:val="00E4613C"/>
    <w:rsid w:val="00E4629B"/>
    <w:rsid w:val="00E46AC4"/>
    <w:rsid w:val="00E478EE"/>
    <w:rsid w:val="00E51CE6"/>
    <w:rsid w:val="00E5230E"/>
    <w:rsid w:val="00E52D43"/>
    <w:rsid w:val="00E53249"/>
    <w:rsid w:val="00E5526A"/>
    <w:rsid w:val="00E5551B"/>
    <w:rsid w:val="00E55610"/>
    <w:rsid w:val="00E562AB"/>
    <w:rsid w:val="00E56C8B"/>
    <w:rsid w:val="00E601A3"/>
    <w:rsid w:val="00E60794"/>
    <w:rsid w:val="00E60E34"/>
    <w:rsid w:val="00E613FD"/>
    <w:rsid w:val="00E61B17"/>
    <w:rsid w:val="00E6227E"/>
    <w:rsid w:val="00E62669"/>
    <w:rsid w:val="00E638F7"/>
    <w:rsid w:val="00E65370"/>
    <w:rsid w:val="00E65BF4"/>
    <w:rsid w:val="00E663BB"/>
    <w:rsid w:val="00E664A2"/>
    <w:rsid w:val="00E669BF"/>
    <w:rsid w:val="00E72582"/>
    <w:rsid w:val="00E72F5C"/>
    <w:rsid w:val="00E738D5"/>
    <w:rsid w:val="00E747B3"/>
    <w:rsid w:val="00E74A51"/>
    <w:rsid w:val="00E75210"/>
    <w:rsid w:val="00E800B0"/>
    <w:rsid w:val="00E802B4"/>
    <w:rsid w:val="00E81067"/>
    <w:rsid w:val="00E82405"/>
    <w:rsid w:val="00E83644"/>
    <w:rsid w:val="00E83C7C"/>
    <w:rsid w:val="00E83CC4"/>
    <w:rsid w:val="00E84EF4"/>
    <w:rsid w:val="00E86820"/>
    <w:rsid w:val="00E87244"/>
    <w:rsid w:val="00E873DB"/>
    <w:rsid w:val="00E875C5"/>
    <w:rsid w:val="00E9045F"/>
    <w:rsid w:val="00E9057C"/>
    <w:rsid w:val="00E90599"/>
    <w:rsid w:val="00E906F2"/>
    <w:rsid w:val="00E911E7"/>
    <w:rsid w:val="00E91CB2"/>
    <w:rsid w:val="00E93979"/>
    <w:rsid w:val="00E939B6"/>
    <w:rsid w:val="00E94FF5"/>
    <w:rsid w:val="00E96E22"/>
    <w:rsid w:val="00E97752"/>
    <w:rsid w:val="00E97C51"/>
    <w:rsid w:val="00E97D4D"/>
    <w:rsid w:val="00EA0150"/>
    <w:rsid w:val="00EA222B"/>
    <w:rsid w:val="00EA3015"/>
    <w:rsid w:val="00EA33D9"/>
    <w:rsid w:val="00EA3579"/>
    <w:rsid w:val="00EA3B91"/>
    <w:rsid w:val="00EA3FFB"/>
    <w:rsid w:val="00EA49EF"/>
    <w:rsid w:val="00EA4A0F"/>
    <w:rsid w:val="00EA6769"/>
    <w:rsid w:val="00EA6BFD"/>
    <w:rsid w:val="00EB18C1"/>
    <w:rsid w:val="00EB3D0A"/>
    <w:rsid w:val="00EB3DA1"/>
    <w:rsid w:val="00EB3ED3"/>
    <w:rsid w:val="00EB44E2"/>
    <w:rsid w:val="00EB514D"/>
    <w:rsid w:val="00EB6AB1"/>
    <w:rsid w:val="00EB6E10"/>
    <w:rsid w:val="00EC021F"/>
    <w:rsid w:val="00EC0C4E"/>
    <w:rsid w:val="00EC21F9"/>
    <w:rsid w:val="00EC44AB"/>
    <w:rsid w:val="00EC4A1F"/>
    <w:rsid w:val="00EC4CA9"/>
    <w:rsid w:val="00EC6204"/>
    <w:rsid w:val="00EC720C"/>
    <w:rsid w:val="00EC7C03"/>
    <w:rsid w:val="00ED0230"/>
    <w:rsid w:val="00ED2040"/>
    <w:rsid w:val="00ED2C73"/>
    <w:rsid w:val="00ED2D71"/>
    <w:rsid w:val="00ED3DCD"/>
    <w:rsid w:val="00ED52A2"/>
    <w:rsid w:val="00ED58B2"/>
    <w:rsid w:val="00ED5A1C"/>
    <w:rsid w:val="00ED6A6E"/>
    <w:rsid w:val="00ED7FA7"/>
    <w:rsid w:val="00EE0392"/>
    <w:rsid w:val="00EE0555"/>
    <w:rsid w:val="00EE3ED6"/>
    <w:rsid w:val="00EE5504"/>
    <w:rsid w:val="00EE5BE5"/>
    <w:rsid w:val="00EE6C71"/>
    <w:rsid w:val="00EE7B20"/>
    <w:rsid w:val="00EF0017"/>
    <w:rsid w:val="00EF2464"/>
    <w:rsid w:val="00EF2999"/>
    <w:rsid w:val="00EF3B00"/>
    <w:rsid w:val="00EF4A01"/>
    <w:rsid w:val="00EF6956"/>
    <w:rsid w:val="00F02034"/>
    <w:rsid w:val="00F02CAC"/>
    <w:rsid w:val="00F044BE"/>
    <w:rsid w:val="00F05B56"/>
    <w:rsid w:val="00F0624B"/>
    <w:rsid w:val="00F0711A"/>
    <w:rsid w:val="00F10334"/>
    <w:rsid w:val="00F1056F"/>
    <w:rsid w:val="00F11686"/>
    <w:rsid w:val="00F11EC8"/>
    <w:rsid w:val="00F12B32"/>
    <w:rsid w:val="00F1330A"/>
    <w:rsid w:val="00F14AA3"/>
    <w:rsid w:val="00F14F0B"/>
    <w:rsid w:val="00F150FA"/>
    <w:rsid w:val="00F15826"/>
    <w:rsid w:val="00F160C7"/>
    <w:rsid w:val="00F17E5A"/>
    <w:rsid w:val="00F20A51"/>
    <w:rsid w:val="00F2131E"/>
    <w:rsid w:val="00F23C3B"/>
    <w:rsid w:val="00F26400"/>
    <w:rsid w:val="00F26B85"/>
    <w:rsid w:val="00F30066"/>
    <w:rsid w:val="00F31969"/>
    <w:rsid w:val="00F32880"/>
    <w:rsid w:val="00F3290B"/>
    <w:rsid w:val="00F334FF"/>
    <w:rsid w:val="00F33A69"/>
    <w:rsid w:val="00F370C1"/>
    <w:rsid w:val="00F40D6E"/>
    <w:rsid w:val="00F41914"/>
    <w:rsid w:val="00F41AF6"/>
    <w:rsid w:val="00F42CDE"/>
    <w:rsid w:val="00F4475E"/>
    <w:rsid w:val="00F44C48"/>
    <w:rsid w:val="00F44C84"/>
    <w:rsid w:val="00F44EF3"/>
    <w:rsid w:val="00F4581C"/>
    <w:rsid w:val="00F47610"/>
    <w:rsid w:val="00F524CD"/>
    <w:rsid w:val="00F53CA2"/>
    <w:rsid w:val="00F5401C"/>
    <w:rsid w:val="00F542CA"/>
    <w:rsid w:val="00F5466F"/>
    <w:rsid w:val="00F54DCB"/>
    <w:rsid w:val="00F56116"/>
    <w:rsid w:val="00F56661"/>
    <w:rsid w:val="00F60457"/>
    <w:rsid w:val="00F60F9B"/>
    <w:rsid w:val="00F61917"/>
    <w:rsid w:val="00F61E5E"/>
    <w:rsid w:val="00F62167"/>
    <w:rsid w:val="00F6234C"/>
    <w:rsid w:val="00F62CC1"/>
    <w:rsid w:val="00F6331B"/>
    <w:rsid w:val="00F6339C"/>
    <w:rsid w:val="00F636A8"/>
    <w:rsid w:val="00F63B77"/>
    <w:rsid w:val="00F64DDC"/>
    <w:rsid w:val="00F653D7"/>
    <w:rsid w:val="00F6609A"/>
    <w:rsid w:val="00F66557"/>
    <w:rsid w:val="00F66C6E"/>
    <w:rsid w:val="00F70CA0"/>
    <w:rsid w:val="00F71770"/>
    <w:rsid w:val="00F717A5"/>
    <w:rsid w:val="00F7304D"/>
    <w:rsid w:val="00F73C1D"/>
    <w:rsid w:val="00F748DD"/>
    <w:rsid w:val="00F753A9"/>
    <w:rsid w:val="00F75E96"/>
    <w:rsid w:val="00F766B8"/>
    <w:rsid w:val="00F77FA4"/>
    <w:rsid w:val="00F829A0"/>
    <w:rsid w:val="00F830BF"/>
    <w:rsid w:val="00F8496D"/>
    <w:rsid w:val="00F855DC"/>
    <w:rsid w:val="00F85F4F"/>
    <w:rsid w:val="00F90B9C"/>
    <w:rsid w:val="00F91316"/>
    <w:rsid w:val="00F91828"/>
    <w:rsid w:val="00F91D71"/>
    <w:rsid w:val="00F91DD2"/>
    <w:rsid w:val="00F93137"/>
    <w:rsid w:val="00F94F34"/>
    <w:rsid w:val="00F94F3F"/>
    <w:rsid w:val="00F9567C"/>
    <w:rsid w:val="00F95967"/>
    <w:rsid w:val="00F9605D"/>
    <w:rsid w:val="00F96BC7"/>
    <w:rsid w:val="00FA09E1"/>
    <w:rsid w:val="00FA15BA"/>
    <w:rsid w:val="00FA2C0E"/>
    <w:rsid w:val="00FA3E08"/>
    <w:rsid w:val="00FA4D54"/>
    <w:rsid w:val="00FA5745"/>
    <w:rsid w:val="00FA67C1"/>
    <w:rsid w:val="00FA7FE2"/>
    <w:rsid w:val="00FB1683"/>
    <w:rsid w:val="00FB391B"/>
    <w:rsid w:val="00FB402B"/>
    <w:rsid w:val="00FB40CB"/>
    <w:rsid w:val="00FB457A"/>
    <w:rsid w:val="00FB4E25"/>
    <w:rsid w:val="00FB6E24"/>
    <w:rsid w:val="00FB772E"/>
    <w:rsid w:val="00FB7D25"/>
    <w:rsid w:val="00FC0F2D"/>
    <w:rsid w:val="00FC0F9E"/>
    <w:rsid w:val="00FC188D"/>
    <w:rsid w:val="00FC2B02"/>
    <w:rsid w:val="00FC3D7F"/>
    <w:rsid w:val="00FC4BB2"/>
    <w:rsid w:val="00FC796E"/>
    <w:rsid w:val="00FC79F6"/>
    <w:rsid w:val="00FD104A"/>
    <w:rsid w:val="00FD207C"/>
    <w:rsid w:val="00FD2B77"/>
    <w:rsid w:val="00FD3E2A"/>
    <w:rsid w:val="00FD4AD9"/>
    <w:rsid w:val="00FD5311"/>
    <w:rsid w:val="00FD54C6"/>
    <w:rsid w:val="00FF03A7"/>
    <w:rsid w:val="00FF2FAE"/>
    <w:rsid w:val="00FF38FA"/>
    <w:rsid w:val="00FF5B2A"/>
    <w:rsid w:val="00FF60DA"/>
    <w:rsid w:val="00FF74FF"/>
    <w:rsid w:val="00FF76BA"/>
    <w:rsid w:val="011B5618"/>
    <w:rsid w:val="018C23CB"/>
    <w:rsid w:val="01A821C6"/>
    <w:rsid w:val="02402EC0"/>
    <w:rsid w:val="02461A4E"/>
    <w:rsid w:val="02476039"/>
    <w:rsid w:val="027E3A68"/>
    <w:rsid w:val="028736CF"/>
    <w:rsid w:val="028C3B67"/>
    <w:rsid w:val="02AE7397"/>
    <w:rsid w:val="02E87E56"/>
    <w:rsid w:val="038C76D9"/>
    <w:rsid w:val="03926FEA"/>
    <w:rsid w:val="03E80CD8"/>
    <w:rsid w:val="040D3583"/>
    <w:rsid w:val="042F016D"/>
    <w:rsid w:val="04581D53"/>
    <w:rsid w:val="04B403C6"/>
    <w:rsid w:val="04E97071"/>
    <w:rsid w:val="052C09EC"/>
    <w:rsid w:val="059A0103"/>
    <w:rsid w:val="059B1E55"/>
    <w:rsid w:val="05AF5900"/>
    <w:rsid w:val="05B84222"/>
    <w:rsid w:val="060640F0"/>
    <w:rsid w:val="069F6C6D"/>
    <w:rsid w:val="06B50E10"/>
    <w:rsid w:val="06BA6F00"/>
    <w:rsid w:val="06BF202B"/>
    <w:rsid w:val="07210DA5"/>
    <w:rsid w:val="073935E8"/>
    <w:rsid w:val="074B094A"/>
    <w:rsid w:val="07926302"/>
    <w:rsid w:val="0828314D"/>
    <w:rsid w:val="087D7CAA"/>
    <w:rsid w:val="0886622F"/>
    <w:rsid w:val="088879FA"/>
    <w:rsid w:val="08C43471"/>
    <w:rsid w:val="08FF54D2"/>
    <w:rsid w:val="090A7074"/>
    <w:rsid w:val="091253D5"/>
    <w:rsid w:val="091805FA"/>
    <w:rsid w:val="0934708E"/>
    <w:rsid w:val="09C4331F"/>
    <w:rsid w:val="09CC0970"/>
    <w:rsid w:val="09FA3203"/>
    <w:rsid w:val="09FB55B8"/>
    <w:rsid w:val="0A3D295B"/>
    <w:rsid w:val="0A3F005D"/>
    <w:rsid w:val="0A934B74"/>
    <w:rsid w:val="0AAB5D9E"/>
    <w:rsid w:val="0AB12F85"/>
    <w:rsid w:val="0AB2672E"/>
    <w:rsid w:val="0AD47A85"/>
    <w:rsid w:val="0AE83ED5"/>
    <w:rsid w:val="0AF5210A"/>
    <w:rsid w:val="0B3A5A02"/>
    <w:rsid w:val="0BBA4AA1"/>
    <w:rsid w:val="0BCE4C4A"/>
    <w:rsid w:val="0BEA3130"/>
    <w:rsid w:val="0C2A2BCC"/>
    <w:rsid w:val="0CCB5BAD"/>
    <w:rsid w:val="0CD447D9"/>
    <w:rsid w:val="0CDE129D"/>
    <w:rsid w:val="0D237F01"/>
    <w:rsid w:val="0D781E29"/>
    <w:rsid w:val="0D9E0F99"/>
    <w:rsid w:val="0DB25F8E"/>
    <w:rsid w:val="0E093B39"/>
    <w:rsid w:val="0E0F33E0"/>
    <w:rsid w:val="0E7A4ECE"/>
    <w:rsid w:val="0E7F3589"/>
    <w:rsid w:val="0EA832F5"/>
    <w:rsid w:val="0F460677"/>
    <w:rsid w:val="0F604A5D"/>
    <w:rsid w:val="0F807609"/>
    <w:rsid w:val="0F94164E"/>
    <w:rsid w:val="10083054"/>
    <w:rsid w:val="10253855"/>
    <w:rsid w:val="104D284B"/>
    <w:rsid w:val="10526DE3"/>
    <w:rsid w:val="10573A8F"/>
    <w:rsid w:val="10BC0900"/>
    <w:rsid w:val="10E37230"/>
    <w:rsid w:val="117B35AE"/>
    <w:rsid w:val="121F5BBC"/>
    <w:rsid w:val="12255CD4"/>
    <w:rsid w:val="126A5144"/>
    <w:rsid w:val="127A7296"/>
    <w:rsid w:val="12F279EC"/>
    <w:rsid w:val="134A77E6"/>
    <w:rsid w:val="141B461D"/>
    <w:rsid w:val="143C1299"/>
    <w:rsid w:val="144162BD"/>
    <w:rsid w:val="14462ED1"/>
    <w:rsid w:val="1470631C"/>
    <w:rsid w:val="14C61E35"/>
    <w:rsid w:val="14ED5F0E"/>
    <w:rsid w:val="1518152A"/>
    <w:rsid w:val="15405C26"/>
    <w:rsid w:val="155F3BF4"/>
    <w:rsid w:val="15E22FE1"/>
    <w:rsid w:val="16092C2A"/>
    <w:rsid w:val="16292E15"/>
    <w:rsid w:val="16531828"/>
    <w:rsid w:val="167D6E7F"/>
    <w:rsid w:val="16E15B36"/>
    <w:rsid w:val="17213AFE"/>
    <w:rsid w:val="1735378C"/>
    <w:rsid w:val="177A0705"/>
    <w:rsid w:val="181378B0"/>
    <w:rsid w:val="181A30AD"/>
    <w:rsid w:val="18542BF6"/>
    <w:rsid w:val="18B9619D"/>
    <w:rsid w:val="18C2438A"/>
    <w:rsid w:val="18CD6F92"/>
    <w:rsid w:val="190A3122"/>
    <w:rsid w:val="190F5864"/>
    <w:rsid w:val="19443A11"/>
    <w:rsid w:val="19AE4336"/>
    <w:rsid w:val="19CE0457"/>
    <w:rsid w:val="1A021E57"/>
    <w:rsid w:val="1A024CD3"/>
    <w:rsid w:val="1A5F2322"/>
    <w:rsid w:val="1A9A1348"/>
    <w:rsid w:val="1AA17AB6"/>
    <w:rsid w:val="1AE16617"/>
    <w:rsid w:val="1AF30046"/>
    <w:rsid w:val="1B03267A"/>
    <w:rsid w:val="1B33387E"/>
    <w:rsid w:val="1B354543"/>
    <w:rsid w:val="1B943177"/>
    <w:rsid w:val="1BF530EC"/>
    <w:rsid w:val="1C555234"/>
    <w:rsid w:val="1C604813"/>
    <w:rsid w:val="1C672397"/>
    <w:rsid w:val="1C790771"/>
    <w:rsid w:val="1C8C6544"/>
    <w:rsid w:val="1C9270FE"/>
    <w:rsid w:val="1CF6760F"/>
    <w:rsid w:val="1DA457C4"/>
    <w:rsid w:val="1DA77573"/>
    <w:rsid w:val="1E5673D3"/>
    <w:rsid w:val="1EB1403F"/>
    <w:rsid w:val="1EBA1BB5"/>
    <w:rsid w:val="1EDE34C6"/>
    <w:rsid w:val="1EED4C24"/>
    <w:rsid w:val="1F66463E"/>
    <w:rsid w:val="1FED028C"/>
    <w:rsid w:val="203E1903"/>
    <w:rsid w:val="20577E1E"/>
    <w:rsid w:val="20672C08"/>
    <w:rsid w:val="20DB1848"/>
    <w:rsid w:val="20E02300"/>
    <w:rsid w:val="214B1BFC"/>
    <w:rsid w:val="217413A1"/>
    <w:rsid w:val="21CD07B3"/>
    <w:rsid w:val="223A2DD2"/>
    <w:rsid w:val="23192159"/>
    <w:rsid w:val="23A2562F"/>
    <w:rsid w:val="23D200D4"/>
    <w:rsid w:val="24021436"/>
    <w:rsid w:val="242859CE"/>
    <w:rsid w:val="249E6E14"/>
    <w:rsid w:val="24BA6B7C"/>
    <w:rsid w:val="24F77329"/>
    <w:rsid w:val="251D3E48"/>
    <w:rsid w:val="252C06F8"/>
    <w:rsid w:val="25486C34"/>
    <w:rsid w:val="25A319FE"/>
    <w:rsid w:val="25EF0F10"/>
    <w:rsid w:val="26052A38"/>
    <w:rsid w:val="26315635"/>
    <w:rsid w:val="26AD2A00"/>
    <w:rsid w:val="26C559AD"/>
    <w:rsid w:val="27340CF4"/>
    <w:rsid w:val="2758525B"/>
    <w:rsid w:val="276227A2"/>
    <w:rsid w:val="27690046"/>
    <w:rsid w:val="277E30D9"/>
    <w:rsid w:val="280976C1"/>
    <w:rsid w:val="28274B69"/>
    <w:rsid w:val="282E5A37"/>
    <w:rsid w:val="28445F24"/>
    <w:rsid w:val="28490223"/>
    <w:rsid w:val="284F3510"/>
    <w:rsid w:val="2861066E"/>
    <w:rsid w:val="28735EDC"/>
    <w:rsid w:val="28D1189C"/>
    <w:rsid w:val="28F5130F"/>
    <w:rsid w:val="2938592D"/>
    <w:rsid w:val="294E3354"/>
    <w:rsid w:val="2980420F"/>
    <w:rsid w:val="29AA0009"/>
    <w:rsid w:val="29AA23E9"/>
    <w:rsid w:val="2A065428"/>
    <w:rsid w:val="2A0857DB"/>
    <w:rsid w:val="2A5C6FDD"/>
    <w:rsid w:val="2A68414C"/>
    <w:rsid w:val="2A7228D5"/>
    <w:rsid w:val="2A74126C"/>
    <w:rsid w:val="2A7D5FC4"/>
    <w:rsid w:val="2A930A9D"/>
    <w:rsid w:val="2A9D0C3D"/>
    <w:rsid w:val="2ACB51F4"/>
    <w:rsid w:val="2AD22322"/>
    <w:rsid w:val="2AE97FC9"/>
    <w:rsid w:val="2B4D1886"/>
    <w:rsid w:val="2B4F5ADE"/>
    <w:rsid w:val="2BAA4BEE"/>
    <w:rsid w:val="2BBB38FC"/>
    <w:rsid w:val="2C2F02B9"/>
    <w:rsid w:val="2C6C79EE"/>
    <w:rsid w:val="2D274F0B"/>
    <w:rsid w:val="2D276489"/>
    <w:rsid w:val="2D2D77E4"/>
    <w:rsid w:val="2D311D35"/>
    <w:rsid w:val="2D3737B9"/>
    <w:rsid w:val="2D462974"/>
    <w:rsid w:val="2D510F8C"/>
    <w:rsid w:val="2D7A3029"/>
    <w:rsid w:val="2E545B41"/>
    <w:rsid w:val="2E5D3721"/>
    <w:rsid w:val="2E797ACE"/>
    <w:rsid w:val="2E9238C2"/>
    <w:rsid w:val="2EC610AD"/>
    <w:rsid w:val="2EC63F29"/>
    <w:rsid w:val="2F051008"/>
    <w:rsid w:val="2FE33748"/>
    <w:rsid w:val="30B5761C"/>
    <w:rsid w:val="30EB45DA"/>
    <w:rsid w:val="30FC6374"/>
    <w:rsid w:val="311B7998"/>
    <w:rsid w:val="312D2862"/>
    <w:rsid w:val="3161109D"/>
    <w:rsid w:val="316A07AA"/>
    <w:rsid w:val="31CC4642"/>
    <w:rsid w:val="31EB454A"/>
    <w:rsid w:val="3225037A"/>
    <w:rsid w:val="32635E3A"/>
    <w:rsid w:val="32772D48"/>
    <w:rsid w:val="32C5561F"/>
    <w:rsid w:val="32D44D0A"/>
    <w:rsid w:val="32F90AEB"/>
    <w:rsid w:val="32FD33E3"/>
    <w:rsid w:val="33B54162"/>
    <w:rsid w:val="34060532"/>
    <w:rsid w:val="341357DC"/>
    <w:rsid w:val="34701C27"/>
    <w:rsid w:val="34E34BD5"/>
    <w:rsid w:val="34EB7F3D"/>
    <w:rsid w:val="35280DC0"/>
    <w:rsid w:val="357566C2"/>
    <w:rsid w:val="35B3692E"/>
    <w:rsid w:val="35B55FB4"/>
    <w:rsid w:val="35C96A03"/>
    <w:rsid w:val="35D208C9"/>
    <w:rsid w:val="35FE2DA3"/>
    <w:rsid w:val="363A1903"/>
    <w:rsid w:val="36452CCA"/>
    <w:rsid w:val="371B5911"/>
    <w:rsid w:val="371D006C"/>
    <w:rsid w:val="377210F8"/>
    <w:rsid w:val="37944472"/>
    <w:rsid w:val="37A159D2"/>
    <w:rsid w:val="37A65552"/>
    <w:rsid w:val="37EF1884"/>
    <w:rsid w:val="37F214F9"/>
    <w:rsid w:val="38014422"/>
    <w:rsid w:val="383C5BD0"/>
    <w:rsid w:val="38802E42"/>
    <w:rsid w:val="38912AC0"/>
    <w:rsid w:val="389E58B4"/>
    <w:rsid w:val="38B06E8F"/>
    <w:rsid w:val="39355B41"/>
    <w:rsid w:val="396761A8"/>
    <w:rsid w:val="397B6AFA"/>
    <w:rsid w:val="39CC5062"/>
    <w:rsid w:val="3A1546EF"/>
    <w:rsid w:val="3A250F74"/>
    <w:rsid w:val="3A5D6E71"/>
    <w:rsid w:val="3B0A1C55"/>
    <w:rsid w:val="3B504B47"/>
    <w:rsid w:val="3B590E0A"/>
    <w:rsid w:val="3B602E8C"/>
    <w:rsid w:val="3B8A5A5D"/>
    <w:rsid w:val="3BB13F7E"/>
    <w:rsid w:val="3BCC2061"/>
    <w:rsid w:val="3BF3026A"/>
    <w:rsid w:val="3BFE06FA"/>
    <w:rsid w:val="3C4515BA"/>
    <w:rsid w:val="3C505A61"/>
    <w:rsid w:val="3C81062C"/>
    <w:rsid w:val="3CB32F60"/>
    <w:rsid w:val="3CC920E4"/>
    <w:rsid w:val="3D121CF5"/>
    <w:rsid w:val="3D522A89"/>
    <w:rsid w:val="3D6720FF"/>
    <w:rsid w:val="3D9379B3"/>
    <w:rsid w:val="3DB3244A"/>
    <w:rsid w:val="3DB4204B"/>
    <w:rsid w:val="3DBD74D6"/>
    <w:rsid w:val="3DCD6B24"/>
    <w:rsid w:val="3DF022AF"/>
    <w:rsid w:val="3DF64CF7"/>
    <w:rsid w:val="3E0B6D52"/>
    <w:rsid w:val="3E382F68"/>
    <w:rsid w:val="3E71771E"/>
    <w:rsid w:val="3EC52964"/>
    <w:rsid w:val="3EEB7EA3"/>
    <w:rsid w:val="3EF64E6C"/>
    <w:rsid w:val="3F193E51"/>
    <w:rsid w:val="3F77596E"/>
    <w:rsid w:val="3FA353DB"/>
    <w:rsid w:val="3FA9675D"/>
    <w:rsid w:val="3FEE45C1"/>
    <w:rsid w:val="402604AB"/>
    <w:rsid w:val="402E3BE0"/>
    <w:rsid w:val="404A308D"/>
    <w:rsid w:val="407654D0"/>
    <w:rsid w:val="40A50FEA"/>
    <w:rsid w:val="40E055A4"/>
    <w:rsid w:val="40EB2F11"/>
    <w:rsid w:val="40FB3266"/>
    <w:rsid w:val="41762ACE"/>
    <w:rsid w:val="41CD352D"/>
    <w:rsid w:val="41EF566E"/>
    <w:rsid w:val="428761B5"/>
    <w:rsid w:val="42A46535"/>
    <w:rsid w:val="432628EE"/>
    <w:rsid w:val="435116AE"/>
    <w:rsid w:val="43696E36"/>
    <w:rsid w:val="439E597D"/>
    <w:rsid w:val="43EC292D"/>
    <w:rsid w:val="445574FD"/>
    <w:rsid w:val="449057FB"/>
    <w:rsid w:val="44CF7374"/>
    <w:rsid w:val="44D157DE"/>
    <w:rsid w:val="44DC2DC4"/>
    <w:rsid w:val="44EB7B9D"/>
    <w:rsid w:val="450651EF"/>
    <w:rsid w:val="4511435A"/>
    <w:rsid w:val="451D4B80"/>
    <w:rsid w:val="45602CCF"/>
    <w:rsid w:val="456B2E28"/>
    <w:rsid w:val="45A22442"/>
    <w:rsid w:val="45BB49F3"/>
    <w:rsid w:val="45E32240"/>
    <w:rsid w:val="45E510BA"/>
    <w:rsid w:val="45E66A2A"/>
    <w:rsid w:val="45EA2280"/>
    <w:rsid w:val="45F0744B"/>
    <w:rsid w:val="464E1FF0"/>
    <w:rsid w:val="46773C9E"/>
    <w:rsid w:val="46833448"/>
    <w:rsid w:val="46A17875"/>
    <w:rsid w:val="46B75E5C"/>
    <w:rsid w:val="46CF1645"/>
    <w:rsid w:val="46F50C8D"/>
    <w:rsid w:val="47094169"/>
    <w:rsid w:val="471B24E8"/>
    <w:rsid w:val="478C2ED5"/>
    <w:rsid w:val="48914210"/>
    <w:rsid w:val="48AA7564"/>
    <w:rsid w:val="48EB3931"/>
    <w:rsid w:val="490C29F9"/>
    <w:rsid w:val="492822E2"/>
    <w:rsid w:val="4966327A"/>
    <w:rsid w:val="49825129"/>
    <w:rsid w:val="4A10056A"/>
    <w:rsid w:val="4A5B1180"/>
    <w:rsid w:val="4A631F37"/>
    <w:rsid w:val="4AA51776"/>
    <w:rsid w:val="4AA53BCD"/>
    <w:rsid w:val="4AAA44BA"/>
    <w:rsid w:val="4AC53546"/>
    <w:rsid w:val="4AEF24ED"/>
    <w:rsid w:val="4B83098E"/>
    <w:rsid w:val="4B8D668D"/>
    <w:rsid w:val="4BBF6271"/>
    <w:rsid w:val="4C101AF6"/>
    <w:rsid w:val="4C2B525B"/>
    <w:rsid w:val="4C5956F7"/>
    <w:rsid w:val="4C754265"/>
    <w:rsid w:val="4CF237CB"/>
    <w:rsid w:val="4D3B1641"/>
    <w:rsid w:val="4D742AA0"/>
    <w:rsid w:val="4D750CD8"/>
    <w:rsid w:val="4D877BB8"/>
    <w:rsid w:val="4DA4699A"/>
    <w:rsid w:val="4DAC7022"/>
    <w:rsid w:val="4DB26136"/>
    <w:rsid w:val="4DDA41E6"/>
    <w:rsid w:val="4DFF7FC4"/>
    <w:rsid w:val="4E34712A"/>
    <w:rsid w:val="4E455126"/>
    <w:rsid w:val="4E770EE1"/>
    <w:rsid w:val="4EBC07E9"/>
    <w:rsid w:val="4EF06EF0"/>
    <w:rsid w:val="4EF850BF"/>
    <w:rsid w:val="4F316279"/>
    <w:rsid w:val="4F5B1526"/>
    <w:rsid w:val="4F5E4005"/>
    <w:rsid w:val="4F8E7901"/>
    <w:rsid w:val="4F9A19C9"/>
    <w:rsid w:val="4F9B48E0"/>
    <w:rsid w:val="4FB777D7"/>
    <w:rsid w:val="4FC135BB"/>
    <w:rsid w:val="508D1967"/>
    <w:rsid w:val="5103623F"/>
    <w:rsid w:val="5114609D"/>
    <w:rsid w:val="51413A5A"/>
    <w:rsid w:val="514F714E"/>
    <w:rsid w:val="51827D47"/>
    <w:rsid w:val="5244074B"/>
    <w:rsid w:val="53241BF3"/>
    <w:rsid w:val="538F21E4"/>
    <w:rsid w:val="539A28EE"/>
    <w:rsid w:val="53B813F1"/>
    <w:rsid w:val="53C17657"/>
    <w:rsid w:val="53C208DB"/>
    <w:rsid w:val="53D67E2D"/>
    <w:rsid w:val="53E06252"/>
    <w:rsid w:val="540463E4"/>
    <w:rsid w:val="542B3971"/>
    <w:rsid w:val="54FC4853"/>
    <w:rsid w:val="55E27B99"/>
    <w:rsid w:val="55F4140B"/>
    <w:rsid w:val="562C1EBD"/>
    <w:rsid w:val="56530257"/>
    <w:rsid w:val="568021E9"/>
    <w:rsid w:val="569258A6"/>
    <w:rsid w:val="56A96607"/>
    <w:rsid w:val="56C0141E"/>
    <w:rsid w:val="56C02E94"/>
    <w:rsid w:val="56C21F3F"/>
    <w:rsid w:val="57347C1D"/>
    <w:rsid w:val="579E4449"/>
    <w:rsid w:val="57DD0AF6"/>
    <w:rsid w:val="57F25496"/>
    <w:rsid w:val="580819E7"/>
    <w:rsid w:val="584B2C69"/>
    <w:rsid w:val="58AD350A"/>
    <w:rsid w:val="590A0EB4"/>
    <w:rsid w:val="59292A0E"/>
    <w:rsid w:val="59D95C1D"/>
    <w:rsid w:val="59E013DA"/>
    <w:rsid w:val="5A0B7E14"/>
    <w:rsid w:val="5A123B59"/>
    <w:rsid w:val="5A176A5C"/>
    <w:rsid w:val="5A301B84"/>
    <w:rsid w:val="5A431E0D"/>
    <w:rsid w:val="5A7374F2"/>
    <w:rsid w:val="5B435A44"/>
    <w:rsid w:val="5BC4297E"/>
    <w:rsid w:val="5BF949F3"/>
    <w:rsid w:val="5C4719A5"/>
    <w:rsid w:val="5C4F68E5"/>
    <w:rsid w:val="5C87555C"/>
    <w:rsid w:val="5C965957"/>
    <w:rsid w:val="5C9764DA"/>
    <w:rsid w:val="5CB53B7F"/>
    <w:rsid w:val="5CDD3C76"/>
    <w:rsid w:val="5D1A1EB1"/>
    <w:rsid w:val="5D361E7D"/>
    <w:rsid w:val="5D3F0F03"/>
    <w:rsid w:val="5D790367"/>
    <w:rsid w:val="5D8704E6"/>
    <w:rsid w:val="5DA77BB2"/>
    <w:rsid w:val="5DD06D45"/>
    <w:rsid w:val="5E021BE6"/>
    <w:rsid w:val="5E137F60"/>
    <w:rsid w:val="5E4B0A93"/>
    <w:rsid w:val="5ED602A4"/>
    <w:rsid w:val="5F395B7F"/>
    <w:rsid w:val="5F5106CC"/>
    <w:rsid w:val="5F950293"/>
    <w:rsid w:val="5FB5B2C3"/>
    <w:rsid w:val="5FB73F3B"/>
    <w:rsid w:val="5FD92450"/>
    <w:rsid w:val="5FFA2B9E"/>
    <w:rsid w:val="5FFA4B54"/>
    <w:rsid w:val="60447643"/>
    <w:rsid w:val="60490185"/>
    <w:rsid w:val="608662CE"/>
    <w:rsid w:val="608C6043"/>
    <w:rsid w:val="60986923"/>
    <w:rsid w:val="60AB5349"/>
    <w:rsid w:val="60B401CA"/>
    <w:rsid w:val="60E20D3C"/>
    <w:rsid w:val="60E24C20"/>
    <w:rsid w:val="61320D00"/>
    <w:rsid w:val="617E4166"/>
    <w:rsid w:val="61C05D4F"/>
    <w:rsid w:val="61EE40B9"/>
    <w:rsid w:val="621A0B00"/>
    <w:rsid w:val="62B86D17"/>
    <w:rsid w:val="63071A4D"/>
    <w:rsid w:val="63153A68"/>
    <w:rsid w:val="635C4C57"/>
    <w:rsid w:val="64026854"/>
    <w:rsid w:val="644230C5"/>
    <w:rsid w:val="648839FD"/>
    <w:rsid w:val="64A20355"/>
    <w:rsid w:val="65693C94"/>
    <w:rsid w:val="657A4C51"/>
    <w:rsid w:val="658942E2"/>
    <w:rsid w:val="65A41D82"/>
    <w:rsid w:val="65B46F2A"/>
    <w:rsid w:val="65EB5843"/>
    <w:rsid w:val="660B3B79"/>
    <w:rsid w:val="66974E96"/>
    <w:rsid w:val="66BC5F1C"/>
    <w:rsid w:val="66D1483C"/>
    <w:rsid w:val="66F41919"/>
    <w:rsid w:val="6703530E"/>
    <w:rsid w:val="67271773"/>
    <w:rsid w:val="67301980"/>
    <w:rsid w:val="6750388A"/>
    <w:rsid w:val="67577CF2"/>
    <w:rsid w:val="677C0558"/>
    <w:rsid w:val="67D5557E"/>
    <w:rsid w:val="67DE5720"/>
    <w:rsid w:val="68434DF1"/>
    <w:rsid w:val="68460ACC"/>
    <w:rsid w:val="690C3919"/>
    <w:rsid w:val="691E5706"/>
    <w:rsid w:val="69381C7D"/>
    <w:rsid w:val="69946030"/>
    <w:rsid w:val="6999210B"/>
    <w:rsid w:val="69B00E16"/>
    <w:rsid w:val="6A062180"/>
    <w:rsid w:val="6A086555"/>
    <w:rsid w:val="6A0C6D46"/>
    <w:rsid w:val="6A222AE4"/>
    <w:rsid w:val="6A716F64"/>
    <w:rsid w:val="6AAB70C1"/>
    <w:rsid w:val="6AB704B5"/>
    <w:rsid w:val="6AF96C79"/>
    <w:rsid w:val="6B0F3411"/>
    <w:rsid w:val="6B410883"/>
    <w:rsid w:val="6B433D86"/>
    <w:rsid w:val="6B60244A"/>
    <w:rsid w:val="6B9B4CD4"/>
    <w:rsid w:val="6BC14183"/>
    <w:rsid w:val="6C056342"/>
    <w:rsid w:val="6C5E1330"/>
    <w:rsid w:val="6C75571D"/>
    <w:rsid w:val="6C7E3B0E"/>
    <w:rsid w:val="6C7F2E2F"/>
    <w:rsid w:val="6CF53331"/>
    <w:rsid w:val="6CFA2E05"/>
    <w:rsid w:val="6D19409E"/>
    <w:rsid w:val="6D2202CE"/>
    <w:rsid w:val="6D512EAF"/>
    <w:rsid w:val="6DC8062D"/>
    <w:rsid w:val="6DCC37B0"/>
    <w:rsid w:val="6E227CFA"/>
    <w:rsid w:val="6E26547D"/>
    <w:rsid w:val="6E816EBD"/>
    <w:rsid w:val="6EAC0325"/>
    <w:rsid w:val="6EDA7810"/>
    <w:rsid w:val="6F881695"/>
    <w:rsid w:val="6FAA78EB"/>
    <w:rsid w:val="6FE82E39"/>
    <w:rsid w:val="6FE83720"/>
    <w:rsid w:val="70173375"/>
    <w:rsid w:val="709B21B4"/>
    <w:rsid w:val="70BB3E83"/>
    <w:rsid w:val="70C76E3D"/>
    <w:rsid w:val="70E25AD6"/>
    <w:rsid w:val="71666A66"/>
    <w:rsid w:val="721F5B29"/>
    <w:rsid w:val="72371636"/>
    <w:rsid w:val="7244598E"/>
    <w:rsid w:val="72E21289"/>
    <w:rsid w:val="731D44F3"/>
    <w:rsid w:val="737C20FA"/>
    <w:rsid w:val="739377FC"/>
    <w:rsid w:val="73B13A3B"/>
    <w:rsid w:val="73CC5B9E"/>
    <w:rsid w:val="73D02943"/>
    <w:rsid w:val="741B1685"/>
    <w:rsid w:val="74BF6137"/>
    <w:rsid w:val="74D37C52"/>
    <w:rsid w:val="7540397C"/>
    <w:rsid w:val="75697F9B"/>
    <w:rsid w:val="757E170D"/>
    <w:rsid w:val="75806539"/>
    <w:rsid w:val="7590142E"/>
    <w:rsid w:val="75C70519"/>
    <w:rsid w:val="75E61B0A"/>
    <w:rsid w:val="75F12281"/>
    <w:rsid w:val="7675013B"/>
    <w:rsid w:val="76D2516E"/>
    <w:rsid w:val="76EF03D6"/>
    <w:rsid w:val="771C552E"/>
    <w:rsid w:val="77225BF5"/>
    <w:rsid w:val="77601172"/>
    <w:rsid w:val="77912490"/>
    <w:rsid w:val="77CB499F"/>
    <w:rsid w:val="77E30F61"/>
    <w:rsid w:val="77FF288C"/>
    <w:rsid w:val="78153E6C"/>
    <w:rsid w:val="78422E13"/>
    <w:rsid w:val="78941008"/>
    <w:rsid w:val="789E2D74"/>
    <w:rsid w:val="78D21BB9"/>
    <w:rsid w:val="78FD65D5"/>
    <w:rsid w:val="79005D96"/>
    <w:rsid w:val="79881FD6"/>
    <w:rsid w:val="79BD4A21"/>
    <w:rsid w:val="79CE4C1B"/>
    <w:rsid w:val="79D510B7"/>
    <w:rsid w:val="79DE5763"/>
    <w:rsid w:val="79DE7621"/>
    <w:rsid w:val="7A4F063F"/>
    <w:rsid w:val="7A5C0FCF"/>
    <w:rsid w:val="7A712C6F"/>
    <w:rsid w:val="7A7D0D77"/>
    <w:rsid w:val="7B3119D1"/>
    <w:rsid w:val="7B800415"/>
    <w:rsid w:val="7B8C12C0"/>
    <w:rsid w:val="7BBE70D0"/>
    <w:rsid w:val="7BD71378"/>
    <w:rsid w:val="7BF40907"/>
    <w:rsid w:val="7C031D81"/>
    <w:rsid w:val="7C62561D"/>
    <w:rsid w:val="7C775EDF"/>
    <w:rsid w:val="7CFF6166"/>
    <w:rsid w:val="7D18415A"/>
    <w:rsid w:val="7DE3705D"/>
    <w:rsid w:val="7E046E0B"/>
    <w:rsid w:val="7E5C2F7E"/>
    <w:rsid w:val="7E7A7AD0"/>
    <w:rsid w:val="7EB544AA"/>
    <w:rsid w:val="7EEDB6B1"/>
    <w:rsid w:val="7F5B31AA"/>
    <w:rsid w:val="7F63547D"/>
    <w:rsid w:val="7F727385"/>
    <w:rsid w:val="7F841194"/>
    <w:rsid w:val="7F937F7C"/>
    <w:rsid w:val="B01E98C2"/>
    <w:rsid w:val="B77F19D3"/>
    <w:rsid w:val="DF6E69CF"/>
    <w:rsid w:val="ED7C43D2"/>
    <w:rsid w:val="F7EB0086"/>
    <w:rsid w:val="FD5FC4D6"/>
    <w:rsid w:val="FFE7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53"/>
    <w:qFormat/>
    <w:uiPriority w:val="0"/>
    <w:pPr>
      <w:jc w:val="center"/>
      <w:outlineLvl w:val="0"/>
    </w:pPr>
    <w:rPr>
      <w:rFonts w:ascii="楷体_GB2312" w:eastAsia="楷体_GB2312"/>
      <w:sz w:val="28"/>
      <w:szCs w:val="28"/>
    </w:rPr>
  </w:style>
  <w:style w:type="paragraph" w:styleId="5">
    <w:name w:val="heading 2"/>
    <w:basedOn w:val="1"/>
    <w:next w:val="1"/>
    <w:link w:val="54"/>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link w:val="55"/>
    <w:qFormat/>
    <w:uiPriority w:val="0"/>
    <w:pPr>
      <w:keepNext/>
      <w:keepLines/>
      <w:ind w:firstLine="420" w:firstLineChars="150"/>
      <w:outlineLvl w:val="3"/>
    </w:pPr>
    <w:rPr>
      <w:rFonts w:ascii="Arial" w:hAnsi="Arial" w:cs="Arial"/>
      <w:b/>
      <w:sz w:val="28"/>
      <w:szCs w:val="28"/>
    </w:rPr>
  </w:style>
  <w:style w:type="paragraph" w:styleId="7">
    <w:name w:val="heading 5"/>
    <w:basedOn w:val="1"/>
    <w:next w:val="8"/>
    <w:link w:val="56"/>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8"/>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9"/>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60"/>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61"/>
    <w:qFormat/>
    <w:uiPriority w:val="0"/>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8"/>
    <w:qFormat/>
    <w:uiPriority w:val="0"/>
    <w:rPr>
      <w:rFonts w:ascii="楷体_GB2312" w:hAnsi="Arial" w:eastAsia="楷体_GB2312"/>
      <w:sz w:val="28"/>
      <w:szCs w:val="28"/>
    </w:rPr>
  </w:style>
  <w:style w:type="paragraph" w:styleId="8">
    <w:name w:val="Normal Indent"/>
    <w:basedOn w:val="1"/>
    <w:next w:val="1"/>
    <w:link w:val="57"/>
    <w:qFormat/>
    <w:uiPriority w:val="0"/>
    <w:pPr>
      <w:ind w:firstLine="420"/>
    </w:pPr>
  </w:style>
  <w:style w:type="paragraph" w:styleId="13">
    <w:name w:val="List 3"/>
    <w:basedOn w:val="1"/>
    <w:qFormat/>
    <w:uiPriority w:val="0"/>
    <w:pPr>
      <w:ind w:left="100" w:leftChars="400" w:hanging="200" w:hangingChars="200"/>
    </w:pPr>
  </w:style>
  <w:style w:type="paragraph" w:styleId="14">
    <w:name w:val="Document Map"/>
    <w:basedOn w:val="1"/>
    <w:link w:val="62"/>
    <w:semiHidden/>
    <w:qFormat/>
    <w:uiPriority w:val="0"/>
    <w:pPr>
      <w:shd w:val="clear" w:color="auto" w:fill="000080"/>
    </w:pPr>
  </w:style>
  <w:style w:type="paragraph" w:styleId="15">
    <w:name w:val="annotation text"/>
    <w:basedOn w:val="1"/>
    <w:link w:val="63"/>
    <w:semiHidden/>
    <w:qFormat/>
    <w:uiPriority w:val="0"/>
    <w:pPr>
      <w:jc w:val="left"/>
    </w:pPr>
  </w:style>
  <w:style w:type="paragraph" w:styleId="16">
    <w:name w:val="index 6"/>
    <w:basedOn w:val="1"/>
    <w:next w:val="1"/>
    <w:qFormat/>
    <w:uiPriority w:val="99"/>
    <w:pPr>
      <w:ind w:left="2100"/>
    </w:pPr>
  </w:style>
  <w:style w:type="paragraph" w:styleId="17">
    <w:name w:val="Body Text 3"/>
    <w:basedOn w:val="1"/>
    <w:link w:val="64"/>
    <w:qFormat/>
    <w:uiPriority w:val="0"/>
    <w:rPr>
      <w:rFonts w:ascii="仿宋_GB2312" w:hAnsi="Arial" w:eastAsia="仿宋_GB2312"/>
      <w:sz w:val="32"/>
      <w:szCs w:val="32"/>
    </w:rPr>
  </w:style>
  <w:style w:type="paragraph" w:styleId="18">
    <w:name w:val="Body Text Indent"/>
    <w:basedOn w:val="1"/>
    <w:next w:val="1"/>
    <w:link w:val="50"/>
    <w:qFormat/>
    <w:uiPriority w:val="0"/>
    <w:pPr>
      <w:ind w:firstLine="645"/>
    </w:pPr>
    <w:rPr>
      <w:rFonts w:ascii="楷体_GB2312" w:eastAsia="楷体_GB2312"/>
      <w:sz w:val="32"/>
      <w:szCs w:val="32"/>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spacing w:after="120"/>
      <w:ind w:left="1440" w:leftChars="700" w:right="700" w:rightChars="700"/>
    </w:pPr>
  </w:style>
  <w:style w:type="paragraph" w:styleId="21">
    <w:name w:val="toc 3"/>
    <w:basedOn w:val="1"/>
    <w:next w:val="1"/>
    <w:qFormat/>
    <w:uiPriority w:val="39"/>
    <w:pPr>
      <w:ind w:left="840" w:leftChars="400"/>
    </w:pPr>
  </w:style>
  <w:style w:type="paragraph" w:styleId="22">
    <w:name w:val="Plain Text"/>
    <w:basedOn w:val="1"/>
    <w:link w:val="65"/>
    <w:qFormat/>
    <w:uiPriority w:val="0"/>
    <w:rPr>
      <w:rFonts w:ascii="宋体" w:hAnsi="Courier New" w:cs="Courier New"/>
    </w:rPr>
  </w:style>
  <w:style w:type="paragraph" w:styleId="23">
    <w:name w:val="Date"/>
    <w:basedOn w:val="1"/>
    <w:next w:val="1"/>
    <w:link w:val="66"/>
    <w:qFormat/>
    <w:uiPriority w:val="0"/>
    <w:rPr>
      <w:sz w:val="24"/>
      <w:szCs w:val="24"/>
    </w:rPr>
  </w:style>
  <w:style w:type="paragraph" w:styleId="24">
    <w:name w:val="Body Text Indent 2"/>
    <w:basedOn w:val="1"/>
    <w:link w:val="67"/>
    <w:qFormat/>
    <w:uiPriority w:val="0"/>
    <w:pPr>
      <w:ind w:left="630" w:firstLine="645"/>
    </w:pPr>
    <w:rPr>
      <w:rFonts w:ascii="Arial" w:hAnsi="Arial" w:eastAsia="仿宋_GB2312" w:cs="Arial"/>
      <w:sz w:val="32"/>
      <w:szCs w:val="32"/>
    </w:rPr>
  </w:style>
  <w:style w:type="paragraph" w:styleId="25">
    <w:name w:val="Balloon Text"/>
    <w:basedOn w:val="1"/>
    <w:link w:val="68"/>
    <w:semiHidden/>
    <w:qFormat/>
    <w:uiPriority w:val="0"/>
    <w:rPr>
      <w:sz w:val="18"/>
      <w:szCs w:val="18"/>
    </w:rPr>
  </w:style>
  <w:style w:type="paragraph" w:styleId="26">
    <w:name w:val="footer"/>
    <w:basedOn w:val="1"/>
    <w:link w:val="69"/>
    <w:qFormat/>
    <w:uiPriority w:val="0"/>
    <w:pPr>
      <w:tabs>
        <w:tab w:val="center" w:pos="4153"/>
        <w:tab w:val="right" w:pos="8306"/>
      </w:tabs>
      <w:snapToGrid w:val="0"/>
      <w:jc w:val="left"/>
    </w:pPr>
    <w:rPr>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29">
    <w:name w:val="List"/>
    <w:basedOn w:val="1"/>
    <w:qFormat/>
    <w:uiPriority w:val="0"/>
    <w:pPr>
      <w:ind w:left="200" w:hanging="200" w:hangingChars="200"/>
    </w:pPr>
  </w:style>
  <w:style w:type="paragraph" w:styleId="30">
    <w:name w:val="footnote text"/>
    <w:basedOn w:val="1"/>
    <w:link w:val="71"/>
    <w:qFormat/>
    <w:uiPriority w:val="0"/>
    <w:pPr>
      <w:snapToGrid w:val="0"/>
      <w:jc w:val="left"/>
    </w:pPr>
    <w:rPr>
      <w:sz w:val="18"/>
    </w:rPr>
  </w:style>
  <w:style w:type="paragraph" w:styleId="31">
    <w:name w:val="Body Text Indent 3"/>
    <w:basedOn w:val="1"/>
    <w:link w:val="72"/>
    <w:qFormat/>
    <w:uiPriority w:val="0"/>
    <w:pPr>
      <w:ind w:left="645" w:firstLine="645"/>
    </w:pPr>
    <w:rPr>
      <w:rFonts w:ascii="Arial" w:hAnsi="Arial" w:eastAsia="仿宋_GB2312" w:cs="Arial"/>
      <w:color w:val="FFFF00"/>
      <w:sz w:val="32"/>
      <w:szCs w:val="32"/>
    </w:rPr>
  </w:style>
  <w:style w:type="paragraph" w:styleId="32">
    <w:name w:val="toc 2"/>
    <w:basedOn w:val="1"/>
    <w:next w:val="1"/>
    <w:qFormat/>
    <w:uiPriority w:val="39"/>
    <w:pPr>
      <w:ind w:left="210"/>
      <w:jc w:val="left"/>
    </w:pPr>
    <w:rPr>
      <w:smallCaps/>
      <w:szCs w:val="24"/>
    </w:rPr>
  </w:style>
  <w:style w:type="paragraph" w:styleId="33">
    <w:name w:val="Body Text 2"/>
    <w:basedOn w:val="1"/>
    <w:link w:val="73"/>
    <w:qFormat/>
    <w:uiPriority w:val="0"/>
    <w:pPr>
      <w:widowControl/>
      <w:jc w:val="center"/>
    </w:pPr>
    <w:rPr>
      <w:rFonts w:ascii="楷体_GB2312" w:eastAsia="楷体_GB2312"/>
      <w:sz w:val="28"/>
      <w:szCs w:val="28"/>
    </w:rPr>
  </w:style>
  <w:style w:type="paragraph" w:styleId="34">
    <w:name w:val="Message Header"/>
    <w:basedOn w:val="1"/>
    <w:link w:val="7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75"/>
    <w:semiHidden/>
    <w:qFormat/>
    <w:uiPriority w:val="0"/>
    <w:rPr>
      <w:b/>
      <w:bCs/>
    </w:rPr>
  </w:style>
  <w:style w:type="paragraph" w:styleId="37">
    <w:name w:val="Body Text First Indent"/>
    <w:basedOn w:val="2"/>
    <w:next w:val="38"/>
    <w:link w:val="49"/>
    <w:qFormat/>
    <w:uiPriority w:val="0"/>
    <w:pPr>
      <w:spacing w:line="360" w:lineRule="auto"/>
      <w:ind w:firstLine="200" w:firstLineChars="200"/>
    </w:pPr>
    <w:rPr>
      <w:rFonts w:ascii="仿宋_GB2312" w:eastAsia="仿宋_GB2312"/>
      <w:sz w:val="30"/>
      <w:szCs w:val="30"/>
    </w:rPr>
  </w:style>
  <w:style w:type="paragraph" w:styleId="38">
    <w:name w:val="Body Text First Indent 2"/>
    <w:basedOn w:val="18"/>
    <w:next w:val="37"/>
    <w:link w:val="51"/>
    <w:qFormat/>
    <w:uiPriority w:val="0"/>
    <w:pPr>
      <w:spacing w:line="360" w:lineRule="auto"/>
      <w:ind w:firstLine="420" w:firstLineChars="200"/>
    </w:pPr>
    <w:rPr>
      <w:rFonts w:ascii="宋体" w:hAnsi="宋体" w:eastAsia="宋体"/>
      <w:sz w:val="21"/>
      <w:szCs w:val="20"/>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styleId="47">
    <w:name w:val="HTML Sample"/>
    <w:qFormat/>
    <w:uiPriority w:val="0"/>
    <w:rPr>
      <w:rFonts w:ascii="Courier New" w:hAnsi="Courier New"/>
    </w:rPr>
  </w:style>
  <w:style w:type="character" w:customStyle="1" w:styleId="48">
    <w:name w:val="正文文本 Char"/>
    <w:link w:val="2"/>
    <w:qFormat/>
    <w:uiPriority w:val="0"/>
    <w:rPr>
      <w:rFonts w:ascii="楷体_GB2312" w:hAnsi="Arial" w:eastAsia="楷体_GB2312"/>
      <w:kern w:val="2"/>
      <w:sz w:val="28"/>
      <w:szCs w:val="28"/>
      <w:lang w:val="en-US" w:eastAsia="zh-CN" w:bidi="ar-SA"/>
    </w:rPr>
  </w:style>
  <w:style w:type="character" w:customStyle="1" w:styleId="49">
    <w:name w:val="正文首行缩进 Char1"/>
    <w:link w:val="37"/>
    <w:qFormat/>
    <w:uiPriority w:val="0"/>
    <w:rPr>
      <w:rFonts w:ascii="仿宋_GB2312" w:eastAsia="仿宋_GB2312"/>
      <w:kern w:val="2"/>
      <w:sz w:val="30"/>
      <w:szCs w:val="30"/>
      <w:lang w:val="en-US" w:eastAsia="zh-CN" w:bidi="ar-SA"/>
    </w:rPr>
  </w:style>
  <w:style w:type="character" w:customStyle="1" w:styleId="50">
    <w:name w:val="正文文本缩进 Char"/>
    <w:link w:val="18"/>
    <w:qFormat/>
    <w:uiPriority w:val="0"/>
    <w:rPr>
      <w:rFonts w:ascii="楷体_GB2312" w:eastAsia="楷体_GB2312"/>
      <w:kern w:val="2"/>
      <w:sz w:val="32"/>
      <w:szCs w:val="32"/>
      <w:lang w:val="en-US" w:eastAsia="zh-CN" w:bidi="ar-SA"/>
    </w:rPr>
  </w:style>
  <w:style w:type="character" w:customStyle="1" w:styleId="51">
    <w:name w:val="正文首行缩进 2 Char"/>
    <w:link w:val="38"/>
    <w:qFormat/>
    <w:uiPriority w:val="0"/>
    <w:rPr>
      <w:rFonts w:ascii="宋体" w:hAnsi="宋体" w:eastAsia="宋体"/>
      <w:kern w:val="2"/>
      <w:sz w:val="21"/>
      <w:lang w:val="en-US" w:eastAsia="zh-CN" w:bidi="ar-SA"/>
    </w:rPr>
  </w:style>
  <w:style w:type="character" w:customStyle="1" w:styleId="52">
    <w:name w:val="标题 3 Char"/>
    <w:link w:val="4"/>
    <w:qFormat/>
    <w:uiPriority w:val="0"/>
    <w:rPr>
      <w:rFonts w:eastAsia="宋体"/>
      <w:b/>
      <w:bCs/>
      <w:kern w:val="2"/>
      <w:sz w:val="32"/>
      <w:szCs w:val="32"/>
      <w:lang w:val="en-US" w:eastAsia="zh-CN" w:bidi="ar-SA"/>
    </w:rPr>
  </w:style>
  <w:style w:type="character" w:customStyle="1" w:styleId="53">
    <w:name w:val="标题 1 Char"/>
    <w:link w:val="3"/>
    <w:qFormat/>
    <w:uiPriority w:val="0"/>
    <w:rPr>
      <w:rFonts w:ascii="楷体_GB2312" w:eastAsia="楷体_GB2312"/>
      <w:kern w:val="2"/>
      <w:sz w:val="28"/>
      <w:szCs w:val="28"/>
      <w:lang w:val="en-US" w:eastAsia="zh-CN" w:bidi="ar-SA"/>
    </w:rPr>
  </w:style>
  <w:style w:type="character" w:customStyle="1" w:styleId="54">
    <w:name w:val="标题 2 Char"/>
    <w:link w:val="5"/>
    <w:qFormat/>
    <w:uiPriority w:val="0"/>
    <w:rPr>
      <w:rFonts w:ascii="Arial" w:hAnsi="Arial" w:eastAsia="黑体" w:cs="Arial"/>
      <w:b/>
      <w:bCs/>
      <w:kern w:val="2"/>
      <w:sz w:val="44"/>
      <w:szCs w:val="44"/>
      <w:lang w:val="en-US" w:eastAsia="zh-CN" w:bidi="ar-SA"/>
    </w:rPr>
  </w:style>
  <w:style w:type="character" w:customStyle="1" w:styleId="55">
    <w:name w:val="标题 4 Char"/>
    <w:link w:val="6"/>
    <w:qFormat/>
    <w:uiPriority w:val="0"/>
    <w:rPr>
      <w:rFonts w:ascii="Arial" w:hAnsi="Arial" w:eastAsia="宋体" w:cs="Arial"/>
      <w:b/>
      <w:kern w:val="2"/>
      <w:sz w:val="28"/>
      <w:szCs w:val="28"/>
      <w:lang w:val="en-US" w:eastAsia="zh-CN" w:bidi="ar-SA"/>
    </w:rPr>
  </w:style>
  <w:style w:type="character" w:customStyle="1" w:styleId="56">
    <w:name w:val="标题 5 Char"/>
    <w:link w:val="7"/>
    <w:qFormat/>
    <w:uiPriority w:val="0"/>
    <w:rPr>
      <w:rFonts w:ascii="宋体" w:eastAsia="宋体"/>
      <w:color w:val="000000"/>
      <w:sz w:val="28"/>
      <w:szCs w:val="28"/>
      <w:lang w:val="en-US" w:eastAsia="zh-CN" w:bidi="ar-SA"/>
    </w:rPr>
  </w:style>
  <w:style w:type="character" w:customStyle="1" w:styleId="57">
    <w:name w:val="正文缩进 Char1"/>
    <w:link w:val="8"/>
    <w:qFormat/>
    <w:uiPriority w:val="0"/>
    <w:rPr>
      <w:rFonts w:eastAsia="宋体"/>
      <w:kern w:val="2"/>
      <w:sz w:val="21"/>
      <w:szCs w:val="21"/>
      <w:lang w:bidi="ar-SA"/>
    </w:rPr>
  </w:style>
  <w:style w:type="character" w:customStyle="1" w:styleId="58">
    <w:name w:val="标题 6 Char"/>
    <w:link w:val="9"/>
    <w:qFormat/>
    <w:uiPriority w:val="0"/>
    <w:rPr>
      <w:rFonts w:ascii="Arial" w:hAnsi="Arial" w:eastAsia="黑体"/>
      <w:b/>
      <w:bCs/>
      <w:kern w:val="2"/>
      <w:sz w:val="24"/>
      <w:szCs w:val="24"/>
      <w:lang w:val="en-US" w:eastAsia="zh-CN" w:bidi="ar-SA"/>
    </w:rPr>
  </w:style>
  <w:style w:type="character" w:customStyle="1" w:styleId="59">
    <w:name w:val="标题 7 Char"/>
    <w:link w:val="10"/>
    <w:qFormat/>
    <w:uiPriority w:val="0"/>
    <w:rPr>
      <w:rFonts w:eastAsia="宋体"/>
      <w:b/>
      <w:bCs/>
      <w:kern w:val="2"/>
      <w:sz w:val="24"/>
      <w:szCs w:val="24"/>
      <w:lang w:val="en-US" w:eastAsia="zh-CN" w:bidi="ar-SA"/>
    </w:rPr>
  </w:style>
  <w:style w:type="character" w:customStyle="1" w:styleId="60">
    <w:name w:val="标题 8 Char"/>
    <w:link w:val="11"/>
    <w:qFormat/>
    <w:uiPriority w:val="0"/>
    <w:rPr>
      <w:rFonts w:ascii="Arial" w:hAnsi="Arial" w:eastAsia="黑体"/>
      <w:kern w:val="2"/>
      <w:sz w:val="24"/>
      <w:szCs w:val="24"/>
      <w:lang w:val="en-US" w:eastAsia="zh-CN" w:bidi="ar-SA"/>
    </w:rPr>
  </w:style>
  <w:style w:type="character" w:customStyle="1" w:styleId="61">
    <w:name w:val="标题 9 Char"/>
    <w:link w:val="12"/>
    <w:qFormat/>
    <w:uiPriority w:val="0"/>
    <w:rPr>
      <w:rFonts w:ascii="Arial" w:hAnsi="Arial" w:eastAsia="黑体"/>
      <w:kern w:val="2"/>
      <w:sz w:val="21"/>
      <w:szCs w:val="21"/>
      <w:lang w:val="en-US" w:eastAsia="zh-CN" w:bidi="ar-SA"/>
    </w:rPr>
  </w:style>
  <w:style w:type="character" w:customStyle="1" w:styleId="62">
    <w:name w:val="文档结构图 Char"/>
    <w:link w:val="14"/>
    <w:semiHidden/>
    <w:qFormat/>
    <w:uiPriority w:val="0"/>
    <w:rPr>
      <w:rFonts w:eastAsia="宋体"/>
      <w:kern w:val="2"/>
      <w:sz w:val="21"/>
      <w:szCs w:val="21"/>
      <w:lang w:bidi="ar-SA"/>
    </w:rPr>
  </w:style>
  <w:style w:type="character" w:customStyle="1" w:styleId="63">
    <w:name w:val="批注文字 Char"/>
    <w:link w:val="15"/>
    <w:semiHidden/>
    <w:qFormat/>
    <w:uiPriority w:val="0"/>
    <w:rPr>
      <w:kern w:val="2"/>
      <w:sz w:val="21"/>
      <w:szCs w:val="21"/>
    </w:rPr>
  </w:style>
  <w:style w:type="character" w:customStyle="1" w:styleId="64">
    <w:name w:val="正文文本 3 Char"/>
    <w:link w:val="17"/>
    <w:qFormat/>
    <w:uiPriority w:val="0"/>
    <w:rPr>
      <w:rFonts w:ascii="仿宋_GB2312" w:hAnsi="Arial" w:eastAsia="仿宋_GB2312"/>
      <w:kern w:val="2"/>
      <w:sz w:val="32"/>
      <w:szCs w:val="32"/>
      <w:lang w:val="en-US" w:eastAsia="zh-CN" w:bidi="ar-SA"/>
    </w:rPr>
  </w:style>
  <w:style w:type="character" w:customStyle="1" w:styleId="65">
    <w:name w:val="纯文本 Char"/>
    <w:link w:val="22"/>
    <w:qFormat/>
    <w:uiPriority w:val="0"/>
    <w:rPr>
      <w:rFonts w:ascii="宋体" w:hAnsi="Courier New" w:eastAsia="宋体" w:cs="Courier New"/>
      <w:kern w:val="2"/>
      <w:sz w:val="21"/>
      <w:szCs w:val="21"/>
      <w:lang w:val="en-US" w:eastAsia="zh-CN" w:bidi="ar-SA"/>
    </w:rPr>
  </w:style>
  <w:style w:type="character" w:customStyle="1" w:styleId="66">
    <w:name w:val="日期 Char"/>
    <w:link w:val="23"/>
    <w:qFormat/>
    <w:uiPriority w:val="0"/>
    <w:rPr>
      <w:rFonts w:eastAsia="宋体"/>
      <w:kern w:val="2"/>
      <w:sz w:val="24"/>
      <w:szCs w:val="24"/>
      <w:lang w:val="en-US" w:eastAsia="zh-CN" w:bidi="ar-SA"/>
    </w:rPr>
  </w:style>
  <w:style w:type="character" w:customStyle="1" w:styleId="67">
    <w:name w:val="正文文本缩进 2 Char"/>
    <w:link w:val="24"/>
    <w:qFormat/>
    <w:uiPriority w:val="0"/>
    <w:rPr>
      <w:rFonts w:ascii="Arial" w:hAnsi="Arial" w:eastAsia="仿宋_GB2312" w:cs="Arial"/>
      <w:kern w:val="2"/>
      <w:sz w:val="32"/>
      <w:szCs w:val="32"/>
      <w:lang w:val="en-US" w:eastAsia="zh-CN" w:bidi="ar-SA"/>
    </w:rPr>
  </w:style>
  <w:style w:type="character" w:customStyle="1" w:styleId="68">
    <w:name w:val="批注框文本 Char"/>
    <w:link w:val="25"/>
    <w:semiHidden/>
    <w:qFormat/>
    <w:uiPriority w:val="0"/>
    <w:rPr>
      <w:rFonts w:eastAsia="宋体"/>
      <w:kern w:val="2"/>
      <w:sz w:val="18"/>
      <w:szCs w:val="18"/>
      <w:lang w:val="en-US" w:eastAsia="zh-CN" w:bidi="ar-SA"/>
    </w:rPr>
  </w:style>
  <w:style w:type="character" w:customStyle="1" w:styleId="69">
    <w:name w:val="页脚 Char"/>
    <w:link w:val="26"/>
    <w:qFormat/>
    <w:uiPriority w:val="0"/>
    <w:rPr>
      <w:rFonts w:eastAsia="宋体"/>
      <w:kern w:val="2"/>
      <w:sz w:val="18"/>
      <w:szCs w:val="18"/>
      <w:lang w:bidi="ar-SA"/>
    </w:rPr>
  </w:style>
  <w:style w:type="character" w:customStyle="1" w:styleId="70">
    <w:name w:val="页眉 Char"/>
    <w:link w:val="27"/>
    <w:qFormat/>
    <w:uiPriority w:val="0"/>
    <w:rPr>
      <w:rFonts w:eastAsia="宋体"/>
      <w:kern w:val="2"/>
      <w:sz w:val="18"/>
      <w:szCs w:val="18"/>
      <w:lang w:val="en-US" w:eastAsia="zh-CN" w:bidi="ar-SA"/>
    </w:rPr>
  </w:style>
  <w:style w:type="character" w:customStyle="1" w:styleId="71">
    <w:name w:val="脚注文本 Char"/>
    <w:link w:val="30"/>
    <w:qFormat/>
    <w:uiPriority w:val="0"/>
    <w:rPr>
      <w:kern w:val="2"/>
      <w:sz w:val="18"/>
      <w:szCs w:val="21"/>
    </w:rPr>
  </w:style>
  <w:style w:type="character" w:customStyle="1" w:styleId="72">
    <w:name w:val="正文文本缩进 3 Char"/>
    <w:link w:val="31"/>
    <w:qFormat/>
    <w:uiPriority w:val="0"/>
    <w:rPr>
      <w:rFonts w:ascii="Arial" w:hAnsi="Arial" w:eastAsia="仿宋_GB2312" w:cs="Arial"/>
      <w:color w:val="FFFF00"/>
      <w:kern w:val="2"/>
      <w:sz w:val="32"/>
      <w:szCs w:val="32"/>
      <w:lang w:val="en-US" w:eastAsia="zh-CN" w:bidi="ar-SA"/>
    </w:rPr>
  </w:style>
  <w:style w:type="character" w:customStyle="1" w:styleId="73">
    <w:name w:val="正文文本 2 Char"/>
    <w:link w:val="33"/>
    <w:qFormat/>
    <w:uiPriority w:val="0"/>
    <w:rPr>
      <w:rFonts w:ascii="楷体_GB2312" w:eastAsia="楷体_GB2312"/>
      <w:kern w:val="2"/>
      <w:sz w:val="28"/>
      <w:szCs w:val="28"/>
      <w:lang w:val="en-US" w:eastAsia="zh-CN" w:bidi="ar-SA"/>
    </w:rPr>
  </w:style>
  <w:style w:type="character" w:customStyle="1" w:styleId="74">
    <w:name w:val="信息标题 Char"/>
    <w:link w:val="34"/>
    <w:qFormat/>
    <w:uiPriority w:val="0"/>
    <w:rPr>
      <w:rFonts w:ascii="Arial" w:hAnsi="Arial" w:cs="Arial"/>
      <w:kern w:val="2"/>
      <w:sz w:val="21"/>
      <w:szCs w:val="24"/>
      <w:shd w:val="pct20" w:color="auto" w:fill="auto"/>
    </w:rPr>
  </w:style>
  <w:style w:type="character" w:customStyle="1" w:styleId="75">
    <w:name w:val="批注主题 Char"/>
    <w:link w:val="36"/>
    <w:semiHidden/>
    <w:qFormat/>
    <w:uiPriority w:val="0"/>
    <w:rPr>
      <w:rFonts w:eastAsia="宋体"/>
      <w:b/>
      <w:bCs/>
      <w:kern w:val="2"/>
      <w:sz w:val="21"/>
      <w:szCs w:val="21"/>
      <w:lang w:val="en-US" w:eastAsia="zh-CN" w:bidi="ar-SA"/>
    </w:rPr>
  </w:style>
  <w:style w:type="character" w:customStyle="1" w:styleId="76">
    <w:name w:val="font41"/>
    <w:qFormat/>
    <w:uiPriority w:val="0"/>
    <w:rPr>
      <w:rFonts w:hint="eastAsia" w:ascii="宋体" w:hAnsi="宋体" w:eastAsia="宋体" w:cs="宋体"/>
      <w:color w:val="000000"/>
      <w:sz w:val="24"/>
      <w:szCs w:val="24"/>
      <w:u w:val="none"/>
    </w:rPr>
  </w:style>
  <w:style w:type="character" w:customStyle="1" w:styleId="77">
    <w:name w:val="正文格式 Char"/>
    <w:link w:val="78"/>
    <w:qFormat/>
    <w:uiPriority w:val="0"/>
    <w:rPr>
      <w:rFonts w:eastAsia="仿宋_GB2312"/>
      <w:sz w:val="28"/>
      <w:lang w:bidi="ar-SA"/>
    </w:rPr>
  </w:style>
  <w:style w:type="paragraph" w:customStyle="1" w:styleId="78">
    <w:name w:val="正文格式"/>
    <w:basedOn w:val="1"/>
    <w:link w:val="77"/>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79">
    <w:name w:val="font51"/>
    <w:qFormat/>
    <w:uiPriority w:val="0"/>
    <w:rPr>
      <w:rFonts w:hint="eastAsia" w:ascii="宋体" w:hAnsi="宋体" w:eastAsia="宋体" w:cs="宋体"/>
      <w:color w:val="FF0000"/>
      <w:sz w:val="24"/>
      <w:szCs w:val="24"/>
      <w:u w:val="none"/>
    </w:rPr>
  </w:style>
  <w:style w:type="character" w:customStyle="1" w:styleId="80">
    <w:name w:val="font12"/>
    <w:qFormat/>
    <w:uiPriority w:val="0"/>
    <w:rPr>
      <w:rFonts w:hint="eastAsia" w:ascii="宋体" w:hAnsi="宋体" w:eastAsia="宋体" w:cs="宋体"/>
      <w:color w:val="000000"/>
      <w:sz w:val="24"/>
      <w:szCs w:val="24"/>
      <w:u w:val="none"/>
    </w:rPr>
  </w:style>
  <w:style w:type="character" w:customStyle="1" w:styleId="81">
    <w:name w:val="Char Char2"/>
    <w:qFormat/>
    <w:uiPriority w:val="0"/>
    <w:rPr>
      <w:rFonts w:ascii="Times New Roman" w:hAnsi="Times New Roman" w:eastAsia="宋体" w:cs="Times New Roman"/>
      <w:szCs w:val="21"/>
    </w:rPr>
  </w:style>
  <w:style w:type="character" w:customStyle="1" w:styleId="82">
    <w:name w:val="font71"/>
    <w:qFormat/>
    <w:uiPriority w:val="0"/>
    <w:rPr>
      <w:rFonts w:ascii="Arial" w:hAnsi="Arial" w:cs="Arial"/>
      <w:color w:val="000000"/>
      <w:sz w:val="24"/>
      <w:szCs w:val="24"/>
      <w:u w:val="none"/>
    </w:rPr>
  </w:style>
  <w:style w:type="character" w:customStyle="1" w:styleId="83">
    <w:name w:val="正文首行缩进（qhb） Char"/>
    <w:link w:val="84"/>
    <w:qFormat/>
    <w:uiPriority w:val="0"/>
    <w:rPr>
      <w:rFonts w:ascii="Arial" w:hAnsi="Arial"/>
      <w:sz w:val="24"/>
      <w:szCs w:val="21"/>
    </w:rPr>
  </w:style>
  <w:style w:type="paragraph" w:customStyle="1" w:styleId="84">
    <w:name w:val="正文首行缩进（qhb）"/>
    <w:basedOn w:val="1"/>
    <w:link w:val="83"/>
    <w:qFormat/>
    <w:uiPriority w:val="0"/>
    <w:pPr>
      <w:widowControl/>
      <w:spacing w:after="50" w:line="360" w:lineRule="auto"/>
      <w:ind w:firstLine="200" w:firstLineChars="200"/>
      <w:jc w:val="left"/>
    </w:pPr>
    <w:rPr>
      <w:rFonts w:ascii="Arial" w:hAnsi="Arial"/>
      <w:kern w:val="0"/>
      <w:sz w:val="24"/>
    </w:rPr>
  </w:style>
  <w:style w:type="character" w:customStyle="1" w:styleId="85">
    <w:name w:val="font61"/>
    <w:qFormat/>
    <w:uiPriority w:val="0"/>
    <w:rPr>
      <w:rFonts w:ascii="Symbol" w:hAnsi="Symbol" w:cs="Symbol"/>
      <w:color w:val="000000"/>
      <w:sz w:val="24"/>
      <w:szCs w:val="24"/>
      <w:u w:val="none"/>
    </w:rPr>
  </w:style>
  <w:style w:type="character" w:customStyle="1" w:styleId="86">
    <w:name w:val="正文首行缩进 Char"/>
    <w:qFormat/>
    <w:uiPriority w:val="0"/>
    <w:rPr>
      <w:rFonts w:ascii="仿宋_GB2312" w:hAnsi="Times New Roman" w:eastAsia="仿宋_GB2312" w:cs="Times New Roman"/>
      <w:kern w:val="2"/>
      <w:sz w:val="30"/>
      <w:szCs w:val="30"/>
    </w:rPr>
  </w:style>
  <w:style w:type="character" w:customStyle="1" w:styleId="87">
    <w:name w:val="font5 Char"/>
    <w:qFormat/>
    <w:uiPriority w:val="0"/>
    <w:rPr>
      <w:rFonts w:ascii="宋体" w:hAnsi="宋体" w:eastAsia="宋体"/>
      <w:sz w:val="28"/>
      <w:szCs w:val="28"/>
      <w:lang w:val="en-US" w:eastAsia="zh-CN" w:bidi="ar-SA"/>
    </w:rPr>
  </w:style>
  <w:style w:type="character" w:customStyle="1" w:styleId="88">
    <w:name w:val="Char Char6"/>
    <w:qFormat/>
    <w:uiPriority w:val="0"/>
    <w:rPr>
      <w:rFonts w:ascii="Times New Roman" w:hAnsi="Times New Roman" w:eastAsia="宋体" w:cs="Times New Roman"/>
      <w:sz w:val="18"/>
      <w:szCs w:val="18"/>
    </w:rPr>
  </w:style>
  <w:style w:type="character" w:customStyle="1" w:styleId="89">
    <w:name w:val="列出段落 Char"/>
    <w:link w:val="90"/>
    <w:qFormat/>
    <w:locked/>
    <w:uiPriority w:val="0"/>
    <w:rPr>
      <w:rFonts w:ascii="Calibri" w:hAnsi="Calibri"/>
      <w:sz w:val="24"/>
      <w:szCs w:val="24"/>
      <w:lang w:eastAsia="en-US" w:bidi="en-US"/>
    </w:rPr>
  </w:style>
  <w:style w:type="paragraph" w:customStyle="1" w:styleId="90">
    <w:name w:val="列出段落1"/>
    <w:basedOn w:val="1"/>
    <w:link w:val="89"/>
    <w:qFormat/>
    <w:uiPriority w:val="0"/>
    <w:pPr>
      <w:widowControl/>
      <w:ind w:left="720"/>
      <w:contextualSpacing/>
      <w:jc w:val="left"/>
    </w:pPr>
    <w:rPr>
      <w:kern w:val="0"/>
      <w:sz w:val="24"/>
      <w:szCs w:val="24"/>
      <w:lang w:eastAsia="en-US" w:bidi="en-US"/>
    </w:rPr>
  </w:style>
  <w:style w:type="character" w:customStyle="1" w:styleId="91">
    <w:name w:val="二级目录 Char"/>
    <w:link w:val="92"/>
    <w:qFormat/>
    <w:uiPriority w:val="0"/>
    <w:rPr>
      <w:rFonts w:eastAsia="Times New Roman"/>
      <w:b/>
      <w:kern w:val="2"/>
      <w:sz w:val="30"/>
      <w:szCs w:val="28"/>
      <w:lang w:val="en-US" w:eastAsia="zh-CN" w:bidi="ar-SA"/>
    </w:rPr>
  </w:style>
  <w:style w:type="paragraph" w:customStyle="1" w:styleId="92">
    <w:name w:val="二级目录"/>
    <w:next w:val="1"/>
    <w:link w:val="91"/>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93">
    <w:name w:val="font31"/>
    <w:qFormat/>
    <w:uiPriority w:val="0"/>
    <w:rPr>
      <w:rFonts w:hint="eastAsia" w:ascii="仿宋" w:hAnsi="仿宋" w:eastAsia="仿宋" w:cs="仿宋"/>
      <w:color w:val="000000"/>
      <w:sz w:val="24"/>
      <w:szCs w:val="24"/>
      <w:u w:val="none"/>
    </w:rPr>
  </w:style>
  <w:style w:type="character" w:customStyle="1" w:styleId="94">
    <w:name w:val="font122"/>
    <w:qFormat/>
    <w:uiPriority w:val="0"/>
    <w:rPr>
      <w:rFonts w:hint="eastAsia" w:ascii="宋体" w:hAnsi="宋体" w:eastAsia="宋体" w:cs="宋体"/>
      <w:color w:val="FF0000"/>
      <w:sz w:val="24"/>
      <w:szCs w:val="24"/>
      <w:u w:val="none"/>
    </w:rPr>
  </w:style>
  <w:style w:type="character" w:customStyle="1" w:styleId="95">
    <w:name w:val="mini-outputtext1"/>
    <w:qFormat/>
    <w:uiPriority w:val="0"/>
  </w:style>
  <w:style w:type="character" w:customStyle="1" w:styleId="96">
    <w:name w:val="正文缩进 Char"/>
    <w:qFormat/>
    <w:uiPriority w:val="0"/>
    <w:rPr>
      <w:kern w:val="2"/>
      <w:sz w:val="21"/>
      <w:szCs w:val="21"/>
    </w:rPr>
  </w:style>
  <w:style w:type="character" w:customStyle="1" w:styleId="97">
    <w:name w:val="bookmark-item"/>
    <w:qFormat/>
    <w:uiPriority w:val="0"/>
  </w:style>
  <w:style w:type="paragraph" w:customStyle="1" w:styleId="98">
    <w:name w:val="List Paragraph1"/>
    <w:basedOn w:val="1"/>
    <w:qFormat/>
    <w:uiPriority w:val="99"/>
    <w:pPr>
      <w:ind w:firstLine="420" w:firstLineChars="200"/>
    </w:pPr>
  </w:style>
  <w:style w:type="paragraph" w:customStyle="1" w:styleId="99">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0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1">
    <w:name w:val="Char2 Char1 Char"/>
    <w:basedOn w:val="1"/>
    <w:qFormat/>
    <w:uiPriority w:val="0"/>
    <w:pPr>
      <w:tabs>
        <w:tab w:val="left" w:pos="360"/>
      </w:tabs>
    </w:pPr>
    <w:rPr>
      <w:rFonts w:eastAsia="方正仿宋简体"/>
      <w:sz w:val="24"/>
      <w:szCs w:val="32"/>
    </w:rPr>
  </w:style>
  <w:style w:type="paragraph" w:customStyle="1" w:styleId="102">
    <w:name w:val="4"/>
    <w:basedOn w:val="1"/>
    <w:next w:val="31"/>
    <w:qFormat/>
    <w:uiPriority w:val="0"/>
    <w:pPr>
      <w:spacing w:line="360" w:lineRule="auto"/>
      <w:ind w:firstLine="420"/>
    </w:pPr>
    <w:rPr>
      <w:color w:val="FF0000"/>
      <w:sz w:val="24"/>
      <w:szCs w:val="24"/>
    </w:rPr>
  </w:style>
  <w:style w:type="paragraph" w:customStyle="1" w:styleId="103">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
    <w:name w:val="Char"/>
    <w:basedOn w:val="1"/>
    <w:qFormat/>
    <w:uiPriority w:val="0"/>
    <w:pPr>
      <w:tabs>
        <w:tab w:val="left" w:pos="360"/>
      </w:tabs>
      <w:ind w:firstLine="200" w:firstLineChars="200"/>
    </w:pPr>
    <w:rPr>
      <w:sz w:val="28"/>
      <w:szCs w:val="30"/>
    </w:rPr>
  </w:style>
  <w:style w:type="paragraph" w:customStyle="1" w:styleId="105">
    <w:name w:val="Char11"/>
    <w:basedOn w:val="14"/>
    <w:qFormat/>
    <w:uiPriority w:val="0"/>
    <w:rPr>
      <w:rFonts w:ascii="Tahoma" w:hAnsi="Tahoma"/>
      <w:sz w:val="24"/>
      <w:szCs w:val="24"/>
    </w:rPr>
  </w:style>
  <w:style w:type="paragraph" w:customStyle="1" w:styleId="106">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7">
    <w:name w:val="表内文字2"/>
    <w:basedOn w:val="1"/>
    <w:qFormat/>
    <w:uiPriority w:val="0"/>
    <w:pPr>
      <w:spacing w:before="20" w:beforeLines="20" w:after="20" w:afterLines="20" w:line="240" w:lineRule="exact"/>
      <w:ind w:firstLine="444" w:firstLineChars="200"/>
    </w:pPr>
    <w:rPr>
      <w:rFonts w:hint="eastAsia"/>
      <w:spacing w:val="-11"/>
      <w:sz w:val="24"/>
      <w:szCs w:val="24"/>
    </w:rPr>
  </w:style>
  <w:style w:type="paragraph" w:customStyle="1" w:styleId="108">
    <w:name w:val="正文缩进21"/>
    <w:basedOn w:val="1"/>
    <w:qFormat/>
    <w:uiPriority w:val="0"/>
    <w:rPr>
      <w:rFonts w:ascii="Calibri" w:hAnsi="Calibri"/>
    </w:rPr>
  </w:style>
  <w:style w:type="paragraph" w:customStyle="1" w:styleId="109">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1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11">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_Style 4"/>
    <w:basedOn w:val="14"/>
    <w:qFormat/>
    <w:uiPriority w:val="0"/>
    <w:pPr>
      <w:shd w:val="clear" w:color="auto" w:fill="auto"/>
      <w:spacing w:line="360" w:lineRule="auto"/>
      <w:jc w:val="left"/>
    </w:pPr>
    <w:rPr>
      <w:kern w:val="0"/>
      <w:sz w:val="20"/>
      <w:szCs w:val="20"/>
    </w:rPr>
  </w:style>
  <w:style w:type="paragraph" w:customStyle="1" w:styleId="11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14">
    <w:name w:val="Table Paragraph"/>
    <w:basedOn w:val="1"/>
    <w:qFormat/>
    <w:uiPriority w:val="1"/>
    <w:rPr>
      <w:rFonts w:ascii="宋体" w:hAnsi="宋体" w:cs="宋体"/>
      <w:lang w:val="zh-CN" w:bidi="zh-CN"/>
    </w:rPr>
  </w:style>
  <w:style w:type="paragraph" w:customStyle="1" w:styleId="115">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1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7">
    <w:name w:val="Body Text(ch)"/>
    <w:basedOn w:val="1"/>
    <w:next w:val="2"/>
    <w:qFormat/>
    <w:uiPriority w:val="0"/>
    <w:pPr>
      <w:spacing w:after="120"/>
    </w:pPr>
    <w:rPr>
      <w:rFonts w:ascii="宋体" w:hAnsi="Arial"/>
      <w:bCs/>
      <w:iCs/>
      <w:szCs w:val="24"/>
    </w:rPr>
  </w:style>
  <w:style w:type="paragraph" w:customStyle="1" w:styleId="118">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19">
    <w:name w:val="Char1"/>
    <w:basedOn w:val="1"/>
    <w:qFormat/>
    <w:uiPriority w:val="0"/>
    <w:pPr>
      <w:tabs>
        <w:tab w:val="left" w:pos="360"/>
      </w:tabs>
      <w:ind w:firstLine="200" w:firstLineChars="200"/>
    </w:pPr>
    <w:rPr>
      <w:sz w:val="28"/>
      <w:szCs w:val="30"/>
    </w:rPr>
  </w:style>
  <w:style w:type="paragraph" w:customStyle="1" w:styleId="12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2">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23">
    <w:name w:val="内容"/>
    <w:basedOn w:val="1"/>
    <w:qFormat/>
    <w:uiPriority w:val="0"/>
    <w:pPr>
      <w:widowControl/>
      <w:adjustRightInd w:val="0"/>
      <w:snapToGrid w:val="0"/>
      <w:spacing w:before="217" w:line="272" w:lineRule="auto"/>
      <w:ind w:left="11" w:right="113" w:firstLine="527"/>
      <w:textAlignment w:val="baseline"/>
    </w:pPr>
    <w:rPr>
      <w:rFonts w:hint="eastAsia"/>
      <w:snapToGrid w:val="0"/>
      <w:color w:val="000000"/>
      <w:spacing w:val="-6"/>
      <w:sz w:val="28"/>
      <w:szCs w:val="28"/>
      <w:lang w:eastAsia="en-US"/>
    </w:rPr>
  </w:style>
  <w:style w:type="paragraph" w:customStyle="1" w:styleId="124">
    <w:name w:val="列表内容"/>
    <w:basedOn w:val="1"/>
    <w:next w:val="1"/>
    <w:qFormat/>
    <w:uiPriority w:val="0"/>
    <w:pPr>
      <w:widowControl/>
      <w:numPr>
        <w:ilvl w:val="0"/>
        <w:numId w:val="2"/>
      </w:numPr>
      <w:tabs>
        <w:tab w:val="left" w:pos="840"/>
      </w:tabs>
      <w:jc w:val="left"/>
    </w:pPr>
    <w:rPr>
      <w:kern w:val="0"/>
      <w:sz w:val="18"/>
      <w:szCs w:val="24"/>
    </w:rPr>
  </w:style>
  <w:style w:type="paragraph" w:customStyle="1" w:styleId="125">
    <w:name w:val="font7"/>
    <w:basedOn w:val="1"/>
    <w:qFormat/>
    <w:uiPriority w:val="0"/>
    <w:pPr>
      <w:widowControl/>
      <w:numPr>
        <w:ilvl w:val="0"/>
        <w:numId w:val="3"/>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126">
    <w:name w:val="table_lines"/>
    <w:basedOn w:val="1"/>
    <w:qFormat/>
    <w:uiPriority w:val="0"/>
    <w:pPr>
      <w:widowControl/>
      <w:jc w:val="left"/>
    </w:pPr>
    <w:rPr>
      <w:kern w:val="0"/>
      <w:sz w:val="20"/>
      <w:szCs w:val="20"/>
      <w:lang w:val="de-DE" w:eastAsia="de-DE"/>
    </w:rPr>
  </w:style>
  <w:style w:type="paragraph" w:customStyle="1" w:styleId="127">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2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29">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31">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32">
    <w:name w:val="Normal Indent1"/>
    <w:basedOn w:val="1"/>
    <w:qFormat/>
    <w:uiPriority w:val="0"/>
    <w:rPr>
      <w:rFonts w:ascii="Calibri" w:hAnsi="Calibri"/>
    </w:rPr>
  </w:style>
  <w:style w:type="paragraph" w:customStyle="1" w:styleId="133">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3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35">
    <w:name w:val="table_1stline"/>
    <w:basedOn w:val="1"/>
    <w:qFormat/>
    <w:uiPriority w:val="0"/>
    <w:pPr>
      <w:widowControl/>
      <w:spacing w:before="120"/>
      <w:jc w:val="left"/>
    </w:pPr>
    <w:rPr>
      <w:bCs/>
      <w:kern w:val="0"/>
      <w:sz w:val="20"/>
      <w:szCs w:val="20"/>
      <w:lang w:val="de-DE" w:eastAsia="de-DE"/>
    </w:rPr>
  </w:style>
  <w:style w:type="paragraph" w:customStyle="1" w:styleId="136">
    <w:name w:val="Char Char Char Char1"/>
    <w:basedOn w:val="14"/>
    <w:qFormat/>
    <w:uiPriority w:val="0"/>
    <w:pPr>
      <w:adjustRightInd w:val="0"/>
      <w:snapToGrid w:val="0"/>
      <w:spacing w:line="360" w:lineRule="auto"/>
    </w:pPr>
    <w:rPr>
      <w:rFonts w:ascii="Tahoma" w:hAnsi="Tahoma"/>
      <w:kern w:val="0"/>
      <w:sz w:val="24"/>
      <w:szCs w:val="24"/>
    </w:rPr>
  </w:style>
  <w:style w:type="paragraph" w:customStyle="1" w:styleId="137">
    <w:name w:val="Char Char Char Char"/>
    <w:basedOn w:val="14"/>
    <w:qFormat/>
    <w:uiPriority w:val="0"/>
    <w:pPr>
      <w:adjustRightInd w:val="0"/>
      <w:snapToGrid w:val="0"/>
      <w:spacing w:line="360" w:lineRule="auto"/>
    </w:pPr>
    <w:rPr>
      <w:rFonts w:ascii="Tahoma" w:hAnsi="Tahoma"/>
      <w:sz w:val="24"/>
      <w:szCs w:val="24"/>
    </w:r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41">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42">
    <w:name w:val="font5"/>
    <w:basedOn w:val="1"/>
    <w:qFormat/>
    <w:uiPriority w:val="0"/>
    <w:pPr>
      <w:widowControl/>
      <w:numPr>
        <w:ilvl w:val="0"/>
        <w:numId w:val="4"/>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143">
    <w:name w:val="Char Char Char Char Char Char Char Char Char Char"/>
    <w:basedOn w:val="1"/>
    <w:qFormat/>
    <w:uiPriority w:val="0"/>
    <w:pPr>
      <w:adjustRightInd w:val="0"/>
      <w:spacing w:line="360" w:lineRule="auto"/>
    </w:pPr>
    <w:rPr>
      <w:kern w:val="0"/>
      <w:sz w:val="24"/>
      <w:szCs w:val="20"/>
    </w:rPr>
  </w:style>
  <w:style w:type="paragraph" w:customStyle="1" w:styleId="144">
    <w:name w:val="_Style 1"/>
    <w:basedOn w:val="1"/>
    <w:next w:val="1"/>
    <w:qFormat/>
    <w:uiPriority w:val="99"/>
    <w:pPr>
      <w:ind w:firstLine="420" w:firstLineChars="200"/>
    </w:pPr>
  </w:style>
  <w:style w:type="paragraph" w:customStyle="1" w:styleId="145">
    <w:name w:val="_Style 144"/>
    <w:basedOn w:val="3"/>
    <w:next w:val="1"/>
    <w:qFormat/>
    <w:uiPriority w:val="39"/>
    <w:pPr>
      <w:widowControl/>
      <w:spacing w:before="480" w:line="276" w:lineRule="auto"/>
      <w:jc w:val="left"/>
      <w:outlineLvl w:val="9"/>
    </w:pPr>
    <w:rPr>
      <w:rFonts w:ascii="Cambria" w:hAnsi="Cambria" w:eastAsia="宋体"/>
      <w:b w:val="0"/>
      <w:bCs w:val="0"/>
      <w:color w:val="365F91"/>
      <w:kern w:val="0"/>
    </w:rPr>
  </w:style>
  <w:style w:type="paragraph" w:customStyle="1" w:styleId="146">
    <w:name w:val="Char Char Char Char2"/>
    <w:basedOn w:val="14"/>
    <w:qFormat/>
    <w:uiPriority w:val="0"/>
    <w:pPr>
      <w:adjustRightInd w:val="0"/>
      <w:snapToGrid w:val="0"/>
      <w:spacing w:line="360" w:lineRule="auto"/>
    </w:pPr>
    <w:rPr>
      <w:rFonts w:ascii="Tahoma" w:hAnsi="Tahoma"/>
      <w:sz w:val="24"/>
      <w:szCs w:val="24"/>
    </w:rPr>
  </w:style>
  <w:style w:type="paragraph" w:customStyle="1" w:styleId="147">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48">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49">
    <w:name w:val="黑标题"/>
    <w:basedOn w:val="1"/>
    <w:qFormat/>
    <w:uiPriority w:val="0"/>
    <w:pPr>
      <w:widowControl/>
      <w:kinsoku w:val="0"/>
      <w:adjustRightInd w:val="0"/>
      <w:snapToGrid w:val="0"/>
      <w:spacing w:before="91" w:line="209" w:lineRule="auto"/>
      <w:ind w:left="561"/>
      <w:textAlignment w:val="baseline"/>
    </w:pPr>
    <w:rPr>
      <w:rFonts w:hint="eastAsia" w:ascii="黑体" w:hAnsi="黑体" w:eastAsia="黑体" w:cs="黑体"/>
      <w:snapToGrid w:val="0"/>
      <w:color w:val="000000"/>
      <w:spacing w:val="-2"/>
      <w:sz w:val="28"/>
      <w:szCs w:val="28"/>
      <w:lang w:eastAsia="en-US"/>
    </w:rPr>
  </w:style>
  <w:style w:type="paragraph" w:customStyle="1" w:styleId="150">
    <w:name w:val="表内仿宋"/>
    <w:basedOn w:val="1"/>
    <w:qFormat/>
    <w:uiPriority w:val="0"/>
    <w:pPr>
      <w:spacing w:line="240" w:lineRule="exact"/>
      <w:jc w:val="center"/>
    </w:pPr>
    <w:rPr>
      <w:rFonts w:ascii="仿宋" w:hAnsi="仿宋" w:cs="仿宋"/>
      <w:spacing w:val="-9"/>
      <w:sz w:val="24"/>
      <w:szCs w:val="24"/>
    </w:rPr>
  </w:style>
  <w:style w:type="character" w:customStyle="1" w:styleId="151">
    <w:name w:val="Char Char21"/>
    <w:qFormat/>
    <w:uiPriority w:val="0"/>
    <w:rPr>
      <w:rFonts w:ascii="Times New Roman" w:hAnsi="Times New Roman" w:eastAsia="宋体" w:cs="Times New Roman"/>
      <w:szCs w:val="21"/>
    </w:rPr>
  </w:style>
  <w:style w:type="character" w:customStyle="1" w:styleId="152">
    <w:name w:val="Char Char61"/>
    <w:qFormat/>
    <w:uiPriority w:val="0"/>
    <w:rPr>
      <w:rFonts w:ascii="Times New Roman" w:hAnsi="Times New Roman" w:eastAsia="宋体" w:cs="Times New Roman"/>
      <w:sz w:val="18"/>
      <w:szCs w:val="18"/>
    </w:rPr>
  </w:style>
  <w:style w:type="character" w:customStyle="1" w:styleId="153">
    <w:name w:val="正文文本 2 字符1"/>
    <w:semiHidden/>
    <w:qFormat/>
    <w:uiPriority w:val="99"/>
    <w:rPr>
      <w:rFonts w:ascii="Times New Roman" w:hAnsi="Times New Roman" w:eastAsia="宋体" w:cs="Times New Roman"/>
      <w:szCs w:val="21"/>
    </w:rPr>
  </w:style>
  <w:style w:type="character" w:customStyle="1" w:styleId="154">
    <w:name w:val="日期 字符1"/>
    <w:semiHidden/>
    <w:qFormat/>
    <w:uiPriority w:val="99"/>
    <w:rPr>
      <w:rFonts w:ascii="Times New Roman" w:hAnsi="Times New Roman" w:eastAsia="宋体" w:cs="Times New Roman"/>
      <w:szCs w:val="21"/>
    </w:rPr>
  </w:style>
  <w:style w:type="character" w:customStyle="1" w:styleId="155">
    <w:name w:val="正文文本 3 字符1"/>
    <w:semiHidden/>
    <w:qFormat/>
    <w:uiPriority w:val="99"/>
    <w:rPr>
      <w:rFonts w:ascii="Times New Roman" w:hAnsi="Times New Roman" w:eastAsia="宋体" w:cs="Times New Roman"/>
      <w:sz w:val="16"/>
      <w:szCs w:val="16"/>
    </w:rPr>
  </w:style>
  <w:style w:type="character" w:customStyle="1" w:styleId="156">
    <w:name w:val="正文文本 字符1"/>
    <w:semiHidden/>
    <w:qFormat/>
    <w:uiPriority w:val="99"/>
    <w:rPr>
      <w:rFonts w:ascii="Times New Roman" w:hAnsi="Times New Roman" w:eastAsia="宋体" w:cs="Times New Roman"/>
      <w:szCs w:val="21"/>
    </w:rPr>
  </w:style>
  <w:style w:type="character" w:customStyle="1" w:styleId="157">
    <w:name w:val="正文文本首行缩进 字符1"/>
    <w:semiHidden/>
    <w:qFormat/>
    <w:uiPriority w:val="99"/>
  </w:style>
  <w:style w:type="character" w:customStyle="1" w:styleId="158">
    <w:name w:val="正文文本缩进 3 字符1"/>
    <w:semiHidden/>
    <w:qFormat/>
    <w:uiPriority w:val="99"/>
    <w:rPr>
      <w:rFonts w:ascii="Times New Roman" w:hAnsi="Times New Roman" w:eastAsia="宋体" w:cs="Times New Roman"/>
      <w:sz w:val="16"/>
      <w:szCs w:val="16"/>
    </w:rPr>
  </w:style>
  <w:style w:type="character" w:customStyle="1" w:styleId="159">
    <w:name w:val="文档结构图 字符1"/>
    <w:semiHidden/>
    <w:qFormat/>
    <w:uiPriority w:val="99"/>
    <w:rPr>
      <w:rFonts w:ascii="Microsoft YaHei UI" w:hAnsi="Times New Roman" w:eastAsia="Microsoft YaHei UI" w:cs="Times New Roman"/>
      <w:sz w:val="18"/>
      <w:szCs w:val="18"/>
    </w:rPr>
  </w:style>
  <w:style w:type="character" w:customStyle="1" w:styleId="160">
    <w:name w:val="纯文本 字符1"/>
    <w:semiHidden/>
    <w:qFormat/>
    <w:uiPriority w:val="99"/>
    <w:rPr>
      <w:rFonts w:ascii="等线" w:hAnsi="Courier New" w:cs="Courier New"/>
      <w:szCs w:val="21"/>
    </w:rPr>
  </w:style>
  <w:style w:type="character" w:customStyle="1" w:styleId="161">
    <w:name w:val="正文文本缩进 字符1"/>
    <w:semiHidden/>
    <w:qFormat/>
    <w:uiPriority w:val="99"/>
    <w:rPr>
      <w:rFonts w:ascii="Times New Roman" w:hAnsi="Times New Roman" w:eastAsia="宋体" w:cs="Times New Roman"/>
      <w:szCs w:val="21"/>
    </w:rPr>
  </w:style>
  <w:style w:type="character" w:customStyle="1" w:styleId="162">
    <w:name w:val="正文文本首行缩进 2 字符1"/>
    <w:semiHidden/>
    <w:qFormat/>
    <w:uiPriority w:val="99"/>
  </w:style>
  <w:style w:type="character" w:customStyle="1" w:styleId="163">
    <w:name w:val="正文文本缩进 2 字符1"/>
    <w:semiHidden/>
    <w:qFormat/>
    <w:uiPriority w:val="99"/>
    <w:rPr>
      <w:rFonts w:ascii="Times New Roman" w:hAnsi="Times New Roman" w:eastAsia="宋体" w:cs="Times New Roman"/>
      <w:szCs w:val="21"/>
    </w:rPr>
  </w:style>
  <w:style w:type="character" w:customStyle="1" w:styleId="164">
    <w:name w:val="批注主题 字符1"/>
    <w:semiHidden/>
    <w:qFormat/>
    <w:uiPriority w:val="99"/>
    <w:rPr>
      <w:rFonts w:ascii="Times New Roman" w:hAnsi="Times New Roman" w:eastAsia="宋体" w:cs="Times New Roman"/>
      <w:b/>
      <w:bCs/>
      <w:szCs w:val="21"/>
    </w:rPr>
  </w:style>
  <w:style w:type="character" w:customStyle="1" w:styleId="165">
    <w:name w:val="批注框文本 字符1"/>
    <w:semiHidden/>
    <w:qFormat/>
    <w:uiPriority w:val="99"/>
    <w:rPr>
      <w:rFonts w:ascii="Times New Roman" w:hAnsi="Times New Roman" w:eastAsia="宋体" w:cs="Times New Roman"/>
      <w:sz w:val="18"/>
      <w:szCs w:val="18"/>
    </w:rPr>
  </w:style>
  <w:style w:type="paragraph" w:customStyle="1" w:styleId="166">
    <w:name w:val="列表段落1"/>
    <w:basedOn w:val="1"/>
    <w:qFormat/>
    <w:uiPriority w:val="99"/>
    <w:pPr>
      <w:ind w:firstLine="420" w:firstLineChars="200"/>
    </w:pPr>
  </w:style>
  <w:style w:type="character" w:customStyle="1" w:styleId="167">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187</Pages>
  <Words>4506</Words>
  <Characters>4751</Characters>
  <Lines>1248</Lines>
  <Paragraphs>351</Paragraphs>
  <TotalTime>1</TotalTime>
  <ScaleCrop>false</ScaleCrop>
  <LinksUpToDate>false</LinksUpToDate>
  <CharactersWithSpaces>4844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2019-01-09T17:13:00Z</dcterms:created>
  <cp:lastPrinted>2023-03-10T11:19:00Z</cp:lastPrinted>
  <dcterms:modified xsi:type="dcterms:W3CDTF">2025-05-30T03:33:28Z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16A08955BAFC4CBEB33DE70B01B61700_13</vt:lpwstr>
  </property>
  <property fmtid="{D5CDD505-2E9C-101B-9397-08002B2CF9AE}" pid="4" name="KSOTemplateDocerSaveRecord">
    <vt:lpwstr>eyJoZGlkIjoiZGU2MmRlMDk4ZGVlNjRlMzUzNzMyNWM5ZGE3ODYzMDAiLCJ1c2VySWQiOiI0NjAzODk0NzYifQ==</vt:lpwstr>
  </property>
</Properties>
</file>