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77" w:lineRule="atLeast"/>
        <w:ind w:left="1"/>
        <w:jc w:val="center"/>
        <w:textAlignment w:val="bottom"/>
        <w:rPr>
          <w:rFonts w:hint="eastAsia" w:ascii="宋体" w:hAnsi="宋体" w:cs="宋体"/>
          <w:b/>
          <w:bCs/>
          <w:color w:val="auto"/>
          <w:sz w:val="36"/>
          <w:szCs w:val="28"/>
          <w:highlight w:val="none"/>
          <w:lang w:val="zh-CN"/>
        </w:rPr>
      </w:pPr>
    </w:p>
    <w:p>
      <w:pPr>
        <w:spacing w:line="777" w:lineRule="atLeast"/>
        <w:ind w:left="1"/>
        <w:jc w:val="center"/>
        <w:textAlignment w:val="bottom"/>
        <w:rPr>
          <w:rFonts w:hint="eastAsia" w:ascii="宋体" w:hAnsi="宋体" w:cs="宋体"/>
          <w:b/>
          <w:bCs/>
          <w:color w:val="auto"/>
          <w:sz w:val="56"/>
          <w:szCs w:val="48"/>
          <w:highlight w:val="none"/>
          <w:lang w:val="zh-CN"/>
        </w:rPr>
      </w:pPr>
      <w:r>
        <w:rPr>
          <w:rFonts w:hint="eastAsia" w:ascii="宋体" w:hAnsi="宋体" w:cs="宋体"/>
          <w:b/>
          <w:bCs/>
          <w:color w:val="auto"/>
          <w:sz w:val="56"/>
          <w:szCs w:val="48"/>
          <w:highlight w:val="none"/>
          <w:lang w:val="zh-CN"/>
        </w:rPr>
        <w:t>永宁镇下岔河村人居环境</w:t>
      </w:r>
    </w:p>
    <w:p>
      <w:pPr>
        <w:spacing w:line="777" w:lineRule="atLeast"/>
        <w:ind w:left="1"/>
        <w:jc w:val="center"/>
        <w:textAlignment w:val="bottom"/>
        <w:rPr>
          <w:rFonts w:hint="eastAsia" w:ascii="宋体" w:hAnsi="宋体" w:cs="宋体"/>
          <w:b/>
          <w:bCs/>
          <w:color w:val="auto"/>
          <w:sz w:val="56"/>
          <w:szCs w:val="48"/>
          <w:highlight w:val="none"/>
          <w:lang w:val="zh-CN"/>
        </w:rPr>
      </w:pPr>
      <w:r>
        <w:rPr>
          <w:rFonts w:hint="eastAsia" w:ascii="宋体" w:hAnsi="宋体" w:cs="宋体"/>
          <w:b/>
          <w:bCs/>
          <w:color w:val="auto"/>
          <w:sz w:val="56"/>
          <w:szCs w:val="48"/>
          <w:highlight w:val="none"/>
          <w:lang w:val="zh-CN"/>
        </w:rPr>
        <w:t>整治项目</w:t>
      </w:r>
    </w:p>
    <w:p>
      <w:pPr>
        <w:spacing w:line="777" w:lineRule="atLeast"/>
        <w:ind w:left="1"/>
        <w:jc w:val="center"/>
        <w:textAlignment w:val="bottom"/>
        <w:rPr>
          <w:rFonts w:hint="eastAsia" w:ascii="宋体" w:hAnsi="宋体" w:eastAsia="宋体" w:cs="宋体"/>
          <w:b/>
          <w:bCs/>
          <w:color w:val="auto"/>
          <w:spacing w:val="198"/>
          <w:kern w:val="0"/>
          <w:sz w:val="52"/>
          <w:szCs w:val="52"/>
          <w:highlight w:val="none"/>
        </w:rPr>
      </w:pPr>
    </w:p>
    <w:p>
      <w:pPr>
        <w:pStyle w:val="10"/>
        <w:widowControl w:val="0"/>
        <w:numPr>
          <w:ilvl w:val="0"/>
          <w:numId w:val="0"/>
        </w:numPr>
        <w:jc w:val="both"/>
        <w:rPr>
          <w:rFonts w:hint="default" w:ascii="宋体" w:hAnsi="宋体" w:eastAsia="宋体" w:cs="宋体"/>
          <w:b/>
          <w:bCs/>
          <w:color w:val="auto"/>
          <w:spacing w:val="198"/>
          <w:kern w:val="0"/>
          <w:sz w:val="52"/>
          <w:szCs w:val="52"/>
          <w:highlight w:val="none"/>
          <w:lang w:val="en-US" w:eastAsia="zh-CN"/>
        </w:rPr>
      </w:pPr>
      <w:r>
        <w:rPr>
          <w:rFonts w:hint="eastAsia" w:ascii="宋体" w:hAnsi="宋体" w:eastAsia="宋体" w:cs="宋体"/>
          <w:b/>
          <w:bCs/>
          <w:color w:val="auto"/>
          <w:spacing w:val="198"/>
          <w:kern w:val="0"/>
          <w:sz w:val="52"/>
          <w:szCs w:val="52"/>
          <w:highlight w:val="none"/>
          <w:lang w:val="en-US" w:eastAsia="zh-CN"/>
        </w:rPr>
        <w:t xml:space="preserve">   </w:t>
      </w:r>
    </w:p>
    <w:p>
      <w:pPr>
        <w:pStyle w:val="10"/>
        <w:widowControl w:val="0"/>
        <w:numPr>
          <w:ilvl w:val="0"/>
          <w:numId w:val="0"/>
        </w:numPr>
        <w:jc w:val="both"/>
        <w:rPr>
          <w:rFonts w:hint="eastAsia" w:ascii="宋体" w:hAnsi="宋体" w:eastAsia="宋体" w:cs="宋体"/>
          <w:b/>
          <w:bCs/>
          <w:color w:val="auto"/>
          <w:spacing w:val="198"/>
          <w:kern w:val="0"/>
          <w:sz w:val="52"/>
          <w:szCs w:val="52"/>
          <w:highlight w:val="none"/>
        </w:rPr>
      </w:pPr>
    </w:p>
    <w:p>
      <w:pPr>
        <w:spacing w:line="777" w:lineRule="atLeast"/>
        <w:ind w:left="1"/>
        <w:jc w:val="center"/>
        <w:textAlignment w:val="bottom"/>
        <w:rPr>
          <w:rFonts w:hint="eastAsia" w:ascii="宋体" w:hAnsi="宋体" w:eastAsia="宋体" w:cs="宋体"/>
          <w:b/>
          <w:bCs/>
          <w:color w:val="auto"/>
          <w:spacing w:val="198"/>
          <w:kern w:val="0"/>
          <w:sz w:val="52"/>
          <w:szCs w:val="52"/>
          <w:highlight w:val="none"/>
        </w:rPr>
      </w:pPr>
      <w:r>
        <w:rPr>
          <w:rFonts w:hint="eastAsia" w:ascii="宋体" w:hAnsi="宋体" w:eastAsia="宋体" w:cs="宋体"/>
          <w:b/>
          <w:bCs/>
          <w:color w:val="auto"/>
          <w:spacing w:val="198"/>
          <w:kern w:val="0"/>
          <w:sz w:val="52"/>
          <w:szCs w:val="52"/>
          <w:highlight w:val="none"/>
        </w:rPr>
        <w:t>竞争性磋商文件</w:t>
      </w:r>
    </w:p>
    <w:p>
      <w:pPr>
        <w:pStyle w:val="6"/>
        <w:ind w:firstLine="1400" w:firstLineChars="500"/>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lang w:val="en-US" w:eastAsia="zh-CN"/>
        </w:rPr>
        <w:t>采购</w:t>
      </w:r>
      <w:r>
        <w:rPr>
          <w:rFonts w:hint="eastAsia" w:ascii="宋体" w:hAnsi="宋体" w:eastAsia="宋体" w:cs="宋体"/>
          <w:color w:val="auto"/>
          <w:sz w:val="28"/>
          <w:szCs w:val="28"/>
          <w:highlight w:val="none"/>
        </w:rPr>
        <w:t>项目编号：</w:t>
      </w:r>
      <w:r>
        <w:rPr>
          <w:rFonts w:hint="eastAsia" w:ascii="宋体" w:hAnsi="宋体" w:eastAsia="宋体" w:cs="宋体"/>
          <w:color w:val="auto"/>
          <w:sz w:val="28"/>
          <w:szCs w:val="28"/>
          <w:highlight w:val="none"/>
          <w:lang w:val="en-US" w:eastAsia="zh-CN"/>
        </w:rPr>
        <w:t>XJZTZFCG(CS)-202</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003</w:t>
      </w:r>
    </w:p>
    <w:p>
      <w:pPr>
        <w:spacing w:line="365" w:lineRule="atLeast"/>
        <w:ind w:left="1"/>
        <w:jc w:val="center"/>
        <w:textAlignment w:val="bottom"/>
        <w:rPr>
          <w:rFonts w:hint="eastAsia" w:ascii="宋体" w:hAnsi="宋体" w:eastAsia="宋体" w:cs="宋体"/>
          <w:b/>
          <w:bCs/>
          <w:color w:val="auto"/>
          <w:kern w:val="0"/>
          <w:sz w:val="32"/>
          <w:szCs w:val="32"/>
          <w:highlight w:val="none"/>
        </w:rPr>
      </w:pPr>
    </w:p>
    <w:p>
      <w:pPr>
        <w:spacing w:line="365" w:lineRule="atLeast"/>
        <w:ind w:left="1"/>
        <w:jc w:val="center"/>
        <w:textAlignment w:val="bottom"/>
        <w:rPr>
          <w:rFonts w:hint="eastAsia" w:ascii="宋体" w:hAnsi="宋体" w:eastAsia="宋体" w:cs="宋体"/>
          <w:b/>
          <w:bCs/>
          <w:color w:val="auto"/>
          <w:kern w:val="0"/>
          <w:sz w:val="32"/>
          <w:szCs w:val="32"/>
          <w:highlight w:val="none"/>
        </w:rPr>
      </w:pPr>
    </w:p>
    <w:p>
      <w:pPr>
        <w:spacing w:line="365" w:lineRule="atLeast"/>
        <w:ind w:left="1"/>
        <w:jc w:val="center"/>
        <w:textAlignment w:val="bottom"/>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 xml:space="preserve"> </w:t>
      </w:r>
    </w:p>
    <w:p>
      <w:pPr>
        <w:spacing w:line="365" w:lineRule="atLeast"/>
        <w:ind w:left="1"/>
        <w:textAlignment w:val="bottom"/>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 xml:space="preserve"> </w:t>
      </w:r>
    </w:p>
    <w:p>
      <w:pPr>
        <w:pStyle w:val="28"/>
        <w:rPr>
          <w:rFonts w:hint="eastAsia" w:ascii="宋体" w:hAnsi="宋体" w:eastAsia="宋体" w:cs="宋体"/>
          <w:b/>
          <w:bCs/>
          <w:color w:val="auto"/>
          <w:sz w:val="32"/>
          <w:szCs w:val="32"/>
          <w:highlight w:val="none"/>
        </w:rPr>
      </w:pPr>
    </w:p>
    <w:p>
      <w:pPr>
        <w:pStyle w:val="28"/>
        <w:rPr>
          <w:rFonts w:hint="eastAsia" w:ascii="宋体" w:hAnsi="宋体" w:eastAsia="宋体" w:cs="宋体"/>
          <w:b/>
          <w:bCs/>
          <w:color w:val="auto"/>
          <w:sz w:val="32"/>
          <w:szCs w:val="32"/>
          <w:highlight w:val="none"/>
        </w:rPr>
      </w:pPr>
    </w:p>
    <w:p>
      <w:pPr>
        <w:pStyle w:val="28"/>
        <w:rPr>
          <w:rFonts w:hint="eastAsia" w:ascii="宋体" w:hAnsi="宋体" w:eastAsia="宋体" w:cs="宋体"/>
          <w:b/>
          <w:bCs/>
          <w:color w:val="auto"/>
          <w:sz w:val="32"/>
          <w:szCs w:val="32"/>
          <w:highlight w:val="none"/>
        </w:rPr>
      </w:pPr>
    </w:p>
    <w:p>
      <w:pPr>
        <w:pStyle w:val="28"/>
        <w:rPr>
          <w:rFonts w:hint="eastAsia" w:ascii="宋体" w:hAnsi="宋体" w:eastAsia="宋体" w:cs="宋体"/>
          <w:b/>
          <w:bCs/>
          <w:color w:val="auto"/>
          <w:sz w:val="32"/>
          <w:szCs w:val="32"/>
          <w:highlight w:val="none"/>
        </w:rPr>
      </w:pPr>
    </w:p>
    <w:p>
      <w:pPr>
        <w:pStyle w:val="28"/>
        <w:rPr>
          <w:rFonts w:hint="eastAsia" w:ascii="宋体" w:hAnsi="宋体" w:eastAsia="宋体" w:cs="宋体"/>
          <w:b/>
          <w:bCs/>
          <w:color w:val="auto"/>
          <w:sz w:val="32"/>
          <w:szCs w:val="32"/>
          <w:highlight w:val="none"/>
        </w:rPr>
      </w:pPr>
    </w:p>
    <w:p>
      <w:pPr>
        <w:pStyle w:val="28"/>
        <w:rPr>
          <w:rFonts w:hint="eastAsia" w:ascii="宋体" w:hAnsi="宋体" w:eastAsia="宋体" w:cs="宋体"/>
          <w:b/>
          <w:bCs/>
          <w:color w:val="auto"/>
          <w:sz w:val="32"/>
          <w:szCs w:val="32"/>
          <w:highlight w:val="none"/>
        </w:rPr>
      </w:pPr>
    </w:p>
    <w:p>
      <w:pPr>
        <w:pStyle w:val="28"/>
        <w:rPr>
          <w:rFonts w:hint="eastAsia" w:ascii="宋体" w:hAnsi="宋体" w:eastAsia="宋体" w:cs="宋体"/>
          <w:b/>
          <w:bCs/>
          <w:color w:val="auto"/>
          <w:sz w:val="32"/>
          <w:szCs w:val="32"/>
          <w:highlight w:val="none"/>
        </w:rPr>
      </w:pPr>
    </w:p>
    <w:p>
      <w:pPr>
        <w:spacing w:line="720" w:lineRule="auto"/>
        <w:jc w:val="left"/>
        <w:textAlignment w:val="bottom"/>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lang w:val="en-US" w:eastAsia="zh-CN"/>
        </w:rPr>
        <w:t>招标</w:t>
      </w:r>
      <w:r>
        <w:rPr>
          <w:rFonts w:hint="eastAsia" w:ascii="宋体" w:hAnsi="宋体" w:eastAsia="宋体" w:cs="宋体"/>
          <w:b/>
          <w:bCs/>
          <w:color w:val="auto"/>
          <w:kern w:val="0"/>
          <w:sz w:val="30"/>
          <w:szCs w:val="30"/>
          <w:highlight w:val="none"/>
        </w:rPr>
        <w:t>人：</w:t>
      </w:r>
      <w:r>
        <w:rPr>
          <w:rFonts w:hint="eastAsia" w:ascii="宋体" w:hAnsi="宋体" w:eastAsia="宋体" w:cs="宋体"/>
          <w:b/>
          <w:bCs/>
          <w:color w:val="auto"/>
          <w:kern w:val="0"/>
          <w:sz w:val="30"/>
          <w:szCs w:val="30"/>
          <w:highlight w:val="none"/>
          <w:lang w:eastAsia="zh-CN"/>
        </w:rPr>
        <w:t>焉耆回族自治县永宁镇人民政府</w:t>
      </w:r>
    </w:p>
    <w:p>
      <w:pPr>
        <w:spacing w:line="720" w:lineRule="auto"/>
        <w:jc w:val="left"/>
        <w:textAlignment w:val="bottom"/>
        <w:rPr>
          <w:rFonts w:hint="eastAsia" w:ascii="宋体" w:hAnsi="宋体" w:eastAsia="宋体" w:cs="宋体"/>
          <w:b/>
          <w:color w:val="auto"/>
          <w:spacing w:val="160"/>
          <w:sz w:val="36"/>
          <w:szCs w:val="36"/>
          <w:highlight w:val="none"/>
        </w:rPr>
      </w:pPr>
      <w:r>
        <w:rPr>
          <w:rFonts w:hint="eastAsia" w:ascii="宋体" w:hAnsi="宋体" w:eastAsia="宋体" w:cs="宋体"/>
          <w:b/>
          <w:bCs/>
          <w:color w:val="auto"/>
          <w:kern w:val="0"/>
          <w:sz w:val="30"/>
          <w:szCs w:val="30"/>
          <w:highlight w:val="none"/>
        </w:rPr>
        <w:t>招标代理机构：</w:t>
      </w:r>
      <w:r>
        <w:rPr>
          <w:rFonts w:hint="eastAsia" w:ascii="宋体" w:hAnsi="宋体" w:eastAsia="宋体" w:cs="宋体"/>
          <w:b/>
          <w:bCs/>
          <w:color w:val="auto"/>
          <w:kern w:val="0"/>
          <w:sz w:val="30"/>
          <w:szCs w:val="30"/>
          <w:highlight w:val="none"/>
          <w:lang w:eastAsia="zh-CN"/>
        </w:rPr>
        <w:t>新疆智投工程项目管理有限公司</w:t>
      </w:r>
    </w:p>
    <w:p>
      <w:pPr>
        <w:spacing w:line="365" w:lineRule="atLeast"/>
        <w:ind w:firstLine="2811" w:firstLineChars="1000"/>
        <w:jc w:val="both"/>
        <w:textAlignment w:val="bottom"/>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二零二</w:t>
      </w:r>
      <w:r>
        <w:rPr>
          <w:rFonts w:hint="eastAsia" w:ascii="宋体" w:hAnsi="宋体" w:cs="宋体"/>
          <w:b/>
          <w:bCs/>
          <w:color w:val="auto"/>
          <w:kern w:val="0"/>
          <w:sz w:val="28"/>
          <w:szCs w:val="28"/>
          <w:highlight w:val="none"/>
          <w:lang w:val="en-US" w:eastAsia="zh-CN"/>
        </w:rPr>
        <w:t>四</w:t>
      </w:r>
      <w:r>
        <w:rPr>
          <w:rFonts w:hint="eastAsia" w:ascii="宋体" w:hAnsi="宋体" w:eastAsia="宋体" w:cs="宋体"/>
          <w:b/>
          <w:bCs/>
          <w:color w:val="auto"/>
          <w:kern w:val="0"/>
          <w:sz w:val="28"/>
          <w:szCs w:val="28"/>
          <w:highlight w:val="none"/>
          <w:lang w:eastAsia="zh-CN"/>
        </w:rPr>
        <w:t>年</w:t>
      </w:r>
      <w:r>
        <w:rPr>
          <w:rFonts w:hint="eastAsia" w:ascii="宋体" w:hAnsi="宋体" w:eastAsia="宋体" w:cs="宋体"/>
          <w:b/>
          <w:bCs/>
          <w:color w:val="auto"/>
          <w:kern w:val="0"/>
          <w:sz w:val="28"/>
          <w:szCs w:val="28"/>
          <w:highlight w:val="none"/>
          <w:lang w:val="en-US" w:eastAsia="zh-CN"/>
        </w:rPr>
        <w:t>三</w:t>
      </w:r>
      <w:r>
        <w:rPr>
          <w:rFonts w:hint="eastAsia" w:ascii="宋体" w:hAnsi="宋体" w:eastAsia="宋体" w:cs="宋体"/>
          <w:b/>
          <w:bCs/>
          <w:color w:val="auto"/>
          <w:kern w:val="0"/>
          <w:sz w:val="28"/>
          <w:szCs w:val="28"/>
          <w:highlight w:val="none"/>
          <w:lang w:eastAsia="zh-CN"/>
        </w:rPr>
        <w:t>月</w:t>
      </w:r>
    </w:p>
    <w:p>
      <w:pPr>
        <w:pStyle w:val="14"/>
        <w:adjustRightInd w:val="0"/>
        <w:snapToGrid w:val="0"/>
        <w:spacing w:line="360" w:lineRule="auto"/>
        <w:jc w:val="center"/>
        <w:rPr>
          <w:rFonts w:hint="eastAsia" w:ascii="宋体" w:hAnsi="宋体" w:eastAsia="宋体" w:cs="宋体"/>
          <w:b/>
          <w:color w:val="auto"/>
          <w:spacing w:val="160"/>
          <w:sz w:val="36"/>
          <w:szCs w:val="36"/>
          <w:highlight w:val="none"/>
        </w:rPr>
      </w:pPr>
    </w:p>
    <w:p>
      <w:pPr>
        <w:pStyle w:val="14"/>
        <w:adjustRightInd w:val="0"/>
        <w:snapToGrid w:val="0"/>
        <w:spacing w:line="360" w:lineRule="auto"/>
        <w:jc w:val="center"/>
        <w:rPr>
          <w:rFonts w:hint="eastAsia" w:ascii="宋体" w:hAnsi="宋体" w:eastAsia="宋体" w:cs="宋体"/>
          <w:b/>
          <w:color w:val="auto"/>
          <w:spacing w:val="160"/>
          <w:sz w:val="36"/>
          <w:szCs w:val="36"/>
          <w:highlight w:val="none"/>
        </w:rPr>
      </w:pPr>
    </w:p>
    <w:p>
      <w:pPr>
        <w:pStyle w:val="14"/>
        <w:adjustRightInd w:val="0"/>
        <w:snapToGrid w:val="0"/>
        <w:spacing w:line="360" w:lineRule="auto"/>
        <w:jc w:val="center"/>
        <w:rPr>
          <w:rFonts w:hint="eastAsia" w:ascii="宋体" w:hAnsi="宋体" w:eastAsia="宋体" w:cs="宋体"/>
          <w:b/>
          <w:color w:val="auto"/>
          <w:spacing w:val="160"/>
          <w:sz w:val="36"/>
          <w:szCs w:val="36"/>
          <w:highlight w:val="none"/>
        </w:rPr>
      </w:pPr>
      <w:bookmarkStart w:id="69" w:name="_GoBack"/>
      <w:bookmarkEnd w:id="69"/>
    </w:p>
    <w:p>
      <w:pPr>
        <w:pStyle w:val="14"/>
        <w:adjustRightInd w:val="0"/>
        <w:snapToGrid w:val="0"/>
        <w:spacing w:line="360" w:lineRule="auto"/>
        <w:jc w:val="center"/>
        <w:rPr>
          <w:rFonts w:hint="eastAsia" w:ascii="宋体" w:hAnsi="宋体" w:eastAsia="宋体" w:cs="宋体"/>
          <w:b/>
          <w:color w:val="auto"/>
          <w:spacing w:val="160"/>
          <w:sz w:val="36"/>
          <w:szCs w:val="36"/>
          <w:highlight w:val="none"/>
        </w:rPr>
      </w:pPr>
    </w:p>
    <w:p>
      <w:pPr>
        <w:pStyle w:val="14"/>
        <w:adjustRightInd w:val="0"/>
        <w:snapToGrid w:val="0"/>
        <w:spacing w:line="360" w:lineRule="auto"/>
        <w:jc w:val="center"/>
        <w:rPr>
          <w:rFonts w:hint="eastAsia" w:ascii="宋体" w:hAnsi="宋体" w:eastAsia="宋体" w:cs="宋体"/>
          <w:b/>
          <w:color w:val="auto"/>
          <w:spacing w:val="160"/>
          <w:sz w:val="36"/>
          <w:szCs w:val="36"/>
          <w:highlight w:val="none"/>
        </w:rPr>
      </w:pPr>
      <w:r>
        <w:rPr>
          <w:rFonts w:hint="eastAsia" w:ascii="宋体" w:hAnsi="宋体" w:eastAsia="宋体" w:cs="宋体"/>
          <w:b/>
          <w:color w:val="auto"/>
          <w:spacing w:val="160"/>
          <w:sz w:val="36"/>
          <w:szCs w:val="36"/>
          <w:highlight w:val="none"/>
        </w:rPr>
        <w:t>目录</w:t>
      </w:r>
    </w:p>
    <w:p>
      <w:pPr>
        <w:autoSpaceDE w:val="0"/>
        <w:autoSpaceDN w:val="0"/>
        <w:adjustRightInd w:val="0"/>
        <w:snapToGrid w:val="0"/>
        <w:spacing w:line="360" w:lineRule="auto"/>
        <w:rPr>
          <w:rFonts w:hint="eastAsia" w:ascii="宋体" w:hAnsi="宋体" w:eastAsia="宋体" w:cs="宋体"/>
          <w:color w:val="auto"/>
          <w:sz w:val="24"/>
          <w:szCs w:val="24"/>
          <w:highlight w:val="none"/>
        </w:rPr>
        <w:sectPr>
          <w:headerReference r:id="rId4" w:type="default"/>
          <w:footerReference r:id="rId5" w:type="default"/>
          <w:pgSz w:w="11906" w:h="16839"/>
          <w:pgMar w:top="400" w:right="1477" w:bottom="655" w:left="1491" w:header="0" w:footer="447" w:gutter="0"/>
          <w:pgBorders>
            <w:top w:val="none" w:sz="0" w:space="0"/>
            <w:left w:val="none" w:sz="0" w:space="0"/>
            <w:bottom w:val="none" w:sz="0" w:space="0"/>
            <w:right w:val="none" w:sz="0" w:space="0"/>
          </w:pgBorders>
          <w:pgNumType w:fmt="decimal"/>
          <w:cols w:space="720" w:num="1"/>
        </w:sectPr>
      </w:pPr>
    </w:p>
    <w:p>
      <w:pPr>
        <w:autoSpaceDE w:val="0"/>
        <w:autoSpaceDN w:val="0"/>
        <w:adjustRightInd w:val="0"/>
        <w:snapToGrid w:val="0"/>
        <w:spacing w:line="360" w:lineRule="auto"/>
        <w:rPr>
          <w:rFonts w:hint="eastAsia" w:ascii="宋体" w:hAnsi="宋体" w:eastAsia="宋体" w:cs="宋体"/>
          <w:color w:val="auto"/>
          <w:sz w:val="24"/>
          <w:szCs w:val="24"/>
          <w:highlight w:val="none"/>
        </w:rPr>
      </w:pPr>
    </w:p>
    <w:p>
      <w:pPr>
        <w:pStyle w:val="18"/>
        <w:tabs>
          <w:tab w:val="right" w:leader="dot" w:pos="8834"/>
        </w:tabs>
        <w:ind w:firstLine="1260" w:firstLineChars="225"/>
        <w:rPr>
          <w:rFonts w:hint="eastAsia" w:ascii="宋体" w:hAnsi="宋体" w:eastAsia="宋体" w:cs="宋体"/>
          <w:b/>
          <w:bCs/>
          <w:color w:val="auto"/>
          <w:sz w:val="28"/>
          <w:szCs w:val="28"/>
          <w:highlight w:val="none"/>
        </w:rPr>
      </w:pPr>
      <w:r>
        <w:rPr>
          <w:rFonts w:hint="eastAsia" w:ascii="宋体" w:hAnsi="宋体" w:eastAsia="宋体" w:cs="宋体"/>
          <w:color w:val="auto"/>
          <w:spacing w:val="160"/>
          <w:szCs w:val="24"/>
          <w:highlight w:val="none"/>
        </w:rPr>
        <w:fldChar w:fldCharType="begin"/>
      </w:r>
      <w:r>
        <w:rPr>
          <w:rFonts w:hint="eastAsia" w:ascii="宋体" w:hAnsi="宋体" w:eastAsia="宋体" w:cs="宋体"/>
          <w:color w:val="auto"/>
          <w:spacing w:val="160"/>
          <w:szCs w:val="24"/>
          <w:highlight w:val="none"/>
        </w:rPr>
        <w:instrText xml:space="preserve">TOC \o "1-3" \h \u </w:instrText>
      </w:r>
      <w:r>
        <w:rPr>
          <w:rFonts w:hint="eastAsia" w:ascii="宋体" w:hAnsi="宋体" w:eastAsia="宋体" w:cs="宋体"/>
          <w:color w:val="auto"/>
          <w:spacing w:val="160"/>
          <w:szCs w:val="24"/>
          <w:highlight w:val="none"/>
        </w:rPr>
        <w:fldChar w:fldCharType="separate"/>
      </w:r>
      <w:r>
        <w:rPr>
          <w:rFonts w:hint="eastAsia" w:ascii="宋体" w:hAnsi="宋体" w:eastAsia="宋体" w:cs="宋体"/>
          <w:b/>
          <w:bCs/>
          <w:color w:val="auto"/>
          <w:sz w:val="28"/>
          <w:szCs w:val="28"/>
          <w:highlight w:val="none"/>
        </w:rPr>
        <w:fldChar w:fldCharType="begin"/>
      </w:r>
      <w:r>
        <w:rPr>
          <w:rStyle w:val="26"/>
          <w:rFonts w:hint="eastAsia" w:ascii="宋体" w:hAnsi="宋体" w:eastAsia="宋体" w:cs="宋体"/>
          <w:b/>
          <w:bCs/>
          <w:color w:val="auto"/>
          <w:sz w:val="28"/>
          <w:szCs w:val="28"/>
          <w:highlight w:val="none"/>
        </w:rPr>
        <w:instrText xml:space="preserve"> HYPERLINK \l "_Toc256000000" </w:instrText>
      </w:r>
      <w:r>
        <w:rPr>
          <w:rFonts w:hint="eastAsia" w:ascii="宋体" w:hAnsi="宋体" w:eastAsia="宋体" w:cs="宋体"/>
          <w:b/>
          <w:bCs/>
          <w:color w:val="auto"/>
          <w:sz w:val="28"/>
          <w:szCs w:val="28"/>
          <w:highlight w:val="none"/>
        </w:rPr>
        <w:fldChar w:fldCharType="separate"/>
      </w:r>
      <w:r>
        <w:rPr>
          <w:rStyle w:val="26"/>
          <w:rFonts w:hint="eastAsia" w:ascii="宋体" w:hAnsi="宋体" w:eastAsia="宋体" w:cs="宋体"/>
          <w:b/>
          <w:bCs/>
          <w:color w:val="auto"/>
          <w:sz w:val="28"/>
          <w:szCs w:val="28"/>
          <w:highlight w:val="none"/>
        </w:rPr>
        <w:t>第一章  磋商公告</w:t>
      </w:r>
      <w:r>
        <w:rPr>
          <w:rFonts w:hint="eastAsia" w:ascii="宋体" w:hAnsi="宋体" w:eastAsia="宋体" w:cs="宋体"/>
          <w:b/>
          <w:bCs/>
          <w:color w:val="auto"/>
          <w:sz w:val="28"/>
          <w:szCs w:val="28"/>
          <w:highlight w:val="none"/>
        </w:rPr>
        <w:fldChar w:fldCharType="end"/>
      </w:r>
    </w:p>
    <w:p>
      <w:pPr>
        <w:pStyle w:val="18"/>
        <w:tabs>
          <w:tab w:val="right" w:leader="dot" w:pos="8834"/>
        </w:tabs>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Style w:val="26"/>
          <w:rFonts w:hint="eastAsia" w:ascii="宋体" w:hAnsi="宋体" w:eastAsia="宋体" w:cs="宋体"/>
          <w:b/>
          <w:bCs/>
          <w:color w:val="auto"/>
          <w:sz w:val="28"/>
          <w:szCs w:val="28"/>
          <w:highlight w:val="none"/>
        </w:rPr>
        <w:instrText xml:space="preserve"> HYPERLINK \l "_Toc256000001" </w:instrText>
      </w:r>
      <w:r>
        <w:rPr>
          <w:rFonts w:hint="eastAsia" w:ascii="宋体" w:hAnsi="宋体" w:eastAsia="宋体" w:cs="宋体"/>
          <w:b/>
          <w:bCs/>
          <w:color w:val="auto"/>
          <w:sz w:val="28"/>
          <w:szCs w:val="28"/>
          <w:highlight w:val="none"/>
        </w:rPr>
        <w:fldChar w:fldCharType="separate"/>
      </w:r>
      <w:r>
        <w:rPr>
          <w:rStyle w:val="26"/>
          <w:rFonts w:hint="eastAsia" w:ascii="宋体" w:hAnsi="宋体" w:eastAsia="宋体" w:cs="宋体"/>
          <w:b/>
          <w:bCs/>
          <w:color w:val="auto"/>
          <w:sz w:val="28"/>
          <w:szCs w:val="28"/>
          <w:highlight w:val="none"/>
        </w:rPr>
        <w:t>第二章  磋商须知</w:t>
      </w:r>
      <w:r>
        <w:rPr>
          <w:rFonts w:hint="eastAsia" w:ascii="宋体" w:hAnsi="宋体" w:eastAsia="宋体" w:cs="宋体"/>
          <w:b/>
          <w:bCs/>
          <w:color w:val="auto"/>
          <w:sz w:val="28"/>
          <w:szCs w:val="28"/>
          <w:highlight w:val="none"/>
        </w:rPr>
        <w:fldChar w:fldCharType="end"/>
      </w:r>
    </w:p>
    <w:p>
      <w:pPr>
        <w:pStyle w:val="18"/>
        <w:tabs>
          <w:tab w:val="right" w:leader="dot" w:pos="8834"/>
        </w:tabs>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Style w:val="26"/>
          <w:rFonts w:hint="eastAsia" w:ascii="宋体" w:hAnsi="宋体" w:eastAsia="宋体" w:cs="宋体"/>
          <w:b/>
          <w:bCs/>
          <w:color w:val="auto"/>
          <w:sz w:val="28"/>
          <w:szCs w:val="28"/>
          <w:highlight w:val="none"/>
        </w:rPr>
        <w:instrText xml:space="preserve"> HYPERLINK \l "_Toc256000013" </w:instrText>
      </w:r>
      <w:r>
        <w:rPr>
          <w:rFonts w:hint="eastAsia" w:ascii="宋体" w:hAnsi="宋体" w:eastAsia="宋体" w:cs="宋体"/>
          <w:b/>
          <w:bCs/>
          <w:color w:val="auto"/>
          <w:sz w:val="28"/>
          <w:szCs w:val="28"/>
          <w:highlight w:val="none"/>
        </w:rPr>
        <w:fldChar w:fldCharType="separate"/>
      </w:r>
      <w:r>
        <w:rPr>
          <w:rStyle w:val="26"/>
          <w:rFonts w:hint="eastAsia" w:ascii="宋体" w:hAnsi="宋体" w:eastAsia="宋体" w:cs="宋体"/>
          <w:b/>
          <w:bCs/>
          <w:color w:val="auto"/>
          <w:sz w:val="28"/>
          <w:szCs w:val="28"/>
          <w:highlight w:val="none"/>
        </w:rPr>
        <w:t>第三章  评审方法（综合评分法）</w:t>
      </w:r>
      <w:r>
        <w:rPr>
          <w:rFonts w:hint="eastAsia" w:ascii="宋体" w:hAnsi="宋体" w:eastAsia="宋体" w:cs="宋体"/>
          <w:b/>
          <w:bCs/>
          <w:color w:val="auto"/>
          <w:sz w:val="28"/>
          <w:szCs w:val="28"/>
          <w:highlight w:val="none"/>
        </w:rPr>
        <w:fldChar w:fldCharType="end"/>
      </w:r>
    </w:p>
    <w:p>
      <w:pPr>
        <w:pStyle w:val="18"/>
        <w:tabs>
          <w:tab w:val="right" w:leader="dot" w:pos="8834"/>
        </w:tabs>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Style w:val="26"/>
          <w:rFonts w:hint="eastAsia" w:ascii="宋体" w:hAnsi="宋体" w:eastAsia="宋体" w:cs="宋体"/>
          <w:b/>
          <w:bCs/>
          <w:color w:val="auto"/>
          <w:sz w:val="28"/>
          <w:szCs w:val="28"/>
          <w:highlight w:val="none"/>
        </w:rPr>
        <w:instrText xml:space="preserve"> HYPERLINK \l "_Toc256000014" </w:instrText>
      </w:r>
      <w:r>
        <w:rPr>
          <w:rFonts w:hint="eastAsia" w:ascii="宋体" w:hAnsi="宋体" w:eastAsia="宋体" w:cs="宋体"/>
          <w:b/>
          <w:bCs/>
          <w:color w:val="auto"/>
          <w:sz w:val="28"/>
          <w:szCs w:val="28"/>
          <w:highlight w:val="none"/>
        </w:rPr>
        <w:fldChar w:fldCharType="separate"/>
      </w:r>
      <w:r>
        <w:rPr>
          <w:rStyle w:val="26"/>
          <w:rFonts w:hint="eastAsia" w:ascii="宋体" w:hAnsi="宋体" w:eastAsia="宋体" w:cs="宋体"/>
          <w:b/>
          <w:bCs/>
          <w:color w:val="auto"/>
          <w:sz w:val="28"/>
          <w:szCs w:val="28"/>
          <w:highlight w:val="none"/>
        </w:rPr>
        <w:t>第四章  合同条款</w:t>
      </w:r>
      <w:r>
        <w:rPr>
          <w:rFonts w:hint="eastAsia" w:ascii="宋体" w:hAnsi="宋体" w:eastAsia="宋体" w:cs="宋体"/>
          <w:b/>
          <w:bCs/>
          <w:color w:val="auto"/>
          <w:sz w:val="28"/>
          <w:szCs w:val="28"/>
          <w:highlight w:val="none"/>
        </w:rPr>
        <w:fldChar w:fldCharType="end"/>
      </w:r>
    </w:p>
    <w:p>
      <w:pPr>
        <w:pStyle w:val="18"/>
        <w:tabs>
          <w:tab w:val="right" w:leader="dot" w:pos="8834"/>
        </w:tabs>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Style w:val="26"/>
          <w:rFonts w:hint="eastAsia" w:ascii="宋体" w:hAnsi="宋体" w:eastAsia="宋体" w:cs="宋体"/>
          <w:b/>
          <w:bCs/>
          <w:color w:val="auto"/>
          <w:sz w:val="28"/>
          <w:szCs w:val="28"/>
          <w:highlight w:val="none"/>
        </w:rPr>
        <w:instrText xml:space="preserve"> HYPERLINK \l "_Toc256000039" </w:instrText>
      </w:r>
      <w:r>
        <w:rPr>
          <w:rFonts w:hint="eastAsia" w:ascii="宋体" w:hAnsi="宋体" w:eastAsia="宋体" w:cs="宋体"/>
          <w:b/>
          <w:bCs/>
          <w:color w:val="auto"/>
          <w:sz w:val="28"/>
          <w:szCs w:val="28"/>
          <w:highlight w:val="none"/>
        </w:rPr>
        <w:fldChar w:fldCharType="separate"/>
      </w:r>
      <w:r>
        <w:rPr>
          <w:rStyle w:val="26"/>
          <w:rFonts w:hint="eastAsia" w:ascii="宋体" w:hAnsi="宋体" w:eastAsia="宋体" w:cs="宋体"/>
          <w:b/>
          <w:bCs/>
          <w:color w:val="auto"/>
          <w:sz w:val="28"/>
          <w:szCs w:val="28"/>
          <w:highlight w:val="none"/>
        </w:rPr>
        <w:t>第五章  工程量清单</w:t>
      </w:r>
      <w:r>
        <w:rPr>
          <w:rFonts w:hint="eastAsia" w:ascii="宋体" w:hAnsi="宋体" w:eastAsia="宋体" w:cs="宋体"/>
          <w:b/>
          <w:bCs/>
          <w:color w:val="auto"/>
          <w:sz w:val="28"/>
          <w:szCs w:val="28"/>
          <w:highlight w:val="none"/>
        </w:rPr>
        <w:fldChar w:fldCharType="end"/>
      </w:r>
    </w:p>
    <w:p>
      <w:pPr>
        <w:pStyle w:val="18"/>
        <w:tabs>
          <w:tab w:val="right" w:leader="dot" w:pos="8834"/>
        </w:tabs>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Style w:val="26"/>
          <w:rFonts w:hint="eastAsia" w:ascii="宋体" w:hAnsi="宋体" w:eastAsia="宋体" w:cs="宋体"/>
          <w:b/>
          <w:bCs/>
          <w:color w:val="auto"/>
          <w:sz w:val="28"/>
          <w:szCs w:val="28"/>
          <w:highlight w:val="none"/>
        </w:rPr>
        <w:instrText xml:space="preserve"> HYPERLINK \l "_Toc256000043" </w:instrText>
      </w:r>
      <w:r>
        <w:rPr>
          <w:rFonts w:hint="eastAsia" w:ascii="宋体" w:hAnsi="宋体" w:eastAsia="宋体" w:cs="宋体"/>
          <w:b/>
          <w:bCs/>
          <w:color w:val="auto"/>
          <w:sz w:val="28"/>
          <w:szCs w:val="28"/>
          <w:highlight w:val="none"/>
        </w:rPr>
        <w:fldChar w:fldCharType="separate"/>
      </w:r>
      <w:r>
        <w:rPr>
          <w:rStyle w:val="26"/>
          <w:rFonts w:hint="eastAsia" w:ascii="宋体" w:hAnsi="宋体" w:eastAsia="宋体" w:cs="宋体"/>
          <w:b/>
          <w:bCs/>
          <w:color w:val="auto"/>
          <w:sz w:val="28"/>
          <w:szCs w:val="28"/>
          <w:highlight w:val="none"/>
        </w:rPr>
        <w:t>第六章  图纸</w:t>
      </w:r>
      <w:r>
        <w:rPr>
          <w:rFonts w:hint="eastAsia" w:ascii="宋体" w:hAnsi="宋体" w:eastAsia="宋体" w:cs="宋体"/>
          <w:b/>
          <w:bCs/>
          <w:color w:val="auto"/>
          <w:sz w:val="28"/>
          <w:szCs w:val="28"/>
          <w:highlight w:val="none"/>
        </w:rPr>
        <w:fldChar w:fldCharType="end"/>
      </w:r>
    </w:p>
    <w:p>
      <w:pPr>
        <w:pStyle w:val="18"/>
        <w:tabs>
          <w:tab w:val="right" w:leader="dot" w:pos="8834"/>
        </w:tabs>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Style w:val="26"/>
          <w:rFonts w:hint="eastAsia" w:ascii="宋体" w:hAnsi="宋体" w:eastAsia="宋体" w:cs="宋体"/>
          <w:b/>
          <w:bCs/>
          <w:color w:val="auto"/>
          <w:sz w:val="28"/>
          <w:szCs w:val="28"/>
          <w:highlight w:val="none"/>
        </w:rPr>
        <w:instrText xml:space="preserve"> HYPERLINK \l "_Toc256000044" </w:instrText>
      </w:r>
      <w:r>
        <w:rPr>
          <w:rFonts w:hint="eastAsia" w:ascii="宋体" w:hAnsi="宋体" w:eastAsia="宋体" w:cs="宋体"/>
          <w:b/>
          <w:bCs/>
          <w:color w:val="auto"/>
          <w:sz w:val="28"/>
          <w:szCs w:val="28"/>
          <w:highlight w:val="none"/>
        </w:rPr>
        <w:fldChar w:fldCharType="separate"/>
      </w:r>
      <w:r>
        <w:rPr>
          <w:rStyle w:val="26"/>
          <w:rFonts w:hint="eastAsia" w:ascii="宋体" w:hAnsi="宋体" w:eastAsia="宋体" w:cs="宋体"/>
          <w:b/>
          <w:bCs/>
          <w:color w:val="auto"/>
          <w:sz w:val="28"/>
          <w:szCs w:val="28"/>
          <w:highlight w:val="none"/>
        </w:rPr>
        <w:t>第七章  响应文件格式</w:t>
      </w:r>
      <w:r>
        <w:rPr>
          <w:rFonts w:hint="eastAsia" w:ascii="宋体" w:hAnsi="宋体" w:eastAsia="宋体" w:cs="宋体"/>
          <w:b/>
          <w:bCs/>
          <w:color w:val="auto"/>
          <w:sz w:val="28"/>
          <w:szCs w:val="28"/>
          <w:highlight w:val="none"/>
        </w:rPr>
        <w:fldChar w:fldCharType="end"/>
      </w:r>
    </w:p>
    <w:p>
      <w:pPr>
        <w:pStyle w:val="21"/>
        <w:tabs>
          <w:tab w:val="right" w:leader="dot" w:pos="8834"/>
        </w:tabs>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bookmarkStart w:id="0" w:name="_Toc456291465"/>
      <w:bookmarkStart w:id="1" w:name="_Toc456291340"/>
      <w:bookmarkStart w:id="2" w:name="_Toc462487357"/>
      <w:bookmarkStart w:id="3" w:name="_Toc456291246"/>
      <w:bookmarkStart w:id="4" w:name="_Toc456291266"/>
      <w:bookmarkStart w:id="5" w:name="_Toc456291523"/>
      <w:r>
        <w:rPr>
          <w:rFonts w:hint="eastAsia" w:ascii="宋体" w:hAnsi="宋体" w:eastAsia="宋体" w:cs="宋体"/>
          <w:color w:val="auto"/>
          <w:sz w:val="24"/>
          <w:szCs w:val="24"/>
          <w:highlight w:val="none"/>
        </w:rPr>
        <w:t xml:space="preserve">  </w:t>
      </w:r>
    </w:p>
    <w:p>
      <w:pPr>
        <w:pStyle w:val="12"/>
        <w:numPr>
          <w:ilvl w:val="0"/>
          <w:numId w:val="3"/>
        </w:numPr>
        <w:tabs>
          <w:tab w:val="left" w:pos="640"/>
          <w:tab w:val="clear" w:pos="993"/>
        </w:tabs>
        <w:ind w:left="2905" w:leftChars="0" w:firstLine="0" w:firstLineChars="0"/>
        <w:jc w:val="both"/>
        <w:rPr>
          <w:rFonts w:hint="eastAsia" w:ascii="宋体" w:hAnsi="宋体" w:eastAsia="宋体" w:cs="宋体"/>
          <w:bCs/>
          <w:color w:val="auto"/>
          <w:sz w:val="36"/>
          <w:szCs w:val="36"/>
          <w:highlight w:val="none"/>
        </w:rPr>
      </w:pPr>
      <w:r>
        <w:rPr>
          <w:rFonts w:hint="eastAsia" w:ascii="宋体" w:hAnsi="宋体" w:eastAsia="宋体" w:cs="宋体"/>
          <w:color w:val="auto"/>
          <w:spacing w:val="160"/>
          <w:sz w:val="24"/>
          <w:szCs w:val="24"/>
          <w:highlight w:val="none"/>
        </w:rPr>
        <w:br w:type="page"/>
      </w:r>
      <w:bookmarkEnd w:id="0"/>
      <w:bookmarkEnd w:id="1"/>
      <w:bookmarkEnd w:id="2"/>
      <w:bookmarkEnd w:id="3"/>
      <w:bookmarkEnd w:id="4"/>
      <w:bookmarkEnd w:id="5"/>
      <w:bookmarkStart w:id="6" w:name="_Toc256000001"/>
      <w:bookmarkStart w:id="7" w:name="_Toc529952597"/>
      <w:r>
        <w:rPr>
          <w:rFonts w:hint="eastAsia" w:ascii="宋体" w:hAnsi="宋体" w:eastAsia="宋体" w:cs="宋体"/>
          <w:bCs/>
          <w:color w:val="auto"/>
          <w:sz w:val="36"/>
          <w:szCs w:val="36"/>
          <w:highlight w:val="none"/>
          <w:lang w:val="en-US" w:eastAsia="zh-CN"/>
        </w:rPr>
        <w:t>竞争性磋商</w:t>
      </w:r>
      <w:r>
        <w:rPr>
          <w:rFonts w:hint="eastAsia" w:ascii="宋体" w:hAnsi="宋体" w:eastAsia="宋体" w:cs="宋体"/>
          <w:bCs/>
          <w:color w:val="auto"/>
          <w:sz w:val="36"/>
          <w:szCs w:val="36"/>
          <w:highlight w:val="none"/>
        </w:rPr>
        <w:t>公告</w:t>
      </w:r>
    </w:p>
    <w:p>
      <w:pPr>
        <w:pStyle w:val="80"/>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项目概况</w:t>
      </w:r>
    </w:p>
    <w:p>
      <w:pPr>
        <w:pStyle w:val="80"/>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u w:val="single"/>
          <w:lang w:val="en-US" w:eastAsia="zh-CN" w:bidi="ar-SA"/>
        </w:rPr>
        <w:t>永宁镇下岔河村人居环境整治项目</w:t>
      </w:r>
      <w:r>
        <w:rPr>
          <w:rFonts w:hint="eastAsia" w:ascii="宋体" w:hAnsi="宋体" w:eastAsia="宋体" w:cs="宋体"/>
          <w:color w:val="auto"/>
          <w:kern w:val="2"/>
          <w:sz w:val="21"/>
          <w:szCs w:val="21"/>
          <w:highlight w:val="none"/>
          <w:lang w:val="en-US" w:eastAsia="zh-CN" w:bidi="ar-SA"/>
        </w:rPr>
        <w:t>潜在供应商应登陆政采云平台https://www.zcygov.cn/在线申请获取采购文件（进入“项目采购”应用，在获取采购文件菜单中选择项目，申请获取采购文件） 获取（下载）获取采购文件，并于</w:t>
      </w:r>
      <w:r>
        <w:rPr>
          <w:rFonts w:hint="eastAsia" w:ascii="宋体" w:hAnsi="宋体" w:eastAsia="宋体" w:cs="宋体"/>
          <w:color w:val="0000FF"/>
          <w:kern w:val="2"/>
          <w:sz w:val="21"/>
          <w:szCs w:val="21"/>
          <w:highlight w:val="none"/>
          <w:lang w:val="en-US" w:eastAsia="zh-CN" w:bidi="ar-SA"/>
        </w:rPr>
        <w:t>202</w:t>
      </w:r>
      <w:r>
        <w:rPr>
          <w:rFonts w:hint="eastAsia" w:ascii="宋体" w:hAnsi="宋体" w:cs="宋体"/>
          <w:color w:val="0000FF"/>
          <w:kern w:val="2"/>
          <w:sz w:val="21"/>
          <w:szCs w:val="21"/>
          <w:highlight w:val="none"/>
          <w:lang w:val="en-US" w:eastAsia="zh-CN" w:bidi="ar-SA"/>
        </w:rPr>
        <w:t>4</w:t>
      </w:r>
      <w:r>
        <w:rPr>
          <w:rFonts w:hint="eastAsia" w:ascii="宋体" w:hAnsi="宋体" w:eastAsia="宋体" w:cs="宋体"/>
          <w:color w:val="0000FF"/>
          <w:kern w:val="2"/>
          <w:sz w:val="21"/>
          <w:szCs w:val="21"/>
          <w:highlight w:val="none"/>
          <w:lang w:val="en-US" w:eastAsia="zh-CN" w:bidi="ar-SA"/>
        </w:rPr>
        <w:t>年</w:t>
      </w:r>
      <w:r>
        <w:rPr>
          <w:rFonts w:hint="eastAsia" w:ascii="宋体" w:hAnsi="宋体" w:cs="宋体"/>
          <w:color w:val="0000FF"/>
          <w:kern w:val="2"/>
          <w:sz w:val="21"/>
          <w:szCs w:val="21"/>
          <w:highlight w:val="none"/>
          <w:lang w:val="en-US" w:eastAsia="zh-CN" w:bidi="ar-SA"/>
        </w:rPr>
        <w:t>4</w:t>
      </w:r>
      <w:r>
        <w:rPr>
          <w:rFonts w:hint="eastAsia" w:ascii="宋体" w:hAnsi="宋体" w:eastAsia="宋体" w:cs="宋体"/>
          <w:color w:val="0000FF"/>
          <w:kern w:val="2"/>
          <w:sz w:val="21"/>
          <w:szCs w:val="21"/>
          <w:highlight w:val="none"/>
          <w:lang w:val="en-US" w:eastAsia="zh-CN" w:bidi="ar-SA"/>
        </w:rPr>
        <w:t>月</w:t>
      </w:r>
      <w:r>
        <w:rPr>
          <w:rFonts w:hint="eastAsia" w:ascii="宋体" w:hAnsi="宋体" w:cs="宋体"/>
          <w:color w:val="0000FF"/>
          <w:kern w:val="2"/>
          <w:sz w:val="21"/>
          <w:szCs w:val="21"/>
          <w:highlight w:val="none"/>
          <w:lang w:val="en-US" w:eastAsia="zh-CN" w:bidi="ar-SA"/>
        </w:rPr>
        <w:t>9</w:t>
      </w:r>
      <w:r>
        <w:rPr>
          <w:rFonts w:hint="eastAsia" w:ascii="宋体" w:hAnsi="宋体" w:eastAsia="宋体" w:cs="宋体"/>
          <w:color w:val="0000FF"/>
          <w:kern w:val="2"/>
          <w:sz w:val="21"/>
          <w:szCs w:val="21"/>
          <w:highlight w:val="none"/>
          <w:lang w:val="en-US" w:eastAsia="zh-CN" w:bidi="ar-SA"/>
        </w:rPr>
        <w:t>日1</w:t>
      </w:r>
      <w:r>
        <w:rPr>
          <w:rFonts w:hint="eastAsia" w:ascii="宋体" w:hAnsi="宋体" w:cs="宋体"/>
          <w:color w:val="0000FF"/>
          <w:kern w:val="2"/>
          <w:sz w:val="21"/>
          <w:szCs w:val="21"/>
          <w:highlight w:val="none"/>
          <w:lang w:val="en-US" w:eastAsia="zh-CN" w:bidi="ar-SA"/>
        </w:rPr>
        <w:t>0</w:t>
      </w:r>
      <w:r>
        <w:rPr>
          <w:rFonts w:hint="eastAsia" w:ascii="宋体" w:hAnsi="宋体" w:eastAsia="宋体" w:cs="宋体"/>
          <w:color w:val="0000FF"/>
          <w:kern w:val="2"/>
          <w:sz w:val="21"/>
          <w:szCs w:val="21"/>
          <w:highlight w:val="none"/>
          <w:lang w:val="en-US" w:eastAsia="zh-CN" w:bidi="ar-SA"/>
        </w:rPr>
        <w:t>时</w:t>
      </w:r>
      <w:r>
        <w:rPr>
          <w:rFonts w:hint="eastAsia" w:ascii="宋体" w:hAnsi="宋体" w:cs="宋体"/>
          <w:color w:val="0000FF"/>
          <w:kern w:val="2"/>
          <w:sz w:val="21"/>
          <w:szCs w:val="21"/>
          <w:highlight w:val="none"/>
          <w:lang w:val="en-US" w:eastAsia="zh-CN" w:bidi="ar-SA"/>
        </w:rPr>
        <w:t>3</w:t>
      </w:r>
      <w:r>
        <w:rPr>
          <w:rFonts w:hint="eastAsia" w:ascii="宋体" w:hAnsi="宋体" w:eastAsia="宋体" w:cs="宋体"/>
          <w:color w:val="0000FF"/>
          <w:kern w:val="2"/>
          <w:sz w:val="21"/>
          <w:szCs w:val="21"/>
          <w:highlight w:val="none"/>
          <w:lang w:val="en-US" w:eastAsia="zh-CN" w:bidi="ar-SA"/>
        </w:rPr>
        <w:t>0分</w:t>
      </w:r>
      <w:r>
        <w:rPr>
          <w:rFonts w:hint="eastAsia" w:ascii="宋体" w:hAnsi="宋体" w:eastAsia="宋体" w:cs="宋体"/>
          <w:color w:val="auto"/>
          <w:kern w:val="2"/>
          <w:sz w:val="21"/>
          <w:szCs w:val="21"/>
          <w:highlight w:val="none"/>
          <w:lang w:val="en-US" w:eastAsia="zh-CN" w:bidi="ar-SA"/>
        </w:rPr>
        <w:t>（北京时间）前提交响应文件。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新疆智投工程项目管理有限公司</w:t>
      </w:r>
      <w:r>
        <w:rPr>
          <w:rFonts w:hint="eastAsia" w:ascii="宋体" w:hAnsi="宋体" w:eastAsia="宋体" w:cs="宋体"/>
          <w:color w:val="auto"/>
          <w:sz w:val="21"/>
          <w:szCs w:val="21"/>
          <w:highlight w:val="none"/>
        </w:rPr>
        <w:t>受</w:t>
      </w:r>
      <w:r>
        <w:rPr>
          <w:rFonts w:hint="eastAsia" w:ascii="宋体" w:hAnsi="宋体" w:eastAsia="宋体" w:cs="宋体"/>
          <w:color w:val="auto"/>
          <w:sz w:val="21"/>
          <w:szCs w:val="21"/>
          <w:highlight w:val="none"/>
          <w:lang w:val="zh-CN" w:eastAsia="zh-CN"/>
        </w:rPr>
        <w:t>焉耆回族自治县永宁镇人民政府</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委托，对</w:t>
      </w:r>
      <w:r>
        <w:rPr>
          <w:rFonts w:hint="eastAsia" w:ascii="宋体" w:hAnsi="宋体" w:cs="宋体"/>
          <w:color w:val="auto"/>
          <w:sz w:val="21"/>
          <w:szCs w:val="21"/>
          <w:highlight w:val="none"/>
          <w:u w:val="single"/>
          <w:lang w:eastAsia="zh-CN"/>
        </w:rPr>
        <w:t>永宁镇下岔河村人居环境整治项目</w:t>
      </w:r>
      <w:r>
        <w:rPr>
          <w:rFonts w:hint="eastAsia" w:ascii="宋体" w:hAnsi="宋体" w:eastAsia="宋体" w:cs="宋体"/>
          <w:color w:val="auto"/>
          <w:sz w:val="21"/>
          <w:szCs w:val="21"/>
          <w:highlight w:val="none"/>
        </w:rPr>
        <w:t>进行</w:t>
      </w:r>
      <w:r>
        <w:rPr>
          <w:rFonts w:hint="eastAsia" w:ascii="宋体" w:hAnsi="宋体" w:eastAsia="宋体" w:cs="宋体"/>
          <w:color w:val="auto"/>
          <w:sz w:val="21"/>
          <w:szCs w:val="21"/>
          <w:highlight w:val="none"/>
          <w:lang w:val="en-US" w:eastAsia="zh-CN"/>
        </w:rPr>
        <w:t>竞争性磋商采购</w:t>
      </w:r>
      <w:r>
        <w:rPr>
          <w:rFonts w:hint="eastAsia" w:ascii="宋体" w:hAnsi="宋体" w:eastAsia="宋体" w:cs="宋体"/>
          <w:color w:val="auto"/>
          <w:sz w:val="21"/>
          <w:szCs w:val="21"/>
          <w:highlight w:val="none"/>
        </w:rPr>
        <w:t>，欢迎符合资格条件的供应商</w:t>
      </w:r>
      <w:r>
        <w:rPr>
          <w:rFonts w:hint="eastAsia" w:ascii="宋体" w:hAnsi="宋体" w:eastAsia="宋体" w:cs="宋体"/>
          <w:color w:val="auto"/>
          <w:sz w:val="21"/>
          <w:szCs w:val="21"/>
          <w:highlight w:val="none"/>
          <w:lang w:val="en-US" w:eastAsia="zh-CN"/>
        </w:rPr>
        <w:t>参加</w:t>
      </w:r>
      <w:r>
        <w:rPr>
          <w:rFonts w:hint="eastAsia" w:ascii="宋体" w:hAnsi="宋体" w:eastAsia="宋体" w:cs="宋体"/>
          <w:color w:val="auto"/>
          <w:sz w:val="21"/>
          <w:szCs w:val="21"/>
          <w:highlight w:val="none"/>
        </w:rPr>
        <w:t>。</w:t>
      </w:r>
    </w:p>
    <w:p>
      <w:pPr>
        <w:pStyle w:val="12"/>
        <w:spacing w:line="36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一、采购项目编号</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XJZTZFCG(CS)-202</w:t>
      </w:r>
      <w:r>
        <w:rPr>
          <w:rFonts w:hint="eastAsia" w:asci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eastAsia="宋体" w:cs="宋体"/>
          <w:color w:val="auto"/>
          <w:sz w:val="21"/>
          <w:szCs w:val="21"/>
          <w:highlight w:val="none"/>
          <w:lang w:eastAsia="zh-CN"/>
        </w:rPr>
        <w:t>00</w:t>
      </w:r>
      <w:r>
        <w:rPr>
          <w:rFonts w:hint="eastAsia" w:ascii="宋体" w:eastAsia="宋体" w:cs="宋体"/>
          <w:color w:val="auto"/>
          <w:sz w:val="21"/>
          <w:szCs w:val="21"/>
          <w:highlight w:val="none"/>
          <w:lang w:val="en-US" w:eastAsia="zh-CN"/>
        </w:rPr>
        <w:t>3</w:t>
      </w:r>
    </w:p>
    <w:p>
      <w:pPr>
        <w:autoSpaceDE w:val="0"/>
        <w:autoSpaceDN w:val="0"/>
        <w:spacing w:line="360" w:lineRule="auto"/>
        <w:rPr>
          <w:rFonts w:hint="eastAsia" w:ascii="宋体" w:hAnsi="宋体" w:cs="宋体"/>
          <w:color w:val="auto"/>
          <w:sz w:val="21"/>
          <w:szCs w:val="21"/>
          <w:highlight w:val="none"/>
          <w:lang w:eastAsia="zh-CN"/>
        </w:rPr>
      </w:pPr>
      <w:r>
        <w:rPr>
          <w:rFonts w:hint="eastAsia" w:ascii="宋体" w:hAnsi="宋体" w:eastAsia="宋体" w:cs="宋体"/>
          <w:b/>
          <w:bCs/>
          <w:color w:val="auto"/>
          <w:sz w:val="21"/>
          <w:szCs w:val="21"/>
          <w:highlight w:val="none"/>
        </w:rPr>
        <w:t>二、采购项目名称：</w:t>
      </w:r>
      <w:r>
        <w:rPr>
          <w:rFonts w:hint="eastAsia" w:ascii="宋体" w:hAnsi="宋体" w:cs="宋体"/>
          <w:color w:val="auto"/>
          <w:sz w:val="21"/>
          <w:szCs w:val="21"/>
          <w:highlight w:val="none"/>
          <w:lang w:eastAsia="zh-CN"/>
        </w:rPr>
        <w:t>永宁镇下岔河村人居环境整治项目</w:t>
      </w:r>
    </w:p>
    <w:p>
      <w:p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三、项目内容及需求</w:t>
      </w:r>
      <w:r>
        <w:rPr>
          <w:rFonts w:hint="eastAsia" w:ascii="宋体" w:hAnsi="宋体" w:eastAsia="宋体" w:cs="宋体"/>
          <w:color w:val="auto"/>
          <w:sz w:val="21"/>
          <w:szCs w:val="21"/>
          <w:highlight w:val="none"/>
        </w:rPr>
        <w:t>：</w:t>
      </w:r>
    </w:p>
    <w:p>
      <w:pPr>
        <w:autoSpaceDE w:val="0"/>
        <w:autoSpaceDN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val="en-US" w:eastAsia="zh-CN"/>
        </w:rPr>
        <w:t>1、采购项目需求：</w:t>
      </w:r>
      <w:r>
        <w:rPr>
          <w:rFonts w:hint="eastAsia" w:ascii="宋体" w:hAnsi="宋体" w:cs="宋体"/>
          <w:color w:val="auto"/>
          <w:sz w:val="21"/>
          <w:szCs w:val="21"/>
          <w:highlight w:val="none"/>
          <w:lang w:val="en-US" w:eastAsia="zh-CN"/>
        </w:rPr>
        <w:t>下岔河村三四组居民点建设生态环境带及附属设施，安装公共照明设施，下岔村大门楼两侧地面硬化、铺吸水砖等</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（具体内容</w:t>
      </w:r>
      <w:r>
        <w:rPr>
          <w:rFonts w:hint="eastAsia" w:ascii="宋体" w:hAnsi="宋体" w:eastAsia="宋体" w:cs="宋体"/>
          <w:color w:val="auto"/>
          <w:sz w:val="21"/>
          <w:szCs w:val="21"/>
          <w:highlight w:val="none"/>
          <w:lang w:val="en-US" w:eastAsia="zh-CN"/>
        </w:rPr>
        <w:t>详见磋商文件</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2、采购项目预算金额：</w:t>
      </w:r>
      <w:r>
        <w:rPr>
          <w:rFonts w:hint="eastAsia" w:ascii="宋体" w:hAnsi="宋体" w:cs="宋体"/>
          <w:b w:val="0"/>
          <w:color w:val="auto"/>
          <w:kern w:val="2"/>
          <w:sz w:val="21"/>
          <w:szCs w:val="21"/>
          <w:highlight w:val="none"/>
          <w:lang w:val="en-US" w:eastAsia="zh-CN" w:bidi="ar-SA"/>
        </w:rPr>
        <w:t xml:space="preserve">2111235.88 </w:t>
      </w:r>
      <w:r>
        <w:rPr>
          <w:rFonts w:hint="eastAsia" w:ascii="宋体" w:hAnsi="宋体" w:eastAsia="宋体" w:cs="宋体"/>
          <w:b w:val="0"/>
          <w:color w:val="auto"/>
          <w:kern w:val="2"/>
          <w:sz w:val="21"/>
          <w:szCs w:val="21"/>
          <w:highlight w:val="none"/>
          <w:lang w:val="en-US" w:eastAsia="zh-CN" w:bidi="ar-SA"/>
        </w:rPr>
        <w:t>元（大写：</w:t>
      </w:r>
      <w:r>
        <w:rPr>
          <w:rFonts w:hint="eastAsia" w:ascii="宋体" w:hAnsi="宋体" w:cs="宋体"/>
          <w:b w:val="0"/>
          <w:color w:val="auto"/>
          <w:kern w:val="2"/>
          <w:sz w:val="21"/>
          <w:szCs w:val="21"/>
          <w:highlight w:val="none"/>
          <w:lang w:val="en-US" w:eastAsia="zh-CN" w:bidi="ar-SA"/>
        </w:rPr>
        <w:t>贰佰壹拾壹万壹仟贰佰叁拾伍元捌角捌分</w:t>
      </w:r>
      <w:r>
        <w:rPr>
          <w:rFonts w:hint="eastAsia" w:ascii="宋体" w:hAnsi="宋体" w:eastAsia="宋体" w:cs="宋体"/>
          <w:b w:val="0"/>
          <w:color w:val="auto"/>
          <w:kern w:val="2"/>
          <w:sz w:val="21"/>
          <w:szCs w:val="21"/>
          <w:highlight w:val="none"/>
          <w:lang w:val="en-US" w:eastAsia="zh-CN" w:bidi="ar-SA"/>
        </w:rPr>
        <w:t>）</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3、项目服务期限、服务要求等详见竞争性磋商文件。</w:t>
      </w:r>
    </w:p>
    <w:p>
      <w:pPr>
        <w:pStyle w:val="6"/>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b w:val="0"/>
          <w:color w:val="auto"/>
          <w:kern w:val="2"/>
          <w:sz w:val="21"/>
          <w:szCs w:val="21"/>
          <w:highlight w:val="none"/>
          <w:lang w:val="en-US" w:eastAsia="zh-CN" w:bidi="ar-SA"/>
        </w:rPr>
        <w:t>4、磋商文件售价：0元</w:t>
      </w:r>
    </w:p>
    <w:p>
      <w:pPr>
        <w:pStyle w:val="29"/>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四、投标保证金：</w:t>
      </w:r>
      <w:r>
        <w:rPr>
          <w:rFonts w:hint="eastAsia" w:hAnsi="宋体" w:cs="宋体"/>
          <w:b w:val="0"/>
          <w:bCs w:val="0"/>
          <w:color w:val="auto"/>
          <w:sz w:val="21"/>
          <w:szCs w:val="21"/>
          <w:highlight w:val="none"/>
          <w:lang w:val="en-US" w:eastAsia="zh-CN"/>
        </w:rPr>
        <w:t>20000.00</w:t>
      </w:r>
      <w:r>
        <w:rPr>
          <w:rFonts w:hint="eastAsia" w:ascii="宋体" w:hAnsi="宋体" w:eastAsia="宋体" w:cs="宋体"/>
          <w:color w:val="auto"/>
          <w:sz w:val="21"/>
          <w:szCs w:val="21"/>
          <w:highlight w:val="none"/>
          <w:lang w:val="en-US" w:eastAsia="zh-CN"/>
        </w:rPr>
        <w:t>元（大写：</w:t>
      </w:r>
      <w:r>
        <w:rPr>
          <w:rFonts w:hint="eastAsia" w:hAnsi="宋体" w:cs="宋体"/>
          <w:color w:val="auto"/>
          <w:sz w:val="21"/>
          <w:szCs w:val="21"/>
          <w:highlight w:val="none"/>
          <w:lang w:val="en-US" w:eastAsia="zh-CN"/>
        </w:rPr>
        <w:t>贰万元零角零分</w:t>
      </w:r>
      <w:r>
        <w:rPr>
          <w:rFonts w:hint="eastAsia" w:ascii="宋体" w:hAnsi="宋体" w:eastAsia="宋体" w:cs="宋体"/>
          <w:color w:val="auto"/>
          <w:sz w:val="21"/>
          <w:szCs w:val="21"/>
          <w:highlight w:val="none"/>
          <w:lang w:val="en-US" w:eastAsia="zh-CN"/>
        </w:rPr>
        <w:t>）</w:t>
      </w:r>
    </w:p>
    <w:p>
      <w:pPr>
        <w:autoSpaceDE w:val="0"/>
        <w:autoSpaceDN w:val="0"/>
        <w:spacing w:line="360" w:lineRule="auto"/>
        <w:rPr>
          <w:rFonts w:hint="eastAsia" w:ascii="宋体" w:hAnsi="宋体" w:eastAsia="宋体" w:cs="宋体"/>
          <w:color w:val="auto"/>
          <w:sz w:val="21"/>
          <w:szCs w:val="21"/>
          <w:highlight w:val="none"/>
        </w:rPr>
      </w:pPr>
      <w:bookmarkStart w:id="8" w:name="_Toc56911021"/>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、供应商资格要求：</w:t>
      </w:r>
    </w:p>
    <w:p>
      <w:pPr>
        <w:autoSpaceDE w:val="0"/>
        <w:autoSpaceDN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1、供应商必须符合《中华人民共和国政府采购法》第二十二条规定的条件，提供以下材料</w:t>
      </w:r>
      <w:r>
        <w:rPr>
          <w:rFonts w:hint="eastAsia" w:ascii="宋体" w:hAnsi="宋体" w:eastAsia="宋体" w:cs="宋体"/>
          <w:color w:val="auto"/>
          <w:sz w:val="21"/>
          <w:szCs w:val="21"/>
          <w:highlight w:val="none"/>
        </w:rPr>
        <w:t>：</w:t>
      </w:r>
    </w:p>
    <w:p>
      <w:pPr>
        <w:pStyle w:val="22"/>
        <w:spacing w:before="0" w:beforeLines="0" w:beforeAutospacing="0" w:line="360" w:lineRule="auto"/>
        <w:contextualSpacing/>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（1）具有独立承担民事责任的能力；</w:t>
      </w:r>
    </w:p>
    <w:p>
      <w:pPr>
        <w:pStyle w:val="22"/>
        <w:spacing w:line="360" w:lineRule="auto"/>
        <w:contextualSpacing/>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（2）法定代表人身份证原件或法定代表人授权委托书和委托代理人身份证原件（授权委托书应附上法人和代理人身份证复印件）；</w:t>
      </w:r>
    </w:p>
    <w:p>
      <w:pPr>
        <w:pStyle w:val="22"/>
        <w:spacing w:line="360" w:lineRule="auto"/>
        <w:contextualSpacing/>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（3）提供202</w:t>
      </w:r>
      <w:r>
        <w:rPr>
          <w:rFonts w:hint="eastAsia"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年或202</w:t>
      </w:r>
      <w:r>
        <w:rPr>
          <w:rFonts w:hint="eastAsia"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年度财务状况报告（新成立的公司可不提供）；</w:t>
      </w:r>
    </w:p>
    <w:p>
      <w:pPr>
        <w:pStyle w:val="22"/>
        <w:spacing w:line="360" w:lineRule="auto"/>
        <w:contextualSpacing/>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（4）具有履行合同所必需的设备和专业技术能力（提供书面说明）；</w:t>
      </w:r>
    </w:p>
    <w:p>
      <w:pPr>
        <w:pStyle w:val="22"/>
        <w:spacing w:line="360" w:lineRule="auto"/>
        <w:contextualSpacing/>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（5）提供近半年依法缴纳税收的证明（纳税凭证）复印件，如依法免税的，应提供相应文件证明其依法免税（新成立的公司可不提供）；</w:t>
      </w:r>
    </w:p>
    <w:p>
      <w:pPr>
        <w:pStyle w:val="22"/>
        <w:spacing w:line="360" w:lineRule="auto"/>
        <w:contextualSpacing/>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（6）提供近半年依法缴纳社会保险的证明（缴费凭证）复印件，如依法不需要缴纳社会保障资金的，应提供相应文件证明其依法不需要缴纳社会保障资金（新成立的公司可不提供）；</w:t>
      </w:r>
    </w:p>
    <w:p>
      <w:pPr>
        <w:pStyle w:val="22"/>
        <w:spacing w:line="360" w:lineRule="auto"/>
        <w:contextualSpacing/>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（7）具备法律、行政法规规定的其他条件的书面声明；</w:t>
      </w:r>
    </w:p>
    <w:p>
      <w:pPr>
        <w:pStyle w:val="22"/>
        <w:spacing w:line="360" w:lineRule="auto"/>
        <w:contextualSpacing/>
        <w:rPr>
          <w:rFonts w:hint="eastAsia" w:ascii="宋体" w:hAnsi="宋体" w:cs="宋体"/>
          <w:b/>
          <w:bCs/>
          <w:color w:val="auto"/>
          <w:kern w:val="2"/>
          <w:sz w:val="21"/>
          <w:szCs w:val="21"/>
          <w:highlight w:val="none"/>
          <w:lang w:val="en-US" w:eastAsia="zh-CN" w:bidi="ar-SA"/>
        </w:rPr>
      </w:pPr>
      <w:r>
        <w:rPr>
          <w:rFonts w:hint="eastAsia" w:cs="宋体"/>
          <w:b/>
          <w:bCs/>
          <w:color w:val="auto"/>
          <w:kern w:val="2"/>
          <w:sz w:val="21"/>
          <w:szCs w:val="21"/>
          <w:highlight w:val="none"/>
          <w:lang w:val="en-US" w:eastAsia="zh-CN" w:bidi="ar-SA"/>
        </w:rPr>
        <w:t>（8）</w:t>
      </w:r>
      <w:r>
        <w:rPr>
          <w:rFonts w:hint="eastAsia" w:ascii="宋体" w:hAnsi="宋体" w:cs="宋体"/>
          <w:b/>
          <w:bCs/>
          <w:color w:val="auto"/>
          <w:kern w:val="2"/>
          <w:sz w:val="21"/>
          <w:szCs w:val="21"/>
          <w:highlight w:val="none"/>
          <w:lang w:val="en-US" w:eastAsia="zh-CN" w:bidi="ar-SA"/>
        </w:rPr>
        <w:t>本项目为中小企业预留</w:t>
      </w:r>
    </w:p>
    <w:p>
      <w:pPr>
        <w:pStyle w:val="22"/>
        <w:spacing w:line="360" w:lineRule="auto"/>
        <w:contextualSpacing/>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2.落实政府采购政策需满足的资格要求：</w:t>
      </w:r>
    </w:p>
    <w:p>
      <w:pPr>
        <w:pStyle w:val="22"/>
        <w:spacing w:line="360" w:lineRule="auto"/>
        <w:contextualSpacing/>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（1）财政部、国家发展改革委、生态环境部、市场监管总局《关于调整优化节能产品、环境标志产品政府采购执行机制的通知》（财库[2019]9号文）； </w:t>
      </w:r>
    </w:p>
    <w:p>
      <w:pPr>
        <w:pStyle w:val="22"/>
        <w:spacing w:line="360" w:lineRule="auto"/>
        <w:contextualSpacing/>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（2）财政部、生态环境部《关于印发环境标志产品政府采购品目清单的通知》（财库[2019]18号文）； </w:t>
      </w:r>
    </w:p>
    <w:p>
      <w:pPr>
        <w:pStyle w:val="22"/>
        <w:spacing w:line="360" w:lineRule="auto"/>
        <w:contextualSpacing/>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（3）财政部、发展改革委《关于印发节能产品政府采购品目清单的通知》（财库[2019]19号文）； </w:t>
      </w:r>
    </w:p>
    <w:p>
      <w:pPr>
        <w:pStyle w:val="22"/>
        <w:spacing w:line="360" w:lineRule="auto"/>
        <w:contextualSpacing/>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（4）市场监管总局《市场监管总局关于发布参与实施政府采购节能产品、环境标志产品认证机构名录的公告》（2019年第16号）； </w:t>
      </w:r>
    </w:p>
    <w:p>
      <w:pPr>
        <w:pStyle w:val="22"/>
        <w:spacing w:line="360" w:lineRule="auto"/>
        <w:contextualSpacing/>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（5）财政部、工业和信息化部《关于印发《政府采购促进中小企业发展管理办法》的通知》（财</w:t>
      </w:r>
    </w:p>
    <w:p>
      <w:pPr>
        <w:spacing w:line="360" w:lineRule="auto"/>
        <w:ind w:firstLine="210" w:firstLineChars="1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库[2020]46号文）； </w:t>
      </w:r>
    </w:p>
    <w:p>
      <w:pPr>
        <w:spacing w:line="360" w:lineRule="auto"/>
        <w:ind w:firstLine="210" w:firstLineChars="1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（6）财政部、民政部、中国残疾人联合会《关于促进残疾人就业政府采购政策的通知》（财库[2017]141号）； </w:t>
      </w:r>
    </w:p>
    <w:p>
      <w:pPr>
        <w:spacing w:line="360" w:lineRule="auto"/>
        <w:ind w:firstLine="210" w:firstLine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（7）财政部、司法部《关于政府采购支持监狱企业发展有关问题的通知》（财库[2014]68号文）。（中小企业优惠、监狱企业、节能产品、环境标志产品等）。</w:t>
      </w:r>
    </w:p>
    <w:p>
      <w:pPr>
        <w:pStyle w:val="30"/>
        <w:keepNext w:val="0"/>
        <w:keepLines w:val="0"/>
        <w:pageBreakBefore w:val="0"/>
        <w:widowControl w:val="0"/>
        <w:kinsoku/>
        <w:wordWrap/>
        <w:overflowPunct/>
        <w:topLinePunct w:val="0"/>
        <w:bidi w:val="0"/>
        <w:snapToGrid/>
        <w:spacing w:line="360" w:lineRule="auto"/>
        <w:ind w:left="-199" w:leftChars="-95" w:firstLine="632" w:firstLineChars="300"/>
        <w:textAlignment w:val="auto"/>
        <w:outlineLvl w:val="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3、本项目的特定资格要求：</w:t>
      </w:r>
    </w:p>
    <w:p>
      <w:pPr>
        <w:pStyle w:val="30"/>
        <w:keepNext w:val="0"/>
        <w:keepLines w:val="0"/>
        <w:pageBreakBefore w:val="0"/>
        <w:widowControl w:val="0"/>
        <w:kinsoku/>
        <w:wordWrap/>
        <w:overflowPunct/>
        <w:topLinePunct w:val="0"/>
        <w:bidi w:val="0"/>
        <w:snapToGrid/>
        <w:spacing w:line="360" w:lineRule="auto"/>
        <w:ind w:left="-199" w:leftChars="-95" w:firstLine="630" w:firstLineChars="300"/>
        <w:textAlignment w:val="auto"/>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投标人须</w:t>
      </w:r>
      <w:r>
        <w:rPr>
          <w:rFonts w:hint="eastAsia" w:ascii="宋体" w:hAnsi="宋体" w:eastAsia="宋体" w:cs="宋体"/>
          <w:color w:val="auto"/>
          <w:sz w:val="21"/>
          <w:szCs w:val="21"/>
          <w:highlight w:val="none"/>
          <w:lang w:eastAsia="zh-CN"/>
        </w:rPr>
        <w:t>具备</w:t>
      </w:r>
      <w:r>
        <w:rPr>
          <w:rFonts w:hint="eastAsia" w:ascii="宋体" w:hAnsi="宋体" w:cs="宋体"/>
          <w:color w:val="auto"/>
          <w:sz w:val="21"/>
          <w:szCs w:val="21"/>
          <w:highlight w:val="none"/>
          <w:lang w:val="en-US" w:eastAsia="zh-CN"/>
        </w:rPr>
        <w:t>市政公用工程施工</w:t>
      </w:r>
      <w:r>
        <w:rPr>
          <w:rFonts w:hint="eastAsia" w:ascii="宋体" w:hAnsi="宋体" w:eastAsia="宋体" w:cs="宋体"/>
          <w:color w:val="auto"/>
          <w:sz w:val="21"/>
          <w:szCs w:val="21"/>
          <w:highlight w:val="none"/>
        </w:rPr>
        <w:t>总承包</w:t>
      </w:r>
      <w:r>
        <w:rPr>
          <w:rFonts w:hint="eastAsia" w:ascii="宋体" w:hAnsi="宋体" w:eastAsia="宋体" w:cs="宋体"/>
          <w:color w:val="auto"/>
          <w:sz w:val="21"/>
          <w:szCs w:val="21"/>
          <w:highlight w:val="none"/>
          <w:lang w:eastAsia="zh-CN"/>
        </w:rPr>
        <w:t>叁级（含叁级）</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lang w:eastAsia="zh-CN"/>
        </w:rPr>
        <w:t>以上资质，具有合格有效的施工企业安全生产许可证，区外企业需提供进疆企业信息报送手续。拟用项目负责人须</w:t>
      </w:r>
      <w:r>
        <w:rPr>
          <w:rFonts w:hint="eastAsia" w:ascii="宋体" w:hAnsi="宋体" w:eastAsia="宋体" w:cs="宋体"/>
          <w:color w:val="auto"/>
          <w:sz w:val="21"/>
          <w:szCs w:val="21"/>
          <w:highlight w:val="none"/>
          <w:lang w:val="en-US" w:eastAsia="zh-CN"/>
        </w:rPr>
        <w:t>具</w:t>
      </w:r>
      <w:r>
        <w:rPr>
          <w:rFonts w:hint="eastAsia" w:ascii="宋体" w:hAnsi="宋体" w:eastAsia="宋体" w:cs="宋体"/>
          <w:color w:val="auto"/>
          <w:sz w:val="21"/>
          <w:szCs w:val="21"/>
          <w:highlight w:val="none"/>
          <w:lang w:eastAsia="zh-CN"/>
        </w:rPr>
        <w:t>备</w:t>
      </w:r>
      <w:r>
        <w:rPr>
          <w:rFonts w:hint="eastAsia" w:ascii="宋体" w:hAnsi="宋体" w:cs="宋体"/>
          <w:color w:val="auto"/>
          <w:sz w:val="21"/>
          <w:szCs w:val="21"/>
          <w:highlight w:val="none"/>
          <w:lang w:val="en-US" w:eastAsia="zh-CN"/>
        </w:rPr>
        <w:t>建筑工程</w:t>
      </w:r>
      <w:r>
        <w:rPr>
          <w:rFonts w:hint="eastAsia" w:ascii="宋体" w:hAnsi="宋体" w:eastAsia="宋体" w:cs="宋体"/>
          <w:color w:val="auto"/>
          <w:sz w:val="21"/>
          <w:szCs w:val="21"/>
          <w:highlight w:val="none"/>
          <w:lang w:eastAsia="zh-CN"/>
        </w:rPr>
        <w:t>专业二级（含二级）及以上注册建造师执业资格</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具备有效的安全生产考核合格证书（B类），且未担任其他在施建设工程项目的项目经理。</w:t>
      </w:r>
    </w:p>
    <w:p>
      <w:pPr>
        <w:pStyle w:val="30"/>
        <w:keepNext w:val="0"/>
        <w:keepLines w:val="0"/>
        <w:pageBreakBefore w:val="0"/>
        <w:widowControl w:val="0"/>
        <w:kinsoku/>
        <w:wordWrap/>
        <w:overflowPunct/>
        <w:topLinePunct w:val="0"/>
        <w:bidi w:val="0"/>
        <w:snapToGrid/>
        <w:spacing w:line="360" w:lineRule="auto"/>
        <w:ind w:firstLine="420" w:firstLineChars="200"/>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4、提供《公平竞争承诺书》；</w:t>
      </w:r>
    </w:p>
    <w:p>
      <w:pPr>
        <w:pStyle w:val="30"/>
        <w:keepNext w:val="0"/>
        <w:keepLines w:val="0"/>
        <w:pageBreakBefore w:val="0"/>
        <w:widowControl w:val="0"/>
        <w:kinsoku/>
        <w:wordWrap/>
        <w:overflowPunct/>
        <w:topLinePunct w:val="0"/>
        <w:bidi w:val="0"/>
        <w:snapToGrid/>
        <w:spacing w:line="360" w:lineRule="auto"/>
        <w:ind w:left="-199" w:leftChars="-95" w:firstLine="630" w:firstLineChars="3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必须提供“信用中国”“中国政府采购网”及“国家企业信用信息公示系统”以上3个网站查询截图并加盖公章。(如相关失信记录已失效，投标人需提供相关证明资料。被列入失信被执行人、重大税收违法案件当事人名单、政府采购严重违法失信行为记录名单以及不良行为记录的投标单位，将拒绝其参加本次政府采购活动）</w:t>
      </w:r>
    </w:p>
    <w:p>
      <w:pPr>
        <w:pStyle w:val="30"/>
        <w:keepNext w:val="0"/>
        <w:keepLines w:val="0"/>
        <w:pageBreakBefore w:val="0"/>
        <w:widowControl w:val="0"/>
        <w:kinsoku/>
        <w:wordWrap/>
        <w:overflowPunct/>
        <w:topLinePunct w:val="0"/>
        <w:bidi w:val="0"/>
        <w:snapToGrid/>
        <w:spacing w:line="360" w:lineRule="auto"/>
        <w:ind w:left="-199" w:leftChars="-95" w:firstLine="630" w:firstLineChars="3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、本项目不接受联合体投标。        </w:t>
      </w:r>
      <w:bookmarkEnd w:id="8"/>
    </w:p>
    <w:p>
      <w:pPr>
        <w:pStyle w:val="30"/>
        <w:keepNext w:val="0"/>
        <w:keepLines w:val="0"/>
        <w:pageBreakBefore w:val="0"/>
        <w:widowControl w:val="0"/>
        <w:kinsoku/>
        <w:wordWrap/>
        <w:overflowPunct/>
        <w:topLinePunct w:val="0"/>
        <w:bidi w:val="0"/>
        <w:snapToGrid/>
        <w:spacing w:line="360" w:lineRule="auto"/>
        <w:ind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注：供应商须保证所提交资料真实、完整、有效、一致，否则自行承担由此导致的与本项目有关的任何损失。报名时对供应商资格要求的合格性审查不代表在评审时进行的评判和论断。</w:t>
      </w:r>
    </w:p>
    <w:p>
      <w:pPr>
        <w:pStyle w:val="30"/>
        <w:keepNext w:val="0"/>
        <w:keepLines w:val="0"/>
        <w:pageBreakBefore w:val="0"/>
        <w:widowControl w:val="0"/>
        <w:numPr>
          <w:ilvl w:val="0"/>
          <w:numId w:val="0"/>
        </w:numPr>
        <w:kinsoku/>
        <w:wordWrap/>
        <w:overflowPunct/>
        <w:topLinePunct w:val="0"/>
        <w:bidi w:val="0"/>
        <w:snapToGrid/>
        <w:spacing w:line="360" w:lineRule="auto"/>
        <w:textAlignment w:val="auto"/>
        <w:outlineLvl w:val="0"/>
        <w:rPr>
          <w:rStyle w:val="26"/>
          <w:rFonts w:hint="eastAsia" w:ascii="宋体" w:hAnsi="宋体" w:eastAsia="宋体" w:cs="宋体"/>
          <w:color w:val="auto"/>
          <w:sz w:val="21"/>
          <w:szCs w:val="21"/>
          <w:highlight w:val="none"/>
        </w:rPr>
      </w:pPr>
      <w:r>
        <w:rPr>
          <w:rStyle w:val="26"/>
          <w:rFonts w:hint="eastAsia" w:ascii="宋体" w:hAnsi="宋体" w:eastAsia="宋体" w:cs="宋体"/>
          <w:b/>
          <w:bCs/>
          <w:color w:val="auto"/>
          <w:sz w:val="21"/>
          <w:szCs w:val="21"/>
          <w:highlight w:val="none"/>
          <w:u w:val="none"/>
          <w:lang w:eastAsia="zh-CN"/>
        </w:rPr>
        <w:t>六、</w:t>
      </w:r>
      <w:r>
        <w:rPr>
          <w:rStyle w:val="26"/>
          <w:rFonts w:hint="eastAsia" w:ascii="宋体" w:hAnsi="宋体" w:eastAsia="宋体" w:cs="宋体"/>
          <w:b/>
          <w:bCs/>
          <w:color w:val="auto"/>
          <w:sz w:val="21"/>
          <w:szCs w:val="21"/>
          <w:highlight w:val="none"/>
        </w:rPr>
        <w:t>获取</w:t>
      </w:r>
      <w:r>
        <w:rPr>
          <w:rStyle w:val="26"/>
          <w:rFonts w:hint="eastAsia" w:ascii="宋体" w:hAnsi="宋体" w:eastAsia="宋体" w:cs="宋体"/>
          <w:b/>
          <w:bCs/>
          <w:color w:val="auto"/>
          <w:sz w:val="21"/>
          <w:szCs w:val="21"/>
          <w:highlight w:val="none"/>
          <w:lang w:val="en-US" w:eastAsia="zh-CN"/>
        </w:rPr>
        <w:t>磋商</w:t>
      </w:r>
      <w:r>
        <w:rPr>
          <w:rStyle w:val="26"/>
          <w:rFonts w:hint="eastAsia" w:ascii="宋体" w:hAnsi="宋体" w:eastAsia="宋体" w:cs="宋体"/>
          <w:b/>
          <w:bCs/>
          <w:color w:val="auto"/>
          <w:sz w:val="21"/>
          <w:szCs w:val="21"/>
          <w:highlight w:val="none"/>
        </w:rPr>
        <w:t>文件时间</w:t>
      </w:r>
      <w:r>
        <w:rPr>
          <w:rStyle w:val="26"/>
          <w:rFonts w:hint="eastAsia" w:ascii="宋体" w:hAnsi="宋体" w:eastAsia="宋体" w:cs="宋体"/>
          <w:color w:val="auto"/>
          <w:sz w:val="21"/>
          <w:szCs w:val="21"/>
          <w:highlight w:val="none"/>
        </w:rPr>
        <w:t>：</w:t>
      </w:r>
      <w:r>
        <w:rPr>
          <w:rStyle w:val="26"/>
          <w:rFonts w:hint="eastAsia" w:ascii="宋体" w:hAnsi="宋体" w:eastAsia="宋体" w:cs="宋体"/>
          <w:color w:val="0000FF"/>
          <w:sz w:val="21"/>
          <w:szCs w:val="21"/>
          <w:highlight w:val="none"/>
          <w:lang w:eastAsia="zh-CN"/>
        </w:rPr>
        <w:t>202</w:t>
      </w:r>
      <w:r>
        <w:rPr>
          <w:rStyle w:val="26"/>
          <w:rFonts w:hint="eastAsia" w:ascii="宋体" w:hAnsi="宋体" w:cs="宋体"/>
          <w:color w:val="0000FF"/>
          <w:sz w:val="21"/>
          <w:szCs w:val="21"/>
          <w:highlight w:val="none"/>
          <w:lang w:val="en-US" w:eastAsia="zh-CN"/>
        </w:rPr>
        <w:t>4</w:t>
      </w:r>
      <w:r>
        <w:rPr>
          <w:rStyle w:val="26"/>
          <w:rFonts w:hint="eastAsia" w:ascii="宋体" w:hAnsi="宋体" w:eastAsia="宋体" w:cs="宋体"/>
          <w:color w:val="0000FF"/>
          <w:sz w:val="21"/>
          <w:szCs w:val="21"/>
          <w:highlight w:val="none"/>
          <w:lang w:eastAsia="zh-CN"/>
        </w:rPr>
        <w:t>年</w:t>
      </w:r>
      <w:r>
        <w:rPr>
          <w:rStyle w:val="26"/>
          <w:rFonts w:hint="eastAsia" w:ascii="宋体" w:hAnsi="宋体" w:cs="宋体"/>
          <w:color w:val="0000FF"/>
          <w:sz w:val="21"/>
          <w:szCs w:val="21"/>
          <w:highlight w:val="none"/>
          <w:lang w:val="en-US" w:eastAsia="zh-CN"/>
        </w:rPr>
        <w:t>3</w:t>
      </w:r>
      <w:r>
        <w:rPr>
          <w:rStyle w:val="26"/>
          <w:rFonts w:hint="eastAsia" w:ascii="宋体" w:hAnsi="宋体" w:eastAsia="宋体" w:cs="宋体"/>
          <w:color w:val="0000FF"/>
          <w:sz w:val="21"/>
          <w:szCs w:val="21"/>
          <w:highlight w:val="none"/>
          <w:lang w:eastAsia="zh-CN"/>
        </w:rPr>
        <w:t>月</w:t>
      </w:r>
      <w:r>
        <w:rPr>
          <w:rStyle w:val="26"/>
          <w:rFonts w:hint="eastAsia" w:ascii="宋体" w:hAnsi="宋体" w:cs="宋体"/>
          <w:color w:val="0000FF"/>
          <w:sz w:val="21"/>
          <w:szCs w:val="21"/>
          <w:highlight w:val="none"/>
          <w:lang w:val="en-US" w:eastAsia="zh-CN"/>
        </w:rPr>
        <w:t>29</w:t>
      </w:r>
      <w:r>
        <w:rPr>
          <w:rStyle w:val="26"/>
          <w:rFonts w:hint="eastAsia" w:ascii="宋体" w:hAnsi="宋体" w:eastAsia="宋体" w:cs="宋体"/>
          <w:color w:val="0000FF"/>
          <w:sz w:val="21"/>
          <w:szCs w:val="21"/>
          <w:highlight w:val="none"/>
          <w:lang w:eastAsia="zh-CN"/>
        </w:rPr>
        <w:t>日起至202</w:t>
      </w:r>
      <w:r>
        <w:rPr>
          <w:rStyle w:val="26"/>
          <w:rFonts w:hint="eastAsia" w:ascii="宋体" w:hAnsi="宋体" w:cs="宋体"/>
          <w:color w:val="0000FF"/>
          <w:sz w:val="21"/>
          <w:szCs w:val="21"/>
          <w:highlight w:val="none"/>
          <w:lang w:val="en-US" w:eastAsia="zh-CN"/>
        </w:rPr>
        <w:t>4</w:t>
      </w:r>
      <w:r>
        <w:rPr>
          <w:rStyle w:val="26"/>
          <w:rFonts w:hint="eastAsia" w:ascii="宋体" w:hAnsi="宋体" w:eastAsia="宋体" w:cs="宋体"/>
          <w:color w:val="0000FF"/>
          <w:sz w:val="21"/>
          <w:szCs w:val="21"/>
          <w:highlight w:val="none"/>
          <w:lang w:eastAsia="zh-CN"/>
        </w:rPr>
        <w:t>年</w:t>
      </w:r>
      <w:r>
        <w:rPr>
          <w:rStyle w:val="26"/>
          <w:rFonts w:hint="eastAsia" w:ascii="宋体" w:hAnsi="宋体" w:cs="宋体"/>
          <w:color w:val="0000FF"/>
          <w:sz w:val="21"/>
          <w:szCs w:val="21"/>
          <w:highlight w:val="none"/>
          <w:lang w:val="en-US" w:eastAsia="zh-CN"/>
        </w:rPr>
        <w:t>4</w:t>
      </w:r>
      <w:r>
        <w:rPr>
          <w:rStyle w:val="26"/>
          <w:rFonts w:hint="eastAsia" w:ascii="宋体" w:hAnsi="宋体" w:eastAsia="宋体" w:cs="宋体"/>
          <w:color w:val="0000FF"/>
          <w:sz w:val="21"/>
          <w:szCs w:val="21"/>
          <w:highlight w:val="none"/>
          <w:lang w:eastAsia="zh-CN"/>
        </w:rPr>
        <w:t>月</w:t>
      </w:r>
      <w:r>
        <w:rPr>
          <w:rStyle w:val="26"/>
          <w:rFonts w:hint="eastAsia" w:ascii="宋体" w:hAnsi="宋体" w:cs="宋体"/>
          <w:color w:val="0000FF"/>
          <w:sz w:val="21"/>
          <w:szCs w:val="21"/>
          <w:highlight w:val="none"/>
          <w:lang w:val="en-US" w:eastAsia="zh-CN"/>
        </w:rPr>
        <w:t>8</w:t>
      </w:r>
      <w:r>
        <w:rPr>
          <w:rStyle w:val="26"/>
          <w:rFonts w:hint="eastAsia" w:ascii="宋体" w:hAnsi="宋体" w:eastAsia="宋体" w:cs="宋体"/>
          <w:color w:val="0000FF"/>
          <w:sz w:val="21"/>
          <w:szCs w:val="21"/>
          <w:highlight w:val="none"/>
          <w:lang w:eastAsia="zh-CN"/>
        </w:rPr>
        <w:t>日止</w:t>
      </w:r>
      <w:r>
        <w:rPr>
          <w:rFonts w:hint="eastAsia" w:ascii="宋体" w:hAnsi="宋体" w:eastAsia="宋体" w:cs="宋体"/>
          <w:color w:val="auto"/>
          <w:sz w:val="21"/>
          <w:szCs w:val="21"/>
          <w:highlight w:val="none"/>
        </w:rPr>
        <w:t>，每日上午</w:t>
      </w:r>
      <w:r>
        <w:rPr>
          <w:rFonts w:hint="eastAsia" w:ascii="宋体" w:hAnsi="宋体" w:eastAsia="宋体" w:cs="宋体"/>
          <w:color w:val="auto"/>
          <w:sz w:val="21"/>
          <w:szCs w:val="21"/>
          <w:highlight w:val="none"/>
          <w:lang w:val="en-US" w:eastAsia="zh-CN"/>
        </w:rPr>
        <w:t>10:00</w:t>
      </w: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0时，每日下午16:00～19:</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0时北京时间（</w:t>
      </w:r>
      <w:r>
        <w:rPr>
          <w:rStyle w:val="26"/>
          <w:rFonts w:hint="eastAsia" w:ascii="宋体" w:hAnsi="宋体" w:eastAsia="宋体" w:cs="宋体"/>
          <w:color w:val="auto"/>
          <w:sz w:val="21"/>
          <w:szCs w:val="21"/>
          <w:highlight w:val="none"/>
        </w:rPr>
        <w:t>线上获取法定节假日均可，线下获取文件法定节假日除外）。</w:t>
      </w:r>
    </w:p>
    <w:p>
      <w:pPr>
        <w:pStyle w:val="30"/>
        <w:keepNext w:val="0"/>
        <w:keepLines w:val="0"/>
        <w:pageBreakBefore w:val="0"/>
        <w:widowControl w:val="0"/>
        <w:numPr>
          <w:ilvl w:val="0"/>
          <w:numId w:val="4"/>
        </w:numPr>
        <w:kinsoku/>
        <w:wordWrap/>
        <w:overflowPunct/>
        <w:topLinePunct w:val="0"/>
        <w:bidi w:val="0"/>
        <w:snapToGrid/>
        <w:spacing w:line="360" w:lineRule="auto"/>
        <w:ind w:left="0" w:leftChars="0" w:firstLine="420" w:firstLineChars="0"/>
        <w:textAlignment w:val="auto"/>
        <w:outlineLvl w:val="0"/>
        <w:rPr>
          <w:rStyle w:val="26"/>
          <w:rFonts w:hint="eastAsia" w:ascii="宋体" w:hAnsi="宋体" w:eastAsia="宋体" w:cs="宋体"/>
          <w:color w:val="auto"/>
          <w:sz w:val="21"/>
          <w:szCs w:val="21"/>
          <w:highlight w:val="none"/>
        </w:rPr>
      </w:pPr>
      <w:r>
        <w:rPr>
          <w:rStyle w:val="26"/>
          <w:rFonts w:hint="eastAsia" w:ascii="宋体" w:hAnsi="宋体" w:eastAsia="宋体" w:cs="宋体"/>
          <w:b/>
          <w:bCs/>
          <w:color w:val="auto"/>
          <w:sz w:val="21"/>
          <w:szCs w:val="21"/>
          <w:highlight w:val="none"/>
        </w:rPr>
        <w:t>获取</w:t>
      </w:r>
      <w:r>
        <w:rPr>
          <w:rStyle w:val="26"/>
          <w:rFonts w:hint="eastAsia" w:ascii="宋体" w:hAnsi="宋体" w:eastAsia="宋体" w:cs="宋体"/>
          <w:b/>
          <w:bCs/>
          <w:color w:val="auto"/>
          <w:sz w:val="21"/>
          <w:szCs w:val="21"/>
          <w:highlight w:val="none"/>
          <w:lang w:val="en-US" w:eastAsia="zh-CN"/>
        </w:rPr>
        <w:t>磋商</w:t>
      </w:r>
      <w:r>
        <w:rPr>
          <w:rStyle w:val="26"/>
          <w:rFonts w:hint="eastAsia" w:ascii="宋体" w:hAnsi="宋体" w:eastAsia="宋体" w:cs="宋体"/>
          <w:b/>
          <w:bCs/>
          <w:color w:val="auto"/>
          <w:sz w:val="21"/>
          <w:szCs w:val="21"/>
          <w:highlight w:val="none"/>
        </w:rPr>
        <w:t>文件地点（网址）</w:t>
      </w:r>
      <w:r>
        <w:rPr>
          <w:rStyle w:val="26"/>
          <w:rFonts w:hint="eastAsia" w:ascii="宋体" w:hAnsi="宋体" w:eastAsia="宋体" w:cs="宋体"/>
          <w:color w:val="auto"/>
          <w:sz w:val="21"/>
          <w:szCs w:val="21"/>
          <w:highlight w:val="none"/>
        </w:rPr>
        <w:t>：政采云平台https://www.zcygov.cn/。</w:t>
      </w:r>
    </w:p>
    <w:p>
      <w:pPr>
        <w:pStyle w:val="30"/>
        <w:keepNext w:val="0"/>
        <w:keepLines w:val="0"/>
        <w:pageBreakBefore w:val="0"/>
        <w:widowControl w:val="0"/>
        <w:numPr>
          <w:ilvl w:val="0"/>
          <w:numId w:val="4"/>
        </w:numPr>
        <w:kinsoku/>
        <w:wordWrap/>
        <w:overflowPunct/>
        <w:topLinePunct w:val="0"/>
        <w:bidi w:val="0"/>
        <w:snapToGrid/>
        <w:spacing w:line="360" w:lineRule="auto"/>
        <w:ind w:left="0" w:leftChars="0" w:firstLine="420" w:firstLineChars="0"/>
        <w:textAlignment w:val="auto"/>
        <w:outlineLvl w:val="0"/>
        <w:rPr>
          <w:rFonts w:hint="eastAsia" w:ascii="宋体" w:hAnsi="宋体" w:eastAsia="宋体" w:cs="宋体"/>
          <w:color w:val="auto"/>
          <w:sz w:val="21"/>
          <w:szCs w:val="21"/>
          <w:highlight w:val="none"/>
        </w:rPr>
      </w:pPr>
      <w:r>
        <w:rPr>
          <w:rStyle w:val="26"/>
          <w:rFonts w:hint="eastAsia" w:ascii="宋体" w:hAnsi="宋体" w:eastAsia="宋体" w:cs="宋体"/>
          <w:b/>
          <w:bCs/>
          <w:color w:val="auto"/>
          <w:sz w:val="21"/>
          <w:szCs w:val="21"/>
          <w:highlight w:val="none"/>
        </w:rPr>
        <w:t>获取</w:t>
      </w:r>
      <w:r>
        <w:rPr>
          <w:rStyle w:val="26"/>
          <w:rFonts w:hint="eastAsia" w:ascii="宋体" w:hAnsi="宋体" w:eastAsia="宋体" w:cs="宋体"/>
          <w:b/>
          <w:bCs/>
          <w:color w:val="auto"/>
          <w:sz w:val="21"/>
          <w:szCs w:val="21"/>
          <w:highlight w:val="none"/>
          <w:lang w:val="en-US" w:eastAsia="zh-CN"/>
        </w:rPr>
        <w:t>磋商</w:t>
      </w:r>
      <w:r>
        <w:rPr>
          <w:rStyle w:val="26"/>
          <w:rFonts w:hint="eastAsia" w:ascii="宋体" w:hAnsi="宋体" w:eastAsia="宋体" w:cs="宋体"/>
          <w:b/>
          <w:bCs/>
          <w:color w:val="auto"/>
          <w:sz w:val="21"/>
          <w:szCs w:val="21"/>
          <w:highlight w:val="none"/>
        </w:rPr>
        <w:t>文件方式</w:t>
      </w:r>
      <w:r>
        <w:rPr>
          <w:rStyle w:val="26"/>
          <w:rFonts w:hint="eastAsia" w:ascii="宋体" w:hAnsi="宋体" w:eastAsia="宋体" w:cs="宋体"/>
          <w:color w:val="auto"/>
          <w:sz w:val="21"/>
          <w:szCs w:val="21"/>
          <w:highlight w:val="none"/>
        </w:rPr>
        <w:t>：供应商登陆政采云平台https://www.zcygov.cn/在线免费申请获取采购文件（进入“项目采购”应用，在获取采购文件菜单中选择项目，申请获取招标文件前须上传的资格证明文件扫描件有：营业执照、法人授权委托书、委托代理人身份证、企业资质证书、安全生产许可证书、项目负责人资格证书</w:t>
      </w:r>
      <w:r>
        <w:rPr>
          <w:rStyle w:val="26"/>
          <w:rFonts w:hint="eastAsia" w:ascii="宋体" w:hAnsi="宋体" w:eastAsia="宋体" w:cs="宋体"/>
          <w:color w:val="auto"/>
          <w:sz w:val="21"/>
          <w:szCs w:val="21"/>
          <w:highlight w:val="none"/>
          <w:lang w:eastAsia="zh-CN"/>
        </w:rPr>
        <w:t>、</w:t>
      </w:r>
      <w:r>
        <w:rPr>
          <w:rStyle w:val="26"/>
          <w:rFonts w:hint="eastAsia" w:ascii="宋体" w:hAnsi="宋体" w:eastAsia="宋体" w:cs="宋体"/>
          <w:color w:val="auto"/>
          <w:sz w:val="21"/>
          <w:szCs w:val="21"/>
          <w:highlight w:val="none"/>
          <w:lang w:val="en-US" w:eastAsia="zh-CN"/>
        </w:rPr>
        <w:t>提供《中小企业声明函》</w:t>
      </w:r>
      <w:r>
        <w:rPr>
          <w:rStyle w:val="26"/>
          <w:rFonts w:hint="eastAsia" w:ascii="宋体" w:hAnsi="宋体" w:eastAsia="宋体" w:cs="宋体"/>
          <w:color w:val="auto"/>
          <w:sz w:val="21"/>
          <w:szCs w:val="21"/>
          <w:highlight w:val="none"/>
        </w:rPr>
        <w:t>“信用中国”“中国政府采购网”截图。</w:t>
      </w:r>
    </w:p>
    <w:p>
      <w:pPr>
        <w:pStyle w:val="30"/>
        <w:keepNext w:val="0"/>
        <w:keepLines w:val="0"/>
        <w:pageBreakBefore w:val="0"/>
        <w:widowControl w:val="0"/>
        <w:numPr>
          <w:ilvl w:val="0"/>
          <w:numId w:val="4"/>
        </w:numPr>
        <w:kinsoku/>
        <w:wordWrap/>
        <w:overflowPunct/>
        <w:topLinePunct w:val="0"/>
        <w:bidi w:val="0"/>
        <w:snapToGrid/>
        <w:spacing w:line="360" w:lineRule="auto"/>
        <w:ind w:left="0" w:leftChars="0" w:firstLine="420" w:firstLineChars="0"/>
        <w:textAlignment w:val="auto"/>
        <w:outlineLvl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磋商响应文件</w:t>
      </w:r>
      <w:r>
        <w:rPr>
          <w:rFonts w:hint="eastAsia" w:ascii="宋体" w:hAnsi="宋体" w:eastAsia="宋体" w:cs="宋体"/>
          <w:b/>
          <w:bCs/>
          <w:color w:val="auto"/>
          <w:sz w:val="21"/>
          <w:szCs w:val="21"/>
          <w:highlight w:val="none"/>
          <w:lang w:val="en-US" w:eastAsia="zh-CN"/>
        </w:rPr>
        <w:t>递交</w:t>
      </w:r>
      <w:r>
        <w:rPr>
          <w:rFonts w:hint="eastAsia" w:ascii="宋体" w:hAnsi="宋体" w:eastAsia="宋体" w:cs="宋体"/>
          <w:b/>
          <w:bCs/>
          <w:color w:val="auto"/>
          <w:sz w:val="21"/>
          <w:szCs w:val="21"/>
          <w:highlight w:val="none"/>
        </w:rPr>
        <w:t>截止时间</w:t>
      </w:r>
      <w:r>
        <w:rPr>
          <w:rFonts w:hint="eastAsia" w:ascii="宋体" w:hAnsi="宋体" w:eastAsia="宋体" w:cs="宋体"/>
          <w:color w:val="auto"/>
          <w:sz w:val="21"/>
          <w:szCs w:val="21"/>
          <w:highlight w:val="none"/>
        </w:rPr>
        <w:t>：</w:t>
      </w:r>
      <w:r>
        <w:rPr>
          <w:rFonts w:hint="eastAsia" w:ascii="宋体" w:hAnsi="宋体" w:eastAsia="宋体" w:cs="宋体"/>
          <w:color w:val="0000FF"/>
          <w:sz w:val="21"/>
          <w:szCs w:val="21"/>
          <w:highlight w:val="none"/>
          <w:lang w:eastAsia="zh-CN"/>
        </w:rPr>
        <w:t>202</w:t>
      </w:r>
      <w:r>
        <w:rPr>
          <w:rFonts w:hint="eastAsia" w:ascii="宋体" w:hAnsi="宋体" w:cs="宋体"/>
          <w:color w:val="0000FF"/>
          <w:sz w:val="21"/>
          <w:szCs w:val="21"/>
          <w:highlight w:val="none"/>
          <w:lang w:val="en-US" w:eastAsia="zh-CN"/>
        </w:rPr>
        <w:t>4</w:t>
      </w:r>
      <w:r>
        <w:rPr>
          <w:rFonts w:hint="eastAsia" w:ascii="宋体" w:hAnsi="宋体" w:eastAsia="宋体" w:cs="宋体"/>
          <w:color w:val="0000FF"/>
          <w:sz w:val="21"/>
          <w:szCs w:val="21"/>
          <w:highlight w:val="none"/>
          <w:lang w:eastAsia="zh-CN"/>
        </w:rPr>
        <w:t>年</w:t>
      </w:r>
      <w:r>
        <w:rPr>
          <w:rFonts w:hint="eastAsia" w:ascii="宋体" w:hAnsi="宋体" w:cs="宋体"/>
          <w:color w:val="0000FF"/>
          <w:sz w:val="21"/>
          <w:szCs w:val="21"/>
          <w:highlight w:val="none"/>
          <w:lang w:val="en-US" w:eastAsia="zh-CN"/>
        </w:rPr>
        <w:t>4</w:t>
      </w:r>
      <w:r>
        <w:rPr>
          <w:rFonts w:hint="eastAsia" w:ascii="宋体" w:hAnsi="宋体" w:eastAsia="宋体" w:cs="宋体"/>
          <w:color w:val="0000FF"/>
          <w:sz w:val="21"/>
          <w:szCs w:val="21"/>
          <w:highlight w:val="none"/>
          <w:lang w:eastAsia="zh-CN"/>
        </w:rPr>
        <w:t>月</w:t>
      </w:r>
      <w:r>
        <w:rPr>
          <w:rFonts w:hint="eastAsia" w:ascii="宋体" w:hAnsi="宋体" w:cs="宋体"/>
          <w:color w:val="0000FF"/>
          <w:sz w:val="21"/>
          <w:szCs w:val="21"/>
          <w:highlight w:val="none"/>
          <w:lang w:val="en-US" w:eastAsia="zh-CN"/>
        </w:rPr>
        <w:t>9</w:t>
      </w:r>
      <w:r>
        <w:rPr>
          <w:rFonts w:hint="eastAsia" w:ascii="宋体" w:hAnsi="宋体" w:eastAsia="宋体" w:cs="宋体"/>
          <w:color w:val="0000FF"/>
          <w:sz w:val="21"/>
          <w:szCs w:val="21"/>
          <w:highlight w:val="none"/>
          <w:lang w:eastAsia="zh-CN"/>
        </w:rPr>
        <w:t>日</w:t>
      </w:r>
      <w:r>
        <w:rPr>
          <w:rFonts w:hint="eastAsia" w:ascii="宋体" w:hAnsi="宋体" w:cs="宋体"/>
          <w:color w:val="0000FF"/>
          <w:sz w:val="21"/>
          <w:szCs w:val="21"/>
          <w:highlight w:val="none"/>
          <w:lang w:val="en-US" w:eastAsia="zh-CN"/>
        </w:rPr>
        <w:t>10</w:t>
      </w:r>
      <w:r>
        <w:rPr>
          <w:rFonts w:hint="eastAsia" w:ascii="宋体" w:hAnsi="宋体" w:eastAsia="宋体" w:cs="宋体"/>
          <w:color w:val="0000FF"/>
          <w:sz w:val="21"/>
          <w:szCs w:val="21"/>
          <w:highlight w:val="none"/>
          <w:lang w:eastAsia="zh-CN"/>
        </w:rPr>
        <w:t>:</w:t>
      </w:r>
      <w:r>
        <w:rPr>
          <w:rFonts w:hint="eastAsia" w:ascii="宋体" w:hAnsi="宋体" w:cs="宋体"/>
          <w:color w:val="0000FF"/>
          <w:sz w:val="21"/>
          <w:szCs w:val="21"/>
          <w:highlight w:val="none"/>
          <w:lang w:val="en-US" w:eastAsia="zh-CN"/>
        </w:rPr>
        <w:t>3</w:t>
      </w:r>
      <w:r>
        <w:rPr>
          <w:rFonts w:hint="eastAsia" w:ascii="宋体" w:hAnsi="宋体" w:eastAsia="宋体" w:cs="宋体"/>
          <w:color w:val="0000FF"/>
          <w:sz w:val="21"/>
          <w:szCs w:val="21"/>
          <w:highlight w:val="none"/>
          <w:lang w:eastAsia="zh-CN"/>
        </w:rPr>
        <w:t>0分</w:t>
      </w:r>
      <w:r>
        <w:rPr>
          <w:rFonts w:hint="eastAsia" w:ascii="宋体" w:hAnsi="宋体" w:eastAsia="宋体" w:cs="宋体"/>
          <w:color w:val="auto"/>
          <w:sz w:val="21"/>
          <w:szCs w:val="21"/>
          <w:highlight w:val="none"/>
        </w:rPr>
        <w:t>（北京时间）。供应商应在</w:t>
      </w:r>
      <w:r>
        <w:rPr>
          <w:rFonts w:hint="eastAsia" w:ascii="宋体" w:hAnsi="宋体" w:eastAsia="宋体" w:cs="宋体"/>
          <w:color w:val="auto"/>
          <w:sz w:val="21"/>
          <w:szCs w:val="21"/>
          <w:highlight w:val="none"/>
          <w:lang w:eastAsia="zh-CN"/>
        </w:rPr>
        <w:t>响应文件递交截止时间</w:t>
      </w:r>
      <w:r>
        <w:rPr>
          <w:rFonts w:hint="eastAsia" w:ascii="宋体" w:hAnsi="宋体" w:eastAsia="宋体" w:cs="宋体"/>
          <w:color w:val="auto"/>
          <w:sz w:val="21"/>
          <w:szCs w:val="21"/>
          <w:highlight w:val="none"/>
        </w:rPr>
        <w:t>之前将加密的电子投标文件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文件后缀.jmbs</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上传到政采云平台</w:t>
      </w:r>
      <w:r>
        <w:rPr>
          <w:rFonts w:hint="eastAsia" w:ascii="宋体" w:hAnsi="宋体" w:eastAsia="宋体" w:cs="宋体"/>
          <w:color w:val="auto"/>
          <w:sz w:val="21"/>
          <w:szCs w:val="21"/>
          <w:highlight w:val="none"/>
          <w:lang w:eastAsia="zh-CN"/>
        </w:rPr>
        <w:t>https://www.zcygov.cn</w:t>
      </w:r>
      <w:r>
        <w:rPr>
          <w:rFonts w:hint="eastAsia" w:ascii="宋体" w:hAnsi="宋体" w:eastAsia="宋体" w:cs="宋体"/>
          <w:color w:val="auto"/>
          <w:sz w:val="21"/>
          <w:szCs w:val="21"/>
          <w:highlight w:val="none"/>
        </w:rPr>
        <w:t>对应位置。逾期未上传</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将被拒绝接收）</w:t>
      </w:r>
      <w:r>
        <w:rPr>
          <w:rFonts w:hint="eastAsia" w:ascii="宋体" w:hAnsi="宋体" w:eastAsia="宋体" w:cs="宋体"/>
          <w:color w:val="auto"/>
          <w:sz w:val="21"/>
          <w:szCs w:val="21"/>
          <w:highlight w:val="none"/>
          <w:lang w:eastAsia="zh-CN"/>
        </w:rPr>
        <w:t>。</w:t>
      </w:r>
    </w:p>
    <w:p>
      <w:pPr>
        <w:pStyle w:val="30"/>
        <w:keepNext w:val="0"/>
        <w:keepLines w:val="0"/>
        <w:pageBreakBefore w:val="0"/>
        <w:widowControl w:val="0"/>
        <w:numPr>
          <w:ilvl w:val="0"/>
          <w:numId w:val="0"/>
        </w:numPr>
        <w:kinsoku/>
        <w:wordWrap/>
        <w:overflowPunct/>
        <w:topLinePunct w:val="0"/>
        <w:bidi w:val="0"/>
        <w:snapToGrid/>
        <w:spacing w:line="360" w:lineRule="auto"/>
        <w:ind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注：请</w:t>
      </w:r>
      <w:r>
        <w:rPr>
          <w:rFonts w:hint="eastAsia" w:ascii="宋体" w:hAnsi="宋体" w:eastAsia="宋体" w:cs="宋体"/>
          <w:color w:val="auto"/>
          <w:sz w:val="21"/>
          <w:szCs w:val="21"/>
          <w:highlight w:val="none"/>
        </w:rPr>
        <w:t>各供应商按照本项目磋商文件和政采云平台的要求编制、加密传输响应文件，上传前务必认真检查上传电子响应文件是否完整、正确。供应商在使用系统进行投标的过程中遇到涉及平台使用的任何问题，可致电政采云平台技术支持热线咨询，联系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400-881-7190。</w:t>
      </w:r>
    </w:p>
    <w:p>
      <w:pPr>
        <w:pStyle w:val="30"/>
        <w:keepNext w:val="0"/>
        <w:keepLines w:val="0"/>
        <w:pageBreakBefore w:val="0"/>
        <w:widowControl w:val="0"/>
        <w:numPr>
          <w:ilvl w:val="0"/>
          <w:numId w:val="4"/>
        </w:numPr>
        <w:kinsoku/>
        <w:wordWrap/>
        <w:overflowPunct/>
        <w:topLinePunct w:val="0"/>
        <w:bidi w:val="0"/>
        <w:snapToGrid/>
        <w:spacing w:line="360" w:lineRule="auto"/>
        <w:ind w:left="0" w:leftChars="0" w:firstLine="420" w:firstLineChars="0"/>
        <w:textAlignment w:val="auto"/>
        <w:outlineLvl w:val="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bCs/>
          <w:color w:val="auto"/>
          <w:sz w:val="21"/>
          <w:szCs w:val="21"/>
          <w:highlight w:val="none"/>
        </w:rPr>
        <w:t>开标日期</w:t>
      </w:r>
      <w:r>
        <w:rPr>
          <w:rFonts w:hint="eastAsia" w:ascii="宋体" w:hAnsi="宋体" w:eastAsia="宋体" w:cs="宋体"/>
          <w:color w:val="auto"/>
          <w:sz w:val="21"/>
          <w:szCs w:val="21"/>
          <w:highlight w:val="none"/>
        </w:rPr>
        <w:t>：</w:t>
      </w:r>
      <w:r>
        <w:rPr>
          <w:rFonts w:hint="eastAsia" w:ascii="宋体" w:hAnsi="宋体" w:eastAsia="宋体" w:cs="宋体"/>
          <w:color w:val="0000FF"/>
          <w:sz w:val="21"/>
          <w:szCs w:val="21"/>
          <w:highlight w:val="none"/>
          <w:lang w:eastAsia="zh-CN"/>
        </w:rPr>
        <w:t>202</w:t>
      </w:r>
      <w:r>
        <w:rPr>
          <w:rFonts w:hint="eastAsia" w:ascii="宋体" w:hAnsi="宋体" w:cs="宋体"/>
          <w:color w:val="0000FF"/>
          <w:sz w:val="21"/>
          <w:szCs w:val="21"/>
          <w:highlight w:val="none"/>
          <w:lang w:val="en-US" w:eastAsia="zh-CN"/>
        </w:rPr>
        <w:t>4</w:t>
      </w:r>
      <w:r>
        <w:rPr>
          <w:rFonts w:hint="eastAsia" w:ascii="宋体" w:hAnsi="宋体" w:eastAsia="宋体" w:cs="宋体"/>
          <w:color w:val="0000FF"/>
          <w:sz w:val="21"/>
          <w:szCs w:val="21"/>
          <w:highlight w:val="none"/>
          <w:lang w:eastAsia="zh-CN"/>
        </w:rPr>
        <w:t>年</w:t>
      </w:r>
      <w:r>
        <w:rPr>
          <w:rFonts w:hint="eastAsia" w:ascii="宋体" w:hAnsi="宋体" w:cs="宋体"/>
          <w:color w:val="0000FF"/>
          <w:sz w:val="21"/>
          <w:szCs w:val="21"/>
          <w:highlight w:val="none"/>
          <w:lang w:val="en-US" w:eastAsia="zh-CN"/>
        </w:rPr>
        <w:t>4</w:t>
      </w:r>
      <w:r>
        <w:rPr>
          <w:rFonts w:hint="eastAsia" w:ascii="宋体" w:hAnsi="宋体" w:eastAsia="宋体" w:cs="宋体"/>
          <w:color w:val="0000FF"/>
          <w:sz w:val="21"/>
          <w:szCs w:val="21"/>
          <w:highlight w:val="none"/>
          <w:lang w:eastAsia="zh-CN"/>
        </w:rPr>
        <w:t>月</w:t>
      </w:r>
      <w:r>
        <w:rPr>
          <w:rFonts w:hint="eastAsia" w:ascii="宋体" w:hAnsi="宋体" w:cs="宋体"/>
          <w:color w:val="0000FF"/>
          <w:sz w:val="21"/>
          <w:szCs w:val="21"/>
          <w:highlight w:val="none"/>
          <w:lang w:val="en-US" w:eastAsia="zh-CN"/>
        </w:rPr>
        <w:t>9</w:t>
      </w:r>
      <w:r>
        <w:rPr>
          <w:rFonts w:hint="eastAsia" w:ascii="宋体" w:hAnsi="宋体" w:eastAsia="宋体" w:cs="宋体"/>
          <w:color w:val="0000FF"/>
          <w:sz w:val="21"/>
          <w:szCs w:val="21"/>
          <w:highlight w:val="none"/>
          <w:lang w:eastAsia="zh-CN"/>
        </w:rPr>
        <w:t>日1</w:t>
      </w:r>
      <w:r>
        <w:rPr>
          <w:rFonts w:hint="eastAsia" w:ascii="宋体" w:hAnsi="宋体" w:cs="宋体"/>
          <w:color w:val="0000FF"/>
          <w:sz w:val="21"/>
          <w:szCs w:val="21"/>
          <w:highlight w:val="none"/>
          <w:lang w:val="en-US" w:eastAsia="zh-CN"/>
        </w:rPr>
        <w:t>0</w:t>
      </w:r>
      <w:r>
        <w:rPr>
          <w:rFonts w:hint="eastAsia" w:ascii="宋体" w:hAnsi="宋体" w:eastAsia="宋体" w:cs="宋体"/>
          <w:color w:val="0000FF"/>
          <w:sz w:val="21"/>
          <w:szCs w:val="21"/>
          <w:highlight w:val="none"/>
          <w:lang w:eastAsia="zh-CN"/>
        </w:rPr>
        <w:t>:</w:t>
      </w:r>
      <w:r>
        <w:rPr>
          <w:rFonts w:hint="eastAsia" w:ascii="宋体" w:hAnsi="宋体" w:cs="宋体"/>
          <w:color w:val="0000FF"/>
          <w:sz w:val="21"/>
          <w:szCs w:val="21"/>
          <w:highlight w:val="none"/>
          <w:lang w:val="en-US" w:eastAsia="zh-CN"/>
        </w:rPr>
        <w:t>3</w:t>
      </w:r>
      <w:r>
        <w:rPr>
          <w:rFonts w:hint="eastAsia" w:ascii="宋体" w:hAnsi="宋体" w:eastAsia="宋体" w:cs="宋体"/>
          <w:color w:val="0000FF"/>
          <w:sz w:val="21"/>
          <w:szCs w:val="21"/>
          <w:highlight w:val="none"/>
          <w:lang w:eastAsia="zh-CN"/>
        </w:rPr>
        <w:t>0分</w:t>
      </w:r>
      <w:r>
        <w:rPr>
          <w:rFonts w:hint="eastAsia" w:ascii="宋体" w:hAnsi="宋体" w:eastAsia="宋体" w:cs="宋体"/>
          <w:color w:val="0000FF"/>
          <w:kern w:val="0"/>
          <w:sz w:val="21"/>
          <w:szCs w:val="21"/>
          <w:highlight w:val="none"/>
          <w:lang w:val="en-US" w:eastAsia="zh-CN" w:bidi="ar-SA"/>
        </w:rPr>
        <w:t>（北</w:t>
      </w:r>
      <w:r>
        <w:rPr>
          <w:rFonts w:hint="eastAsia" w:ascii="宋体" w:hAnsi="宋体" w:eastAsia="宋体" w:cs="宋体"/>
          <w:color w:val="auto"/>
          <w:kern w:val="0"/>
          <w:sz w:val="21"/>
          <w:szCs w:val="21"/>
          <w:highlight w:val="none"/>
          <w:lang w:val="en-US" w:eastAsia="zh-CN" w:bidi="ar-SA"/>
        </w:rPr>
        <w:t>京时间）。</w:t>
      </w:r>
    </w:p>
    <w:p>
      <w:pPr>
        <w:pStyle w:val="30"/>
        <w:keepNext w:val="0"/>
        <w:keepLines w:val="0"/>
        <w:pageBreakBefore w:val="0"/>
        <w:widowControl w:val="0"/>
        <w:numPr>
          <w:ilvl w:val="0"/>
          <w:numId w:val="4"/>
        </w:numPr>
        <w:kinsoku/>
        <w:wordWrap/>
        <w:overflowPunct/>
        <w:topLinePunct w:val="0"/>
        <w:bidi w:val="0"/>
        <w:snapToGrid/>
        <w:spacing w:line="360" w:lineRule="auto"/>
        <w:ind w:left="0" w:leftChars="0" w:firstLine="420" w:firstLineChars="0"/>
        <w:textAlignment w:val="auto"/>
        <w:outlineLvl w:val="0"/>
        <w:rPr>
          <w:rStyle w:val="26"/>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开标地点：</w:t>
      </w:r>
      <w:r>
        <w:rPr>
          <w:rFonts w:hint="eastAsia" w:ascii="宋体" w:hAnsi="宋体" w:eastAsia="宋体" w:cs="宋体"/>
          <w:color w:val="auto"/>
          <w:sz w:val="21"/>
          <w:szCs w:val="21"/>
          <w:highlight w:val="none"/>
        </w:rPr>
        <w:t>政采云线上开标大厅（</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"https://www.zcygov.xn--cn)-np6ej63c8vhfp5b/" </w:instrText>
      </w:r>
      <w:r>
        <w:rPr>
          <w:rFonts w:hint="eastAsia" w:ascii="宋体" w:hAnsi="宋体" w:eastAsia="宋体" w:cs="宋体"/>
          <w:color w:val="auto"/>
          <w:sz w:val="21"/>
          <w:szCs w:val="21"/>
          <w:highlight w:val="none"/>
        </w:rPr>
        <w:fldChar w:fldCharType="separate"/>
      </w:r>
      <w:r>
        <w:rPr>
          <w:rStyle w:val="26"/>
          <w:rFonts w:hint="eastAsia" w:ascii="宋体" w:hAnsi="宋体" w:eastAsia="宋体" w:cs="宋体"/>
          <w:color w:val="auto"/>
          <w:sz w:val="21"/>
          <w:szCs w:val="21"/>
          <w:highlight w:val="none"/>
        </w:rPr>
        <w:t>https://www.zcygov.cn在线投标）</w:t>
      </w:r>
      <w:r>
        <w:rPr>
          <w:rFonts w:hint="eastAsia" w:ascii="宋体" w:hAnsi="宋体" w:eastAsia="宋体" w:cs="宋体"/>
          <w:color w:val="auto"/>
          <w:sz w:val="21"/>
          <w:szCs w:val="21"/>
          <w:highlight w:val="none"/>
        </w:rPr>
        <w:fldChar w:fldCharType="end"/>
      </w:r>
      <w:r>
        <w:rPr>
          <w:rStyle w:val="26"/>
          <w:rFonts w:hint="eastAsia" w:ascii="宋体" w:hAnsi="宋体" w:eastAsia="宋体" w:cs="宋体"/>
          <w:color w:val="auto"/>
          <w:sz w:val="21"/>
          <w:szCs w:val="21"/>
          <w:highlight w:val="none"/>
        </w:rPr>
        <w:t>。</w:t>
      </w:r>
    </w:p>
    <w:p>
      <w:pPr>
        <w:adjustRightInd w:val="0"/>
        <w:snapToGrid w:val="0"/>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注意事项：</w:t>
      </w:r>
      <w:r>
        <w:rPr>
          <w:rFonts w:hint="eastAsia" w:ascii="宋体" w:hAnsi="宋体" w:eastAsia="宋体" w:cs="宋体"/>
          <w:bCs/>
          <w:color w:val="auto"/>
          <w:sz w:val="21"/>
          <w:szCs w:val="21"/>
          <w:highlight w:val="none"/>
        </w:rPr>
        <w:t>1.</w:t>
      </w:r>
      <w:r>
        <w:rPr>
          <w:rFonts w:hint="eastAsia" w:ascii="宋体" w:hAnsi="宋体" w:eastAsia="宋体" w:cs="宋体"/>
          <w:color w:val="auto"/>
          <w:kern w:val="0"/>
          <w:sz w:val="21"/>
          <w:szCs w:val="21"/>
          <w:highlight w:val="none"/>
        </w:rPr>
        <w:t xml:space="preserve"> 本项目采用全流程不见面电子开评标</w:t>
      </w:r>
      <w:r>
        <w:rPr>
          <w:rFonts w:hint="eastAsia" w:ascii="宋体" w:hAnsi="宋体" w:eastAsia="宋体" w:cs="宋体"/>
          <w:bCs/>
          <w:color w:val="auto"/>
          <w:sz w:val="21"/>
          <w:szCs w:val="21"/>
          <w:highlight w:val="none"/>
        </w:rPr>
        <w:t>，投标供应商需要使用CA加密设备，</w:t>
      </w:r>
      <w:r>
        <w:rPr>
          <w:rFonts w:hint="eastAsia" w:ascii="宋体" w:hAnsi="宋体" w:eastAsia="宋体" w:cs="宋体"/>
          <w:color w:val="auto"/>
          <w:kern w:val="0"/>
          <w:sz w:val="21"/>
          <w:szCs w:val="21"/>
          <w:highlight w:val="none"/>
        </w:rPr>
        <w:t>供应商可通过新疆数字证书认证中心官网（https://www.xjca.com.cn/）或下载“新疆政务通”APP自</w:t>
      </w:r>
    </w:p>
    <w:p>
      <w:pPr>
        <w:adjustRightInd w:val="0"/>
        <w:snapToGrid w:val="0"/>
        <w:spacing w:line="440" w:lineRule="exact"/>
        <w:ind w:firstLine="420" w:firstLineChars="200"/>
        <w:rPr>
          <w:rFonts w:hint="eastAsia" w:ascii="宋体" w:hAnsi="宋体" w:eastAsia="宋体" w:cs="宋体"/>
          <w:color w:val="auto"/>
          <w:kern w:val="0"/>
          <w:sz w:val="21"/>
          <w:szCs w:val="21"/>
          <w:highlight w:val="none"/>
        </w:rPr>
      </w:pPr>
    </w:p>
    <w:p>
      <w:pPr>
        <w:adjustRightInd w:val="0"/>
        <w:snapToGrid w:val="0"/>
        <w:spacing w:line="440" w:lineRule="exact"/>
        <w:ind w:firstLine="420" w:firstLineChars="200"/>
        <w:rPr>
          <w:rFonts w:hint="eastAsia" w:ascii="宋体" w:hAnsi="宋体" w:eastAsia="宋体" w:cs="宋体"/>
          <w:color w:val="auto"/>
          <w:kern w:val="0"/>
          <w:sz w:val="21"/>
          <w:szCs w:val="21"/>
          <w:highlight w:val="none"/>
        </w:rPr>
      </w:pPr>
    </w:p>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行进行申领。</w:t>
      </w:r>
    </w:p>
    <w:p>
      <w:pPr>
        <w:adjustRightInd w:val="0"/>
        <w:snapToGrid w:val="0"/>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2.本项目实行网上投标，采用加密电子投标响应文件(供应商须使用CA加密设备通过政采云电子投标客户端制作投标响应文件)。若供应商参与投标，自行承担投标一切费用。 </w:t>
      </w:r>
    </w:p>
    <w:p>
      <w:pPr>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adjustRightInd w:val="0"/>
        <w:snapToGrid w:val="0"/>
        <w:spacing w:line="44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4.供应商将政采云电子交易客户端下载、安装完成后，可通过账号密码或CA登录客户端进行投标响应文件制作。在使用政采云投标客户端时，建议使用WIN7及以上操作系统。客户端请至新疆政府采购网（http://www.ccgp-xinjiang.gov.cn/）下载专区查看，如有问题可拨打政采云客户服务热线400-881-7190进行咨询。 </w:t>
      </w:r>
    </w:p>
    <w:p>
      <w:pPr>
        <w:adjustRightInd w:val="0"/>
        <w:snapToGrid w:val="0"/>
        <w:spacing w:line="440" w:lineRule="exact"/>
        <w:ind w:firstLine="525" w:firstLineChars="2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5.供应商在开标时须使用制作加密电子投标响应文件所使用的CA锁及电脑，电脑须提前配置好浏览器（建议使用360浏览器或谷歌浏览器），以便开标时解锁。  </w:t>
      </w:r>
    </w:p>
    <w:p>
      <w:pPr>
        <w:pStyle w:val="31"/>
        <w:spacing w:line="440" w:lineRule="exact"/>
        <w:ind w:firstLine="525" w:firstLineChars="250"/>
        <w:jc w:val="both"/>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pStyle w:val="31"/>
        <w:spacing w:line="360" w:lineRule="auto"/>
        <w:ind w:firstLine="525" w:firstLineChars="250"/>
        <w:jc w:val="both"/>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 xml:space="preserve"> 7.为了保证开评标顺利进行，政采云线上开标功能完全实现，供应商开标所使用的电脑设备须具有视频及语音功能。</w:t>
      </w:r>
    </w:p>
    <w:p>
      <w:pPr>
        <w:numPr>
          <w:ilvl w:val="0"/>
          <w:numId w:val="0"/>
        </w:numPr>
        <w:autoSpaceDE w:val="0"/>
        <w:autoSpaceDN w:val="0"/>
        <w:spacing w:line="360" w:lineRule="auto"/>
        <w:ind w:left="420" w:leftChars="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十三、</w:t>
      </w:r>
      <w:r>
        <w:rPr>
          <w:rFonts w:hint="eastAsia" w:ascii="宋体" w:hAnsi="宋体" w:eastAsia="宋体" w:cs="宋体"/>
          <w:color w:val="auto"/>
          <w:sz w:val="21"/>
          <w:szCs w:val="21"/>
          <w:highlight w:val="none"/>
        </w:rPr>
        <w:t>采购代理机构联系人：</w:t>
      </w:r>
      <w:r>
        <w:rPr>
          <w:rFonts w:hint="eastAsia" w:ascii="宋体" w:hAnsi="宋体" w:eastAsia="宋体" w:cs="宋体"/>
          <w:color w:val="auto"/>
          <w:sz w:val="21"/>
          <w:szCs w:val="21"/>
          <w:highlight w:val="none"/>
          <w:lang w:val="en-US" w:eastAsia="zh-CN"/>
        </w:rPr>
        <w:t>杨佩</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13565026200</w:t>
      </w:r>
    </w:p>
    <w:p>
      <w:pPr>
        <w:autoSpaceDE w:val="0"/>
        <w:autoSpaceDN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、采购单位项目联系人：</w:t>
      </w:r>
      <w:r>
        <w:rPr>
          <w:rFonts w:hint="eastAsia" w:ascii="宋体" w:hAnsi="宋体" w:eastAsia="宋体" w:cs="宋体"/>
          <w:color w:val="auto"/>
          <w:sz w:val="21"/>
          <w:szCs w:val="21"/>
          <w:highlight w:val="none"/>
          <w:lang w:val="en-US" w:eastAsia="zh-CN"/>
        </w:rPr>
        <w:t>李博</w:t>
      </w:r>
      <w:r>
        <w:rPr>
          <w:rFonts w:hint="eastAsia" w:ascii="宋体" w:hAnsi="宋体" w:eastAsia="宋体" w:cs="宋体"/>
          <w:color w:val="auto"/>
          <w:sz w:val="21"/>
          <w:szCs w:val="21"/>
          <w:highlight w:val="none"/>
        </w:rPr>
        <w:t xml:space="preserve">      联系电话</w:t>
      </w:r>
      <w:r>
        <w:rPr>
          <w:rFonts w:hint="eastAsia" w:ascii="宋体" w:hAnsi="宋体" w:eastAsia="宋体" w:cs="宋体"/>
          <w:color w:val="auto"/>
          <w:sz w:val="21"/>
          <w:szCs w:val="21"/>
          <w:highlight w:val="none"/>
          <w:lang w:eastAsia="zh-CN"/>
        </w:rPr>
        <w:t>：0996-6030967</w:t>
      </w:r>
    </w:p>
    <w:p>
      <w:pPr>
        <w:pStyle w:val="6"/>
        <w:spacing w:line="360" w:lineRule="auto"/>
        <w:ind w:left="3780" w:leftChars="1800" w:firstLine="420" w:firstLineChars="200"/>
        <w:rPr>
          <w:rFonts w:hint="eastAsia" w:ascii="宋体" w:hAnsi="宋体" w:eastAsia="宋体" w:cs="宋体"/>
          <w:color w:val="auto"/>
          <w:kern w:val="0"/>
          <w:sz w:val="21"/>
          <w:szCs w:val="21"/>
          <w:highlight w:val="none"/>
        </w:rPr>
      </w:pPr>
    </w:p>
    <w:p>
      <w:pPr>
        <w:pStyle w:val="6"/>
        <w:spacing w:line="360" w:lineRule="auto"/>
        <w:ind w:left="3780" w:leftChars="1800" w:firstLine="420" w:firstLineChars="200"/>
        <w:rPr>
          <w:rFonts w:hint="eastAsia" w:ascii="宋体" w:hAnsi="宋体" w:eastAsia="宋体" w:cs="宋体"/>
          <w:color w:val="auto"/>
          <w:kern w:val="0"/>
          <w:sz w:val="21"/>
          <w:szCs w:val="21"/>
          <w:highlight w:val="none"/>
        </w:rPr>
      </w:pPr>
    </w:p>
    <w:p>
      <w:pPr>
        <w:pStyle w:val="6"/>
        <w:spacing w:line="360" w:lineRule="auto"/>
        <w:jc w:val="righ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新疆智投工程项目管理有限公司</w:t>
      </w:r>
    </w:p>
    <w:p>
      <w:pPr>
        <w:autoSpaceDE w:val="0"/>
        <w:autoSpaceDN w:val="0"/>
        <w:spacing w:line="360" w:lineRule="auto"/>
        <w:ind w:firstLine="6300" w:firstLineChars="30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29</w:t>
      </w:r>
      <w:r>
        <w:rPr>
          <w:rFonts w:hint="eastAsia" w:ascii="宋体" w:hAnsi="宋体" w:eastAsia="宋体" w:cs="宋体"/>
          <w:color w:val="auto"/>
          <w:sz w:val="21"/>
          <w:szCs w:val="21"/>
          <w:highlight w:val="none"/>
          <w:lang w:eastAsia="zh-CN"/>
        </w:rPr>
        <w:t>日</w:t>
      </w:r>
    </w:p>
    <w:p>
      <w:pPr>
        <w:rPr>
          <w:rFonts w:hint="eastAsia" w:ascii="宋体" w:hAnsi="宋体" w:eastAsia="宋体" w:cs="宋体"/>
          <w:color w:val="auto"/>
          <w:highlight w:val="none"/>
          <w:lang w:eastAsia="zh-CN"/>
        </w:rPr>
      </w:pPr>
    </w:p>
    <w:p>
      <w:pPr>
        <w:pStyle w:val="6"/>
        <w:ind w:left="0" w:leftChars="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2"/>
        <w:rPr>
          <w:rFonts w:hint="eastAsia"/>
          <w:highlight w:val="none"/>
        </w:rPr>
      </w:pPr>
    </w:p>
    <w:p>
      <w:pPr>
        <w:pStyle w:val="14"/>
        <w:rPr>
          <w:rFonts w:hint="eastAsia" w:ascii="宋体" w:hAnsi="宋体" w:eastAsia="宋体" w:cs="宋体"/>
          <w:color w:val="auto"/>
          <w:highlight w:val="none"/>
        </w:rPr>
      </w:pPr>
    </w:p>
    <w:p>
      <w:pPr>
        <w:pStyle w:val="14"/>
        <w:rPr>
          <w:rFonts w:hint="eastAsia" w:ascii="宋体" w:hAnsi="宋体" w:eastAsia="宋体" w:cs="宋体"/>
          <w:color w:val="auto"/>
          <w:highlight w:val="none"/>
        </w:rPr>
      </w:pPr>
    </w:p>
    <w:p>
      <w:pPr>
        <w:pStyle w:val="14"/>
        <w:rPr>
          <w:rFonts w:hint="eastAsia" w:ascii="宋体" w:hAnsi="宋体" w:eastAsia="宋体" w:cs="宋体"/>
          <w:color w:val="auto"/>
          <w:highlight w:val="none"/>
        </w:rPr>
      </w:pPr>
    </w:p>
    <w:p>
      <w:pPr>
        <w:pStyle w:val="14"/>
        <w:rPr>
          <w:rFonts w:hint="eastAsia" w:ascii="宋体" w:hAnsi="宋体" w:eastAsia="宋体" w:cs="宋体"/>
          <w:color w:val="auto"/>
          <w:highlight w:val="none"/>
        </w:rPr>
      </w:pPr>
    </w:p>
    <w:p>
      <w:pPr>
        <w:keepNext/>
        <w:keepLines/>
        <w:spacing w:line="360" w:lineRule="auto"/>
        <w:jc w:val="both"/>
        <w:outlineLvl w:val="0"/>
        <w:rPr>
          <w:rFonts w:hint="eastAsia" w:ascii="宋体" w:hAnsi="宋体" w:eastAsia="宋体" w:cs="宋体"/>
          <w:color w:val="auto"/>
          <w:sz w:val="28"/>
          <w:szCs w:val="28"/>
          <w:highlight w:val="none"/>
          <w:lang w:eastAsia="zh-CN"/>
        </w:rPr>
      </w:pPr>
    </w:p>
    <w:p>
      <w:pPr>
        <w:keepNext/>
        <w:keepLines/>
        <w:spacing w:line="360" w:lineRule="auto"/>
        <w:jc w:val="center"/>
        <w:outlineLvl w:val="0"/>
        <w:rPr>
          <w:rFonts w:hint="eastAsia" w:ascii="宋体" w:hAnsi="宋体" w:eastAsia="宋体" w:cs="宋体"/>
          <w:color w:val="auto"/>
          <w:szCs w:val="24"/>
          <w:highlight w:val="none"/>
        </w:rPr>
      </w:pPr>
      <w:r>
        <w:rPr>
          <w:rFonts w:hint="eastAsia" w:ascii="宋体" w:hAnsi="宋体" w:eastAsia="宋体" w:cs="宋体"/>
          <w:color w:val="auto"/>
          <w:sz w:val="28"/>
          <w:szCs w:val="28"/>
          <w:highlight w:val="none"/>
        </w:rPr>
        <w:t>第二章 磋商须知</w:t>
      </w:r>
      <w:bookmarkEnd w:id="6"/>
      <w:bookmarkEnd w:id="7"/>
      <w:bookmarkStart w:id="9" w:name="EBd5da4144bf5b4dcfa561be372d70f824"/>
    </w:p>
    <w:p>
      <w:pPr>
        <w:pStyle w:val="32"/>
        <w:spacing w:before="0" w:after="0" w:line="360" w:lineRule="auto"/>
        <w:jc w:val="center"/>
        <w:rPr>
          <w:rFonts w:hint="eastAsia" w:ascii="宋体" w:hAnsi="宋体" w:eastAsia="宋体" w:cs="宋体"/>
          <w:b/>
          <w:bCs/>
          <w:color w:val="auto"/>
          <w:szCs w:val="24"/>
          <w:highlight w:val="none"/>
        </w:rPr>
      </w:pPr>
      <w:bookmarkStart w:id="10" w:name="_Toc17069"/>
      <w:bookmarkStart w:id="11" w:name="_Toc256000002"/>
      <w:r>
        <w:rPr>
          <w:rFonts w:hint="eastAsia" w:ascii="宋体" w:hAnsi="宋体" w:eastAsia="宋体" w:cs="宋体"/>
          <w:b/>
          <w:bCs/>
          <w:color w:val="auto"/>
          <w:szCs w:val="24"/>
          <w:highlight w:val="none"/>
        </w:rPr>
        <w:t>磋商须知前附表1</w:t>
      </w:r>
      <w:bookmarkEnd w:id="10"/>
      <w:bookmarkEnd w:id="11"/>
    </w:p>
    <w:p>
      <w:pPr>
        <w:pStyle w:val="3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本须知前附表的条款号是与《磋商须知正文部分》中条款的项号相对应的。如果有矛盾的话，应以本附表为准。</w:t>
      </w:r>
    </w:p>
    <w:tbl>
      <w:tblPr>
        <w:tblStyle w:val="23"/>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911"/>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  款  名  称</w:t>
            </w:r>
          </w:p>
        </w:tc>
        <w:tc>
          <w:tcPr>
            <w:tcW w:w="6484"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采购人</w:t>
            </w:r>
          </w:p>
        </w:tc>
        <w:tc>
          <w:tcPr>
            <w:tcW w:w="6484"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采 购 人：</w:t>
            </w:r>
            <w:r>
              <w:rPr>
                <w:rFonts w:hint="eastAsia" w:ascii="宋体" w:hAnsi="宋体" w:eastAsia="宋体" w:cs="宋体"/>
                <w:color w:val="auto"/>
                <w:kern w:val="0"/>
                <w:sz w:val="21"/>
                <w:szCs w:val="21"/>
                <w:highlight w:val="none"/>
                <w:lang w:val="zh-CN" w:eastAsia="zh-CN"/>
              </w:rPr>
              <w:t>焉耆回族自治县永宁镇人民政府</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联系地址：</w:t>
            </w:r>
            <w:r>
              <w:rPr>
                <w:rFonts w:hint="eastAsia" w:ascii="宋体" w:hAnsi="宋体" w:eastAsia="宋体" w:cs="宋体"/>
                <w:color w:val="auto"/>
                <w:kern w:val="0"/>
                <w:sz w:val="21"/>
                <w:szCs w:val="21"/>
                <w:highlight w:val="none"/>
                <w:lang w:val="zh-CN" w:eastAsia="zh-CN"/>
              </w:rPr>
              <w:t>焉耆回族自治县永宁镇</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kern w:val="0"/>
                <w:sz w:val="21"/>
                <w:szCs w:val="21"/>
                <w:highlight w:val="none"/>
                <w:lang w:val="zh-CN" w:eastAsia="zh-CN"/>
              </w:rPr>
            </w:pPr>
            <w:r>
              <w:rPr>
                <w:rFonts w:hint="eastAsia" w:ascii="宋体" w:hAnsi="宋体" w:eastAsia="宋体" w:cs="宋体"/>
                <w:color w:val="auto"/>
                <w:sz w:val="21"/>
                <w:szCs w:val="21"/>
                <w:highlight w:val="none"/>
              </w:rPr>
              <w:t>联 系 人</w:t>
            </w:r>
            <w:r>
              <w:rPr>
                <w:rFonts w:hint="eastAsia" w:ascii="宋体" w:hAnsi="宋体" w:eastAsia="宋体" w:cs="宋体"/>
                <w:color w:val="auto"/>
                <w:kern w:val="0"/>
                <w:sz w:val="21"/>
                <w:szCs w:val="21"/>
                <w:highlight w:val="none"/>
                <w:lang w:val="zh-CN" w:eastAsia="zh-CN"/>
              </w:rPr>
              <w:t>：</w:t>
            </w:r>
            <w:r>
              <w:rPr>
                <w:rFonts w:hint="eastAsia" w:ascii="宋体" w:hAnsi="宋体" w:eastAsia="宋体" w:cs="宋体"/>
                <w:color w:val="auto"/>
                <w:kern w:val="0"/>
                <w:sz w:val="21"/>
                <w:szCs w:val="21"/>
                <w:highlight w:val="none"/>
                <w:lang w:val="en-US" w:eastAsia="zh-CN"/>
              </w:rPr>
              <w:t>李博</w:t>
            </w:r>
            <w:r>
              <w:rPr>
                <w:rFonts w:hint="eastAsia" w:ascii="宋体" w:hAnsi="宋体" w:eastAsia="宋体" w:cs="宋体"/>
                <w:color w:val="auto"/>
                <w:kern w:val="0"/>
                <w:sz w:val="21"/>
                <w:szCs w:val="21"/>
                <w:highlight w:val="none"/>
                <w:lang w:val="zh-CN" w:eastAsia="zh-CN"/>
              </w:rPr>
              <w:t xml:space="preserve">  </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zh-CN" w:eastAsia="zh-CN"/>
              </w:rPr>
              <w:t>联 系 电 话：0996-6030967</w:t>
            </w:r>
            <w:r>
              <w:rPr>
                <w:rFonts w:hint="eastAsia" w:ascii="宋体" w:hAnsi="宋体" w:eastAsia="宋体" w:cs="宋体"/>
                <w:color w:val="auto"/>
                <w:kern w:val="0"/>
                <w:sz w:val="21"/>
                <w:szCs w:val="21"/>
                <w:highlight w:val="none"/>
                <w:lang w:val="zh-CN"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采购代理机构</w:t>
            </w:r>
          </w:p>
        </w:tc>
        <w:tc>
          <w:tcPr>
            <w:tcW w:w="6484" w:type="dxa"/>
            <w:noWrap w:val="0"/>
            <w:vAlign w:val="top"/>
          </w:tcPr>
          <w:p>
            <w:pPr>
              <w:pStyle w:val="6"/>
              <w:keepNext w:val="0"/>
              <w:keepLines w:val="0"/>
              <w:pageBreakBefore w:val="0"/>
              <w:kinsoku/>
              <w:wordWrap/>
              <w:overflowPunct/>
              <w:topLinePunct w:val="0"/>
              <w:bidi w:val="0"/>
              <w:adjustRightInd/>
              <w:snapToGrid/>
              <w:spacing w:line="288" w:lineRule="auto"/>
              <w:ind w:firstLine="0" w:firstLineChars="0"/>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kern w:val="0"/>
                <w:sz w:val="21"/>
                <w:szCs w:val="21"/>
                <w:highlight w:val="none"/>
                <w:lang w:eastAsia="zh-CN"/>
              </w:rPr>
              <w:t>新疆智投工程项目管理有限公司</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联系地址：</w:t>
            </w:r>
            <w:r>
              <w:rPr>
                <w:rFonts w:hint="eastAsia" w:ascii="宋体" w:hAnsi="宋体" w:eastAsia="宋体" w:cs="宋体"/>
                <w:color w:val="auto"/>
                <w:sz w:val="21"/>
                <w:szCs w:val="21"/>
                <w:highlight w:val="none"/>
                <w:lang w:eastAsia="zh-CN"/>
              </w:rPr>
              <w:t>新疆巴州库尔勒索克巴格路27号康都时代花园35栋3层01</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lang w:eastAsia="zh-CN"/>
              </w:rPr>
              <w:t>杨佩</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13565026200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项目名称</w:t>
            </w:r>
          </w:p>
        </w:tc>
        <w:tc>
          <w:tcPr>
            <w:tcW w:w="6484" w:type="dxa"/>
            <w:noWrap w:val="0"/>
            <w:vAlign w:val="top"/>
          </w:tcPr>
          <w:p>
            <w:pPr>
              <w:pStyle w:val="34"/>
              <w:keepNext w:val="0"/>
              <w:keepLines w:val="0"/>
              <w:pageBreakBefore w:val="0"/>
              <w:widowControl/>
              <w:kinsoku/>
              <w:wordWrap/>
              <w:overflowPunct/>
              <w:topLinePunct w:val="0"/>
              <w:bidi w:val="0"/>
              <w:adjustRightInd/>
              <w:snapToGrid/>
              <w:spacing w:line="288" w:lineRule="auto"/>
              <w:jc w:val="left"/>
              <w:textAlignment w:val="auto"/>
              <w:rPr>
                <w:rFonts w:hint="eastAsia" w:ascii="宋体" w:hAnsi="宋体" w:eastAsia="宋体" w:cs="宋体"/>
                <w:color w:val="auto"/>
                <w:kern w:val="0"/>
                <w:sz w:val="21"/>
                <w:szCs w:val="21"/>
                <w:highlight w:val="none"/>
                <w:u w:val="single"/>
                <w:lang w:eastAsia="zh-CN"/>
              </w:rPr>
            </w:pPr>
            <w:r>
              <w:rPr>
                <w:rFonts w:hint="eastAsia" w:ascii="宋体" w:hAnsi="宋体" w:cs="宋体"/>
                <w:color w:val="auto"/>
                <w:sz w:val="21"/>
                <w:szCs w:val="21"/>
                <w:highlight w:val="none"/>
                <w:lang w:eastAsia="zh-CN"/>
              </w:rPr>
              <w:t>永宁镇下岔河村人居环境整治项目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项目实施地点</w:t>
            </w:r>
          </w:p>
        </w:tc>
        <w:tc>
          <w:tcPr>
            <w:tcW w:w="6484" w:type="dxa"/>
            <w:noWrap w:val="0"/>
            <w:vAlign w:val="top"/>
          </w:tcPr>
          <w:p>
            <w:pPr>
              <w:pStyle w:val="34"/>
              <w:keepNext w:val="0"/>
              <w:keepLines w:val="0"/>
              <w:pageBreakBefore w:val="0"/>
              <w:widowControl/>
              <w:kinsoku/>
              <w:wordWrap/>
              <w:overflowPunct/>
              <w:topLinePunct w:val="0"/>
              <w:bidi w:val="0"/>
              <w:adjustRightInd/>
              <w:snapToGrid/>
              <w:spacing w:line="288" w:lineRule="auto"/>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永宁镇下岔河村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资金来源</w:t>
            </w:r>
          </w:p>
        </w:tc>
        <w:tc>
          <w:tcPr>
            <w:tcW w:w="6484" w:type="dxa"/>
            <w:noWrap w:val="0"/>
            <w:vAlign w:val="top"/>
          </w:tcPr>
          <w:p>
            <w:pPr>
              <w:pStyle w:val="34"/>
              <w:keepNext w:val="0"/>
              <w:keepLines w:val="0"/>
              <w:pageBreakBefore w:val="0"/>
              <w:widowControl/>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财政</w:t>
            </w:r>
            <w:r>
              <w:rPr>
                <w:rFonts w:hint="eastAsia" w:ascii="宋体" w:hAnsi="宋体" w:eastAsia="宋体" w:cs="宋体"/>
                <w:color w:val="auto"/>
                <w:sz w:val="21"/>
                <w:szCs w:val="21"/>
                <w:highlight w:val="none"/>
                <w:lang w:val="en-US" w:eastAsia="zh-CN"/>
              </w:rPr>
              <w:t>衔接推进乡村振兴补助资金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落实情况</w:t>
            </w:r>
          </w:p>
        </w:tc>
        <w:tc>
          <w:tcPr>
            <w:tcW w:w="6484" w:type="dxa"/>
            <w:noWrap w:val="0"/>
            <w:vAlign w:val="top"/>
          </w:tcPr>
          <w:p>
            <w:pPr>
              <w:pStyle w:val="34"/>
              <w:keepNext w:val="0"/>
              <w:keepLines w:val="0"/>
              <w:pageBreakBefore w:val="0"/>
              <w:widowControl/>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w:t>
            </w:r>
          </w:p>
        </w:tc>
        <w:tc>
          <w:tcPr>
            <w:tcW w:w="1911" w:type="dxa"/>
            <w:noWrap w:val="0"/>
            <w:vAlign w:val="center"/>
          </w:tcPr>
          <w:p>
            <w:pPr>
              <w:pStyle w:val="34"/>
              <w:keepNext w:val="0"/>
              <w:keepLines w:val="0"/>
              <w:pageBreakBefore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工期</w:t>
            </w:r>
          </w:p>
        </w:tc>
        <w:tc>
          <w:tcPr>
            <w:tcW w:w="6484" w:type="dxa"/>
            <w:noWrap w:val="0"/>
            <w:vAlign w:val="center"/>
          </w:tcPr>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计划工期：</w:t>
            </w:r>
            <w:r>
              <w:rPr>
                <w:rFonts w:hint="eastAsia" w:ascii="宋体" w:hAnsi="宋体" w:cs="宋体"/>
                <w:color w:val="auto"/>
                <w:kern w:val="0"/>
                <w:sz w:val="21"/>
                <w:szCs w:val="21"/>
                <w:highlight w:val="none"/>
                <w:lang w:val="en-US" w:eastAsia="zh-CN"/>
              </w:rPr>
              <w:t>120</w:t>
            </w:r>
            <w:r>
              <w:rPr>
                <w:rFonts w:hint="eastAsia" w:ascii="宋体" w:hAnsi="宋体" w:eastAsia="宋体" w:cs="宋体"/>
                <w:color w:val="auto"/>
                <w:kern w:val="0"/>
                <w:sz w:val="21"/>
                <w:szCs w:val="21"/>
                <w:highlight w:val="none"/>
              </w:rPr>
              <w:t>日历天；</w:t>
            </w:r>
          </w:p>
          <w:p>
            <w:pPr>
              <w:pStyle w:val="34"/>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计划开工日期：202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年</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月</w:t>
            </w:r>
            <w:r>
              <w:rPr>
                <w:rFonts w:hint="eastAsia" w:ascii="宋体" w:hAnsi="宋体" w:cs="宋体"/>
                <w:color w:val="auto"/>
                <w:kern w:val="0"/>
                <w:sz w:val="21"/>
                <w:szCs w:val="21"/>
                <w:highlight w:val="none"/>
                <w:lang w:val="en-US" w:eastAsia="zh-CN"/>
              </w:rPr>
              <w:t>13</w:t>
            </w:r>
            <w:r>
              <w:rPr>
                <w:rFonts w:hint="eastAsia" w:ascii="宋体" w:hAnsi="宋体" w:eastAsia="宋体" w:cs="宋体"/>
                <w:color w:val="auto"/>
                <w:kern w:val="0"/>
                <w:sz w:val="21"/>
                <w:szCs w:val="21"/>
                <w:highlight w:val="none"/>
              </w:rPr>
              <w:t>日</w:t>
            </w:r>
          </w:p>
          <w:p>
            <w:pPr>
              <w:pStyle w:val="34"/>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计划竣工日期：202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年</w:t>
            </w: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月</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日</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最终以签订合同为准</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质量要求</w:t>
            </w:r>
          </w:p>
        </w:tc>
        <w:tc>
          <w:tcPr>
            <w:tcW w:w="6484"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供应商的资格要求</w:t>
            </w:r>
          </w:p>
        </w:tc>
        <w:tc>
          <w:tcPr>
            <w:tcW w:w="6484" w:type="dxa"/>
            <w:noWrap w:val="0"/>
            <w:vAlign w:val="center"/>
          </w:tcPr>
          <w:p>
            <w:pPr>
              <w:keepNext w:val="0"/>
              <w:keepLines w:val="0"/>
              <w:pageBreakBefore w:val="0"/>
              <w:numPr>
                <w:ilvl w:val="0"/>
                <w:numId w:val="5"/>
              </w:numPr>
              <w:kinsoku/>
              <w:wordWrap/>
              <w:overflowPunct/>
              <w:topLinePunct w:val="0"/>
              <w:autoSpaceDE w:val="0"/>
              <w:autoSpaceDN w:val="0"/>
              <w:bidi w:val="0"/>
              <w:adjustRightInd/>
              <w:snapToGrid/>
              <w:spacing w:afterAutospacing="0" w:line="288"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供应商必须符合《中华人民共和国政府采购法》第二十二条规定的条件，提供以下材料：</w:t>
            </w:r>
          </w:p>
          <w:p>
            <w:pPr>
              <w:pStyle w:val="22"/>
              <w:keepNext w:val="0"/>
              <w:keepLines w:val="0"/>
              <w:pageBreakBefore w:val="0"/>
              <w:kinsoku/>
              <w:wordWrap/>
              <w:overflowPunct/>
              <w:topLinePunct w:val="0"/>
              <w:bidi w:val="0"/>
              <w:adjustRightInd/>
              <w:snapToGrid/>
              <w:spacing w:before="0" w:beforeLines="0" w:beforeAutospacing="0" w:line="288" w:lineRule="auto"/>
              <w:contextualSpacing/>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（1）具有独立承担民事责任的能力；</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（2）法定代表人身份证原件或法定代表人授权委托书和委托代理人身份证原件（授权委托书应附上法人和代理人身份证复印件）；</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（3）提供202</w:t>
            </w:r>
            <w:r>
              <w:rPr>
                <w:rFonts w:hint="eastAsia"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年或202</w:t>
            </w:r>
            <w:r>
              <w:rPr>
                <w:rFonts w:hint="eastAsia"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年度财务状况报告（新成立的公司可不提供）；</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（4）具有履行合同所必需的设备和专业技术能力（提供书面说明）；</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（5）提供近半年依法缴纳税收的证明（纳税凭证）复印件，如依法免税的，应提供相应文件证明其依法免税（新成立的公司可不提供）；</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（6）提供近半年依法缴纳社会保险的证明（缴费凭证）复印件，如依法不需要缴纳社会保障资金的，应提供相应文件证明其依法不需要缴纳社会保障资金（新成立的公司可不提供）；</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（7）具备法律、行政法规规定的其他条件的书面声明；</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cs="宋体"/>
                <w:b/>
                <w:bCs/>
                <w:color w:val="auto"/>
                <w:kern w:val="2"/>
                <w:sz w:val="21"/>
                <w:szCs w:val="21"/>
                <w:highlight w:val="none"/>
                <w:lang w:val="en-US" w:eastAsia="zh-CN" w:bidi="ar-SA"/>
              </w:rPr>
            </w:pPr>
            <w:r>
              <w:rPr>
                <w:rFonts w:hint="eastAsia" w:cs="宋体"/>
                <w:b/>
                <w:bCs/>
                <w:color w:val="auto"/>
                <w:kern w:val="2"/>
                <w:sz w:val="21"/>
                <w:szCs w:val="21"/>
                <w:highlight w:val="none"/>
                <w:lang w:val="en-US" w:eastAsia="zh-CN" w:bidi="ar-SA"/>
              </w:rPr>
              <w:t>（8）</w:t>
            </w:r>
            <w:r>
              <w:rPr>
                <w:rFonts w:hint="eastAsia" w:ascii="宋体" w:hAnsi="宋体" w:cs="宋体"/>
                <w:b/>
                <w:bCs/>
                <w:color w:val="auto"/>
                <w:kern w:val="2"/>
                <w:sz w:val="21"/>
                <w:szCs w:val="21"/>
                <w:highlight w:val="none"/>
                <w:lang w:val="en-US" w:eastAsia="zh-CN" w:bidi="ar-SA"/>
              </w:rPr>
              <w:t>本项目为中小企业预留</w:t>
            </w:r>
          </w:p>
          <w:p>
            <w:pPr>
              <w:pStyle w:val="22"/>
              <w:keepNext w:val="0"/>
              <w:keepLines w:val="0"/>
              <w:pageBreakBefore w:val="0"/>
              <w:kinsoku/>
              <w:wordWrap/>
              <w:overflowPunct/>
              <w:topLinePunct w:val="0"/>
              <w:bidi w:val="0"/>
              <w:adjustRightInd/>
              <w:snapToGrid/>
              <w:spacing w:line="288" w:lineRule="auto"/>
              <w:contextualSpacing/>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sz w:val="21"/>
                <w:szCs w:val="21"/>
                <w:highlight w:val="none"/>
              </w:rPr>
              <w:t>（</w:t>
            </w:r>
            <w:r>
              <w:rPr>
                <w:rFonts w:hint="eastAsia" w:cs="宋体"/>
                <w:color w:val="auto"/>
                <w:kern w:val="0"/>
                <w:sz w:val="21"/>
                <w:szCs w:val="21"/>
                <w:highlight w:val="none"/>
                <w:lang w:val="en-US" w:eastAsia="zh-CN" w:bidi="ar-SA"/>
              </w:rPr>
              <w:t>9</w:t>
            </w:r>
            <w:r>
              <w:rPr>
                <w:rFonts w:hint="eastAsia" w:ascii="宋体" w:hAnsi="宋体" w:eastAsia="宋体" w:cs="宋体"/>
                <w:color w:val="auto"/>
                <w:kern w:val="0"/>
                <w:sz w:val="21"/>
                <w:szCs w:val="21"/>
                <w:highlight w:val="none"/>
                <w:lang w:val="en-US" w:eastAsia="zh-CN" w:bidi="ar-SA"/>
              </w:rPr>
              <w:t>）投标人须具备</w:t>
            </w:r>
            <w:r>
              <w:rPr>
                <w:rFonts w:hint="eastAsia" w:cs="宋体"/>
                <w:color w:val="auto"/>
                <w:kern w:val="0"/>
                <w:sz w:val="21"/>
                <w:szCs w:val="21"/>
                <w:highlight w:val="none"/>
                <w:lang w:val="en-US" w:eastAsia="zh-CN" w:bidi="ar-SA"/>
              </w:rPr>
              <w:t>市政公用工程施工</w:t>
            </w:r>
            <w:r>
              <w:rPr>
                <w:rFonts w:hint="eastAsia" w:ascii="宋体" w:hAnsi="宋体" w:eastAsia="宋体" w:cs="宋体"/>
                <w:color w:val="auto"/>
                <w:kern w:val="0"/>
                <w:sz w:val="21"/>
                <w:szCs w:val="21"/>
                <w:highlight w:val="none"/>
                <w:lang w:val="en-US" w:eastAsia="zh-CN" w:bidi="ar-SA"/>
              </w:rPr>
              <w:t>总承包叁级（含叁级）及以上资质，具有合格有效的施工企业安全生产许可证，区外企业需提供进疆企业信息报送手续。拟用项目负责人须具备</w:t>
            </w:r>
            <w:r>
              <w:rPr>
                <w:rFonts w:hint="eastAsia" w:cs="宋体"/>
                <w:color w:val="auto"/>
                <w:kern w:val="0"/>
                <w:sz w:val="21"/>
                <w:szCs w:val="21"/>
                <w:highlight w:val="none"/>
                <w:lang w:val="en-US" w:eastAsia="zh-CN" w:bidi="ar-SA"/>
              </w:rPr>
              <w:t>市政</w:t>
            </w:r>
            <w:r>
              <w:rPr>
                <w:rFonts w:hint="eastAsia" w:ascii="宋体" w:hAnsi="宋体" w:eastAsia="宋体" w:cs="宋体"/>
                <w:color w:val="auto"/>
                <w:kern w:val="0"/>
                <w:sz w:val="21"/>
                <w:szCs w:val="21"/>
                <w:highlight w:val="none"/>
                <w:lang w:val="en-US" w:eastAsia="zh-CN" w:bidi="ar-SA"/>
              </w:rPr>
              <w:t>工程专业二级（含二级）及以上注册建造师执业资格，具备有效的安全生产考核合格证书（B类），且未担任其他在施建设工程项目的项目经理。</w:t>
            </w:r>
          </w:p>
          <w:p>
            <w:pPr>
              <w:pStyle w:val="22"/>
              <w:keepNext w:val="0"/>
              <w:keepLines w:val="0"/>
              <w:pageBreakBefore w:val="0"/>
              <w:kinsoku/>
              <w:wordWrap/>
              <w:overflowPunct/>
              <w:topLinePunct w:val="0"/>
              <w:bidi w:val="0"/>
              <w:adjustRightInd/>
              <w:snapToGrid/>
              <w:spacing w:line="288" w:lineRule="auto"/>
              <w:ind w:firstLine="474" w:firstLineChars="226"/>
              <w:contextualSpacing/>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、提供《公平竞争承诺书》；</w:t>
            </w:r>
          </w:p>
          <w:p>
            <w:pPr>
              <w:pStyle w:val="22"/>
              <w:keepNext w:val="0"/>
              <w:keepLines w:val="0"/>
              <w:pageBreakBefore w:val="0"/>
              <w:kinsoku/>
              <w:wordWrap/>
              <w:overflowPunct/>
              <w:topLinePunct w:val="0"/>
              <w:bidi w:val="0"/>
              <w:adjustRightInd/>
              <w:snapToGrid/>
              <w:spacing w:after="0" w:afterLines="0" w:afterAutospacing="0" w:line="288" w:lineRule="auto"/>
              <w:ind w:firstLine="474" w:firstLineChars="226"/>
              <w:contextualSpacing/>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3、必须提供“信用中国”“中国政府采购网”以上</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个网站查询截图并加盖公章。(如相关失信记录已失效，投标人需提供相关证明资料。被列入失信被执行人、重大税收违法案件当事人名单、政府采购严重违法失信行为记录名单以及不良行为记录的投标单位，将拒绝其参加本次政府采购活动）</w:t>
            </w:r>
            <w:r>
              <w:rPr>
                <w:rFonts w:hint="eastAsia" w:ascii="宋体" w:hAnsi="宋体" w:eastAsia="宋体" w:cs="宋体"/>
                <w:sz w:val="21"/>
                <w:szCs w:val="21"/>
                <w:highlight w:val="none"/>
                <w:lang w:eastAsia="zh-CN"/>
              </w:rPr>
              <w:t>。</w:t>
            </w:r>
          </w:p>
          <w:p>
            <w:pPr>
              <w:pStyle w:val="2"/>
              <w:keepNext w:val="0"/>
              <w:keepLines w:val="0"/>
              <w:pageBreakBefore w:val="0"/>
              <w:numPr>
                <w:ilvl w:val="0"/>
                <w:numId w:val="0"/>
              </w:numPr>
              <w:kinsoku/>
              <w:wordWrap/>
              <w:overflowPunct/>
              <w:topLinePunct w:val="0"/>
              <w:bidi w:val="0"/>
              <w:adjustRightInd/>
              <w:snapToGrid/>
              <w:spacing w:beforeAutospacing="0"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xml:space="preserve">、本项目不接受联合体投标。 </w:t>
            </w:r>
          </w:p>
          <w:p>
            <w:pPr>
              <w:pStyle w:val="2"/>
              <w:keepNext w:val="0"/>
              <w:keepLines w:val="0"/>
              <w:pageBreakBefore w:val="0"/>
              <w:numPr>
                <w:ilvl w:val="0"/>
                <w:numId w:val="0"/>
              </w:numPr>
              <w:kinsoku/>
              <w:wordWrap/>
              <w:overflowPunct/>
              <w:topLinePunct w:val="0"/>
              <w:bidi w:val="0"/>
              <w:adjustRightInd/>
              <w:snapToGrid/>
              <w:spacing w:beforeAutospacing="0" w:line="288" w:lineRule="auto"/>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落实政府采购政策需满足的资格要求：</w:t>
            </w:r>
          </w:p>
          <w:p>
            <w:pPr>
              <w:pStyle w:val="2"/>
              <w:keepNext w:val="0"/>
              <w:keepLines w:val="0"/>
              <w:pageBreakBefore w:val="0"/>
              <w:numPr>
                <w:ilvl w:val="0"/>
                <w:numId w:val="0"/>
              </w:numPr>
              <w:kinsoku/>
              <w:wordWrap/>
              <w:overflowPunct/>
              <w:topLinePunct w:val="0"/>
              <w:bidi w:val="0"/>
              <w:adjustRightInd/>
              <w:snapToGrid/>
              <w:spacing w:beforeAutospacing="0" w:line="288"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（1）投标供应商须为中小企业。（本项目专门面向中小微企业采购，投标供应商须为中小企业且必须提供《中小企业声明函》。残疾人福利性单位、监狱企业视同为中小微企业。）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12</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是否允许联合体</w:t>
            </w:r>
          </w:p>
          <w:p>
            <w:pPr>
              <w:pStyle w:val="34"/>
              <w:keepNext w:val="0"/>
              <w:keepLines w:val="0"/>
              <w:pageBreakBefore w:val="0"/>
              <w:kinsoku/>
              <w:wordWrap/>
              <w:overflowPunct/>
              <w:topLinePunct w:val="0"/>
              <w:bidi w:val="0"/>
              <w:adjustRightInd/>
              <w:snapToGrid/>
              <w:spacing w:line="288"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投标</w:t>
            </w:r>
          </w:p>
        </w:tc>
        <w:tc>
          <w:tcPr>
            <w:tcW w:w="6484" w:type="dxa"/>
            <w:noWrap w:val="0"/>
            <w:vAlign w:val="center"/>
          </w:tcPr>
          <w:p>
            <w:pPr>
              <w:pStyle w:val="34"/>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□是 </w:t>
            </w:r>
          </w:p>
          <w:p>
            <w:pPr>
              <w:pStyle w:val="34"/>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☑否</w:t>
            </w:r>
            <w:r>
              <w:rPr>
                <w:rFonts w:hint="eastAsia" w:ascii="宋体" w:hAnsi="宋体" w:eastAsia="宋体" w:cs="宋体"/>
                <w:color w:val="auto"/>
                <w:kern w:val="0"/>
                <w:sz w:val="21"/>
                <w:szCs w:val="21"/>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13</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控制价</w:t>
            </w:r>
          </w:p>
          <w:p>
            <w:pPr>
              <w:pStyle w:val="34"/>
              <w:keepNext w:val="0"/>
              <w:keepLines w:val="0"/>
              <w:pageBreakBefore w:val="0"/>
              <w:kinsoku/>
              <w:wordWrap/>
              <w:overflowPunct/>
              <w:topLinePunct w:val="0"/>
              <w:bidi w:val="0"/>
              <w:adjustRightInd/>
              <w:snapToGrid/>
              <w:spacing w:line="288"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（或采购预算）</w:t>
            </w:r>
          </w:p>
        </w:tc>
        <w:tc>
          <w:tcPr>
            <w:tcW w:w="6484" w:type="dxa"/>
            <w:noWrap w:val="0"/>
            <w:vAlign w:val="top"/>
          </w:tcPr>
          <w:p>
            <w:pPr>
              <w:keepNext w:val="0"/>
              <w:keepLines w:val="0"/>
              <w:pageBreakBefore w:val="0"/>
              <w:widowControl/>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u w:val="single"/>
                <w:lang w:eastAsia="zh-CN"/>
              </w:rPr>
            </w:pPr>
            <w:r>
              <w:rPr>
                <w:rFonts w:hint="eastAsia" w:ascii="宋体" w:hAnsi="宋体" w:eastAsia="宋体" w:cs="宋体"/>
                <w:b/>
                <w:bCs/>
                <w:color w:val="auto"/>
                <w:sz w:val="21"/>
                <w:szCs w:val="21"/>
                <w:highlight w:val="none"/>
              </w:rPr>
              <w:t>人民币：</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u w:val="single"/>
                <w:lang w:val="en-US" w:eastAsia="zh-CN"/>
              </w:rPr>
              <w:t>2111235.88</w:t>
            </w:r>
            <w:r>
              <w:rPr>
                <w:rFonts w:hint="eastAsia" w:ascii="宋体" w:hAnsi="宋体" w:eastAsia="宋体" w:cs="宋体"/>
                <w:b/>
                <w:bCs/>
                <w:color w:val="auto"/>
                <w:sz w:val="21"/>
                <w:szCs w:val="21"/>
                <w:highlight w:val="none"/>
                <w:u w:val="single"/>
                <w:lang w:eastAsia="zh-CN"/>
              </w:rPr>
              <w:t>元</w:t>
            </w:r>
          </w:p>
          <w:p>
            <w:pPr>
              <w:keepNext w:val="0"/>
              <w:keepLines w:val="0"/>
              <w:pageBreakBefore w:val="0"/>
              <w:widowControl/>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u w:val="single"/>
                <w:lang w:eastAsia="zh-CN"/>
              </w:rPr>
            </w:pP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b/>
                <w:bCs/>
                <w:color w:val="auto"/>
                <w:sz w:val="21"/>
                <w:szCs w:val="21"/>
                <w:highlight w:val="none"/>
                <w:u w:val="single"/>
                <w:lang w:val="en-US" w:eastAsia="zh-CN"/>
              </w:rPr>
              <w:t>大写：</w:t>
            </w:r>
            <w:r>
              <w:rPr>
                <w:rFonts w:hint="eastAsia" w:ascii="宋体" w:hAnsi="宋体" w:cs="宋体"/>
                <w:b/>
                <w:bCs/>
                <w:color w:val="auto"/>
                <w:sz w:val="21"/>
                <w:szCs w:val="21"/>
                <w:highlight w:val="none"/>
                <w:u w:val="single"/>
                <w:lang w:val="en-US" w:eastAsia="zh-CN"/>
              </w:rPr>
              <w:t>贰佰壹拾壹万壹仟贰佰叁拾伍元捌角捌分</w:t>
            </w:r>
            <w:r>
              <w:rPr>
                <w:rFonts w:hint="eastAsia" w:ascii="宋体" w:hAnsi="宋体" w:eastAsia="宋体" w:cs="宋体"/>
                <w:b/>
                <w:bCs/>
                <w:color w:val="auto"/>
                <w:sz w:val="21"/>
                <w:szCs w:val="21"/>
                <w:highlight w:val="none"/>
                <w:u w:val="single"/>
                <w:lang w:eastAsia="zh-CN"/>
              </w:rPr>
              <w:t>）</w:t>
            </w:r>
          </w:p>
          <w:p>
            <w:pPr>
              <w:keepNext w:val="0"/>
              <w:keepLines w:val="0"/>
              <w:pageBreakBefore w:val="0"/>
              <w:widowControl/>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投标人投标报价超过或等于项目控制价的按无效投标处理。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1" w:type="dxa"/>
            <w:vMerge w:val="restart"/>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p>
        </w:tc>
        <w:tc>
          <w:tcPr>
            <w:tcW w:w="1911" w:type="dxa"/>
            <w:vMerge w:val="restart"/>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磋商保证金</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sz w:val="21"/>
                <w:szCs w:val="21"/>
                <w:highlight w:val="none"/>
                <w:lang w:eastAsia="zh-CN"/>
              </w:rPr>
              <w:t>或电子保函</w:t>
            </w:r>
          </w:p>
        </w:tc>
        <w:tc>
          <w:tcPr>
            <w:tcW w:w="6484" w:type="dxa"/>
            <w:noWrap w:val="0"/>
            <w:vAlign w:val="center"/>
          </w:tcPr>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缴纳方式：</w:t>
            </w:r>
            <w:r>
              <w:rPr>
                <w:rFonts w:hint="eastAsia" w:ascii="宋体" w:hAnsi="宋体" w:eastAsia="宋体" w:cs="宋体"/>
                <w:color w:val="auto"/>
                <w:kern w:val="0"/>
                <w:sz w:val="21"/>
                <w:szCs w:val="21"/>
                <w:highlight w:val="none"/>
              </w:rPr>
              <w:t>从供应商所在地企业账户以电汇或银行转账的方式汇到指定的投标保证金账户，或以支票、汇票或</w:t>
            </w:r>
            <w:r>
              <w:rPr>
                <w:rFonts w:hint="eastAsia" w:ascii="宋体" w:hAnsi="宋体" w:cs="宋体"/>
                <w:color w:val="auto"/>
                <w:kern w:val="0"/>
                <w:sz w:val="21"/>
                <w:szCs w:val="21"/>
                <w:highlight w:val="none"/>
                <w:lang w:val="en-US" w:eastAsia="zh-CN"/>
              </w:rPr>
              <w:t>电子</w:t>
            </w:r>
            <w:r>
              <w:rPr>
                <w:rFonts w:hint="eastAsia" w:ascii="宋体" w:hAnsi="宋体" w:eastAsia="宋体" w:cs="宋体"/>
                <w:color w:val="auto"/>
                <w:kern w:val="0"/>
                <w:sz w:val="21"/>
                <w:szCs w:val="21"/>
                <w:highlight w:val="none"/>
              </w:rPr>
              <w:t>保函的方式递交。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61" w:type="dxa"/>
            <w:vMerge w:val="continue"/>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tc>
        <w:tc>
          <w:tcPr>
            <w:tcW w:w="1911" w:type="dxa"/>
            <w:vMerge w:val="continue"/>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tc>
        <w:tc>
          <w:tcPr>
            <w:tcW w:w="6484"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金额（小写）：</w:t>
            </w:r>
            <w:r>
              <w:rPr>
                <w:rFonts w:hint="eastAsia" w:ascii="宋体" w:hAnsi="宋体" w:cs="宋体"/>
                <w:color w:val="auto"/>
                <w:kern w:val="0"/>
                <w:sz w:val="21"/>
                <w:szCs w:val="21"/>
                <w:highlight w:val="none"/>
                <w:u w:val="single"/>
                <w:lang w:val="en-US" w:eastAsia="zh-CN"/>
              </w:rPr>
              <w:t>20</w:t>
            </w:r>
            <w:r>
              <w:rPr>
                <w:rFonts w:hint="eastAsia" w:ascii="宋体" w:hAnsi="宋体" w:eastAsia="宋体" w:cs="宋体"/>
                <w:color w:val="auto"/>
                <w:kern w:val="0"/>
                <w:sz w:val="21"/>
                <w:szCs w:val="21"/>
                <w:highlight w:val="none"/>
                <w:u w:val="single"/>
                <w:lang w:val="en-US" w:eastAsia="zh-CN"/>
              </w:rPr>
              <w:t>000.00元</w:t>
            </w:r>
            <w:r>
              <w:rPr>
                <w:rFonts w:hint="eastAsia" w:ascii="宋体" w:hAnsi="宋体" w:eastAsia="宋体" w:cs="宋体"/>
                <w:color w:val="auto"/>
                <w:kern w:val="0"/>
                <w:sz w:val="21"/>
                <w:szCs w:val="21"/>
                <w:highlight w:val="none"/>
                <w:u w:val="single"/>
              </w:rPr>
              <w:t xml:space="preserve">        </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金额（大写）：</w:t>
            </w:r>
            <w:r>
              <w:rPr>
                <w:rFonts w:hint="eastAsia" w:ascii="宋体" w:hAnsi="宋体" w:cs="宋体"/>
                <w:color w:val="auto"/>
                <w:kern w:val="0"/>
                <w:sz w:val="21"/>
                <w:szCs w:val="21"/>
                <w:highlight w:val="none"/>
                <w:u w:val="single"/>
                <w:lang w:val="en-US" w:eastAsia="zh-CN"/>
              </w:rPr>
              <w:t>贰万元零角零分</w:t>
            </w:r>
            <w:r>
              <w:rPr>
                <w:rFonts w:hint="eastAsia" w:ascii="宋体" w:hAnsi="宋体" w:eastAsia="宋体" w:cs="宋体"/>
                <w:color w:val="auto"/>
                <w:kern w:val="0"/>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61" w:type="dxa"/>
            <w:vMerge w:val="continue"/>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tc>
        <w:tc>
          <w:tcPr>
            <w:tcW w:w="1911" w:type="dxa"/>
            <w:vMerge w:val="continue"/>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tc>
        <w:tc>
          <w:tcPr>
            <w:tcW w:w="6484" w:type="dxa"/>
            <w:noWrap w:val="0"/>
            <w:vAlign w:val="center"/>
          </w:tcPr>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w:t>
            </w:r>
            <w:r>
              <w:rPr>
                <w:rFonts w:hint="eastAsia" w:ascii="宋体" w:hAnsi="宋体" w:eastAsia="宋体" w:cs="宋体"/>
                <w:color w:val="auto"/>
                <w:sz w:val="21"/>
                <w:szCs w:val="21"/>
                <w:highlight w:val="none"/>
                <w:lang w:eastAsia="zh-CN"/>
              </w:rPr>
              <w:t>新疆智投工程项目管理有限公司</w:t>
            </w:r>
          </w:p>
          <w:p>
            <w:pPr>
              <w:keepNext w:val="0"/>
              <w:keepLines w:val="0"/>
              <w:pageBreakBefore w:val="0"/>
              <w:widowControl/>
              <w:kinsoku/>
              <w:wordWrap/>
              <w:overflowPunct/>
              <w:topLinePunct w:val="0"/>
              <w:autoSpaceDE/>
              <w:autoSpaceDN/>
              <w:bidi w:val="0"/>
              <w:adjustRightInd/>
              <w:snapToGrid/>
              <w:spacing w:line="288" w:lineRule="auto"/>
              <w:ind w:left="1200" w:hanging="1050" w:hangingChars="5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lang w:val="en-US" w:eastAsia="zh-CN"/>
              </w:rPr>
              <w:t>中国建设银行股份有限公司巴音郭楞蒙古自治州人民东路支行</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银行账号：65050170603600000945 </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行  号：105888000039</w:t>
            </w:r>
          </w:p>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w:t>
            </w:r>
          </w:p>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投标保证金必须由投标人公对公账户转出且在汇单附言栏内或备注栏明确注明项目名称和投标保证金字样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保证金递交</w:t>
            </w:r>
            <w:r>
              <w:rPr>
                <w:rFonts w:hint="eastAsia" w:ascii="宋体" w:hAnsi="宋体" w:eastAsia="宋体" w:cs="宋体"/>
                <w:b/>
                <w:bCs/>
                <w:color w:val="auto"/>
                <w:sz w:val="21"/>
                <w:szCs w:val="21"/>
                <w:highlight w:val="none"/>
              </w:rPr>
              <w:t>截止</w:t>
            </w:r>
            <w:r>
              <w:rPr>
                <w:rFonts w:hint="eastAsia" w:ascii="宋体" w:hAnsi="宋体" w:eastAsia="宋体" w:cs="宋体"/>
                <w:b/>
                <w:bCs/>
                <w:color w:val="auto"/>
                <w:sz w:val="21"/>
                <w:szCs w:val="21"/>
                <w:highlight w:val="none"/>
                <w:lang w:val="en-US" w:eastAsia="zh-CN"/>
              </w:rPr>
              <w:t>时间</w:t>
            </w:r>
            <w:r>
              <w:rPr>
                <w:rFonts w:hint="eastAsia" w:ascii="宋体" w:hAnsi="宋体" w:eastAsia="宋体" w:cs="宋体"/>
                <w:b/>
                <w:bCs/>
                <w:color w:val="auto"/>
                <w:sz w:val="21"/>
                <w:szCs w:val="21"/>
                <w:highlight w:val="none"/>
                <w:lang w:eastAsia="zh-CN"/>
              </w:rPr>
              <w:t>202</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年202</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年</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月</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eastAsia="zh-CN"/>
              </w:rPr>
              <w:t>日</w:t>
            </w:r>
            <w:r>
              <w:rPr>
                <w:rFonts w:hint="eastAsia" w:ascii="宋体" w:hAnsi="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0分 （北京时间）</w:t>
            </w:r>
          </w:p>
          <w:p>
            <w:pPr>
              <w:keepNext w:val="0"/>
              <w:keepLines w:val="0"/>
              <w:pageBreakBefore w:val="0"/>
              <w:numPr>
                <w:ilvl w:val="0"/>
                <w:numId w:val="6"/>
              </w:numPr>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本项目</w:t>
            </w:r>
            <w:r>
              <w:rPr>
                <w:rFonts w:hint="eastAsia" w:ascii="宋体" w:hAnsi="宋体" w:eastAsia="宋体" w:cs="宋体"/>
                <w:b/>
                <w:bCs/>
                <w:color w:val="auto"/>
                <w:sz w:val="21"/>
                <w:szCs w:val="21"/>
                <w:highlight w:val="none"/>
              </w:rPr>
              <w:t>不接受现金形式的投标保证金</w:t>
            </w:r>
            <w:r>
              <w:rPr>
                <w:rFonts w:hint="eastAsia" w:ascii="宋体" w:hAnsi="宋体" w:eastAsia="宋体" w:cs="宋体"/>
                <w:b/>
                <w:bCs/>
                <w:color w:val="auto"/>
                <w:sz w:val="21"/>
                <w:szCs w:val="21"/>
                <w:highlight w:val="none"/>
                <w:lang w:eastAsia="zh-CN"/>
              </w:rPr>
              <w:t>；</w:t>
            </w:r>
          </w:p>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如果发现供应商有围标、串标行为，其投标无效，且投标保证金将被没收，不予退还；</w:t>
            </w:r>
          </w:p>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投标保证金未按规定时间缴纳或提交金额不足的，将被视为无效投标,其投标文件将不予接受。供应商应充分考虑资金在途时间）；</w:t>
            </w:r>
          </w:p>
          <w:p>
            <w:pPr>
              <w:keepNext w:val="0"/>
              <w:keepLines w:val="0"/>
              <w:pageBreakBefore w:val="0"/>
              <w:numPr>
                <w:ilvl w:val="0"/>
                <w:numId w:val="0"/>
              </w:numPr>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未按上述要求提交投标保证金的按无效响应处理。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61" w:type="dxa"/>
            <w:vMerge w:val="continue"/>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tc>
        <w:tc>
          <w:tcPr>
            <w:tcW w:w="1911" w:type="dxa"/>
            <w:vMerge w:val="continue"/>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tc>
        <w:tc>
          <w:tcPr>
            <w:tcW w:w="6484" w:type="dxa"/>
            <w:noWrap w:val="0"/>
            <w:vAlign w:val="top"/>
          </w:tcPr>
          <w:p>
            <w:pPr>
              <w:pStyle w:val="13"/>
              <w:keepNext w:val="0"/>
              <w:keepLines w:val="0"/>
              <w:pageBreakBefore w:val="0"/>
              <w:kinsoku/>
              <w:wordWrap/>
              <w:overflowPunct/>
              <w:topLinePunct w:val="0"/>
              <w:bidi w:val="0"/>
              <w:adjustRightInd/>
              <w:snapToGrid/>
              <w:spacing w:line="288" w:lineRule="auto"/>
              <w:ind w:left="0" w:leftChars="0" w:firstLine="0" w:firstLineChars="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电子保函：在线递交电子保函</w:t>
            </w:r>
          </w:p>
          <w:p>
            <w:pPr>
              <w:pStyle w:val="1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保函投保金额:</w:t>
            </w:r>
            <w:r>
              <w:rPr>
                <w:rFonts w:hint="eastAsia" w:hAnsi="宋体" w:cs="宋体"/>
                <w:kern w:val="2"/>
                <w:sz w:val="21"/>
                <w:szCs w:val="21"/>
                <w:highlight w:val="none"/>
                <w:lang w:val="en-US" w:eastAsia="zh-CN" w:bidi="ar-SA"/>
              </w:rPr>
              <w:t>20</w:t>
            </w:r>
            <w:r>
              <w:rPr>
                <w:rFonts w:hint="eastAsia" w:ascii="宋体" w:hAnsi="宋体" w:eastAsia="宋体" w:cs="宋体"/>
                <w:kern w:val="2"/>
                <w:sz w:val="21"/>
                <w:szCs w:val="21"/>
                <w:highlight w:val="none"/>
                <w:lang w:val="en-US" w:eastAsia="zh-CN" w:bidi="ar-SA"/>
              </w:rPr>
              <w:t>000</w:t>
            </w:r>
            <w:r>
              <w:rPr>
                <w:rFonts w:hint="eastAsia" w:hAnsi="宋体" w:cs="宋体"/>
                <w:kern w:val="2"/>
                <w:sz w:val="21"/>
                <w:szCs w:val="21"/>
                <w:highlight w:val="none"/>
                <w:lang w:val="en-US" w:eastAsia="zh-CN" w:bidi="ar-SA"/>
              </w:rPr>
              <w:t>.00</w:t>
            </w:r>
            <w:r>
              <w:rPr>
                <w:rFonts w:hint="eastAsia" w:ascii="宋体" w:hAnsi="宋体" w:eastAsia="宋体" w:cs="宋体"/>
                <w:kern w:val="2"/>
                <w:sz w:val="21"/>
                <w:szCs w:val="21"/>
                <w:highlight w:val="none"/>
                <w:lang w:val="en-US" w:eastAsia="zh-CN" w:bidi="ar-SA"/>
              </w:rPr>
              <w:t>(元)</w:t>
            </w:r>
          </w:p>
          <w:p>
            <w:pPr>
              <w:pStyle w:val="1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kern w:val="2"/>
                <w:sz w:val="21"/>
                <w:szCs w:val="21"/>
                <w:highlight w:val="none"/>
                <w:lang w:val="en-US" w:eastAsia="zh-CN" w:bidi="ar-SA"/>
              </w:rPr>
              <w:t>保函承保期</w:t>
            </w:r>
            <w:r>
              <w:rPr>
                <w:rFonts w:hint="eastAsia" w:ascii="宋体" w:hAnsi="宋体" w:eastAsia="宋体" w:cs="宋体"/>
                <w:color w:val="auto"/>
                <w:kern w:val="2"/>
                <w:sz w:val="21"/>
                <w:szCs w:val="21"/>
                <w:highlight w:val="none"/>
                <w:lang w:val="en-US" w:eastAsia="zh-CN" w:bidi="ar-SA"/>
              </w:rPr>
              <w:t>限:202</w:t>
            </w:r>
            <w:r>
              <w:rPr>
                <w:rFonts w:hint="eastAsia"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年</w:t>
            </w:r>
            <w:r>
              <w:rPr>
                <w:rFonts w:hint="eastAsia"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月</w:t>
            </w:r>
            <w:r>
              <w:rPr>
                <w:rFonts w:hint="eastAsia" w:hAnsi="宋体" w:cs="宋体"/>
                <w:color w:val="auto"/>
                <w:kern w:val="2"/>
                <w:sz w:val="21"/>
                <w:szCs w:val="21"/>
                <w:highlight w:val="none"/>
                <w:lang w:val="en-US" w:eastAsia="zh-CN" w:bidi="ar-SA"/>
              </w:rPr>
              <w:t>9</w:t>
            </w:r>
            <w:r>
              <w:rPr>
                <w:rFonts w:hint="eastAsia" w:ascii="宋体" w:hAnsi="宋体" w:eastAsia="宋体" w:cs="宋体"/>
                <w:color w:val="auto"/>
                <w:kern w:val="2"/>
                <w:sz w:val="21"/>
                <w:szCs w:val="21"/>
                <w:highlight w:val="none"/>
                <w:lang w:val="en-US" w:eastAsia="zh-CN" w:bidi="ar-SA"/>
              </w:rPr>
              <w:t>日-202</w:t>
            </w:r>
            <w:r>
              <w:rPr>
                <w:rFonts w:hint="eastAsia"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年</w:t>
            </w:r>
            <w:r>
              <w:rPr>
                <w:rFonts w:hint="eastAsia" w:hAnsi="宋体" w:cs="宋体"/>
                <w:color w:val="auto"/>
                <w:kern w:val="2"/>
                <w:sz w:val="21"/>
                <w:szCs w:val="21"/>
                <w:highlight w:val="none"/>
                <w:lang w:val="en-US" w:eastAsia="zh-CN" w:bidi="ar-SA"/>
              </w:rPr>
              <w:t>7</w:t>
            </w:r>
            <w:r>
              <w:rPr>
                <w:rFonts w:hint="eastAsia" w:ascii="宋体" w:hAnsi="宋体" w:eastAsia="宋体" w:cs="宋体"/>
                <w:color w:val="auto"/>
                <w:kern w:val="2"/>
                <w:sz w:val="21"/>
                <w:szCs w:val="21"/>
                <w:highlight w:val="none"/>
                <w:lang w:val="en-US" w:eastAsia="zh-CN" w:bidi="ar-SA"/>
              </w:rPr>
              <w:t>月</w:t>
            </w:r>
            <w:r>
              <w:rPr>
                <w:rFonts w:hint="eastAsia" w:hAnsi="宋体" w:cs="宋体"/>
                <w:color w:val="auto"/>
                <w:kern w:val="2"/>
                <w:sz w:val="21"/>
                <w:szCs w:val="21"/>
                <w:highlight w:val="none"/>
                <w:lang w:val="en-US" w:eastAsia="zh-CN" w:bidi="ar-SA"/>
              </w:rPr>
              <w:t>9</w:t>
            </w:r>
            <w:r>
              <w:rPr>
                <w:rFonts w:hint="eastAsia" w:ascii="宋体" w:hAnsi="宋体" w:eastAsia="宋体" w:cs="宋体"/>
                <w:color w:val="auto"/>
                <w:kern w:val="2"/>
                <w:sz w:val="21"/>
                <w:szCs w:val="21"/>
                <w:highlight w:val="none"/>
                <w:lang w:val="en-US" w:eastAsia="zh-CN"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响应文件有效期</w:t>
            </w:r>
          </w:p>
        </w:tc>
        <w:tc>
          <w:tcPr>
            <w:tcW w:w="6484"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自首次递交响应文件截止时间起计算</w:t>
            </w:r>
            <w:r>
              <w:rPr>
                <w:rFonts w:hint="eastAsia" w:ascii="宋体" w:hAnsi="宋体" w:cs="宋体"/>
                <w:color w:val="auto"/>
                <w:sz w:val="21"/>
                <w:szCs w:val="21"/>
                <w:highlight w:val="none"/>
                <w:u w:val="single"/>
                <w:lang w:val="en-US" w:eastAsia="zh-CN"/>
              </w:rPr>
              <w:t>90</w:t>
            </w:r>
            <w:r>
              <w:rPr>
                <w:rFonts w:hint="eastAsia" w:ascii="宋体" w:hAnsi="宋体" w:eastAsia="宋体" w:cs="宋体"/>
                <w:color w:val="auto"/>
                <w:sz w:val="21"/>
                <w:szCs w:val="21"/>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p>
        </w:tc>
        <w:tc>
          <w:tcPr>
            <w:tcW w:w="191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电子投标注意事项</w:t>
            </w:r>
          </w:p>
        </w:tc>
        <w:tc>
          <w:tcPr>
            <w:tcW w:w="6484" w:type="dxa"/>
            <w:noWrap w:val="0"/>
            <w:vAlign w:val="top"/>
          </w:tcPr>
          <w:p>
            <w:pPr>
              <w:pStyle w:val="34"/>
              <w:keepNext w:val="0"/>
              <w:keepLines w:val="0"/>
              <w:pageBreakBefore w:val="0"/>
              <w:numPr>
                <w:ilvl w:val="0"/>
                <w:numId w:val="7"/>
              </w:numPr>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本项目实行网上投标，采用电子投标文件，投标人需要使用CA加密设备，凡参加本项目投标人自行必须办理CA锁。</w:t>
            </w:r>
          </w:p>
          <w:p>
            <w:pPr>
              <w:pStyle w:val="34"/>
              <w:keepNext w:val="0"/>
              <w:keepLines w:val="0"/>
              <w:pageBreakBefore w:val="0"/>
              <w:numPr>
                <w:ilvl w:val="0"/>
                <w:numId w:val="7"/>
              </w:numPr>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供应商备份文件可自愿在</w:t>
            </w:r>
            <w:r>
              <w:rPr>
                <w:rFonts w:hint="eastAsia" w:ascii="宋体" w:hAnsi="宋体" w:eastAsia="宋体" w:cs="宋体"/>
                <w:color w:val="auto"/>
                <w:sz w:val="21"/>
                <w:szCs w:val="21"/>
                <w:highlight w:val="none"/>
                <w:lang w:eastAsia="zh-CN"/>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分前（北京时间）以U盘邮寄或电子邮件方式提供给代理机构（具体联系人：</w:t>
            </w:r>
            <w:r>
              <w:rPr>
                <w:rFonts w:hint="eastAsia" w:ascii="宋体" w:hAnsi="宋体" w:eastAsia="宋体" w:cs="宋体"/>
                <w:color w:val="auto"/>
                <w:sz w:val="21"/>
                <w:szCs w:val="21"/>
                <w:highlight w:val="none"/>
                <w:lang w:eastAsia="zh-CN"/>
              </w:rPr>
              <w:t>杨佩</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13565026200</w:t>
            </w:r>
            <w:r>
              <w:rPr>
                <w:rFonts w:hint="eastAsia" w:ascii="宋体" w:hAnsi="宋体" w:eastAsia="宋体" w:cs="宋体"/>
                <w:color w:val="auto"/>
                <w:sz w:val="21"/>
                <w:szCs w:val="21"/>
                <w:highlight w:val="none"/>
              </w:rPr>
              <w:t>；邮箱：</w:t>
            </w:r>
            <w:r>
              <w:rPr>
                <w:rFonts w:hint="eastAsia" w:ascii="宋体" w:hAnsi="宋体" w:eastAsia="宋体" w:cs="宋体"/>
                <w:color w:val="auto"/>
                <w:sz w:val="21"/>
                <w:szCs w:val="21"/>
                <w:highlight w:val="none"/>
                <w:lang w:val="en-US" w:eastAsia="zh-CN"/>
              </w:rPr>
              <w:t>358721574</w:t>
            </w:r>
            <w:r>
              <w:rPr>
                <w:rFonts w:hint="eastAsia" w:ascii="宋体" w:hAnsi="宋体" w:eastAsia="宋体" w:cs="宋体"/>
                <w:color w:val="auto"/>
                <w:sz w:val="21"/>
                <w:szCs w:val="21"/>
                <w:highlight w:val="none"/>
              </w:rPr>
              <w:t>@qq.com）。</w:t>
            </w:r>
          </w:p>
          <w:p>
            <w:pPr>
              <w:pStyle w:val="34"/>
              <w:keepNext w:val="0"/>
              <w:keepLines w:val="0"/>
              <w:pageBreakBefore w:val="0"/>
              <w:numPr>
                <w:ilvl w:val="0"/>
                <w:numId w:val="0"/>
              </w:numPr>
              <w:kinsoku/>
              <w:wordWrap/>
              <w:overflowPunct/>
              <w:topLinePunct w:val="0"/>
              <w:bidi w:val="0"/>
              <w:adjustRightInd/>
              <w:snapToGrid/>
              <w:spacing w:line="288" w:lineRule="auto"/>
              <w:ind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pStyle w:val="34"/>
              <w:keepNext w:val="0"/>
              <w:keepLines w:val="0"/>
              <w:pageBreakBefore w:val="0"/>
              <w:numPr>
                <w:ilvl w:val="0"/>
                <w:numId w:val="0"/>
              </w:numPr>
              <w:kinsoku/>
              <w:wordWrap/>
              <w:overflowPunct/>
              <w:topLinePunct w:val="0"/>
              <w:bidi w:val="0"/>
              <w:adjustRightInd/>
              <w:snapToGrid/>
              <w:spacing w:line="288" w:lineRule="auto"/>
              <w:ind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（1）与加密标书同时生成的备份标书，在出现异常情况进行异常处理时使用。比如当加密标书无法正常解密时，可以在开启标书信息前，通过异常处理上传备份标书。</w:t>
            </w:r>
          </w:p>
          <w:p>
            <w:pPr>
              <w:pStyle w:val="34"/>
              <w:keepNext w:val="0"/>
              <w:keepLines w:val="0"/>
              <w:pageBreakBefore w:val="0"/>
              <w:numPr>
                <w:ilvl w:val="0"/>
                <w:numId w:val="0"/>
              </w:numPr>
              <w:kinsoku/>
              <w:wordWrap/>
              <w:overflowPunct/>
              <w:topLinePunct w:val="0"/>
              <w:bidi w:val="0"/>
              <w:adjustRightInd/>
              <w:snapToGrid/>
              <w:spacing w:line="288" w:lineRule="auto"/>
              <w:ind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（2）平台会校验标书一致性及标书身份识别，切勿手动修改标书。</w:t>
            </w:r>
          </w:p>
          <w:p>
            <w:pPr>
              <w:pStyle w:val="34"/>
              <w:keepNext w:val="0"/>
              <w:keepLines w:val="0"/>
              <w:pageBreakBefore w:val="0"/>
              <w:numPr>
                <w:ilvl w:val="0"/>
                <w:numId w:val="0"/>
              </w:numPr>
              <w:kinsoku/>
              <w:wordWrap/>
              <w:overflowPunct/>
              <w:topLinePunct w:val="0"/>
              <w:bidi w:val="0"/>
              <w:adjustRightInd/>
              <w:snapToGrid/>
              <w:spacing w:line="288" w:lineRule="auto"/>
              <w:ind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（3）供应商生成的后缀格式为.bfbs的备份标书是无法查看的，主要是为了在开标解密时异常处理使用。</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（4）关联点链接。</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（5）凡因个人原因无法正常解密投标文件（且没提供备份文件至采购代理机构），致使供应商无法参与评标，供应商自行承担后果。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磋商时间、地点等要求</w:t>
            </w:r>
          </w:p>
        </w:tc>
        <w:tc>
          <w:tcPr>
            <w:tcW w:w="6484"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磋商时间：</w:t>
            </w:r>
            <w:r>
              <w:rPr>
                <w:rFonts w:hint="eastAsia" w:ascii="宋体" w:hAnsi="宋体" w:eastAsia="宋体" w:cs="宋体"/>
                <w:color w:val="auto"/>
                <w:sz w:val="21"/>
                <w:szCs w:val="21"/>
                <w:highlight w:val="none"/>
                <w:lang w:eastAsia="zh-CN"/>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日1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0分</w:t>
            </w:r>
            <w:r>
              <w:rPr>
                <w:rFonts w:hint="eastAsia" w:ascii="宋体" w:hAnsi="宋体" w:eastAsia="宋体" w:cs="宋体"/>
                <w:color w:val="auto"/>
                <w:sz w:val="21"/>
                <w:szCs w:val="21"/>
                <w:highlight w:val="none"/>
              </w:rPr>
              <w:t>（北京时间）</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磋商地点：</w:t>
            </w:r>
            <w:r>
              <w:rPr>
                <w:rFonts w:hint="eastAsia" w:ascii="宋体" w:hAnsi="宋体" w:eastAsia="宋体" w:cs="宋体"/>
                <w:color w:val="auto"/>
                <w:sz w:val="21"/>
                <w:szCs w:val="21"/>
                <w:highlight w:val="none"/>
                <w:lang w:val="en-US" w:eastAsia="zh-CN"/>
              </w:rPr>
              <w:t>政采云平台</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18.1</w:t>
            </w:r>
          </w:p>
        </w:tc>
        <w:tc>
          <w:tcPr>
            <w:tcW w:w="1911" w:type="dxa"/>
            <w:noWrap w:val="0"/>
            <w:vAlign w:val="center"/>
          </w:tcPr>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2"/>
                <w:sz w:val="21"/>
                <w:szCs w:val="21"/>
                <w:highlight w:val="none"/>
                <w:lang w:val="en-US" w:eastAsia="zh-CN" w:bidi="ar-SA"/>
              </w:rPr>
              <w:t>付款方式</w:t>
            </w:r>
          </w:p>
        </w:tc>
        <w:tc>
          <w:tcPr>
            <w:tcW w:w="6484" w:type="dxa"/>
            <w:noWrap w:val="0"/>
            <w:vAlign w:val="center"/>
          </w:tcPr>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(最终执行甲乙双方合同约定）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19</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磋商小组的组成</w:t>
            </w:r>
          </w:p>
        </w:tc>
        <w:tc>
          <w:tcPr>
            <w:tcW w:w="6484"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评审专家人数：</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人，其中采购人代表</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人，专家</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rPr>
              <w:t>人。</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评审专家确定方式：相关专业的专家库中随机抽取。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20</w:t>
            </w:r>
          </w:p>
        </w:tc>
        <w:tc>
          <w:tcPr>
            <w:tcW w:w="1911" w:type="dxa"/>
            <w:noWrap w:val="0"/>
            <w:vAlign w:val="center"/>
          </w:tcPr>
          <w:p>
            <w:pPr>
              <w:keepNext w:val="0"/>
              <w:keepLines w:val="0"/>
              <w:pageBreakBefore w:val="0"/>
              <w:kinsoku/>
              <w:wordWrap/>
              <w:overflowPunct/>
              <w:topLinePunct w:val="0"/>
              <w:bidi w:val="0"/>
              <w:adjustRightInd/>
              <w:snapToGrid/>
              <w:spacing w:line="288" w:lineRule="auto"/>
              <w:ind w:left="-199" w:leftChars="-95" w:firstLine="211" w:firstLineChars="10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中小微型企业</w:t>
            </w:r>
          </w:p>
          <w:p>
            <w:pPr>
              <w:keepNext w:val="0"/>
              <w:keepLines w:val="0"/>
              <w:pageBreakBefore w:val="0"/>
              <w:kinsoku/>
              <w:wordWrap/>
              <w:overflowPunct/>
              <w:topLinePunct w:val="0"/>
              <w:bidi w:val="0"/>
              <w:adjustRightInd/>
              <w:snapToGrid/>
              <w:spacing w:line="288" w:lineRule="auto"/>
              <w:ind w:left="-199" w:leftChars="-95" w:firstLine="211" w:firstLineChars="1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2"/>
                <w:sz w:val="21"/>
                <w:szCs w:val="21"/>
                <w:highlight w:val="none"/>
                <w:lang w:val="en-US" w:eastAsia="zh-CN" w:bidi="ar-SA"/>
              </w:rPr>
              <w:t>有关政策</w:t>
            </w:r>
          </w:p>
        </w:tc>
        <w:tc>
          <w:tcPr>
            <w:tcW w:w="6484" w:type="dxa"/>
            <w:noWrap w:val="0"/>
            <w:vAlign w:val="center"/>
          </w:tcPr>
          <w:p>
            <w:pPr>
              <w:keepNext w:val="0"/>
              <w:keepLines w:val="0"/>
              <w:pageBreakBefore w:val="0"/>
              <w:numPr>
                <w:ilvl w:val="0"/>
                <w:numId w:val="0"/>
              </w:numPr>
              <w:kinsoku/>
              <w:wordWrap/>
              <w:overflowPunct/>
              <w:topLinePunct w:val="0"/>
              <w:bidi w:val="0"/>
              <w:adjustRightInd/>
              <w:snapToGrid/>
              <w:spacing w:line="288" w:lineRule="auto"/>
              <w:ind w:leftChars="5"/>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（1）根据工信部等部委发布的《关于印发中小企业划型标准规定的通知》（工信部联企业[2011]300号）规定执行；</w:t>
            </w:r>
          </w:p>
          <w:p>
            <w:pPr>
              <w:keepNext w:val="0"/>
              <w:keepLines w:val="0"/>
              <w:pageBreakBefore w:val="0"/>
              <w:numPr>
                <w:ilvl w:val="0"/>
                <w:numId w:val="0"/>
              </w:numPr>
              <w:kinsoku/>
              <w:wordWrap/>
              <w:overflowPunct/>
              <w:topLinePunct w:val="0"/>
              <w:bidi w:val="0"/>
              <w:adjustRightInd/>
              <w:snapToGrid/>
              <w:spacing w:line="288" w:lineRule="auto"/>
              <w:ind w:leftChars="5"/>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（2）价格扣除幅度：对小型和微型企业产品的价格给予3%～5%的扣除，用扣除后的价格参与评审。</w:t>
            </w:r>
          </w:p>
          <w:p>
            <w:pPr>
              <w:keepNext w:val="0"/>
              <w:keepLines w:val="0"/>
              <w:pageBreakBefore w:val="0"/>
              <w:numPr>
                <w:ilvl w:val="0"/>
                <w:numId w:val="0"/>
              </w:numPr>
              <w:kinsoku/>
              <w:wordWrap/>
              <w:overflowPunct/>
              <w:topLinePunct w:val="0"/>
              <w:bidi w:val="0"/>
              <w:adjustRightInd/>
              <w:snapToGrid/>
              <w:spacing w:line="288" w:lineRule="auto"/>
              <w:ind w:leftChars="5"/>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本项目的扣除比例为：小型企业扣除5%，微型企业扣除5%。</w:t>
            </w:r>
          </w:p>
          <w:p>
            <w:pPr>
              <w:keepNext w:val="0"/>
              <w:keepLines w:val="0"/>
              <w:pageBreakBefore w:val="0"/>
              <w:numPr>
                <w:ilvl w:val="0"/>
                <w:numId w:val="0"/>
              </w:numPr>
              <w:kinsoku/>
              <w:wordWrap/>
              <w:overflowPunct/>
              <w:topLinePunct w:val="0"/>
              <w:bidi w:val="0"/>
              <w:adjustRightInd/>
              <w:snapToGrid/>
              <w:spacing w:line="288" w:lineRule="auto"/>
              <w:ind w:leftChars="5"/>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□非专门面向中小企业采购项目(其他优惠)：</w:t>
            </w:r>
          </w:p>
          <w:p>
            <w:pPr>
              <w:pStyle w:val="30"/>
              <w:keepNext w:val="0"/>
              <w:keepLines w:val="0"/>
              <w:pageBreakBefore w:val="0"/>
              <w:widowControl w:val="0"/>
              <w:kinsoku/>
              <w:wordWrap/>
              <w:overflowPunct/>
              <w:topLinePunct w:val="0"/>
              <w:autoSpaceDE w:val="0"/>
              <w:autoSpaceDN w:val="0"/>
              <w:bidi w:val="0"/>
              <w:adjustRightInd/>
              <w:snapToGrid/>
              <w:spacing w:line="288" w:lineRule="auto"/>
              <w:jc w:val="left"/>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落实政府采购政策需满足的要求：</w:t>
            </w:r>
          </w:p>
          <w:p>
            <w:pPr>
              <w:pStyle w:val="30"/>
              <w:keepNext w:val="0"/>
              <w:keepLines w:val="0"/>
              <w:pageBreakBefore w:val="0"/>
              <w:widowControl w:val="0"/>
              <w:kinsoku/>
              <w:wordWrap/>
              <w:overflowPunct/>
              <w:topLinePunct w:val="0"/>
              <w:autoSpaceDE w:val="0"/>
              <w:autoSpaceDN w:val="0"/>
              <w:bidi w:val="0"/>
              <w:adjustRightInd/>
              <w:snapToGrid/>
              <w:spacing w:line="288" w:lineRule="auto"/>
              <w:ind w:left="0" w:leftChars="0" w:firstLine="210" w:firstLineChars="100"/>
              <w:jc w:val="left"/>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1、中小企业（含中型、小型、微型企业）根据《政府采购促进中小企业发展暂行办法》（财库[2011]181号）的规定，评标时将给予此类企业进行价格3%的优惠，监狱企业、残疾人福利性单位视同为小微企业。</w:t>
            </w:r>
          </w:p>
          <w:p>
            <w:pPr>
              <w:pStyle w:val="30"/>
              <w:keepNext w:val="0"/>
              <w:keepLines w:val="0"/>
              <w:pageBreakBefore w:val="0"/>
              <w:widowControl w:val="0"/>
              <w:kinsoku/>
              <w:wordWrap/>
              <w:overflowPunct/>
              <w:topLinePunct w:val="0"/>
              <w:autoSpaceDE w:val="0"/>
              <w:autoSpaceDN w:val="0"/>
              <w:bidi w:val="0"/>
              <w:adjustRightInd/>
              <w:snapToGrid/>
              <w:spacing w:line="288" w:lineRule="auto"/>
              <w:ind w:left="0" w:leftChars="0" w:firstLine="210" w:firstLineChars="100"/>
              <w:jc w:val="left"/>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2、财政部、国家发展改革委、生态环境部、市场监管总局《关于调整优化节能产品、环境标志产品政府采购执行机制的通知》（财库[2019]9号文）；</w:t>
            </w:r>
          </w:p>
          <w:p>
            <w:pPr>
              <w:pStyle w:val="30"/>
              <w:keepNext w:val="0"/>
              <w:keepLines w:val="0"/>
              <w:pageBreakBefore w:val="0"/>
              <w:widowControl w:val="0"/>
              <w:kinsoku/>
              <w:wordWrap/>
              <w:overflowPunct/>
              <w:topLinePunct w:val="0"/>
              <w:autoSpaceDE w:val="0"/>
              <w:autoSpaceDN w:val="0"/>
              <w:bidi w:val="0"/>
              <w:adjustRightInd/>
              <w:snapToGrid/>
              <w:spacing w:line="288" w:lineRule="auto"/>
              <w:ind w:left="0" w:leftChars="0" w:firstLine="210" w:firstLineChars="100"/>
              <w:jc w:val="left"/>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财政部、生态环境部《关于印发环境标志产品政府采购品目清单的通知》（财库[2019]18号文）、财政部、发展改革委《关于印发节能产品政府采购品目清单的通知》（财库[2019]19号文）、市场监管总局《市场监管总局关于发布参与实施政府采购节能产品、环境标志产品认证机构名录的公告》（2019年第16号）；</w:t>
            </w:r>
          </w:p>
          <w:p>
            <w:pPr>
              <w:pStyle w:val="30"/>
              <w:keepNext w:val="0"/>
              <w:keepLines w:val="0"/>
              <w:pageBreakBefore w:val="0"/>
              <w:widowControl w:val="0"/>
              <w:kinsoku/>
              <w:wordWrap/>
              <w:overflowPunct/>
              <w:topLinePunct w:val="0"/>
              <w:autoSpaceDE w:val="0"/>
              <w:autoSpaceDN w:val="0"/>
              <w:bidi w:val="0"/>
              <w:adjustRightInd/>
              <w:snapToGrid/>
              <w:spacing w:line="288" w:lineRule="auto"/>
              <w:ind w:left="0" w:leftChars="0" w:firstLine="210" w:firstLineChars="100"/>
              <w:jc w:val="left"/>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4、按照《财政部、司法部关于政府采购支持监狱企业发展有关问题的通知》（财库〔2014〕68号）的规定，落实支持监狱企业发展政策；</w:t>
            </w:r>
          </w:p>
          <w:p>
            <w:pPr>
              <w:pStyle w:val="30"/>
              <w:keepNext w:val="0"/>
              <w:keepLines w:val="0"/>
              <w:pageBreakBefore w:val="0"/>
              <w:widowControl w:val="0"/>
              <w:kinsoku/>
              <w:wordWrap/>
              <w:overflowPunct/>
              <w:topLinePunct w:val="0"/>
              <w:autoSpaceDE w:val="0"/>
              <w:autoSpaceDN w:val="0"/>
              <w:bidi w:val="0"/>
              <w:adjustRightInd/>
              <w:snapToGrid/>
              <w:spacing w:line="288" w:lineRule="auto"/>
              <w:ind w:left="0" w:leftChars="0" w:firstLine="210" w:firstLineChars="100"/>
              <w:jc w:val="left"/>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5、按照《三部门联合发布关于促进残疾人就业政府采购政策的通知》（财库〔2017〕141号）的规定，落实支持残疾人福利性单位发展政策。</w:t>
            </w:r>
          </w:p>
          <w:p>
            <w:pPr>
              <w:pStyle w:val="6"/>
              <w:keepNext w:val="0"/>
              <w:keepLines w:val="0"/>
              <w:pageBreakBefore w:val="0"/>
              <w:kinsoku/>
              <w:wordWrap/>
              <w:overflowPunct/>
              <w:topLinePunct w:val="0"/>
              <w:bidi w:val="0"/>
              <w:adjustRightInd/>
              <w:snapToGrid/>
              <w:spacing w:line="288" w:lineRule="auto"/>
              <w:ind w:left="0" w:leftChars="0" w:firstLine="210" w:firstLineChars="100"/>
              <w:jc w:val="left"/>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6、《关于运用政府采购政策支持脱贫攻坚的通知》（财库【2019】27号文）。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21</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推荐成交候选供应商的数量</w:t>
            </w:r>
          </w:p>
        </w:tc>
        <w:tc>
          <w:tcPr>
            <w:tcW w:w="6484"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3</w:t>
            </w:r>
            <w:r>
              <w:rPr>
                <w:rFonts w:hint="eastAsia" w:ascii="宋体" w:hAnsi="宋体" w:eastAsia="宋体" w:cs="宋体"/>
                <w:color w:val="auto"/>
                <w:sz w:val="21"/>
                <w:szCs w:val="21"/>
                <w:highlight w:val="non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6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22</w:t>
            </w:r>
          </w:p>
        </w:tc>
        <w:tc>
          <w:tcPr>
            <w:tcW w:w="1911"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成交结果公示媒体</w:t>
            </w:r>
          </w:p>
        </w:tc>
        <w:tc>
          <w:tcPr>
            <w:tcW w:w="6484" w:type="dxa"/>
            <w:noWrap w:val="0"/>
            <w:vAlign w:val="center"/>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61" w:type="dxa"/>
            <w:noWrap w:val="0"/>
            <w:vAlign w:val="top"/>
          </w:tcPr>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kern w:val="2"/>
                <w:sz w:val="21"/>
                <w:szCs w:val="21"/>
                <w:highlight w:val="none"/>
                <w:lang w:val="en-US" w:eastAsia="zh-CN" w:bidi="ar-SA"/>
              </w:rPr>
            </w:pPr>
          </w:p>
        </w:tc>
        <w:tc>
          <w:tcPr>
            <w:tcW w:w="1911" w:type="dxa"/>
            <w:noWrap w:val="0"/>
            <w:vAlign w:val="top"/>
          </w:tcPr>
          <w:p>
            <w:pPr>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kern w:val="2"/>
                <w:sz w:val="21"/>
                <w:szCs w:val="21"/>
                <w:highlight w:val="none"/>
                <w:lang w:val="en-US" w:eastAsia="zh-CN" w:bidi="ar-SA"/>
              </w:rPr>
            </w:pPr>
          </w:p>
        </w:tc>
        <w:tc>
          <w:tcPr>
            <w:tcW w:w="6484" w:type="dxa"/>
            <w:noWrap w:val="0"/>
            <w:vAlign w:val="top"/>
          </w:tcPr>
          <w:p>
            <w:pPr>
              <w:keepNext w:val="0"/>
              <w:keepLines w:val="0"/>
              <w:pageBreakBefore w:val="0"/>
              <w:kinsoku/>
              <w:wordWrap/>
              <w:overflowPunct/>
              <w:topLinePunct w:val="0"/>
              <w:bidi w:val="0"/>
              <w:adjustRightInd/>
              <w:snapToGrid/>
              <w:spacing w:before="267" w:line="288"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关于政采云平台线上电子招投标的注意事项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61" w:type="dxa"/>
            <w:noWrap w:val="0"/>
            <w:vAlign w:val="center"/>
          </w:tcPr>
          <w:p>
            <w:pPr>
              <w:keepNext w:val="0"/>
              <w:keepLines w:val="0"/>
              <w:pageBreakBefore w:val="0"/>
              <w:kinsoku/>
              <w:wordWrap/>
              <w:overflowPunct/>
              <w:topLinePunct w:val="0"/>
              <w:bidi w:val="0"/>
              <w:adjustRightInd/>
              <w:snapToGrid/>
              <w:spacing w:before="75" w:line="288" w:lineRule="auto"/>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32</w:t>
            </w:r>
          </w:p>
        </w:tc>
        <w:tc>
          <w:tcPr>
            <w:tcW w:w="1911" w:type="dxa"/>
            <w:noWrap w:val="0"/>
            <w:vAlign w:val="center"/>
          </w:tcPr>
          <w:p>
            <w:pPr>
              <w:keepNext w:val="0"/>
              <w:keepLines w:val="0"/>
              <w:pageBreakBefore w:val="0"/>
              <w:kinsoku/>
              <w:wordWrap/>
              <w:overflowPunct/>
              <w:topLinePunct w:val="0"/>
              <w:bidi w:val="0"/>
              <w:adjustRightInd/>
              <w:snapToGrid/>
              <w:spacing w:before="75" w:line="288" w:lineRule="auto"/>
              <w:ind w:right="113"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响应文件解密时间</w:t>
            </w:r>
          </w:p>
        </w:tc>
        <w:tc>
          <w:tcPr>
            <w:tcW w:w="6484" w:type="dxa"/>
            <w:noWrap w:val="0"/>
            <w:vAlign w:val="center"/>
          </w:tcPr>
          <w:p>
            <w:pPr>
              <w:keepNext w:val="0"/>
              <w:keepLines w:val="0"/>
              <w:pageBreakBefore w:val="0"/>
              <w:kinsoku/>
              <w:wordWrap/>
              <w:overflowPunct/>
              <w:topLinePunct w:val="0"/>
              <w:bidi w:val="0"/>
              <w:adjustRightInd/>
              <w:snapToGrid/>
              <w:spacing w:before="75" w:line="288" w:lineRule="auto"/>
              <w:ind w:right="22"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响应文件解密时间 30 分钟；开标前需投标单位用CA 证书登录政采云平台开 标大厅签到，在 30 分钟解密时间内输入 CA 证书PIN 码解密响应文件。在 30 分钟解密时间内未进行解密的投标单位可能导致废标。  (解密时间开始时政 采云平台将以短信形式向供应商在政采云平台预留的手机号发送短信通知， 请供应商及时关注。)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61" w:type="dxa"/>
            <w:noWrap w:val="0"/>
            <w:vAlign w:val="top"/>
          </w:tcPr>
          <w:p>
            <w:pPr>
              <w:keepNext w:val="0"/>
              <w:keepLines w:val="0"/>
              <w:pageBreakBefore w:val="0"/>
              <w:kinsoku/>
              <w:wordWrap/>
              <w:overflowPunct/>
              <w:topLinePunct w:val="0"/>
              <w:bidi w:val="0"/>
              <w:adjustRightInd/>
              <w:snapToGrid/>
              <w:spacing w:before="75" w:line="288" w:lineRule="auto"/>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33</w:t>
            </w:r>
          </w:p>
        </w:tc>
        <w:tc>
          <w:tcPr>
            <w:tcW w:w="1911" w:type="dxa"/>
            <w:noWrap w:val="0"/>
            <w:vAlign w:val="top"/>
          </w:tcPr>
          <w:p>
            <w:pPr>
              <w:keepNext w:val="0"/>
              <w:keepLines w:val="0"/>
              <w:pageBreakBefore w:val="0"/>
              <w:kinsoku/>
              <w:wordWrap/>
              <w:overflowPunct/>
              <w:topLinePunct w:val="0"/>
              <w:bidi w:val="0"/>
              <w:adjustRightInd/>
              <w:snapToGrid/>
              <w:spacing w:before="75" w:line="288" w:lineRule="auto"/>
              <w:ind w:right="161"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供应商报价CA 签字确认</w:t>
            </w:r>
          </w:p>
        </w:tc>
        <w:tc>
          <w:tcPr>
            <w:tcW w:w="6484" w:type="dxa"/>
            <w:noWrap w:val="0"/>
            <w:vAlign w:val="center"/>
          </w:tcPr>
          <w:p>
            <w:pPr>
              <w:keepNext w:val="0"/>
              <w:keepLines w:val="0"/>
              <w:pageBreakBefore w:val="0"/>
              <w:kinsoku/>
              <w:wordWrap/>
              <w:overflowPunct/>
              <w:topLinePunct w:val="0"/>
              <w:bidi w:val="0"/>
              <w:adjustRightInd/>
              <w:snapToGrid/>
              <w:spacing w:before="75" w:line="288" w:lineRule="auto"/>
              <w:ind w:right="22"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报价文件开启后将开启签字时段，供应商须在 30 分钟内用CA 证书对报价进 行签字确认；确认完成后不得离开，需等待最终报价。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61" w:type="dxa"/>
            <w:noWrap w:val="0"/>
            <w:vAlign w:val="center"/>
          </w:tcPr>
          <w:p>
            <w:pPr>
              <w:keepNext w:val="0"/>
              <w:keepLines w:val="0"/>
              <w:pageBreakBefore w:val="0"/>
              <w:kinsoku/>
              <w:wordWrap/>
              <w:overflowPunct/>
              <w:topLinePunct w:val="0"/>
              <w:bidi w:val="0"/>
              <w:adjustRightInd/>
              <w:snapToGrid/>
              <w:spacing w:before="75" w:line="288" w:lineRule="auto"/>
              <w:jc w:val="left"/>
              <w:textAlignment w:val="auto"/>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34</w:t>
            </w:r>
          </w:p>
        </w:tc>
        <w:tc>
          <w:tcPr>
            <w:tcW w:w="1911" w:type="dxa"/>
            <w:noWrap w:val="0"/>
            <w:vAlign w:val="top"/>
          </w:tcPr>
          <w:p>
            <w:pPr>
              <w:keepNext w:val="0"/>
              <w:keepLines w:val="0"/>
              <w:pageBreakBefore w:val="0"/>
              <w:kinsoku/>
              <w:wordWrap/>
              <w:overflowPunct/>
              <w:topLinePunct w:val="0"/>
              <w:bidi w:val="0"/>
              <w:adjustRightInd/>
              <w:snapToGrid/>
              <w:spacing w:line="288" w:lineRule="auto"/>
              <w:jc w:val="left"/>
              <w:textAlignment w:val="auto"/>
              <w:rPr>
                <w:rFonts w:ascii="Arial"/>
                <w:sz w:val="21"/>
                <w:highlight w:val="none"/>
              </w:rPr>
            </w:pPr>
          </w:p>
          <w:p>
            <w:pPr>
              <w:keepNext w:val="0"/>
              <w:keepLines w:val="0"/>
              <w:pageBreakBefore w:val="0"/>
              <w:kinsoku/>
              <w:wordWrap/>
              <w:overflowPunct/>
              <w:topLinePunct w:val="0"/>
              <w:bidi w:val="0"/>
              <w:adjustRightInd/>
              <w:snapToGrid/>
              <w:spacing w:line="288" w:lineRule="auto"/>
              <w:jc w:val="left"/>
              <w:textAlignment w:val="auto"/>
              <w:rPr>
                <w:rFonts w:ascii="Arial"/>
                <w:sz w:val="21"/>
                <w:highlight w:val="none"/>
              </w:rPr>
            </w:pPr>
          </w:p>
          <w:p>
            <w:pPr>
              <w:keepNext w:val="0"/>
              <w:keepLines w:val="0"/>
              <w:pageBreakBefore w:val="0"/>
              <w:kinsoku/>
              <w:wordWrap/>
              <w:overflowPunct/>
              <w:topLinePunct w:val="0"/>
              <w:bidi w:val="0"/>
              <w:adjustRightInd/>
              <w:snapToGrid/>
              <w:spacing w:line="288" w:lineRule="auto"/>
              <w:jc w:val="left"/>
              <w:textAlignment w:val="auto"/>
              <w:rPr>
                <w:rFonts w:ascii="Arial"/>
                <w:sz w:val="21"/>
                <w:highlight w:val="none"/>
              </w:rPr>
            </w:pPr>
          </w:p>
          <w:p>
            <w:pPr>
              <w:pStyle w:val="85"/>
              <w:keepNext w:val="0"/>
              <w:keepLines w:val="0"/>
              <w:pageBreakBefore w:val="0"/>
              <w:kinsoku/>
              <w:wordWrap/>
              <w:overflowPunct/>
              <w:topLinePunct w:val="0"/>
              <w:bidi w:val="0"/>
              <w:adjustRightInd/>
              <w:snapToGrid/>
              <w:spacing w:before="75" w:line="288" w:lineRule="auto"/>
              <w:ind w:left="609" w:leftChars="0"/>
              <w:jc w:val="left"/>
              <w:textAlignment w:val="auto"/>
              <w:rPr>
                <w:rFonts w:hint="eastAsia" w:ascii="宋体" w:hAnsi="宋体" w:eastAsia="宋体" w:cs="宋体"/>
                <w:b/>
                <w:bCs/>
                <w:color w:val="auto"/>
                <w:kern w:val="2"/>
                <w:sz w:val="21"/>
                <w:szCs w:val="21"/>
                <w:highlight w:val="none"/>
                <w:lang w:val="en-US" w:eastAsia="zh-CN" w:bidi="ar-SA"/>
              </w:rPr>
            </w:pPr>
            <w:r>
              <w:rPr>
                <w:b/>
                <w:bCs/>
                <w:spacing w:val="-4"/>
                <w:highlight w:val="none"/>
              </w:rPr>
              <w:t>质疑须知：</w:t>
            </w:r>
          </w:p>
        </w:tc>
        <w:tc>
          <w:tcPr>
            <w:tcW w:w="6484" w:type="dxa"/>
            <w:noWrap w:val="0"/>
            <w:vAlign w:val="top"/>
          </w:tcPr>
          <w:p>
            <w:pPr>
              <w:keepNext w:val="0"/>
              <w:keepLines w:val="0"/>
              <w:pageBreakBefore w:val="0"/>
              <w:kinsoku/>
              <w:wordWrap/>
              <w:overflowPunct/>
              <w:topLinePunct w:val="0"/>
              <w:bidi w:val="0"/>
              <w:adjustRightInd/>
              <w:snapToGrid/>
              <w:spacing w:before="75" w:line="288" w:lineRule="auto"/>
              <w:ind w:right="22"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接收质疑函的方式：现场递交纸质版或邮件、信件、Word 格式电子版质疑文件至接受单位</w:t>
            </w:r>
          </w:p>
          <w:p>
            <w:pPr>
              <w:keepNext w:val="0"/>
              <w:keepLines w:val="0"/>
              <w:pageBreakBefore w:val="0"/>
              <w:kinsoku/>
              <w:wordWrap/>
              <w:overflowPunct/>
              <w:topLinePunct w:val="0"/>
              <w:bidi w:val="0"/>
              <w:adjustRightInd/>
              <w:snapToGrid/>
              <w:spacing w:before="75" w:line="288" w:lineRule="auto"/>
              <w:ind w:right="22"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接受质疑的单位：新疆智投工程项目管理有限公司</w:t>
            </w:r>
          </w:p>
          <w:p>
            <w:pPr>
              <w:keepNext w:val="0"/>
              <w:keepLines w:val="0"/>
              <w:pageBreakBefore w:val="0"/>
              <w:kinsoku/>
              <w:wordWrap/>
              <w:overflowPunct/>
              <w:topLinePunct w:val="0"/>
              <w:bidi w:val="0"/>
              <w:adjustRightInd/>
              <w:snapToGrid/>
              <w:spacing w:before="75" w:line="288" w:lineRule="auto"/>
              <w:ind w:right="22" w:righ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联系电话：13565026200</w:t>
            </w:r>
          </w:p>
          <w:p>
            <w:pPr>
              <w:keepNext w:val="0"/>
              <w:keepLines w:val="0"/>
              <w:pageBreakBefore w:val="0"/>
              <w:kinsoku/>
              <w:wordWrap/>
              <w:overflowPunct/>
              <w:topLinePunct w:val="0"/>
              <w:bidi w:val="0"/>
              <w:adjustRightInd/>
              <w:snapToGrid/>
              <w:spacing w:before="75" w:line="288" w:lineRule="auto"/>
              <w:ind w:right="22"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地址：新疆巴州库尔勒索克巴格路27号康都时代花园35栋3层01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23</w:t>
            </w:r>
          </w:p>
        </w:tc>
        <w:tc>
          <w:tcPr>
            <w:tcW w:w="8395" w:type="dxa"/>
            <w:gridSpan w:val="2"/>
            <w:noWrap w:val="0"/>
            <w:vAlign w:val="center"/>
          </w:tcPr>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支付费用：</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宋体" w:hAnsi="宋体" w:eastAsia="宋体" w:cs="宋体"/>
                <w:highlight w:val="none"/>
                <w:lang w:val="zh-CN"/>
              </w:rPr>
            </w:pPr>
            <w:r>
              <w:rPr>
                <w:rFonts w:hint="eastAsia" w:ascii="宋体" w:hAnsi="宋体" w:cs="宋体"/>
                <w:b/>
                <w:color w:val="auto"/>
                <w:sz w:val="21"/>
                <w:szCs w:val="21"/>
                <w:highlight w:val="none"/>
                <w:lang w:val="en-US" w:eastAsia="zh-CN"/>
              </w:rPr>
              <w:t>1.</w:t>
            </w:r>
            <w:r>
              <w:rPr>
                <w:spacing w:val="26"/>
                <w:highlight w:val="none"/>
              </w:rPr>
              <w:t>本项目的采购代理服务费由成交供应商承担。按计价格</w:t>
            </w:r>
            <w:r>
              <w:rPr>
                <w:spacing w:val="7"/>
                <w:highlight w:val="none"/>
              </w:rPr>
              <w:t xml:space="preserve"> </w:t>
            </w:r>
            <w:r>
              <w:rPr>
                <w:spacing w:val="4"/>
                <w:highlight w:val="none"/>
              </w:rPr>
              <w:t>【2002】1980</w:t>
            </w:r>
            <w:r>
              <w:rPr>
                <w:spacing w:val="-26"/>
                <w:highlight w:val="none"/>
              </w:rPr>
              <w:t xml:space="preserve"> </w:t>
            </w:r>
            <w:r>
              <w:rPr>
                <w:spacing w:val="4"/>
                <w:highlight w:val="none"/>
              </w:rPr>
              <w:t>号规定标准下浮</w:t>
            </w:r>
            <w:r>
              <w:rPr>
                <w:spacing w:val="-43"/>
                <w:highlight w:val="none"/>
              </w:rPr>
              <w:t xml:space="preserve"> </w:t>
            </w:r>
            <w:r>
              <w:rPr>
                <w:spacing w:val="4"/>
                <w:highlight w:val="none"/>
              </w:rPr>
              <w:t>20%计取。</w:t>
            </w:r>
            <w:r>
              <w:rPr>
                <w:rFonts w:hint="eastAsia" w:ascii="宋体" w:hAnsi="宋体" w:eastAsia="宋体" w:cs="宋体"/>
                <w:bCs/>
                <w:highlight w:val="none"/>
                <w:lang w:eastAsia="zh-CN"/>
              </w:rPr>
              <w:t>代理服务费支付时间：由中标人领取中标通知书前支付。</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2.场地服务费：无。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61" w:type="dxa"/>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rPr>
            </w:pP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24</w:t>
            </w:r>
          </w:p>
        </w:tc>
        <w:tc>
          <w:tcPr>
            <w:tcW w:w="8395" w:type="dxa"/>
            <w:gridSpan w:val="2"/>
            <w:noWrap w:val="0"/>
            <w:vAlign w:val="top"/>
          </w:tcPr>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解释权:</w:t>
            </w:r>
          </w:p>
          <w:p>
            <w:pPr>
              <w:pStyle w:val="34"/>
              <w:keepNext w:val="0"/>
              <w:keepLines w:val="0"/>
              <w:pageBreakBefore w:val="0"/>
              <w:kinsoku/>
              <w:wordWrap/>
              <w:overflowPunct/>
              <w:topLinePunct w:val="0"/>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磋商文件的各个组成文件应互为解释，互为说明；除磋商文件中有特别规定外，按磋商邀请、磋商须知、响应文件格式的先后顺序解释；同一组成文件中就同一事项的规定或约定不一致的，以编排顺序在后者为准；按本款前述规定仍不能形成结论的，由采购代理机构和采购人负责解释。</w:t>
            </w:r>
          </w:p>
        </w:tc>
      </w:tr>
    </w:tbl>
    <w:p>
      <w:pPr>
        <w:pStyle w:val="34"/>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注：1.本表内容与磋商文件其它内容不一致的，应当以本表内容为准。</w:t>
      </w:r>
    </w:p>
    <w:p>
      <w:pPr>
        <w:pStyle w:val="34"/>
        <w:spacing w:line="360" w:lineRule="auto"/>
        <w:ind w:firstLine="42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1"/>
          <w:szCs w:val="21"/>
          <w:highlight w:val="none"/>
        </w:rPr>
        <w:t>2.本表中“</w:t>
      </w: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eq \o\ac(</w:instrText>
      </w:r>
      <w:r>
        <w:rPr>
          <w:rFonts w:hint="eastAsia" w:ascii="宋体" w:hAnsi="宋体" w:eastAsia="宋体" w:cs="宋体"/>
          <w:color w:val="auto"/>
          <w:kern w:val="0"/>
          <w:position w:val="-4"/>
          <w:sz w:val="31"/>
          <w:szCs w:val="21"/>
          <w:highlight w:val="none"/>
        </w:rPr>
        <w:instrText xml:space="preserve">□</w:instrText>
      </w:r>
      <w:r>
        <w:rPr>
          <w:rFonts w:hint="eastAsia" w:ascii="宋体" w:hAnsi="宋体" w:eastAsia="宋体" w:cs="宋体"/>
          <w:color w:val="auto"/>
          <w:kern w:val="0"/>
          <w:position w:val="0"/>
          <w:sz w:val="21"/>
          <w:szCs w:val="21"/>
          <w:highlight w:val="none"/>
        </w:rPr>
        <w:instrText xml:space="preserve">,√)</w:instrText>
      </w:r>
      <w:r>
        <w:rPr>
          <w:rFonts w:hint="eastAsia" w:ascii="宋体" w:hAnsi="宋体" w:eastAsia="宋体" w:cs="宋体"/>
          <w:color w:val="auto"/>
          <w:kern w:val="0"/>
          <w:sz w:val="21"/>
          <w:szCs w:val="21"/>
          <w:highlight w:val="none"/>
        </w:rPr>
        <w:fldChar w:fldCharType="end"/>
      </w:r>
      <w:r>
        <w:rPr>
          <w:rFonts w:hint="eastAsia" w:ascii="宋体" w:hAnsi="宋体" w:eastAsia="宋体" w:cs="宋体"/>
          <w:color w:val="auto"/>
          <w:kern w:val="0"/>
          <w:sz w:val="21"/>
          <w:szCs w:val="21"/>
          <w:highlight w:val="none"/>
        </w:rPr>
        <w:t>”标示选择使用该项，“□”标示不选择使用该项。</w:t>
      </w:r>
    </w:p>
    <w:p>
      <w:pPr>
        <w:pStyle w:val="32"/>
        <w:jc w:val="both"/>
        <w:rPr>
          <w:rStyle w:val="36"/>
          <w:rFonts w:hint="eastAsia" w:ascii="宋体" w:hAnsi="宋体" w:eastAsia="宋体" w:cs="宋体"/>
          <w:b/>
          <w:bCs/>
          <w:color w:val="auto"/>
          <w:szCs w:val="24"/>
          <w:highlight w:val="none"/>
        </w:rPr>
      </w:pPr>
      <w:bookmarkStart w:id="12" w:name="_Toc256000004"/>
      <w:bookmarkStart w:id="13" w:name="_Toc29932"/>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2"/>
        <w:ind w:firstLine="2891" w:firstLineChars="1200"/>
        <w:jc w:val="both"/>
        <w:rPr>
          <w:rStyle w:val="36"/>
          <w:rFonts w:hint="eastAsia" w:ascii="宋体" w:hAnsi="宋体" w:eastAsia="宋体" w:cs="宋体"/>
          <w:b/>
          <w:bCs/>
          <w:color w:val="auto"/>
          <w:szCs w:val="24"/>
          <w:highlight w:val="none"/>
        </w:rPr>
      </w:pPr>
      <w:r>
        <w:rPr>
          <w:rStyle w:val="36"/>
          <w:rFonts w:hint="eastAsia" w:ascii="宋体" w:hAnsi="宋体" w:eastAsia="宋体" w:cs="宋体"/>
          <w:b/>
          <w:bCs/>
          <w:color w:val="auto"/>
          <w:szCs w:val="24"/>
          <w:highlight w:val="none"/>
          <w:lang w:val="en-US" w:eastAsia="zh-CN"/>
        </w:rPr>
        <w:t>一、</w:t>
      </w:r>
      <w:r>
        <w:rPr>
          <w:rStyle w:val="36"/>
          <w:rFonts w:hint="eastAsia" w:ascii="宋体" w:hAnsi="宋体" w:eastAsia="宋体" w:cs="宋体"/>
          <w:b/>
          <w:bCs/>
          <w:color w:val="auto"/>
          <w:szCs w:val="24"/>
          <w:highlight w:val="none"/>
        </w:rPr>
        <w:t>磋商须知正文部分</w:t>
      </w:r>
      <w:bookmarkEnd w:id="12"/>
      <w:bookmarkEnd w:id="13"/>
    </w:p>
    <w:p>
      <w:pPr>
        <w:pStyle w:val="32"/>
        <w:jc w:val="both"/>
        <w:rPr>
          <w:rFonts w:hint="eastAsia" w:ascii="宋体" w:hAnsi="宋体" w:eastAsia="宋体" w:cs="宋体"/>
          <w:color w:val="auto"/>
          <w:sz w:val="21"/>
          <w:szCs w:val="21"/>
          <w:highlight w:val="none"/>
        </w:rPr>
      </w:pPr>
      <w:bookmarkStart w:id="14" w:name="_Toc256000005"/>
      <w:bookmarkStart w:id="15" w:name="_Toc5724"/>
      <w:r>
        <w:rPr>
          <w:rFonts w:hint="eastAsia" w:ascii="宋体" w:hAnsi="宋体" w:eastAsia="宋体" w:cs="宋体"/>
          <w:color w:val="auto"/>
          <w:sz w:val="21"/>
          <w:szCs w:val="21"/>
          <w:highlight w:val="none"/>
        </w:rPr>
        <w:t>一、说明</w:t>
      </w:r>
      <w:bookmarkEnd w:id="14"/>
      <w:bookmarkEnd w:id="15"/>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适用范围</w:t>
      </w:r>
    </w:p>
    <w:p>
      <w:pPr>
        <w:spacing w:line="400" w:lineRule="exact"/>
        <w:ind w:left="-199" w:leftChars="-95" w:firstLine="604" w:firstLineChars="28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1.1本磋商文件仅适用于</w:t>
      </w:r>
      <w:r>
        <w:rPr>
          <w:rFonts w:hint="eastAsia" w:ascii="宋体" w:hAnsi="宋体" w:cs="宋体"/>
          <w:color w:val="auto"/>
          <w:sz w:val="21"/>
          <w:szCs w:val="21"/>
          <w:highlight w:val="none"/>
          <w:lang w:eastAsia="zh-CN"/>
        </w:rPr>
        <w:t>永宁镇下岔河村人居环境整治项目</w:t>
      </w:r>
      <w:r>
        <w:rPr>
          <w:rFonts w:hint="eastAsia" w:ascii="宋体" w:hAnsi="宋体" w:eastAsia="宋体" w:cs="宋体"/>
          <w:color w:val="auto"/>
          <w:sz w:val="21"/>
          <w:szCs w:val="21"/>
          <w:highlight w:val="none"/>
        </w:rPr>
        <w:t>中所叙述的本采购项目的采购。</w:t>
      </w:r>
    </w:p>
    <w:p>
      <w:pPr>
        <w:pStyle w:val="14"/>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1.2磋商依据</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根据《中华人民共和国政府采购法》、《中华人民共和国政府采购实施条例》、《财政部关于</w:t>
      </w:r>
    </w:p>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印发〈政府采购竞争性磋商采购方式管理暂行办法〉的通知》（财库〔2014〕214号）及有关法律、法规等。</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2.定义：</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2.1 “采购人”系指：焉耆回族自治县永宁镇人民政府。</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 “采购代理机构”系指：新疆智投工程项目管理有限公司。</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2.3 “供应商”系指具备资格并响应磋商文件要求提交响应文件的法人，供应商若成交，在签订和执行合同阶段称“乙方”。</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2.4 “磋商文件”系指由采购人向供应商发出的本采购项目的全部文件（包括修改文件、补充文件、答疑纪要、各种通知和附件等）。</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2.5 “响应文件”系指供应商根据磋商文件提交的所有文件。</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2.6“货物”，系指供方根据合同规定须向采购人提供的各种形态和种类的物品，包括产品、设备、配件等。</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2.7“服务”系指合同文本、技术规范及标准、项目采购需求、本磋商文件规定，成交供应商完成应承担的所有工作并提交相关成果资料。</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2.8“工程”系指供方根据合同规定须向采购人提供的永久或临时工程。</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2.9凡提及的“天、日期、星期、月份和年份”系指公历日历的日历天、日期、星期、月份和年份。 </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2.10.本文件及本合同的货币单位为人民币。</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项目概况</w:t>
      </w:r>
    </w:p>
    <w:p>
      <w:pPr>
        <w:pStyle w:val="34"/>
        <w:adjustRightInd w:val="0"/>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见磋商须知前附表1。</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合格的供应商</w:t>
      </w:r>
    </w:p>
    <w:p>
      <w:pPr>
        <w:pStyle w:val="34"/>
        <w:adjustRightInd w:val="0"/>
        <w:snapToGrid w:val="0"/>
        <w:spacing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lang w:val="en-US" w:eastAsia="zh-CN"/>
        </w:rPr>
        <w:t>4.1.1</w:t>
      </w:r>
      <w:r>
        <w:rPr>
          <w:rFonts w:hint="eastAsia" w:ascii="宋体" w:hAnsi="宋体" w:eastAsia="宋体" w:cs="宋体"/>
          <w:bCs/>
          <w:color w:val="auto"/>
          <w:sz w:val="21"/>
          <w:szCs w:val="21"/>
          <w:highlight w:val="none"/>
        </w:rPr>
        <w:t xml:space="preserve"> 供应商的资格要求见</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w:t>
      </w:r>
    </w:p>
    <w:p>
      <w:pPr>
        <w:pStyle w:val="3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4.1.2 </w:t>
      </w:r>
      <w:r>
        <w:rPr>
          <w:rFonts w:hint="eastAsia" w:ascii="宋体" w:hAnsi="宋体" w:eastAsia="宋体" w:cs="宋体"/>
          <w:color w:val="auto"/>
          <w:sz w:val="21"/>
          <w:szCs w:val="21"/>
          <w:highlight w:val="none"/>
        </w:rPr>
        <w:t>凡为本采购项目提供整体设计、规范编制或者项目管理、监理、检测等服务的供应商，不得参加报价。</w:t>
      </w:r>
    </w:p>
    <w:p>
      <w:pPr>
        <w:pStyle w:val="34"/>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4.1.3 </w:t>
      </w:r>
      <w:r>
        <w:rPr>
          <w:rFonts w:hint="eastAsia" w:ascii="宋体" w:hAnsi="宋体" w:eastAsia="宋体" w:cs="宋体"/>
          <w:color w:val="auto"/>
          <w:sz w:val="21"/>
          <w:szCs w:val="21"/>
          <w:highlight w:val="none"/>
        </w:rPr>
        <w:t>一个供应商只能提交一个响应文件。但如果不同供应商之间的单位负责人为同一人或者存在直接控股、管理关系的，均作无效报价处理。</w:t>
      </w:r>
    </w:p>
    <w:p>
      <w:pPr>
        <w:pStyle w:val="34"/>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4.1.4 </w:t>
      </w:r>
      <w:r>
        <w:rPr>
          <w:rFonts w:hint="eastAsia" w:ascii="宋体" w:hAnsi="宋体" w:eastAsia="宋体" w:cs="宋体"/>
          <w:color w:val="auto"/>
          <w:sz w:val="21"/>
          <w:szCs w:val="21"/>
          <w:highlight w:val="none"/>
        </w:rPr>
        <w:t>供应商存在下列情形之一的，将被认定为串通报价行为并作无效报价处理：</w:t>
      </w:r>
    </w:p>
    <w:p>
      <w:pPr>
        <w:pStyle w:val="34"/>
        <w:spacing w:line="360" w:lineRule="auto"/>
        <w:rPr>
          <w:rFonts w:hint="eastAsia"/>
        </w:rPr>
      </w:pPr>
      <w:r>
        <w:rPr>
          <w:rFonts w:hint="eastAsia" w:ascii="宋体" w:hAnsi="宋体" w:eastAsia="宋体" w:cs="宋体"/>
          <w:color w:val="auto"/>
          <w:sz w:val="21"/>
          <w:szCs w:val="21"/>
          <w:highlight w:val="none"/>
        </w:rPr>
        <w:t>（1）不同供应商的响应文件错、漏之处一致或雷同，且不能合理解释的；</w:t>
      </w:r>
    </w:p>
    <w:p>
      <w:pPr>
        <w:pStyle w:val="34"/>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（2）由同一人或分别由几个有利害关系的人携带两个以上（含两个）供应商的企业资料参与资格审查、领取磋商资料，或代表两个以上（含两个）供应商参加磋商答疑会、交纳或退还磋商保证金、开标的；</w:t>
      </w:r>
    </w:p>
    <w:p>
      <w:pPr>
        <w:pStyle w:val="34"/>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（3）有关法律、法规或规章规定的其他串通报价行为。</w:t>
      </w:r>
    </w:p>
    <w:p>
      <w:pPr>
        <w:spacing w:line="360" w:lineRule="auto"/>
        <w:ind w:firstLine="482"/>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5、回避: </w:t>
      </w:r>
    </w:p>
    <w:p>
      <w:pPr>
        <w:spacing w:line="360" w:lineRule="auto"/>
        <w:ind w:firstLine="482"/>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政府采购活动中，采购人员及相关人员与供应商有下列利害关系之一的，应当回避：</w:t>
      </w:r>
    </w:p>
    <w:p>
      <w:pPr>
        <w:spacing w:line="360" w:lineRule="auto"/>
        <w:ind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5.1参加采购活动前3年内与供应商存在劳动关系；</w:t>
      </w:r>
    </w:p>
    <w:p>
      <w:pPr>
        <w:spacing w:line="360" w:lineRule="auto"/>
        <w:ind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5.2参加采购活动前3年内担任供应商的董事、监事；</w:t>
      </w:r>
    </w:p>
    <w:p>
      <w:pPr>
        <w:spacing w:line="360" w:lineRule="auto"/>
        <w:ind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5.3参加采购活动前3年内是供应商的控股股东或者实际控制人；</w:t>
      </w:r>
    </w:p>
    <w:p>
      <w:pPr>
        <w:spacing w:line="360" w:lineRule="auto"/>
        <w:ind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5.4与供应商的法定代表人或者负责人有夫妻、直系血亲、三代以内旁系血亲或者近姻亲关系；</w:t>
      </w:r>
    </w:p>
    <w:p>
      <w:pPr>
        <w:spacing w:line="360" w:lineRule="auto"/>
        <w:ind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5.5与供应商有其他可能影响政府采购活动公平、公正进行的关系。</w:t>
      </w:r>
    </w:p>
    <w:p>
      <w:pPr>
        <w:pStyle w:val="37"/>
        <w:spacing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供应商认为采购人员及相关人员与其他供应商有利害关系的，可以向采购代理机构书面提出回避申请，并说明理由。采购代理机构将及时询问被申请回避人员，有利害关系的被申请回避人员应当回避。</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 xml:space="preserve">参与磋商的费用 </w:t>
      </w:r>
    </w:p>
    <w:p>
      <w:pPr>
        <w:pStyle w:val="14"/>
        <w:spacing w:line="360" w:lineRule="auto"/>
        <w:ind w:firstLine="420" w:firstLineChars="200"/>
        <w:rPr>
          <w:rFonts w:hint="eastAsia" w:ascii="宋体" w:hAnsi="宋体" w:eastAsia="宋体" w:cs="宋体"/>
          <w:color w:val="auto"/>
          <w:kern w:val="2"/>
          <w:sz w:val="21"/>
          <w:szCs w:val="21"/>
          <w:highlight w:val="none"/>
          <w:lang w:val="en-US" w:eastAsia="zh-CN" w:bidi="ar-SA"/>
        </w:rPr>
      </w:pPr>
      <w:bookmarkStart w:id="16" w:name="_Toc23764"/>
      <w:bookmarkStart w:id="17" w:name="_Toc256000006"/>
      <w:r>
        <w:rPr>
          <w:rFonts w:hint="eastAsia" w:ascii="宋体" w:hAnsi="宋体" w:eastAsia="宋体" w:cs="宋体"/>
          <w:color w:val="auto"/>
          <w:kern w:val="2"/>
          <w:sz w:val="21"/>
          <w:szCs w:val="21"/>
          <w:highlight w:val="none"/>
          <w:lang w:val="en-US" w:eastAsia="zh-CN" w:bidi="ar-SA"/>
        </w:rPr>
        <w:t>6.1供应商应承担所有与磋商准备和磋商有关的全部费用，不论磋商结果如何，采购人和采购代理机构无义务和责任承担供应商所发生的一切费用。</w:t>
      </w:r>
    </w:p>
    <w:p>
      <w:pPr>
        <w:pStyle w:val="14"/>
        <w:spacing w:line="360" w:lineRule="auto"/>
        <w:ind w:firstLine="420" w:firstLineChars="200"/>
        <w:outlineLvl w:val="1"/>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6.2供应商在磋商准备、实地考察和磋商的全过程中，如果发生人身伤亡、财物或其它任何损失，不论何种原因所造成，均由供应商自行承担全部责任和损失。</w:t>
      </w:r>
      <w:bookmarkStart w:id="18" w:name="_Toc245897276"/>
      <w:bookmarkStart w:id="19" w:name="_Toc243907576"/>
      <w:bookmarkStart w:id="20" w:name="_Toc233274816"/>
      <w:bookmarkStart w:id="21" w:name="_Toc243906316"/>
    </w:p>
    <w:p>
      <w:pPr>
        <w:pStyle w:val="14"/>
        <w:spacing w:line="360" w:lineRule="auto"/>
        <w:ind w:firstLine="422" w:firstLineChars="200"/>
        <w:outlineLvl w:val="1"/>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7、法律适用</w:t>
      </w:r>
      <w:bookmarkEnd w:id="18"/>
      <w:bookmarkEnd w:id="19"/>
      <w:bookmarkEnd w:id="20"/>
      <w:bookmarkEnd w:id="21"/>
    </w:p>
    <w:p>
      <w:pPr>
        <w:pStyle w:val="14"/>
        <w:spacing w:line="360" w:lineRule="auto"/>
        <w:ind w:firstLine="420" w:firstLineChars="200"/>
        <w:outlineLvl w:val="1"/>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7.1本次磋商活动及由本次磋商产生的合同受中国法律制约和保护。</w:t>
      </w:r>
    </w:p>
    <w:p>
      <w:pPr>
        <w:pStyle w:val="14"/>
        <w:spacing w:line="360" w:lineRule="auto"/>
        <w:ind w:firstLine="422" w:firstLineChars="200"/>
        <w:outlineLvl w:val="1"/>
        <w:rPr>
          <w:rFonts w:hint="eastAsia" w:ascii="宋体" w:hAnsi="宋体" w:eastAsia="宋体" w:cs="宋体"/>
          <w:b/>
          <w:bCs/>
          <w:color w:val="auto"/>
          <w:kern w:val="2"/>
          <w:sz w:val="21"/>
          <w:szCs w:val="21"/>
          <w:highlight w:val="none"/>
          <w:lang w:val="en-US" w:eastAsia="zh-CN" w:bidi="ar-SA"/>
        </w:rPr>
      </w:pPr>
      <w:bookmarkStart w:id="22" w:name="_Toc243907577"/>
      <w:bookmarkStart w:id="23" w:name="_Toc243906317"/>
      <w:bookmarkStart w:id="24" w:name="_Toc233274817"/>
      <w:bookmarkStart w:id="25" w:name="_Toc245897277"/>
      <w:r>
        <w:rPr>
          <w:rFonts w:hint="eastAsia" w:ascii="宋体" w:hAnsi="宋体" w:eastAsia="宋体" w:cs="宋体"/>
          <w:b/>
          <w:bCs/>
          <w:color w:val="auto"/>
          <w:kern w:val="2"/>
          <w:sz w:val="21"/>
          <w:szCs w:val="21"/>
          <w:highlight w:val="none"/>
          <w:lang w:val="en-US" w:eastAsia="zh-CN" w:bidi="ar-SA"/>
        </w:rPr>
        <w:t>8、磋商文件的约束力</w:t>
      </w:r>
      <w:bookmarkEnd w:id="22"/>
      <w:bookmarkEnd w:id="23"/>
      <w:bookmarkEnd w:id="24"/>
      <w:bookmarkEnd w:id="25"/>
    </w:p>
    <w:p>
      <w:pPr>
        <w:pStyle w:val="14"/>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8.1供应商若成交，即被认为接受了本磋商文件中的所有条件和规定。是采购人与成交供应商签订合同的依据且是合同的组成部分。</w:t>
      </w:r>
    </w:p>
    <w:p>
      <w:pPr>
        <w:pStyle w:val="3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二、磋商文件</w:t>
      </w:r>
      <w:bookmarkEnd w:id="16"/>
      <w:bookmarkEnd w:id="17"/>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2.1  磋商文件的组成</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（1）磋商公告</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（2）磋商须知</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（3）评审方法（综合评分法）</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（4）合同条款</w:t>
      </w:r>
    </w:p>
    <w:p>
      <w:pPr>
        <w:pStyle w:val="38"/>
        <w:adjustRightInd w:val="0"/>
        <w:snapToGrid w:val="0"/>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（5）工程量清单</w:t>
      </w:r>
    </w:p>
    <w:p>
      <w:pPr>
        <w:pStyle w:val="38"/>
        <w:adjustRightInd w:val="0"/>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Cs/>
          <w:color w:val="auto"/>
          <w:sz w:val="21"/>
          <w:szCs w:val="21"/>
          <w:highlight w:val="none"/>
        </w:rPr>
        <w:t>图纸</w:t>
      </w:r>
    </w:p>
    <w:p>
      <w:pPr>
        <w:pStyle w:val="34"/>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（7）响应文件格式</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2.2 磋商文件的澄清</w:t>
      </w:r>
      <w:r>
        <w:rPr>
          <w:rFonts w:hint="eastAsia" w:ascii="宋体" w:hAnsi="宋体" w:eastAsia="宋体" w:cs="宋体"/>
          <w:b/>
          <w:color w:val="auto"/>
          <w:kern w:val="0"/>
          <w:sz w:val="21"/>
          <w:szCs w:val="21"/>
          <w:highlight w:val="none"/>
          <w:lang w:val="zh-CN"/>
        </w:rPr>
        <w:t>或者</w:t>
      </w:r>
      <w:r>
        <w:rPr>
          <w:rFonts w:hint="eastAsia" w:ascii="宋体" w:hAnsi="宋体" w:eastAsia="宋体" w:cs="宋体"/>
          <w:b/>
          <w:bCs/>
          <w:color w:val="auto"/>
          <w:sz w:val="21"/>
          <w:szCs w:val="21"/>
          <w:highlight w:val="none"/>
        </w:rPr>
        <w:t>修改</w:t>
      </w:r>
    </w:p>
    <w:p>
      <w:pPr>
        <w:pStyle w:val="34"/>
        <w:adjustRightInd w:val="0"/>
        <w:snapToGrid w:val="0"/>
        <w:spacing w:line="360" w:lineRule="auto"/>
        <w:ind w:right="-105" w:rightChars="-5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r>
        <w:rPr>
          <w:rFonts w:hint="eastAsia" w:ascii="宋体" w:hAnsi="宋体" w:eastAsia="宋体" w:cs="宋体"/>
          <w:color w:val="auto"/>
          <w:sz w:val="21"/>
          <w:szCs w:val="21"/>
          <w:highlight w:val="none"/>
          <w:lang w:val="zh-CN"/>
        </w:rPr>
        <w:t>供应商在收到</w:t>
      </w:r>
      <w:r>
        <w:rPr>
          <w:rFonts w:hint="eastAsia" w:ascii="宋体" w:hAnsi="宋体" w:eastAsia="宋体" w:cs="宋体"/>
          <w:color w:val="auto"/>
          <w:sz w:val="21"/>
          <w:szCs w:val="21"/>
          <w:highlight w:val="none"/>
        </w:rPr>
        <w:t>磋商</w:t>
      </w:r>
      <w:r>
        <w:rPr>
          <w:rFonts w:hint="eastAsia" w:ascii="宋体" w:hAnsi="宋体" w:eastAsia="宋体" w:cs="宋体"/>
          <w:color w:val="auto"/>
          <w:sz w:val="21"/>
          <w:szCs w:val="21"/>
          <w:highlight w:val="none"/>
          <w:lang w:val="zh-CN"/>
        </w:rPr>
        <w:t>文件后，若有疑问需要澄清，应于收到</w:t>
      </w:r>
      <w:r>
        <w:rPr>
          <w:rFonts w:hint="eastAsia" w:ascii="宋体" w:hAnsi="宋体" w:eastAsia="宋体" w:cs="宋体"/>
          <w:color w:val="auto"/>
          <w:sz w:val="21"/>
          <w:szCs w:val="21"/>
          <w:highlight w:val="none"/>
        </w:rPr>
        <w:t>磋商</w:t>
      </w:r>
      <w:r>
        <w:rPr>
          <w:rFonts w:hint="eastAsia" w:ascii="宋体" w:hAnsi="宋体" w:eastAsia="宋体" w:cs="宋体"/>
          <w:color w:val="auto"/>
          <w:sz w:val="21"/>
          <w:szCs w:val="21"/>
          <w:highlight w:val="none"/>
          <w:lang w:val="zh-CN"/>
        </w:rPr>
        <w:t>文件后</w:t>
      </w:r>
      <w:r>
        <w:rPr>
          <w:rFonts w:hint="eastAsia" w:ascii="宋体" w:hAnsi="宋体" w:cs="宋体"/>
          <w:color w:val="auto"/>
          <w:sz w:val="21"/>
          <w:szCs w:val="21"/>
          <w:highlight w:val="none"/>
          <w:lang w:val="en-US" w:eastAsia="zh-CN"/>
        </w:rPr>
        <w:t>应</w:t>
      </w:r>
      <w:r>
        <w:rPr>
          <w:rFonts w:hint="eastAsia" w:ascii="宋体" w:hAnsi="宋体" w:eastAsia="宋体" w:cs="宋体"/>
          <w:color w:val="auto"/>
          <w:sz w:val="21"/>
          <w:szCs w:val="21"/>
          <w:highlight w:val="none"/>
          <w:lang w:val="zh-CN"/>
        </w:rPr>
        <w:t>以书面形式向采购人或采购代理机构（以下统称采购机构）提出，采购机构将以书面形式予以解答，解答内容将送达所有参与</w:t>
      </w:r>
      <w:r>
        <w:rPr>
          <w:rFonts w:hint="eastAsia" w:ascii="宋体" w:hAnsi="宋体" w:eastAsia="宋体" w:cs="宋体"/>
          <w:color w:val="auto"/>
          <w:sz w:val="21"/>
          <w:szCs w:val="21"/>
          <w:highlight w:val="none"/>
        </w:rPr>
        <w:t>磋商采购活动</w:t>
      </w:r>
      <w:r>
        <w:rPr>
          <w:rFonts w:hint="eastAsia" w:ascii="宋体" w:hAnsi="宋体" w:eastAsia="宋体" w:cs="宋体"/>
          <w:color w:val="auto"/>
          <w:sz w:val="21"/>
          <w:szCs w:val="21"/>
          <w:highlight w:val="none"/>
          <w:lang w:val="zh-CN"/>
        </w:rPr>
        <w:t>的供应商。</w:t>
      </w:r>
    </w:p>
    <w:p>
      <w:pPr>
        <w:pStyle w:val="34"/>
        <w:adjustRightInd w:val="0"/>
        <w:snapToGrid w:val="0"/>
        <w:spacing w:line="360" w:lineRule="auto"/>
        <w:ind w:right="-105" w:rightChars="-5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2.2.2提交首次响应文件截止之日前，采购机构或者磋商小组可以对已发出的磋商文件进行必要的澄清或者修改，澄清或者修改的内容作为磋商文件的组成部分。澄清或者修改的内容可能影响响应文件编制的，采购机构或者磋商小组应当在提交首次响应文件截止之日5日前，以书面形式通知所有接收磋商文件的供应商，不足5日的，应当顺延提交首次响应文件的截止日期。</w:t>
      </w:r>
      <w:bookmarkStart w:id="26" w:name="_Toc256000007"/>
      <w:bookmarkStart w:id="27" w:name="_Toc29250"/>
      <w:r>
        <w:rPr>
          <w:rFonts w:hint="eastAsia" w:ascii="宋体" w:hAnsi="宋体" w:eastAsia="宋体" w:cs="宋体"/>
          <w:color w:val="auto"/>
          <w:sz w:val="21"/>
          <w:szCs w:val="21"/>
          <w:highlight w:val="none"/>
          <w:lang w:val="en-US" w:eastAsia="zh-CN"/>
        </w:rPr>
        <w:t xml:space="preserve">                 </w:t>
      </w:r>
    </w:p>
    <w:p>
      <w:pPr>
        <w:pStyle w:val="34"/>
        <w:adjustRightInd w:val="0"/>
        <w:snapToGrid w:val="0"/>
        <w:spacing w:line="360" w:lineRule="auto"/>
        <w:ind w:right="-105" w:rightChars="-50" w:firstLine="3780" w:firstLineChars="18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三、响应文件</w:t>
      </w:r>
      <w:bookmarkEnd w:id="26"/>
      <w:bookmarkEnd w:id="27"/>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3.1 一般要求</w:t>
      </w:r>
    </w:p>
    <w:p>
      <w:pPr>
        <w:pStyle w:val="34"/>
        <w:adjustRightInd w:val="0"/>
        <w:snapToGrid w:val="0"/>
        <w:spacing w:line="360" w:lineRule="auto"/>
        <w:ind w:right="-105" w:rightChars="-5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 供应商应按本文件第七章“响应文件格式”的要求编制响应文件。</w:t>
      </w:r>
    </w:p>
    <w:p>
      <w:pPr>
        <w:pStyle w:val="34"/>
        <w:adjustRightInd w:val="0"/>
        <w:snapToGrid w:val="0"/>
        <w:spacing w:line="360" w:lineRule="auto"/>
        <w:ind w:right="-105" w:rightChars="-50"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3.1.2计量单位应使用我国法定计量单位。</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3.2 </w:t>
      </w:r>
      <w:r>
        <w:rPr>
          <w:rFonts w:hint="eastAsia" w:ascii="宋体" w:hAnsi="宋体" w:eastAsia="宋体" w:cs="宋体"/>
          <w:b/>
          <w:color w:val="auto"/>
          <w:sz w:val="21"/>
          <w:szCs w:val="21"/>
          <w:highlight w:val="none"/>
        </w:rPr>
        <w:t>响应文件</w:t>
      </w:r>
      <w:r>
        <w:rPr>
          <w:rFonts w:hint="eastAsia" w:ascii="宋体" w:hAnsi="宋体" w:eastAsia="宋体" w:cs="宋体"/>
          <w:b/>
          <w:bCs/>
          <w:color w:val="auto"/>
          <w:sz w:val="21"/>
          <w:szCs w:val="21"/>
          <w:highlight w:val="none"/>
        </w:rPr>
        <w:t>的组成</w:t>
      </w:r>
    </w:p>
    <w:p>
      <w:pPr>
        <w:pStyle w:val="34"/>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投标函</w:t>
      </w:r>
    </w:p>
    <w:p>
      <w:pPr>
        <w:pStyle w:val="64"/>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（2）磋商报价一览表</w:t>
      </w:r>
    </w:p>
    <w:p>
      <w:pPr>
        <w:pStyle w:val="54"/>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（3）已标价的工程量清单</w:t>
      </w:r>
    </w:p>
    <w:p>
      <w:pPr>
        <w:pStyle w:val="54"/>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（4）法定代表人身份证明或附有法定代表人身份证明的授权书</w:t>
      </w:r>
    </w:p>
    <w:p>
      <w:pPr>
        <w:pStyle w:val="58"/>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（5）《公平竞争承诺书》文件</w:t>
      </w:r>
    </w:p>
    <w:p>
      <w:pPr>
        <w:pStyle w:val="59"/>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 xml:space="preserve">（6）供应商基本情况表    </w:t>
      </w:r>
    </w:p>
    <w:p>
      <w:pPr>
        <w:pStyle w:val="59"/>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（7）其他资格证明文件</w:t>
      </w:r>
    </w:p>
    <w:p>
      <w:pPr>
        <w:pStyle w:val="59"/>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（8）不参与围标串标承诺书</w:t>
      </w:r>
    </w:p>
    <w:p>
      <w:pPr>
        <w:pStyle w:val="66"/>
        <w:keepNext w:val="0"/>
        <w:keepLines w:val="0"/>
        <w:pageBreakBefore w:val="0"/>
        <w:kinsoku/>
        <w:wordWrap/>
        <w:overflowPunct/>
        <w:topLinePunct w:val="0"/>
        <w:bidi w:val="0"/>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（9）联合体协议书格式（如有）</w:t>
      </w:r>
    </w:p>
    <w:p>
      <w:pPr>
        <w:pStyle w:val="6"/>
        <w:keepNext w:val="0"/>
        <w:keepLines w:val="0"/>
        <w:pageBreakBefore w:val="0"/>
        <w:kinsoku/>
        <w:wordWrap/>
        <w:overflowPunct/>
        <w:topLinePunct w:val="0"/>
        <w:bidi w:val="0"/>
        <w:snapToGrid/>
        <w:spacing w:line="360" w:lineRule="auto"/>
        <w:ind w:left="0" w:leftChars="0" w:firstLine="0" w:firstLineChars="0"/>
        <w:jc w:val="both"/>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w:t>
      </w:r>
      <w:r>
        <w:rPr>
          <w:rFonts w:hint="eastAsia" w:ascii="宋体" w:hAnsi="宋体" w:cs="宋体"/>
          <w:b w:val="0"/>
          <w:color w:val="auto"/>
          <w:kern w:val="2"/>
          <w:sz w:val="21"/>
          <w:szCs w:val="21"/>
          <w:highlight w:val="none"/>
          <w:lang w:val="en-US" w:eastAsia="zh-CN" w:bidi="ar-SA"/>
        </w:rPr>
        <w:t>0</w:t>
      </w:r>
      <w:r>
        <w:rPr>
          <w:rFonts w:hint="eastAsia" w:ascii="宋体" w:hAnsi="宋体" w:eastAsia="宋体" w:cs="宋体"/>
          <w:b w:val="0"/>
          <w:color w:val="auto"/>
          <w:kern w:val="2"/>
          <w:sz w:val="21"/>
          <w:szCs w:val="21"/>
          <w:highlight w:val="none"/>
          <w:lang w:val="en-US" w:eastAsia="zh-CN" w:bidi="ar-SA"/>
        </w:rPr>
        <w:t>）中、小微企业声明函（非中、小微企业可不提供）；</w:t>
      </w:r>
    </w:p>
    <w:p>
      <w:pPr>
        <w:pStyle w:val="78"/>
        <w:keepNext w:val="0"/>
        <w:keepLines w:val="0"/>
        <w:pageBreakBefore w:val="0"/>
        <w:kinsoku/>
        <w:wordWrap/>
        <w:overflowPunct/>
        <w:topLinePunct w:val="0"/>
        <w:autoSpaceDE/>
        <w:autoSpaceDN/>
        <w:bidi w:val="0"/>
        <w:adjustRightInd/>
        <w:snapToGrid/>
        <w:spacing w:line="360" w:lineRule="auto"/>
        <w:jc w:val="both"/>
        <w:textAlignment w:val="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（11）施工组织设计</w:t>
      </w:r>
    </w:p>
    <w:p>
      <w:pPr>
        <w:keepNext w:val="0"/>
        <w:keepLines w:val="0"/>
        <w:pageBreakBefore w:val="0"/>
        <w:widowControl w:val="0"/>
        <w:kinsoku/>
        <w:wordWrap/>
        <w:overflowPunct/>
        <w:topLinePunct w:val="0"/>
        <w:autoSpaceDE/>
        <w:autoSpaceDN/>
        <w:bidi w:val="0"/>
        <w:adjustRightInd/>
        <w:snapToGrid/>
        <w:spacing w:before="101" w:line="360" w:lineRule="auto"/>
        <w:jc w:val="both"/>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w:t>
      </w:r>
      <w:r>
        <w:rPr>
          <w:rFonts w:hint="eastAsia" w:ascii="宋体" w:hAnsi="宋体" w:cs="宋体"/>
          <w:b w:val="0"/>
          <w:color w:val="auto"/>
          <w:kern w:val="2"/>
          <w:sz w:val="21"/>
          <w:szCs w:val="21"/>
          <w:highlight w:val="none"/>
          <w:lang w:val="en-US" w:eastAsia="zh-CN" w:bidi="ar-SA"/>
        </w:rPr>
        <w:t>2</w:t>
      </w:r>
      <w:r>
        <w:rPr>
          <w:rFonts w:hint="eastAsia" w:ascii="宋体" w:hAnsi="宋体" w:eastAsia="宋体" w:cs="宋体"/>
          <w:b w:val="0"/>
          <w:color w:val="auto"/>
          <w:kern w:val="2"/>
          <w:sz w:val="21"/>
          <w:szCs w:val="21"/>
          <w:highlight w:val="none"/>
          <w:lang w:val="en-US" w:eastAsia="zh-CN" w:bidi="ar-SA"/>
        </w:rPr>
        <w:t>）近年完成的类似项目情况一览表 (格式自拟)</w:t>
      </w:r>
    </w:p>
    <w:p>
      <w:pPr>
        <w:keepNext w:val="0"/>
        <w:keepLines w:val="0"/>
        <w:pageBreakBefore w:val="0"/>
        <w:widowControl w:val="0"/>
        <w:kinsoku/>
        <w:wordWrap/>
        <w:overflowPunct/>
        <w:topLinePunct w:val="0"/>
        <w:autoSpaceDE/>
        <w:autoSpaceDN/>
        <w:bidi w:val="0"/>
        <w:adjustRightInd/>
        <w:snapToGrid/>
        <w:spacing w:before="101" w:line="360" w:lineRule="auto"/>
        <w:jc w:val="both"/>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w:t>
      </w:r>
      <w:r>
        <w:rPr>
          <w:rFonts w:hint="eastAsia" w:ascii="宋体" w:hAnsi="宋体" w:cs="宋体"/>
          <w:b w:val="0"/>
          <w:color w:val="auto"/>
          <w:kern w:val="2"/>
          <w:sz w:val="21"/>
          <w:szCs w:val="21"/>
          <w:highlight w:val="none"/>
          <w:lang w:val="en-US" w:eastAsia="zh-CN" w:bidi="ar-SA"/>
        </w:rPr>
        <w:t>3</w:t>
      </w:r>
      <w:r>
        <w:rPr>
          <w:rFonts w:hint="eastAsia" w:ascii="宋体" w:hAnsi="宋体" w:eastAsia="宋体" w:cs="宋体"/>
          <w:b w:val="0"/>
          <w:color w:val="auto"/>
          <w:kern w:val="2"/>
          <w:sz w:val="21"/>
          <w:szCs w:val="21"/>
          <w:highlight w:val="none"/>
          <w:lang w:val="en-US" w:eastAsia="zh-CN" w:bidi="ar-SA"/>
        </w:rPr>
        <w:t>）投标保证金</w:t>
      </w:r>
    </w:p>
    <w:p>
      <w:pPr>
        <w:keepNext w:val="0"/>
        <w:keepLines w:val="0"/>
        <w:pageBreakBefore w:val="0"/>
        <w:widowControl w:val="0"/>
        <w:kinsoku/>
        <w:wordWrap/>
        <w:overflowPunct/>
        <w:topLinePunct w:val="0"/>
        <w:autoSpaceDE/>
        <w:autoSpaceDN/>
        <w:bidi w:val="0"/>
        <w:adjustRightInd/>
        <w:snapToGrid/>
        <w:spacing w:before="101" w:line="360" w:lineRule="auto"/>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3.3 报价要求</w:t>
      </w:r>
    </w:p>
    <w:p>
      <w:pPr>
        <w:pStyle w:val="3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r>
        <w:rPr>
          <w:rFonts w:hint="eastAsia" w:ascii="宋体" w:hAnsi="宋体" w:eastAsia="宋体" w:cs="宋体"/>
          <w:color w:val="auto"/>
          <w:sz w:val="21"/>
          <w:szCs w:val="21"/>
          <w:highlight w:val="none"/>
          <w:lang w:val="zh-CN"/>
        </w:rPr>
        <w:t>供应商应根据所提供的工程项目清单</w:t>
      </w:r>
      <w:r>
        <w:rPr>
          <w:rFonts w:hint="eastAsia" w:ascii="宋体" w:hAnsi="宋体" w:eastAsia="宋体" w:cs="宋体"/>
          <w:color w:val="auto"/>
          <w:sz w:val="21"/>
          <w:szCs w:val="21"/>
          <w:highlight w:val="none"/>
          <w:lang w:val="en-US" w:eastAsia="zh-CN"/>
        </w:rPr>
        <w:t>及参数</w:t>
      </w:r>
      <w:r>
        <w:rPr>
          <w:rFonts w:hint="eastAsia" w:ascii="宋体" w:hAnsi="宋体" w:eastAsia="宋体" w:cs="宋体"/>
          <w:color w:val="auto"/>
          <w:sz w:val="21"/>
          <w:szCs w:val="21"/>
          <w:highlight w:val="none"/>
          <w:lang w:val="zh-CN"/>
        </w:rPr>
        <w:t>的要求编制单价、合价和总价</w:t>
      </w:r>
      <w:r>
        <w:rPr>
          <w:rFonts w:hint="eastAsia" w:ascii="宋体" w:hAnsi="宋体" w:eastAsia="宋体" w:cs="宋体"/>
          <w:color w:val="auto"/>
          <w:sz w:val="21"/>
          <w:szCs w:val="21"/>
          <w:highlight w:val="none"/>
        </w:rPr>
        <w:t>，且只允许有一个报价</w:t>
      </w:r>
      <w:r>
        <w:rPr>
          <w:rFonts w:hint="eastAsia" w:ascii="宋体" w:hAnsi="宋体" w:eastAsia="宋体" w:cs="宋体"/>
          <w:color w:val="auto"/>
          <w:sz w:val="21"/>
          <w:szCs w:val="21"/>
          <w:highlight w:val="none"/>
          <w:lang w:val="zh-CN"/>
        </w:rPr>
        <w:t>。</w:t>
      </w:r>
    </w:p>
    <w:p>
      <w:pPr>
        <w:pStyle w:val="3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3.3.2</w:t>
      </w:r>
      <w:r>
        <w:rPr>
          <w:rFonts w:hint="eastAsia" w:ascii="宋体" w:hAnsi="宋体" w:eastAsia="宋体" w:cs="宋体"/>
          <w:color w:val="auto"/>
          <w:sz w:val="21"/>
          <w:szCs w:val="21"/>
          <w:highlight w:val="none"/>
          <w:lang w:val="zh-CN"/>
        </w:rPr>
        <w:t>报价应是本磋商文件所确定的全部工作内容的价格体现。其应包括施工设备、劳务、管理、材料、安装、维护、检验、利润、税金及政策性文件规定的各项应有费用，以及施工中的水、电费、合同履行中人工及材料涨价因素和其它风险产生的各项费用。</w:t>
      </w:r>
    </w:p>
    <w:p>
      <w:pPr>
        <w:pStyle w:val="3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3.3.3响应文件中标明的价格在合同执行过程中是固定不变的，不得以任何理由予以变更。以可变动价格提交的报价将被认为是非实质响应采购要求而被拒绝。</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3.3.4采购项目预算见</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供应商</w:t>
      </w:r>
      <w:r>
        <w:rPr>
          <w:rFonts w:hint="eastAsia" w:ascii="宋体" w:hAnsi="宋体" w:eastAsia="宋体" w:cs="宋体"/>
          <w:color w:val="auto"/>
          <w:sz w:val="21"/>
          <w:szCs w:val="21"/>
          <w:highlight w:val="none"/>
        </w:rPr>
        <w:t>的报价不得超过采购预算。否则，按无效报价处理。</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3.4 证明供应商资格的文件</w:t>
      </w:r>
    </w:p>
    <w:p>
      <w:pPr>
        <w:pStyle w:val="38"/>
        <w:adjustRightInd w:val="0"/>
        <w:snapToGrid w:val="0"/>
        <w:spacing w:line="360" w:lineRule="auto"/>
        <w:ind w:firstLine="420" w:firstLineChars="20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供应商</w:t>
      </w:r>
      <w:r>
        <w:rPr>
          <w:rFonts w:hint="eastAsia" w:ascii="宋体" w:hAnsi="宋体" w:eastAsia="宋体" w:cs="宋体"/>
          <w:color w:val="auto"/>
          <w:sz w:val="21"/>
          <w:szCs w:val="21"/>
          <w:highlight w:val="none"/>
        </w:rPr>
        <w:t>应提交满足</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第9条</w:t>
      </w:r>
      <w:r>
        <w:rPr>
          <w:rFonts w:hint="eastAsia" w:ascii="宋体" w:hAnsi="宋体" w:eastAsia="宋体" w:cs="宋体"/>
          <w:color w:val="auto"/>
          <w:kern w:val="0"/>
          <w:sz w:val="21"/>
          <w:szCs w:val="21"/>
          <w:highlight w:val="none"/>
          <w:lang w:val="zh-CN"/>
        </w:rPr>
        <w:t>款</w:t>
      </w:r>
      <w:r>
        <w:rPr>
          <w:rFonts w:hint="eastAsia" w:ascii="宋体" w:hAnsi="宋体" w:eastAsia="宋体" w:cs="宋体"/>
          <w:color w:val="auto"/>
          <w:sz w:val="21"/>
          <w:szCs w:val="21"/>
          <w:highlight w:val="none"/>
        </w:rPr>
        <w:t>规定的资格条件要求的证明文件,该证明文件作为响应文件的一部分。</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3.5磋商保证金</w:t>
      </w:r>
    </w:p>
    <w:p>
      <w:pPr>
        <w:pStyle w:val="38"/>
        <w:adjustRightInd w:val="0"/>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3.5.1供应商应按</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第15条</w:t>
      </w:r>
      <w:r>
        <w:rPr>
          <w:rFonts w:hint="eastAsia" w:ascii="宋体" w:hAnsi="宋体" w:eastAsia="宋体" w:cs="宋体"/>
          <w:color w:val="auto"/>
          <w:kern w:val="0"/>
          <w:sz w:val="21"/>
          <w:szCs w:val="21"/>
          <w:highlight w:val="none"/>
          <w:lang w:val="zh-CN"/>
        </w:rPr>
        <w:t>款</w:t>
      </w:r>
      <w:r>
        <w:rPr>
          <w:rFonts w:hint="eastAsia" w:ascii="宋体" w:hAnsi="宋体" w:eastAsia="宋体" w:cs="宋体"/>
          <w:color w:val="auto"/>
          <w:sz w:val="21"/>
          <w:szCs w:val="21"/>
          <w:highlight w:val="none"/>
        </w:rPr>
        <w:t>的规定提交磋商保证金，并作为响应文件的一部分。供应商为联合体的，可以由联合体中的一方或者共同交纳磋商保证金，以一方名义交纳磋商保证金的，对联合体各方均具有约束力。</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3.5.2 未按磋商文件规定提交磋商保证金的响应文件，将被视为非实质响应而被拒绝。</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3.5.3 未成交供应商的磋商保证金在成交通知书发出后五个工作日内退还；成交供应商的磋商保证金在采购合同签定后五个工作日内退还。</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3.5.4发生以下情况磋商保证金将不予退还：</w:t>
      </w:r>
    </w:p>
    <w:p>
      <w:pPr>
        <w:pStyle w:val="38"/>
        <w:adjustRightInd w:val="0"/>
        <w:snapToGrid w:val="0"/>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（一）供应商在提交响应文件截止时间后撤回响应文件的；</w:t>
      </w:r>
    </w:p>
    <w:p>
      <w:pPr>
        <w:pStyle w:val="38"/>
        <w:adjustRightInd w:val="0"/>
        <w:snapToGrid w:val="0"/>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（二）供应商在响应文件中提供虚假材料的；</w:t>
      </w:r>
    </w:p>
    <w:p>
      <w:pPr>
        <w:pStyle w:val="38"/>
        <w:adjustRightInd w:val="0"/>
        <w:snapToGrid w:val="0"/>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（三）除因不可抗力或磋商文件认可的情形以外，成交供应商不与采购人签订合同的；</w:t>
      </w:r>
    </w:p>
    <w:p>
      <w:pPr>
        <w:pStyle w:val="38"/>
        <w:adjustRightInd w:val="0"/>
        <w:snapToGrid w:val="0"/>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（四）供应商与采购人、其他供应商或者采购代理机构恶意串通的；</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（五）磋商文件规定的其他情形。</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3.6 </w:t>
      </w:r>
      <w:r>
        <w:rPr>
          <w:rFonts w:hint="eastAsia" w:ascii="宋体" w:hAnsi="宋体" w:eastAsia="宋体" w:cs="宋体"/>
          <w:color w:val="auto"/>
          <w:sz w:val="21"/>
          <w:szCs w:val="21"/>
          <w:highlight w:val="none"/>
        </w:rPr>
        <w:t xml:space="preserve"> </w:t>
      </w:r>
      <w:r>
        <w:rPr>
          <w:rFonts w:hint="eastAsia" w:ascii="宋体" w:hAnsi="宋体" w:eastAsia="宋体" w:cs="宋体"/>
          <w:b/>
          <w:color w:val="auto"/>
          <w:sz w:val="21"/>
          <w:szCs w:val="21"/>
          <w:highlight w:val="none"/>
        </w:rPr>
        <w:t>响应文件有效期</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3.6.1响应文件有效期见</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，响应文件有效期不足的将被视为无效响应，并予以拒绝。</w:t>
      </w:r>
    </w:p>
    <w:p>
      <w:pPr>
        <w:pStyle w:val="34"/>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3.6.2特殊情况下，采购代理机构可于响应文件有效期满之前要求供应商同意延长有效期，要求与答复均应为书面形式。供应商可以拒绝上述要求而其磋商保证金不被没收。对于同意该要求的供应商，既不要求也不允许其修改响应文件，但将要求其相应延长磋商保证金的有效期。有关退还和没收磋商保证金的规定在响应文件有效期的延长期内继续有效。</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3.7 响应文件的签署及规定</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3.7.1供应商应提供响应文件份数见</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w:t>
      </w:r>
    </w:p>
    <w:p>
      <w:pPr>
        <w:pStyle w:val="34"/>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zh-CN"/>
        </w:rPr>
        <w:t xml:space="preserve">3.7.2 </w:t>
      </w:r>
      <w:r>
        <w:rPr>
          <w:rFonts w:hint="eastAsia" w:ascii="宋体" w:hAnsi="宋体" w:eastAsia="宋体" w:cs="宋体"/>
          <w:color w:val="auto"/>
          <w:sz w:val="21"/>
          <w:szCs w:val="21"/>
          <w:highlight w:val="none"/>
        </w:rPr>
        <w:t>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32"/>
        <w:jc w:val="center"/>
        <w:rPr>
          <w:rFonts w:hint="eastAsia" w:ascii="宋体" w:hAnsi="宋体" w:eastAsia="宋体" w:cs="宋体"/>
          <w:b/>
          <w:bCs/>
          <w:color w:val="auto"/>
          <w:sz w:val="21"/>
          <w:szCs w:val="21"/>
          <w:highlight w:val="none"/>
        </w:rPr>
      </w:pPr>
      <w:bookmarkStart w:id="28" w:name="_Toc256000009"/>
      <w:bookmarkStart w:id="29" w:name="_Toc13285"/>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、磋商和评审</w:t>
      </w:r>
      <w:bookmarkEnd w:id="28"/>
      <w:bookmarkEnd w:id="29"/>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4.1 磋商小组</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磋商小组将根据采购项目的特点依法组建，磋商小组的组成见</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w:t>
      </w:r>
    </w:p>
    <w:p>
      <w:pPr>
        <w:pStyle w:val="34"/>
        <w:spacing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4.2  </w:t>
      </w:r>
      <w:r>
        <w:rPr>
          <w:rFonts w:hint="eastAsia" w:ascii="宋体" w:hAnsi="宋体" w:eastAsia="宋体" w:cs="宋体"/>
          <w:b/>
          <w:color w:val="auto"/>
          <w:sz w:val="21"/>
          <w:szCs w:val="21"/>
          <w:highlight w:val="none"/>
        </w:rPr>
        <w:t>响应文件的初步评审</w:t>
      </w:r>
    </w:p>
    <w:p>
      <w:pPr>
        <w:spacing w:line="360" w:lineRule="auto"/>
        <w:ind w:firstLine="420" w:firstLineChars="200"/>
        <w:rPr>
          <w:rFonts w:hint="eastAsia" w:ascii="宋体" w:hAnsi="宋体" w:eastAsia="宋体" w:cs="宋体"/>
          <w:color w:val="auto"/>
          <w:spacing w:val="-2"/>
          <w:sz w:val="21"/>
          <w:szCs w:val="21"/>
          <w:highlight w:val="none"/>
        </w:rPr>
      </w:pPr>
      <w:r>
        <w:rPr>
          <w:rFonts w:hint="eastAsia" w:ascii="宋体" w:hAnsi="宋体" w:eastAsia="宋体" w:cs="宋体"/>
          <w:color w:val="auto"/>
          <w:sz w:val="21"/>
          <w:szCs w:val="21"/>
          <w:highlight w:val="none"/>
        </w:rPr>
        <w:t>响应文件的初步评审为资格、符合性审查。</w:t>
      </w:r>
      <w:r>
        <w:rPr>
          <w:rFonts w:hint="eastAsia" w:ascii="宋体" w:hAnsi="宋体" w:eastAsia="宋体" w:cs="宋体"/>
          <w:color w:val="auto"/>
          <w:spacing w:val="-2"/>
          <w:sz w:val="21"/>
          <w:szCs w:val="21"/>
          <w:highlight w:val="none"/>
        </w:rPr>
        <w:t>详细评审标准见</w:t>
      </w:r>
      <w:r>
        <w:rPr>
          <w:rFonts w:hint="eastAsia" w:ascii="宋体" w:hAnsi="宋体" w:eastAsia="宋体" w:cs="宋体"/>
          <w:b/>
          <w:color w:val="auto"/>
          <w:spacing w:val="-2"/>
          <w:sz w:val="21"/>
          <w:szCs w:val="21"/>
          <w:highlight w:val="none"/>
        </w:rPr>
        <w:t>评审方法</w:t>
      </w:r>
      <w:r>
        <w:rPr>
          <w:rFonts w:hint="eastAsia" w:ascii="宋体" w:hAnsi="宋体" w:eastAsia="宋体" w:cs="宋体"/>
          <w:color w:val="auto"/>
          <w:sz w:val="21"/>
          <w:szCs w:val="21"/>
          <w:highlight w:val="none"/>
        </w:rPr>
        <w:t>资格、符合性审查表（详见附表一、二）</w:t>
      </w:r>
      <w:r>
        <w:rPr>
          <w:rFonts w:hint="eastAsia" w:ascii="宋体" w:hAnsi="宋体" w:eastAsia="宋体" w:cs="宋体"/>
          <w:color w:val="auto"/>
          <w:spacing w:val="-2"/>
          <w:sz w:val="21"/>
          <w:szCs w:val="21"/>
          <w:highlight w:val="none"/>
        </w:rPr>
        <w:t>。</w:t>
      </w:r>
    </w:p>
    <w:p>
      <w:pPr>
        <w:pStyle w:val="34"/>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4.3 磋商文件的澄清</w:t>
      </w:r>
      <w:r>
        <w:rPr>
          <w:rFonts w:hint="eastAsia" w:ascii="宋体" w:hAnsi="宋体" w:eastAsia="宋体" w:cs="宋体"/>
          <w:b/>
          <w:bCs/>
          <w:color w:val="auto"/>
          <w:sz w:val="21"/>
          <w:szCs w:val="21"/>
          <w:highlight w:val="none"/>
        </w:rPr>
        <w:tab/>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 任何要求对磋商文件进行澄清的投标人，均应在投标截止时间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日前以书面形式送达并告知招标机构，招标机构负责联络采购人，且最终将以书面形式答复投标人，同时将书面答复递交给所有投标人。答复中包括所提问题，但不包括问题的来源。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 磋商文件的修改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4.4.1在投标截止日期前</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日，招标机构必须经过采购人书面许可方可主动地或在解答投标人提出的澄清问题时对磋商文件进行修改。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4.4.2磋商文件的修改将以书面形式通知所有投标人，投标人应立即以电传或传真的形式确认已收到修改。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4.4.3 为使投标人在准备投标文件时有合理的时间考虑磋商文件的修改，招标机构必须经过采购人书面许可方可酌情推迟投标截止时间。</w:t>
      </w:r>
    </w:p>
    <w:p>
      <w:pPr>
        <w:pStyle w:val="32"/>
        <w:jc w:val="center"/>
        <w:rPr>
          <w:rFonts w:hint="eastAsia" w:ascii="宋体" w:hAnsi="宋体" w:eastAsia="宋体" w:cs="宋体"/>
          <w:color w:val="auto"/>
          <w:sz w:val="21"/>
          <w:szCs w:val="21"/>
          <w:highlight w:val="none"/>
          <w:lang w:eastAsia="zh-CN"/>
        </w:rPr>
      </w:pPr>
      <w:bookmarkStart w:id="30" w:name="_Toc256000010"/>
      <w:bookmarkStart w:id="31" w:name="_Toc13595"/>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评标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 评标过程的纪律和保密性</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5.1.1从投标截止时间开始，直至采购人授予合同时止，凡与审查、澄清、评价和比较投标的有关资料以及授标意见等均不得向投标人和无关人员透露。</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5.1.2招标机构和采购人将采取必要的措施，保证评标在严格保密的情况下进行。</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5.1.3参与评标的人员应严格遵守国家有关保密的法律、法规和规定，严格自律，并接受行政监督部门的监督。</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5.1.4投标人提交的关于资质、业绩等的文件和材料必须真实准确，不得弄虚作假。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5.1.5 投标人不得串通作弊，哄抬标价，致使定标困难或无法定标。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5.1.6投标人不得采用不正当手段妨碍、排挤其它投标人，扰乱招标活动，破坏公平竞争。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5.1.7 投标人不得以任何形式打听和搜集评标机密，不得以任何形式干扰评标或投标工作。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5.1.8投标人若违反前述要求，其投标将被废除，投标保证金将被没收，没收的投标保证金归采购人所有。</w:t>
      </w:r>
    </w:p>
    <w:p>
      <w:pPr>
        <w:spacing w:line="360" w:lineRule="auto"/>
        <w:ind w:firstLine="420" w:firstLineChars="200"/>
        <w:rPr>
          <w:rFonts w:hint="eastAsia" w:ascii="宋体" w:hAnsi="宋体" w:eastAsia="宋体" w:cs="宋体"/>
          <w:color w:val="auto"/>
          <w:sz w:val="21"/>
          <w:szCs w:val="21"/>
          <w:highlight w:val="none"/>
        </w:rPr>
      </w:pPr>
      <w:bookmarkStart w:id="32" w:name="_Hlt115349744"/>
      <w:bookmarkEnd w:id="32"/>
      <w:bookmarkStart w:id="33" w:name="_Toc438371400"/>
      <w:bookmarkStart w:id="34" w:name="_Toc438371217"/>
      <w:bookmarkStart w:id="35" w:name="_Toc438371769"/>
      <w:bookmarkStart w:id="36" w:name="_Toc438370547"/>
      <w:bookmarkStart w:id="37" w:name="_Toc438371582"/>
      <w:bookmarkStart w:id="38" w:name="_Toc438354318"/>
      <w:r>
        <w:rPr>
          <w:rFonts w:hint="eastAsia" w:ascii="宋体" w:hAnsi="宋体" w:eastAsia="宋体" w:cs="宋体"/>
          <w:color w:val="auto"/>
          <w:sz w:val="21"/>
          <w:szCs w:val="21"/>
          <w:highlight w:val="none"/>
        </w:rPr>
        <w:t>5.2 投标文件的初审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5.2.1评标委员会将根据磋商文件规定提交的响应性文件和采购人认为其它必要的、合适的资料，对投标人的能力和资格等进行进一步审查。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5.2.2 评标委员会将审查每份投标文件是否与磋商文件的全部条款、条件和规格相符，没有重大偏离或保留。所谓重大偏离或保留是指影响合同的供货范围、质量和性能或在实质上与磋商文件不一致，而且限制了合同中买方的权利和卖方的义务。纠正或保留这些偏离将会对投标人的竞争地位产生不公正的影响。下列情况属于重大偏离：</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a.</w:t>
      </w:r>
      <w:r>
        <w:rPr>
          <w:rFonts w:hint="eastAsia" w:ascii="宋体" w:hAnsi="宋体" w:eastAsia="宋体" w:cs="宋体"/>
          <w:color w:val="auto"/>
          <w:sz w:val="21"/>
          <w:szCs w:val="21"/>
          <w:highlight w:val="none"/>
        </w:rPr>
        <w:t>没有按照磋商文件要求提供投标保证金;</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b.</w:t>
      </w:r>
      <w:r>
        <w:rPr>
          <w:rFonts w:hint="eastAsia" w:ascii="宋体" w:hAnsi="宋体" w:eastAsia="宋体" w:cs="宋体"/>
          <w:color w:val="auto"/>
          <w:sz w:val="21"/>
          <w:szCs w:val="21"/>
          <w:highlight w:val="none"/>
        </w:rPr>
        <w:t>投标文件没有按要求盖章或没有由符合资格的投标人代表签字;</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c.</w:t>
      </w:r>
      <w:r>
        <w:rPr>
          <w:rFonts w:hint="eastAsia" w:ascii="宋体" w:hAnsi="宋体" w:eastAsia="宋体" w:cs="宋体"/>
          <w:color w:val="auto"/>
          <w:sz w:val="21"/>
          <w:szCs w:val="21"/>
          <w:highlight w:val="none"/>
        </w:rPr>
        <w:t>投标文件载明的招标项目完成期限超过采购人可以接受的程度;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d.</w:t>
      </w:r>
      <w:r>
        <w:rPr>
          <w:rFonts w:hint="eastAsia" w:ascii="宋体" w:hAnsi="宋体" w:eastAsia="宋体" w:cs="宋体"/>
          <w:color w:val="auto"/>
          <w:sz w:val="21"/>
          <w:szCs w:val="21"/>
          <w:highlight w:val="none"/>
        </w:rPr>
        <w:t>明显不符合技术规格、技术标准的要求；</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e.</w:t>
      </w:r>
      <w:r>
        <w:rPr>
          <w:rFonts w:hint="eastAsia" w:ascii="宋体" w:hAnsi="宋体" w:eastAsia="宋体" w:cs="宋体"/>
          <w:color w:val="auto"/>
          <w:sz w:val="21"/>
          <w:szCs w:val="21"/>
          <w:highlight w:val="none"/>
        </w:rPr>
        <w:t>投标文件附有采购人不能接受的条件；</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f.</w:t>
      </w:r>
      <w:r>
        <w:rPr>
          <w:rFonts w:hint="eastAsia" w:ascii="宋体" w:hAnsi="宋体" w:eastAsia="宋体" w:cs="宋体"/>
          <w:color w:val="auto"/>
          <w:sz w:val="21"/>
          <w:szCs w:val="21"/>
          <w:highlight w:val="none"/>
        </w:rPr>
        <w:t>不符合磋商文件中规定的其他实质性要求；</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g.</w:t>
      </w:r>
      <w:r>
        <w:rPr>
          <w:rFonts w:hint="eastAsia" w:ascii="宋体" w:hAnsi="宋体" w:eastAsia="宋体" w:cs="宋体"/>
          <w:color w:val="auto"/>
          <w:sz w:val="21"/>
          <w:szCs w:val="21"/>
          <w:highlight w:val="none"/>
        </w:rPr>
        <w:t>投标人(供应商)投标价或某分项报价明显不合理（畸高畸低）或低于成本,且无法对其投标报价构成做出合理解释并提交相关证据;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上述评审是对开标阶段响应性审查的补充，投标文件有上述情形之一的，将作为废标处理。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5.2.3对资格证明文件有伪造或隐瞒事实的，将视为未实质上响应磋商文件要求而取消资格，并没收投标保证金，没收的投标保证金归采购人所有。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5.3细微偏差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5.3.1评标委员会将对投标文件中存在的个别漏项或提供了不完整的技术信息和数据、含义不明确、对同类问题表述不一致或者有明显文字和计算错误的内容等加以记录、汇总。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5.3.2前述内容评标委员会将在投标文件澄清阶段要求投标人予以澄清或补正。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5.4投标文件的澄清</w:t>
      </w:r>
      <w:bookmarkEnd w:id="33"/>
      <w:bookmarkEnd w:id="34"/>
      <w:bookmarkEnd w:id="35"/>
      <w:bookmarkEnd w:id="36"/>
      <w:bookmarkEnd w:id="37"/>
      <w:bookmarkEnd w:id="38"/>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有助于对投标文件的审查、评价和比较，采购人可要求投标人对其投标文件进行澄清，有关澄清的答复由投标人整理后在规定的时间内以书面形式提交.但不得寻求、提供或允许对投标价格或实质性内容做任何更改。澄清答复应由投标人法定代表人或其授权代表签署后在规定的时间内送达招标机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投标人澄清的答复文件将取代投标文件中被澄清的部分，从而构成投标文件的组成部分。但不允许更改投标报价或投标的其它实质性内容（按照投标人须知中规定校核发现的算术错误不在此列）。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如果投标人在投标文件中未对磋商文件中的条款、数据等提出偏离或澄清，将被视同投标人同意磋商文件的全部或部分要求。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 详细评审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评标委员会对各投标文件的各个部分作进一步评审、比较，并按照第22条的评标办法对投标人进行逐项打分。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详细评审的依据是磋商文件、投标文件和投标人的答疑澄清等内容。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 评标办法(附后)</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5.7磋商程序、方法、无效响应、采购终止及成交原则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5.7.1磋商程序及方法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（一）磋商按竞争性磋商文件规定的时间和地点进行，服务商须有负责人或其授权代表参加并政采云平台进行签到。本项目依法组建的磋商小组分别与各服务商进行磋商。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（二）磋商小组对各服务商的响应文件的有效性、完整性和响应程度进行审查。各服务商只有在完全符合要求的前提下，才能参与正式磋商。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1、完备性及符合性检查。依据竞争性磋商文件的规定，从响应文件的有效性、完整性和对竞争性磋商文件的响应程度进行审查，以确定是否对竞争性磋商文件的实质性要求作出响应。</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澄清有关问题。磋商小组在对响应文件的有效性、完整性和响应程度进行审查时，可以要求服务商对响应文件中含义不明确、同类问题表述不一致或者有明显文字和计算错误的内容等作出必要的澄清、说明或者更正。服务商的澄清、说明或者更正不得超出响应文件的范围或者改变响应文件的实质性内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磋商小组要求服务商澄清、说明或者更正响应文件应当以书面形式作出。服务商的澄清、说明或者更正应当由负责人或其授权代表签字或者加盖公章。由授权代表签字的，应当附负责人授权书。服务商为自然人的，应当由本人签字并附身份证明。</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4、在磋商过程中磋商的任何一方不得向他人透露与磋商有关的技术资料、价格或其他信息。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服务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6、服务商在磋商时作出的所有书面承诺须由负责人或其授权代表签字。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经磋商确定最终采购需求且磋商结束后，服务商应当按照竞争性磋商文件的变动情况和磋商小组的要求重新提交响应文件或重新做出相关的书面承诺，上传提交最终报价及有关承诺（填写最终报价并上传政采云平台）。已提交上传响应文件但未在规定时间内进行最后报价的服务商，视为放弃最终报价，以服务商响应文件中的报价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磋商小组采用综合评分法对提交最终报价的服务商的响应文件和最终报价进行综合评分，综合评分法是指响应文件满足竞争性磋商文件全部实质性要求且按照评审因素的量化指标评审得分最高的服务商为成交候选服务商的评审方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注：各服务商不得恶意竞争，需要根据项目实际情况进行最终报价，最低磋商报价只是磋商基准价，在满足项目要求的前提下合理低价优先考虑，最低价不是成交的绝对依据。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各成员独立对每个有效响应的文件进行评价、打分，然后汇总每个服务商每项评分因素的得分，并根据综合评分情况按照评审得分由高到低顺序推荐3名以上成交候选服务商，并编写评审报告。若服务商的评审得分相同的，按照最后报价由低到高的顺序排列推荐。评审得分且最后报价相同的，按照服务指标优劣顺序排列推荐。以上都相同的，按服务条款的优劣顺序排列推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5.7.2无效响应</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服务商发生以下条款情况之一者，视为无效响应，其响应文件将被拒绝：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（一）服务商不符合规定的基本资格条件或特定资格条件的；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（二）服务商的负责人或其授权代表未参加磋商；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（三）服务商未按照竞争性磋商文件的要求缴纳磋商保证金；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（四）服务商所提交的响应文件不按规定签字、盖章；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（五）服务商的最后报价超过采购预算的；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（六）单位负责人为同一人或者存在直接控股、管理关系的不同服务商，参加同一合同项下的政府采购活动的；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（七）为采购项目提供整体设计、规范编制或者项目管理、监理、检测等服务的服务商再参加本项目的采购活动的；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（八）服务商响应文件内容有与国家现行法律法规相违背的内容，或附有采购人无法接受的条件；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5.8采购终止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出现下列情形之一的，采购人或者采购代理机构应当终止竞争性磋商采购活动，发布项目终止公告并说明原因，重新开展采购活动：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（一）因情况变化，不再符合规定的竞争性磋商采购方式适用情形的；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（二）出现影响采购公正的违法、违规行为的。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5.8.1成交原则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排名第一的成交候选人为成交人。排名第一的成交候选人放弃、因不可抗力提出不能履行合同，或者采购文件规定应当提交履约保证金而在规定的期限内未能提交的，确定排名第二的成交候选人为成交人。排名第二的成交候选人因前款规定的同样原因不能签订合同的，确定排名第三的成交候选人为成交人。如果有两个服务商得分相同时，以价格低者排名靠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5.9磋商议程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5.9.1准备会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采购人、评审委员会和监督人参加。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准备会由采购人主持。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采购人在准备会现场确定评审委员会负责人、磋商会主持人、记录人等。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评审委员会主任职责是宣布评标纪律、成交人等内容。评审委员会主任参与评审则与其他专家的权利相同。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主持人职责是按本采购文件规定的程序主持磋商会。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记录人职责是对整个磋商会情况进行记录。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5.10磋商会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请参加磋商的潜在服务商代表在政采云平台签到。</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招标代理机构宣读服务商响应文件上传时间。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开标会主持人宣布响应文件上传时间是否符合竞争性磋商文件要求。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监督人对响应文件是否按竞争性磋商文件规定进行核查。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服务商在规定的时间内解密响应文件，唱标人宣布响应文件中的报价。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电子评审阶段。</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5.11评审准备会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向评审专家提供评标时的重要信息和数据。其中包括：采购的目标、范围和性质；竞争性磋商文件中规定的主要技术要求、标准和条款；竞争性磋商文件规定的评审标准、评审方法和在评审过程中考虑的相关因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评审委员会对磋商文件依据《响应文件完备性及符合性审查表》进行初审。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评审委员会对通过初审的响应文件依据打分表（附后）进行详审。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汇总出各潜在服务商最终得分。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评审委员会负责人宣布各潜在服务商最终得分并按有关条款规定宣布成交人。</w:t>
      </w:r>
    </w:p>
    <w:p>
      <w:pPr>
        <w:spacing w:line="360" w:lineRule="auto"/>
        <w:ind w:firstLine="420" w:firstLineChars="200"/>
        <w:jc w:val="center"/>
        <w:rPr>
          <w:rFonts w:hint="eastAsia" w:ascii="宋体" w:hAnsi="宋体" w:eastAsia="宋体" w:cs="宋体"/>
          <w:color w:val="auto"/>
          <w:sz w:val="21"/>
          <w:szCs w:val="21"/>
          <w:highlight w:val="none"/>
        </w:rPr>
      </w:pPr>
    </w:p>
    <w:p>
      <w:pPr>
        <w:spacing w:line="360" w:lineRule="auto"/>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六、成交结果及合同授予</w:t>
      </w:r>
      <w:bookmarkEnd w:id="30"/>
      <w:bookmarkEnd w:id="31"/>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6.1成交结果</w:t>
      </w:r>
    </w:p>
    <w:p>
      <w:pPr>
        <w:pStyle w:val="3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磋商结束后，成交结果信息将在</w:t>
      </w:r>
      <w:r>
        <w:rPr>
          <w:rFonts w:hint="eastAsia" w:ascii="宋体" w:hAnsi="宋体" w:eastAsia="宋体" w:cs="宋体"/>
          <w:b/>
          <w:color w:val="auto"/>
          <w:sz w:val="21"/>
          <w:szCs w:val="21"/>
          <w:highlight w:val="none"/>
        </w:rPr>
        <w:t>磋商须知前附表1</w:t>
      </w:r>
      <w:r>
        <w:rPr>
          <w:rFonts w:hint="eastAsia" w:ascii="宋体" w:hAnsi="宋体" w:eastAsia="宋体" w:cs="宋体"/>
          <w:color w:val="auto"/>
          <w:sz w:val="21"/>
          <w:szCs w:val="21"/>
          <w:highlight w:val="none"/>
        </w:rPr>
        <w:t>规定的媒体上公布。</w:t>
      </w:r>
      <w:r>
        <w:rPr>
          <w:rFonts w:hint="eastAsia" w:ascii="宋体" w:hAnsi="宋体" w:eastAsia="宋体" w:cs="宋体"/>
          <w:color w:val="auto"/>
          <w:sz w:val="21"/>
          <w:szCs w:val="21"/>
          <w:highlight w:val="none"/>
          <w:lang w:val="zh-CN"/>
        </w:rPr>
        <w:t>同时向成交供应商发出成交通知书，该通知书将是合同的组成部分。</w:t>
      </w:r>
    </w:p>
    <w:p>
      <w:pPr>
        <w:pStyle w:val="34"/>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6.2签订合同</w:t>
      </w:r>
    </w:p>
    <w:p>
      <w:pPr>
        <w:pStyle w:val="34"/>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6.2.1 成交供应商应按成交通知书规定的时间、地点与采购人签订书面合同。</w:t>
      </w:r>
    </w:p>
    <w:p>
      <w:pPr>
        <w:pStyle w:val="34"/>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6.2.2 </w:t>
      </w:r>
      <w:r>
        <w:rPr>
          <w:rFonts w:hint="eastAsia" w:ascii="宋体" w:hAnsi="宋体" w:eastAsia="宋体" w:cs="宋体"/>
          <w:color w:val="auto"/>
          <w:sz w:val="21"/>
          <w:szCs w:val="21"/>
          <w:highlight w:val="none"/>
        </w:rPr>
        <w:t>成交供应商因不可抗力或者自身原因拒绝与采购人签订合同，或不能履行合同的。采购人可以按照评审报告推荐的成交候选供应商名单排序，确定下一候选供应商为成交供应商，也可以重新开展政府采购活动。</w:t>
      </w:r>
    </w:p>
    <w:p>
      <w:pPr>
        <w:pStyle w:val="34"/>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6.2.3政府采购合同履行中，采购人需追加与合同标的相同的工程的，在不改变合同其他条款的前提下，可以与成交供应商协商签订补充合同，但所有补充合同的采购金额不得超过原合同采购金额的百分之十。</w:t>
      </w:r>
    </w:p>
    <w:p>
      <w:pPr>
        <w:pStyle w:val="32"/>
        <w:jc w:val="center"/>
        <w:rPr>
          <w:rFonts w:hint="eastAsia" w:ascii="宋体" w:hAnsi="宋体" w:eastAsia="宋体" w:cs="宋体"/>
          <w:color w:val="auto"/>
          <w:sz w:val="21"/>
          <w:szCs w:val="21"/>
          <w:highlight w:val="none"/>
        </w:rPr>
      </w:pPr>
      <w:bookmarkStart w:id="39" w:name="_Toc256000011"/>
      <w:bookmarkStart w:id="40" w:name="_Toc32267"/>
      <w:r>
        <w:rPr>
          <w:rFonts w:hint="eastAsia" w:ascii="宋体" w:hAnsi="宋体" w:eastAsia="宋体" w:cs="宋体"/>
          <w:color w:val="auto"/>
          <w:sz w:val="21"/>
          <w:szCs w:val="21"/>
          <w:highlight w:val="none"/>
        </w:rPr>
        <w:t>七、质疑与投诉</w:t>
      </w:r>
      <w:bookmarkEnd w:id="39"/>
      <w:bookmarkEnd w:id="40"/>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 供应商认为采购文件、采购过程、中标或者成交结果使自己的权益受到损害的，可以在知道或者应知其权益受到损害之日起7个工作日内，以书面形式向采购人、采购代理机构提出质疑。</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7.2供应商若认为磋商文件、磋商过程和成交结果使自己的权益受到损害，应在以下规定时间内以书面形式向采购机构提出：</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（1）对可以质疑的磋商文件提出质疑的，应当自收到磋商文件之日或者磋商文件公告期限届满之日起七个工作日内；</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（2）对磋商过程提出质疑的，应当在各磋商程序环节结束之日起七个工作日内；</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（3）对成交结果提出质疑的，应当在成交结果公告期限届满之日起七个工作日内提出；</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（4）磋商文件或法律法规规定的其他时间内。</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 供应商提出质疑的，应当有明确的请求和必要的证明材料，并提供质疑书原件。招标采购单位向质疑供应商签收回执。</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 质疑书应当由质疑供应商法定代表人或授权代表人签字并加盖公章，质疑书由授权代表人签字的应附法定代表人授权书。</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 采购机构将在签收回执之日起七个工作日内作出书面答复，并以书面形式通知与质疑处理结果有关的供应商。</w:t>
      </w:r>
    </w:p>
    <w:p>
      <w:pPr>
        <w:pStyle w:val="34"/>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 供应商对采购机构的答复不满意，或采购机构未在规定的期限作出答复的，可在答复期满后十五个工作日内，按政府采购相关法律法规规章的规定及程序，向相关行政监督部门提出投诉，投诉的事项不得超出已质疑事项的范围。</w:t>
      </w:r>
      <w:bookmarkStart w:id="41" w:name="_Toc9458"/>
      <w:bookmarkStart w:id="42" w:name="_Toc256000012"/>
    </w:p>
    <w:p>
      <w:pPr>
        <w:pStyle w:val="34"/>
        <w:tabs>
          <w:tab w:val="left" w:pos="420"/>
          <w:tab w:val="left" w:pos="7560"/>
          <w:tab w:val="left" w:pos="7740"/>
          <w:tab w:val="left" w:pos="7920"/>
        </w:tabs>
        <w:adjustRightInd w:val="0"/>
        <w:snapToGrid w:val="0"/>
        <w:spacing w:line="360" w:lineRule="auto"/>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八、其他规定</w:t>
      </w:r>
      <w:bookmarkEnd w:id="41"/>
      <w:bookmarkEnd w:id="42"/>
    </w:p>
    <w:p>
      <w:pPr>
        <w:pStyle w:val="34"/>
        <w:tabs>
          <w:tab w:val="left" w:pos="420"/>
          <w:tab w:val="left" w:pos="7560"/>
          <w:tab w:val="left" w:pos="7740"/>
          <w:tab w:val="left" w:pos="7920"/>
        </w:tabs>
        <w:adjustRightInd w:val="0"/>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磋商文件的其他规定见</w:t>
      </w:r>
      <w:r>
        <w:rPr>
          <w:rFonts w:hint="eastAsia" w:ascii="宋体" w:hAnsi="宋体" w:eastAsia="宋体" w:cs="宋体"/>
          <w:b/>
          <w:color w:val="auto"/>
          <w:sz w:val="21"/>
          <w:szCs w:val="21"/>
          <w:highlight w:val="none"/>
        </w:rPr>
        <w:t>磋商须知前附1</w:t>
      </w:r>
    </w:p>
    <w:bookmarkEnd w:id="9"/>
    <w:p>
      <w:pPr>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43" w:name="_Toc256000013"/>
      <w:bookmarkStart w:id="44" w:name="_Toc529952598"/>
    </w:p>
    <w:p>
      <w:pPr>
        <w:pStyle w:val="2"/>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pStyle w:val="2"/>
        <w:bidi w:val="0"/>
        <w:rPr>
          <w:rFonts w:hint="eastAsia"/>
        </w:rPr>
      </w:pPr>
      <w:r>
        <w:rPr>
          <w:rFonts w:hint="eastAsia"/>
        </w:rPr>
        <w:t>第三章 评审方法（综合评分法）</w:t>
      </w:r>
      <w:bookmarkEnd w:id="43"/>
      <w:bookmarkEnd w:id="44"/>
    </w:p>
    <w:p>
      <w:pPr>
        <w:numPr>
          <w:ilvl w:val="0"/>
          <w:numId w:val="8"/>
        </w:numPr>
        <w:tabs>
          <w:tab w:val="left" w:pos="567"/>
          <w:tab w:val="clear" w:pos="851"/>
        </w:tabs>
        <w:snapToGrid w:val="0"/>
        <w:spacing w:line="360" w:lineRule="auto"/>
        <w:rPr>
          <w:rFonts w:hint="eastAsia" w:ascii="宋体" w:hAnsi="宋体" w:eastAsia="宋体" w:cs="宋体"/>
          <w:b/>
          <w:color w:val="auto"/>
          <w:sz w:val="21"/>
          <w:szCs w:val="21"/>
          <w:highlight w:val="none"/>
          <w:lang w:eastAsia="zh-TW"/>
        </w:rPr>
      </w:pPr>
      <w:r>
        <w:rPr>
          <w:rFonts w:hint="eastAsia" w:ascii="宋体" w:hAnsi="宋体" w:eastAsia="宋体" w:cs="宋体"/>
          <w:b/>
          <w:color w:val="auto"/>
          <w:sz w:val="21"/>
          <w:szCs w:val="21"/>
          <w:highlight w:val="none"/>
        </w:rPr>
        <w:t>磋商小组</w:t>
      </w:r>
    </w:p>
    <w:p>
      <w:pPr>
        <w:numPr>
          <w:ilvl w:val="1"/>
          <w:numId w:val="8"/>
        </w:numPr>
        <w:tabs>
          <w:tab w:val="left" w:pos="567"/>
          <w:tab w:val="clear" w:pos="851"/>
        </w:tabs>
        <w:snapToGrid w:val="0"/>
        <w:spacing w:line="360" w:lineRule="auto"/>
        <w:ind w:left="567" w:hanging="56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本次磋商按照磋商须知前附表第</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项规定依法组建磋商小组。</w:t>
      </w:r>
    </w:p>
    <w:p>
      <w:pPr>
        <w:numPr>
          <w:ilvl w:val="1"/>
          <w:numId w:val="8"/>
        </w:numPr>
        <w:tabs>
          <w:tab w:val="left" w:pos="567"/>
          <w:tab w:val="clear" w:pos="851"/>
        </w:tabs>
        <w:snapToGrid w:val="0"/>
        <w:spacing w:line="360" w:lineRule="auto"/>
        <w:ind w:left="567" w:hanging="56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所有成员集中对响应文件进行审查，与每个供应商的响应文件进行先商务技术条件后价格的磋商，本次磋商采用一轮磋商，两次报价形式进行。磋商小组也可视实际情况确定磋商轮次（报价最多不超过3轮），并提交评审报告及推荐中标供应商。</w:t>
      </w:r>
    </w:p>
    <w:p>
      <w:pPr>
        <w:numPr>
          <w:ilvl w:val="1"/>
          <w:numId w:val="8"/>
        </w:numPr>
        <w:tabs>
          <w:tab w:val="left" w:pos="567"/>
          <w:tab w:val="clear" w:pos="851"/>
        </w:tabs>
        <w:snapToGrid w:val="0"/>
        <w:spacing w:line="360" w:lineRule="auto"/>
        <w:ind w:left="567" w:hanging="567"/>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磋商小组名单在磋商结果确定前严格保密。</w:t>
      </w:r>
    </w:p>
    <w:p>
      <w:pPr>
        <w:numPr>
          <w:ilvl w:val="0"/>
          <w:numId w:val="8"/>
        </w:numPr>
        <w:tabs>
          <w:tab w:val="left" w:pos="567"/>
          <w:tab w:val="clear" w:pos="851"/>
        </w:tabs>
        <w:snapToGrid w:val="0"/>
        <w:spacing w:line="360" w:lineRule="auto"/>
        <w:rPr>
          <w:rFonts w:hint="eastAsia" w:ascii="宋体" w:hAnsi="宋体" w:eastAsia="宋体" w:cs="宋体"/>
          <w:b/>
          <w:color w:val="auto"/>
          <w:sz w:val="21"/>
          <w:szCs w:val="21"/>
          <w:highlight w:val="none"/>
          <w:lang w:eastAsia="zh-TW"/>
        </w:rPr>
      </w:pPr>
      <w:r>
        <w:rPr>
          <w:rFonts w:hint="eastAsia" w:ascii="宋体" w:hAnsi="宋体" w:eastAsia="宋体" w:cs="宋体"/>
          <w:b/>
          <w:color w:val="auto"/>
          <w:sz w:val="21"/>
          <w:szCs w:val="21"/>
          <w:highlight w:val="none"/>
        </w:rPr>
        <w:t>评审方法：综合评分法。</w:t>
      </w:r>
    </w:p>
    <w:p>
      <w:pPr>
        <w:numPr>
          <w:ilvl w:val="0"/>
          <w:numId w:val="8"/>
        </w:numPr>
        <w:tabs>
          <w:tab w:val="left" w:pos="567"/>
          <w:tab w:val="clear" w:pos="851"/>
        </w:tabs>
        <w:snapToGrid w:val="0"/>
        <w:spacing w:line="360" w:lineRule="auto"/>
        <w:rPr>
          <w:rFonts w:hint="eastAsia" w:ascii="宋体" w:hAnsi="宋体" w:eastAsia="宋体" w:cs="宋体"/>
          <w:b/>
          <w:color w:val="auto"/>
          <w:sz w:val="21"/>
          <w:szCs w:val="21"/>
          <w:highlight w:val="none"/>
          <w:lang w:eastAsia="zh-TW"/>
        </w:rPr>
      </w:pPr>
      <w:r>
        <w:rPr>
          <w:rFonts w:hint="eastAsia" w:ascii="宋体" w:hAnsi="宋体" w:eastAsia="宋体" w:cs="宋体"/>
          <w:b/>
          <w:color w:val="auto"/>
          <w:sz w:val="21"/>
          <w:szCs w:val="21"/>
          <w:highlight w:val="none"/>
        </w:rPr>
        <w:t>评审程序</w:t>
      </w:r>
    </w:p>
    <w:p>
      <w:pPr>
        <w:tabs>
          <w:tab w:val="left" w:pos="567"/>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3.1 </w:t>
      </w: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确定磋商次序</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按照供应商签到的先后顺序作为磋商的先后顺序。</w:t>
      </w:r>
    </w:p>
    <w:p>
      <w:pPr>
        <w:tabs>
          <w:tab w:val="left" w:pos="567"/>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3.2 </w:t>
      </w: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磋商小组确认磋商文件</w:t>
      </w:r>
    </w:p>
    <w:p>
      <w:pPr>
        <w:tabs>
          <w:tab w:val="left" w:pos="567"/>
        </w:tabs>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 xml:space="preserve">3.3 </w:t>
      </w: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资格、符合性审查</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对每个供应商的响应文件进行资格、符合性审查。资格、符合性审查是审查响应文件是否对磋商文件的资格及实质性条款作出响应，评审细则详见“附表一：资格、符合性审查表”。对资格、符合性审查不通过的供应商，由磋商小组现场告知有关供应商，其响应文件作无效处理。</w:t>
      </w:r>
    </w:p>
    <w:p>
      <w:pPr>
        <w:tabs>
          <w:tab w:val="left" w:pos="567"/>
        </w:tabs>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3.4</w:t>
      </w: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磋商</w:t>
      </w:r>
    </w:p>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3.4.1</w:t>
      </w:r>
      <w:r>
        <w:rPr>
          <w:rFonts w:hint="eastAsia" w:ascii="宋体" w:hAnsi="宋体" w:eastAsia="宋体" w:cs="宋体"/>
          <w:color w:val="auto"/>
          <w:sz w:val="21"/>
          <w:szCs w:val="21"/>
          <w:highlight w:val="none"/>
        </w:rPr>
        <w:t>磋商文件未发生实质性变动的：</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集中与每个供应商分别进行磋商，并形成磋商纪要。磋商的内容主要是对响应文件的澄清、修正、补充、确认等。供应商磋商结束后，填写《磋商纪要》，在该文件上注明最后报价及有关承诺。《磋商纪要》是响应文件的有效组成部分。如磋商小组没有对磋商文件作实质性变动增加新的需求，后一轮报价不得高于前一轮报价，否则将按响应无效处理。</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3.4.2磋商文件发生实质性变动的：</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（1）书面通知变更内容</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磋商过程中，磋商小组可以根据磋商文件和磋商情况实质性变动采购需求中的技术、服务要求以及合同草案条款，但不得变动磋商文件中的其他内容。实质性变动的内容，经采购人代表确认后，由磋商小组书面通知所有供应商。对磋商文件作出的实质性变动是磋商文件的有效组成部分。</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（2）磋商</w:t>
      </w:r>
    </w:p>
    <w:p>
      <w:pPr>
        <w:snapToGrid w:val="0"/>
        <w:spacing w:line="360" w:lineRule="auto"/>
        <w:ind w:left="567" w:leftChars="27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集中与接受磋商文件变更的每个供应商分别进行磋商，并形成磋商纪要。磋商的内容主要是对响应文件的澄清、修正、补充、确认等。不接受磋商文件变更的供应商，视为自动退出磋商，其响应文件作无效处理。</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（3）重新提交响应文件（含报价）</w:t>
      </w:r>
    </w:p>
    <w:p>
      <w:pPr>
        <w:snapToGrid w:val="0"/>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按照磋商文件的变动情况和磋商小组的要求重新提交响应文件（指磋商结束后，在规定时间内填写《磋商纪要》，在该文件上注明最后报价及有关承诺，并提交）。最终报价时间视磋商进程由磋商小组决定。《磋商纪要》是响应文件的有效组成部分，须由其法定代表人或授权</w:t>
      </w:r>
    </w:p>
    <w:p>
      <w:pPr>
        <w:snapToGrid w:val="0"/>
        <w:spacing w:line="360" w:lineRule="auto"/>
        <w:ind w:firstLine="630" w:firstLineChars="300"/>
        <w:rPr>
          <w:rFonts w:hint="eastAsia" w:ascii="宋体" w:hAnsi="宋体" w:eastAsia="宋体" w:cs="宋体"/>
          <w:color w:val="auto"/>
          <w:sz w:val="21"/>
          <w:szCs w:val="21"/>
          <w:highlight w:val="none"/>
        </w:rPr>
      </w:pPr>
    </w:p>
    <w:p>
      <w:pPr>
        <w:snapToGrid w:val="0"/>
        <w:spacing w:line="360" w:lineRule="auto"/>
        <w:ind w:firstLine="630" w:firstLineChars="300"/>
        <w:rPr>
          <w:rFonts w:hint="eastAsia" w:ascii="宋体" w:hAnsi="宋体" w:eastAsia="宋体" w:cs="宋体"/>
          <w:color w:val="auto"/>
          <w:sz w:val="21"/>
          <w:szCs w:val="21"/>
          <w:highlight w:val="none"/>
        </w:rPr>
      </w:pPr>
    </w:p>
    <w:p>
      <w:pPr>
        <w:snapToGrid w:val="0"/>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代表签字或者加盖公章。由授权代表签字的，应当附法定代表人授权书。供应商为自然人的，应当由本人签字并附身份证明。</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若供应商未按《磋商纪要》的要求对相关问题进行响应的，视为非实质性响应磋商文件。</w:t>
      </w:r>
    </w:p>
    <w:p>
      <w:pPr>
        <w:tabs>
          <w:tab w:val="left" w:pos="567"/>
        </w:tabs>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3.5  公布最终报价</w:t>
      </w:r>
    </w:p>
    <w:p>
      <w:pPr>
        <w:snapToGrid w:val="0"/>
        <w:spacing w:line="360" w:lineRule="auto"/>
        <w:ind w:left="567" w:leftChars="2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除非在磋商中磋商小组调整或修改采购需求内容，否则采购人不接受高于前面轮次磋商报价的最终报价。最终报价内容现场公布。</w:t>
      </w:r>
    </w:p>
    <w:p>
      <w:pPr>
        <w:tabs>
          <w:tab w:val="left" w:pos="567"/>
        </w:tabs>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3.6  最终方案评审</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3.6.1综</w:t>
      </w:r>
      <w:r>
        <w:rPr>
          <w:rFonts w:hint="eastAsia" w:ascii="宋体" w:hAnsi="宋体" w:eastAsia="宋体" w:cs="宋体"/>
          <w:color w:val="auto"/>
          <w:sz w:val="21"/>
          <w:szCs w:val="21"/>
          <w:highlight w:val="none"/>
        </w:rPr>
        <w:t>合评分法评审步骤</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经磋商确定最终采购需求和提交最后报价的供应商后，由磋商小组采用综合评分法对提交最后报价的供应商的响应文件和最后报价进行综合评分。</w:t>
      </w:r>
      <w:r>
        <w:rPr>
          <w:rFonts w:hint="eastAsia" w:ascii="宋体" w:hAnsi="宋体" w:eastAsia="宋体" w:cs="宋体"/>
          <w:b/>
          <w:color w:val="auto"/>
          <w:sz w:val="21"/>
          <w:szCs w:val="21"/>
          <w:highlight w:val="none"/>
        </w:rPr>
        <w:t>先进行资格、符合性审查，再进行技术、商务及价格的详细评审。</w:t>
      </w:r>
      <w:r>
        <w:rPr>
          <w:rFonts w:hint="eastAsia" w:ascii="宋体" w:hAnsi="宋体" w:eastAsia="宋体" w:cs="宋体"/>
          <w:color w:val="auto"/>
          <w:sz w:val="21"/>
          <w:szCs w:val="21"/>
          <w:highlight w:val="none"/>
        </w:rPr>
        <w:t>只有通过资格、符合性审查的供应商才能进入下一步的详细评审。</w:t>
      </w:r>
    </w:p>
    <w:p>
      <w:pPr>
        <w:numPr>
          <w:ilvl w:val="1"/>
          <w:numId w:val="9"/>
        </w:numPr>
        <w:spacing w:line="360" w:lineRule="auto"/>
        <w:ind w:left="748" w:hanging="2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资格审查表（详见附表一）</w:t>
      </w:r>
    </w:p>
    <w:p>
      <w:pPr>
        <w:numPr>
          <w:ilvl w:val="1"/>
          <w:numId w:val="9"/>
        </w:numPr>
        <w:spacing w:line="360" w:lineRule="auto"/>
        <w:ind w:left="748" w:hanging="2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符合性审查表（详见附表二）</w:t>
      </w:r>
    </w:p>
    <w:p>
      <w:pPr>
        <w:numPr>
          <w:ilvl w:val="1"/>
          <w:numId w:val="9"/>
        </w:numPr>
        <w:spacing w:line="360" w:lineRule="auto"/>
        <w:ind w:left="748" w:hanging="2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技术评审表（详见附表三）</w:t>
      </w:r>
    </w:p>
    <w:p>
      <w:pPr>
        <w:numPr>
          <w:ilvl w:val="1"/>
          <w:numId w:val="9"/>
        </w:numPr>
        <w:spacing w:line="360" w:lineRule="auto"/>
        <w:ind w:left="748" w:hanging="2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商务评审表（详见附表四）</w:t>
      </w:r>
    </w:p>
    <w:p>
      <w:pPr>
        <w:numPr>
          <w:ilvl w:val="1"/>
          <w:numId w:val="9"/>
        </w:numPr>
        <w:spacing w:line="360" w:lineRule="auto"/>
        <w:ind w:left="748" w:hanging="2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价格评审</w:t>
      </w:r>
    </w:p>
    <w:p>
      <w:pPr>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3.6.2比较与评价</w:t>
      </w:r>
    </w:p>
    <w:p>
      <w:pPr>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磋商小组按磋商文件中规定的评审方法和标准，对资格、符合性审查合格的响应文件进行商务和技术评估，综合比较与评价。技术、商务、价格部分分值分配如下：</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889"/>
        <w:gridCol w:w="1701"/>
        <w:gridCol w:w="170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16"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评分项目</w:t>
            </w:r>
          </w:p>
        </w:tc>
        <w:tc>
          <w:tcPr>
            <w:tcW w:w="1889"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技术评分</w:t>
            </w:r>
          </w:p>
        </w:tc>
        <w:tc>
          <w:tcPr>
            <w:tcW w:w="1701"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商务评分</w:t>
            </w:r>
          </w:p>
        </w:tc>
        <w:tc>
          <w:tcPr>
            <w:tcW w:w="1701" w:type="dxa"/>
            <w:noWrap w:val="0"/>
            <w:vAlign w:val="center"/>
          </w:tcPr>
          <w:p>
            <w:pPr>
              <w:autoSpaceDE w:val="0"/>
              <w:autoSpaceDN w:val="0"/>
              <w:adjustRightInd w:val="0"/>
              <w:spacing w:line="360" w:lineRule="auto"/>
              <w:ind w:left="1" w:leftChars="-51" w:hanging="108" w:hangingChars="51"/>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价格评分</w:t>
            </w:r>
          </w:p>
        </w:tc>
        <w:tc>
          <w:tcPr>
            <w:tcW w:w="1609"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16"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权重</w:t>
            </w:r>
          </w:p>
        </w:tc>
        <w:tc>
          <w:tcPr>
            <w:tcW w:w="1889"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4</w:t>
            </w:r>
            <w:r>
              <w:rPr>
                <w:rFonts w:hint="eastAsia" w:ascii="宋体" w:hAnsi="宋体" w:eastAsia="宋体" w:cs="宋体"/>
                <w:b/>
                <w:color w:val="auto"/>
                <w:kern w:val="0"/>
                <w:sz w:val="21"/>
                <w:szCs w:val="21"/>
                <w:highlight w:val="none"/>
              </w:rPr>
              <w:t>0%</w:t>
            </w:r>
          </w:p>
        </w:tc>
        <w:tc>
          <w:tcPr>
            <w:tcW w:w="1701"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w:t>
            </w:r>
            <w:r>
              <w:rPr>
                <w:rFonts w:hint="eastAsia" w:ascii="宋体" w:hAnsi="宋体" w:eastAsia="宋体" w:cs="宋体"/>
                <w:b/>
                <w:color w:val="auto"/>
                <w:kern w:val="0"/>
                <w:sz w:val="21"/>
                <w:szCs w:val="21"/>
                <w:highlight w:val="none"/>
              </w:rPr>
              <w:t>0%</w:t>
            </w:r>
          </w:p>
        </w:tc>
        <w:tc>
          <w:tcPr>
            <w:tcW w:w="1701"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4</w:t>
            </w:r>
            <w:r>
              <w:rPr>
                <w:rFonts w:hint="eastAsia" w:ascii="宋体" w:hAnsi="宋体" w:eastAsia="宋体" w:cs="宋体"/>
                <w:b/>
                <w:color w:val="auto"/>
                <w:kern w:val="0"/>
                <w:sz w:val="21"/>
                <w:szCs w:val="21"/>
                <w:highlight w:val="none"/>
              </w:rPr>
              <w:t>0%</w:t>
            </w:r>
          </w:p>
        </w:tc>
        <w:tc>
          <w:tcPr>
            <w:tcW w:w="1609"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16"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分值</w:t>
            </w:r>
          </w:p>
        </w:tc>
        <w:tc>
          <w:tcPr>
            <w:tcW w:w="1889"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4</w:t>
            </w:r>
            <w:r>
              <w:rPr>
                <w:rFonts w:hint="eastAsia" w:ascii="宋体" w:hAnsi="宋体" w:eastAsia="宋体" w:cs="宋体"/>
                <w:b/>
                <w:color w:val="auto"/>
                <w:kern w:val="0"/>
                <w:sz w:val="21"/>
                <w:szCs w:val="21"/>
                <w:highlight w:val="none"/>
              </w:rPr>
              <w:t>0分</w:t>
            </w:r>
          </w:p>
        </w:tc>
        <w:tc>
          <w:tcPr>
            <w:tcW w:w="1701"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20</w:t>
            </w:r>
            <w:r>
              <w:rPr>
                <w:rFonts w:hint="eastAsia" w:ascii="宋体" w:hAnsi="宋体" w:eastAsia="宋体" w:cs="宋体"/>
                <w:b/>
                <w:color w:val="auto"/>
                <w:kern w:val="0"/>
                <w:sz w:val="21"/>
                <w:szCs w:val="21"/>
                <w:highlight w:val="none"/>
              </w:rPr>
              <w:t>分</w:t>
            </w:r>
          </w:p>
        </w:tc>
        <w:tc>
          <w:tcPr>
            <w:tcW w:w="1701"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40</w:t>
            </w:r>
            <w:r>
              <w:rPr>
                <w:rFonts w:hint="eastAsia" w:ascii="宋体" w:hAnsi="宋体" w:eastAsia="宋体" w:cs="宋体"/>
                <w:b/>
                <w:color w:val="auto"/>
                <w:kern w:val="0"/>
                <w:sz w:val="21"/>
                <w:szCs w:val="21"/>
                <w:highlight w:val="none"/>
              </w:rPr>
              <w:t>分</w:t>
            </w:r>
          </w:p>
        </w:tc>
        <w:tc>
          <w:tcPr>
            <w:tcW w:w="1609" w:type="dxa"/>
            <w:noWrap w:val="0"/>
            <w:vAlign w:val="center"/>
          </w:tcPr>
          <w:p>
            <w:pPr>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100分</w:t>
            </w:r>
          </w:p>
        </w:tc>
      </w:tr>
    </w:tbl>
    <w:p>
      <w:pPr>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具体打分标准如下：</w:t>
      </w:r>
    </w:p>
    <w:p>
      <w:pPr>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（1）技术、商务评分</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磋商小组分别对各供应商的技术、商务响应文件中的各项内容进行评议比较，详细对比其技术、商务方案等各种因素方面是否满足磋商文件的要求。在技术、商务评审表的相应项各自记名打分。</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（2）技术商务得分统计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将所有磋商小组的技术评分的算术平均值即为每个有效供应商的技术得分（四舍五入后，精确到0.01）。</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将所有磋商小组的商务评分的算术平均值即为每个有效供应商的商务得分（四舍五入后，精确到0.01）。</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将技术得分、商务得分相加乘于对应权重得出商务技术得分。</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（3）价格核准和评分</w:t>
      </w:r>
    </w:p>
    <w:p>
      <w:pPr>
        <w:pStyle w:val="40"/>
        <w:numPr>
          <w:ilvl w:val="0"/>
          <w:numId w:val="10"/>
        </w:numPr>
        <w:snapToGrid w:val="0"/>
        <w:spacing w:line="360" w:lineRule="auto"/>
        <w:ind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价格的核准</w:t>
      </w:r>
    </w:p>
    <w:p>
      <w:pPr>
        <w:snapToGrid w:val="0"/>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供应商不得以低于成本的报价竞争 (若报价明显低于其成本（报价低于采购预算80%（含）以下），供应商应能做出合理说明)。如果磋商小组发现供应商的报价明显低于其他供应商的，使得</w:t>
      </w:r>
    </w:p>
    <w:p>
      <w:pPr>
        <w:snapToGrid w:val="0"/>
        <w:spacing w:line="360" w:lineRule="auto"/>
        <w:ind w:firstLine="411" w:firstLineChars="196"/>
        <w:rPr>
          <w:rFonts w:hint="eastAsia" w:ascii="宋体" w:hAnsi="宋体" w:eastAsia="宋体" w:cs="宋体"/>
          <w:color w:val="auto"/>
          <w:sz w:val="21"/>
          <w:szCs w:val="21"/>
          <w:highlight w:val="none"/>
        </w:rPr>
      </w:pPr>
    </w:p>
    <w:p>
      <w:pPr>
        <w:snapToGrid w:val="0"/>
        <w:spacing w:line="360" w:lineRule="auto"/>
        <w:ind w:firstLine="411" w:firstLineChars="196"/>
        <w:rPr>
          <w:rFonts w:hint="eastAsia" w:ascii="宋体" w:hAnsi="宋体" w:eastAsia="宋体" w:cs="宋体"/>
          <w:color w:val="auto"/>
          <w:sz w:val="21"/>
          <w:szCs w:val="21"/>
          <w:highlight w:val="none"/>
        </w:rPr>
      </w:pPr>
    </w:p>
    <w:p>
      <w:pPr>
        <w:snapToGrid w:val="0"/>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其报价可能低于其个别成本的，将要求该供应商作书面说明并提供相关证明材料。供应商不能合理说明或不能提供相关证明材料的，磋商小组将认定该供应商以低于成本报价竞争，其响应文件作无效处理。</w:t>
      </w:r>
    </w:p>
    <w:p>
      <w:pPr>
        <w:snapToGrid w:val="0"/>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磋商小组先对入围供应商的最后报价进行复核，审查其是否有计算上的错误，修正错误的原则如下</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按上述修正错误的方法调整后的最后报价，对供应商具有约束力。如果供应商不接受修正后的价格，则其响应文件作无效处理。</w:t>
      </w:r>
    </w:p>
    <w:p>
      <w:pPr>
        <w:pStyle w:val="40"/>
        <w:numPr>
          <w:ilvl w:val="0"/>
          <w:numId w:val="10"/>
        </w:numPr>
        <w:tabs>
          <w:tab w:val="left" w:pos="570"/>
        </w:tabs>
        <w:snapToGrid w:val="0"/>
        <w:spacing w:line="360" w:lineRule="auto"/>
        <w:ind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政策价格扣除</w:t>
      </w:r>
    </w:p>
    <w:p>
      <w:pPr>
        <w:tabs>
          <w:tab w:val="left" w:pos="1050"/>
        </w:tabs>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1.小型和微型企业产品价格扣除</w:t>
      </w:r>
    </w:p>
    <w:p>
      <w:pPr>
        <w:numPr>
          <w:ilvl w:val="1"/>
          <w:numId w:val="11"/>
        </w:numPr>
        <w:tabs>
          <w:tab w:val="left" w:pos="1050"/>
        </w:tabs>
        <w:spacing w:line="360" w:lineRule="auto"/>
        <w:ind w:left="10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根据财务部、工业和信息化部印发的《政府采购促进中小企业发展暂行办法》（财库[2014]181号）的规定，对小型和微型企业产品的价格给予</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的扣除，联合体一方为小型、微型企业且小型、微型企业协议合同金额占联合体协议合同总金额30%以上的对联合体总金额扣除2%，用扣除后的价格参与评审；报价产品中仅有部分小型和微型企业产品的，则按所投小型和微型企业产品的价格予以扣除。</w:t>
      </w:r>
    </w:p>
    <w:p>
      <w:pPr>
        <w:numPr>
          <w:ilvl w:val="1"/>
          <w:numId w:val="11"/>
        </w:numPr>
        <w:tabs>
          <w:tab w:val="left" w:pos="1050"/>
        </w:tabs>
        <w:spacing w:line="360" w:lineRule="auto"/>
        <w:ind w:left="10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《政府采购促进中小企业发展暂行办法》所称中小企业（含中型、小型、微型企业，下同）应当同时符合以下条件：</w:t>
      </w:r>
    </w:p>
    <w:p>
      <w:pPr>
        <w:spacing w:line="360" w:lineRule="auto"/>
        <w:ind w:left="6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①符合中小企业划分标准；</w:t>
      </w:r>
    </w:p>
    <w:p>
      <w:pPr>
        <w:spacing w:line="360" w:lineRule="auto"/>
        <w:ind w:left="630" w:firstLine="48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②提供本企业制造的货物、承担的工程或者服务，或者提供其他中小企业制造的货物。本项所称货物不包括使用大型企业注册商标的货物。</w:t>
      </w:r>
    </w:p>
    <w:p>
      <w:pPr>
        <w:spacing w:line="360" w:lineRule="auto"/>
        <w:ind w:left="630" w:firstLine="48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小企业划分标准以《工业和信息化部、国家统计局、国家发展和改革委员会、财政部关于印发中小企业划型标准的通知》（工信部联企业[2014]300号）规定的划分标准为准。小型、微型企业提供中型企业制造的货物的，视同为中型企业。</w:t>
      </w:r>
    </w:p>
    <w:p>
      <w:pPr>
        <w:numPr>
          <w:ilvl w:val="0"/>
          <w:numId w:val="0"/>
        </w:numPr>
        <w:spacing w:line="360" w:lineRule="auto"/>
        <w:ind w:left="1110" w:left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③</w:t>
      </w:r>
      <w:r>
        <w:rPr>
          <w:rFonts w:hint="eastAsia" w:ascii="宋体" w:hAnsi="宋体" w:eastAsia="宋体" w:cs="宋体"/>
          <w:bCs/>
          <w:color w:val="auto"/>
          <w:sz w:val="21"/>
          <w:szCs w:val="21"/>
          <w:highlight w:val="none"/>
        </w:rPr>
        <w:t>参加政府采购活动的中小企业应当提供《中小企业声明函》</w:t>
      </w:r>
    </w:p>
    <w:p>
      <w:pPr>
        <w:tabs>
          <w:tab w:val="left" w:pos="1050"/>
        </w:tabs>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2.监狱企业产品价格扣除</w:t>
      </w:r>
    </w:p>
    <w:p>
      <w:pPr>
        <w:numPr>
          <w:ilvl w:val="0"/>
          <w:numId w:val="12"/>
        </w:numPr>
        <w:tabs>
          <w:tab w:val="left" w:pos="1050"/>
        </w:tabs>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监狱企业视同小型、微型企业，按上述1.的a)条款享受评审中价格扣除。</w:t>
      </w:r>
    </w:p>
    <w:p>
      <w:pPr>
        <w:numPr>
          <w:ilvl w:val="0"/>
          <w:numId w:val="12"/>
        </w:numPr>
        <w:tabs>
          <w:tab w:val="left" w:pos="1050"/>
        </w:tabs>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0"/>
          <w:numId w:val="12"/>
        </w:numPr>
        <w:tabs>
          <w:tab w:val="left" w:pos="1050"/>
        </w:tabs>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监狱企业参加政府采购活动时，应当提供由省级以上监狱管理局、戒毒管理局（含新疆生产建设兵团）出具的属于监狱企业的证明文件，否则不予认可。</w:t>
      </w:r>
    </w:p>
    <w:p>
      <w:pPr>
        <w:tabs>
          <w:tab w:val="left" w:pos="1050"/>
        </w:tabs>
        <w:spacing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3.残疾人福利性单位产品价格扣除</w:t>
      </w:r>
    </w:p>
    <w:p>
      <w:pPr>
        <w:numPr>
          <w:ilvl w:val="0"/>
          <w:numId w:val="0"/>
        </w:numPr>
        <w:tabs>
          <w:tab w:val="left" w:pos="1050"/>
        </w:tabs>
        <w:spacing w:line="360" w:lineRule="auto"/>
        <w:ind w:left="420" w:leftChars="0"/>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a)</w:t>
      </w:r>
      <w:r>
        <w:rPr>
          <w:rFonts w:hint="eastAsia" w:ascii="宋体" w:hAnsi="宋体" w:eastAsia="宋体" w:cs="宋体"/>
          <w:bCs/>
          <w:color w:val="auto"/>
          <w:sz w:val="21"/>
          <w:szCs w:val="21"/>
          <w:highlight w:val="none"/>
        </w:rPr>
        <w:t>残疾人福利性单位视同小型、微型企业，按上述1.的a)条款享受评审中价格扣除。</w:t>
      </w:r>
    </w:p>
    <w:p>
      <w:pPr>
        <w:numPr>
          <w:ilvl w:val="0"/>
          <w:numId w:val="0"/>
        </w:numPr>
        <w:tabs>
          <w:tab w:val="left" w:pos="1050"/>
        </w:tabs>
        <w:spacing w:line="360" w:lineRule="auto"/>
        <w:rPr>
          <w:rFonts w:hint="eastAsia" w:ascii="宋体" w:hAnsi="宋体" w:cs="宋体"/>
          <w:bCs/>
          <w:color w:val="auto"/>
          <w:sz w:val="21"/>
          <w:szCs w:val="21"/>
          <w:highlight w:val="none"/>
          <w:lang w:val="en-US" w:eastAsia="zh-CN"/>
        </w:rPr>
      </w:pPr>
    </w:p>
    <w:p>
      <w:pPr>
        <w:numPr>
          <w:ilvl w:val="0"/>
          <w:numId w:val="0"/>
        </w:numPr>
        <w:tabs>
          <w:tab w:val="left" w:pos="1050"/>
        </w:tabs>
        <w:spacing w:line="360" w:lineRule="auto"/>
        <w:rPr>
          <w:rFonts w:hint="eastAsia" w:ascii="宋体" w:hAnsi="宋体" w:cs="宋体"/>
          <w:bCs/>
          <w:color w:val="auto"/>
          <w:sz w:val="21"/>
          <w:szCs w:val="21"/>
          <w:highlight w:val="none"/>
          <w:lang w:val="en-US" w:eastAsia="zh-CN"/>
        </w:rPr>
      </w:pPr>
    </w:p>
    <w:p>
      <w:pPr>
        <w:numPr>
          <w:ilvl w:val="0"/>
          <w:numId w:val="0"/>
        </w:numPr>
        <w:tabs>
          <w:tab w:val="left" w:pos="1050"/>
        </w:tabs>
        <w:spacing w:line="360" w:lineRule="auto"/>
        <w:ind w:firstLine="210" w:firstLineChars="100"/>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 xml:space="preserve">b) </w:t>
      </w:r>
      <w:r>
        <w:rPr>
          <w:rFonts w:hint="eastAsia" w:ascii="宋体" w:hAnsi="宋体" w:eastAsia="宋体" w:cs="宋体"/>
          <w:bCs/>
          <w:color w:val="auto"/>
          <w:sz w:val="21"/>
          <w:szCs w:val="21"/>
          <w:highlight w:val="none"/>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供应商提供的《残疾人福利性单位声明函》与事实不符的，依照《政府采购法》第七十七条第一款的规定追究法律责任。</w:t>
      </w:r>
    </w:p>
    <w:p>
      <w:pPr>
        <w:tabs>
          <w:tab w:val="left" w:pos="1050"/>
        </w:tabs>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4.供应商同时为小型、微型企业、监狱企业和残疾人福利性单位任两种或以上情况的，评审中只享受一次价格扣除。不重复进行价格扣除。</w:t>
      </w:r>
    </w:p>
    <w:p>
      <w:pPr>
        <w:pStyle w:val="40"/>
        <w:numPr>
          <w:ilvl w:val="0"/>
          <w:numId w:val="10"/>
        </w:numPr>
        <w:snapToGrid w:val="0"/>
        <w:spacing w:line="360" w:lineRule="auto"/>
        <w:ind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价格评分</w:t>
      </w:r>
    </w:p>
    <w:p>
      <w:pPr>
        <w:snapToGrid w:val="0"/>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对入围的供应商的最后价格进行修正及价格扣除得出评审价。综合评分法中的价格分统一采用低价优先法计算，即满足磋商文件要求（通过资格、符合性审查）且价格最低的有效最后报价（指修正后的价格，下同）为磋商基准价，其价格分为满分。其他供应商的价格分统一按照下列公式计算：</w:t>
      </w:r>
    </w:p>
    <w:p>
      <w:pPr>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磋商报价得分＝（磋商基准价／最后磋商报价）x 价格权值X 100（精确到0.01）。</w:t>
      </w:r>
    </w:p>
    <w:p>
      <w:pPr>
        <w:tabs>
          <w:tab w:val="left" w:pos="567"/>
        </w:tabs>
        <w:snapToGrid w:val="0"/>
        <w:spacing w:line="360" w:lineRule="auto"/>
        <w:ind w:firstLine="210" w:firstLineChars="100"/>
        <w:rPr>
          <w:rFonts w:hint="eastAsia" w:ascii="宋体" w:hAnsi="宋体" w:eastAsia="宋体" w:cs="宋体"/>
          <w:bCs/>
          <w:color w:val="auto"/>
          <w:sz w:val="21"/>
          <w:szCs w:val="21"/>
          <w:highlight w:val="none"/>
        </w:rPr>
      </w:pPr>
      <w:bookmarkStart w:id="45" w:name="_Toc418701687"/>
      <w:r>
        <w:rPr>
          <w:rFonts w:hint="eastAsia" w:ascii="宋体" w:hAnsi="宋体" w:eastAsia="宋体" w:cs="宋体"/>
          <w:bCs/>
          <w:color w:val="auto"/>
          <w:sz w:val="21"/>
          <w:szCs w:val="21"/>
          <w:highlight w:val="none"/>
        </w:rPr>
        <w:t>4.确定中标供应商</w:t>
      </w:r>
      <w:bookmarkEnd w:id="45"/>
    </w:p>
    <w:p>
      <w:pPr>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采购人将根据评审结果，确定中标供应商。采购代理机构受采购人委托在规定的媒体</w:t>
      </w:r>
      <w:r>
        <w:rPr>
          <w:rFonts w:hint="eastAsia" w:ascii="宋体" w:hAnsi="宋体" w:eastAsia="宋体" w:cs="宋体"/>
          <w:bCs/>
          <w:color w:val="auto"/>
          <w:sz w:val="21"/>
          <w:szCs w:val="21"/>
          <w:highlight w:val="none"/>
        </w:rPr>
        <w:t>上发布中标公告，同时</w:t>
      </w:r>
      <w:r>
        <w:rPr>
          <w:rFonts w:hint="eastAsia" w:ascii="宋体" w:hAnsi="宋体" w:eastAsia="宋体" w:cs="宋体"/>
          <w:color w:val="auto"/>
          <w:sz w:val="21"/>
          <w:szCs w:val="21"/>
          <w:highlight w:val="none"/>
        </w:rPr>
        <w:t>向中标供应商发出书面《中标通知书》，向所有</w:t>
      </w:r>
      <w:r>
        <w:rPr>
          <w:rFonts w:hint="eastAsia" w:ascii="宋体" w:hAnsi="宋体" w:eastAsia="宋体" w:cs="宋体"/>
          <w:bCs/>
          <w:color w:val="auto"/>
          <w:sz w:val="21"/>
          <w:szCs w:val="21"/>
          <w:highlight w:val="none"/>
        </w:rPr>
        <w:t>未中标供应商</w:t>
      </w:r>
      <w:r>
        <w:rPr>
          <w:rFonts w:hint="eastAsia" w:ascii="宋体" w:hAnsi="宋体" w:eastAsia="宋体" w:cs="宋体"/>
          <w:color w:val="auto"/>
          <w:sz w:val="21"/>
          <w:szCs w:val="21"/>
          <w:highlight w:val="none"/>
        </w:rPr>
        <w:t>发出《中标结果通知书》。</w:t>
      </w:r>
    </w:p>
    <w:p>
      <w:pPr>
        <w:spacing w:line="360" w:lineRule="auto"/>
        <w:rPr>
          <w:rFonts w:hint="eastAsia" w:ascii="宋体" w:hAnsi="宋体" w:eastAsia="宋体" w:cs="宋体"/>
          <w:color w:val="auto"/>
          <w:sz w:val="21"/>
          <w:szCs w:val="21"/>
          <w:highlight w:val="none"/>
        </w:rPr>
      </w:pPr>
    </w:p>
    <w:p>
      <w:pPr>
        <w:adjustRightInd w:val="0"/>
        <w:snapToGrid w:val="0"/>
        <w:spacing w:line="360" w:lineRule="auto"/>
        <w:outlineLvl w:val="2"/>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br w:type="page"/>
      </w:r>
      <w:r>
        <w:rPr>
          <w:rFonts w:hint="eastAsia" w:ascii="宋体" w:hAnsi="宋体" w:eastAsia="宋体" w:cs="宋体"/>
          <w:b/>
          <w:color w:val="auto"/>
          <w:sz w:val="21"/>
          <w:szCs w:val="21"/>
          <w:highlight w:val="none"/>
        </w:rPr>
        <w:t>附表一：资格审查表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永宁镇下岔河村人居环境整治项目</w:t>
      </w:r>
      <w:r>
        <w:rPr>
          <w:rFonts w:hint="eastAsia" w:ascii="宋体" w:hAnsi="宋体" w:eastAsia="宋体" w:cs="宋体"/>
          <w:color w:val="auto"/>
          <w:sz w:val="21"/>
          <w:szCs w:val="21"/>
          <w:highlight w:val="none"/>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采购编号：</w:t>
      </w:r>
      <w:r>
        <w:rPr>
          <w:rFonts w:hint="eastAsia" w:ascii="宋体" w:hAnsi="宋体" w:eastAsia="宋体" w:cs="宋体"/>
          <w:color w:val="auto"/>
          <w:kern w:val="0"/>
          <w:sz w:val="21"/>
          <w:szCs w:val="21"/>
          <w:highlight w:val="none"/>
          <w:lang w:eastAsia="zh-CN"/>
        </w:rPr>
        <w:t>XJZTZFCG(CS)-202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cs="宋体"/>
          <w:color w:val="auto"/>
          <w:kern w:val="0"/>
          <w:sz w:val="21"/>
          <w:szCs w:val="21"/>
          <w:highlight w:val="none"/>
          <w:lang w:eastAsia="zh-CN"/>
        </w:rPr>
        <w:t>00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sz w:val="21"/>
          <w:szCs w:val="21"/>
          <w:highlight w:val="none"/>
        </w:rPr>
        <w:t xml:space="preserve">                日期：202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  月  日</w:t>
      </w:r>
    </w:p>
    <w:tbl>
      <w:tblPr>
        <w:tblStyle w:val="23"/>
        <w:tblW w:w="925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995"/>
        <w:gridCol w:w="66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85" w:type="dxa"/>
            <w:shd w:val="clear" w:color="auto" w:fill="D9D9D9"/>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8674" w:type="dxa"/>
            <w:gridSpan w:val="2"/>
            <w:shd w:val="clear" w:color="auto" w:fill="D9D9D9"/>
            <w:noWrap w:val="0"/>
            <w:vAlign w:val="center"/>
          </w:tcPr>
          <w:p>
            <w:pPr>
              <w:keepNext w:val="0"/>
              <w:keepLines w:val="0"/>
              <w:suppressLineNumbers w:val="0"/>
              <w:spacing w:before="0" w:beforeAutospacing="0" w:after="0" w:afterAutospacing="0"/>
              <w:ind w:left="0" w:right="-124" w:rightChars="-5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85"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995" w:type="dxa"/>
            <w:vMerge w:val="restar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kern w:val="28"/>
                <w:sz w:val="21"/>
                <w:szCs w:val="21"/>
                <w:highlight w:val="none"/>
              </w:rPr>
              <w:t>具备《政府采购法》第二十二条供应商资格条件</w:t>
            </w:r>
          </w:p>
        </w:tc>
        <w:tc>
          <w:tcPr>
            <w:tcW w:w="6679" w:type="dxa"/>
            <w:noWrap w:val="0"/>
            <w:vAlign w:val="center"/>
          </w:tcPr>
          <w:p>
            <w:pPr>
              <w:pStyle w:val="22"/>
              <w:keepNext w:val="0"/>
              <w:keepLines w:val="0"/>
              <w:suppressLineNumbers w:val="0"/>
              <w:spacing w:line="360" w:lineRule="auto"/>
              <w:ind w:left="0" w:leftChars="0" w:right="0" w:rightChars="0"/>
              <w:contextualSpacing/>
              <w:rPr>
                <w:rFonts w:hint="default"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具有独立承担民事责任的能力</w:t>
            </w:r>
            <w:r>
              <w:rPr>
                <w:rFonts w:hint="eastAsia" w:cs="宋体"/>
                <w:color w:val="auto"/>
                <w:kern w:val="28"/>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rPr>
            </w:pPr>
          </w:p>
        </w:tc>
        <w:tc>
          <w:tcPr>
            <w:tcW w:w="1995"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rPr>
            </w:pPr>
          </w:p>
        </w:tc>
        <w:tc>
          <w:tcPr>
            <w:tcW w:w="6679" w:type="dxa"/>
            <w:noWrap w:val="0"/>
            <w:vAlign w:val="center"/>
          </w:tcPr>
          <w:p>
            <w:pPr>
              <w:pStyle w:val="22"/>
              <w:keepNext w:val="0"/>
              <w:keepLines w:val="0"/>
              <w:suppressLineNumbers w:val="0"/>
              <w:spacing w:line="360" w:lineRule="auto"/>
              <w:ind w:left="0" w:leftChars="0" w:right="0" w:rightChars="0"/>
              <w:contextualSpacing/>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法定代表人身份证原件或法定代表人授权委托书和委托代理人身份证原件（授权委托书应附上法人和代理人身份证复印件）；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rPr>
            </w:pPr>
          </w:p>
        </w:tc>
        <w:tc>
          <w:tcPr>
            <w:tcW w:w="1995"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rPr>
            </w:pPr>
          </w:p>
        </w:tc>
        <w:tc>
          <w:tcPr>
            <w:tcW w:w="667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提供202</w:t>
            </w:r>
            <w:r>
              <w:rPr>
                <w:rFonts w:hint="eastAsia" w:ascii="宋体" w:hAnsi="宋体" w:cs="宋体"/>
                <w:color w:val="auto"/>
                <w:kern w:val="28"/>
                <w:sz w:val="21"/>
                <w:szCs w:val="21"/>
                <w:highlight w:val="none"/>
                <w:lang w:val="en-US" w:eastAsia="zh-CN" w:bidi="ar-SA"/>
              </w:rPr>
              <w:t>2</w:t>
            </w:r>
            <w:r>
              <w:rPr>
                <w:rFonts w:hint="eastAsia" w:ascii="宋体" w:hAnsi="宋体" w:eastAsia="宋体" w:cs="宋体"/>
                <w:color w:val="auto"/>
                <w:kern w:val="28"/>
                <w:sz w:val="21"/>
                <w:szCs w:val="21"/>
                <w:highlight w:val="none"/>
                <w:lang w:val="en-US" w:eastAsia="zh-CN" w:bidi="ar-SA"/>
              </w:rPr>
              <w:t>年或202</w:t>
            </w:r>
            <w:r>
              <w:rPr>
                <w:rFonts w:hint="eastAsia" w:ascii="宋体" w:hAnsi="宋体" w:cs="宋体"/>
                <w:color w:val="auto"/>
                <w:kern w:val="28"/>
                <w:sz w:val="21"/>
                <w:szCs w:val="21"/>
                <w:highlight w:val="none"/>
                <w:lang w:val="en-US" w:eastAsia="zh-CN" w:bidi="ar-SA"/>
              </w:rPr>
              <w:t>3</w:t>
            </w:r>
            <w:r>
              <w:rPr>
                <w:rFonts w:hint="eastAsia" w:ascii="宋体" w:hAnsi="宋体" w:eastAsia="宋体" w:cs="宋体"/>
                <w:color w:val="auto"/>
                <w:kern w:val="28"/>
                <w:sz w:val="21"/>
                <w:szCs w:val="21"/>
                <w:highlight w:val="none"/>
                <w:lang w:val="en-US" w:eastAsia="zh-CN" w:bidi="ar-SA"/>
              </w:rPr>
              <w:t>年财务状况报告（新成立的公司可不提供）；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8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rPr>
            </w:pPr>
          </w:p>
        </w:tc>
        <w:tc>
          <w:tcPr>
            <w:tcW w:w="1995"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rPr>
            </w:pPr>
          </w:p>
        </w:tc>
        <w:tc>
          <w:tcPr>
            <w:tcW w:w="6679" w:type="dxa"/>
            <w:noWrap w:val="0"/>
            <w:vAlign w:val="center"/>
          </w:tcPr>
          <w:p>
            <w:pPr>
              <w:pStyle w:val="22"/>
              <w:keepNext w:val="0"/>
              <w:keepLines w:val="0"/>
              <w:suppressLineNumbers w:val="0"/>
              <w:spacing w:line="360" w:lineRule="auto"/>
              <w:ind w:left="0" w:leftChars="0" w:right="0" w:rightChars="0"/>
              <w:contextualSpacing/>
              <w:jc w:val="both"/>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具有履行合同所必需的设备和专业技术能力（提供书面说明）；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8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rPr>
            </w:pPr>
          </w:p>
        </w:tc>
        <w:tc>
          <w:tcPr>
            <w:tcW w:w="1995"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rPr>
            </w:pPr>
          </w:p>
        </w:tc>
        <w:tc>
          <w:tcPr>
            <w:tcW w:w="667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提供近半年依法缴纳税收的证明（纳税凭证）复印件，如依法免税的，应提供相应文件证明其依法免税（新成立的公司可不提供）；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8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rPr>
            </w:pPr>
          </w:p>
        </w:tc>
        <w:tc>
          <w:tcPr>
            <w:tcW w:w="1995"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rPr>
            </w:pPr>
          </w:p>
        </w:tc>
        <w:tc>
          <w:tcPr>
            <w:tcW w:w="667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提供近半年依法缴纳社会保险的证明（缴费凭证）复印件，如依法不需要缴纳社会保障资金的，应提供相应文件证明其依法不需要缴纳社会保障资金（新成立的公司可不提供）；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8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rPr>
            </w:pPr>
          </w:p>
        </w:tc>
        <w:tc>
          <w:tcPr>
            <w:tcW w:w="1995"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rPr>
            </w:pPr>
          </w:p>
        </w:tc>
        <w:tc>
          <w:tcPr>
            <w:tcW w:w="667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具备法律、行政法规规定的其他条件的书面声明；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2</w:t>
            </w:r>
          </w:p>
        </w:tc>
        <w:tc>
          <w:tcPr>
            <w:tcW w:w="8674"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FF0000"/>
                <w:sz w:val="21"/>
                <w:szCs w:val="21"/>
                <w:highlight w:val="none"/>
              </w:rPr>
            </w:pPr>
            <w:r>
              <w:rPr>
                <w:rFonts w:hint="eastAsia" w:ascii="宋体" w:hAnsi="宋体" w:eastAsia="宋体" w:cs="宋体"/>
                <w:color w:val="auto"/>
                <w:kern w:val="28"/>
                <w:sz w:val="21"/>
                <w:szCs w:val="21"/>
                <w:highlight w:val="none"/>
                <w:lang w:val="en-US" w:eastAsia="zh-CN" w:bidi="ar-SA"/>
              </w:rPr>
              <w:t>提供《公平竞争承诺书》；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3</w:t>
            </w:r>
          </w:p>
        </w:tc>
        <w:tc>
          <w:tcPr>
            <w:tcW w:w="8674"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8"/>
                <w:sz w:val="21"/>
                <w:szCs w:val="21"/>
                <w:highlight w:val="none"/>
                <w:lang w:val="en-US" w:eastAsia="zh-CN" w:bidi="ar-SA"/>
              </w:rPr>
            </w:pPr>
            <w:r>
              <w:rPr>
                <w:rFonts w:hint="eastAsia" w:ascii="宋体" w:hAnsi="宋体" w:eastAsia="宋体" w:cs="宋体"/>
                <w:color w:val="auto"/>
                <w:kern w:val="28"/>
                <w:sz w:val="21"/>
                <w:szCs w:val="21"/>
                <w:highlight w:val="none"/>
                <w:lang w:val="en-US" w:eastAsia="zh-CN" w:bidi="ar-SA"/>
              </w:rPr>
              <w:t>供应商为中小企业，请根据要求单独上传《中小企业声明函》，格式以采购文件要求为准；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4</w:t>
            </w:r>
          </w:p>
        </w:tc>
        <w:tc>
          <w:tcPr>
            <w:tcW w:w="8674" w:type="dxa"/>
            <w:gridSpan w:val="2"/>
            <w:noWrap w:val="0"/>
            <w:vAlign w:val="center"/>
          </w:tcPr>
          <w:p>
            <w:pPr>
              <w:pStyle w:val="30"/>
              <w:keepNext w:val="0"/>
              <w:keepLines w:val="0"/>
              <w:pageBreakBefore w:val="0"/>
              <w:widowControl w:val="0"/>
              <w:kinsoku/>
              <w:wordWrap/>
              <w:overflowPunct/>
              <w:topLinePunct w:val="0"/>
              <w:bidi w:val="0"/>
              <w:snapToGrid/>
              <w:spacing w:line="360" w:lineRule="auto"/>
              <w:textAlignment w:val="auto"/>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投标人须</w:t>
            </w:r>
            <w:r>
              <w:rPr>
                <w:rFonts w:hint="eastAsia" w:ascii="宋体" w:hAnsi="宋体" w:eastAsia="宋体" w:cs="宋体"/>
                <w:color w:val="auto"/>
                <w:sz w:val="21"/>
                <w:szCs w:val="21"/>
                <w:highlight w:val="none"/>
                <w:lang w:eastAsia="zh-CN"/>
              </w:rPr>
              <w:t>具备</w:t>
            </w:r>
            <w:r>
              <w:rPr>
                <w:rFonts w:hint="eastAsia" w:ascii="宋体" w:hAnsi="宋体" w:cs="宋体"/>
                <w:color w:val="auto"/>
                <w:sz w:val="21"/>
                <w:szCs w:val="21"/>
                <w:highlight w:val="none"/>
                <w:lang w:val="en-US" w:eastAsia="zh-CN"/>
              </w:rPr>
              <w:t>市政公用工程施工</w:t>
            </w:r>
            <w:r>
              <w:rPr>
                <w:rFonts w:hint="eastAsia" w:ascii="宋体" w:hAnsi="宋体" w:eastAsia="宋体" w:cs="宋体"/>
                <w:color w:val="auto"/>
                <w:sz w:val="21"/>
                <w:szCs w:val="21"/>
                <w:highlight w:val="none"/>
              </w:rPr>
              <w:t>总承包</w:t>
            </w:r>
            <w:r>
              <w:rPr>
                <w:rFonts w:hint="eastAsia" w:ascii="宋体" w:hAnsi="宋体" w:eastAsia="宋体" w:cs="宋体"/>
                <w:color w:val="auto"/>
                <w:sz w:val="21"/>
                <w:szCs w:val="21"/>
                <w:highlight w:val="none"/>
                <w:lang w:eastAsia="zh-CN"/>
              </w:rPr>
              <w:t>叁级（含叁级）</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lang w:eastAsia="zh-CN"/>
              </w:rPr>
              <w:t>以上资质，具有合格有效的施工企业安全生产许可证，区外企业需提供进疆企业信息报送手续。拟用项目负责人须</w:t>
            </w:r>
            <w:r>
              <w:rPr>
                <w:rFonts w:hint="eastAsia" w:ascii="宋体" w:hAnsi="宋体" w:eastAsia="宋体" w:cs="宋体"/>
                <w:color w:val="auto"/>
                <w:sz w:val="21"/>
                <w:szCs w:val="21"/>
                <w:highlight w:val="none"/>
                <w:lang w:val="en-US" w:eastAsia="zh-CN"/>
              </w:rPr>
              <w:t>具</w:t>
            </w:r>
            <w:r>
              <w:rPr>
                <w:rFonts w:hint="eastAsia" w:ascii="宋体" w:hAnsi="宋体" w:eastAsia="宋体" w:cs="宋体"/>
                <w:color w:val="auto"/>
                <w:sz w:val="21"/>
                <w:szCs w:val="21"/>
                <w:highlight w:val="none"/>
                <w:lang w:eastAsia="zh-CN"/>
              </w:rPr>
              <w:t>备</w:t>
            </w:r>
            <w:r>
              <w:rPr>
                <w:rFonts w:hint="eastAsia" w:ascii="宋体" w:hAnsi="宋体" w:cs="宋体"/>
                <w:color w:val="auto"/>
                <w:sz w:val="21"/>
                <w:szCs w:val="21"/>
                <w:highlight w:val="none"/>
                <w:lang w:val="en-US" w:eastAsia="zh-CN"/>
              </w:rPr>
              <w:t>市政公用工程</w:t>
            </w:r>
            <w:r>
              <w:rPr>
                <w:rFonts w:hint="eastAsia" w:ascii="宋体" w:hAnsi="宋体" w:eastAsia="宋体" w:cs="宋体"/>
                <w:color w:val="auto"/>
                <w:sz w:val="21"/>
                <w:szCs w:val="21"/>
                <w:highlight w:val="none"/>
                <w:lang w:eastAsia="zh-CN"/>
              </w:rPr>
              <w:t>专业二级</w:t>
            </w:r>
            <w:r>
              <w:rPr>
                <w:rFonts w:hint="eastAsia" w:ascii="宋体" w:hAnsi="宋体" w:eastAsia="宋体" w:cs="宋体"/>
                <w:color w:val="auto"/>
                <w:sz w:val="21"/>
                <w:szCs w:val="21"/>
                <w:highlight w:val="none"/>
                <w:lang w:eastAsia="zh-CN"/>
              </w:rPr>
              <w:t>（含二级）及以上注册建造师执业资格</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具备有效的安全生产考核合格证书（B类），且未担任其他在施建设工程项目的项目经理。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5</w:t>
            </w:r>
          </w:p>
        </w:tc>
        <w:tc>
          <w:tcPr>
            <w:tcW w:w="8674" w:type="dxa"/>
            <w:gridSpan w:val="2"/>
            <w:noWrap w:val="0"/>
            <w:vAlign w:val="center"/>
          </w:tcPr>
          <w:p>
            <w:pPr>
              <w:pStyle w:val="22"/>
              <w:keepNext w:val="0"/>
              <w:keepLines w:val="0"/>
              <w:suppressLineNumbers w:val="0"/>
              <w:spacing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必须提供</w:t>
            </w:r>
            <w:r>
              <w:rPr>
                <w:rFonts w:hint="eastAsia" w:ascii="宋体" w:hAnsi="宋体" w:eastAsia="宋体" w:cs="宋体"/>
                <w:color w:val="auto"/>
                <w:sz w:val="21"/>
                <w:szCs w:val="21"/>
                <w:highlight w:val="none"/>
                <w:lang w:eastAsia="zh-CN"/>
              </w:rPr>
              <w:t>近期</w:t>
            </w:r>
            <w:r>
              <w:rPr>
                <w:rFonts w:hint="eastAsia" w:ascii="宋体" w:hAnsi="宋体" w:eastAsia="宋体" w:cs="宋体"/>
                <w:color w:val="auto"/>
                <w:sz w:val="21"/>
                <w:szCs w:val="21"/>
                <w:highlight w:val="none"/>
              </w:rPr>
              <w:t>“信用中国”</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rPr>
              <w:t>“中国政府采购网”以上</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个网站查询截图并加盖公章。(如相关失信记录已失效，投标人需提供相关证明资料。被列入失信被执行人、重大税收违法案件当事人名单、政府采购严重违法失信行为记录名单以及不良行为记录的投标单位，将拒绝其参加本次政府采购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6</w:t>
            </w:r>
          </w:p>
        </w:tc>
        <w:tc>
          <w:tcPr>
            <w:tcW w:w="8674" w:type="dxa"/>
            <w:gridSpan w:val="2"/>
            <w:noWrap w:val="0"/>
            <w:vAlign w:val="center"/>
          </w:tcPr>
          <w:p>
            <w:pPr>
              <w:pStyle w:val="22"/>
              <w:keepNext w:val="0"/>
              <w:keepLines w:val="0"/>
              <w:suppressLineNumbers w:val="0"/>
              <w:spacing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结论</w:t>
            </w:r>
          </w:p>
        </w:tc>
        <w:tc>
          <w:tcPr>
            <w:tcW w:w="8674"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b/>
          <w:bCs/>
          <w:color w:val="auto"/>
          <w:sz w:val="21"/>
          <w:szCs w:val="21"/>
          <w:highlight w:val="none"/>
        </w:rPr>
        <w:t>附表二：符合性审查表</w:t>
      </w:r>
    </w:p>
    <w:p>
      <w:pPr>
        <w:spacing w:line="360" w:lineRule="auto"/>
        <w:rPr>
          <w:rFonts w:hint="eastAsia" w:ascii="宋体" w:hAnsi="宋体" w:cs="宋体"/>
          <w:color w:val="auto"/>
          <w:kern w:val="0"/>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kern w:val="0"/>
          <w:sz w:val="21"/>
          <w:szCs w:val="21"/>
          <w:highlight w:val="none"/>
          <w:lang w:eastAsia="zh-CN"/>
        </w:rPr>
        <w:t>永宁镇下岔河村人居环境整治项目</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采购编号：</w:t>
      </w:r>
      <w:r>
        <w:rPr>
          <w:rFonts w:hint="eastAsia" w:ascii="宋体" w:hAnsi="宋体" w:eastAsia="宋体" w:cs="宋体"/>
          <w:color w:val="auto"/>
          <w:kern w:val="0"/>
          <w:sz w:val="21"/>
          <w:szCs w:val="21"/>
          <w:highlight w:val="none"/>
          <w:lang w:eastAsia="zh-CN"/>
        </w:rPr>
        <w:t>XJZTZFCG(CS)-202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cs="宋体"/>
          <w:color w:val="auto"/>
          <w:kern w:val="0"/>
          <w:sz w:val="21"/>
          <w:szCs w:val="21"/>
          <w:highlight w:val="none"/>
          <w:lang w:eastAsia="zh-CN"/>
        </w:rPr>
        <w:t>00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日期：202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  月  日</w:t>
      </w:r>
    </w:p>
    <w:tbl>
      <w:tblPr>
        <w:tblStyle w:val="23"/>
        <w:tblW w:w="9424"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6338"/>
        <w:gridCol w:w="189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191" w:type="dxa"/>
            <w:tcBorders>
              <w:right w:val="single" w:color="auto" w:sz="4" w:space="0"/>
            </w:tcBorders>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6338" w:type="dxa"/>
            <w:tcBorders>
              <w:left w:val="single" w:color="auto" w:sz="4" w:space="0"/>
            </w:tcBorders>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评审内容</w:t>
            </w:r>
          </w:p>
        </w:tc>
        <w:tc>
          <w:tcPr>
            <w:tcW w:w="1895"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项目负责人（建造师）条件是否满足磋商文件的要求</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bottom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是否满足项目的完工期要求</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是否符合磋商文件的签署盖章要求</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是否按规定</w:t>
            </w:r>
            <w:r>
              <w:rPr>
                <w:rFonts w:hint="eastAsia" w:ascii="宋体" w:hAnsi="宋体" w:eastAsia="宋体" w:cs="宋体"/>
                <w:color w:val="auto"/>
                <w:kern w:val="0"/>
                <w:sz w:val="21"/>
                <w:szCs w:val="21"/>
                <w:highlight w:val="none"/>
                <w:lang w:val="en-US" w:eastAsia="zh-CN" w:bidi="ar"/>
              </w:rPr>
              <w:t>缴纳</w:t>
            </w:r>
            <w:r>
              <w:rPr>
                <w:rFonts w:hint="eastAsia" w:ascii="宋体" w:hAnsi="宋体" w:eastAsia="宋体" w:cs="宋体"/>
                <w:color w:val="auto"/>
                <w:kern w:val="0"/>
                <w:sz w:val="21"/>
                <w:szCs w:val="21"/>
                <w:highlight w:val="none"/>
                <w:lang w:bidi="ar"/>
              </w:rPr>
              <w:t>磋商保证金</w:t>
            </w:r>
            <w:r>
              <w:rPr>
                <w:rFonts w:hint="eastAsia" w:ascii="宋体" w:hAnsi="宋体" w:cs="宋体"/>
                <w:color w:val="auto"/>
                <w:kern w:val="0"/>
                <w:sz w:val="21"/>
                <w:szCs w:val="21"/>
                <w:highlight w:val="none"/>
                <w:lang w:val="en-US" w:eastAsia="zh-CN" w:bidi="ar"/>
              </w:rPr>
              <w:t>或提供电子保函</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投标</w:t>
            </w:r>
            <w:r>
              <w:rPr>
                <w:rFonts w:hint="eastAsia" w:ascii="宋体" w:hAnsi="宋体" w:eastAsia="宋体" w:cs="宋体"/>
                <w:color w:val="auto"/>
                <w:kern w:val="0"/>
                <w:sz w:val="21"/>
                <w:szCs w:val="21"/>
                <w:highlight w:val="none"/>
                <w:lang w:bidi="ar"/>
              </w:rPr>
              <w:t>报价有效期是否为</w:t>
            </w:r>
            <w:r>
              <w:rPr>
                <w:rFonts w:hint="eastAsia" w:ascii="宋体" w:hAnsi="宋体" w:cs="宋体"/>
                <w:color w:val="auto"/>
                <w:kern w:val="0"/>
                <w:sz w:val="21"/>
                <w:szCs w:val="21"/>
                <w:highlight w:val="none"/>
                <w:lang w:val="en-US" w:eastAsia="zh-CN" w:bidi="ar"/>
              </w:rPr>
              <w:t>90</w:t>
            </w:r>
            <w:r>
              <w:rPr>
                <w:rFonts w:hint="eastAsia" w:ascii="宋体" w:hAnsi="宋体" w:eastAsia="宋体" w:cs="宋体"/>
                <w:color w:val="auto"/>
                <w:kern w:val="0"/>
                <w:sz w:val="21"/>
                <w:szCs w:val="21"/>
                <w:highlight w:val="none"/>
                <w:lang w:bidi="ar"/>
              </w:rPr>
              <w:t>天</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最后报价是否固定唯一，且各报价没有超过最高限价</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是否不存在投标人之间或者投标人与磋商人串通投标的</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338" w:type="dxa"/>
            <w:noWrap w:val="0"/>
            <w:vAlign w:val="center"/>
          </w:tcPr>
          <w:p>
            <w:pPr>
              <w:widowControl/>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bidi="ar"/>
              </w:rPr>
              <w:t>投标人的信誉及履约能力是否满足磋商文件要求</w:t>
            </w:r>
            <w:r>
              <w:rPr>
                <w:rFonts w:hint="eastAsia" w:ascii="宋体" w:hAnsi="宋体" w:eastAsia="宋体" w:cs="宋体"/>
                <w:color w:val="auto"/>
                <w:kern w:val="0"/>
                <w:sz w:val="21"/>
                <w:szCs w:val="21"/>
                <w:highlight w:val="none"/>
                <w:lang w:eastAsia="zh-CN" w:bidi="ar"/>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91" w:type="dxa"/>
            <w:tcBorders>
              <w:top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6338"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rPr>
                <w:rFonts w:hint="eastAsia"/>
                <w:highlight w:val="none"/>
                <w:lang w:eastAsia="zh-CN"/>
              </w:rPr>
            </w:pPr>
            <w:r>
              <w:rPr>
                <w:rFonts w:hint="eastAsia"/>
                <w:highlight w:val="none"/>
              </w:rPr>
              <w:t>投标人的投标报价符合招标文件的规定：投标人的投标报价符合第五部分“工程量清单”的要求填写响应的表格；投标人不得更改招标文件第五部分工程量清单表中的项目编码、项目名称、单位、工程量、主要技术条款等及招标规定的总价项目 (包括投标 人费用不得浮动项目) ，也不应在工程量清单中自行增加新的项目</w:t>
            </w:r>
            <w:r>
              <w:rPr>
                <w:rFonts w:hint="eastAsia"/>
                <w:highlight w:val="none"/>
                <w:lang w:val="en-US" w:eastAsia="zh-CN"/>
              </w:rPr>
              <w:t>出现偏离</w:t>
            </w:r>
            <w:r>
              <w:rPr>
                <w:rFonts w:hint="eastAsia"/>
                <w:highlight w:val="none"/>
              </w:rPr>
              <w:t>，否则招标人将按无效标处理</w:t>
            </w:r>
            <w:r>
              <w:rPr>
                <w:rFonts w:hint="eastAsia"/>
                <w:highlight w:val="none"/>
                <w:lang w:eastAsia="zh-CN"/>
              </w:rPr>
              <w:t>；</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119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结论</w:t>
            </w:r>
          </w:p>
        </w:tc>
        <w:tc>
          <w:tcPr>
            <w:tcW w:w="6338" w:type="dxa"/>
            <w:noWrap w:val="0"/>
            <w:vAlign w:val="center"/>
          </w:tcPr>
          <w:p>
            <w:pPr>
              <w:pStyle w:val="4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是否实质性响应磋商文件（写“是”或“否”）</w:t>
            </w:r>
          </w:p>
        </w:tc>
        <w:tc>
          <w:tcPr>
            <w:tcW w:w="1895" w:type="dxa"/>
            <w:noWrap w:val="0"/>
            <w:vAlign w:val="center"/>
          </w:tcPr>
          <w:p>
            <w:pPr>
              <w:spacing w:line="360" w:lineRule="auto"/>
              <w:jc w:val="center"/>
              <w:rPr>
                <w:rFonts w:hint="eastAsia" w:ascii="宋体" w:hAnsi="宋体" w:eastAsia="宋体" w:cs="宋体"/>
                <w:color w:val="auto"/>
                <w:sz w:val="21"/>
                <w:szCs w:val="21"/>
                <w:highlight w:val="none"/>
              </w:rPr>
            </w:pPr>
          </w:p>
        </w:tc>
      </w:tr>
    </w:tbl>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每一项符合要求的打“√”，对不符合要求的打“×”，并在结论栏中简要说明原因。</w:t>
      </w:r>
      <w:r>
        <w:rPr>
          <w:rFonts w:hint="eastAsia" w:ascii="宋体" w:hAnsi="宋体" w:eastAsia="宋体" w:cs="宋体"/>
          <w:color w:val="auto"/>
          <w:sz w:val="21"/>
          <w:szCs w:val="21"/>
          <w:highlight w:val="none"/>
        </w:rPr>
        <w:t>出现一个“×”的结论为未实质性响应磋商文件。</w:t>
      </w:r>
    </w:p>
    <w:p>
      <w:pPr>
        <w:tabs>
          <w:tab w:val="left" w:pos="72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2、结论栏中填写“是”表示该供应商响应文件符合磋商文件要求，“否”表示该供应商响应文件不符合磋商文件要求；</w:t>
      </w:r>
    </w:p>
    <w:p>
      <w:pPr>
        <w:tabs>
          <w:tab w:val="left" w:pos="72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3、汇总结论按少数服从多数原则确定。</w:t>
      </w:r>
    </w:p>
    <w:p>
      <w:pPr>
        <w:spacing w:line="360" w:lineRule="auto"/>
        <w:rPr>
          <w:rFonts w:hint="eastAsia" w:ascii="宋体" w:hAnsi="宋体" w:eastAsia="宋体" w:cs="宋体"/>
          <w:color w:val="auto"/>
          <w:sz w:val="21"/>
          <w:szCs w:val="21"/>
          <w:highlight w:val="none"/>
        </w:rPr>
      </w:pPr>
    </w:p>
    <w:p>
      <w:pPr>
        <w:adjustRightInd w:val="0"/>
        <w:snapToGrid w:val="0"/>
        <w:spacing w:line="360" w:lineRule="auto"/>
        <w:outlineLvl w:val="2"/>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b/>
          <w:color w:val="auto"/>
          <w:sz w:val="21"/>
          <w:szCs w:val="21"/>
          <w:highlight w:val="none"/>
        </w:rPr>
        <w:t>附表二：技术评审表</w:t>
      </w:r>
    </w:p>
    <w:p>
      <w:pPr>
        <w:spacing w:line="360" w:lineRule="auto"/>
        <w:rPr>
          <w:rFonts w:hint="eastAsia" w:ascii="宋体" w:hAnsi="宋体" w:cs="宋体"/>
          <w:color w:val="auto"/>
          <w:kern w:val="0"/>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kern w:val="0"/>
          <w:sz w:val="21"/>
          <w:szCs w:val="21"/>
          <w:highlight w:val="none"/>
          <w:lang w:eastAsia="zh-CN"/>
        </w:rPr>
        <w:t>永宁镇下岔河村人居环境整治项目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采购编号：</w:t>
      </w:r>
      <w:r>
        <w:rPr>
          <w:rFonts w:hint="eastAsia" w:ascii="宋体" w:hAnsi="宋体" w:eastAsia="宋体" w:cs="宋体"/>
          <w:color w:val="auto"/>
          <w:kern w:val="0"/>
          <w:sz w:val="21"/>
          <w:szCs w:val="21"/>
          <w:highlight w:val="none"/>
          <w:lang w:eastAsia="zh-CN"/>
        </w:rPr>
        <w:t>XJZTZFCG(CS)-202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cs="宋体"/>
          <w:color w:val="auto"/>
          <w:kern w:val="0"/>
          <w:sz w:val="21"/>
          <w:szCs w:val="21"/>
          <w:highlight w:val="none"/>
          <w:lang w:eastAsia="zh-CN"/>
        </w:rPr>
        <w:t>00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sz w:val="21"/>
          <w:szCs w:val="21"/>
          <w:highlight w:val="none"/>
        </w:rPr>
        <w:t>日期：202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年 月  日      </w:t>
      </w:r>
    </w:p>
    <w:tbl>
      <w:tblPr>
        <w:tblStyle w:val="23"/>
        <w:tblW w:w="89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554"/>
        <w:gridCol w:w="764"/>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60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5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firstLine="2"/>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评审内容</w:t>
            </w:r>
          </w:p>
        </w:tc>
        <w:tc>
          <w:tcPr>
            <w:tcW w:w="76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left="1" w:hanging="108"/>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c>
          <w:tcPr>
            <w:tcW w:w="604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firstLine="14"/>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评分</w:t>
            </w:r>
            <w:r>
              <w:rPr>
                <w:rFonts w:hint="eastAsia" w:ascii="宋体" w:hAnsi="宋体" w:eastAsia="宋体" w:cs="宋体"/>
                <w:b/>
                <w:color w:val="auto"/>
                <w:sz w:val="21"/>
                <w:szCs w:val="21"/>
                <w:highlight w:val="none"/>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rPr>
            </w:pPr>
          </w:p>
        </w:tc>
        <w:tc>
          <w:tcPr>
            <w:tcW w:w="155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lang w:val="zh-CN" w:eastAsia="zh-CN"/>
              </w:rPr>
            </w:pPr>
            <w:r>
              <w:rPr>
                <w:rFonts w:hint="eastAsia" w:ascii="宋体" w:hAnsi="宋体" w:eastAsia="宋体" w:cs="宋体"/>
                <w:color w:val="auto"/>
                <w:kern w:val="0"/>
                <w:sz w:val="21"/>
                <w:szCs w:val="21"/>
                <w:highlight w:val="none"/>
                <w:lang w:val="zh-CN" w:eastAsia="zh-CN"/>
              </w:rPr>
              <w:t>施工方案与技术措施</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lang w:val="en-US" w:eastAsia="zh-CN"/>
              </w:rPr>
            </w:pPr>
          </w:p>
        </w:tc>
        <w:tc>
          <w:tcPr>
            <w:tcW w:w="7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12分</w:t>
            </w:r>
          </w:p>
        </w:tc>
        <w:tc>
          <w:tcPr>
            <w:tcW w:w="604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zh-CN" w:eastAsia="zh-CN"/>
              </w:rPr>
            </w:pPr>
            <w:r>
              <w:rPr>
                <w:rFonts w:hint="eastAsia" w:ascii="宋体" w:hAnsi="宋体" w:eastAsia="宋体" w:cs="宋体"/>
                <w:color w:val="auto"/>
                <w:kern w:val="0"/>
                <w:sz w:val="21"/>
                <w:szCs w:val="21"/>
                <w:highlight w:val="none"/>
                <w:lang w:val="zh-CN" w:eastAsia="zh-CN"/>
              </w:rPr>
              <w:t>根据投标人针对本项目特点及需求制定的项目服务方案进行综合比较评审，方案至少包含</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zh-CN" w:eastAsia="zh-CN"/>
              </w:rPr>
              <w:t>个要素：</w:t>
            </w:r>
          </w:p>
          <w:p>
            <w:pPr>
              <w:keepNext w:val="0"/>
              <w:keepLines w:val="0"/>
              <w:pageBreakBefore w:val="0"/>
              <w:widowControl w:val="0"/>
              <w:numPr>
                <w:ilvl w:val="0"/>
                <w:numId w:val="13"/>
              </w:numPr>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zh-CN" w:eastAsia="zh-CN"/>
              </w:rPr>
              <w:t>施工方案合理先进；（</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zh-CN" w:eastAsia="zh-CN"/>
              </w:rPr>
              <w:t>）工序衔接合理</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zh-CN" w:eastAsia="zh-CN"/>
              </w:rPr>
              <w:t>机械设备满足工程需要；（</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zh-CN" w:eastAsia="zh-CN"/>
              </w:rPr>
              <w:t>）劳动力组织均衡</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案每具有1个上述要素但存在不合理或不清晰描述的，该要素得1.5分；方案每具有1个上述要素且考虑全面，权责清晰，科学合理，对于本项目实际操作具有指导意义和全流程保障的，该要素得3分；本项最多得12分，方案的要素不符合采购需求或存在明显错误或未提供的，该要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155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安全管理体系与措施</w:t>
            </w:r>
          </w:p>
        </w:tc>
        <w:tc>
          <w:tcPr>
            <w:tcW w:w="7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12分</w:t>
            </w:r>
          </w:p>
        </w:tc>
        <w:tc>
          <w:tcPr>
            <w:tcW w:w="604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根据投标人针对本项目特点及需求制定的项目服务方案进行综合比较评审，方案至少包含4个要素：</w:t>
            </w:r>
          </w:p>
          <w:p>
            <w:pPr>
              <w:keepNext w:val="0"/>
              <w:keepLines w:val="0"/>
              <w:pageBreakBefore w:val="0"/>
              <w:widowControl w:val="0"/>
              <w:numPr>
                <w:ilvl w:val="0"/>
                <w:numId w:val="14"/>
              </w:numPr>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安全管理目标明确；（2）安全生产管理小组健全；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（3）职责分工明确；    （4）管理制度齐全。</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案每具有1个上述要素但存在不合理或不清晰描述的，该要素得1.5分；方案每具有1个上述要素且考虑全面，权责清晰，科学合理，对于本项目实际操作具有指导意义和全流程保障的，该要素得3分；本项最多得12分，方案的要素不符合采购需求或存在明显错误或未提供的，该要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after="72" w:line="288"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55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环境保护管理体系与措施</w:t>
            </w:r>
          </w:p>
        </w:tc>
        <w:tc>
          <w:tcPr>
            <w:tcW w:w="7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10分</w:t>
            </w:r>
          </w:p>
        </w:tc>
        <w:tc>
          <w:tcPr>
            <w:tcW w:w="604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根据投标人针对本项目特点及需求制定的项目服务方案进行综合比较评审，方案至少包含5个要素：</w:t>
            </w:r>
          </w:p>
          <w:p>
            <w:pPr>
              <w:keepNext w:val="0"/>
              <w:keepLines w:val="0"/>
              <w:pageBreakBefore w:val="0"/>
              <w:widowControl w:val="0"/>
              <w:numPr>
                <w:ilvl w:val="0"/>
                <w:numId w:val="15"/>
              </w:numPr>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环境管理目标明确；（2）管理机构健全；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（3）职责分工明确；    （4）管理制度齐全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（5）实施与监控措施全面、有效。</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案每具有1个上述要素但存在不合理或不清晰描述的，该要素得1分；方案每具有1个上述要素且考虑全面，权责清晰，科学合理，对于本项目实际操作具有指导意义和全流程保障的，该要素得2分；本项最多得10分，方案的要素不符合采购需求或存在明显错误或未提供的，该要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after="72" w:line="288"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55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现场文明施工措施</w:t>
            </w:r>
          </w:p>
        </w:tc>
        <w:tc>
          <w:tcPr>
            <w:tcW w:w="7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3分</w:t>
            </w:r>
          </w:p>
        </w:tc>
        <w:tc>
          <w:tcPr>
            <w:tcW w:w="604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措施符合工程实际情况，措施得力，切实可行得3分；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措施存在描述不清晰的，思路混乱，操作性较弱得1.5分；不符合采购需求或存在明显错误或未提供的，不得分。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after="72" w:line="288"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55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施工进度计划</w:t>
            </w:r>
          </w:p>
        </w:tc>
        <w:tc>
          <w:tcPr>
            <w:tcW w:w="76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3分</w:t>
            </w:r>
          </w:p>
        </w:tc>
        <w:tc>
          <w:tcPr>
            <w:tcW w:w="604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进度计划应在空间和时间上做合理的统筹安排且符合施工的科学规律，确保工程质量、工期得力得3分；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en-US" w:eastAsia="zh-CN" w:bidi="ar-SA"/>
              </w:rPr>
              <w:t>进度计划应安排有缺陷，各工序衔接不严瑾，有个别缺陷得1.5分；不符合采购需求或存在明显错误或未提供的，不得分。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2924" w:type="dxa"/>
            <w:gridSpan w:val="3"/>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604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c>
      </w:tr>
    </w:tbl>
    <w:p>
      <w:pPr>
        <w:adjustRightInd w:val="0"/>
        <w:snapToGrid w:val="0"/>
        <w:spacing w:line="360" w:lineRule="auto"/>
        <w:outlineLvl w:val="2"/>
        <w:rPr>
          <w:rFonts w:hint="eastAsia" w:ascii="宋体" w:hAnsi="宋体" w:eastAsia="宋体" w:cs="宋体"/>
          <w:b/>
          <w:color w:val="auto"/>
          <w:sz w:val="21"/>
          <w:szCs w:val="21"/>
          <w:highlight w:val="none"/>
        </w:rPr>
      </w:pPr>
    </w:p>
    <w:p>
      <w:pPr>
        <w:adjustRightInd w:val="0"/>
        <w:snapToGrid w:val="0"/>
        <w:spacing w:line="360" w:lineRule="auto"/>
        <w:outlineLvl w:val="2"/>
        <w:rPr>
          <w:rFonts w:hint="eastAsia" w:ascii="宋体" w:hAnsi="宋体" w:eastAsia="宋体" w:cs="宋体"/>
          <w:b/>
          <w:color w:val="auto"/>
          <w:sz w:val="21"/>
          <w:szCs w:val="21"/>
          <w:highlight w:val="none"/>
        </w:rPr>
      </w:pPr>
    </w:p>
    <w:p>
      <w:pPr>
        <w:adjustRightInd w:val="0"/>
        <w:snapToGrid w:val="0"/>
        <w:spacing w:line="360" w:lineRule="auto"/>
        <w:outlineLvl w:val="2"/>
        <w:rPr>
          <w:rFonts w:hint="eastAsia" w:ascii="宋体" w:hAnsi="宋体" w:eastAsia="宋体" w:cs="宋体"/>
          <w:b/>
          <w:color w:val="auto"/>
          <w:sz w:val="21"/>
          <w:szCs w:val="21"/>
          <w:highlight w:val="none"/>
        </w:rPr>
      </w:pPr>
    </w:p>
    <w:p>
      <w:pPr>
        <w:adjustRightInd w:val="0"/>
        <w:snapToGrid w:val="0"/>
        <w:spacing w:line="360" w:lineRule="auto"/>
        <w:outlineLvl w:val="2"/>
        <w:rPr>
          <w:rFonts w:hint="eastAsia" w:ascii="宋体" w:hAnsi="宋体" w:eastAsia="宋体" w:cs="宋体"/>
          <w:b/>
          <w:color w:val="auto"/>
          <w:sz w:val="21"/>
          <w:szCs w:val="21"/>
          <w:highlight w:val="none"/>
        </w:rPr>
      </w:pPr>
    </w:p>
    <w:p>
      <w:pPr>
        <w:adjustRightInd w:val="0"/>
        <w:snapToGrid w:val="0"/>
        <w:spacing w:line="360" w:lineRule="auto"/>
        <w:outlineLvl w:val="2"/>
        <w:rPr>
          <w:rFonts w:hint="eastAsia" w:ascii="宋体" w:hAnsi="宋体" w:eastAsia="宋体" w:cs="宋体"/>
          <w:b/>
          <w:color w:val="auto"/>
          <w:sz w:val="21"/>
          <w:szCs w:val="21"/>
          <w:highlight w:val="none"/>
        </w:rPr>
      </w:pPr>
    </w:p>
    <w:p>
      <w:pPr>
        <w:adjustRightInd w:val="0"/>
        <w:snapToGrid w:val="0"/>
        <w:spacing w:line="360" w:lineRule="auto"/>
        <w:outlineLvl w:val="2"/>
        <w:rPr>
          <w:rFonts w:hint="eastAsia" w:ascii="宋体" w:hAnsi="宋体" w:eastAsia="宋体" w:cs="宋体"/>
          <w:b/>
          <w:color w:val="auto"/>
          <w:sz w:val="21"/>
          <w:szCs w:val="21"/>
          <w:highlight w:val="none"/>
        </w:rPr>
      </w:pPr>
    </w:p>
    <w:p>
      <w:pPr>
        <w:adjustRightInd w:val="0"/>
        <w:snapToGrid w:val="0"/>
        <w:spacing w:line="360" w:lineRule="auto"/>
        <w:outlineLvl w:val="2"/>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附表三：商务评审表</w:t>
      </w:r>
    </w:p>
    <w:p>
      <w:pPr>
        <w:spacing w:line="360" w:lineRule="auto"/>
        <w:rPr>
          <w:rFonts w:hint="eastAsia" w:ascii="宋体" w:hAnsi="宋体" w:cs="宋体"/>
          <w:color w:val="auto"/>
          <w:kern w:val="0"/>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kern w:val="0"/>
          <w:sz w:val="21"/>
          <w:szCs w:val="21"/>
          <w:highlight w:val="none"/>
          <w:lang w:eastAsia="zh-CN"/>
        </w:rPr>
        <w:t>永宁镇下岔河村人居环境整治项目</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采购编号：</w:t>
      </w:r>
      <w:r>
        <w:rPr>
          <w:rFonts w:hint="eastAsia" w:ascii="宋体" w:hAnsi="宋体" w:eastAsia="宋体" w:cs="宋体"/>
          <w:color w:val="auto"/>
          <w:kern w:val="0"/>
          <w:sz w:val="21"/>
          <w:szCs w:val="21"/>
          <w:highlight w:val="none"/>
          <w:lang w:eastAsia="zh-CN"/>
        </w:rPr>
        <w:t>XJZTZFCG(CS)-202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cs="宋体"/>
          <w:color w:val="auto"/>
          <w:kern w:val="0"/>
          <w:sz w:val="21"/>
          <w:szCs w:val="21"/>
          <w:highlight w:val="none"/>
          <w:lang w:eastAsia="zh-CN"/>
        </w:rPr>
        <w:t>00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sz w:val="21"/>
          <w:szCs w:val="21"/>
          <w:highlight w:val="none"/>
        </w:rPr>
        <w:t xml:space="preserve">            日期：202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 月  日</w:t>
      </w:r>
    </w:p>
    <w:tbl>
      <w:tblPr>
        <w:tblStyle w:val="23"/>
        <w:tblW w:w="89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91"/>
        <w:gridCol w:w="674"/>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3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9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firstLine="2"/>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评审内容</w:t>
            </w:r>
          </w:p>
        </w:tc>
        <w:tc>
          <w:tcPr>
            <w:tcW w:w="67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left="1" w:hanging="108"/>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c>
          <w:tcPr>
            <w:tcW w:w="627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ind w:firstLine="14"/>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评分</w:t>
            </w:r>
            <w:r>
              <w:rPr>
                <w:rFonts w:hint="eastAsia" w:ascii="宋体" w:hAnsi="宋体" w:eastAsia="宋体" w:cs="宋体"/>
                <w:b/>
                <w:color w:val="auto"/>
                <w:sz w:val="21"/>
                <w:szCs w:val="21"/>
                <w:highlight w:val="none"/>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433" w:type="dxa"/>
            <w:noWrap w:val="0"/>
            <w:vAlign w:val="center"/>
          </w:tcPr>
          <w:p>
            <w:pPr>
              <w:keepNext w:val="0"/>
              <w:keepLines w:val="0"/>
              <w:pageBreakBefore w:val="0"/>
              <w:kinsoku/>
              <w:wordWrap/>
              <w:overflowPunct/>
              <w:topLinePunct w:val="0"/>
              <w:autoSpaceDE/>
              <w:autoSpaceDN/>
              <w:bidi w:val="0"/>
              <w:adjustRightInd/>
              <w:snapToGrid/>
              <w:spacing w:after="72"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591"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企业业绩</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6分</w:t>
            </w:r>
          </w:p>
        </w:tc>
        <w:tc>
          <w:tcPr>
            <w:tcW w:w="62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供应商近三年（自递交响应文件截止日往前推 算，以合同签订日期为准）完成过同类项目，每具有一个类似项目业绩的得2分，最多得6分；（提供中标通知书、合同复印件</w:t>
            </w:r>
            <w:r>
              <w:rPr>
                <w:rFonts w:hint="eastAsia" w:ascii="宋体" w:hAnsi="宋体" w:cs="宋体"/>
                <w:color w:val="auto"/>
                <w:kern w:val="0"/>
                <w:sz w:val="21"/>
                <w:szCs w:val="21"/>
                <w:highlight w:val="none"/>
                <w:lang w:val="en-US" w:eastAsia="zh-CN"/>
              </w:rPr>
              <w:t>、竣工验收报告</w:t>
            </w:r>
            <w:r>
              <w:rPr>
                <w:rFonts w:hint="eastAsia" w:ascii="宋体" w:hAnsi="宋体" w:eastAsia="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trPr>
        <w:tc>
          <w:tcPr>
            <w:tcW w:w="433" w:type="dxa"/>
            <w:noWrap w:val="0"/>
            <w:vAlign w:val="center"/>
          </w:tcPr>
          <w:p>
            <w:pPr>
              <w:keepNext w:val="0"/>
              <w:keepLines w:val="0"/>
              <w:pageBreakBefore w:val="0"/>
              <w:kinsoku/>
              <w:wordWrap/>
              <w:overflowPunct/>
              <w:topLinePunct w:val="0"/>
              <w:autoSpaceDE/>
              <w:autoSpaceDN/>
              <w:bidi w:val="0"/>
              <w:adjustRightInd/>
              <w:snapToGrid/>
              <w:spacing w:after="72"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591"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人力资源配备及服务方式</w:t>
            </w:r>
          </w:p>
        </w:tc>
        <w:tc>
          <w:tcPr>
            <w:tcW w:w="674"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6分</w:t>
            </w:r>
          </w:p>
        </w:tc>
        <w:tc>
          <w:tcPr>
            <w:tcW w:w="6270" w:type="dxa"/>
            <w:noWrap w:val="0"/>
            <w:vAlign w:val="top"/>
          </w:tcPr>
          <w:p>
            <w:pPr>
              <w:spacing w:before="37" w:line="239" w:lineRule="auto"/>
              <w:ind w:left="121" w:leftChars="0" w:right="44" w:rightChars="0" w:firstLine="3" w:firstLineChars="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 xml:space="preserve">人员配备完全合理，专业齐全，素质高，服务 承诺条款完善、切实可行得 </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 xml:space="preserve"> 分；人员配备一般，专业较齐全，服务承诺条款一般、但 基本可行得 </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 xml:space="preserve"> 分；人员配备不齐全，缺少关键专业，服务承诺条款基本没有，得 </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33" w:type="dxa"/>
            <w:noWrap w:val="0"/>
            <w:vAlign w:val="center"/>
          </w:tcPr>
          <w:p>
            <w:pPr>
              <w:keepNext w:val="0"/>
              <w:keepLines w:val="0"/>
              <w:pageBreakBefore w:val="0"/>
              <w:kinsoku/>
              <w:wordWrap/>
              <w:overflowPunct/>
              <w:topLinePunct w:val="0"/>
              <w:autoSpaceDE/>
              <w:autoSpaceDN/>
              <w:bidi w:val="0"/>
              <w:adjustRightInd/>
              <w:snapToGrid/>
              <w:spacing w:after="72"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591" w:type="dxa"/>
            <w:noWrap w:val="0"/>
            <w:vAlign w:val="center"/>
          </w:tcPr>
          <w:p>
            <w:pPr>
              <w:pStyle w:val="42"/>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zh-CN" w:eastAsia="zh-CN" w:bidi="ar-SA"/>
              </w:rPr>
              <w:t>工期</w:t>
            </w:r>
          </w:p>
        </w:tc>
        <w:tc>
          <w:tcPr>
            <w:tcW w:w="674" w:type="dxa"/>
            <w:noWrap w:val="0"/>
            <w:vAlign w:val="center"/>
          </w:tcPr>
          <w:p>
            <w:pPr>
              <w:pStyle w:val="42"/>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4分</w:t>
            </w:r>
          </w:p>
        </w:tc>
        <w:tc>
          <w:tcPr>
            <w:tcW w:w="6270" w:type="dxa"/>
            <w:noWrap w:val="0"/>
            <w:vAlign w:val="center"/>
          </w:tcPr>
          <w:p>
            <w:pPr>
              <w:pStyle w:val="42"/>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zh-CN" w:eastAsia="zh-CN" w:bidi="ar-SA"/>
              </w:rPr>
              <w:t>满足采购文件要求得</w:t>
            </w:r>
            <w:r>
              <w:rPr>
                <w:rFonts w:hint="eastAsia" w:ascii="宋体" w:hAnsi="宋体" w:eastAsia="宋体" w:cs="宋体"/>
                <w:color w:val="auto"/>
                <w:kern w:val="0"/>
                <w:sz w:val="21"/>
                <w:szCs w:val="21"/>
                <w:highlight w:val="none"/>
                <w:lang w:val="en-US" w:eastAsia="zh-CN" w:bidi="ar-SA"/>
              </w:rPr>
              <w:t>3</w:t>
            </w:r>
            <w:r>
              <w:rPr>
                <w:rFonts w:hint="eastAsia" w:ascii="宋体" w:hAnsi="宋体" w:eastAsia="宋体" w:cs="宋体"/>
                <w:color w:val="auto"/>
                <w:kern w:val="0"/>
                <w:sz w:val="21"/>
                <w:szCs w:val="21"/>
                <w:highlight w:val="none"/>
                <w:lang w:val="zh-CN" w:eastAsia="zh-CN" w:bidi="ar-SA"/>
              </w:rPr>
              <w:t>分，优于得</w:t>
            </w:r>
            <w:r>
              <w:rPr>
                <w:rFonts w:hint="eastAsia" w:ascii="宋体" w:hAnsi="宋体" w:eastAsia="宋体" w:cs="宋体"/>
                <w:color w:val="auto"/>
                <w:kern w:val="0"/>
                <w:sz w:val="21"/>
                <w:szCs w:val="21"/>
                <w:highlight w:val="none"/>
                <w:lang w:val="en-US" w:eastAsia="zh-CN" w:bidi="ar-SA"/>
              </w:rPr>
              <w:t>4</w:t>
            </w:r>
            <w:r>
              <w:rPr>
                <w:rFonts w:hint="eastAsia" w:ascii="宋体" w:hAnsi="宋体" w:eastAsia="宋体" w:cs="宋体"/>
                <w:color w:val="auto"/>
                <w:kern w:val="0"/>
                <w:sz w:val="21"/>
                <w:szCs w:val="21"/>
                <w:highlight w:val="none"/>
                <w:lang w:val="zh-CN"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433" w:type="dxa"/>
            <w:noWrap w:val="0"/>
            <w:vAlign w:val="center"/>
          </w:tcPr>
          <w:p>
            <w:pPr>
              <w:keepNext w:val="0"/>
              <w:keepLines w:val="0"/>
              <w:pageBreakBefore w:val="0"/>
              <w:kinsoku/>
              <w:wordWrap/>
              <w:overflowPunct/>
              <w:topLinePunct w:val="0"/>
              <w:autoSpaceDE/>
              <w:autoSpaceDN/>
              <w:bidi w:val="0"/>
              <w:adjustRightInd/>
              <w:snapToGrid/>
              <w:spacing w:after="72"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591" w:type="dxa"/>
            <w:noWrap w:val="0"/>
            <w:vAlign w:val="center"/>
          </w:tcPr>
          <w:p>
            <w:pPr>
              <w:pStyle w:val="42"/>
              <w:jc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服务保障及</w:t>
            </w:r>
          </w:p>
          <w:p>
            <w:pPr>
              <w:pStyle w:val="42"/>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zh-CN" w:eastAsia="zh-CN" w:bidi="ar-SA"/>
              </w:rPr>
              <w:t>承诺</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4分</w:t>
            </w:r>
          </w:p>
        </w:tc>
        <w:tc>
          <w:tcPr>
            <w:tcW w:w="627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zh-CN" w:eastAsia="zh-CN" w:bidi="ar-SA"/>
              </w:rPr>
              <w:t>承诺达到优质质量标准、服务方案清晰，并有切实可行质量保证措施得</w:t>
            </w:r>
            <w:r>
              <w:rPr>
                <w:rFonts w:hint="eastAsia" w:ascii="宋体" w:hAnsi="宋体" w:eastAsia="宋体" w:cs="宋体"/>
                <w:color w:val="auto"/>
                <w:kern w:val="0"/>
                <w:sz w:val="21"/>
                <w:szCs w:val="21"/>
                <w:highlight w:val="none"/>
                <w:lang w:val="en-US" w:eastAsia="zh-CN" w:bidi="ar-SA"/>
              </w:rPr>
              <w:t>4</w:t>
            </w:r>
            <w:r>
              <w:rPr>
                <w:rFonts w:hint="eastAsia" w:ascii="宋体" w:hAnsi="宋体" w:eastAsia="宋体" w:cs="宋体"/>
                <w:color w:val="auto"/>
                <w:kern w:val="0"/>
                <w:sz w:val="21"/>
                <w:szCs w:val="21"/>
                <w:highlight w:val="none"/>
                <w:lang w:val="zh-CN" w:eastAsia="zh-CN" w:bidi="ar-SA"/>
              </w:rPr>
              <w:t>分，</w:t>
            </w:r>
            <w:r>
              <w:rPr>
                <w:rFonts w:hint="eastAsia" w:ascii="宋体" w:hAnsi="宋体" w:eastAsia="宋体" w:cs="宋体"/>
                <w:color w:val="auto"/>
                <w:kern w:val="0"/>
                <w:sz w:val="21"/>
                <w:szCs w:val="21"/>
                <w:highlight w:val="none"/>
                <w:lang w:val="en-US" w:eastAsia="zh-CN" w:bidi="ar-SA"/>
              </w:rPr>
              <w:t>未达到不得分。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2698" w:type="dxa"/>
            <w:gridSpan w:val="3"/>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62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r>
    </w:tbl>
    <w:p>
      <w:pPr>
        <w:rPr>
          <w:rFonts w:hint="eastAsia" w:ascii="宋体" w:hAnsi="宋体" w:eastAsia="宋体" w:cs="宋体"/>
          <w:b/>
          <w:bCs/>
          <w:color w:val="auto"/>
          <w:sz w:val="21"/>
          <w:szCs w:val="21"/>
          <w:highlight w:val="none"/>
        </w:rPr>
      </w:pP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br w:type="page"/>
      </w:r>
      <w:bookmarkStart w:id="46" w:name="_Toc529952599"/>
      <w:bookmarkStart w:id="47" w:name="_Toc256000014"/>
      <w:r>
        <w:rPr>
          <w:rFonts w:hint="eastAsia" w:ascii="宋体" w:hAnsi="宋体" w:eastAsia="宋体" w:cs="宋体"/>
          <w:color w:val="auto"/>
          <w:sz w:val="21"/>
          <w:szCs w:val="21"/>
          <w:highlight w:val="none"/>
          <w:lang w:val="en-US" w:eastAsia="zh-CN"/>
        </w:rPr>
        <w:t xml:space="preserve">   </w:t>
      </w:r>
    </w:p>
    <w:p>
      <w:pPr>
        <w:pStyle w:val="2"/>
        <w:rPr>
          <w:rFonts w:hint="eastAsia" w:ascii="宋体" w:hAnsi="宋体" w:eastAsia="宋体" w:cs="宋体"/>
          <w:color w:val="auto"/>
          <w:sz w:val="21"/>
          <w:szCs w:val="21"/>
          <w:highlight w:val="none"/>
          <w:lang w:val="en-US" w:eastAsia="zh-CN"/>
        </w:rPr>
      </w:pPr>
    </w:p>
    <w:p>
      <w:pPr>
        <w:pStyle w:val="2"/>
        <w:bidi w:val="0"/>
        <w:rPr>
          <w:rFonts w:hint="eastAsia"/>
          <w:highlight w:val="none"/>
          <w:lang w:val="en-US" w:eastAsia="zh-CN"/>
        </w:rPr>
      </w:pP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第四章</w:t>
      </w:r>
      <w:r>
        <w:rPr>
          <w:rFonts w:hint="eastAsia" w:ascii="宋体" w:hAnsi="宋体" w:eastAsia="宋体" w:cs="宋体"/>
          <w:color w:val="auto"/>
          <w:sz w:val="21"/>
          <w:szCs w:val="21"/>
          <w:highlight w:val="none"/>
          <w:lang w:val="en-US" w:eastAsia="zh-CN"/>
        </w:rPr>
        <w:t xml:space="preserve">  </w:t>
      </w:r>
      <w:bookmarkEnd w:id="46"/>
      <w:bookmarkEnd w:id="47"/>
      <w:bookmarkStart w:id="48" w:name="_Toc256000015"/>
      <w:bookmarkStart w:id="49" w:name="EB0241872a782746df84ab771927209b83"/>
      <w:r>
        <w:rPr>
          <w:rFonts w:hint="eastAsia" w:ascii="宋体" w:hAnsi="宋体" w:eastAsia="宋体" w:cs="宋体"/>
          <w:color w:val="auto"/>
          <w:sz w:val="21"/>
          <w:szCs w:val="21"/>
          <w:highlight w:val="none"/>
          <w:lang w:eastAsia="zh-CN"/>
        </w:rPr>
        <w:t>合同条款</w:t>
      </w:r>
    </w:p>
    <w:p>
      <w:pPr>
        <w:pStyle w:val="2"/>
        <w:ind w:firstLine="4006" w:firstLineChars="19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合同条款及格式</w:t>
      </w:r>
      <w:bookmarkEnd w:id="48"/>
    </w:p>
    <w:p>
      <w:pPr>
        <w:pStyle w:val="2"/>
        <w:spacing w:before="312" w:beforeLines="1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（本合同范本仅作参考，具体合同签订由甲乙双方再行约定）</w:t>
      </w:r>
    </w:p>
    <w:p>
      <w:pPr>
        <w:pStyle w:val="14"/>
        <w:adjustRightInd w:val="0"/>
        <w:snapToGrid w:val="0"/>
        <w:spacing w:line="360" w:lineRule="auto"/>
        <w:ind w:firstLine="472" w:firstLineChars="225"/>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第一章 合同一般条款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合同条件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本项目施工合同协议条款由建设单位（以下称甲方）与中标单位（以下称乙方）结合本项目具体情况协商后签订。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合同文件的优先顺序：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合同协议书（如有时）；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投标书及其附件；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合同；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标准、规范及有关技术文件；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图纸（如有时）；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招标文件；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  资料表以及其他任何构成合同一部分的文件。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履约保证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  履约保证的形式采用下列方式中第（1）、（2）或（3）条：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支票（转账或者现金支票）；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现金。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保函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在收到中标通知书后的 七 天内，乙方应向甲方提交一份以支票、现金或保函形式提供的履约保证金，其数额为合同总价的 0%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  如果乙方未能满足本文件第</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条的要求，则甲方有权取消其中标资格并没收其投标保证金。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  乙方根据合同进行施工工作，在该项目竣工验收合格前，履约保证金将一直有效。履约保证金在工程完工过并验收合格后 7 天内清退。</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进度计划</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  乙方必须按照本工程的设计和招标文件的要求以及乙方投标承诺的施工计划组织实施。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工程工期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  完工日期：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工期延误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  如果由于下列原因造成交货期、竣工工期延误，经甲方代表确认后，乙方有理由延长工期期限。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合同条款规定允许范围内的延误；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不可抗力；</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由甲方造成的延误、障碍、阻止；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可能出现的非乙方过失或违约的其他特殊情况。</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  非上述原因，乙方不能按合同约定的时间竣工并通过验收。赔偿费按每推延一天赔偿</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元。交货期、竣工工期延误最大赔偿限额均为最终合同价格的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  甲方可从向乙方支付的任何金额中扣除此项赔偿款。此赔偿款的支付并不能解除乙方完成工程的责任和合同规定的其他责任。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工程质量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  工程质量应符合国家及行业标准或国际通用标准，执行国家有关工程验收规范、质量评定标准以及自治区、市建委有关工程质量规定。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  工程质量评审部门：执行国家、自治区现行规定。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  乙方承诺的工程质量等级为合同的约定条件。因乙方原因，工程质量达不到约定条件的部分，甲方现场代表一经发现，可要求乙方返工，直至达到合同约定条件，并由乙方承担返工费用。乙方拒绝返工或返工后仍然达不到约定条件，乙方承担违约责任，并按照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支付赔偿金。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  因甲方原因造成工程质量达不到约定条件的，由甲方承担相应的经济责任。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   合同价款与支付</w:t>
      </w:r>
    </w:p>
    <w:p>
      <w:pPr>
        <w:spacing w:line="360" w:lineRule="auto"/>
        <w:ind w:firstLine="420" w:firstLineChars="2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8.1  价款支付：</w:t>
      </w:r>
      <w:r>
        <w:rPr>
          <w:rFonts w:hint="eastAsia" w:ascii="宋体" w:hAnsi="宋体" w:eastAsia="宋体" w:cs="宋体"/>
          <w:color w:val="auto"/>
          <w:sz w:val="21"/>
          <w:szCs w:val="21"/>
          <w:highlight w:val="none"/>
          <w:u w:val="single"/>
          <w:lang w:val="en-US" w:eastAsia="zh-CN"/>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  专利权</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乙方须保障甲方在使用其货物、服务及其任何部门不受到第三方关于侵权的指控，如果出现此类情况，只由乙方与第三方交涉并承担可能发生的一切经济和法律责任。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  技术资料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准备技术资料，并于合同生效后七天内寄送到甲方，其费用包括在投标报价内。例如：样本、图纸、操作手册、使用说明、维修指南和服务手册、制造、安装标准和技术规范、验收报告及测试数据等，如该技术资料不完整或丢失，乙方应在收到甲方通知后三天内免费另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质量保证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乙方应保证在规定的质量保修期内，乙方应对工程的质量负责。出现工程质量事故，乙方应在24小时内，免费负责修理并相应延长此保修期。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售后服务及承诺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  在本项目合同项下的工程验收合格并交付使用后，乙方应对工程的保修期及其以后终身服务做出承诺，并应提供切实可行的服务措施。不能及时兑现服务承诺内容而影响甲方使用，乙方应怎样给予补偿，在投标书中均应明确说明。乙方在疆应有常设或指派的法定售后服务机构，维修人员应是乙方派出的具有一定专业技术水平的人员，并具有乙方的法人授权委托和有关主管部门颁发的资格证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  乙方对工程维修等工作应随时派技术人员并应满足24小时到位的服务，并保证零配件的供应。</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  保修期</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按国家质量保修期标准规范执行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   违约责任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按合同条款中双方约定执行。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  争议的解决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甲乙双方因履行合同而发生争议可按下列</w:t>
      </w:r>
      <w:r>
        <w:rPr>
          <w:rFonts w:hint="eastAsia" w:ascii="宋体" w:hAnsi="宋体" w:eastAsia="宋体" w:cs="宋体"/>
          <w:color w:val="auto"/>
          <w:sz w:val="21"/>
          <w:szCs w:val="21"/>
          <w:highlight w:val="none"/>
          <w:u w:val="single"/>
        </w:rPr>
        <w:t>第（2）款</w:t>
      </w:r>
      <w:r>
        <w:rPr>
          <w:rFonts w:hint="eastAsia" w:ascii="宋体" w:hAnsi="宋体" w:eastAsia="宋体" w:cs="宋体"/>
          <w:color w:val="auto"/>
          <w:sz w:val="21"/>
          <w:szCs w:val="21"/>
          <w:highlight w:val="none"/>
        </w:rPr>
        <w:t>方式解决。</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向工程所在地仲裁机关申请仲裁；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向工程所在地人民法院起诉。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   合同生效及终止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  合同自</w:t>
      </w:r>
      <w:r>
        <w:rPr>
          <w:rFonts w:hint="eastAsia" w:ascii="宋体" w:hAnsi="宋体" w:eastAsia="宋体" w:cs="宋体"/>
          <w:color w:val="auto"/>
          <w:sz w:val="21"/>
          <w:szCs w:val="21"/>
          <w:highlight w:val="none"/>
          <w:u w:val="single"/>
        </w:rPr>
        <w:t xml:space="preserve">  双方签字盖章  </w:t>
      </w:r>
      <w:r>
        <w:rPr>
          <w:rFonts w:hint="eastAsia" w:ascii="宋体" w:hAnsi="宋体" w:eastAsia="宋体" w:cs="宋体"/>
          <w:color w:val="auto"/>
          <w:sz w:val="21"/>
          <w:szCs w:val="21"/>
          <w:highlight w:val="none"/>
        </w:rPr>
        <w:t>之日起生效。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乙方完成工程保修期内所应承担的工程保修、设备维护、技术人员培训等工作并且甲方按合同规定将货款全部支付完毕后，合同即告终止。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   合同份数</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合同正本二份，副本四份，具备同等效力，由双方分送相关部门。</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第二章 竣工要求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投标单位必须响应并承诺竣工时间和竣工目的地的要求。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1、竣工时间要求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按招标文件规定。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2、竣工地点要求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工程所在地。</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第三章 付款币种及方式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1、付款币种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本次招标所述的项目资金均以人民币支付</w:t>
      </w:r>
    </w:p>
    <w:p>
      <w:pPr>
        <w:numPr>
          <w:ilvl w:val="0"/>
          <w:numId w:val="0"/>
        </w:numPr>
        <w:spacing w:line="360" w:lineRule="auto"/>
        <w:ind w:leftChars="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付款方式：</w:t>
      </w:r>
      <w:r>
        <w:rPr>
          <w:rFonts w:hint="eastAsia" w:ascii="宋体" w:hAnsi="宋体" w:eastAsia="宋体" w:cs="宋体"/>
          <w:color w:val="auto"/>
          <w:sz w:val="21"/>
          <w:szCs w:val="21"/>
          <w:highlight w:val="none"/>
          <w:u w:val="single"/>
          <w:lang w:val="en-US" w:eastAsia="zh-CN"/>
        </w:rPr>
        <w:t xml:space="preserve">                                     </w:t>
      </w:r>
    </w:p>
    <w:p>
      <w:pPr>
        <w:numPr>
          <w:ilvl w:val="0"/>
          <w:numId w:val="0"/>
        </w:numPr>
        <w:spacing w:line="360" w:lineRule="auto"/>
        <w:ind w:lef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第四章 对投标单位要求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详见投标人须知</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第五章 合同特殊条款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合同特殊条款是对合同一般条款的补充和修改，如果两者之间有不一致之处时，应以特殊条款为准。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检验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 除合同另有约定外，承包人应负担本合同项下的所有材料、工程设备和工艺检验的费用。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质量要求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　本工程要求的质量标准为符合现行国家有关工程施工验收规范和标准的要求合格。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竣工验收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 其他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 投标报价： 投标报价包含该项目所有的费用，甲方不再支付其他费用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 投标货币：人民币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 列出详细的易损件、专用工具的清单，并分项报价（应包括在总价内）。清单内容应包括：名称、数量、单价、总价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 付款币种及方式（见第三章）</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4.5 完工日期：</w:t>
      </w:r>
      <w:r>
        <w:rPr>
          <w:rFonts w:hint="eastAsia" w:ascii="宋体" w:hAnsi="宋体" w:eastAsia="宋体" w:cs="宋体"/>
          <w:color w:val="auto"/>
          <w:sz w:val="21"/>
          <w:szCs w:val="21"/>
          <w:highlight w:val="none"/>
          <w:lang w:eastAsia="zh-CN"/>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eastAsia="zh-CN"/>
        </w:rPr>
        <w:t>日</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4.6 工程地点</w:t>
      </w:r>
      <w:r>
        <w:rPr>
          <w:rFonts w:hint="eastAsia" w:ascii="宋体" w:hAnsi="宋体" w:eastAsia="宋体" w:cs="宋体"/>
          <w:color w:val="auto"/>
          <w:sz w:val="21"/>
          <w:szCs w:val="21"/>
          <w:highlight w:val="none"/>
          <w:lang w:val="en-US" w:eastAsia="zh-CN"/>
        </w:rPr>
        <w:t>：永宁镇</w:t>
      </w:r>
      <w:r>
        <w:rPr>
          <w:rFonts w:hint="eastAsia" w:ascii="宋体" w:hAnsi="宋体" w:cs="宋体"/>
          <w:color w:val="auto"/>
          <w:sz w:val="21"/>
          <w:szCs w:val="21"/>
          <w:highlight w:val="none"/>
          <w:lang w:val="en-US" w:eastAsia="zh-CN"/>
        </w:rPr>
        <w:t>九号渠村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4.7弃标赔偿责任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的任何弃标行为都是违约行为（不可抗力导致的除外），都应依据《政府采购货物和服务招标投标管理办法》（财政部令第18号）第75条和第76条规定承担民事责任。中标人放弃中标后，为了避免重新招标导致的时间延误和社会成本增加，顺延中标应当是采购人的首选。顺延中标如果导致合同价格抬升，采购人将蒙受合同价格损失。磋商文件可以将顺延中标人的报价高于弃标人报价的部分，界定为弃标人给采购人造成的合同价格损失。恶意弃标行为出现后，采购人有权要求弃标人依法承担赔偿合同价格损失的责任。设定弃标赔偿责任，弃标人不仅要损失投标保证金，还要赔偿合同差价。</w:t>
      </w:r>
    </w:p>
    <w:p>
      <w:pPr>
        <w:pStyle w:val="43"/>
        <w:spacing w:line="460" w:lineRule="exact"/>
        <w:rPr>
          <w:rFonts w:hint="eastAsia" w:ascii="宋体" w:hAnsi="宋体" w:eastAsia="宋体" w:cs="宋体"/>
          <w:b/>
          <w:color w:val="auto"/>
          <w:sz w:val="21"/>
          <w:szCs w:val="21"/>
          <w:highlight w:val="none"/>
        </w:rPr>
      </w:pPr>
    </w:p>
    <w:p>
      <w:pPr>
        <w:pStyle w:val="44"/>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注：本协议书仅为参考文本，签订双方可根据项目的具体要求另行修订。</w:t>
      </w:r>
    </w:p>
    <w:bookmarkEnd w:id="49"/>
    <w:p>
      <w:pPr>
        <w:rPr>
          <w:rFonts w:hint="eastAsia" w:ascii="宋体" w:hAnsi="宋体" w:eastAsia="宋体" w:cs="宋体"/>
          <w:color w:val="auto"/>
          <w:sz w:val="32"/>
          <w:szCs w:val="32"/>
          <w:highlight w:val="none"/>
          <w:lang w:val="en-US" w:eastAsia="zh-CN"/>
        </w:rPr>
      </w:pPr>
      <w:bookmarkStart w:id="50" w:name="EBa7aace56499c438eba0da8955ee091e8"/>
    </w:p>
    <w:p>
      <w:pPr>
        <w:pStyle w:val="45"/>
        <w:numPr>
          <w:ilvl w:val="0"/>
          <w:numId w:val="0"/>
        </w:numPr>
        <w:spacing w:line="360" w:lineRule="auto"/>
        <w:ind w:leftChars="800" w:firstLine="643" w:firstLineChars="200"/>
        <w:rPr>
          <w:rFonts w:hint="eastAsia" w:ascii="宋体" w:hAnsi="宋体" w:eastAsia="宋体" w:cs="宋体"/>
          <w:b/>
          <w:color w:val="auto"/>
          <w:sz w:val="32"/>
          <w:szCs w:val="32"/>
          <w:highlight w:val="none"/>
          <w:lang w:val="en-US" w:eastAsia="zh-CN"/>
        </w:rPr>
      </w:pPr>
    </w:p>
    <w:p>
      <w:pPr>
        <w:pStyle w:val="45"/>
        <w:numPr>
          <w:ilvl w:val="0"/>
          <w:numId w:val="0"/>
        </w:numPr>
        <w:spacing w:line="360" w:lineRule="auto"/>
        <w:ind w:leftChars="800" w:firstLine="643" w:firstLineChars="200"/>
        <w:rPr>
          <w:rFonts w:hint="eastAsia" w:ascii="宋体" w:hAnsi="宋体" w:eastAsia="宋体" w:cs="宋体"/>
          <w:b/>
          <w:color w:val="auto"/>
          <w:sz w:val="32"/>
          <w:szCs w:val="32"/>
          <w:highlight w:val="none"/>
          <w:lang w:val="en-US" w:eastAsia="zh-CN"/>
        </w:rPr>
      </w:pPr>
    </w:p>
    <w:p>
      <w:pPr>
        <w:pStyle w:val="45"/>
        <w:numPr>
          <w:ilvl w:val="0"/>
          <w:numId w:val="0"/>
        </w:numPr>
        <w:spacing w:line="360" w:lineRule="auto"/>
        <w:rPr>
          <w:rFonts w:hint="eastAsia" w:ascii="宋体" w:hAnsi="宋体" w:eastAsia="宋体" w:cs="宋体"/>
          <w:b/>
          <w:color w:val="auto"/>
          <w:sz w:val="32"/>
          <w:szCs w:val="32"/>
          <w:highlight w:val="none"/>
          <w:lang w:val="en-US" w:eastAsia="zh-CN"/>
        </w:rPr>
      </w:pPr>
    </w:p>
    <w:p>
      <w:pPr>
        <w:pStyle w:val="45"/>
        <w:numPr>
          <w:ilvl w:val="0"/>
          <w:numId w:val="0"/>
        </w:numPr>
        <w:spacing w:line="360" w:lineRule="auto"/>
        <w:ind w:leftChars="800" w:firstLine="643" w:firstLineChars="200"/>
        <w:rPr>
          <w:rFonts w:hint="eastAsia" w:ascii="宋体" w:hAnsi="宋体" w:eastAsia="宋体" w:cs="宋体"/>
          <w:b/>
          <w:color w:val="auto"/>
          <w:sz w:val="32"/>
          <w:szCs w:val="32"/>
          <w:highlight w:val="none"/>
          <w:lang w:val="en-US" w:eastAsia="zh-CN"/>
        </w:rPr>
      </w:pPr>
    </w:p>
    <w:p>
      <w:pPr>
        <w:pStyle w:val="45"/>
        <w:numPr>
          <w:ilvl w:val="0"/>
          <w:numId w:val="0"/>
        </w:numPr>
        <w:spacing w:line="360" w:lineRule="auto"/>
        <w:ind w:leftChars="800" w:firstLine="643" w:firstLineChars="200"/>
        <w:rPr>
          <w:rFonts w:hint="eastAsia" w:ascii="宋体" w:hAnsi="宋体" w:eastAsia="宋体" w:cs="宋体"/>
          <w:b/>
          <w:color w:val="auto"/>
          <w:sz w:val="32"/>
          <w:szCs w:val="32"/>
          <w:highlight w:val="none"/>
          <w:lang w:val="en-US" w:eastAsia="zh-CN"/>
        </w:rPr>
      </w:pPr>
    </w:p>
    <w:p>
      <w:pPr>
        <w:pStyle w:val="45"/>
        <w:numPr>
          <w:ilvl w:val="0"/>
          <w:numId w:val="0"/>
        </w:numPr>
        <w:spacing w:line="360" w:lineRule="auto"/>
        <w:ind w:leftChars="800" w:firstLine="643" w:firstLineChars="200"/>
        <w:rPr>
          <w:rFonts w:hint="eastAsia" w:ascii="宋体" w:hAnsi="宋体" w:eastAsia="宋体" w:cs="宋体"/>
          <w:b/>
          <w:color w:val="auto"/>
          <w:sz w:val="32"/>
          <w:szCs w:val="32"/>
          <w:highlight w:val="none"/>
          <w:lang w:val="en-US" w:eastAsia="zh-CN"/>
        </w:rPr>
      </w:pPr>
    </w:p>
    <w:p>
      <w:pPr>
        <w:pStyle w:val="45"/>
        <w:numPr>
          <w:ilvl w:val="0"/>
          <w:numId w:val="0"/>
        </w:numPr>
        <w:spacing w:line="360" w:lineRule="auto"/>
        <w:ind w:leftChars="800" w:firstLine="643" w:firstLineChars="200"/>
        <w:rPr>
          <w:rFonts w:hint="eastAsia" w:ascii="宋体" w:hAnsi="宋体" w:eastAsia="宋体" w:cs="宋体"/>
          <w:b/>
          <w:color w:val="auto"/>
          <w:sz w:val="32"/>
          <w:szCs w:val="32"/>
          <w:highlight w:val="none"/>
          <w:lang w:val="en-US" w:eastAsia="zh-CN"/>
        </w:rPr>
      </w:pPr>
    </w:p>
    <w:p>
      <w:pPr>
        <w:pStyle w:val="45"/>
        <w:numPr>
          <w:ilvl w:val="0"/>
          <w:numId w:val="0"/>
        </w:numPr>
        <w:spacing w:line="360" w:lineRule="auto"/>
        <w:ind w:leftChars="800" w:firstLine="643" w:firstLineChars="200"/>
        <w:rPr>
          <w:rFonts w:hint="eastAsia" w:ascii="宋体" w:hAnsi="宋体" w:eastAsia="宋体" w:cs="宋体"/>
          <w:highlight w:val="none"/>
        </w:rPr>
      </w:pPr>
      <w:r>
        <w:rPr>
          <w:rFonts w:hint="eastAsia" w:ascii="宋体" w:hAnsi="宋体" w:eastAsia="宋体" w:cs="宋体"/>
          <w:b/>
          <w:color w:val="auto"/>
          <w:sz w:val="32"/>
          <w:szCs w:val="32"/>
          <w:highlight w:val="none"/>
          <w:lang w:val="en-US" w:eastAsia="zh-CN"/>
        </w:rPr>
        <w:t xml:space="preserve">第五章 </w:t>
      </w:r>
      <w:r>
        <w:rPr>
          <w:rFonts w:hint="eastAsia" w:ascii="宋体" w:hAnsi="宋体" w:eastAsia="宋体" w:cs="宋体"/>
          <w:b/>
          <w:color w:val="auto"/>
          <w:sz w:val="32"/>
          <w:szCs w:val="32"/>
          <w:highlight w:val="none"/>
        </w:rPr>
        <w:t xml:space="preserve"> </w:t>
      </w:r>
      <w:r>
        <w:rPr>
          <w:rFonts w:hint="eastAsia" w:ascii="宋体" w:hAnsi="宋体" w:eastAsia="宋体" w:cs="宋体"/>
          <w:b/>
          <w:color w:val="auto"/>
          <w:sz w:val="32"/>
          <w:szCs w:val="32"/>
          <w:highlight w:val="none"/>
          <w:lang w:eastAsia="zh-CN"/>
        </w:rPr>
        <w:t>工程量清单</w:t>
      </w:r>
      <w:bookmarkStart w:id="51" w:name="_Toc460703980"/>
      <w:bookmarkStart w:id="52" w:name="_Toc529952601"/>
      <w:bookmarkStart w:id="53" w:name="_Toc256000043"/>
    </w:p>
    <w:bookmarkEnd w:id="51"/>
    <w:p>
      <w:pPr>
        <w:rPr>
          <w:rFonts w:hint="eastAsia" w:ascii="宋体" w:hAnsi="宋体" w:eastAsia="宋体" w:cs="宋体"/>
          <w:sz w:val="21"/>
          <w:highlight w:val="none"/>
          <w:lang w:val="en-US" w:eastAsia="zh-CN"/>
        </w:rPr>
      </w:pPr>
      <w:bookmarkStart w:id="54" w:name="_Toc239650609"/>
      <w:bookmarkStart w:id="55" w:name="_Toc239651328"/>
      <w:bookmarkStart w:id="56" w:name="_Toc460703982"/>
    </w:p>
    <w:p>
      <w:pPr>
        <w:pStyle w:val="12"/>
        <w:rPr>
          <w:rFonts w:hint="eastAsia" w:ascii="宋体" w:hAnsi="宋体" w:eastAsia="宋体" w:cs="宋体"/>
          <w:sz w:val="21"/>
          <w:highlight w:val="none"/>
          <w:lang w:val="en-US" w:eastAsia="zh-CN"/>
        </w:rPr>
      </w:pPr>
    </w:p>
    <w:p>
      <w:pPr>
        <w:pStyle w:val="10"/>
        <w:widowControl w:val="0"/>
        <w:numPr>
          <w:ilvl w:val="0"/>
          <w:numId w:val="0"/>
        </w:numPr>
        <w:jc w:val="both"/>
        <w:rPr>
          <w:rFonts w:hint="eastAsia"/>
          <w:highlight w:val="none"/>
          <w:lang w:val="en-US" w:eastAsia="zh-CN"/>
        </w:rPr>
      </w:pPr>
    </w:p>
    <w:p>
      <w:pPr>
        <w:adjustRightInd w:val="0"/>
        <w:snapToGrid w:val="0"/>
        <w:spacing w:line="500" w:lineRule="exact"/>
        <w:jc w:val="left"/>
        <w:rPr>
          <w:rFonts w:hint="eastAsia" w:ascii="宋体" w:hAnsi="宋体" w:eastAsia="宋体" w:cs="宋体"/>
          <w:i w:val="0"/>
          <w:iCs w:val="0"/>
          <w:caps w:val="0"/>
          <w:color w:val="auto"/>
          <w:spacing w:val="0"/>
          <w:sz w:val="28"/>
          <w:szCs w:val="28"/>
          <w:highlight w:val="none"/>
          <w:lang w:val="en-US" w:eastAsia="zh-CN"/>
        </w:rPr>
      </w:pPr>
    </w:p>
    <w:bookmarkEnd w:id="54"/>
    <w:bookmarkEnd w:id="55"/>
    <w:bookmarkEnd w:id="56"/>
    <w:p>
      <w:pPr>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lang w:eastAsia="zh-CN"/>
        </w:rPr>
      </w:pPr>
    </w:p>
    <w:p>
      <w:pPr>
        <w:pStyle w:val="20"/>
        <w:jc w:val="both"/>
        <w:rPr>
          <w:rFonts w:hint="eastAsia" w:ascii="宋体" w:hAnsi="宋体" w:eastAsia="宋体" w:cs="宋体"/>
          <w:b/>
          <w:color w:val="auto"/>
          <w:kern w:val="2"/>
          <w:sz w:val="32"/>
          <w:szCs w:val="32"/>
          <w:highlight w:val="none"/>
          <w:lang w:val="en-US" w:eastAsia="zh-CN" w:bidi="ar-SA"/>
        </w:rPr>
      </w:pPr>
    </w:p>
    <w:p>
      <w:pPr>
        <w:pStyle w:val="20"/>
        <w:ind w:firstLine="2570" w:firstLineChars="800"/>
        <w:jc w:val="both"/>
        <w:rPr>
          <w:rFonts w:hint="eastAsia" w:ascii="宋体" w:hAnsi="宋体" w:eastAsia="宋体" w:cs="宋体"/>
          <w:b/>
          <w:color w:val="auto"/>
          <w:kern w:val="2"/>
          <w:sz w:val="32"/>
          <w:szCs w:val="32"/>
          <w:highlight w:val="none"/>
          <w:lang w:val="en-US" w:eastAsia="zh-CN" w:bidi="ar-SA"/>
        </w:rPr>
      </w:pPr>
    </w:p>
    <w:p>
      <w:pPr>
        <w:pStyle w:val="20"/>
        <w:ind w:firstLine="2570" w:firstLineChars="800"/>
        <w:jc w:val="both"/>
        <w:rPr>
          <w:rFonts w:hint="eastAsia" w:ascii="宋体" w:hAnsi="宋体" w:eastAsia="宋体" w:cs="宋体"/>
          <w:b/>
          <w:color w:val="auto"/>
          <w:kern w:val="2"/>
          <w:sz w:val="32"/>
          <w:szCs w:val="32"/>
          <w:highlight w:val="none"/>
          <w:lang w:val="en-US" w:eastAsia="zh-CN" w:bidi="ar-SA"/>
        </w:rPr>
      </w:pPr>
    </w:p>
    <w:p>
      <w:pPr>
        <w:pStyle w:val="20"/>
        <w:jc w:val="both"/>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 xml:space="preserve"> </w:t>
      </w:r>
    </w:p>
    <w:p>
      <w:pPr>
        <w:pStyle w:val="20"/>
        <w:numPr>
          <w:ilvl w:val="0"/>
          <w:numId w:val="16"/>
        </w:numPr>
        <w:ind w:firstLine="2570" w:firstLineChars="800"/>
        <w:jc w:val="both"/>
        <w:rPr>
          <w:rFonts w:hint="eastAsia" w:ascii="宋体" w:hAnsi="宋体" w:eastAsia="宋体" w:cs="宋体"/>
          <w:b/>
          <w:bCs w:val="0"/>
          <w:color w:val="auto"/>
          <w:kern w:val="2"/>
          <w:sz w:val="32"/>
          <w:szCs w:val="32"/>
          <w:highlight w:val="none"/>
          <w:lang w:val="en-US" w:eastAsia="zh-CN" w:bidi="ar-SA"/>
        </w:rPr>
      </w:pPr>
      <w:r>
        <w:rPr>
          <w:rFonts w:hint="eastAsia" w:ascii="宋体" w:hAnsi="宋体" w:eastAsia="宋体" w:cs="宋体"/>
          <w:b/>
          <w:bCs w:val="0"/>
          <w:color w:val="auto"/>
          <w:kern w:val="2"/>
          <w:sz w:val="32"/>
          <w:szCs w:val="32"/>
          <w:highlight w:val="none"/>
          <w:lang w:val="en-US" w:eastAsia="zh-CN" w:bidi="ar-SA"/>
        </w:rPr>
        <w:t xml:space="preserve"> 图纸</w:t>
      </w:r>
      <w:bookmarkEnd w:id="52"/>
      <w:bookmarkEnd w:id="53"/>
      <w:bookmarkStart w:id="57" w:name="EB494e10445b284177a9350c3e96722e55"/>
    </w:p>
    <w:p>
      <w:pPr>
        <w:pStyle w:val="20"/>
        <w:numPr>
          <w:ilvl w:val="0"/>
          <w:numId w:val="0"/>
        </w:numPr>
        <w:jc w:val="both"/>
        <w:rPr>
          <w:rFonts w:hint="eastAsia" w:ascii="宋体" w:hAnsi="宋体" w:eastAsia="宋体" w:cs="宋体"/>
          <w:b/>
          <w:bCs w:val="0"/>
          <w:color w:val="auto"/>
          <w:kern w:val="2"/>
          <w:sz w:val="32"/>
          <w:szCs w:val="32"/>
          <w:highlight w:val="none"/>
          <w:lang w:val="en-US" w:eastAsia="zh-CN" w:bidi="ar-SA"/>
        </w:rPr>
      </w:pPr>
    </w:p>
    <w:bookmarkEnd w:id="57"/>
    <w:p>
      <w:pPr>
        <w:pStyle w:val="4"/>
        <w:rPr>
          <w:rFonts w:hint="eastAsia" w:ascii="宋体" w:hAnsi="宋体" w:eastAsia="宋体" w:cs="宋体"/>
          <w:color w:val="auto"/>
          <w:highlight w:val="none"/>
        </w:rPr>
      </w:pPr>
    </w:p>
    <w:p>
      <w:pPr>
        <w:pStyle w:val="4"/>
        <w:keepNext/>
        <w:keepLines/>
        <w:widowControl w:val="0"/>
        <w:numPr>
          <w:ilvl w:val="0"/>
          <w:numId w:val="0"/>
        </w:numPr>
        <w:spacing w:before="260" w:beforeLines="0" w:after="260" w:afterLines="0" w:line="413" w:lineRule="auto"/>
        <w:jc w:val="both"/>
        <w:outlineLvl w:val="2"/>
        <w:rPr>
          <w:rFonts w:hint="eastAsia" w:ascii="宋体" w:hAnsi="宋体" w:eastAsia="宋体" w:cs="宋体"/>
          <w:color w:val="auto"/>
          <w:highlight w:val="none"/>
        </w:rPr>
      </w:pPr>
    </w:p>
    <w:p>
      <w:pPr>
        <w:rPr>
          <w:rFonts w:hint="eastAsia" w:ascii="宋体" w:hAnsi="宋体" w:eastAsia="宋体" w:cs="宋体"/>
          <w:color w:val="auto"/>
          <w:highlight w:val="none"/>
        </w:rPr>
      </w:pPr>
    </w:p>
    <w:bookmarkEnd w:id="50"/>
    <w:p>
      <w:pPr>
        <w:pStyle w:val="2"/>
        <w:pageBreakBefore/>
        <w:numPr>
          <w:ilvl w:val="0"/>
          <w:numId w:val="0"/>
        </w:numPr>
        <w:ind w:firstLine="2249" w:firstLineChars="700"/>
        <w:jc w:val="both"/>
        <w:rPr>
          <w:rFonts w:hint="eastAsia" w:ascii="宋体" w:hAnsi="宋体" w:eastAsia="宋体" w:cs="宋体"/>
          <w:color w:val="auto"/>
          <w:sz w:val="32"/>
          <w:szCs w:val="32"/>
          <w:highlight w:val="none"/>
        </w:rPr>
      </w:pPr>
      <w:bookmarkStart w:id="58" w:name="_Toc256000044"/>
      <w:bookmarkStart w:id="59" w:name="_Toc529952602"/>
      <w:r>
        <w:rPr>
          <w:rFonts w:hint="eastAsia" w:ascii="宋体" w:hAnsi="宋体" w:eastAsia="宋体" w:cs="宋体"/>
          <w:color w:val="auto"/>
          <w:sz w:val="32"/>
          <w:szCs w:val="32"/>
          <w:highlight w:val="none"/>
          <w:lang w:eastAsia="zh-CN"/>
        </w:rPr>
        <w:t>第</w:t>
      </w:r>
      <w:r>
        <w:rPr>
          <w:rFonts w:hint="eastAsia" w:ascii="宋体" w:hAnsi="宋体" w:eastAsia="宋体" w:cs="宋体"/>
          <w:color w:val="auto"/>
          <w:sz w:val="32"/>
          <w:szCs w:val="32"/>
          <w:highlight w:val="none"/>
          <w:lang w:val="en-US" w:eastAsia="zh-CN"/>
        </w:rPr>
        <w:t>七</w:t>
      </w:r>
      <w:r>
        <w:rPr>
          <w:rFonts w:hint="eastAsia" w:ascii="宋体" w:hAnsi="宋体" w:eastAsia="宋体" w:cs="宋体"/>
          <w:color w:val="auto"/>
          <w:sz w:val="32"/>
          <w:szCs w:val="32"/>
          <w:highlight w:val="none"/>
          <w:lang w:eastAsia="zh-CN"/>
        </w:rPr>
        <w:t>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响应文件格式</w:t>
      </w:r>
      <w:bookmarkEnd w:id="58"/>
      <w:bookmarkEnd w:id="59"/>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（目录自拟）</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47"/>
        <w:outlineLvl w:val="1"/>
        <w:rPr>
          <w:rFonts w:hint="eastAsia" w:ascii="宋体" w:hAnsi="宋体" w:eastAsia="宋体" w:cs="宋体"/>
          <w:color w:val="auto"/>
          <w:sz w:val="24"/>
          <w:highlight w:val="none"/>
        </w:rPr>
      </w:pPr>
      <w:bookmarkStart w:id="60" w:name="_Toc256000045"/>
      <w:r>
        <w:rPr>
          <w:rFonts w:hint="eastAsia" w:ascii="宋体" w:hAnsi="宋体" w:eastAsia="宋体" w:cs="宋体"/>
          <w:color w:val="auto"/>
          <w:sz w:val="24"/>
          <w:highlight w:val="none"/>
        </w:rPr>
        <w:t>一、投标文件封面</w:t>
      </w:r>
      <w:bookmarkEnd w:id="60"/>
    </w:p>
    <w:p>
      <w:pPr>
        <w:pStyle w:val="48"/>
        <w:spacing w:line="360" w:lineRule="auto"/>
        <w:rPr>
          <w:rFonts w:hint="eastAsia" w:ascii="宋体" w:hAnsi="宋体" w:eastAsia="宋体" w:cs="宋体"/>
          <w:b/>
          <w:color w:val="auto"/>
          <w:sz w:val="24"/>
          <w:highlight w:val="none"/>
        </w:rPr>
      </w:pPr>
    </w:p>
    <w:p>
      <w:pPr>
        <w:pStyle w:val="48"/>
        <w:spacing w:line="360" w:lineRule="auto"/>
        <w:jc w:val="center"/>
        <w:rPr>
          <w:rFonts w:hint="eastAsia" w:ascii="宋体" w:hAnsi="宋体" w:eastAsia="宋体" w:cs="宋体"/>
          <w:color w:val="auto"/>
          <w:sz w:val="24"/>
          <w:highlight w:val="none"/>
        </w:rPr>
      </w:pPr>
    </w:p>
    <w:p>
      <w:pPr>
        <w:pStyle w:val="48"/>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（项目名称）</w:t>
      </w:r>
    </w:p>
    <w:p>
      <w:pPr>
        <w:pStyle w:val="48"/>
        <w:spacing w:line="360" w:lineRule="auto"/>
        <w:jc w:val="center"/>
        <w:rPr>
          <w:rFonts w:hint="eastAsia" w:ascii="宋体" w:hAnsi="宋体" w:eastAsia="宋体" w:cs="宋体"/>
          <w:color w:val="auto"/>
          <w:sz w:val="24"/>
          <w:highlight w:val="none"/>
        </w:rPr>
      </w:pPr>
    </w:p>
    <w:p>
      <w:pPr>
        <w:pStyle w:val="48"/>
        <w:spacing w:line="360" w:lineRule="auto"/>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p>
    <w:p>
      <w:pPr>
        <w:pStyle w:val="48"/>
        <w:spacing w:line="360" w:lineRule="auto"/>
        <w:jc w:val="center"/>
        <w:rPr>
          <w:rFonts w:hint="eastAsia" w:ascii="宋体" w:hAnsi="宋体" w:eastAsia="宋体" w:cs="宋体"/>
          <w:color w:val="auto"/>
          <w:sz w:val="24"/>
          <w:highlight w:val="none"/>
        </w:rPr>
      </w:pPr>
    </w:p>
    <w:p>
      <w:pPr>
        <w:pStyle w:val="48"/>
        <w:spacing w:line="360" w:lineRule="auto"/>
        <w:jc w:val="center"/>
        <w:rPr>
          <w:rFonts w:hint="eastAsia" w:ascii="宋体" w:hAnsi="宋体" w:eastAsia="宋体" w:cs="宋体"/>
          <w:color w:val="auto"/>
          <w:sz w:val="24"/>
          <w:highlight w:val="none"/>
        </w:rPr>
      </w:pPr>
    </w:p>
    <w:p>
      <w:pPr>
        <w:pStyle w:val="48"/>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w:t>
      </w:r>
    </w:p>
    <w:p>
      <w:pPr>
        <w:pStyle w:val="48"/>
        <w:spacing w:line="360" w:lineRule="auto"/>
        <w:jc w:val="center"/>
        <w:rPr>
          <w:rFonts w:hint="eastAsia" w:ascii="宋体" w:hAnsi="宋体" w:eastAsia="宋体" w:cs="宋体"/>
          <w:color w:val="auto"/>
          <w:sz w:val="24"/>
          <w:highlight w:val="none"/>
        </w:rPr>
      </w:pPr>
    </w:p>
    <w:p>
      <w:pPr>
        <w:pStyle w:val="48"/>
        <w:spacing w:line="360" w:lineRule="auto"/>
        <w:jc w:val="center"/>
        <w:rPr>
          <w:rFonts w:hint="eastAsia" w:ascii="宋体" w:hAnsi="宋体" w:eastAsia="宋体" w:cs="宋体"/>
          <w:color w:val="auto"/>
          <w:sz w:val="24"/>
          <w:highlight w:val="none"/>
        </w:rPr>
      </w:pPr>
    </w:p>
    <w:p>
      <w:pPr>
        <w:pStyle w:val="48"/>
        <w:spacing w:line="360" w:lineRule="auto"/>
        <w:jc w:val="center"/>
        <w:rPr>
          <w:rFonts w:hint="eastAsia" w:ascii="宋体" w:hAnsi="宋体" w:eastAsia="宋体" w:cs="宋体"/>
          <w:b/>
          <w:color w:val="auto"/>
          <w:sz w:val="24"/>
          <w:highlight w:val="none"/>
        </w:rPr>
      </w:pPr>
    </w:p>
    <w:p>
      <w:pPr>
        <w:pStyle w:val="48"/>
        <w:spacing w:line="360" w:lineRule="auto"/>
        <w:jc w:val="center"/>
        <w:rPr>
          <w:rFonts w:hint="eastAsia" w:ascii="宋体" w:hAnsi="宋体" w:eastAsia="宋体" w:cs="宋体"/>
          <w:b/>
          <w:color w:val="auto"/>
          <w:sz w:val="24"/>
          <w:highlight w:val="none"/>
        </w:rPr>
      </w:pPr>
    </w:p>
    <w:p>
      <w:pPr>
        <w:pStyle w:val="48"/>
        <w:spacing w:line="360" w:lineRule="auto"/>
        <w:jc w:val="center"/>
        <w:rPr>
          <w:rFonts w:hint="eastAsia" w:ascii="宋体" w:hAnsi="宋体" w:eastAsia="宋体" w:cs="宋体"/>
          <w:b/>
          <w:color w:val="auto"/>
          <w:sz w:val="24"/>
          <w:highlight w:val="none"/>
        </w:rPr>
      </w:pPr>
    </w:p>
    <w:p>
      <w:pPr>
        <w:pStyle w:val="48"/>
        <w:spacing w:line="360" w:lineRule="auto"/>
        <w:jc w:val="center"/>
        <w:rPr>
          <w:rFonts w:hint="eastAsia" w:ascii="宋体" w:hAnsi="宋体" w:eastAsia="宋体" w:cs="宋体"/>
          <w:b/>
          <w:color w:val="auto"/>
          <w:sz w:val="24"/>
          <w:highlight w:val="none"/>
        </w:rPr>
      </w:pPr>
    </w:p>
    <w:p>
      <w:pPr>
        <w:pStyle w:val="48"/>
        <w:spacing w:line="360" w:lineRule="auto"/>
        <w:jc w:val="center"/>
        <w:rPr>
          <w:rFonts w:hint="eastAsia" w:ascii="宋体" w:hAnsi="宋体" w:eastAsia="宋体" w:cs="宋体"/>
          <w:b/>
          <w:color w:val="auto"/>
          <w:sz w:val="24"/>
          <w:highlight w:val="none"/>
        </w:rPr>
      </w:pPr>
    </w:p>
    <w:p>
      <w:pPr>
        <w:pStyle w:val="48"/>
        <w:spacing w:line="360" w:lineRule="auto"/>
        <w:jc w:val="center"/>
        <w:rPr>
          <w:rFonts w:hint="eastAsia" w:ascii="宋体" w:hAnsi="宋体" w:eastAsia="宋体" w:cs="宋体"/>
          <w:b/>
          <w:color w:val="auto"/>
          <w:sz w:val="24"/>
          <w:highlight w:val="none"/>
        </w:rPr>
      </w:pPr>
    </w:p>
    <w:p>
      <w:pPr>
        <w:pStyle w:val="48"/>
        <w:spacing w:line="360" w:lineRule="auto"/>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（签章）</w:t>
      </w:r>
    </w:p>
    <w:p>
      <w:pPr>
        <w:pStyle w:val="48"/>
        <w:spacing w:line="360" w:lineRule="auto"/>
        <w:ind w:firstLine="1920" w:firstLineChars="8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（签章）</w:t>
      </w:r>
    </w:p>
    <w:p>
      <w:pPr>
        <w:pStyle w:val="48"/>
        <w:spacing w:line="360" w:lineRule="auto"/>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（年/月/日）</w:t>
      </w:r>
    </w:p>
    <w:p>
      <w:pPr>
        <w:pStyle w:val="49"/>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61" w:name="_Toc256000046"/>
    </w:p>
    <w:bookmarkEnd w:id="61"/>
    <w:p>
      <w:pPr>
        <w:pStyle w:val="64"/>
        <w:ind w:firstLine="4096" w:firstLineChars="1700"/>
        <w:outlineLvl w:val="1"/>
        <w:rPr>
          <w:rFonts w:hint="eastAsia" w:ascii="宋体" w:hAnsi="宋体" w:eastAsia="宋体" w:cs="宋体"/>
          <w:b/>
          <w:color w:val="auto"/>
          <w:sz w:val="24"/>
          <w:szCs w:val="24"/>
          <w:highlight w:val="none"/>
          <w:lang w:val="en-US" w:eastAsia="zh-CN" w:bidi="ar-SA"/>
        </w:rPr>
      </w:pPr>
      <w:bookmarkStart w:id="62" w:name="_Toc256000048"/>
      <w:r>
        <w:rPr>
          <w:rFonts w:hint="eastAsia" w:ascii="宋体" w:hAnsi="宋体" w:eastAsia="宋体" w:cs="宋体"/>
          <w:b/>
          <w:color w:val="auto"/>
          <w:sz w:val="24"/>
          <w:szCs w:val="24"/>
          <w:highlight w:val="none"/>
          <w:lang w:val="en-US" w:eastAsia="zh-CN" w:bidi="ar-SA"/>
        </w:rPr>
        <w:t xml:space="preserve">一、投标函    </w:t>
      </w:r>
    </w:p>
    <w:p>
      <w:pPr>
        <w:pStyle w:val="30"/>
        <w:spacing w:line="240" w:lineRule="auto"/>
        <w:ind w:firstLine="422" w:firstLineChars="200"/>
        <w:jc w:val="center"/>
        <w:rPr>
          <w:rFonts w:hint="eastAsia" w:ascii="宋体" w:hAnsi="宋体" w:eastAsia="宋体" w:cs="宋体"/>
          <w:b/>
          <w:color w:val="auto"/>
          <w:kern w:val="2"/>
          <w:sz w:val="21"/>
          <w:szCs w:val="21"/>
          <w:highlight w:val="none"/>
        </w:rPr>
      </w:pPr>
    </w:p>
    <w:p>
      <w:pPr>
        <w:spacing w:line="360" w:lineRule="auto"/>
        <w:rPr>
          <w:rFonts w:hint="eastAsia" w:ascii="宋体" w:hAnsi="宋体" w:eastAsia="宋体" w:cs="宋体"/>
          <w:bCs/>
          <w:color w:val="auto"/>
          <w:kern w:val="0"/>
          <w:sz w:val="21"/>
          <w:szCs w:val="21"/>
          <w:highlight w:val="none"/>
          <w:u w:val="single"/>
        </w:rPr>
      </w:pPr>
    </w:p>
    <w:p>
      <w:pPr>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w:t>
      </w:r>
    </w:p>
    <w:p>
      <w:pPr>
        <w:pStyle w:val="51"/>
        <w:widowControl/>
        <w:spacing w:line="36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我方全面研究了 “</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”项目磋商文件（文件编号：</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），决定参</w:t>
      </w:r>
    </w:p>
    <w:p>
      <w:pPr>
        <w:pStyle w:val="51"/>
        <w:widowControl/>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加本项目竞争性磋商。我方授权</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（姓名、职务）代表我方（供应商的名称）全权处理本项目磋商的有关事宜。</w:t>
      </w:r>
    </w:p>
    <w:p>
      <w:pPr>
        <w:pStyle w:val="15"/>
        <w:widowControl/>
        <w:numPr>
          <w:ilvl w:val="0"/>
          <w:numId w:val="17"/>
        </w:numPr>
        <w:autoSpaceDE w:val="0"/>
        <w:autoSpaceDN w:val="0"/>
        <w:spacing w:line="360" w:lineRule="auto"/>
        <w:ind w:left="218" w:leftChars="104" w:firstLine="312" w:firstLineChars="149"/>
        <w:textAlignment w:val="bottom"/>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 xml:space="preserve">我方自愿按照磋商文件规定的各项要求向采购人提供所需工作内容，商务报价为￥ </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元（大写：人民币</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w:t>
      </w:r>
    </w:p>
    <w:p>
      <w:pPr>
        <w:pStyle w:val="15"/>
        <w:widowControl/>
        <w:numPr>
          <w:ilvl w:val="0"/>
          <w:numId w:val="17"/>
        </w:numPr>
        <w:autoSpaceDE w:val="0"/>
        <w:autoSpaceDN w:val="0"/>
        <w:spacing w:line="360" w:lineRule="auto"/>
        <w:ind w:left="218" w:leftChars="104" w:firstLine="312" w:firstLineChars="149"/>
        <w:textAlignment w:val="bottom"/>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我方承诺：本</w:t>
      </w:r>
      <w:r>
        <w:rPr>
          <w:rFonts w:hint="eastAsia" w:ascii="宋体" w:hAnsi="宋体" w:eastAsia="宋体" w:cs="宋体"/>
          <w:bCs/>
          <w:color w:val="auto"/>
          <w:kern w:val="0"/>
          <w:sz w:val="21"/>
          <w:szCs w:val="21"/>
          <w:highlight w:val="none"/>
          <w:lang w:eastAsia="zh-CN"/>
        </w:rPr>
        <w:t>项目</w:t>
      </w:r>
      <w:r>
        <w:rPr>
          <w:rFonts w:hint="eastAsia" w:ascii="宋体" w:hAnsi="宋体" w:eastAsia="宋体" w:cs="宋体"/>
          <w:bCs/>
          <w:color w:val="auto"/>
          <w:kern w:val="0"/>
          <w:sz w:val="21"/>
          <w:szCs w:val="21"/>
          <w:highlight w:val="none"/>
        </w:rPr>
        <w:t>的</w:t>
      </w:r>
      <w:r>
        <w:rPr>
          <w:rFonts w:hint="eastAsia" w:ascii="宋体" w:hAnsi="宋体" w:eastAsia="宋体" w:cs="宋体"/>
          <w:bCs/>
          <w:color w:val="auto"/>
          <w:kern w:val="0"/>
          <w:sz w:val="21"/>
          <w:szCs w:val="21"/>
          <w:highlight w:val="none"/>
          <w:lang w:eastAsia="zh-CN"/>
        </w:rPr>
        <w:t>服务期</w:t>
      </w:r>
      <w:r>
        <w:rPr>
          <w:rFonts w:hint="eastAsia" w:ascii="宋体" w:hAnsi="宋体" w:eastAsia="宋体" w:cs="宋体"/>
          <w:bCs/>
          <w:color w:val="auto"/>
          <w:kern w:val="0"/>
          <w:sz w:val="21"/>
          <w:szCs w:val="21"/>
          <w:highlight w:val="none"/>
        </w:rPr>
        <w:t>为</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u w:val="single"/>
          <w:lang w:val="en-US" w:eastAsia="zh-CN"/>
        </w:rPr>
        <w:t xml:space="preserve">   </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；质量要求为</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u w:val="single"/>
          <w:lang w:val="en-US" w:eastAsia="zh-CN"/>
        </w:rPr>
        <w:t xml:space="preserve">  </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lang w:eastAsia="zh-CN"/>
        </w:rPr>
        <w:t>。</w:t>
      </w:r>
    </w:p>
    <w:p>
      <w:pPr>
        <w:pStyle w:val="15"/>
        <w:spacing w:line="360" w:lineRule="auto"/>
        <w:ind w:left="332" w:leftChars="158" w:firstLine="210" w:firstLineChars="1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3、若我方成交，我方将严格履行合同规定的责任和义务，保证按采购人要求及我方承诺完成所需工作内容及应尽义务。</w:t>
      </w:r>
    </w:p>
    <w:p>
      <w:pPr>
        <w:pStyle w:val="15"/>
        <w:spacing w:line="360" w:lineRule="auto"/>
        <w:ind w:left="237" w:leftChars="113" w:firstLine="344" w:firstLineChars="16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4、其投标自递交响应文件截止之日起有效期为</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个日历日。如果我们的投标被接受，则至合同生效时止，本投标始终有效，我们将按服务协议、投标承诺及采购文件的规定履行合同责任和义务。</w:t>
      </w:r>
    </w:p>
    <w:p>
      <w:pPr>
        <w:pStyle w:val="15"/>
        <w:spacing w:line="360" w:lineRule="auto"/>
        <w:ind w:firstLine="577" w:firstLineChars="27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5、我方愿意提供采购人可能另外要求的，与磋商有关的文件资料，并保证我方已提供和将要提供的文件资料是真实、准确的。</w:t>
      </w:r>
    </w:p>
    <w:p>
      <w:pPr>
        <w:pStyle w:val="51"/>
        <w:widowControl/>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、我方完全理解采购人不一定将合同授予最低报价的供应商的行为。</w:t>
      </w:r>
    </w:p>
    <w:p>
      <w:pPr>
        <w:pStyle w:val="48"/>
        <w:rPr>
          <w:rFonts w:hint="eastAsia" w:ascii="宋体" w:hAnsi="宋体" w:eastAsia="宋体" w:cs="宋体"/>
          <w:color w:val="auto"/>
          <w:sz w:val="21"/>
          <w:szCs w:val="21"/>
          <w:highlight w:val="none"/>
        </w:rPr>
      </w:pPr>
    </w:p>
    <w:p>
      <w:pPr>
        <w:pStyle w:val="53"/>
        <w:adjustRightInd w:val="0"/>
        <w:snapToGrid w:val="0"/>
        <w:spacing w:line="500" w:lineRule="exact"/>
        <w:ind w:left="1077" w:leftChars="506" w:hanging="14" w:hangingChars="7"/>
        <w:rPr>
          <w:rFonts w:hint="eastAsia" w:ascii="宋体" w:hAnsi="宋体" w:eastAsia="宋体" w:cs="宋体"/>
          <w:color w:val="auto"/>
          <w:sz w:val="21"/>
          <w:szCs w:val="21"/>
          <w:highlight w:val="none"/>
        </w:rPr>
      </w:pPr>
    </w:p>
    <w:p>
      <w:pPr>
        <w:pStyle w:val="53"/>
        <w:adjustRightInd w:val="0"/>
        <w:snapToGrid w:val="0"/>
        <w:spacing w:line="500" w:lineRule="exact"/>
        <w:ind w:left="1077" w:leftChars="506" w:hanging="14" w:hangingChars="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投标人名称（盖章）：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53"/>
        <w:adjustRightInd w:val="0"/>
        <w:snapToGrid w:val="0"/>
        <w:spacing w:line="500" w:lineRule="exact"/>
        <w:ind w:left="1077" w:leftChars="506" w:hanging="14" w:hangingChars="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投标人法定代表人或委托代理人（盖章或签字）：</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30"/>
        <w:spacing w:line="400" w:lineRule="exact"/>
        <w:ind w:firstLine="420" w:firstLineChars="200"/>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spacing w:before="91" w:line="223" w:lineRule="auto"/>
        <w:ind w:left="3337"/>
        <w:rPr>
          <w:rFonts w:hint="eastAsia" w:ascii="宋体" w:hAnsi="宋体" w:eastAsia="宋体" w:cs="宋体"/>
          <w:spacing w:val="-10"/>
          <w:sz w:val="28"/>
          <w:szCs w:val="28"/>
          <w:highlight w:val="none"/>
          <w14:textOutline w14:w="5105" w14:cap="sq" w14:cmpd="sng">
            <w14:solidFill>
              <w14:srgbClr w14:val="000000"/>
            </w14:solidFill>
            <w14:prstDash w14:val="solid"/>
            <w14:bevel/>
          </w14:textOutli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64"/>
        <w:ind w:firstLine="2811" w:firstLineChars="1000"/>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、磋商报价一览表</w:t>
      </w:r>
    </w:p>
    <w:p>
      <w:pPr>
        <w:pStyle w:val="65"/>
        <w:spacing w:after="156" w:afterLines="50" w:line="360" w:lineRule="auto"/>
        <w:jc w:val="left"/>
        <w:rPr>
          <w:rFonts w:hint="eastAsia" w:ascii="宋体" w:hAnsi="宋体" w:eastAsia="宋体" w:cs="宋体"/>
          <w:color w:val="auto"/>
          <w:sz w:val="21"/>
          <w:szCs w:val="21"/>
          <w:highlight w:val="none"/>
        </w:rPr>
      </w:pPr>
    </w:p>
    <w:p>
      <w:pPr>
        <w:pStyle w:val="65"/>
        <w:spacing w:after="156" w:afterLines="50" w:line="360" w:lineRule="auto"/>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项目名称：                                 报价单位：人民币元</w:t>
      </w:r>
    </w:p>
    <w:tbl>
      <w:tblPr>
        <w:tblStyle w:val="23"/>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501"/>
        <w:gridCol w:w="5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pPr>
              <w:pStyle w:val="65"/>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供应商全称</w:t>
            </w:r>
          </w:p>
        </w:tc>
        <w:tc>
          <w:tcPr>
            <w:tcW w:w="7371" w:type="dxa"/>
            <w:gridSpan w:val="2"/>
            <w:noWrap w:val="0"/>
            <w:vAlign w:val="center"/>
          </w:tcPr>
          <w:p>
            <w:pPr>
              <w:pStyle w:val="65"/>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vMerge w:val="restart"/>
            <w:noWrap w:val="0"/>
            <w:vAlign w:val="center"/>
          </w:tcPr>
          <w:p>
            <w:pPr>
              <w:pStyle w:val="65"/>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总报价（元）</w:t>
            </w:r>
          </w:p>
        </w:tc>
        <w:tc>
          <w:tcPr>
            <w:tcW w:w="1501" w:type="dxa"/>
            <w:tcBorders>
              <w:bottom w:val="single" w:color="auto" w:sz="4" w:space="0"/>
            </w:tcBorders>
            <w:noWrap w:val="0"/>
            <w:vAlign w:val="center"/>
          </w:tcPr>
          <w:p>
            <w:pPr>
              <w:pStyle w:val="6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p>
        </w:tc>
        <w:tc>
          <w:tcPr>
            <w:tcW w:w="5870" w:type="dxa"/>
            <w:tcBorders>
              <w:bottom w:val="single" w:color="auto" w:sz="4" w:space="0"/>
            </w:tcBorders>
            <w:noWrap w:val="0"/>
            <w:vAlign w:val="center"/>
          </w:tcPr>
          <w:p>
            <w:pPr>
              <w:pStyle w:val="65"/>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vMerge w:val="continue"/>
            <w:tcBorders>
              <w:bottom w:val="single" w:color="auto" w:sz="4" w:space="0"/>
            </w:tcBorders>
            <w:noWrap w:val="0"/>
            <w:vAlign w:val="center"/>
          </w:tcPr>
          <w:p>
            <w:pPr>
              <w:pStyle w:val="65"/>
              <w:spacing w:line="360" w:lineRule="auto"/>
              <w:jc w:val="left"/>
              <w:rPr>
                <w:rFonts w:hint="eastAsia" w:ascii="宋体" w:hAnsi="宋体" w:eastAsia="宋体" w:cs="宋体"/>
                <w:color w:val="auto"/>
                <w:sz w:val="21"/>
                <w:szCs w:val="21"/>
                <w:highlight w:val="none"/>
              </w:rPr>
            </w:pPr>
          </w:p>
        </w:tc>
        <w:tc>
          <w:tcPr>
            <w:tcW w:w="1501" w:type="dxa"/>
            <w:tcBorders>
              <w:bottom w:val="single" w:color="auto" w:sz="4" w:space="0"/>
            </w:tcBorders>
            <w:noWrap w:val="0"/>
            <w:vAlign w:val="center"/>
          </w:tcPr>
          <w:p>
            <w:pPr>
              <w:pStyle w:val="6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5870" w:type="dxa"/>
            <w:tcBorders>
              <w:bottom w:val="single" w:color="auto" w:sz="4" w:space="0"/>
            </w:tcBorders>
            <w:noWrap w:val="0"/>
            <w:vAlign w:val="center"/>
          </w:tcPr>
          <w:p>
            <w:pPr>
              <w:pStyle w:val="65"/>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pPr>
              <w:pStyle w:val="65"/>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响应文件有效期</w:t>
            </w:r>
          </w:p>
        </w:tc>
        <w:tc>
          <w:tcPr>
            <w:tcW w:w="7371" w:type="dxa"/>
            <w:gridSpan w:val="2"/>
            <w:noWrap w:val="0"/>
            <w:vAlign w:val="center"/>
          </w:tcPr>
          <w:p>
            <w:pPr>
              <w:pStyle w:val="65"/>
              <w:spacing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pPr>
              <w:pStyle w:val="65"/>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w:t>
            </w:r>
          </w:p>
        </w:tc>
        <w:tc>
          <w:tcPr>
            <w:tcW w:w="7371" w:type="dxa"/>
            <w:gridSpan w:val="2"/>
            <w:noWrap w:val="0"/>
            <w:vAlign w:val="center"/>
          </w:tcPr>
          <w:p>
            <w:pPr>
              <w:pStyle w:val="65"/>
              <w:spacing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pPr>
              <w:pStyle w:val="65"/>
              <w:spacing w:line="360" w:lineRule="auto"/>
              <w:ind w:firstLine="4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371" w:type="dxa"/>
            <w:gridSpan w:val="2"/>
            <w:noWrap w:val="0"/>
            <w:vAlign w:val="center"/>
          </w:tcPr>
          <w:p>
            <w:pPr>
              <w:pStyle w:val="65"/>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供应商在磋商文件中规定的实质性要求和条件的基础上，可做出其他有利于采购人的承诺。此类承诺可在本表中予以补充填写。</w:t>
            </w:r>
          </w:p>
        </w:tc>
      </w:tr>
    </w:tbl>
    <w:p>
      <w:pPr>
        <w:pStyle w:val="65"/>
        <w:spacing w:line="360" w:lineRule="auto"/>
        <w:ind w:firstLine="420" w:firstLineChars="200"/>
        <w:rPr>
          <w:rFonts w:hint="eastAsia" w:ascii="宋体" w:hAnsi="宋体" w:eastAsia="宋体" w:cs="宋体"/>
          <w:color w:val="auto"/>
          <w:sz w:val="21"/>
          <w:szCs w:val="21"/>
          <w:highlight w:val="none"/>
        </w:rPr>
      </w:pPr>
    </w:p>
    <w:p>
      <w:pPr>
        <w:pStyle w:val="65"/>
        <w:spacing w:before="50" w:after="156" w:after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法定代表人或其授权代表（签字或盖章）：</w:t>
      </w:r>
    </w:p>
    <w:p>
      <w:pPr>
        <w:pStyle w:val="65"/>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供应商名称(签章)：</w:t>
      </w:r>
    </w:p>
    <w:p>
      <w:pPr>
        <w:pStyle w:val="65"/>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lang w:val="en-US" w:eastAsia="zh-CN"/>
        </w:rPr>
      </w:pPr>
    </w:p>
    <w:p>
      <w:pPr>
        <w:pStyle w:val="54"/>
        <w:outlineLvl w:val="1"/>
        <w:rPr>
          <w:rFonts w:hint="eastAsia" w:ascii="宋体" w:hAnsi="宋体" w:eastAsia="宋体" w:cs="宋体"/>
          <w:color w:val="auto"/>
          <w:sz w:val="21"/>
          <w:szCs w:val="21"/>
          <w:highlight w:val="none"/>
          <w:lang w:val="en-US" w:eastAsia="zh-CN"/>
        </w:rPr>
      </w:pPr>
    </w:p>
    <w:p>
      <w:pPr>
        <w:pStyle w:val="54"/>
        <w:ind w:firstLine="2951" w:firstLineChars="1400"/>
        <w:outlineLvl w:val="1"/>
        <w:rPr>
          <w:rFonts w:hint="eastAsia" w:ascii="宋体" w:hAnsi="宋体" w:eastAsia="宋体" w:cs="宋体"/>
          <w:color w:val="auto"/>
          <w:sz w:val="21"/>
          <w:szCs w:val="21"/>
          <w:highlight w:val="none"/>
          <w:lang w:val="en-US" w:eastAsia="zh-CN"/>
        </w:rPr>
      </w:pPr>
    </w:p>
    <w:p>
      <w:pPr>
        <w:pStyle w:val="54"/>
        <w:ind w:firstLine="2951" w:firstLineChars="1400"/>
        <w:outlineLvl w:val="1"/>
        <w:rPr>
          <w:rFonts w:hint="eastAsia" w:ascii="宋体" w:hAnsi="宋体" w:eastAsia="宋体" w:cs="宋体"/>
          <w:color w:val="auto"/>
          <w:sz w:val="21"/>
          <w:szCs w:val="21"/>
          <w:highlight w:val="none"/>
          <w:lang w:val="en-US" w:eastAsia="zh-CN"/>
        </w:rPr>
      </w:pPr>
    </w:p>
    <w:p>
      <w:pPr>
        <w:pStyle w:val="54"/>
        <w:ind w:firstLine="2951" w:firstLineChars="1400"/>
        <w:outlineLvl w:val="1"/>
        <w:rPr>
          <w:rFonts w:hint="eastAsia" w:ascii="宋体" w:hAnsi="宋体" w:eastAsia="宋体" w:cs="宋体"/>
          <w:color w:val="auto"/>
          <w:sz w:val="21"/>
          <w:szCs w:val="21"/>
          <w:highlight w:val="none"/>
          <w:lang w:val="en-US" w:eastAsia="zh-CN"/>
        </w:rPr>
      </w:pPr>
    </w:p>
    <w:p>
      <w:pPr>
        <w:pStyle w:val="54"/>
        <w:ind w:firstLine="2951" w:firstLineChars="1400"/>
        <w:outlineLvl w:val="1"/>
        <w:rPr>
          <w:rFonts w:hint="eastAsia" w:ascii="宋体" w:hAnsi="宋体" w:eastAsia="宋体" w:cs="宋体"/>
          <w:color w:val="auto"/>
          <w:sz w:val="21"/>
          <w:szCs w:val="21"/>
          <w:highlight w:val="none"/>
          <w:lang w:val="en-US" w:eastAsia="zh-CN"/>
        </w:rPr>
      </w:pPr>
    </w:p>
    <w:p>
      <w:pPr>
        <w:pStyle w:val="54"/>
        <w:ind w:firstLine="2530" w:firstLineChars="900"/>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已标价的工程量清单</w:t>
      </w: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1"/>
          <w:szCs w:val="21"/>
          <w:highlight w:val="none"/>
        </w:rPr>
      </w:pPr>
    </w:p>
    <w:p>
      <w:pPr>
        <w:pStyle w:val="54"/>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、法定代表人身份证明或附有法定代表人身份证明的授权书</w:t>
      </w:r>
      <w:bookmarkEnd w:id="62"/>
    </w:p>
    <w:p>
      <w:pPr>
        <w:pStyle w:val="55"/>
        <w:spacing w:line="360" w:lineRule="auto"/>
        <w:ind w:firstLine="420"/>
        <w:jc w:val="center"/>
        <w:rPr>
          <w:rFonts w:hint="eastAsia" w:ascii="宋体" w:hAnsi="宋体" w:eastAsia="宋体" w:cs="宋体"/>
          <w:color w:val="auto"/>
          <w:sz w:val="21"/>
          <w:szCs w:val="21"/>
          <w:highlight w:val="none"/>
        </w:rPr>
      </w:pPr>
    </w:p>
    <w:p>
      <w:pPr>
        <w:pStyle w:val="55"/>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法定代表人身份证明</w:t>
      </w:r>
    </w:p>
    <w:p>
      <w:pPr>
        <w:pStyle w:val="55"/>
        <w:spacing w:line="360" w:lineRule="auto"/>
        <w:ind w:firstLine="480"/>
        <w:rPr>
          <w:rFonts w:hint="eastAsia" w:ascii="宋体" w:hAnsi="宋体" w:eastAsia="宋体" w:cs="宋体"/>
          <w:color w:val="auto"/>
          <w:sz w:val="21"/>
          <w:szCs w:val="21"/>
          <w:highlight w:val="none"/>
        </w:rPr>
      </w:pPr>
    </w:p>
    <w:p>
      <w:pPr>
        <w:pStyle w:val="55"/>
        <w:spacing w:line="360" w:lineRule="auto"/>
        <w:ind w:firstLine="420"/>
        <w:rPr>
          <w:rFonts w:hint="eastAsia" w:ascii="宋体" w:hAnsi="宋体" w:eastAsia="宋体" w:cs="宋体"/>
          <w:color w:val="auto"/>
          <w:sz w:val="21"/>
          <w:szCs w:val="21"/>
          <w:highlight w:val="none"/>
        </w:rPr>
      </w:pP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r>
        <w:rPr>
          <w:rFonts w:hint="eastAsia" w:ascii="宋体" w:hAnsi="宋体" w:eastAsia="宋体" w:cs="宋体"/>
          <w:color w:val="auto"/>
          <w:sz w:val="21"/>
          <w:szCs w:val="21"/>
          <w:highlight w:val="none"/>
          <w:u w:val="single"/>
        </w:rPr>
        <w:t xml:space="preserve">                                             </w:t>
      </w: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单位性质：</w:t>
      </w:r>
      <w:r>
        <w:rPr>
          <w:rFonts w:hint="eastAsia" w:ascii="宋体" w:hAnsi="宋体" w:eastAsia="宋体" w:cs="宋体"/>
          <w:color w:val="auto"/>
          <w:sz w:val="21"/>
          <w:szCs w:val="21"/>
          <w:highlight w:val="none"/>
          <w:u w:val="single"/>
        </w:rPr>
        <w:t xml:space="preserve">                                             </w:t>
      </w: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经营期限：</w:t>
      </w:r>
      <w:r>
        <w:rPr>
          <w:rFonts w:hint="eastAsia" w:ascii="宋体" w:hAnsi="宋体" w:eastAsia="宋体" w:cs="宋体"/>
          <w:color w:val="auto"/>
          <w:sz w:val="21"/>
          <w:szCs w:val="21"/>
          <w:highlight w:val="none"/>
          <w:u w:val="single"/>
        </w:rPr>
        <w:t xml:space="preserve">                                             </w:t>
      </w:r>
    </w:p>
    <w:p>
      <w:pPr>
        <w:pStyle w:val="55"/>
        <w:spacing w:line="360" w:lineRule="auto"/>
        <w:ind w:firstLine="420"/>
        <w:rPr>
          <w:rFonts w:hint="eastAsia" w:ascii="宋体" w:hAnsi="宋体" w:eastAsia="宋体" w:cs="宋体"/>
          <w:color w:val="auto"/>
          <w:sz w:val="21"/>
          <w:szCs w:val="21"/>
          <w:highlight w:val="none"/>
        </w:rPr>
      </w:pP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性     别：</w:t>
      </w:r>
      <w:r>
        <w:rPr>
          <w:rFonts w:hint="eastAsia" w:ascii="宋体" w:hAnsi="宋体" w:eastAsia="宋体" w:cs="宋体"/>
          <w:color w:val="auto"/>
          <w:sz w:val="21"/>
          <w:szCs w:val="21"/>
          <w:highlight w:val="none"/>
          <w:u w:val="single"/>
        </w:rPr>
        <w:t xml:space="preserve">              </w:t>
      </w:r>
    </w:p>
    <w:p>
      <w:pPr>
        <w:pStyle w:val="55"/>
        <w:spacing w:line="360" w:lineRule="auto"/>
        <w:ind w:firstLine="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年    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     务：</w:t>
      </w:r>
      <w:r>
        <w:rPr>
          <w:rFonts w:hint="eastAsia" w:ascii="宋体" w:hAnsi="宋体" w:eastAsia="宋体" w:cs="宋体"/>
          <w:color w:val="auto"/>
          <w:sz w:val="21"/>
          <w:szCs w:val="21"/>
          <w:highlight w:val="none"/>
          <w:u w:val="single"/>
        </w:rPr>
        <w:t xml:space="preserve">              </w:t>
      </w:r>
    </w:p>
    <w:p>
      <w:pPr>
        <w:pStyle w:val="55"/>
        <w:spacing w:line="360" w:lineRule="auto"/>
        <w:rPr>
          <w:rFonts w:hint="eastAsia" w:ascii="宋体" w:hAnsi="宋体" w:eastAsia="宋体" w:cs="宋体"/>
          <w:color w:val="auto"/>
          <w:sz w:val="21"/>
          <w:szCs w:val="21"/>
          <w:highlight w:val="none"/>
        </w:rPr>
      </w:pP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（供应商）的法定代表人。</w:t>
      </w: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pStyle w:val="55"/>
        <w:spacing w:line="360" w:lineRule="auto"/>
        <w:ind w:firstLine="420"/>
        <w:rPr>
          <w:rFonts w:hint="eastAsia" w:ascii="宋体" w:hAnsi="宋体" w:eastAsia="宋体" w:cs="宋体"/>
          <w:color w:val="auto"/>
          <w:sz w:val="21"/>
          <w:szCs w:val="21"/>
          <w:highlight w:val="none"/>
        </w:rPr>
      </w:pPr>
    </w:p>
    <w:p>
      <w:pPr>
        <w:pStyle w:val="55"/>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附：法定代表人身份证复印件正反面</w:t>
      </w:r>
    </w:p>
    <w:tbl>
      <w:tblPr>
        <w:tblStyle w:val="23"/>
        <w:tblpPr w:leftFromText="180" w:rightFromText="180" w:vertAnchor="text" w:horzAnchor="page" w:tblpX="2313" w:tblpY="4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56"/>
              <w:adjustRightInd w:val="0"/>
              <w:snapToGrid w:val="0"/>
              <w:spacing w:line="400" w:lineRule="exact"/>
              <w:jc w:val="center"/>
              <w:rPr>
                <w:rFonts w:hint="eastAsia" w:ascii="宋体" w:hAnsi="宋体" w:eastAsia="宋体" w:cs="宋体"/>
                <w:color w:val="auto"/>
                <w:sz w:val="21"/>
                <w:szCs w:val="21"/>
                <w:highlight w:val="none"/>
              </w:rPr>
            </w:pPr>
          </w:p>
          <w:p>
            <w:pPr>
              <w:pStyle w:val="56"/>
              <w:adjustRightInd w:val="0"/>
              <w:snapToGrid w:val="0"/>
              <w:spacing w:line="400" w:lineRule="exact"/>
              <w:jc w:val="center"/>
              <w:rPr>
                <w:rFonts w:hint="eastAsia" w:ascii="宋体" w:hAnsi="宋体" w:eastAsia="宋体" w:cs="宋体"/>
                <w:color w:val="auto"/>
                <w:sz w:val="21"/>
                <w:szCs w:val="21"/>
                <w:highlight w:val="none"/>
              </w:rPr>
            </w:pPr>
          </w:p>
          <w:p>
            <w:pPr>
              <w:tabs>
                <w:tab w:val="left" w:pos="360"/>
                <w:tab w:val="left" w:pos="1800"/>
              </w:tabs>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法定代表身份证复印件或扫描件（正、反两面）</w:t>
            </w:r>
          </w:p>
          <w:p>
            <w:pPr>
              <w:pStyle w:val="56"/>
              <w:adjustRightInd w:val="0"/>
              <w:snapToGrid w:val="0"/>
              <w:spacing w:line="400" w:lineRule="exact"/>
              <w:jc w:val="center"/>
              <w:rPr>
                <w:rFonts w:hint="eastAsia" w:ascii="宋体" w:hAnsi="宋体" w:eastAsia="宋体" w:cs="宋体"/>
                <w:color w:val="auto"/>
                <w:sz w:val="21"/>
                <w:szCs w:val="21"/>
                <w:highlight w:val="none"/>
              </w:rPr>
            </w:pPr>
          </w:p>
        </w:tc>
      </w:tr>
    </w:tbl>
    <w:p>
      <w:pPr>
        <w:pStyle w:val="55"/>
        <w:spacing w:line="360" w:lineRule="auto"/>
        <w:ind w:firstLine="420"/>
        <w:rPr>
          <w:rFonts w:hint="eastAsia" w:ascii="宋体" w:hAnsi="宋体" w:eastAsia="宋体" w:cs="宋体"/>
          <w:color w:val="auto"/>
          <w:sz w:val="21"/>
          <w:szCs w:val="21"/>
          <w:highlight w:val="none"/>
        </w:rPr>
      </w:pPr>
    </w:p>
    <w:p>
      <w:pPr>
        <w:pStyle w:val="55"/>
        <w:spacing w:line="360" w:lineRule="auto"/>
        <w:ind w:firstLine="420"/>
        <w:rPr>
          <w:rFonts w:hint="eastAsia" w:ascii="宋体" w:hAnsi="宋体" w:eastAsia="宋体" w:cs="宋体"/>
          <w:color w:val="auto"/>
          <w:sz w:val="21"/>
          <w:szCs w:val="21"/>
          <w:highlight w:val="none"/>
        </w:rPr>
      </w:pPr>
    </w:p>
    <w:p>
      <w:pPr>
        <w:pStyle w:val="55"/>
        <w:spacing w:line="360" w:lineRule="auto"/>
        <w:ind w:firstLine="420"/>
        <w:rPr>
          <w:rFonts w:hint="eastAsia" w:ascii="宋体" w:hAnsi="宋体" w:eastAsia="宋体" w:cs="宋体"/>
          <w:color w:val="auto"/>
          <w:sz w:val="21"/>
          <w:szCs w:val="21"/>
          <w:highlight w:val="none"/>
        </w:rPr>
      </w:pPr>
    </w:p>
    <w:p>
      <w:pPr>
        <w:pStyle w:val="55"/>
        <w:spacing w:line="360" w:lineRule="auto"/>
        <w:ind w:firstLine="42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pPr>
        <w:pStyle w:val="55"/>
        <w:spacing w:line="360" w:lineRule="auto"/>
        <w:ind w:firstLine="420"/>
        <w:jc w:val="center"/>
        <w:rPr>
          <w:rFonts w:hint="eastAsia" w:ascii="宋体" w:hAnsi="宋体" w:eastAsia="宋体" w:cs="宋体"/>
          <w:color w:val="auto"/>
          <w:sz w:val="21"/>
          <w:szCs w:val="21"/>
          <w:highlight w:val="none"/>
          <w:lang w:val="en-US" w:eastAsia="zh-CN"/>
        </w:rPr>
      </w:pPr>
    </w:p>
    <w:p>
      <w:pPr>
        <w:pStyle w:val="55"/>
        <w:spacing w:line="360" w:lineRule="auto"/>
        <w:ind w:firstLine="420"/>
        <w:jc w:val="center"/>
        <w:rPr>
          <w:rFonts w:hint="eastAsia" w:ascii="宋体" w:hAnsi="宋体" w:eastAsia="宋体" w:cs="宋体"/>
          <w:color w:val="auto"/>
          <w:sz w:val="21"/>
          <w:szCs w:val="21"/>
          <w:highlight w:val="none"/>
          <w:lang w:val="en-US" w:eastAsia="zh-CN"/>
        </w:rPr>
      </w:pPr>
    </w:p>
    <w:p>
      <w:pPr>
        <w:pStyle w:val="55"/>
        <w:spacing w:line="360" w:lineRule="auto"/>
        <w:ind w:firstLine="420"/>
        <w:jc w:val="center"/>
        <w:rPr>
          <w:rFonts w:hint="eastAsia" w:ascii="宋体" w:hAnsi="宋体" w:eastAsia="宋体" w:cs="宋体"/>
          <w:color w:val="auto"/>
          <w:sz w:val="21"/>
          <w:szCs w:val="21"/>
          <w:highlight w:val="none"/>
          <w:lang w:val="en-US" w:eastAsia="zh-CN"/>
        </w:rPr>
      </w:pPr>
    </w:p>
    <w:p>
      <w:pPr>
        <w:pStyle w:val="55"/>
        <w:spacing w:line="360" w:lineRule="auto"/>
        <w:ind w:firstLine="420"/>
        <w:jc w:val="center"/>
        <w:rPr>
          <w:rFonts w:hint="eastAsia" w:ascii="宋体" w:hAnsi="宋体" w:eastAsia="宋体" w:cs="宋体"/>
          <w:color w:val="auto"/>
          <w:sz w:val="21"/>
          <w:szCs w:val="21"/>
          <w:highlight w:val="none"/>
          <w:lang w:val="en-US" w:eastAsia="zh-CN"/>
        </w:rPr>
      </w:pPr>
    </w:p>
    <w:p>
      <w:pPr>
        <w:pStyle w:val="55"/>
        <w:spacing w:line="360" w:lineRule="auto"/>
        <w:ind w:firstLine="4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55"/>
        <w:spacing w:line="360" w:lineRule="auto"/>
        <w:ind w:firstLine="4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供应商（签章）：</w:t>
      </w:r>
      <w:r>
        <w:rPr>
          <w:rFonts w:hint="eastAsia" w:ascii="宋体" w:hAnsi="宋体" w:eastAsia="宋体" w:cs="宋体"/>
          <w:color w:val="auto"/>
          <w:sz w:val="21"/>
          <w:szCs w:val="21"/>
          <w:highlight w:val="none"/>
          <w:u w:val="single"/>
        </w:rPr>
        <w:t xml:space="preserve">                           </w:t>
      </w:r>
    </w:p>
    <w:p>
      <w:pPr>
        <w:pStyle w:val="55"/>
        <w:spacing w:line="360" w:lineRule="auto"/>
        <w:ind w:firstLine="42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2741" w:firstLineChars="1300"/>
        <w:jc w:val="both"/>
        <w:rPr>
          <w:rFonts w:hint="eastAsia" w:ascii="宋体" w:hAnsi="宋体" w:eastAsia="宋体" w:cs="宋体"/>
          <w:b/>
          <w:bCs/>
          <w:color w:val="auto"/>
          <w:sz w:val="21"/>
          <w:szCs w:val="21"/>
          <w:highlight w:val="none"/>
          <w:lang w:val="zh-CN"/>
        </w:rPr>
      </w:pPr>
    </w:p>
    <w:p>
      <w:pPr>
        <w:pStyle w:val="55"/>
        <w:spacing w:line="360" w:lineRule="auto"/>
        <w:ind w:firstLine="3795" w:firstLineChars="1800"/>
        <w:jc w:val="both"/>
        <w:rPr>
          <w:rFonts w:hint="eastAsia" w:ascii="宋体" w:hAnsi="宋体" w:eastAsia="宋体" w:cs="宋体"/>
          <w:b/>
          <w:bCs/>
          <w:color w:val="auto"/>
          <w:sz w:val="21"/>
          <w:szCs w:val="21"/>
          <w:highlight w:val="none"/>
          <w:lang w:val="zh-CN"/>
        </w:rPr>
      </w:pPr>
    </w:p>
    <w:p>
      <w:pPr>
        <w:pStyle w:val="55"/>
        <w:spacing w:line="360" w:lineRule="auto"/>
        <w:ind w:firstLine="3795" w:firstLineChars="1800"/>
        <w:jc w:val="both"/>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授权委托书</w:t>
      </w:r>
    </w:p>
    <w:p>
      <w:pPr>
        <w:pStyle w:val="57"/>
        <w:adjustRightInd w:val="0"/>
        <w:snapToGrid w:val="0"/>
        <w:spacing w:line="360" w:lineRule="auto"/>
        <w:rPr>
          <w:rFonts w:hint="eastAsia" w:ascii="宋体" w:hAnsi="宋体" w:eastAsia="宋体" w:cs="宋体"/>
          <w:color w:val="auto"/>
          <w:sz w:val="21"/>
          <w:szCs w:val="21"/>
          <w:highlight w:val="none"/>
        </w:rPr>
      </w:pPr>
    </w:p>
    <w:p>
      <w:pPr>
        <w:pStyle w:val="57"/>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本授权委托书声明：我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(姓名)系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(供应商名称)的法定代表人，现授权委托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(姓名)为我公司本次磋商采购活动的授权代表，参加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项目的磋商采购活动。授权代表在磋商、合同签订过程中所签署的一切文件和处理与之有关的一切事务，我均予以承认。</w:t>
      </w:r>
    </w:p>
    <w:p>
      <w:pPr>
        <w:pStyle w:val="57"/>
        <w:adjustRightInd w:val="0"/>
        <w:snapToGrid w:val="0"/>
        <w:spacing w:line="360" w:lineRule="auto"/>
        <w:rPr>
          <w:rFonts w:hint="eastAsia" w:ascii="宋体" w:hAnsi="宋体" w:eastAsia="宋体" w:cs="宋体"/>
          <w:color w:val="auto"/>
          <w:sz w:val="21"/>
          <w:szCs w:val="21"/>
          <w:highlight w:val="none"/>
        </w:rPr>
      </w:pPr>
    </w:p>
    <w:p>
      <w:pPr>
        <w:pStyle w:val="57"/>
        <w:adjustRightInd w:val="0"/>
        <w:snapToGrid w:val="0"/>
        <w:spacing w:line="360" w:lineRule="auto"/>
        <w:ind w:left="41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授权代表无转委托权。特此委托。</w:t>
      </w:r>
    </w:p>
    <w:p>
      <w:pPr>
        <w:pStyle w:val="57"/>
        <w:adjustRightInd w:val="0"/>
        <w:snapToGrid w:val="0"/>
        <w:spacing w:line="360" w:lineRule="auto"/>
        <w:ind w:left="412"/>
        <w:rPr>
          <w:rFonts w:hint="eastAsia" w:ascii="宋体" w:hAnsi="宋体" w:eastAsia="宋体" w:cs="宋体"/>
          <w:color w:val="auto"/>
          <w:sz w:val="21"/>
          <w:szCs w:val="21"/>
          <w:highlight w:val="none"/>
        </w:rPr>
      </w:pPr>
    </w:p>
    <w:p>
      <w:pPr>
        <w:pStyle w:val="57"/>
        <w:adjustRightInd w:val="0"/>
        <w:snapToGrid w:val="0"/>
        <w:spacing w:line="360" w:lineRule="auto"/>
        <w:ind w:left="41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授权代表（姓名）：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性别：                    年龄：</w:t>
      </w:r>
    </w:p>
    <w:p>
      <w:pPr>
        <w:pStyle w:val="57"/>
        <w:adjustRightInd w:val="0"/>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单           位：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部门：                    职务：</w:t>
      </w:r>
    </w:p>
    <w:p>
      <w:pPr>
        <w:pStyle w:val="57"/>
        <w:adjustRightInd w:val="0"/>
        <w:snapToGrid w:val="0"/>
        <w:spacing w:line="360" w:lineRule="auto"/>
        <w:ind w:firstLine="420"/>
        <w:rPr>
          <w:rFonts w:hint="eastAsia" w:ascii="宋体" w:hAnsi="宋体" w:eastAsia="宋体" w:cs="宋体"/>
          <w:color w:val="auto"/>
          <w:sz w:val="21"/>
          <w:szCs w:val="21"/>
          <w:highlight w:val="none"/>
        </w:rPr>
      </w:pPr>
    </w:p>
    <w:p>
      <w:pPr>
        <w:pStyle w:val="57"/>
        <w:adjustRightInd w:val="0"/>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r>
        <w:rPr>
          <w:rFonts w:hint="eastAsia" w:ascii="宋体" w:hAnsi="宋体" w:eastAsia="宋体" w:cs="宋体"/>
          <w:b/>
          <w:bCs/>
          <w:color w:val="auto"/>
          <w:sz w:val="21"/>
          <w:szCs w:val="21"/>
          <w:highlight w:val="none"/>
        </w:rPr>
        <w:t>授权代表身份证复印件正反面</w:t>
      </w:r>
    </w:p>
    <w:p>
      <w:pPr>
        <w:pStyle w:val="57"/>
        <w:adjustRightInd w:val="0"/>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2463800</wp:posOffset>
                </wp:positionH>
                <wp:positionV relativeFrom="paragraph">
                  <wp:posOffset>114300</wp:posOffset>
                </wp:positionV>
                <wp:extent cx="2971800" cy="1647190"/>
                <wp:effectExtent l="4445" t="4445" r="14605" b="571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4pt;margin-top:9pt;height:129.7pt;width:234pt;z-index:251660288;mso-width-relative:page;mso-height-relative:page;" fillcolor="#FFFFFF" filled="t" stroked="t" coordsize="21600,21600" o:gfxdata="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FowsjaAAAACgEAAA8AAAAAAAAA&#10;AQAgAAAAIgAAAGRycy9kb3ducmV2LnhtbFBLAQIUABQAAAAIAIdO4kD5ZKynSAIAAJYEAAAOAAAA&#10;AAAAAAEAIAAAACkBAABkcnMvZTJvRG9jLnhtbFBLBQYAAAAABgAGAFkBAADjBQ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r>
        <w:rPr>
          <w:rFonts w:hint="eastAsia" w:ascii="宋体" w:hAnsi="宋体" w:eastAsia="宋体" w:cs="宋体"/>
          <w:color w:val="auto"/>
          <w:sz w:val="21"/>
          <w:szCs w:val="21"/>
          <w:highlight w:val="none"/>
        </w:rPr>
        <mc:AlternateContent>
          <mc:Choice Requires="wps">
            <w:drawing>
              <wp:anchor distT="0" distB="0" distL="114300" distR="114300" simplePos="0" relativeHeight="251659264" behindDoc="1" locked="0" layoutInCell="1" allowOverlap="1">
                <wp:simplePos x="0" y="0"/>
                <wp:positionH relativeFrom="column">
                  <wp:posOffset>-774700</wp:posOffset>
                </wp:positionH>
                <wp:positionV relativeFrom="paragraph">
                  <wp:posOffset>111760</wp:posOffset>
                </wp:positionV>
                <wp:extent cx="2971800" cy="1624965"/>
                <wp:effectExtent l="4445" t="4445" r="14605" b="889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pt;margin-top:8.8pt;height:127.95pt;width:234pt;z-index:-251657216;mso-width-relative:page;mso-height-relative:page;" fillcolor="#FFFFFF" filled="t" stroked="t" coordsize="21600,21600" o:gfxdata="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Dw/yh2wAAAAsBAAAPAAAAAAAA&#10;AAEAIAAAACIAAABkcnMvZG93bnJldi54bWxQSwECFAAUAAAACACHTuJAZm60Kk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p>
    <w:p>
      <w:pPr>
        <w:pStyle w:val="57"/>
        <w:adjustRightInd w:val="0"/>
        <w:snapToGrid w:val="0"/>
        <w:spacing w:line="360" w:lineRule="auto"/>
        <w:ind w:firstLine="420"/>
        <w:jc w:val="righ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供应商名称 (签章)：</w:t>
      </w:r>
    </w:p>
    <w:p>
      <w:pPr>
        <w:pStyle w:val="57"/>
        <w:adjustRightInd w:val="0"/>
        <w:snapToGrid w:val="0"/>
        <w:spacing w:line="360" w:lineRule="auto"/>
        <w:ind w:firstLine="42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(签章)：</w:t>
      </w:r>
    </w:p>
    <w:p>
      <w:pPr>
        <w:pStyle w:val="57"/>
        <w:adjustRightInd w:val="0"/>
        <w:snapToGrid w:val="0"/>
        <w:spacing w:line="360" w:lineRule="auto"/>
        <w:ind w:right="420" w:firstLine="420" w:firstLineChars="2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58"/>
        <w:jc w:val="both"/>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63" w:name="_Toc256000050"/>
    </w:p>
    <w:p>
      <w:pPr>
        <w:pStyle w:val="58"/>
        <w:jc w:val="both"/>
        <w:outlineLvl w:val="1"/>
        <w:rPr>
          <w:rFonts w:hint="eastAsia" w:ascii="宋体" w:hAnsi="宋体" w:eastAsia="宋体" w:cs="宋体"/>
          <w:color w:val="auto"/>
          <w:sz w:val="21"/>
          <w:szCs w:val="21"/>
          <w:highlight w:val="none"/>
        </w:rPr>
      </w:pPr>
    </w:p>
    <w:p>
      <w:pPr>
        <w:pStyle w:val="58"/>
        <w:jc w:val="both"/>
        <w:outlineLvl w:val="1"/>
        <w:rPr>
          <w:rFonts w:hint="eastAsia" w:ascii="宋体" w:hAnsi="宋体" w:eastAsia="宋体" w:cs="宋体"/>
          <w:color w:val="auto"/>
          <w:sz w:val="21"/>
          <w:szCs w:val="21"/>
          <w:highlight w:val="none"/>
        </w:rPr>
      </w:pPr>
    </w:p>
    <w:p>
      <w:pPr>
        <w:pStyle w:val="58"/>
        <w:jc w:val="both"/>
        <w:outlineLvl w:val="1"/>
        <w:rPr>
          <w:rFonts w:hint="eastAsia" w:ascii="宋体" w:hAnsi="宋体" w:eastAsia="宋体" w:cs="宋体"/>
          <w:color w:val="auto"/>
          <w:sz w:val="28"/>
          <w:szCs w:val="28"/>
          <w:highlight w:val="none"/>
        </w:rPr>
      </w:pPr>
    </w:p>
    <w:p>
      <w:pPr>
        <w:pStyle w:val="58"/>
        <w:jc w:val="both"/>
        <w:outlineLvl w:val="1"/>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、《公平竞争承诺书》文件</w:t>
      </w:r>
      <w:bookmarkEnd w:id="63"/>
    </w:p>
    <w:p>
      <w:pPr>
        <w:spacing w:before="101" w:line="414" w:lineRule="exact"/>
        <w:rPr>
          <w:rFonts w:hint="eastAsia" w:ascii="宋体" w:hAnsi="宋体" w:cs="宋体"/>
          <w:b/>
          <w:color w:val="auto"/>
          <w:kern w:val="0"/>
          <w:sz w:val="28"/>
          <w:szCs w:val="28"/>
          <w:highlight w:val="none"/>
          <w:lang w:val="en-US" w:eastAsia="zh-CN" w:bidi="ar-SA"/>
        </w:rPr>
      </w:pPr>
    </w:p>
    <w:p>
      <w:pPr>
        <w:spacing w:before="101" w:line="414" w:lineRule="exact"/>
        <w:rPr>
          <w:rFonts w:hint="eastAsia" w:ascii="宋体" w:hAnsi="宋体" w:cs="宋体"/>
          <w:b/>
          <w:color w:val="auto"/>
          <w:kern w:val="0"/>
          <w:sz w:val="28"/>
          <w:szCs w:val="28"/>
          <w:highlight w:val="none"/>
          <w:lang w:val="en-US" w:eastAsia="zh-CN" w:bidi="ar-SA"/>
        </w:rPr>
      </w:pPr>
    </w:p>
    <w:p>
      <w:pPr>
        <w:spacing w:before="101" w:line="414" w:lineRule="exact"/>
        <w:rPr>
          <w:rFonts w:hint="eastAsia" w:ascii="宋体" w:hAnsi="宋体" w:cs="宋体"/>
          <w:b/>
          <w:color w:val="auto"/>
          <w:kern w:val="0"/>
          <w:sz w:val="28"/>
          <w:szCs w:val="28"/>
          <w:highlight w:val="none"/>
          <w:lang w:val="en-US" w:eastAsia="zh-CN" w:bidi="ar-SA"/>
        </w:rPr>
      </w:pPr>
    </w:p>
    <w:p>
      <w:pPr>
        <w:spacing w:before="101" w:line="414" w:lineRule="exact"/>
        <w:rPr>
          <w:rFonts w:hint="eastAsia" w:ascii="宋体" w:hAnsi="宋体" w:eastAsia="宋体" w:cs="宋体"/>
          <w:b/>
          <w:color w:val="auto"/>
          <w:kern w:val="0"/>
          <w:sz w:val="21"/>
          <w:szCs w:val="21"/>
          <w:highlight w:val="none"/>
          <w:lang w:val="en-US" w:eastAsia="zh-CN" w:bidi="ar-SA"/>
        </w:rPr>
      </w:pPr>
      <w:r>
        <w:rPr>
          <w:rFonts w:hint="eastAsia" w:ascii="宋体" w:hAnsi="宋体" w:cs="宋体"/>
          <w:b/>
          <w:color w:val="auto"/>
          <w:kern w:val="0"/>
          <w:sz w:val="28"/>
          <w:szCs w:val="28"/>
          <w:highlight w:val="none"/>
          <w:lang w:val="en-US" w:eastAsia="zh-CN" w:bidi="ar-SA"/>
        </w:rPr>
        <w:t>六</w:t>
      </w:r>
      <w:r>
        <w:rPr>
          <w:rFonts w:hint="eastAsia" w:ascii="宋体" w:hAnsi="宋体" w:eastAsia="宋体" w:cs="宋体"/>
          <w:b/>
          <w:color w:val="auto"/>
          <w:kern w:val="0"/>
          <w:sz w:val="28"/>
          <w:szCs w:val="28"/>
          <w:highlight w:val="none"/>
          <w:lang w:val="en-US" w:eastAsia="zh-CN" w:bidi="ar-SA"/>
        </w:rPr>
        <w:t xml:space="preserve">.供应商基本情况表    </w:t>
      </w:r>
      <w:r>
        <w:rPr>
          <w:rFonts w:hint="eastAsia" w:ascii="宋体" w:hAnsi="宋体" w:eastAsia="宋体" w:cs="宋体"/>
          <w:b/>
          <w:color w:val="auto"/>
          <w:kern w:val="0"/>
          <w:sz w:val="21"/>
          <w:szCs w:val="21"/>
          <w:highlight w:val="none"/>
          <w:lang w:val="en-US" w:eastAsia="zh-CN" w:bidi="ar-SA"/>
        </w:rPr>
        <w:t xml:space="preserve">             表 </w:t>
      </w:r>
      <w:r>
        <w:rPr>
          <w:rFonts w:hint="eastAsia" w:ascii="宋体" w:hAnsi="宋体" w:cs="宋体"/>
          <w:b/>
          <w:color w:val="auto"/>
          <w:kern w:val="0"/>
          <w:sz w:val="21"/>
          <w:szCs w:val="21"/>
          <w:highlight w:val="none"/>
          <w:lang w:val="en-US" w:eastAsia="zh-CN" w:bidi="ar-SA"/>
        </w:rPr>
        <w:t>6</w:t>
      </w:r>
      <w:r>
        <w:rPr>
          <w:rFonts w:hint="eastAsia" w:ascii="宋体" w:hAnsi="宋体" w:eastAsia="宋体" w:cs="宋体"/>
          <w:b/>
          <w:color w:val="auto"/>
          <w:kern w:val="0"/>
          <w:sz w:val="21"/>
          <w:szCs w:val="21"/>
          <w:highlight w:val="none"/>
          <w:lang w:val="en-US" w:eastAsia="zh-CN" w:bidi="ar-SA"/>
        </w:rPr>
        <w:t>.1</w:t>
      </w:r>
    </w:p>
    <w:p>
      <w:pPr>
        <w:spacing w:line="206" w:lineRule="exact"/>
        <w:rPr>
          <w:rFonts w:hint="eastAsia" w:ascii="宋体" w:hAnsi="宋体" w:eastAsia="宋体" w:cs="宋体"/>
          <w:highlight w:val="none"/>
        </w:rPr>
      </w:pPr>
    </w:p>
    <w:tbl>
      <w:tblPr>
        <w:tblStyle w:val="82"/>
        <w:tblW w:w="8564" w:type="dxa"/>
        <w:tblInd w:w="1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7"/>
        <w:gridCol w:w="1188"/>
        <w:gridCol w:w="1001"/>
        <w:gridCol w:w="1236"/>
        <w:gridCol w:w="1255"/>
        <w:gridCol w:w="400"/>
        <w:gridCol w:w="532"/>
        <w:gridCol w:w="1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567" w:type="dxa"/>
            <w:vAlign w:val="top"/>
          </w:tcPr>
          <w:p>
            <w:pPr>
              <w:spacing w:before="235" w:line="229" w:lineRule="auto"/>
              <w:ind w:left="196"/>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供</w:t>
            </w:r>
            <w:r>
              <w:rPr>
                <w:rFonts w:hint="eastAsia" w:ascii="宋体" w:hAnsi="宋体" w:eastAsia="宋体" w:cs="宋体"/>
                <w:spacing w:val="6"/>
                <w:sz w:val="21"/>
                <w:szCs w:val="21"/>
                <w:highlight w:val="none"/>
              </w:rPr>
              <w:t>应商名称</w:t>
            </w:r>
          </w:p>
        </w:tc>
        <w:tc>
          <w:tcPr>
            <w:tcW w:w="6997" w:type="dxa"/>
            <w:gridSpan w:val="7"/>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1567" w:type="dxa"/>
            <w:vAlign w:val="top"/>
          </w:tcPr>
          <w:p>
            <w:pPr>
              <w:spacing w:before="209" w:line="232" w:lineRule="auto"/>
              <w:ind w:left="322"/>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注</w:t>
            </w:r>
            <w:r>
              <w:rPr>
                <w:rFonts w:hint="eastAsia" w:ascii="宋体" w:hAnsi="宋体" w:eastAsia="宋体" w:cs="宋体"/>
                <w:spacing w:val="4"/>
                <w:sz w:val="21"/>
                <w:szCs w:val="21"/>
                <w:highlight w:val="none"/>
              </w:rPr>
              <w:t>册地址</w:t>
            </w:r>
          </w:p>
        </w:tc>
        <w:tc>
          <w:tcPr>
            <w:tcW w:w="3425" w:type="dxa"/>
            <w:gridSpan w:val="3"/>
            <w:vAlign w:val="top"/>
          </w:tcPr>
          <w:p>
            <w:pPr>
              <w:rPr>
                <w:rFonts w:hint="eastAsia" w:ascii="宋体" w:hAnsi="宋体" w:eastAsia="宋体" w:cs="宋体"/>
                <w:sz w:val="21"/>
                <w:szCs w:val="21"/>
                <w:highlight w:val="none"/>
              </w:rPr>
            </w:pPr>
          </w:p>
        </w:tc>
        <w:tc>
          <w:tcPr>
            <w:tcW w:w="1255" w:type="dxa"/>
            <w:vAlign w:val="top"/>
          </w:tcPr>
          <w:p>
            <w:pPr>
              <w:spacing w:before="209" w:line="230" w:lineRule="auto"/>
              <w:ind w:left="179"/>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邮政</w:t>
            </w:r>
            <w:r>
              <w:rPr>
                <w:rFonts w:hint="eastAsia" w:ascii="宋体" w:hAnsi="宋体" w:eastAsia="宋体" w:cs="宋体"/>
                <w:spacing w:val="1"/>
                <w:sz w:val="21"/>
                <w:szCs w:val="21"/>
                <w:highlight w:val="none"/>
              </w:rPr>
              <w:t>编码</w:t>
            </w:r>
          </w:p>
        </w:tc>
        <w:tc>
          <w:tcPr>
            <w:tcW w:w="2317" w:type="dxa"/>
            <w:gridSpan w:val="3"/>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567" w:type="dxa"/>
            <w:vMerge w:val="restart"/>
            <w:tcBorders>
              <w:bottom w:val="nil"/>
            </w:tcBorders>
            <w:vAlign w:val="top"/>
          </w:tcPr>
          <w:p>
            <w:pPr>
              <w:spacing w:line="468" w:lineRule="auto"/>
              <w:rPr>
                <w:rFonts w:hint="eastAsia" w:ascii="宋体" w:hAnsi="宋体" w:eastAsia="宋体" w:cs="宋体"/>
                <w:sz w:val="21"/>
                <w:szCs w:val="21"/>
                <w:highlight w:val="none"/>
              </w:rPr>
            </w:pPr>
          </w:p>
          <w:p>
            <w:pPr>
              <w:spacing w:before="75" w:line="231" w:lineRule="auto"/>
              <w:ind w:left="312"/>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联</w:t>
            </w:r>
            <w:r>
              <w:rPr>
                <w:rFonts w:hint="eastAsia" w:ascii="宋体" w:hAnsi="宋体" w:eastAsia="宋体" w:cs="宋体"/>
                <w:spacing w:val="6"/>
                <w:sz w:val="21"/>
                <w:szCs w:val="21"/>
                <w:highlight w:val="none"/>
              </w:rPr>
              <w:t>系方式</w:t>
            </w:r>
          </w:p>
        </w:tc>
        <w:tc>
          <w:tcPr>
            <w:tcW w:w="1188" w:type="dxa"/>
            <w:vAlign w:val="top"/>
          </w:tcPr>
          <w:p>
            <w:pPr>
              <w:spacing w:before="209" w:line="233" w:lineRule="auto"/>
              <w:ind w:left="243"/>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联</w:t>
            </w:r>
            <w:r>
              <w:rPr>
                <w:rFonts w:hint="eastAsia" w:ascii="宋体" w:hAnsi="宋体" w:eastAsia="宋体" w:cs="宋体"/>
                <w:spacing w:val="5"/>
                <w:sz w:val="21"/>
                <w:szCs w:val="21"/>
                <w:highlight w:val="none"/>
              </w:rPr>
              <w:t>系人</w:t>
            </w:r>
          </w:p>
        </w:tc>
        <w:tc>
          <w:tcPr>
            <w:tcW w:w="2237" w:type="dxa"/>
            <w:gridSpan w:val="2"/>
            <w:vAlign w:val="top"/>
          </w:tcPr>
          <w:p>
            <w:pPr>
              <w:rPr>
                <w:rFonts w:hint="eastAsia" w:ascii="宋体" w:hAnsi="宋体" w:eastAsia="宋体" w:cs="宋体"/>
                <w:sz w:val="21"/>
                <w:szCs w:val="21"/>
                <w:highlight w:val="none"/>
              </w:rPr>
            </w:pPr>
          </w:p>
        </w:tc>
        <w:tc>
          <w:tcPr>
            <w:tcW w:w="1255" w:type="dxa"/>
            <w:vAlign w:val="top"/>
          </w:tcPr>
          <w:p>
            <w:pPr>
              <w:spacing w:before="209" w:line="231" w:lineRule="auto"/>
              <w:ind w:left="308"/>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 xml:space="preserve">电  </w:t>
            </w:r>
            <w:r>
              <w:rPr>
                <w:rFonts w:hint="eastAsia" w:ascii="宋体" w:hAnsi="宋体" w:eastAsia="宋体" w:cs="宋体"/>
                <w:spacing w:val="-1"/>
                <w:sz w:val="21"/>
                <w:szCs w:val="21"/>
                <w:highlight w:val="none"/>
              </w:rPr>
              <w:t>话</w:t>
            </w:r>
          </w:p>
        </w:tc>
        <w:tc>
          <w:tcPr>
            <w:tcW w:w="2317" w:type="dxa"/>
            <w:gridSpan w:val="3"/>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567" w:type="dxa"/>
            <w:vMerge w:val="continue"/>
            <w:tcBorders>
              <w:top w:val="nil"/>
            </w:tcBorders>
            <w:vAlign w:val="top"/>
          </w:tcPr>
          <w:p>
            <w:pPr>
              <w:rPr>
                <w:rFonts w:hint="eastAsia" w:ascii="宋体" w:hAnsi="宋体" w:eastAsia="宋体" w:cs="宋体"/>
                <w:sz w:val="21"/>
                <w:szCs w:val="21"/>
                <w:highlight w:val="none"/>
              </w:rPr>
            </w:pPr>
          </w:p>
        </w:tc>
        <w:tc>
          <w:tcPr>
            <w:tcW w:w="1188" w:type="dxa"/>
            <w:vAlign w:val="top"/>
          </w:tcPr>
          <w:p>
            <w:pPr>
              <w:spacing w:before="211" w:line="231" w:lineRule="auto"/>
              <w:ind w:left="248"/>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传  真</w:t>
            </w:r>
          </w:p>
        </w:tc>
        <w:tc>
          <w:tcPr>
            <w:tcW w:w="2237" w:type="dxa"/>
            <w:gridSpan w:val="2"/>
            <w:vAlign w:val="top"/>
          </w:tcPr>
          <w:p>
            <w:pPr>
              <w:rPr>
                <w:rFonts w:hint="eastAsia" w:ascii="宋体" w:hAnsi="宋体" w:eastAsia="宋体" w:cs="宋体"/>
                <w:sz w:val="21"/>
                <w:szCs w:val="21"/>
                <w:highlight w:val="none"/>
              </w:rPr>
            </w:pPr>
          </w:p>
        </w:tc>
        <w:tc>
          <w:tcPr>
            <w:tcW w:w="1255" w:type="dxa"/>
            <w:vAlign w:val="top"/>
          </w:tcPr>
          <w:p>
            <w:pPr>
              <w:spacing w:before="211" w:line="232" w:lineRule="auto"/>
              <w:ind w:left="308"/>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 xml:space="preserve">网 </w:t>
            </w:r>
            <w:r>
              <w:rPr>
                <w:rFonts w:hint="eastAsia" w:ascii="宋体" w:hAnsi="宋体" w:eastAsia="宋体" w:cs="宋体"/>
                <w:sz w:val="21"/>
                <w:szCs w:val="21"/>
                <w:highlight w:val="none"/>
              </w:rPr>
              <w:t xml:space="preserve"> 址</w:t>
            </w:r>
          </w:p>
        </w:tc>
        <w:tc>
          <w:tcPr>
            <w:tcW w:w="2317" w:type="dxa"/>
            <w:gridSpan w:val="3"/>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1567" w:type="dxa"/>
            <w:vAlign w:val="top"/>
          </w:tcPr>
          <w:p>
            <w:pPr>
              <w:spacing w:before="210" w:line="231" w:lineRule="auto"/>
              <w:ind w:left="203"/>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法</w:t>
            </w:r>
            <w:r>
              <w:rPr>
                <w:rFonts w:hint="eastAsia" w:ascii="宋体" w:hAnsi="宋体" w:eastAsia="宋体" w:cs="宋体"/>
                <w:spacing w:val="5"/>
                <w:sz w:val="21"/>
                <w:szCs w:val="21"/>
                <w:highlight w:val="none"/>
              </w:rPr>
              <w:t>定代表人</w:t>
            </w:r>
          </w:p>
        </w:tc>
        <w:tc>
          <w:tcPr>
            <w:tcW w:w="1188" w:type="dxa"/>
            <w:vAlign w:val="top"/>
          </w:tcPr>
          <w:p>
            <w:pPr>
              <w:spacing w:before="210" w:line="233" w:lineRule="auto"/>
              <w:ind w:left="366"/>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姓名</w:t>
            </w:r>
          </w:p>
        </w:tc>
        <w:tc>
          <w:tcPr>
            <w:tcW w:w="1001" w:type="dxa"/>
            <w:vAlign w:val="top"/>
          </w:tcPr>
          <w:p>
            <w:pPr>
              <w:rPr>
                <w:rFonts w:hint="eastAsia" w:ascii="宋体" w:hAnsi="宋体" w:eastAsia="宋体" w:cs="宋体"/>
                <w:sz w:val="21"/>
                <w:szCs w:val="21"/>
                <w:highlight w:val="none"/>
              </w:rPr>
            </w:pPr>
          </w:p>
        </w:tc>
        <w:tc>
          <w:tcPr>
            <w:tcW w:w="1236" w:type="dxa"/>
            <w:vAlign w:val="top"/>
          </w:tcPr>
          <w:p>
            <w:pPr>
              <w:spacing w:before="210" w:line="229" w:lineRule="auto"/>
              <w:ind w:left="153"/>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技术职</w:t>
            </w:r>
            <w:r>
              <w:rPr>
                <w:rFonts w:hint="eastAsia" w:ascii="宋体" w:hAnsi="宋体" w:eastAsia="宋体" w:cs="宋体"/>
                <w:spacing w:val="5"/>
                <w:sz w:val="21"/>
                <w:szCs w:val="21"/>
                <w:highlight w:val="none"/>
              </w:rPr>
              <w:t>称</w:t>
            </w:r>
          </w:p>
        </w:tc>
        <w:tc>
          <w:tcPr>
            <w:tcW w:w="1255" w:type="dxa"/>
            <w:vAlign w:val="top"/>
          </w:tcPr>
          <w:p>
            <w:pPr>
              <w:rPr>
                <w:rFonts w:hint="eastAsia" w:ascii="宋体" w:hAnsi="宋体" w:eastAsia="宋体" w:cs="宋体"/>
                <w:sz w:val="21"/>
                <w:szCs w:val="21"/>
                <w:highlight w:val="none"/>
              </w:rPr>
            </w:pPr>
          </w:p>
        </w:tc>
        <w:tc>
          <w:tcPr>
            <w:tcW w:w="932" w:type="dxa"/>
            <w:gridSpan w:val="2"/>
            <w:vAlign w:val="top"/>
          </w:tcPr>
          <w:p>
            <w:pPr>
              <w:spacing w:before="210" w:line="231" w:lineRule="auto"/>
              <w:ind w:left="267"/>
              <w:rPr>
                <w:rFonts w:hint="eastAsia" w:ascii="宋体" w:hAnsi="宋体" w:eastAsia="宋体" w:cs="宋体"/>
                <w:sz w:val="21"/>
                <w:szCs w:val="21"/>
                <w:highlight w:val="none"/>
              </w:rPr>
            </w:pPr>
            <w:r>
              <w:rPr>
                <w:rFonts w:hint="eastAsia" w:ascii="宋体" w:hAnsi="宋体" w:eastAsia="宋体" w:cs="宋体"/>
                <w:spacing w:val="-12"/>
                <w:sz w:val="21"/>
                <w:szCs w:val="21"/>
                <w:highlight w:val="none"/>
              </w:rPr>
              <w:t>电</w:t>
            </w:r>
            <w:r>
              <w:rPr>
                <w:rFonts w:hint="eastAsia" w:ascii="宋体" w:hAnsi="宋体" w:eastAsia="宋体" w:cs="宋体"/>
                <w:spacing w:val="-11"/>
                <w:sz w:val="21"/>
                <w:szCs w:val="21"/>
                <w:highlight w:val="none"/>
              </w:rPr>
              <w:t>话</w:t>
            </w:r>
          </w:p>
        </w:tc>
        <w:tc>
          <w:tcPr>
            <w:tcW w:w="1385"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567" w:type="dxa"/>
            <w:vAlign w:val="top"/>
          </w:tcPr>
          <w:p>
            <w:pPr>
              <w:spacing w:before="210" w:line="231" w:lineRule="auto"/>
              <w:ind w:left="319"/>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成立时间</w:t>
            </w:r>
          </w:p>
        </w:tc>
        <w:tc>
          <w:tcPr>
            <w:tcW w:w="6997" w:type="dxa"/>
            <w:gridSpan w:val="7"/>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567" w:type="dxa"/>
            <w:vAlign w:val="top"/>
          </w:tcPr>
          <w:p>
            <w:pPr>
              <w:spacing w:before="56"/>
              <w:ind w:left="677" w:right="182" w:hanging="481"/>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企</w:t>
            </w:r>
            <w:r>
              <w:rPr>
                <w:rFonts w:hint="eastAsia" w:ascii="宋体" w:hAnsi="宋体" w:eastAsia="宋体" w:cs="宋体"/>
                <w:spacing w:val="6"/>
                <w:sz w:val="21"/>
                <w:szCs w:val="21"/>
                <w:highlight w:val="none"/>
              </w:rPr>
              <w:t>业资质等</w:t>
            </w:r>
            <w:r>
              <w:rPr>
                <w:rFonts w:hint="eastAsia" w:ascii="宋体" w:hAnsi="宋体" w:eastAsia="宋体" w:cs="宋体"/>
                <w:sz w:val="21"/>
                <w:szCs w:val="21"/>
                <w:highlight w:val="none"/>
              </w:rPr>
              <w:t xml:space="preserve"> 级</w:t>
            </w:r>
          </w:p>
        </w:tc>
        <w:tc>
          <w:tcPr>
            <w:tcW w:w="2189" w:type="dxa"/>
            <w:gridSpan w:val="2"/>
            <w:vAlign w:val="top"/>
          </w:tcPr>
          <w:p>
            <w:pPr>
              <w:rPr>
                <w:rFonts w:hint="eastAsia" w:ascii="宋体" w:hAnsi="宋体" w:eastAsia="宋体" w:cs="宋体"/>
                <w:sz w:val="21"/>
                <w:szCs w:val="21"/>
                <w:highlight w:val="none"/>
              </w:rPr>
            </w:pPr>
          </w:p>
        </w:tc>
        <w:tc>
          <w:tcPr>
            <w:tcW w:w="1236" w:type="dxa"/>
            <w:vMerge w:val="restart"/>
            <w:tcBorders>
              <w:bottom w:val="nil"/>
            </w:tcBorders>
            <w:vAlign w:val="top"/>
          </w:tcPr>
          <w:p>
            <w:pPr>
              <w:spacing w:line="243" w:lineRule="auto"/>
              <w:rPr>
                <w:rFonts w:hint="eastAsia" w:ascii="宋体" w:hAnsi="宋体" w:eastAsia="宋体" w:cs="宋体"/>
                <w:sz w:val="21"/>
                <w:szCs w:val="21"/>
                <w:highlight w:val="none"/>
              </w:rPr>
            </w:pPr>
          </w:p>
          <w:p>
            <w:pPr>
              <w:spacing w:line="243" w:lineRule="auto"/>
              <w:rPr>
                <w:rFonts w:hint="eastAsia" w:ascii="宋体" w:hAnsi="宋体" w:eastAsia="宋体" w:cs="宋体"/>
                <w:sz w:val="21"/>
                <w:szCs w:val="21"/>
                <w:highlight w:val="none"/>
              </w:rPr>
            </w:pPr>
          </w:p>
          <w:p>
            <w:pPr>
              <w:spacing w:line="244" w:lineRule="auto"/>
              <w:rPr>
                <w:rFonts w:hint="eastAsia" w:ascii="宋体" w:hAnsi="宋体" w:eastAsia="宋体" w:cs="宋体"/>
                <w:sz w:val="21"/>
                <w:szCs w:val="21"/>
                <w:highlight w:val="none"/>
              </w:rPr>
            </w:pPr>
          </w:p>
          <w:p>
            <w:pPr>
              <w:spacing w:line="244" w:lineRule="auto"/>
              <w:rPr>
                <w:rFonts w:hint="eastAsia" w:ascii="宋体" w:hAnsi="宋体" w:eastAsia="宋体" w:cs="宋体"/>
                <w:sz w:val="21"/>
                <w:szCs w:val="21"/>
                <w:highlight w:val="none"/>
              </w:rPr>
            </w:pPr>
          </w:p>
          <w:p>
            <w:pPr>
              <w:spacing w:line="244" w:lineRule="auto"/>
              <w:rPr>
                <w:rFonts w:hint="eastAsia" w:ascii="宋体" w:hAnsi="宋体" w:eastAsia="宋体" w:cs="宋体"/>
                <w:sz w:val="21"/>
                <w:szCs w:val="21"/>
                <w:highlight w:val="none"/>
              </w:rPr>
            </w:pPr>
          </w:p>
          <w:p>
            <w:pPr>
              <w:spacing w:line="244" w:lineRule="auto"/>
              <w:rPr>
                <w:rFonts w:hint="eastAsia" w:ascii="宋体" w:hAnsi="宋体" w:eastAsia="宋体" w:cs="宋体"/>
                <w:sz w:val="21"/>
                <w:szCs w:val="21"/>
                <w:highlight w:val="none"/>
              </w:rPr>
            </w:pPr>
          </w:p>
          <w:p>
            <w:pPr>
              <w:spacing w:before="75" w:line="233" w:lineRule="auto"/>
              <w:ind w:left="153"/>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企业人</w:t>
            </w:r>
            <w:r>
              <w:rPr>
                <w:rFonts w:hint="eastAsia" w:ascii="宋体" w:hAnsi="宋体" w:eastAsia="宋体" w:cs="宋体"/>
                <w:spacing w:val="5"/>
                <w:sz w:val="21"/>
                <w:szCs w:val="21"/>
                <w:highlight w:val="none"/>
              </w:rPr>
              <w:t>员</w:t>
            </w:r>
          </w:p>
        </w:tc>
        <w:tc>
          <w:tcPr>
            <w:tcW w:w="1655" w:type="dxa"/>
            <w:gridSpan w:val="2"/>
            <w:vAlign w:val="top"/>
          </w:tcPr>
          <w:p>
            <w:pPr>
              <w:rPr>
                <w:rFonts w:hint="eastAsia" w:ascii="宋体" w:hAnsi="宋体" w:eastAsia="宋体" w:cs="宋体"/>
                <w:sz w:val="21"/>
                <w:szCs w:val="21"/>
                <w:highlight w:val="none"/>
              </w:rPr>
            </w:pPr>
          </w:p>
        </w:tc>
        <w:tc>
          <w:tcPr>
            <w:tcW w:w="1917"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1567" w:type="dxa"/>
            <w:vAlign w:val="top"/>
          </w:tcPr>
          <w:p>
            <w:pPr>
              <w:spacing w:before="211" w:line="232" w:lineRule="auto"/>
              <w:ind w:left="202"/>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营</w:t>
            </w:r>
            <w:r>
              <w:rPr>
                <w:rFonts w:hint="eastAsia" w:ascii="宋体" w:hAnsi="宋体" w:eastAsia="宋体" w:cs="宋体"/>
                <w:spacing w:val="5"/>
                <w:sz w:val="21"/>
                <w:szCs w:val="21"/>
                <w:highlight w:val="none"/>
              </w:rPr>
              <w:t>业执照号</w:t>
            </w:r>
          </w:p>
        </w:tc>
        <w:tc>
          <w:tcPr>
            <w:tcW w:w="2189" w:type="dxa"/>
            <w:gridSpan w:val="2"/>
            <w:vAlign w:val="top"/>
          </w:tcPr>
          <w:p>
            <w:pPr>
              <w:rPr>
                <w:rFonts w:hint="eastAsia" w:ascii="宋体" w:hAnsi="宋体" w:eastAsia="宋体" w:cs="宋体"/>
                <w:sz w:val="21"/>
                <w:szCs w:val="21"/>
                <w:highlight w:val="none"/>
              </w:rPr>
            </w:pPr>
          </w:p>
        </w:tc>
        <w:tc>
          <w:tcPr>
            <w:tcW w:w="1236" w:type="dxa"/>
            <w:vMerge w:val="continue"/>
            <w:tcBorders>
              <w:top w:val="nil"/>
              <w:bottom w:val="nil"/>
            </w:tcBorders>
            <w:vAlign w:val="top"/>
          </w:tcPr>
          <w:p>
            <w:pPr>
              <w:rPr>
                <w:rFonts w:hint="eastAsia" w:ascii="宋体" w:hAnsi="宋体" w:eastAsia="宋体" w:cs="宋体"/>
                <w:sz w:val="21"/>
                <w:szCs w:val="21"/>
                <w:highlight w:val="none"/>
              </w:rPr>
            </w:pPr>
          </w:p>
        </w:tc>
        <w:tc>
          <w:tcPr>
            <w:tcW w:w="1655" w:type="dxa"/>
            <w:gridSpan w:val="2"/>
            <w:vAlign w:val="top"/>
          </w:tcPr>
          <w:p>
            <w:pPr>
              <w:rPr>
                <w:rFonts w:hint="eastAsia" w:ascii="宋体" w:hAnsi="宋体" w:eastAsia="宋体" w:cs="宋体"/>
                <w:sz w:val="21"/>
                <w:szCs w:val="21"/>
                <w:highlight w:val="none"/>
              </w:rPr>
            </w:pPr>
          </w:p>
        </w:tc>
        <w:tc>
          <w:tcPr>
            <w:tcW w:w="1917"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1567" w:type="dxa"/>
            <w:vAlign w:val="top"/>
          </w:tcPr>
          <w:p>
            <w:pPr>
              <w:spacing w:before="211" w:line="232" w:lineRule="auto"/>
              <w:ind w:left="322"/>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注</w:t>
            </w:r>
            <w:r>
              <w:rPr>
                <w:rFonts w:hint="eastAsia" w:ascii="宋体" w:hAnsi="宋体" w:eastAsia="宋体" w:cs="宋体"/>
                <w:spacing w:val="4"/>
                <w:sz w:val="21"/>
                <w:szCs w:val="21"/>
                <w:highlight w:val="none"/>
              </w:rPr>
              <w:t>册资金</w:t>
            </w:r>
          </w:p>
        </w:tc>
        <w:tc>
          <w:tcPr>
            <w:tcW w:w="2189" w:type="dxa"/>
            <w:gridSpan w:val="2"/>
            <w:vAlign w:val="top"/>
          </w:tcPr>
          <w:p>
            <w:pPr>
              <w:rPr>
                <w:rFonts w:hint="eastAsia" w:ascii="宋体" w:hAnsi="宋体" w:eastAsia="宋体" w:cs="宋体"/>
                <w:sz w:val="21"/>
                <w:szCs w:val="21"/>
                <w:highlight w:val="none"/>
              </w:rPr>
            </w:pPr>
          </w:p>
        </w:tc>
        <w:tc>
          <w:tcPr>
            <w:tcW w:w="1236" w:type="dxa"/>
            <w:vMerge w:val="continue"/>
            <w:tcBorders>
              <w:top w:val="nil"/>
              <w:bottom w:val="nil"/>
            </w:tcBorders>
            <w:vAlign w:val="top"/>
          </w:tcPr>
          <w:p>
            <w:pPr>
              <w:rPr>
                <w:rFonts w:hint="eastAsia" w:ascii="宋体" w:hAnsi="宋体" w:eastAsia="宋体" w:cs="宋体"/>
                <w:sz w:val="21"/>
                <w:szCs w:val="21"/>
                <w:highlight w:val="none"/>
              </w:rPr>
            </w:pPr>
          </w:p>
        </w:tc>
        <w:tc>
          <w:tcPr>
            <w:tcW w:w="1655" w:type="dxa"/>
            <w:gridSpan w:val="2"/>
            <w:vAlign w:val="top"/>
          </w:tcPr>
          <w:p>
            <w:pPr>
              <w:rPr>
                <w:rFonts w:hint="eastAsia" w:ascii="宋体" w:hAnsi="宋体" w:eastAsia="宋体" w:cs="宋体"/>
                <w:sz w:val="21"/>
                <w:szCs w:val="21"/>
                <w:highlight w:val="none"/>
              </w:rPr>
            </w:pPr>
          </w:p>
        </w:tc>
        <w:tc>
          <w:tcPr>
            <w:tcW w:w="1917"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567" w:type="dxa"/>
            <w:vAlign w:val="top"/>
          </w:tcPr>
          <w:p>
            <w:pPr>
              <w:spacing w:before="214" w:line="229" w:lineRule="auto"/>
              <w:ind w:left="315"/>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开户银行</w:t>
            </w:r>
          </w:p>
        </w:tc>
        <w:tc>
          <w:tcPr>
            <w:tcW w:w="2189" w:type="dxa"/>
            <w:gridSpan w:val="2"/>
            <w:vAlign w:val="top"/>
          </w:tcPr>
          <w:p>
            <w:pPr>
              <w:rPr>
                <w:rFonts w:hint="eastAsia" w:ascii="宋体" w:hAnsi="宋体" w:eastAsia="宋体" w:cs="宋体"/>
                <w:sz w:val="21"/>
                <w:szCs w:val="21"/>
                <w:highlight w:val="none"/>
              </w:rPr>
            </w:pPr>
          </w:p>
        </w:tc>
        <w:tc>
          <w:tcPr>
            <w:tcW w:w="1236" w:type="dxa"/>
            <w:vMerge w:val="continue"/>
            <w:tcBorders>
              <w:top w:val="nil"/>
              <w:bottom w:val="nil"/>
            </w:tcBorders>
            <w:vAlign w:val="top"/>
          </w:tcPr>
          <w:p>
            <w:pPr>
              <w:rPr>
                <w:rFonts w:hint="eastAsia" w:ascii="宋体" w:hAnsi="宋体" w:eastAsia="宋体" w:cs="宋体"/>
                <w:sz w:val="21"/>
                <w:szCs w:val="21"/>
                <w:highlight w:val="none"/>
              </w:rPr>
            </w:pPr>
          </w:p>
        </w:tc>
        <w:tc>
          <w:tcPr>
            <w:tcW w:w="1655" w:type="dxa"/>
            <w:gridSpan w:val="2"/>
            <w:vAlign w:val="top"/>
          </w:tcPr>
          <w:p>
            <w:pPr>
              <w:rPr>
                <w:rFonts w:hint="eastAsia" w:ascii="宋体" w:hAnsi="宋体" w:eastAsia="宋体" w:cs="宋体"/>
                <w:sz w:val="21"/>
                <w:szCs w:val="21"/>
                <w:highlight w:val="none"/>
              </w:rPr>
            </w:pPr>
          </w:p>
        </w:tc>
        <w:tc>
          <w:tcPr>
            <w:tcW w:w="1917"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567" w:type="dxa"/>
            <w:vAlign w:val="top"/>
          </w:tcPr>
          <w:p>
            <w:pPr>
              <w:spacing w:before="213" w:line="232" w:lineRule="auto"/>
              <w:ind w:left="372"/>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账</w:t>
            </w:r>
            <w:r>
              <w:rPr>
                <w:rFonts w:hint="eastAsia" w:ascii="宋体" w:hAnsi="宋体" w:eastAsia="宋体" w:cs="宋体"/>
                <w:spacing w:val="6"/>
                <w:sz w:val="21"/>
                <w:szCs w:val="21"/>
                <w:highlight w:val="none"/>
              </w:rPr>
              <w:t xml:space="preserve">   号</w:t>
            </w:r>
          </w:p>
        </w:tc>
        <w:tc>
          <w:tcPr>
            <w:tcW w:w="2189" w:type="dxa"/>
            <w:gridSpan w:val="2"/>
            <w:vAlign w:val="top"/>
          </w:tcPr>
          <w:p>
            <w:pPr>
              <w:rPr>
                <w:rFonts w:hint="eastAsia" w:ascii="宋体" w:hAnsi="宋体" w:eastAsia="宋体" w:cs="宋体"/>
                <w:sz w:val="21"/>
                <w:szCs w:val="21"/>
                <w:highlight w:val="none"/>
              </w:rPr>
            </w:pPr>
          </w:p>
        </w:tc>
        <w:tc>
          <w:tcPr>
            <w:tcW w:w="1236" w:type="dxa"/>
            <w:vMerge w:val="continue"/>
            <w:tcBorders>
              <w:top w:val="nil"/>
            </w:tcBorders>
            <w:vAlign w:val="top"/>
          </w:tcPr>
          <w:p>
            <w:pPr>
              <w:rPr>
                <w:rFonts w:hint="eastAsia" w:ascii="宋体" w:hAnsi="宋体" w:eastAsia="宋体" w:cs="宋体"/>
                <w:sz w:val="21"/>
                <w:szCs w:val="21"/>
                <w:highlight w:val="none"/>
              </w:rPr>
            </w:pPr>
          </w:p>
        </w:tc>
        <w:tc>
          <w:tcPr>
            <w:tcW w:w="1655" w:type="dxa"/>
            <w:gridSpan w:val="2"/>
            <w:vAlign w:val="top"/>
          </w:tcPr>
          <w:p>
            <w:pPr>
              <w:rPr>
                <w:rFonts w:hint="eastAsia" w:ascii="宋体" w:hAnsi="宋体" w:eastAsia="宋体" w:cs="宋体"/>
                <w:sz w:val="21"/>
                <w:szCs w:val="21"/>
                <w:highlight w:val="none"/>
              </w:rPr>
            </w:pPr>
          </w:p>
        </w:tc>
        <w:tc>
          <w:tcPr>
            <w:tcW w:w="1917"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67" w:type="dxa"/>
            <w:vAlign w:val="top"/>
          </w:tcPr>
          <w:p>
            <w:pPr>
              <w:spacing w:before="39" w:line="222" w:lineRule="auto"/>
              <w:ind w:left="315"/>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经营范围</w:t>
            </w:r>
          </w:p>
        </w:tc>
        <w:tc>
          <w:tcPr>
            <w:tcW w:w="6997" w:type="dxa"/>
            <w:gridSpan w:val="7"/>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trPr>
        <w:tc>
          <w:tcPr>
            <w:tcW w:w="1567" w:type="dxa"/>
            <w:vAlign w:val="top"/>
          </w:tcPr>
          <w:p>
            <w:pPr>
              <w:spacing w:line="292" w:lineRule="auto"/>
              <w:rPr>
                <w:rFonts w:hint="eastAsia" w:ascii="宋体" w:hAnsi="宋体" w:eastAsia="宋体" w:cs="宋体"/>
                <w:sz w:val="21"/>
                <w:szCs w:val="21"/>
                <w:highlight w:val="none"/>
              </w:rPr>
            </w:pPr>
          </w:p>
          <w:p>
            <w:pPr>
              <w:spacing w:before="75" w:line="233" w:lineRule="auto"/>
              <w:ind w:left="377"/>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 xml:space="preserve">备   </w:t>
            </w:r>
            <w:r>
              <w:rPr>
                <w:rFonts w:hint="eastAsia" w:ascii="宋体" w:hAnsi="宋体" w:eastAsia="宋体" w:cs="宋体"/>
                <w:spacing w:val="5"/>
                <w:sz w:val="21"/>
                <w:szCs w:val="21"/>
                <w:highlight w:val="none"/>
              </w:rPr>
              <w:t>注</w:t>
            </w:r>
          </w:p>
        </w:tc>
        <w:tc>
          <w:tcPr>
            <w:tcW w:w="6997" w:type="dxa"/>
            <w:gridSpan w:val="7"/>
            <w:vAlign w:val="top"/>
          </w:tcPr>
          <w:p>
            <w:pPr>
              <w:rPr>
                <w:rFonts w:hint="eastAsia" w:ascii="宋体" w:hAnsi="宋体" w:eastAsia="宋体" w:cs="宋体"/>
                <w:sz w:val="21"/>
                <w:szCs w:val="21"/>
                <w:highlight w:val="none"/>
              </w:rPr>
            </w:pPr>
          </w:p>
        </w:tc>
      </w:tr>
    </w:tbl>
    <w:p>
      <w:pPr>
        <w:spacing w:before="75" w:line="233" w:lineRule="auto"/>
        <w:ind w:left="377"/>
        <w:rPr>
          <w:rFonts w:hint="eastAsia" w:ascii="宋体" w:hAnsi="宋体" w:eastAsia="宋体" w:cs="宋体"/>
          <w:b/>
          <w:bCs/>
          <w:spacing w:val="6"/>
          <w:sz w:val="21"/>
          <w:szCs w:val="21"/>
          <w:highlight w:val="none"/>
        </w:rPr>
      </w:pPr>
      <w:r>
        <w:rPr>
          <w:rFonts w:hint="eastAsia" w:ascii="宋体" w:hAnsi="宋体" w:eastAsia="宋体" w:cs="宋体"/>
          <w:b/>
          <w:bCs/>
          <w:spacing w:val="6"/>
          <w:sz w:val="21"/>
          <w:szCs w:val="21"/>
          <w:highlight w:val="none"/>
        </w:rPr>
        <w:t>注：本表后应附企业法人营业执照、资质证书、安全生产许可证、近半年任意一个月社保缴纳明细、20</w:t>
      </w:r>
      <w:r>
        <w:rPr>
          <w:rFonts w:hint="eastAsia" w:ascii="宋体" w:hAnsi="宋体" w:eastAsia="宋体" w:cs="宋体"/>
          <w:b/>
          <w:bCs/>
          <w:spacing w:val="6"/>
          <w:sz w:val="21"/>
          <w:szCs w:val="21"/>
          <w:highlight w:val="none"/>
          <w:lang w:val="en-US" w:eastAsia="zh-CN"/>
        </w:rPr>
        <w:t>2</w:t>
      </w:r>
      <w:r>
        <w:rPr>
          <w:rFonts w:hint="eastAsia" w:ascii="宋体" w:hAnsi="宋体" w:cs="宋体"/>
          <w:b/>
          <w:bCs/>
          <w:spacing w:val="6"/>
          <w:sz w:val="21"/>
          <w:szCs w:val="21"/>
          <w:highlight w:val="none"/>
          <w:lang w:val="en-US" w:eastAsia="zh-CN"/>
        </w:rPr>
        <w:t>2</w:t>
      </w:r>
      <w:r>
        <w:rPr>
          <w:rFonts w:hint="eastAsia" w:ascii="宋体" w:hAnsi="宋体" w:eastAsia="宋体" w:cs="宋体"/>
          <w:b/>
          <w:bCs/>
          <w:spacing w:val="6"/>
          <w:sz w:val="21"/>
          <w:szCs w:val="21"/>
          <w:highlight w:val="none"/>
        </w:rPr>
        <w:t>年或202</w:t>
      </w:r>
      <w:r>
        <w:rPr>
          <w:rFonts w:hint="eastAsia" w:ascii="宋体" w:hAnsi="宋体" w:cs="宋体"/>
          <w:b/>
          <w:bCs/>
          <w:spacing w:val="6"/>
          <w:sz w:val="21"/>
          <w:szCs w:val="21"/>
          <w:highlight w:val="none"/>
          <w:lang w:val="en-US" w:eastAsia="zh-CN"/>
        </w:rPr>
        <w:t>3</w:t>
      </w:r>
      <w:r>
        <w:rPr>
          <w:rFonts w:hint="eastAsia" w:ascii="宋体" w:hAnsi="宋体" w:eastAsia="宋体" w:cs="宋体"/>
          <w:b/>
          <w:bCs/>
          <w:spacing w:val="6"/>
          <w:sz w:val="21"/>
          <w:szCs w:val="21"/>
          <w:highlight w:val="none"/>
        </w:rPr>
        <w:t>年财务审计报告等相关材料的复印件。  (供应商可根据本表自行编制)</w:t>
      </w:r>
    </w:p>
    <w:p>
      <w:pPr>
        <w:spacing w:before="75" w:line="233" w:lineRule="auto"/>
        <w:ind w:left="377"/>
        <w:rPr>
          <w:rFonts w:hint="eastAsia" w:ascii="宋体" w:hAnsi="宋体" w:eastAsia="宋体" w:cs="宋体"/>
          <w:b/>
          <w:bCs/>
          <w:spacing w:val="6"/>
          <w:sz w:val="21"/>
          <w:szCs w:val="21"/>
          <w:highlight w:val="none"/>
        </w:rPr>
      </w:pPr>
    </w:p>
    <w:p>
      <w:pPr>
        <w:pStyle w:val="12"/>
        <w:rPr>
          <w:rFonts w:hint="eastAsia" w:ascii="宋体" w:hAnsi="宋体" w:eastAsia="宋体" w:cs="宋体"/>
          <w:highlight w:val="none"/>
        </w:rPr>
        <w:sectPr>
          <w:type w:val="continuous"/>
          <w:pgSz w:w="11906" w:h="16839"/>
          <w:pgMar w:top="400" w:right="1477" w:bottom="655" w:left="1491" w:header="0" w:footer="447" w:gutter="0"/>
          <w:pgBorders>
            <w:top w:val="none" w:sz="0" w:space="0"/>
            <w:left w:val="none" w:sz="0" w:space="0"/>
            <w:bottom w:val="none" w:sz="0" w:space="0"/>
            <w:right w:val="none" w:sz="0" w:space="0"/>
          </w:pgBorders>
          <w:pgNumType w:fmt="decimal"/>
          <w:cols w:space="720" w:num="1"/>
        </w:sectPr>
      </w:pPr>
    </w:p>
    <w:p>
      <w:pPr>
        <w:spacing w:line="262" w:lineRule="auto"/>
        <w:rPr>
          <w:rFonts w:hint="eastAsia" w:ascii="宋体" w:hAnsi="宋体" w:eastAsia="宋体" w:cs="宋体"/>
          <w:sz w:val="21"/>
          <w:szCs w:val="21"/>
          <w:highlight w:val="none"/>
        </w:rPr>
      </w:pPr>
    </w:p>
    <w:p>
      <w:pPr>
        <w:spacing w:line="262" w:lineRule="auto"/>
        <w:rPr>
          <w:rFonts w:hint="eastAsia" w:ascii="宋体" w:hAnsi="宋体" w:eastAsia="宋体" w:cs="宋体"/>
          <w:sz w:val="21"/>
          <w:szCs w:val="21"/>
          <w:highlight w:val="none"/>
        </w:rPr>
      </w:pPr>
    </w:p>
    <w:p>
      <w:pPr>
        <w:spacing w:line="263" w:lineRule="auto"/>
        <w:rPr>
          <w:rFonts w:hint="eastAsia" w:ascii="宋体" w:hAnsi="宋体" w:eastAsia="宋体" w:cs="宋体"/>
          <w:sz w:val="21"/>
          <w:szCs w:val="21"/>
          <w:highlight w:val="none"/>
        </w:rPr>
      </w:pPr>
    </w:p>
    <w:p>
      <w:pPr>
        <w:spacing w:before="91" w:line="210" w:lineRule="auto"/>
        <w:ind w:left="1690"/>
        <w:rPr>
          <w:rFonts w:hint="eastAsia" w:ascii="宋体" w:hAnsi="宋体" w:eastAsia="宋体" w:cs="宋体"/>
          <w:sz w:val="21"/>
          <w:szCs w:val="21"/>
          <w:highlight w:val="none"/>
        </w:rPr>
      </w:pPr>
      <w:r>
        <w:rPr>
          <w:rFonts w:hint="eastAsia" w:ascii="宋体" w:hAnsi="宋体" w:cs="宋体"/>
          <w:spacing w:val="-4"/>
          <w:sz w:val="21"/>
          <w:szCs w:val="21"/>
          <w:highlight w:val="none"/>
          <w:lang w:val="en-US" w:eastAsia="zh-CN"/>
          <w14:textOutline w14:w="5105" w14:cap="sq" w14:cmpd="sng">
            <w14:solidFill>
              <w14:srgbClr w14:val="000000"/>
            </w14:solidFill>
            <w14:prstDash w14:val="solid"/>
            <w14:bevel/>
          </w14:textOutline>
        </w:rPr>
        <w:t>6</w:t>
      </w:r>
      <w:r>
        <w:rPr>
          <w:rFonts w:hint="eastAsia" w:ascii="宋体" w:hAnsi="宋体" w:eastAsia="宋体" w:cs="宋体"/>
          <w:spacing w:val="-4"/>
          <w:sz w:val="21"/>
          <w:szCs w:val="21"/>
          <w:highlight w:val="none"/>
          <w14:textOutline w14:w="5105" w14:cap="sq" w14:cmpd="sng">
            <w14:solidFill>
              <w14:srgbClr w14:val="000000"/>
            </w14:solidFill>
            <w14:prstDash w14:val="solid"/>
            <w14:bevel/>
          </w14:textOutline>
        </w:rPr>
        <w:t>.2</w:t>
      </w:r>
      <w:r>
        <w:rPr>
          <w:rFonts w:hint="eastAsia" w:ascii="宋体" w:hAnsi="宋体" w:eastAsia="宋体" w:cs="宋体"/>
          <w:spacing w:val="-4"/>
          <w:sz w:val="21"/>
          <w:szCs w:val="21"/>
          <w:highlight w:val="none"/>
        </w:rPr>
        <w:t xml:space="preserve"> </w:t>
      </w:r>
      <w:r>
        <w:rPr>
          <w:rFonts w:hint="eastAsia" w:ascii="宋体" w:hAnsi="宋体" w:eastAsia="宋体" w:cs="宋体"/>
          <w:spacing w:val="-4"/>
          <w:sz w:val="21"/>
          <w:szCs w:val="21"/>
          <w:highlight w:val="none"/>
          <w14:textOutline w14:w="5105" w14:cap="sq" w14:cmpd="sng">
            <w14:solidFill>
              <w14:srgbClr w14:val="000000"/>
            </w14:solidFill>
            <w14:prstDash w14:val="solid"/>
            <w14:bevel/>
          </w14:textOutline>
        </w:rPr>
        <w:t>承包本合同</w:t>
      </w:r>
      <w:r>
        <w:rPr>
          <w:rFonts w:hint="eastAsia" w:ascii="宋体" w:hAnsi="宋体" w:eastAsia="宋体" w:cs="宋体"/>
          <w:spacing w:val="-2"/>
          <w:sz w:val="21"/>
          <w:szCs w:val="21"/>
          <w:highlight w:val="none"/>
          <w14:textOutline w14:w="5105" w14:cap="sq" w14:cmpd="sng">
            <w14:solidFill>
              <w14:srgbClr w14:val="000000"/>
            </w14:solidFill>
            <w14:prstDash w14:val="solid"/>
            <w14:bevel/>
          </w14:textOutline>
        </w:rPr>
        <w:t>工程主要任职人员及进场时间表</w:t>
      </w:r>
    </w:p>
    <w:tbl>
      <w:tblPr>
        <w:tblStyle w:val="82"/>
        <w:tblW w:w="89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2"/>
        <w:gridCol w:w="1443"/>
        <w:gridCol w:w="1088"/>
        <w:gridCol w:w="1306"/>
        <w:gridCol w:w="1851"/>
        <w:gridCol w:w="25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1" w:hRule="atLeast"/>
        </w:trPr>
        <w:tc>
          <w:tcPr>
            <w:tcW w:w="742" w:type="dxa"/>
            <w:vAlign w:val="top"/>
          </w:tcPr>
          <w:p>
            <w:pPr>
              <w:spacing w:line="256" w:lineRule="auto"/>
              <w:rPr>
                <w:rFonts w:hint="eastAsia" w:ascii="宋体" w:hAnsi="宋体" w:eastAsia="宋体" w:cs="宋体"/>
                <w:sz w:val="21"/>
                <w:szCs w:val="21"/>
                <w:highlight w:val="none"/>
              </w:rPr>
            </w:pPr>
          </w:p>
          <w:p>
            <w:pPr>
              <w:spacing w:before="75" w:line="231" w:lineRule="auto"/>
              <w:ind w:left="144"/>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序号</w:t>
            </w:r>
          </w:p>
        </w:tc>
        <w:tc>
          <w:tcPr>
            <w:tcW w:w="1443" w:type="dxa"/>
            <w:vAlign w:val="top"/>
          </w:tcPr>
          <w:p>
            <w:pPr>
              <w:spacing w:before="100" w:line="382" w:lineRule="auto"/>
              <w:ind w:left="254" w:right="121" w:hanging="120"/>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在</w:t>
            </w:r>
            <w:r>
              <w:rPr>
                <w:rFonts w:hint="eastAsia" w:ascii="宋体" w:hAnsi="宋体" w:eastAsia="宋体" w:cs="宋体"/>
                <w:spacing w:val="6"/>
                <w:sz w:val="21"/>
                <w:szCs w:val="21"/>
                <w:highlight w:val="none"/>
              </w:rPr>
              <w:t>本合同中</w:t>
            </w:r>
            <w:r>
              <w:rPr>
                <w:rFonts w:hint="eastAsia" w:ascii="宋体" w:hAnsi="宋体" w:eastAsia="宋体" w:cs="宋体"/>
                <w:sz w:val="21"/>
                <w:szCs w:val="21"/>
                <w:highlight w:val="none"/>
              </w:rPr>
              <w:t xml:space="preserve"> </w:t>
            </w:r>
            <w:r>
              <w:rPr>
                <w:rFonts w:hint="eastAsia" w:ascii="宋体" w:hAnsi="宋体" w:eastAsia="宋体" w:cs="宋体"/>
                <w:spacing w:val="7"/>
                <w:sz w:val="21"/>
                <w:szCs w:val="21"/>
                <w:highlight w:val="none"/>
              </w:rPr>
              <w:t>担</w:t>
            </w:r>
            <w:r>
              <w:rPr>
                <w:rFonts w:hint="eastAsia" w:ascii="宋体" w:hAnsi="宋体" w:eastAsia="宋体" w:cs="宋体"/>
                <w:spacing w:val="5"/>
                <w:sz w:val="21"/>
                <w:szCs w:val="21"/>
                <w:highlight w:val="none"/>
              </w:rPr>
              <w:t>任职务</w:t>
            </w:r>
          </w:p>
        </w:tc>
        <w:tc>
          <w:tcPr>
            <w:tcW w:w="1088" w:type="dxa"/>
            <w:vAlign w:val="top"/>
          </w:tcPr>
          <w:p>
            <w:pPr>
              <w:spacing w:line="256" w:lineRule="auto"/>
              <w:rPr>
                <w:rFonts w:hint="eastAsia" w:ascii="宋体" w:hAnsi="宋体" w:eastAsia="宋体" w:cs="宋体"/>
                <w:sz w:val="21"/>
                <w:szCs w:val="21"/>
                <w:highlight w:val="none"/>
              </w:rPr>
            </w:pPr>
          </w:p>
          <w:p>
            <w:pPr>
              <w:spacing w:before="75" w:line="233" w:lineRule="auto"/>
              <w:ind w:left="256"/>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姓 名</w:t>
            </w:r>
          </w:p>
        </w:tc>
        <w:tc>
          <w:tcPr>
            <w:tcW w:w="1306" w:type="dxa"/>
            <w:vAlign w:val="top"/>
          </w:tcPr>
          <w:p>
            <w:pPr>
              <w:spacing w:line="257" w:lineRule="auto"/>
              <w:rPr>
                <w:rFonts w:hint="eastAsia" w:ascii="宋体" w:hAnsi="宋体" w:eastAsia="宋体" w:cs="宋体"/>
                <w:sz w:val="21"/>
                <w:szCs w:val="21"/>
                <w:highlight w:val="none"/>
              </w:rPr>
            </w:pPr>
          </w:p>
          <w:p>
            <w:pPr>
              <w:spacing w:before="74" w:line="229" w:lineRule="auto"/>
              <w:ind w:left="365"/>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职 称</w:t>
            </w:r>
          </w:p>
        </w:tc>
        <w:tc>
          <w:tcPr>
            <w:tcW w:w="1851" w:type="dxa"/>
            <w:vAlign w:val="top"/>
          </w:tcPr>
          <w:p>
            <w:pPr>
              <w:spacing w:line="257" w:lineRule="auto"/>
              <w:rPr>
                <w:rFonts w:hint="eastAsia" w:ascii="宋体" w:hAnsi="宋体" w:eastAsia="宋体" w:cs="宋体"/>
                <w:sz w:val="21"/>
                <w:szCs w:val="21"/>
                <w:highlight w:val="none"/>
              </w:rPr>
            </w:pPr>
          </w:p>
          <w:p>
            <w:pPr>
              <w:spacing w:before="75" w:line="231" w:lineRule="auto"/>
              <w:ind w:left="461"/>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进</w:t>
            </w:r>
            <w:r>
              <w:rPr>
                <w:rFonts w:hint="eastAsia" w:ascii="宋体" w:hAnsi="宋体" w:eastAsia="宋体" w:cs="宋体"/>
                <w:spacing w:val="5"/>
                <w:sz w:val="21"/>
                <w:szCs w:val="21"/>
                <w:highlight w:val="none"/>
              </w:rPr>
              <w:t>场时间</w:t>
            </w:r>
          </w:p>
        </w:tc>
        <w:tc>
          <w:tcPr>
            <w:tcW w:w="2508" w:type="dxa"/>
            <w:vAlign w:val="top"/>
          </w:tcPr>
          <w:p>
            <w:pPr>
              <w:spacing w:line="256" w:lineRule="auto"/>
              <w:rPr>
                <w:rFonts w:hint="eastAsia" w:ascii="宋体" w:hAnsi="宋体" w:eastAsia="宋体" w:cs="宋体"/>
                <w:sz w:val="21"/>
                <w:szCs w:val="21"/>
                <w:highlight w:val="none"/>
              </w:rPr>
            </w:pPr>
          </w:p>
          <w:p>
            <w:pPr>
              <w:spacing w:before="75" w:line="233" w:lineRule="auto"/>
              <w:ind w:left="849"/>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 xml:space="preserve">备   </w:t>
            </w:r>
            <w:r>
              <w:rPr>
                <w:rFonts w:hint="eastAsia" w:ascii="宋体" w:hAnsi="宋体" w:eastAsia="宋体" w:cs="宋体"/>
                <w:spacing w:val="5"/>
                <w:sz w:val="21"/>
                <w:szCs w:val="21"/>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42" w:type="dxa"/>
            <w:vAlign w:val="top"/>
          </w:tcPr>
          <w:p>
            <w:pPr>
              <w:spacing w:before="77" w:line="187" w:lineRule="auto"/>
              <w:ind w:left="335"/>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742" w:type="dxa"/>
            <w:vAlign w:val="top"/>
          </w:tcPr>
          <w:p>
            <w:pPr>
              <w:spacing w:before="96" w:line="186" w:lineRule="auto"/>
              <w:ind w:left="320"/>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42" w:type="dxa"/>
            <w:vAlign w:val="top"/>
          </w:tcPr>
          <w:p>
            <w:pPr>
              <w:spacing w:before="104" w:line="186" w:lineRule="auto"/>
              <w:ind w:left="322"/>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09" w:line="186" w:lineRule="auto"/>
              <w:ind w:left="316"/>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742" w:type="dxa"/>
            <w:vAlign w:val="top"/>
          </w:tcPr>
          <w:p>
            <w:pPr>
              <w:spacing w:before="113" w:line="184" w:lineRule="auto"/>
              <w:ind w:left="322"/>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11" w:line="186" w:lineRule="auto"/>
              <w:ind w:left="319"/>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42" w:type="dxa"/>
            <w:vAlign w:val="top"/>
          </w:tcPr>
          <w:p>
            <w:pPr>
              <w:spacing w:before="106" w:line="184" w:lineRule="auto"/>
              <w:ind w:left="323"/>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742" w:type="dxa"/>
            <w:vAlign w:val="top"/>
          </w:tcPr>
          <w:p>
            <w:pPr>
              <w:spacing w:before="111" w:line="186" w:lineRule="auto"/>
              <w:ind w:left="318"/>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11" w:line="186" w:lineRule="auto"/>
              <w:ind w:left="318"/>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742" w:type="dxa"/>
            <w:vAlign w:val="top"/>
          </w:tcPr>
          <w:p>
            <w:pPr>
              <w:spacing w:before="111" w:line="186"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0</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42" w:type="dxa"/>
            <w:vAlign w:val="top"/>
          </w:tcPr>
          <w:p>
            <w:pPr>
              <w:spacing w:before="105" w:line="187"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1</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10" w:line="187"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2</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13" w:line="186"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3</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11" w:line="187"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4</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42" w:type="dxa"/>
            <w:vAlign w:val="top"/>
          </w:tcPr>
          <w:p>
            <w:pPr>
              <w:spacing w:before="105" w:line="186"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5</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12" w:line="186"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6</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742" w:type="dxa"/>
            <w:vAlign w:val="top"/>
          </w:tcPr>
          <w:p>
            <w:pPr>
              <w:spacing w:before="112" w:line="186"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7</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42" w:type="dxa"/>
            <w:vAlign w:val="top"/>
          </w:tcPr>
          <w:p>
            <w:pPr>
              <w:spacing w:before="107" w:line="186"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8</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42" w:type="dxa"/>
            <w:vAlign w:val="top"/>
          </w:tcPr>
          <w:p>
            <w:pPr>
              <w:spacing w:before="113" w:line="186" w:lineRule="auto"/>
              <w:ind w:left="275"/>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w:t>
            </w:r>
            <w:r>
              <w:rPr>
                <w:rFonts w:hint="eastAsia" w:ascii="宋体" w:hAnsi="宋体" w:eastAsia="宋体" w:cs="宋体"/>
                <w:spacing w:val="-8"/>
                <w:sz w:val="21"/>
                <w:szCs w:val="21"/>
                <w:highlight w:val="none"/>
              </w:rPr>
              <w:t>9</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742" w:type="dxa"/>
            <w:vAlign w:val="top"/>
          </w:tcPr>
          <w:p>
            <w:pPr>
              <w:spacing w:before="80" w:line="377" w:lineRule="exact"/>
              <w:ind w:left="274"/>
              <w:rPr>
                <w:rFonts w:hint="eastAsia" w:ascii="宋体" w:hAnsi="宋体" w:eastAsia="宋体" w:cs="宋体"/>
                <w:sz w:val="21"/>
                <w:szCs w:val="21"/>
                <w:highlight w:val="none"/>
              </w:rPr>
            </w:pPr>
            <w:r>
              <w:rPr>
                <w:rFonts w:hint="eastAsia" w:ascii="宋体" w:hAnsi="宋体" w:eastAsia="宋体" w:cs="宋体"/>
                <w:position w:val="3"/>
                <w:sz w:val="21"/>
                <w:szCs w:val="21"/>
                <w:highlight w:val="none"/>
              </w:rPr>
              <w:t>…</w:t>
            </w:r>
          </w:p>
        </w:tc>
        <w:tc>
          <w:tcPr>
            <w:tcW w:w="1443" w:type="dxa"/>
            <w:vAlign w:val="top"/>
          </w:tcPr>
          <w:p>
            <w:pPr>
              <w:rPr>
                <w:rFonts w:hint="eastAsia" w:ascii="宋体" w:hAnsi="宋体" w:eastAsia="宋体" w:cs="宋体"/>
                <w:sz w:val="21"/>
                <w:szCs w:val="21"/>
                <w:highlight w:val="none"/>
              </w:rPr>
            </w:pPr>
          </w:p>
        </w:tc>
        <w:tc>
          <w:tcPr>
            <w:tcW w:w="1088" w:type="dxa"/>
            <w:vAlign w:val="top"/>
          </w:tcPr>
          <w:p>
            <w:pPr>
              <w:rPr>
                <w:rFonts w:hint="eastAsia" w:ascii="宋体" w:hAnsi="宋体" w:eastAsia="宋体" w:cs="宋体"/>
                <w:sz w:val="21"/>
                <w:szCs w:val="21"/>
                <w:highlight w:val="none"/>
              </w:rPr>
            </w:pPr>
          </w:p>
        </w:tc>
        <w:tc>
          <w:tcPr>
            <w:tcW w:w="1306" w:type="dxa"/>
            <w:vAlign w:val="top"/>
          </w:tcPr>
          <w:p>
            <w:pPr>
              <w:rPr>
                <w:rFonts w:hint="eastAsia" w:ascii="宋体" w:hAnsi="宋体" w:eastAsia="宋体" w:cs="宋体"/>
                <w:sz w:val="21"/>
                <w:szCs w:val="21"/>
                <w:highlight w:val="none"/>
              </w:rPr>
            </w:pPr>
          </w:p>
        </w:tc>
        <w:tc>
          <w:tcPr>
            <w:tcW w:w="1851" w:type="dxa"/>
            <w:vAlign w:val="top"/>
          </w:tcPr>
          <w:p>
            <w:pPr>
              <w:rPr>
                <w:rFonts w:hint="eastAsia" w:ascii="宋体" w:hAnsi="宋体" w:eastAsia="宋体" w:cs="宋体"/>
                <w:sz w:val="21"/>
                <w:szCs w:val="21"/>
                <w:highlight w:val="none"/>
              </w:rPr>
            </w:pPr>
          </w:p>
        </w:tc>
        <w:tc>
          <w:tcPr>
            <w:tcW w:w="2508" w:type="dxa"/>
            <w:vAlign w:val="top"/>
          </w:tcPr>
          <w:p>
            <w:pPr>
              <w:rPr>
                <w:rFonts w:hint="eastAsia" w:ascii="宋体" w:hAnsi="宋体" w:eastAsia="宋体" w:cs="宋体"/>
                <w:sz w:val="21"/>
                <w:szCs w:val="21"/>
                <w:highlight w:val="none"/>
              </w:rPr>
            </w:pPr>
          </w:p>
        </w:tc>
      </w:tr>
    </w:tbl>
    <w:p>
      <w:pPr>
        <w:spacing w:before="134" w:line="366" w:lineRule="auto"/>
        <w:ind w:left="676" w:hanging="549"/>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说明：“主</w:t>
      </w:r>
      <w:r>
        <w:rPr>
          <w:rFonts w:hint="eastAsia" w:ascii="宋体" w:hAnsi="宋体" w:eastAsia="宋体" w:cs="宋体"/>
          <w:spacing w:val="4"/>
          <w:sz w:val="21"/>
          <w:szCs w:val="21"/>
          <w:highlight w:val="none"/>
        </w:rPr>
        <w:t>要人员”指实际参加本合同工程施工的项目管理、技术等方面的负责人，包括下列人员：</w:t>
      </w:r>
      <w:r>
        <w:rPr>
          <w:rFonts w:hint="eastAsia" w:ascii="宋体" w:hAnsi="宋体" w:eastAsia="宋体" w:cs="宋体"/>
          <w:sz w:val="21"/>
          <w:szCs w:val="21"/>
          <w:highlight w:val="none"/>
        </w:rPr>
        <w:t xml:space="preserve"> </w:t>
      </w:r>
      <w:r>
        <w:rPr>
          <w:rFonts w:hint="eastAsia" w:ascii="宋体" w:hAnsi="宋体" w:eastAsia="宋体" w:cs="宋体"/>
          <w:spacing w:val="18"/>
          <w:sz w:val="21"/>
          <w:szCs w:val="21"/>
          <w:highlight w:val="none"/>
        </w:rPr>
        <w:t>项</w:t>
      </w:r>
      <w:r>
        <w:rPr>
          <w:rFonts w:hint="eastAsia" w:ascii="宋体" w:hAnsi="宋体" w:eastAsia="宋体" w:cs="宋体"/>
          <w:spacing w:val="14"/>
          <w:sz w:val="21"/>
          <w:szCs w:val="21"/>
          <w:highlight w:val="none"/>
        </w:rPr>
        <w:t>目</w:t>
      </w:r>
      <w:r>
        <w:rPr>
          <w:rFonts w:hint="eastAsia" w:ascii="宋体" w:hAnsi="宋体" w:eastAsia="宋体" w:cs="宋体"/>
          <w:spacing w:val="9"/>
          <w:sz w:val="21"/>
          <w:szCs w:val="21"/>
          <w:highlight w:val="none"/>
        </w:rPr>
        <w:t>经理、项目副经理 (如有) 、总工程师、项目技术负责人、质检工程师桥梁、道路、机</w:t>
      </w:r>
      <w:r>
        <w:rPr>
          <w:rFonts w:hint="eastAsia" w:ascii="宋体" w:hAnsi="宋体" w:eastAsia="宋体" w:cs="宋体"/>
          <w:sz w:val="21"/>
          <w:szCs w:val="21"/>
          <w:highlight w:val="none"/>
        </w:rPr>
        <w:t xml:space="preserve"> </w:t>
      </w:r>
      <w:r>
        <w:rPr>
          <w:rFonts w:hint="eastAsia" w:ascii="宋体" w:hAnsi="宋体" w:eastAsia="宋体" w:cs="宋体"/>
          <w:spacing w:val="16"/>
          <w:sz w:val="21"/>
          <w:szCs w:val="21"/>
          <w:highlight w:val="none"/>
        </w:rPr>
        <w:t>械</w:t>
      </w:r>
      <w:r>
        <w:rPr>
          <w:rFonts w:hint="eastAsia" w:ascii="宋体" w:hAnsi="宋体" w:eastAsia="宋体" w:cs="宋体"/>
          <w:spacing w:val="10"/>
          <w:sz w:val="21"/>
          <w:szCs w:val="21"/>
          <w:highlight w:val="none"/>
        </w:rPr>
        <w:t>、</w:t>
      </w:r>
      <w:r>
        <w:rPr>
          <w:rFonts w:hint="eastAsia" w:ascii="宋体" w:hAnsi="宋体" w:eastAsia="宋体" w:cs="宋体"/>
          <w:spacing w:val="8"/>
          <w:sz w:val="21"/>
          <w:szCs w:val="21"/>
          <w:highlight w:val="none"/>
        </w:rPr>
        <w:t>试验等专业工程师、计划计量主管。</w:t>
      </w:r>
    </w:p>
    <w:p>
      <w:pPr>
        <w:rPr>
          <w:rFonts w:hint="eastAsia" w:ascii="宋体" w:hAnsi="宋体" w:eastAsia="宋体" w:cs="宋体"/>
          <w:sz w:val="21"/>
          <w:szCs w:val="21"/>
          <w:highlight w:val="none"/>
        </w:rPr>
        <w:sectPr>
          <w:footerReference r:id="rId6" w:type="default"/>
          <w:pgSz w:w="11906" w:h="16839"/>
          <w:pgMar w:top="400" w:right="1420" w:bottom="655" w:left="1361" w:header="0" w:footer="447" w:gutter="0"/>
          <w:pgBorders>
            <w:top w:val="none" w:sz="0" w:space="0"/>
            <w:left w:val="none" w:sz="0" w:space="0"/>
            <w:bottom w:val="none" w:sz="0" w:space="0"/>
            <w:right w:val="none" w:sz="0" w:space="0"/>
          </w:pgBorders>
          <w:pgNumType w:fmt="decimal"/>
          <w:cols w:space="720" w:num="1"/>
        </w:sectPr>
      </w:pPr>
    </w:p>
    <w:p>
      <w:pPr>
        <w:spacing w:before="91" w:line="210" w:lineRule="auto"/>
        <w:ind w:left="2251"/>
        <w:rPr>
          <w:rFonts w:hint="eastAsia" w:ascii="宋体" w:hAnsi="宋体" w:eastAsia="宋体" w:cs="宋体"/>
          <w:sz w:val="21"/>
          <w:szCs w:val="21"/>
          <w:highlight w:val="none"/>
        </w:rPr>
      </w:pPr>
      <w:r>
        <w:rPr>
          <w:rFonts w:hint="eastAsia" w:ascii="宋体" w:hAnsi="宋体" w:eastAsia="宋体" w:cs="宋体"/>
          <w:spacing w:val="-5"/>
          <w:sz w:val="21"/>
          <w:szCs w:val="21"/>
          <w:highlight w:val="none"/>
          <w:lang w:val="en-US" w:eastAsia="zh-CN"/>
          <w14:textOutline w14:w="5105" w14:cap="sq" w14:cmpd="sng">
            <w14:solidFill>
              <w14:srgbClr w14:val="000000"/>
            </w14:solidFill>
            <w14:prstDash w14:val="solid"/>
            <w14:bevel/>
          </w14:textOutline>
        </w:rPr>
        <w:t>6</w:t>
      </w:r>
      <w:r>
        <w:rPr>
          <w:rFonts w:hint="eastAsia" w:ascii="宋体" w:hAnsi="宋体" w:eastAsia="宋体" w:cs="宋体"/>
          <w:spacing w:val="-6"/>
          <w:sz w:val="21"/>
          <w:szCs w:val="21"/>
          <w:highlight w:val="none"/>
          <w14:textOutline w14:w="5105" w14:cap="sq" w14:cmpd="sng">
            <w14:solidFill>
              <w14:srgbClr w14:val="000000"/>
            </w14:solidFill>
            <w14:prstDash w14:val="solid"/>
            <w14:bevel/>
          </w14:textOutline>
        </w:rPr>
        <w:t>.</w:t>
      </w:r>
      <w:r>
        <w:rPr>
          <w:rFonts w:hint="eastAsia" w:ascii="宋体" w:hAnsi="宋体" w:eastAsia="宋体" w:cs="宋体"/>
          <w:spacing w:val="-5"/>
          <w:sz w:val="21"/>
          <w:szCs w:val="21"/>
          <w:highlight w:val="none"/>
          <w14:textOutline w14:w="5105" w14:cap="sq" w14:cmpd="sng">
            <w14:solidFill>
              <w14:srgbClr w14:val="000000"/>
            </w14:solidFill>
            <w14:prstDash w14:val="solid"/>
            <w14:bevel/>
          </w14:textOutline>
        </w:rPr>
        <w:t>3</w:t>
      </w:r>
      <w:r>
        <w:rPr>
          <w:rFonts w:hint="eastAsia" w:ascii="宋体" w:hAnsi="宋体" w:eastAsia="宋体" w:cs="宋体"/>
          <w:spacing w:val="-3"/>
          <w:sz w:val="21"/>
          <w:szCs w:val="21"/>
          <w:highlight w:val="none"/>
        </w:rPr>
        <w:t xml:space="preserve"> </w:t>
      </w:r>
      <w:r>
        <w:rPr>
          <w:rFonts w:hint="eastAsia" w:ascii="宋体" w:hAnsi="宋体" w:eastAsia="宋体" w:cs="宋体"/>
          <w:spacing w:val="-3"/>
          <w:sz w:val="21"/>
          <w:szCs w:val="21"/>
          <w:highlight w:val="none"/>
          <w14:textOutline w14:w="5105" w14:cap="sq" w14:cmpd="sng">
            <w14:solidFill>
              <w14:srgbClr w14:val="000000"/>
            </w14:solidFill>
            <w14:prstDash w14:val="solid"/>
            <w14:bevel/>
          </w14:textOutline>
        </w:rPr>
        <w:t>投入本合同工程的主要施工机械表</w:t>
      </w:r>
    </w:p>
    <w:tbl>
      <w:tblPr>
        <w:tblStyle w:val="82"/>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045"/>
        <w:gridCol w:w="1485"/>
        <w:gridCol w:w="1802"/>
        <w:gridCol w:w="1062"/>
        <w:gridCol w:w="1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827" w:type="dxa"/>
            <w:vAlign w:val="top"/>
          </w:tcPr>
          <w:p>
            <w:pPr>
              <w:spacing w:before="47" w:line="466" w:lineRule="exact"/>
              <w:ind w:left="129"/>
              <w:rPr>
                <w:rFonts w:hint="eastAsia" w:ascii="宋体" w:hAnsi="宋体" w:eastAsia="宋体" w:cs="宋体"/>
                <w:sz w:val="21"/>
                <w:szCs w:val="21"/>
                <w:highlight w:val="none"/>
              </w:rPr>
            </w:pPr>
            <w:r>
              <w:rPr>
                <w:rFonts w:hint="eastAsia" w:ascii="宋体" w:hAnsi="宋体" w:eastAsia="宋体" w:cs="宋体"/>
                <w:spacing w:val="6"/>
                <w:position w:val="17"/>
                <w:sz w:val="21"/>
                <w:szCs w:val="21"/>
                <w:highlight w:val="none"/>
              </w:rPr>
              <w:t>工 程</w:t>
            </w:r>
          </w:p>
          <w:p>
            <w:pPr>
              <w:spacing w:line="231" w:lineRule="auto"/>
              <w:ind w:left="126"/>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类</w:t>
            </w:r>
            <w:r>
              <w:rPr>
                <w:rFonts w:hint="eastAsia" w:ascii="宋体" w:hAnsi="宋体" w:eastAsia="宋体" w:cs="宋体"/>
                <w:sz w:val="21"/>
                <w:szCs w:val="21"/>
                <w:highlight w:val="none"/>
              </w:rPr>
              <w:t>别</w:t>
            </w:r>
          </w:p>
        </w:tc>
        <w:tc>
          <w:tcPr>
            <w:tcW w:w="2045" w:type="dxa"/>
            <w:vAlign w:val="top"/>
          </w:tcPr>
          <w:p>
            <w:pPr>
              <w:spacing w:before="280" w:line="229" w:lineRule="auto"/>
              <w:ind w:left="553"/>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机械名称</w:t>
            </w:r>
          </w:p>
        </w:tc>
        <w:tc>
          <w:tcPr>
            <w:tcW w:w="1485" w:type="dxa"/>
            <w:vAlign w:val="top"/>
          </w:tcPr>
          <w:p>
            <w:pPr>
              <w:spacing w:before="280" w:line="231" w:lineRule="auto"/>
              <w:ind w:left="274"/>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规格型号</w:t>
            </w:r>
          </w:p>
        </w:tc>
        <w:tc>
          <w:tcPr>
            <w:tcW w:w="1802" w:type="dxa"/>
            <w:vAlign w:val="top"/>
          </w:tcPr>
          <w:p>
            <w:pPr>
              <w:spacing w:before="47" w:line="243" w:lineRule="auto"/>
              <w:ind w:left="216" w:right="31" w:hanging="95"/>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额定功率 (</w:t>
            </w:r>
            <w:r>
              <w:rPr>
                <w:rFonts w:hint="eastAsia" w:ascii="宋体" w:hAnsi="宋体" w:eastAsia="宋体" w:cs="宋体"/>
                <w:sz w:val="21"/>
                <w:szCs w:val="21"/>
                <w:highlight w:val="none"/>
              </w:rPr>
              <w:t>kW</w:t>
            </w:r>
            <w:r>
              <w:rPr>
                <w:rFonts w:hint="eastAsia" w:ascii="宋体" w:hAnsi="宋体" w:eastAsia="宋体" w:cs="宋体"/>
                <w:spacing w:val="4"/>
                <w:sz w:val="21"/>
                <w:szCs w:val="21"/>
                <w:highlight w:val="none"/>
              </w:rPr>
              <w:t>)</w:t>
            </w:r>
            <w:r>
              <w:rPr>
                <w:rFonts w:hint="eastAsia" w:ascii="宋体" w:hAnsi="宋体" w:eastAsia="宋体" w:cs="宋体"/>
                <w:sz w:val="21"/>
                <w:szCs w:val="21"/>
                <w:highlight w:val="none"/>
              </w:rPr>
              <w:t xml:space="preserve"> </w:t>
            </w:r>
            <w:r>
              <w:rPr>
                <w:rFonts w:hint="eastAsia" w:ascii="宋体" w:hAnsi="宋体" w:eastAsia="宋体" w:cs="宋体"/>
                <w:spacing w:val="-7"/>
                <w:sz w:val="21"/>
                <w:szCs w:val="21"/>
                <w:highlight w:val="none"/>
              </w:rPr>
              <w:t>或</w:t>
            </w:r>
            <w:r>
              <w:rPr>
                <w:rFonts w:hint="eastAsia" w:ascii="宋体" w:hAnsi="宋体" w:eastAsia="宋体" w:cs="宋体"/>
                <w:spacing w:val="-4"/>
                <w:sz w:val="21"/>
                <w:szCs w:val="21"/>
                <w:highlight w:val="none"/>
              </w:rPr>
              <w:t>容量 (m3)</w:t>
            </w:r>
            <w:r>
              <w:rPr>
                <w:rFonts w:hint="eastAsia" w:ascii="宋体" w:hAnsi="宋体" w:eastAsia="宋体" w:cs="宋体"/>
                <w:sz w:val="21"/>
                <w:szCs w:val="21"/>
                <w:highlight w:val="none"/>
              </w:rPr>
              <w:t xml:space="preserve">  </w:t>
            </w:r>
            <w:r>
              <w:rPr>
                <w:rFonts w:hint="eastAsia" w:ascii="宋体" w:hAnsi="宋体" w:eastAsia="宋体" w:cs="宋体"/>
                <w:spacing w:val="11"/>
                <w:sz w:val="21"/>
                <w:szCs w:val="21"/>
                <w:highlight w:val="none"/>
              </w:rPr>
              <w:t>或吨位 (</w:t>
            </w:r>
            <w:r>
              <w:rPr>
                <w:rFonts w:hint="eastAsia" w:ascii="宋体" w:hAnsi="宋体" w:eastAsia="宋体" w:cs="宋体"/>
                <w:sz w:val="21"/>
                <w:szCs w:val="21"/>
                <w:highlight w:val="none"/>
              </w:rPr>
              <w:t>t</w:t>
            </w:r>
            <w:r>
              <w:rPr>
                <w:rFonts w:hint="eastAsia" w:ascii="宋体" w:hAnsi="宋体" w:eastAsia="宋体" w:cs="宋体"/>
                <w:spacing w:val="11"/>
                <w:sz w:val="21"/>
                <w:szCs w:val="21"/>
                <w:highlight w:val="none"/>
              </w:rPr>
              <w:t>)</w:t>
            </w:r>
          </w:p>
        </w:tc>
        <w:tc>
          <w:tcPr>
            <w:tcW w:w="1062" w:type="dxa"/>
            <w:vAlign w:val="top"/>
          </w:tcPr>
          <w:p>
            <w:pPr>
              <w:spacing w:before="47" w:line="466" w:lineRule="exact"/>
              <w:ind w:left="304"/>
              <w:rPr>
                <w:rFonts w:hint="eastAsia" w:ascii="宋体" w:hAnsi="宋体" w:eastAsia="宋体" w:cs="宋体"/>
                <w:sz w:val="21"/>
                <w:szCs w:val="21"/>
                <w:highlight w:val="none"/>
              </w:rPr>
            </w:pPr>
            <w:r>
              <w:rPr>
                <w:rFonts w:hint="eastAsia" w:ascii="宋体" w:hAnsi="宋体" w:eastAsia="宋体" w:cs="宋体"/>
                <w:spacing w:val="2"/>
                <w:position w:val="17"/>
                <w:sz w:val="21"/>
                <w:szCs w:val="21"/>
                <w:highlight w:val="none"/>
              </w:rPr>
              <w:t>数量</w:t>
            </w:r>
          </w:p>
          <w:p>
            <w:pPr>
              <w:spacing w:line="229" w:lineRule="auto"/>
              <w:ind w:left="190"/>
              <w:rPr>
                <w:rFonts w:hint="eastAsia" w:ascii="宋体" w:hAnsi="宋体" w:eastAsia="宋体" w:cs="宋体"/>
                <w:sz w:val="21"/>
                <w:szCs w:val="21"/>
                <w:highlight w:val="none"/>
              </w:rPr>
            </w:pPr>
            <w:r>
              <w:rPr>
                <w:rFonts w:hint="eastAsia" w:ascii="宋体" w:hAnsi="宋体" w:eastAsia="宋体" w:cs="宋体"/>
                <w:spacing w:val="38"/>
                <w:sz w:val="21"/>
                <w:szCs w:val="21"/>
                <w:highlight w:val="none"/>
              </w:rPr>
              <w:t>(台)</w:t>
            </w:r>
          </w:p>
        </w:tc>
        <w:tc>
          <w:tcPr>
            <w:tcW w:w="1823" w:type="dxa"/>
            <w:vAlign w:val="top"/>
          </w:tcPr>
          <w:p>
            <w:pPr>
              <w:spacing w:before="280" w:line="231" w:lineRule="auto"/>
              <w:ind w:left="447"/>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进</w:t>
            </w:r>
            <w:r>
              <w:rPr>
                <w:rFonts w:hint="eastAsia" w:ascii="宋体" w:hAnsi="宋体" w:eastAsia="宋体" w:cs="宋体"/>
                <w:spacing w:val="5"/>
                <w:sz w:val="21"/>
                <w:szCs w:val="21"/>
                <w:highlight w:val="none"/>
              </w:rPr>
              <w:t>场时间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27" w:type="dxa"/>
            <w:vMerge w:val="restart"/>
            <w:tcBorders>
              <w:bottom w:val="nil"/>
            </w:tcBorders>
            <w:textDirection w:val="tbRlV"/>
            <w:vAlign w:val="top"/>
          </w:tcPr>
          <w:p>
            <w:pPr>
              <w:spacing w:before="292" w:line="211" w:lineRule="auto"/>
              <w:ind w:left="766"/>
              <w:rPr>
                <w:rFonts w:hint="eastAsia" w:ascii="宋体" w:hAnsi="宋体" w:eastAsia="宋体" w:cs="宋体"/>
                <w:sz w:val="21"/>
                <w:szCs w:val="21"/>
                <w:highlight w:val="none"/>
              </w:rPr>
            </w:pPr>
            <w:r>
              <w:rPr>
                <w:rFonts w:hint="eastAsia" w:ascii="宋体" w:hAnsi="宋体" w:eastAsia="宋体" w:cs="宋体"/>
                <w:spacing w:val="24"/>
                <w:sz w:val="21"/>
                <w:szCs w:val="21"/>
                <w:highlight w:val="none"/>
              </w:rPr>
              <w:t>路</w:t>
            </w:r>
            <w:r>
              <w:rPr>
                <w:rFonts w:hint="eastAsia" w:ascii="宋体" w:hAnsi="宋体" w:eastAsia="宋体" w:cs="宋体"/>
                <w:spacing w:val="20"/>
                <w:sz w:val="21"/>
                <w:szCs w:val="21"/>
                <w:highlight w:val="none"/>
              </w:rPr>
              <w:t xml:space="preserve">     基</w:t>
            </w: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27" w:type="dxa"/>
            <w:vMerge w:val="continue"/>
            <w:tcBorders>
              <w:top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827" w:type="dxa"/>
            <w:vMerge w:val="restart"/>
            <w:tcBorders>
              <w:bottom w:val="nil"/>
            </w:tcBorders>
            <w:textDirection w:val="tbRlV"/>
            <w:vAlign w:val="top"/>
          </w:tcPr>
          <w:p>
            <w:pPr>
              <w:spacing w:before="292" w:line="211" w:lineRule="auto"/>
              <w:ind w:left="800"/>
              <w:rPr>
                <w:rFonts w:hint="eastAsia" w:ascii="宋体" w:hAnsi="宋体" w:eastAsia="宋体" w:cs="宋体"/>
                <w:sz w:val="21"/>
                <w:szCs w:val="21"/>
                <w:highlight w:val="none"/>
              </w:rPr>
            </w:pPr>
            <w:r>
              <w:rPr>
                <w:rFonts w:hint="eastAsia" w:ascii="宋体" w:hAnsi="宋体" w:eastAsia="宋体" w:cs="宋体"/>
                <w:spacing w:val="24"/>
                <w:sz w:val="21"/>
                <w:szCs w:val="21"/>
                <w:highlight w:val="none"/>
              </w:rPr>
              <w:t>路</w:t>
            </w:r>
            <w:r>
              <w:rPr>
                <w:rFonts w:hint="eastAsia" w:ascii="宋体" w:hAnsi="宋体" w:eastAsia="宋体" w:cs="宋体"/>
                <w:spacing w:val="20"/>
                <w:sz w:val="21"/>
                <w:szCs w:val="21"/>
                <w:highlight w:val="none"/>
              </w:rPr>
              <w:t xml:space="preserve">     面</w:t>
            </w: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827" w:type="dxa"/>
            <w:vMerge w:val="restart"/>
            <w:tcBorders>
              <w:bottom w:val="nil"/>
            </w:tcBorders>
            <w:textDirection w:val="tbRlV"/>
            <w:vAlign w:val="top"/>
          </w:tcPr>
          <w:p>
            <w:pPr>
              <w:spacing w:before="291" w:line="212" w:lineRule="auto"/>
              <w:ind w:left="2002"/>
              <w:rPr>
                <w:rFonts w:hint="eastAsia" w:ascii="宋体" w:hAnsi="宋体" w:eastAsia="宋体" w:cs="宋体"/>
                <w:sz w:val="21"/>
                <w:szCs w:val="21"/>
                <w:highlight w:val="none"/>
              </w:rPr>
            </w:pPr>
            <w:r>
              <w:rPr>
                <w:rFonts w:hint="eastAsia" w:ascii="宋体" w:hAnsi="宋体" w:eastAsia="宋体" w:cs="宋体"/>
                <w:spacing w:val="58"/>
                <w:sz w:val="21"/>
                <w:szCs w:val="21"/>
                <w:highlight w:val="none"/>
              </w:rPr>
              <w:t>桥</w:t>
            </w:r>
            <w:r>
              <w:rPr>
                <w:rFonts w:hint="eastAsia" w:ascii="宋体" w:hAnsi="宋体" w:eastAsia="宋体" w:cs="宋体"/>
                <w:spacing w:val="54"/>
                <w:sz w:val="21"/>
                <w:szCs w:val="21"/>
                <w:highlight w:val="none"/>
              </w:rPr>
              <w:t xml:space="preserve"> 梁 涵 洞</w:t>
            </w: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7" w:type="dxa"/>
            <w:vMerge w:val="continue"/>
            <w:tcBorders>
              <w:top w:val="nil"/>
              <w:bottom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27" w:type="dxa"/>
            <w:vMerge w:val="continue"/>
            <w:tcBorders>
              <w:top w:val="nil"/>
            </w:tcBorders>
            <w:textDirection w:val="tbRlV"/>
            <w:vAlign w:val="top"/>
          </w:tcPr>
          <w:p>
            <w:pPr>
              <w:rPr>
                <w:rFonts w:hint="eastAsia" w:ascii="宋体" w:hAnsi="宋体" w:eastAsia="宋体" w:cs="宋体"/>
                <w:sz w:val="21"/>
                <w:szCs w:val="21"/>
                <w:highlight w:val="none"/>
              </w:rPr>
            </w:pPr>
          </w:p>
        </w:tc>
        <w:tc>
          <w:tcPr>
            <w:tcW w:w="2045" w:type="dxa"/>
            <w:vAlign w:val="top"/>
          </w:tcPr>
          <w:p>
            <w:pPr>
              <w:rPr>
                <w:rFonts w:hint="eastAsia" w:ascii="宋体" w:hAnsi="宋体" w:eastAsia="宋体" w:cs="宋体"/>
                <w:sz w:val="21"/>
                <w:szCs w:val="21"/>
                <w:highlight w:val="none"/>
              </w:rPr>
            </w:pPr>
          </w:p>
        </w:tc>
        <w:tc>
          <w:tcPr>
            <w:tcW w:w="1485" w:type="dxa"/>
            <w:vAlign w:val="top"/>
          </w:tcPr>
          <w:p>
            <w:pPr>
              <w:rPr>
                <w:rFonts w:hint="eastAsia" w:ascii="宋体" w:hAnsi="宋体" w:eastAsia="宋体" w:cs="宋体"/>
                <w:sz w:val="21"/>
                <w:szCs w:val="21"/>
                <w:highlight w:val="none"/>
              </w:rPr>
            </w:pPr>
          </w:p>
        </w:tc>
        <w:tc>
          <w:tcPr>
            <w:tcW w:w="1802" w:type="dxa"/>
            <w:vAlign w:val="top"/>
          </w:tcPr>
          <w:p>
            <w:pPr>
              <w:rPr>
                <w:rFonts w:hint="eastAsia" w:ascii="宋体" w:hAnsi="宋体" w:eastAsia="宋体" w:cs="宋体"/>
                <w:sz w:val="21"/>
                <w:szCs w:val="21"/>
                <w:highlight w:val="none"/>
              </w:rPr>
            </w:pPr>
          </w:p>
        </w:tc>
        <w:tc>
          <w:tcPr>
            <w:tcW w:w="1062" w:type="dxa"/>
            <w:vAlign w:val="top"/>
          </w:tcPr>
          <w:p>
            <w:pPr>
              <w:rPr>
                <w:rFonts w:hint="eastAsia" w:ascii="宋体" w:hAnsi="宋体" w:eastAsia="宋体" w:cs="宋体"/>
                <w:sz w:val="21"/>
                <w:szCs w:val="21"/>
                <w:highlight w:val="none"/>
              </w:rPr>
            </w:pPr>
          </w:p>
        </w:tc>
        <w:tc>
          <w:tcPr>
            <w:tcW w:w="1823" w:type="dxa"/>
            <w:vAlign w:val="top"/>
          </w:tcPr>
          <w:p>
            <w:pPr>
              <w:rPr>
                <w:rFonts w:hint="eastAsia" w:ascii="宋体" w:hAnsi="宋体" w:eastAsia="宋体" w:cs="宋体"/>
                <w:sz w:val="21"/>
                <w:szCs w:val="21"/>
                <w:highlight w:val="none"/>
              </w:rPr>
            </w:pPr>
          </w:p>
        </w:tc>
      </w:tr>
    </w:tbl>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sectPr>
          <w:footerReference r:id="rId7" w:type="default"/>
          <w:pgSz w:w="11906" w:h="16839"/>
          <w:pgMar w:top="400" w:right="1495" w:bottom="655" w:left="1361" w:header="0" w:footer="447" w:gutter="0"/>
          <w:pgBorders>
            <w:top w:val="none" w:sz="0" w:space="0"/>
            <w:left w:val="none" w:sz="0" w:space="0"/>
            <w:bottom w:val="none" w:sz="0" w:space="0"/>
            <w:right w:val="none" w:sz="0" w:space="0"/>
          </w:pgBorders>
          <w:pgNumType w:fmt="decimal"/>
          <w:cols w:space="720" w:num="1"/>
        </w:sectPr>
      </w:pPr>
    </w:p>
    <w:p>
      <w:pPr>
        <w:spacing w:line="262" w:lineRule="auto"/>
        <w:rPr>
          <w:rFonts w:hint="eastAsia" w:ascii="宋体" w:hAnsi="宋体" w:eastAsia="宋体" w:cs="宋体"/>
          <w:sz w:val="21"/>
          <w:szCs w:val="21"/>
          <w:highlight w:val="none"/>
        </w:rPr>
      </w:pPr>
    </w:p>
    <w:p>
      <w:pPr>
        <w:spacing w:line="262" w:lineRule="auto"/>
        <w:rPr>
          <w:rFonts w:hint="eastAsia" w:ascii="宋体" w:hAnsi="宋体" w:eastAsia="宋体" w:cs="宋体"/>
          <w:sz w:val="21"/>
          <w:szCs w:val="21"/>
          <w:highlight w:val="none"/>
        </w:rPr>
      </w:pPr>
    </w:p>
    <w:p>
      <w:pPr>
        <w:spacing w:line="263" w:lineRule="auto"/>
        <w:rPr>
          <w:rFonts w:hint="eastAsia" w:ascii="宋体" w:hAnsi="宋体" w:eastAsia="宋体" w:cs="宋体"/>
          <w:sz w:val="21"/>
          <w:szCs w:val="21"/>
          <w:highlight w:val="none"/>
        </w:rPr>
      </w:pPr>
    </w:p>
    <w:p>
      <w:pPr>
        <w:spacing w:before="91" w:line="210" w:lineRule="auto"/>
        <w:ind w:left="845"/>
        <w:rPr>
          <w:rFonts w:hint="eastAsia" w:ascii="宋体" w:hAnsi="宋体" w:eastAsia="宋体" w:cs="宋体"/>
          <w:sz w:val="21"/>
          <w:szCs w:val="21"/>
          <w:highlight w:val="none"/>
        </w:rPr>
      </w:pPr>
      <w:r>
        <w:rPr>
          <w:rFonts w:hint="eastAsia" w:ascii="宋体" w:hAnsi="宋体" w:cs="宋体"/>
          <w:spacing w:val="-2"/>
          <w:sz w:val="21"/>
          <w:szCs w:val="21"/>
          <w:highlight w:val="none"/>
          <w:lang w:val="en-US" w:eastAsia="zh-CN"/>
          <w14:textOutline w14:w="5105" w14:cap="sq" w14:cmpd="sng">
            <w14:solidFill>
              <w14:srgbClr w14:val="000000"/>
            </w14:solidFill>
            <w14:prstDash w14:val="solid"/>
            <w14:bevel/>
          </w14:textOutline>
        </w:rPr>
        <w:t>6</w:t>
      </w:r>
      <w:r>
        <w:rPr>
          <w:rFonts w:hint="eastAsia" w:ascii="宋体" w:hAnsi="宋体" w:eastAsia="宋体" w:cs="宋体"/>
          <w:spacing w:val="-2"/>
          <w:sz w:val="21"/>
          <w:szCs w:val="21"/>
          <w:highlight w:val="none"/>
          <w14:textOutline w14:w="5105" w14:cap="sq" w14:cmpd="sng">
            <w14:solidFill>
              <w14:srgbClr w14:val="000000"/>
            </w14:solidFill>
            <w14:prstDash w14:val="solid"/>
            <w14:bevel/>
          </w14:textOutline>
        </w:rPr>
        <w:t>.4</w:t>
      </w:r>
      <w:r>
        <w:rPr>
          <w:rFonts w:hint="eastAsia" w:ascii="宋体" w:hAnsi="宋体" w:eastAsia="宋体" w:cs="宋体"/>
          <w:spacing w:val="-2"/>
          <w:sz w:val="21"/>
          <w:szCs w:val="21"/>
          <w:highlight w:val="none"/>
        </w:rPr>
        <w:t xml:space="preserve"> </w:t>
      </w:r>
      <w:r>
        <w:rPr>
          <w:rFonts w:hint="eastAsia" w:ascii="宋体" w:hAnsi="宋体" w:eastAsia="宋体" w:cs="宋体"/>
          <w:spacing w:val="-2"/>
          <w:sz w:val="21"/>
          <w:szCs w:val="21"/>
          <w:highlight w:val="none"/>
          <w14:textOutline w14:w="5105" w14:cap="sq" w14:cmpd="sng">
            <w14:solidFill>
              <w14:srgbClr w14:val="000000"/>
            </w14:solidFill>
            <w14:prstDash w14:val="solid"/>
            <w14:bevel/>
          </w14:textOutline>
        </w:rPr>
        <w:t>配备本合同工程主要的材料试验、测量、质检仪器设</w:t>
      </w:r>
      <w:r>
        <w:rPr>
          <w:rFonts w:hint="eastAsia" w:ascii="宋体" w:hAnsi="宋体" w:eastAsia="宋体" w:cs="宋体"/>
          <w:sz w:val="21"/>
          <w:szCs w:val="21"/>
          <w:highlight w:val="none"/>
          <w14:textOutline w14:w="5105" w14:cap="sq" w14:cmpd="sng">
            <w14:solidFill>
              <w14:srgbClr w14:val="000000"/>
            </w14:solidFill>
            <w14:prstDash w14:val="solid"/>
            <w14:bevel/>
          </w14:textOutline>
        </w:rPr>
        <w:t>备表</w:t>
      </w:r>
    </w:p>
    <w:tbl>
      <w:tblPr>
        <w:tblStyle w:val="82"/>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2"/>
        <w:gridCol w:w="2099"/>
        <w:gridCol w:w="1841"/>
        <w:gridCol w:w="1419"/>
        <w:gridCol w:w="1420"/>
        <w:gridCol w:w="16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42" w:type="dxa"/>
            <w:vAlign w:val="top"/>
          </w:tcPr>
          <w:p>
            <w:pPr>
              <w:spacing w:before="220" w:line="231" w:lineRule="auto"/>
              <w:ind w:left="144"/>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序号</w:t>
            </w:r>
          </w:p>
        </w:tc>
        <w:tc>
          <w:tcPr>
            <w:tcW w:w="2099" w:type="dxa"/>
            <w:vAlign w:val="top"/>
          </w:tcPr>
          <w:p>
            <w:pPr>
              <w:spacing w:before="220" w:line="229" w:lineRule="auto"/>
              <w:ind w:left="342"/>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仪</w:t>
            </w:r>
            <w:r>
              <w:rPr>
                <w:rFonts w:hint="eastAsia" w:ascii="宋体" w:hAnsi="宋体" w:eastAsia="宋体" w:cs="宋体"/>
                <w:spacing w:val="7"/>
                <w:sz w:val="21"/>
                <w:szCs w:val="21"/>
                <w:highlight w:val="none"/>
              </w:rPr>
              <w:t>器设备名称</w:t>
            </w:r>
          </w:p>
        </w:tc>
        <w:tc>
          <w:tcPr>
            <w:tcW w:w="1841" w:type="dxa"/>
            <w:vAlign w:val="top"/>
          </w:tcPr>
          <w:p>
            <w:pPr>
              <w:spacing w:before="220" w:line="231" w:lineRule="auto"/>
              <w:ind w:left="451"/>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规格型号</w:t>
            </w:r>
          </w:p>
        </w:tc>
        <w:tc>
          <w:tcPr>
            <w:tcW w:w="1419" w:type="dxa"/>
            <w:vAlign w:val="top"/>
          </w:tcPr>
          <w:p>
            <w:pPr>
              <w:spacing w:before="220" w:line="229" w:lineRule="auto"/>
              <w:ind w:left="488"/>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单</w:t>
            </w:r>
            <w:r>
              <w:rPr>
                <w:rFonts w:hint="eastAsia" w:ascii="宋体" w:hAnsi="宋体" w:eastAsia="宋体" w:cs="宋体"/>
                <w:sz w:val="21"/>
                <w:szCs w:val="21"/>
                <w:highlight w:val="none"/>
              </w:rPr>
              <w:t>位</w:t>
            </w:r>
          </w:p>
        </w:tc>
        <w:tc>
          <w:tcPr>
            <w:tcW w:w="1420" w:type="dxa"/>
            <w:vAlign w:val="top"/>
          </w:tcPr>
          <w:p>
            <w:pPr>
              <w:spacing w:before="220" w:line="231" w:lineRule="auto"/>
              <w:ind w:left="484"/>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数量</w:t>
            </w:r>
          </w:p>
        </w:tc>
        <w:tc>
          <w:tcPr>
            <w:tcW w:w="1663" w:type="dxa"/>
            <w:vAlign w:val="top"/>
          </w:tcPr>
          <w:p>
            <w:pPr>
              <w:spacing w:before="220" w:line="233" w:lineRule="auto"/>
              <w:ind w:left="605"/>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742" w:type="dxa"/>
            <w:vAlign w:val="top"/>
          </w:tcPr>
          <w:p>
            <w:pPr>
              <w:rPr>
                <w:rFonts w:hint="eastAsia" w:ascii="宋体" w:hAnsi="宋体" w:eastAsia="宋体" w:cs="宋体"/>
                <w:sz w:val="21"/>
                <w:szCs w:val="21"/>
                <w:highlight w:val="none"/>
              </w:rPr>
            </w:pPr>
          </w:p>
        </w:tc>
        <w:tc>
          <w:tcPr>
            <w:tcW w:w="2099" w:type="dxa"/>
            <w:vAlign w:val="top"/>
          </w:tcPr>
          <w:p>
            <w:pPr>
              <w:rPr>
                <w:rFonts w:hint="eastAsia" w:ascii="宋体" w:hAnsi="宋体" w:eastAsia="宋体" w:cs="宋体"/>
                <w:sz w:val="21"/>
                <w:szCs w:val="21"/>
                <w:highlight w:val="none"/>
              </w:rPr>
            </w:pPr>
          </w:p>
        </w:tc>
        <w:tc>
          <w:tcPr>
            <w:tcW w:w="1841" w:type="dxa"/>
            <w:vAlign w:val="top"/>
          </w:tcPr>
          <w:p>
            <w:pPr>
              <w:rPr>
                <w:rFonts w:hint="eastAsia" w:ascii="宋体" w:hAnsi="宋体" w:eastAsia="宋体" w:cs="宋体"/>
                <w:sz w:val="21"/>
                <w:szCs w:val="21"/>
                <w:highlight w:val="none"/>
              </w:rPr>
            </w:pPr>
          </w:p>
        </w:tc>
        <w:tc>
          <w:tcPr>
            <w:tcW w:w="1419" w:type="dxa"/>
            <w:vAlign w:val="top"/>
          </w:tcPr>
          <w:p>
            <w:pPr>
              <w:rPr>
                <w:rFonts w:hint="eastAsia" w:ascii="宋体" w:hAnsi="宋体" w:eastAsia="宋体" w:cs="宋体"/>
                <w:sz w:val="21"/>
                <w:szCs w:val="21"/>
                <w:highlight w:val="none"/>
              </w:rPr>
            </w:pPr>
          </w:p>
        </w:tc>
        <w:tc>
          <w:tcPr>
            <w:tcW w:w="1420" w:type="dxa"/>
            <w:vAlign w:val="top"/>
          </w:tcPr>
          <w:p>
            <w:pPr>
              <w:rPr>
                <w:rFonts w:hint="eastAsia" w:ascii="宋体" w:hAnsi="宋体" w:eastAsia="宋体" w:cs="宋体"/>
                <w:sz w:val="21"/>
                <w:szCs w:val="21"/>
                <w:highlight w:val="none"/>
              </w:rPr>
            </w:pPr>
          </w:p>
        </w:tc>
        <w:tc>
          <w:tcPr>
            <w:tcW w:w="1663" w:type="dxa"/>
            <w:vAlign w:val="top"/>
          </w:tcPr>
          <w:p>
            <w:pPr>
              <w:rPr>
                <w:rFonts w:hint="eastAsia" w:ascii="宋体" w:hAnsi="宋体" w:eastAsia="宋体" w:cs="宋体"/>
                <w:sz w:val="21"/>
                <w:szCs w:val="21"/>
                <w:highlight w:val="none"/>
              </w:rPr>
            </w:pPr>
          </w:p>
        </w:tc>
      </w:tr>
    </w:tbl>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sectPr>
          <w:footerReference r:id="rId8" w:type="default"/>
          <w:pgSz w:w="11906" w:h="16839"/>
          <w:pgMar w:top="400" w:right="1355" w:bottom="655" w:left="1361" w:header="0" w:footer="447" w:gutter="0"/>
          <w:pgBorders>
            <w:top w:val="none" w:sz="0" w:space="0"/>
            <w:left w:val="none" w:sz="0" w:space="0"/>
            <w:bottom w:val="none" w:sz="0" w:space="0"/>
            <w:right w:val="none" w:sz="0" w:space="0"/>
          </w:pgBorders>
          <w:pgNumType w:fmt="decimal"/>
          <w:cols w:space="720" w:num="1"/>
        </w:sectPr>
      </w:pPr>
    </w:p>
    <w:p>
      <w:pPr>
        <w:spacing w:line="262" w:lineRule="auto"/>
        <w:rPr>
          <w:rFonts w:hint="eastAsia" w:ascii="宋体" w:hAnsi="宋体" w:eastAsia="宋体" w:cs="宋体"/>
          <w:sz w:val="21"/>
          <w:szCs w:val="21"/>
          <w:highlight w:val="none"/>
        </w:rPr>
      </w:pPr>
    </w:p>
    <w:p>
      <w:pPr>
        <w:spacing w:line="263" w:lineRule="auto"/>
        <w:rPr>
          <w:rFonts w:hint="eastAsia" w:ascii="宋体" w:hAnsi="宋体" w:eastAsia="宋体" w:cs="宋体"/>
          <w:sz w:val="21"/>
          <w:szCs w:val="21"/>
          <w:highlight w:val="none"/>
        </w:rPr>
      </w:pPr>
    </w:p>
    <w:p>
      <w:pPr>
        <w:spacing w:before="91" w:line="210" w:lineRule="auto"/>
        <w:ind w:left="1329"/>
        <w:rPr>
          <w:rFonts w:hint="eastAsia" w:ascii="宋体" w:hAnsi="宋体" w:eastAsia="宋体" w:cs="宋体"/>
          <w:sz w:val="21"/>
          <w:szCs w:val="21"/>
          <w:highlight w:val="none"/>
        </w:rPr>
      </w:pPr>
      <w:r>
        <w:rPr>
          <w:rFonts w:hint="default" w:ascii="宋体" w:hAnsi="宋体" w:eastAsia="宋体" w:cs="宋体"/>
          <w:spacing w:val="-4"/>
          <w:sz w:val="21"/>
          <w:szCs w:val="21"/>
          <w:highlight w:val="none"/>
          <w:lang w:val="en-US"/>
          <w14:textOutline w14:w="5105" w14:cap="sq" w14:cmpd="sng">
            <w14:solidFill>
              <w14:srgbClr w14:val="000000"/>
            </w14:solidFill>
            <w14:prstDash w14:val="solid"/>
            <w14:bevel/>
          </w14:textOutline>
        </w:rPr>
        <mc:AlternateContent>
          <mc:Choice Requires="wps">
            <w:drawing>
              <wp:anchor distT="0" distB="0" distL="114300" distR="114300" simplePos="0" relativeHeight="251661312" behindDoc="0" locked="0" layoutInCell="1" allowOverlap="1">
                <wp:simplePos x="0" y="0"/>
                <wp:positionH relativeFrom="column">
                  <wp:posOffset>923290</wp:posOffset>
                </wp:positionH>
                <wp:positionV relativeFrom="paragraph">
                  <wp:posOffset>173355</wp:posOffset>
                </wp:positionV>
                <wp:extent cx="1814195" cy="1022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14195" cy="102235"/>
                        </a:xfrm>
                        <a:prstGeom prst="rect">
                          <a:avLst/>
                        </a:prstGeom>
                        <a:noFill/>
                        <a:ln>
                          <a:noFill/>
                        </a:ln>
                      </wps:spPr>
                      <wps:txbx>
                        <w:txbxContent>
                          <w:p>
                            <w:pPr>
                              <w:spacing w:before="20" w:line="120" w:lineRule="exact"/>
                              <w:ind w:left="20"/>
                              <w:rPr>
                                <w:rFonts w:ascii="仿宋" w:hAnsi="仿宋" w:eastAsia="仿宋" w:cs="仿宋"/>
                                <w:sz w:val="28"/>
                                <w:szCs w:val="28"/>
                              </w:rPr>
                            </w:pPr>
                            <w:r>
                              <w:rPr>
                                <w:rFonts w:ascii="仿宋" w:hAnsi="仿宋" w:eastAsia="仿宋" w:cs="仿宋"/>
                                <w:spacing w:val="1"/>
                                <w:position w:val="3"/>
                                <w:sz w:val="28"/>
                                <w:szCs w:val="28"/>
                                <w14:textOutline w14:w="5105" w14:cap="sq" w14:cmpd="sng">
                                  <w14:solidFill>
                                    <w14:srgbClr w14:val="000000"/>
                                  </w14:solidFill>
                                  <w14:prstDash w14:val="solid"/>
                                  <w14:bevel/>
                                </w14:textOutline>
                              </w:rPr>
                              <w:t>.</w:t>
                            </w:r>
                            <w:r>
                              <w:rPr>
                                <w:rFonts w:ascii="仿宋" w:hAnsi="仿宋" w:eastAsia="仿宋" w:cs="仿宋"/>
                                <w:spacing w:val="1"/>
                                <w:position w:val="3"/>
                                <w:sz w:val="28"/>
                                <w:szCs w:val="28"/>
                              </w:rPr>
                              <w:t xml:space="preserve">               </w:t>
                            </w:r>
                            <w:r>
                              <w:rPr>
                                <w:rFonts w:ascii="仿宋" w:hAnsi="仿宋" w:eastAsia="仿宋" w:cs="仿宋"/>
                                <w:position w:val="3"/>
                                <w:sz w:val="28"/>
                                <w:szCs w:val="28"/>
                              </w:rPr>
                              <w:t xml:space="preserve">  </w:t>
                            </w:r>
                            <w:r>
                              <w:rPr>
                                <w:rFonts w:ascii="仿宋" w:hAnsi="仿宋" w:eastAsia="仿宋" w:cs="仿宋"/>
                                <w:position w:val="3"/>
                                <w:sz w:val="28"/>
                                <w:szCs w:val="28"/>
                                <w14:textOutline w14:w="5105" w14:cap="sq" w14:cmpd="sng">
                                  <w14:solidFill>
                                    <w14:srgbClr w14:val="000000"/>
                                  </w14:solidFill>
                                  <w14:prstDash w14:val="solid"/>
                                  <w14:bevel/>
                                </w14:textOutline>
                              </w:rPr>
                              <w:t>、</w:t>
                            </w:r>
                          </w:p>
                        </w:txbxContent>
                      </wps:txbx>
                      <wps:bodyPr lIns="0" tIns="0" rIns="0" bIns="0" upright="1"/>
                    </wps:wsp>
                  </a:graphicData>
                </a:graphic>
              </wp:anchor>
            </w:drawing>
          </mc:Choice>
          <mc:Fallback>
            <w:pict>
              <v:shape id="_x0000_s1026" o:spid="_x0000_s1026" o:spt="202" type="#_x0000_t202" style="position:absolute;left:0pt;margin-left:72.7pt;margin-top:13.65pt;height:8.05pt;width:142.85pt;z-index:251661312;mso-width-relative:page;mso-height-relative:page;" filled="f" stroked="f" coordsize="21600,21600" o:gfxdata="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NHZwK2AAAAAkBAAAPAAAAAAAAAAEAIAAAACIAAABkcnMvZG93bnJldi54bWxQSwEC&#10;FAAUAAAACACHTuJAWfWzC7sBAAByAwAADgAAAAAAAAABACAAAAAnAQAAZHJzL2Uyb0RvYy54bWxQ&#10;SwUGAAAAAAYABgBZAQAAVAUAAAAA&#10;">
                <v:fill on="f" focussize="0,0"/>
                <v:stroke on="f"/>
                <v:imagedata o:title=""/>
                <o:lock v:ext="edit" aspectratio="f"/>
                <v:textbox inset="0mm,0mm,0mm,0mm">
                  <w:txbxContent>
                    <w:p>
                      <w:pPr>
                        <w:spacing w:before="20" w:line="120" w:lineRule="exact"/>
                        <w:ind w:left="20"/>
                        <w:rPr>
                          <w:rFonts w:ascii="仿宋" w:hAnsi="仿宋" w:eastAsia="仿宋" w:cs="仿宋"/>
                          <w:sz w:val="28"/>
                          <w:szCs w:val="28"/>
                        </w:rPr>
                      </w:pPr>
                      <w:r>
                        <w:rPr>
                          <w:rFonts w:ascii="仿宋" w:hAnsi="仿宋" w:eastAsia="仿宋" w:cs="仿宋"/>
                          <w:spacing w:val="1"/>
                          <w:position w:val="3"/>
                          <w:sz w:val="28"/>
                          <w:szCs w:val="28"/>
                          <w14:textOutline w14:w="5105" w14:cap="sq" w14:cmpd="sng">
                            <w14:solidFill>
                              <w14:srgbClr w14:val="000000"/>
                            </w14:solidFill>
                            <w14:prstDash w14:val="solid"/>
                            <w14:bevel/>
                          </w14:textOutline>
                        </w:rPr>
                        <w:t>.</w:t>
                      </w:r>
                      <w:r>
                        <w:rPr>
                          <w:rFonts w:ascii="仿宋" w:hAnsi="仿宋" w:eastAsia="仿宋" w:cs="仿宋"/>
                          <w:spacing w:val="1"/>
                          <w:position w:val="3"/>
                          <w:sz w:val="28"/>
                          <w:szCs w:val="28"/>
                        </w:rPr>
                        <w:t xml:space="preserve">               </w:t>
                      </w:r>
                      <w:r>
                        <w:rPr>
                          <w:rFonts w:ascii="仿宋" w:hAnsi="仿宋" w:eastAsia="仿宋" w:cs="仿宋"/>
                          <w:position w:val="3"/>
                          <w:sz w:val="28"/>
                          <w:szCs w:val="28"/>
                        </w:rPr>
                        <w:t xml:space="preserve">  </w:t>
                      </w:r>
                      <w:r>
                        <w:rPr>
                          <w:rFonts w:ascii="仿宋" w:hAnsi="仿宋" w:eastAsia="仿宋" w:cs="仿宋"/>
                          <w:position w:val="3"/>
                          <w:sz w:val="28"/>
                          <w:szCs w:val="28"/>
                          <w14:textOutline w14:w="5105" w14:cap="sq" w14:cmpd="sng">
                            <w14:solidFill>
                              <w14:srgbClr w14:val="000000"/>
                            </w14:solidFill>
                            <w14:prstDash w14:val="solid"/>
                            <w14:bevel/>
                          </w14:textOutline>
                        </w:rPr>
                        <w:t>、</w:t>
                      </w:r>
                    </w:p>
                  </w:txbxContent>
                </v:textbox>
              </v:shape>
            </w:pict>
          </mc:Fallback>
        </mc:AlternateContent>
      </w:r>
      <w:r>
        <w:rPr>
          <w:rFonts w:hint="eastAsia" w:ascii="宋体" w:hAnsi="宋体" w:eastAsia="宋体" w:cs="宋体"/>
          <w:spacing w:val="-4"/>
          <w:sz w:val="21"/>
          <w:szCs w:val="21"/>
          <w:highlight w:val="none"/>
          <w:lang w:val="en-US" w:eastAsia="zh-CN"/>
          <w14:textOutline w14:w="5105" w14:cap="sq" w14:cmpd="sng">
            <w14:solidFill>
              <w14:srgbClr w14:val="000000"/>
            </w14:solidFill>
            <w14:prstDash w14:val="solid"/>
            <w14:bevel/>
          </w14:textOutline>
        </w:rPr>
        <w:t>6</w:t>
      </w:r>
      <w:r>
        <w:rPr>
          <w:rFonts w:hint="eastAsia" w:ascii="宋体" w:hAnsi="宋体" w:eastAsia="宋体" w:cs="宋体"/>
          <w:spacing w:val="-4"/>
          <w:sz w:val="21"/>
          <w:szCs w:val="21"/>
          <w:highlight w:val="none"/>
          <w14:textOutline w14:w="5105" w14:cap="sq" w14:cmpd="sng">
            <w14:solidFill>
              <w14:srgbClr w14:val="000000"/>
            </w14:solidFill>
            <w14:prstDash w14:val="solid"/>
            <w14:bevel/>
          </w14:textOutline>
        </w:rPr>
        <w:t xml:space="preserve"> 5</w:t>
      </w:r>
      <w:r>
        <w:rPr>
          <w:rFonts w:hint="eastAsia" w:ascii="宋体" w:hAnsi="宋体" w:eastAsia="宋体" w:cs="宋体"/>
          <w:spacing w:val="-4"/>
          <w:sz w:val="21"/>
          <w:szCs w:val="21"/>
          <w:highlight w:val="none"/>
        </w:rPr>
        <w:t xml:space="preserve"> </w:t>
      </w:r>
      <w:r>
        <w:rPr>
          <w:rFonts w:hint="eastAsia" w:ascii="宋体" w:hAnsi="宋体" w:eastAsia="宋体" w:cs="宋体"/>
          <w:spacing w:val="-4"/>
          <w:sz w:val="21"/>
          <w:szCs w:val="21"/>
          <w:highlight w:val="none"/>
          <w14:textOutline w14:w="5105" w14:cap="sq" w14:cmpd="sng">
            <w14:solidFill>
              <w14:srgbClr w14:val="000000"/>
            </w14:solidFill>
            <w14:prstDash w14:val="solid"/>
            <w14:bevel/>
          </w14:textOutline>
        </w:rPr>
        <w:t>拟</w:t>
      </w:r>
      <w:r>
        <w:rPr>
          <w:rFonts w:hint="eastAsia" w:ascii="宋体" w:hAnsi="宋体" w:eastAsia="宋体" w:cs="宋体"/>
          <w:spacing w:val="-2"/>
          <w:sz w:val="21"/>
          <w:szCs w:val="21"/>
          <w:highlight w:val="none"/>
          <w14:textOutline w14:w="5105" w14:cap="sq" w14:cmpd="sng">
            <w14:solidFill>
              <w14:srgbClr w14:val="000000"/>
            </w14:solidFill>
            <w14:prstDash w14:val="solid"/>
            <w14:bevel/>
          </w14:textOutline>
        </w:rPr>
        <w:t>委任的项目经理</w:t>
      </w:r>
      <w:r>
        <w:rPr>
          <w:rFonts w:hint="eastAsia" w:ascii="宋体" w:hAnsi="宋体" w:eastAsia="宋体" w:cs="宋体"/>
          <w:spacing w:val="-2"/>
          <w:sz w:val="21"/>
          <w:szCs w:val="21"/>
          <w:highlight w:val="none"/>
        </w:rPr>
        <w:t xml:space="preserve">  </w:t>
      </w:r>
      <w:r>
        <w:rPr>
          <w:rFonts w:hint="eastAsia" w:ascii="宋体" w:hAnsi="宋体" w:eastAsia="宋体" w:cs="宋体"/>
          <w:spacing w:val="-2"/>
          <w:sz w:val="21"/>
          <w:szCs w:val="21"/>
          <w:highlight w:val="none"/>
          <w14:textOutline w14:w="5105" w14:cap="sq" w14:cmpd="sng">
            <w14:solidFill>
              <w14:srgbClr w14:val="000000"/>
            </w14:solidFill>
            <w14:prstDash w14:val="solid"/>
            <w14:bevel/>
          </w14:textOutline>
        </w:rPr>
        <w:t>项目总工及其他人员资历表</w:t>
      </w:r>
    </w:p>
    <w:tbl>
      <w:tblPr>
        <w:tblStyle w:val="82"/>
        <w:tblW w:w="89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3"/>
        <w:gridCol w:w="923"/>
        <w:gridCol w:w="996"/>
        <w:gridCol w:w="523"/>
        <w:gridCol w:w="1020"/>
        <w:gridCol w:w="1263"/>
        <w:gridCol w:w="539"/>
        <w:gridCol w:w="2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1503" w:type="dxa"/>
            <w:vAlign w:val="top"/>
          </w:tcPr>
          <w:p>
            <w:pPr>
              <w:spacing w:before="246" w:line="233" w:lineRule="auto"/>
              <w:ind w:left="607"/>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姓名</w:t>
            </w:r>
          </w:p>
        </w:tc>
        <w:tc>
          <w:tcPr>
            <w:tcW w:w="923" w:type="dxa"/>
            <w:vAlign w:val="top"/>
          </w:tcPr>
          <w:p>
            <w:pPr>
              <w:rPr>
                <w:rFonts w:hint="eastAsia" w:ascii="宋体" w:hAnsi="宋体" w:eastAsia="宋体" w:cs="宋体"/>
                <w:sz w:val="21"/>
                <w:szCs w:val="21"/>
                <w:highlight w:val="none"/>
              </w:rPr>
            </w:pPr>
          </w:p>
        </w:tc>
        <w:tc>
          <w:tcPr>
            <w:tcW w:w="1519" w:type="dxa"/>
            <w:gridSpan w:val="2"/>
            <w:vAlign w:val="top"/>
          </w:tcPr>
          <w:p>
            <w:pPr>
              <w:spacing w:before="246" w:line="231" w:lineRule="auto"/>
              <w:ind w:left="619"/>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年</w:t>
            </w:r>
            <w:r>
              <w:rPr>
                <w:rFonts w:hint="eastAsia" w:ascii="宋体" w:hAnsi="宋体" w:eastAsia="宋体" w:cs="宋体"/>
                <w:sz w:val="21"/>
                <w:szCs w:val="21"/>
                <w:highlight w:val="none"/>
              </w:rPr>
              <w:t>龄</w:t>
            </w:r>
          </w:p>
        </w:tc>
        <w:tc>
          <w:tcPr>
            <w:tcW w:w="1020" w:type="dxa"/>
            <w:vAlign w:val="top"/>
          </w:tcPr>
          <w:p>
            <w:pPr>
              <w:rPr>
                <w:rFonts w:hint="eastAsia" w:ascii="宋体" w:hAnsi="宋体" w:eastAsia="宋体" w:cs="宋体"/>
                <w:sz w:val="21"/>
                <w:szCs w:val="21"/>
                <w:highlight w:val="none"/>
              </w:rPr>
            </w:pPr>
          </w:p>
        </w:tc>
        <w:tc>
          <w:tcPr>
            <w:tcW w:w="1802" w:type="dxa"/>
            <w:gridSpan w:val="2"/>
            <w:vAlign w:val="top"/>
          </w:tcPr>
          <w:p>
            <w:pPr>
              <w:spacing w:before="93" w:line="232" w:lineRule="auto"/>
              <w:ind w:left="761"/>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专</w:t>
            </w:r>
            <w:r>
              <w:rPr>
                <w:rFonts w:hint="eastAsia" w:ascii="宋体" w:hAnsi="宋体" w:eastAsia="宋体" w:cs="宋体"/>
                <w:sz w:val="21"/>
                <w:szCs w:val="21"/>
                <w:highlight w:val="none"/>
              </w:rPr>
              <w:t>业</w:t>
            </w:r>
          </w:p>
        </w:tc>
        <w:tc>
          <w:tcPr>
            <w:tcW w:w="2199"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1503" w:type="dxa"/>
            <w:vAlign w:val="top"/>
          </w:tcPr>
          <w:p>
            <w:pPr>
              <w:spacing w:line="423" w:lineRule="auto"/>
              <w:rPr>
                <w:rFonts w:hint="eastAsia" w:ascii="宋体" w:hAnsi="宋体" w:eastAsia="宋体" w:cs="宋体"/>
                <w:sz w:val="21"/>
                <w:szCs w:val="21"/>
                <w:highlight w:val="none"/>
              </w:rPr>
            </w:pPr>
          </w:p>
          <w:p>
            <w:pPr>
              <w:spacing w:before="75" w:line="229" w:lineRule="auto"/>
              <w:ind w:left="366"/>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职    称</w:t>
            </w:r>
          </w:p>
        </w:tc>
        <w:tc>
          <w:tcPr>
            <w:tcW w:w="923" w:type="dxa"/>
            <w:vAlign w:val="top"/>
          </w:tcPr>
          <w:p>
            <w:pPr>
              <w:rPr>
                <w:rFonts w:hint="eastAsia" w:ascii="宋体" w:hAnsi="宋体" w:eastAsia="宋体" w:cs="宋体"/>
                <w:sz w:val="21"/>
                <w:szCs w:val="21"/>
                <w:highlight w:val="none"/>
              </w:rPr>
            </w:pPr>
          </w:p>
        </w:tc>
        <w:tc>
          <w:tcPr>
            <w:tcW w:w="1519" w:type="dxa"/>
            <w:gridSpan w:val="2"/>
            <w:vAlign w:val="top"/>
          </w:tcPr>
          <w:p>
            <w:pPr>
              <w:spacing w:line="423" w:lineRule="auto"/>
              <w:rPr>
                <w:rFonts w:hint="eastAsia" w:ascii="宋体" w:hAnsi="宋体" w:eastAsia="宋体" w:cs="宋体"/>
                <w:sz w:val="21"/>
                <w:szCs w:val="21"/>
                <w:highlight w:val="none"/>
              </w:rPr>
            </w:pPr>
          </w:p>
          <w:p>
            <w:pPr>
              <w:spacing w:before="75" w:line="229" w:lineRule="auto"/>
              <w:ind w:left="58"/>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公</w:t>
            </w:r>
            <w:r>
              <w:rPr>
                <w:rFonts w:hint="eastAsia" w:ascii="宋体" w:hAnsi="宋体" w:eastAsia="宋体" w:cs="宋体"/>
                <w:spacing w:val="6"/>
                <w:sz w:val="21"/>
                <w:szCs w:val="21"/>
                <w:highlight w:val="none"/>
              </w:rPr>
              <w:t>司单位职务</w:t>
            </w:r>
          </w:p>
        </w:tc>
        <w:tc>
          <w:tcPr>
            <w:tcW w:w="1020" w:type="dxa"/>
            <w:vAlign w:val="top"/>
          </w:tcPr>
          <w:p>
            <w:pPr>
              <w:rPr>
                <w:rFonts w:hint="eastAsia" w:ascii="宋体" w:hAnsi="宋体" w:eastAsia="宋体" w:cs="宋体"/>
                <w:sz w:val="21"/>
                <w:szCs w:val="21"/>
                <w:highlight w:val="none"/>
              </w:rPr>
            </w:pPr>
          </w:p>
        </w:tc>
        <w:tc>
          <w:tcPr>
            <w:tcW w:w="1802" w:type="dxa"/>
            <w:gridSpan w:val="2"/>
            <w:vAlign w:val="top"/>
          </w:tcPr>
          <w:p>
            <w:pPr>
              <w:spacing w:before="89" w:line="331" w:lineRule="auto"/>
              <w:ind w:left="284" w:right="93" w:firstLine="114"/>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拟在本标</w:t>
            </w:r>
            <w:r>
              <w:rPr>
                <w:rFonts w:hint="eastAsia" w:ascii="宋体" w:hAnsi="宋体" w:eastAsia="宋体" w:cs="宋体"/>
                <w:spacing w:val="6"/>
                <w:sz w:val="21"/>
                <w:szCs w:val="21"/>
                <w:highlight w:val="none"/>
              </w:rPr>
              <w:t>段</w:t>
            </w:r>
            <w:r>
              <w:rPr>
                <w:rFonts w:hint="eastAsia" w:ascii="宋体" w:hAnsi="宋体" w:eastAsia="宋体" w:cs="宋体"/>
                <w:sz w:val="21"/>
                <w:szCs w:val="21"/>
                <w:highlight w:val="none"/>
              </w:rPr>
              <w:t xml:space="preserve"> </w:t>
            </w:r>
            <w:r>
              <w:rPr>
                <w:rFonts w:hint="eastAsia" w:ascii="宋体" w:hAnsi="宋体" w:eastAsia="宋体" w:cs="宋体"/>
                <w:spacing w:val="8"/>
                <w:sz w:val="21"/>
                <w:szCs w:val="21"/>
                <w:highlight w:val="none"/>
              </w:rPr>
              <w:t>工</w:t>
            </w:r>
            <w:r>
              <w:rPr>
                <w:rFonts w:hint="eastAsia" w:ascii="宋体" w:hAnsi="宋体" w:eastAsia="宋体" w:cs="宋体"/>
                <w:spacing w:val="6"/>
                <w:sz w:val="21"/>
                <w:szCs w:val="21"/>
                <w:highlight w:val="none"/>
              </w:rPr>
              <w:t>程担任职务</w:t>
            </w:r>
          </w:p>
        </w:tc>
        <w:tc>
          <w:tcPr>
            <w:tcW w:w="2199" w:type="dxa"/>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503" w:type="dxa"/>
            <w:vAlign w:val="top"/>
          </w:tcPr>
          <w:p>
            <w:pPr>
              <w:spacing w:before="290" w:line="209" w:lineRule="auto"/>
              <w:ind w:left="1288" w:hanging="917"/>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毕业学校</w:t>
            </w:r>
            <w:r>
              <w:rPr>
                <w:rFonts w:hint="eastAsia" w:ascii="宋体" w:hAnsi="宋体" w:eastAsia="宋体" w:cs="宋体"/>
                <w:sz w:val="21"/>
                <w:szCs w:val="21"/>
                <w:highlight w:val="none"/>
              </w:rPr>
              <w:t xml:space="preserve">  </w:t>
            </w:r>
            <w:r>
              <w:rPr>
                <w:rFonts w:hint="eastAsia" w:ascii="宋体" w:hAnsi="宋体" w:eastAsia="宋体" w:cs="宋体"/>
                <w:spacing w:val="-12"/>
                <w:sz w:val="21"/>
                <w:szCs w:val="21"/>
                <w:highlight w:val="none"/>
              </w:rPr>
              <w:t>业</w:t>
            </w:r>
          </w:p>
        </w:tc>
        <w:tc>
          <w:tcPr>
            <w:tcW w:w="7463" w:type="dxa"/>
            <w:gridSpan w:val="7"/>
            <w:vAlign w:val="top"/>
          </w:tcPr>
          <w:p>
            <w:pPr>
              <w:spacing w:before="92" w:line="277" w:lineRule="auto"/>
              <w:ind w:left="109" w:right="27" w:hanging="107"/>
              <w:rPr>
                <w:rFonts w:hint="eastAsia" w:ascii="宋体" w:hAnsi="宋体" w:eastAsia="宋体" w:cs="宋体"/>
                <w:sz w:val="21"/>
                <w:szCs w:val="21"/>
                <w:highlight w:val="none"/>
              </w:rPr>
            </w:pPr>
            <w:r>
              <w:rPr>
                <w:rFonts w:hint="eastAsia" w:ascii="宋体" w:hAnsi="宋体" w:eastAsia="宋体" w:cs="宋体"/>
                <w:spacing w:val="14"/>
                <w:sz w:val="21"/>
                <w:szCs w:val="21"/>
                <w:highlight w:val="none"/>
              </w:rPr>
              <w:t>_____</w:t>
            </w:r>
            <w:r>
              <w:rPr>
                <w:rFonts w:hint="eastAsia" w:ascii="宋体" w:hAnsi="宋体" w:eastAsia="宋体" w:cs="宋体"/>
                <w:spacing w:val="13"/>
                <w:sz w:val="21"/>
                <w:szCs w:val="21"/>
                <w:highlight w:val="none"/>
              </w:rPr>
              <w:t>_</w:t>
            </w:r>
            <w:r>
              <w:rPr>
                <w:rFonts w:hint="eastAsia" w:ascii="宋体" w:hAnsi="宋体" w:eastAsia="宋体" w:cs="宋体"/>
                <w:spacing w:val="7"/>
                <w:sz w:val="21"/>
                <w:szCs w:val="21"/>
                <w:highlight w:val="none"/>
              </w:rPr>
              <w:t>__年___月毕业于___________________学校_______________专</w:t>
            </w:r>
            <w:r>
              <w:rPr>
                <w:rFonts w:hint="eastAsia" w:ascii="宋体" w:hAnsi="宋体" w:eastAsia="宋体" w:cs="宋体"/>
                <w:sz w:val="21"/>
                <w:szCs w:val="21"/>
                <w:highlight w:val="none"/>
              </w:rPr>
              <w:t xml:space="preserve"> </w:t>
            </w:r>
            <w:r>
              <w:rPr>
                <w:rFonts w:hint="eastAsia" w:ascii="宋体" w:hAnsi="宋体" w:eastAsia="宋体" w:cs="宋体"/>
                <w:spacing w:val="5"/>
                <w:sz w:val="21"/>
                <w:szCs w:val="21"/>
                <w:highlight w:val="none"/>
              </w:rPr>
              <w:t>，学制__________</w:t>
            </w:r>
            <w:r>
              <w:rPr>
                <w:rFonts w:hint="eastAsia" w:ascii="宋体" w:hAnsi="宋体" w:eastAsia="宋体" w:cs="宋体"/>
                <w:spacing w:val="2"/>
                <w:sz w:val="21"/>
                <w:szCs w:val="21"/>
                <w:highlight w:val="no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8966" w:type="dxa"/>
            <w:gridSpan w:val="8"/>
            <w:vAlign w:val="top"/>
          </w:tcPr>
          <w:p>
            <w:pPr>
              <w:spacing w:before="197" w:line="233" w:lineRule="auto"/>
              <w:ind w:left="3799"/>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经</w:t>
            </w:r>
            <w:r>
              <w:rPr>
                <w:rFonts w:hint="eastAsia" w:ascii="宋体" w:hAnsi="宋体" w:eastAsia="宋体" w:cs="宋体"/>
                <w:spacing w:val="5"/>
                <w:sz w:val="21"/>
                <w:szCs w:val="21"/>
                <w:highlight w:val="none"/>
              </w:rPr>
              <w:t xml:space="preserve">         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1503" w:type="dxa"/>
            <w:vAlign w:val="top"/>
          </w:tcPr>
          <w:p>
            <w:pPr>
              <w:spacing w:before="301" w:line="330" w:lineRule="auto"/>
              <w:ind w:left="329" w:right="126" w:hanging="38"/>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_</w:t>
            </w:r>
            <w:r>
              <w:rPr>
                <w:rFonts w:hint="eastAsia" w:ascii="宋体" w:hAnsi="宋体" w:eastAsia="宋体" w:cs="宋体"/>
                <w:spacing w:val="6"/>
                <w:sz w:val="21"/>
                <w:szCs w:val="21"/>
                <w:highlight w:val="none"/>
              </w:rPr>
              <w:t>____年至</w:t>
            </w:r>
            <w:r>
              <w:rPr>
                <w:rFonts w:hint="eastAsia" w:ascii="宋体" w:hAnsi="宋体" w:eastAsia="宋体" w:cs="宋体"/>
                <w:sz w:val="21"/>
                <w:szCs w:val="21"/>
                <w:highlight w:val="none"/>
              </w:rPr>
              <w:t xml:space="preserve"> </w:t>
            </w:r>
            <w:r>
              <w:rPr>
                <w:rFonts w:hint="eastAsia" w:ascii="宋体" w:hAnsi="宋体" w:eastAsia="宋体" w:cs="宋体"/>
                <w:spacing w:val="10"/>
                <w:sz w:val="21"/>
                <w:szCs w:val="21"/>
                <w:highlight w:val="none"/>
              </w:rPr>
              <w:t>_</w:t>
            </w:r>
            <w:r>
              <w:rPr>
                <w:rFonts w:hint="eastAsia" w:ascii="宋体" w:hAnsi="宋体" w:eastAsia="宋体" w:cs="宋体"/>
                <w:spacing w:val="7"/>
                <w:sz w:val="21"/>
                <w:szCs w:val="21"/>
                <w:highlight w:val="none"/>
              </w:rPr>
              <w:t>____年</w:t>
            </w:r>
          </w:p>
        </w:tc>
        <w:tc>
          <w:tcPr>
            <w:tcW w:w="2442" w:type="dxa"/>
            <w:gridSpan w:val="3"/>
            <w:vAlign w:val="top"/>
          </w:tcPr>
          <w:p>
            <w:pPr>
              <w:spacing w:before="303" w:line="331" w:lineRule="auto"/>
              <w:ind w:left="1112" w:right="55" w:hanging="872"/>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参加过的工程项目</w:t>
            </w:r>
            <w:r>
              <w:rPr>
                <w:rFonts w:hint="eastAsia" w:ascii="宋体" w:hAnsi="宋体" w:eastAsia="宋体" w:cs="宋体"/>
                <w:spacing w:val="6"/>
                <w:sz w:val="21"/>
                <w:szCs w:val="21"/>
                <w:highlight w:val="none"/>
              </w:rPr>
              <w:t>名</w:t>
            </w:r>
            <w:r>
              <w:rPr>
                <w:rFonts w:hint="eastAsia" w:ascii="宋体" w:hAnsi="宋体" w:eastAsia="宋体" w:cs="宋体"/>
                <w:sz w:val="21"/>
                <w:szCs w:val="21"/>
                <w:highlight w:val="none"/>
              </w:rPr>
              <w:t xml:space="preserve"> 称</w:t>
            </w:r>
          </w:p>
        </w:tc>
        <w:tc>
          <w:tcPr>
            <w:tcW w:w="2283" w:type="dxa"/>
            <w:gridSpan w:val="2"/>
            <w:vAlign w:val="top"/>
          </w:tcPr>
          <w:p>
            <w:pPr>
              <w:spacing w:line="423" w:lineRule="auto"/>
              <w:rPr>
                <w:rFonts w:hint="eastAsia" w:ascii="宋体" w:hAnsi="宋体" w:eastAsia="宋体" w:cs="宋体"/>
                <w:sz w:val="21"/>
                <w:szCs w:val="21"/>
                <w:highlight w:val="none"/>
              </w:rPr>
            </w:pPr>
          </w:p>
          <w:p>
            <w:pPr>
              <w:spacing w:before="75" w:line="231" w:lineRule="auto"/>
              <w:ind w:left="760"/>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担</w:t>
            </w:r>
            <w:r>
              <w:rPr>
                <w:rFonts w:hint="eastAsia" w:ascii="宋体" w:hAnsi="宋体" w:eastAsia="宋体" w:cs="宋体"/>
                <w:spacing w:val="5"/>
                <w:sz w:val="21"/>
                <w:szCs w:val="21"/>
                <w:highlight w:val="none"/>
              </w:rPr>
              <w:t>任何职</w:t>
            </w:r>
          </w:p>
        </w:tc>
        <w:tc>
          <w:tcPr>
            <w:tcW w:w="2738" w:type="dxa"/>
            <w:gridSpan w:val="2"/>
            <w:vAlign w:val="top"/>
          </w:tcPr>
          <w:p>
            <w:pPr>
              <w:spacing w:line="423" w:lineRule="auto"/>
              <w:rPr>
                <w:rFonts w:hint="eastAsia" w:ascii="宋体" w:hAnsi="宋体" w:eastAsia="宋体" w:cs="宋体"/>
                <w:sz w:val="21"/>
                <w:szCs w:val="21"/>
                <w:highlight w:val="none"/>
              </w:rPr>
            </w:pPr>
          </w:p>
          <w:p>
            <w:pPr>
              <w:spacing w:before="75" w:line="231" w:lineRule="auto"/>
              <w:ind w:left="513"/>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发</w:t>
            </w:r>
            <w:r>
              <w:rPr>
                <w:rFonts w:hint="eastAsia" w:ascii="宋体" w:hAnsi="宋体" w:eastAsia="宋体" w:cs="宋体"/>
                <w:spacing w:val="7"/>
                <w:sz w:val="21"/>
                <w:szCs w:val="21"/>
                <w:highlight w:val="none"/>
              </w:rPr>
              <w:t>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03" w:type="dxa"/>
            <w:vAlign w:val="top"/>
          </w:tcPr>
          <w:p>
            <w:pPr>
              <w:rPr>
                <w:rFonts w:hint="eastAsia" w:ascii="宋体" w:hAnsi="宋体" w:eastAsia="宋体" w:cs="宋体"/>
                <w:sz w:val="21"/>
                <w:szCs w:val="21"/>
                <w:highlight w:val="none"/>
              </w:rPr>
            </w:pPr>
          </w:p>
        </w:tc>
        <w:tc>
          <w:tcPr>
            <w:tcW w:w="2442" w:type="dxa"/>
            <w:gridSpan w:val="3"/>
            <w:vAlign w:val="top"/>
          </w:tcPr>
          <w:p>
            <w:pPr>
              <w:rPr>
                <w:rFonts w:hint="eastAsia" w:ascii="宋体" w:hAnsi="宋体" w:eastAsia="宋体" w:cs="宋体"/>
                <w:sz w:val="21"/>
                <w:szCs w:val="21"/>
                <w:highlight w:val="none"/>
              </w:rPr>
            </w:pPr>
          </w:p>
        </w:tc>
        <w:tc>
          <w:tcPr>
            <w:tcW w:w="2283" w:type="dxa"/>
            <w:gridSpan w:val="2"/>
            <w:vAlign w:val="top"/>
          </w:tcPr>
          <w:p>
            <w:pPr>
              <w:rPr>
                <w:rFonts w:hint="eastAsia" w:ascii="宋体" w:hAnsi="宋体" w:eastAsia="宋体" w:cs="宋体"/>
                <w:sz w:val="21"/>
                <w:szCs w:val="21"/>
                <w:highlight w:val="none"/>
              </w:rPr>
            </w:pPr>
          </w:p>
        </w:tc>
        <w:tc>
          <w:tcPr>
            <w:tcW w:w="2738"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503" w:type="dxa"/>
            <w:vAlign w:val="top"/>
          </w:tcPr>
          <w:p>
            <w:pPr>
              <w:rPr>
                <w:rFonts w:hint="eastAsia" w:ascii="宋体" w:hAnsi="宋体" w:eastAsia="宋体" w:cs="宋体"/>
                <w:sz w:val="21"/>
                <w:szCs w:val="21"/>
                <w:highlight w:val="none"/>
              </w:rPr>
            </w:pPr>
          </w:p>
        </w:tc>
        <w:tc>
          <w:tcPr>
            <w:tcW w:w="2442" w:type="dxa"/>
            <w:gridSpan w:val="3"/>
            <w:vAlign w:val="top"/>
          </w:tcPr>
          <w:p>
            <w:pPr>
              <w:rPr>
                <w:rFonts w:hint="eastAsia" w:ascii="宋体" w:hAnsi="宋体" w:eastAsia="宋体" w:cs="宋体"/>
                <w:sz w:val="21"/>
                <w:szCs w:val="21"/>
                <w:highlight w:val="none"/>
              </w:rPr>
            </w:pPr>
          </w:p>
        </w:tc>
        <w:tc>
          <w:tcPr>
            <w:tcW w:w="2283" w:type="dxa"/>
            <w:gridSpan w:val="2"/>
            <w:vAlign w:val="top"/>
          </w:tcPr>
          <w:p>
            <w:pPr>
              <w:rPr>
                <w:rFonts w:hint="eastAsia" w:ascii="宋体" w:hAnsi="宋体" w:eastAsia="宋体" w:cs="宋体"/>
                <w:sz w:val="21"/>
                <w:szCs w:val="21"/>
                <w:highlight w:val="none"/>
              </w:rPr>
            </w:pPr>
          </w:p>
        </w:tc>
        <w:tc>
          <w:tcPr>
            <w:tcW w:w="2738"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503" w:type="dxa"/>
            <w:vAlign w:val="top"/>
          </w:tcPr>
          <w:p>
            <w:pPr>
              <w:rPr>
                <w:rFonts w:hint="eastAsia" w:ascii="宋体" w:hAnsi="宋体" w:eastAsia="宋体" w:cs="宋体"/>
                <w:sz w:val="21"/>
                <w:szCs w:val="21"/>
                <w:highlight w:val="none"/>
              </w:rPr>
            </w:pPr>
          </w:p>
        </w:tc>
        <w:tc>
          <w:tcPr>
            <w:tcW w:w="2442" w:type="dxa"/>
            <w:gridSpan w:val="3"/>
            <w:vAlign w:val="top"/>
          </w:tcPr>
          <w:p>
            <w:pPr>
              <w:rPr>
                <w:rFonts w:hint="eastAsia" w:ascii="宋体" w:hAnsi="宋体" w:eastAsia="宋体" w:cs="宋体"/>
                <w:sz w:val="21"/>
                <w:szCs w:val="21"/>
                <w:highlight w:val="none"/>
              </w:rPr>
            </w:pPr>
          </w:p>
        </w:tc>
        <w:tc>
          <w:tcPr>
            <w:tcW w:w="2283" w:type="dxa"/>
            <w:gridSpan w:val="2"/>
            <w:vAlign w:val="top"/>
          </w:tcPr>
          <w:p>
            <w:pPr>
              <w:rPr>
                <w:rFonts w:hint="eastAsia" w:ascii="宋体" w:hAnsi="宋体" w:eastAsia="宋体" w:cs="宋体"/>
                <w:sz w:val="21"/>
                <w:szCs w:val="21"/>
                <w:highlight w:val="none"/>
              </w:rPr>
            </w:pPr>
          </w:p>
        </w:tc>
        <w:tc>
          <w:tcPr>
            <w:tcW w:w="2738"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503" w:type="dxa"/>
            <w:vAlign w:val="top"/>
          </w:tcPr>
          <w:p>
            <w:pPr>
              <w:rPr>
                <w:rFonts w:hint="eastAsia" w:ascii="宋体" w:hAnsi="宋体" w:eastAsia="宋体" w:cs="宋体"/>
                <w:sz w:val="21"/>
                <w:szCs w:val="21"/>
                <w:highlight w:val="none"/>
              </w:rPr>
            </w:pPr>
          </w:p>
        </w:tc>
        <w:tc>
          <w:tcPr>
            <w:tcW w:w="2442" w:type="dxa"/>
            <w:gridSpan w:val="3"/>
            <w:vAlign w:val="top"/>
          </w:tcPr>
          <w:p>
            <w:pPr>
              <w:rPr>
                <w:rFonts w:hint="eastAsia" w:ascii="宋体" w:hAnsi="宋体" w:eastAsia="宋体" w:cs="宋体"/>
                <w:sz w:val="21"/>
                <w:szCs w:val="21"/>
                <w:highlight w:val="none"/>
              </w:rPr>
            </w:pPr>
          </w:p>
        </w:tc>
        <w:tc>
          <w:tcPr>
            <w:tcW w:w="2283" w:type="dxa"/>
            <w:gridSpan w:val="2"/>
            <w:vAlign w:val="top"/>
          </w:tcPr>
          <w:p>
            <w:pPr>
              <w:rPr>
                <w:rFonts w:hint="eastAsia" w:ascii="宋体" w:hAnsi="宋体" w:eastAsia="宋体" w:cs="宋体"/>
                <w:sz w:val="21"/>
                <w:szCs w:val="21"/>
                <w:highlight w:val="none"/>
              </w:rPr>
            </w:pPr>
          </w:p>
        </w:tc>
        <w:tc>
          <w:tcPr>
            <w:tcW w:w="2738"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503" w:type="dxa"/>
            <w:vAlign w:val="top"/>
          </w:tcPr>
          <w:p>
            <w:pPr>
              <w:rPr>
                <w:rFonts w:hint="eastAsia" w:ascii="宋体" w:hAnsi="宋体" w:eastAsia="宋体" w:cs="宋体"/>
                <w:sz w:val="21"/>
                <w:szCs w:val="21"/>
                <w:highlight w:val="none"/>
              </w:rPr>
            </w:pPr>
          </w:p>
        </w:tc>
        <w:tc>
          <w:tcPr>
            <w:tcW w:w="2442" w:type="dxa"/>
            <w:gridSpan w:val="3"/>
            <w:vAlign w:val="top"/>
          </w:tcPr>
          <w:p>
            <w:pPr>
              <w:rPr>
                <w:rFonts w:hint="eastAsia" w:ascii="宋体" w:hAnsi="宋体" w:eastAsia="宋体" w:cs="宋体"/>
                <w:sz w:val="21"/>
                <w:szCs w:val="21"/>
                <w:highlight w:val="none"/>
              </w:rPr>
            </w:pPr>
          </w:p>
        </w:tc>
        <w:tc>
          <w:tcPr>
            <w:tcW w:w="2283" w:type="dxa"/>
            <w:gridSpan w:val="2"/>
            <w:vAlign w:val="top"/>
          </w:tcPr>
          <w:p>
            <w:pPr>
              <w:rPr>
                <w:rFonts w:hint="eastAsia" w:ascii="宋体" w:hAnsi="宋体" w:eastAsia="宋体" w:cs="宋体"/>
                <w:sz w:val="21"/>
                <w:szCs w:val="21"/>
                <w:highlight w:val="none"/>
              </w:rPr>
            </w:pPr>
          </w:p>
        </w:tc>
        <w:tc>
          <w:tcPr>
            <w:tcW w:w="2738" w:type="dxa"/>
            <w:gridSpan w:val="2"/>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3422" w:type="dxa"/>
            <w:gridSpan w:val="3"/>
            <w:vAlign w:val="top"/>
          </w:tcPr>
          <w:p>
            <w:pPr>
              <w:spacing w:before="194" w:line="231" w:lineRule="auto"/>
              <w:ind w:left="1333"/>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获奖情况</w:t>
            </w:r>
          </w:p>
        </w:tc>
        <w:tc>
          <w:tcPr>
            <w:tcW w:w="5544" w:type="dxa"/>
            <w:gridSpan w:val="5"/>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503" w:type="dxa"/>
            <w:vMerge w:val="restart"/>
            <w:tcBorders>
              <w:bottom w:val="nil"/>
            </w:tcBorders>
            <w:vAlign w:val="top"/>
          </w:tcPr>
          <w:p>
            <w:pPr>
              <w:spacing w:line="453" w:lineRule="auto"/>
              <w:rPr>
                <w:rFonts w:hint="eastAsia" w:ascii="宋体" w:hAnsi="宋体" w:eastAsia="宋体" w:cs="宋体"/>
                <w:sz w:val="21"/>
                <w:szCs w:val="21"/>
                <w:highlight w:val="none"/>
              </w:rPr>
            </w:pPr>
          </w:p>
          <w:p>
            <w:pPr>
              <w:spacing w:before="75" w:line="333" w:lineRule="auto"/>
              <w:ind w:left="447" w:right="66" w:hanging="158"/>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目前任职</w:t>
            </w:r>
            <w:r>
              <w:rPr>
                <w:rFonts w:hint="eastAsia" w:ascii="宋体" w:hAnsi="宋体" w:eastAsia="宋体" w:cs="宋体"/>
                <w:spacing w:val="-1"/>
                <w:sz w:val="21"/>
                <w:szCs w:val="21"/>
                <w:highlight w:val="none"/>
              </w:rPr>
              <w:t>项</w:t>
            </w:r>
            <w:r>
              <w:rPr>
                <w:rFonts w:hint="eastAsia" w:ascii="宋体" w:hAnsi="宋体" w:eastAsia="宋体" w:cs="宋体"/>
                <w:sz w:val="21"/>
                <w:szCs w:val="21"/>
                <w:highlight w:val="none"/>
              </w:rPr>
              <w:t xml:space="preserve"> </w:t>
            </w:r>
            <w:r>
              <w:rPr>
                <w:rFonts w:hint="eastAsia" w:ascii="宋体" w:hAnsi="宋体" w:eastAsia="宋体" w:cs="宋体"/>
                <w:spacing w:val="-11"/>
                <w:sz w:val="21"/>
                <w:szCs w:val="21"/>
                <w:highlight w:val="none"/>
              </w:rPr>
              <w:t>目</w:t>
            </w:r>
            <w:r>
              <w:rPr>
                <w:rFonts w:hint="eastAsia" w:ascii="宋体" w:hAnsi="宋体" w:eastAsia="宋体" w:cs="宋体"/>
                <w:spacing w:val="-9"/>
                <w:sz w:val="21"/>
                <w:szCs w:val="21"/>
                <w:highlight w:val="none"/>
              </w:rPr>
              <w:t>状况</w:t>
            </w:r>
          </w:p>
        </w:tc>
        <w:tc>
          <w:tcPr>
            <w:tcW w:w="1919" w:type="dxa"/>
            <w:gridSpan w:val="2"/>
            <w:vAlign w:val="top"/>
          </w:tcPr>
          <w:p>
            <w:pPr>
              <w:spacing w:before="93" w:line="229" w:lineRule="auto"/>
              <w:ind w:left="576"/>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项目名</w:t>
            </w:r>
            <w:r>
              <w:rPr>
                <w:rFonts w:hint="eastAsia" w:ascii="宋体" w:hAnsi="宋体" w:eastAsia="宋体" w:cs="宋体"/>
                <w:spacing w:val="5"/>
                <w:sz w:val="21"/>
                <w:szCs w:val="21"/>
                <w:highlight w:val="none"/>
              </w:rPr>
              <w:t>称</w:t>
            </w:r>
          </w:p>
        </w:tc>
        <w:tc>
          <w:tcPr>
            <w:tcW w:w="5544" w:type="dxa"/>
            <w:gridSpan w:val="5"/>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1503" w:type="dxa"/>
            <w:vMerge w:val="continue"/>
            <w:tcBorders>
              <w:top w:val="nil"/>
              <w:bottom w:val="nil"/>
            </w:tcBorders>
            <w:vAlign w:val="top"/>
          </w:tcPr>
          <w:p>
            <w:pPr>
              <w:rPr>
                <w:rFonts w:hint="eastAsia" w:ascii="宋体" w:hAnsi="宋体" w:eastAsia="宋体" w:cs="宋体"/>
                <w:sz w:val="21"/>
                <w:szCs w:val="21"/>
                <w:highlight w:val="none"/>
              </w:rPr>
            </w:pPr>
          </w:p>
        </w:tc>
        <w:tc>
          <w:tcPr>
            <w:tcW w:w="1919" w:type="dxa"/>
            <w:gridSpan w:val="2"/>
            <w:vAlign w:val="top"/>
          </w:tcPr>
          <w:p>
            <w:pPr>
              <w:spacing w:before="92" w:line="230" w:lineRule="auto"/>
              <w:ind w:left="577"/>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担</w:t>
            </w:r>
            <w:r>
              <w:rPr>
                <w:rFonts w:hint="eastAsia" w:ascii="宋体" w:hAnsi="宋体" w:eastAsia="宋体" w:cs="宋体"/>
                <w:spacing w:val="5"/>
                <w:sz w:val="21"/>
                <w:szCs w:val="21"/>
                <w:highlight w:val="none"/>
              </w:rPr>
              <w:t>任职位</w:t>
            </w:r>
          </w:p>
        </w:tc>
        <w:tc>
          <w:tcPr>
            <w:tcW w:w="5544" w:type="dxa"/>
            <w:gridSpan w:val="5"/>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03" w:type="dxa"/>
            <w:vMerge w:val="continue"/>
            <w:tcBorders>
              <w:top w:val="nil"/>
            </w:tcBorders>
            <w:vAlign w:val="top"/>
          </w:tcPr>
          <w:p>
            <w:pPr>
              <w:rPr>
                <w:rFonts w:hint="eastAsia" w:ascii="宋体" w:hAnsi="宋体" w:eastAsia="宋体" w:cs="宋体"/>
                <w:sz w:val="21"/>
                <w:szCs w:val="21"/>
                <w:highlight w:val="none"/>
              </w:rPr>
            </w:pPr>
          </w:p>
        </w:tc>
        <w:tc>
          <w:tcPr>
            <w:tcW w:w="1919" w:type="dxa"/>
            <w:gridSpan w:val="2"/>
            <w:vAlign w:val="top"/>
          </w:tcPr>
          <w:p>
            <w:pPr>
              <w:spacing w:before="94" w:line="231" w:lineRule="auto"/>
              <w:ind w:left="339"/>
              <w:rPr>
                <w:rFonts w:hint="eastAsia" w:ascii="宋体" w:hAnsi="宋体" w:eastAsia="宋体" w:cs="宋体"/>
                <w:sz w:val="21"/>
                <w:szCs w:val="21"/>
                <w:highlight w:val="none"/>
              </w:rPr>
            </w:pPr>
            <w:r>
              <w:rPr>
                <w:rFonts w:hint="eastAsia" w:ascii="宋体" w:hAnsi="宋体" w:eastAsia="宋体" w:cs="宋体"/>
                <w:spacing w:val="10"/>
                <w:sz w:val="21"/>
                <w:szCs w:val="21"/>
                <w:highlight w:val="none"/>
              </w:rPr>
              <w:t>可</w:t>
            </w:r>
            <w:r>
              <w:rPr>
                <w:rFonts w:hint="eastAsia" w:ascii="宋体" w:hAnsi="宋体" w:eastAsia="宋体" w:cs="宋体"/>
                <w:spacing w:val="6"/>
                <w:sz w:val="21"/>
                <w:szCs w:val="21"/>
                <w:highlight w:val="none"/>
              </w:rPr>
              <w:t>以调离日期</w:t>
            </w:r>
          </w:p>
        </w:tc>
        <w:tc>
          <w:tcPr>
            <w:tcW w:w="5544" w:type="dxa"/>
            <w:gridSpan w:val="5"/>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8" w:hRule="atLeast"/>
        </w:trPr>
        <w:tc>
          <w:tcPr>
            <w:tcW w:w="1503" w:type="dxa"/>
            <w:vAlign w:val="top"/>
          </w:tcPr>
          <w:p>
            <w:pPr>
              <w:spacing w:line="277" w:lineRule="auto"/>
              <w:rPr>
                <w:rFonts w:hint="eastAsia" w:ascii="宋体" w:hAnsi="宋体" w:eastAsia="宋体" w:cs="宋体"/>
                <w:sz w:val="21"/>
                <w:szCs w:val="21"/>
                <w:highlight w:val="none"/>
              </w:rPr>
            </w:pPr>
          </w:p>
          <w:p>
            <w:pPr>
              <w:spacing w:line="277" w:lineRule="auto"/>
              <w:rPr>
                <w:rFonts w:hint="eastAsia" w:ascii="宋体" w:hAnsi="宋体" w:eastAsia="宋体" w:cs="宋体"/>
                <w:sz w:val="21"/>
                <w:szCs w:val="21"/>
                <w:highlight w:val="none"/>
              </w:rPr>
            </w:pPr>
          </w:p>
          <w:p>
            <w:pPr>
              <w:spacing w:before="74" w:line="233" w:lineRule="auto"/>
              <w:ind w:left="309"/>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备</w:t>
            </w:r>
            <w:r>
              <w:rPr>
                <w:rFonts w:hint="eastAsia" w:ascii="宋体" w:hAnsi="宋体" w:eastAsia="宋体" w:cs="宋体"/>
                <w:spacing w:val="5"/>
                <w:sz w:val="21"/>
                <w:szCs w:val="21"/>
                <w:highlight w:val="none"/>
              </w:rPr>
              <w:t xml:space="preserve">     注</w:t>
            </w:r>
          </w:p>
        </w:tc>
        <w:tc>
          <w:tcPr>
            <w:tcW w:w="7463" w:type="dxa"/>
            <w:gridSpan w:val="7"/>
            <w:vAlign w:val="top"/>
          </w:tcPr>
          <w:p>
            <w:pPr>
              <w:rPr>
                <w:rFonts w:hint="eastAsia" w:ascii="宋体" w:hAnsi="宋体" w:eastAsia="宋体" w:cs="宋体"/>
                <w:sz w:val="21"/>
                <w:szCs w:val="21"/>
                <w:highlight w:val="none"/>
              </w:rPr>
            </w:pPr>
          </w:p>
        </w:tc>
      </w:tr>
    </w:tbl>
    <w:p>
      <w:pPr>
        <w:spacing w:before="109" w:line="238" w:lineRule="auto"/>
        <w:ind w:left="54"/>
        <w:rPr>
          <w:rFonts w:hint="eastAsia" w:ascii="宋体" w:hAnsi="宋体" w:eastAsia="宋体" w:cs="宋体"/>
          <w:sz w:val="21"/>
          <w:szCs w:val="21"/>
          <w:highlight w:val="none"/>
        </w:rPr>
      </w:pPr>
      <w:r>
        <w:rPr>
          <w:rFonts w:hint="eastAsia" w:ascii="宋体" w:hAnsi="宋体" w:eastAsia="宋体" w:cs="宋体"/>
          <w:spacing w:val="18"/>
          <w:sz w:val="21"/>
          <w:szCs w:val="21"/>
          <w:highlight w:val="none"/>
        </w:rPr>
        <w:t>注</w:t>
      </w:r>
      <w:r>
        <w:rPr>
          <w:rFonts w:hint="eastAsia" w:ascii="宋体" w:hAnsi="宋体" w:eastAsia="宋体" w:cs="宋体"/>
          <w:spacing w:val="14"/>
          <w:sz w:val="21"/>
          <w:szCs w:val="21"/>
          <w:highlight w:val="none"/>
        </w:rPr>
        <w:t>：</w:t>
      </w:r>
      <w:r>
        <w:rPr>
          <w:rFonts w:hint="eastAsia" w:ascii="宋体" w:hAnsi="宋体" w:eastAsia="宋体" w:cs="宋体"/>
          <w:spacing w:val="9"/>
          <w:sz w:val="21"/>
          <w:szCs w:val="21"/>
          <w:highlight w:val="none"/>
        </w:rPr>
        <w:t>本表后应附项目经理、项目总工及其他人员的身份证、职称资格证书以及资格审</w:t>
      </w:r>
    </w:p>
    <w:p>
      <w:pPr>
        <w:spacing w:before="95" w:line="320" w:lineRule="auto"/>
        <w:ind w:left="539" w:right="59" w:hanging="9"/>
        <w:rPr>
          <w:rFonts w:hint="eastAsia" w:ascii="宋体" w:hAnsi="宋体" w:eastAsia="宋体" w:cs="宋体"/>
          <w:sz w:val="21"/>
          <w:szCs w:val="21"/>
          <w:highlight w:val="none"/>
        </w:rPr>
      </w:pPr>
      <w:r>
        <w:rPr>
          <w:rFonts w:hint="eastAsia" w:ascii="宋体" w:hAnsi="宋体" w:eastAsia="宋体" w:cs="宋体"/>
          <w:spacing w:val="17"/>
          <w:sz w:val="21"/>
          <w:szCs w:val="21"/>
          <w:highlight w:val="none"/>
        </w:rPr>
        <w:t>查</w:t>
      </w:r>
      <w:r>
        <w:rPr>
          <w:rFonts w:hint="eastAsia" w:ascii="宋体" w:hAnsi="宋体" w:eastAsia="宋体" w:cs="宋体"/>
          <w:spacing w:val="9"/>
          <w:sz w:val="21"/>
          <w:szCs w:val="21"/>
          <w:highlight w:val="none"/>
        </w:rPr>
        <w:t>条件所要求的其他相关证书(如建造师注册证书、安全生产考核合格证书等)的</w:t>
      </w:r>
      <w:r>
        <w:rPr>
          <w:rFonts w:hint="eastAsia" w:ascii="宋体" w:hAnsi="宋体" w:eastAsia="宋体" w:cs="宋体"/>
          <w:spacing w:val="16"/>
          <w:sz w:val="21"/>
          <w:szCs w:val="21"/>
          <w:highlight w:val="none"/>
        </w:rPr>
        <w:t>复</w:t>
      </w:r>
      <w:r>
        <w:rPr>
          <w:rFonts w:hint="eastAsia" w:ascii="宋体" w:hAnsi="宋体" w:eastAsia="宋体" w:cs="宋体"/>
          <w:spacing w:val="9"/>
          <w:sz w:val="21"/>
          <w:szCs w:val="21"/>
          <w:highlight w:val="none"/>
        </w:rPr>
        <w:t>印件，并应提供其担任类似项目的项目经理和项目总工的相关业绩证明材料复</w:t>
      </w:r>
      <w:r>
        <w:rPr>
          <w:rFonts w:hint="eastAsia" w:ascii="宋体" w:hAnsi="宋体" w:eastAsia="宋体" w:cs="宋体"/>
          <w:spacing w:val="16"/>
          <w:sz w:val="21"/>
          <w:szCs w:val="21"/>
          <w:highlight w:val="none"/>
        </w:rPr>
        <w:t>印</w:t>
      </w:r>
      <w:r>
        <w:rPr>
          <w:rFonts w:hint="eastAsia" w:ascii="宋体" w:hAnsi="宋体" w:eastAsia="宋体" w:cs="宋体"/>
          <w:spacing w:val="9"/>
          <w:sz w:val="21"/>
          <w:szCs w:val="21"/>
          <w:highlight w:val="none"/>
        </w:rPr>
        <w:t>件。提供人员业绩时，证明材料复印件应附在对应人员资历表后。在最后一张</w:t>
      </w:r>
      <w:r>
        <w:rPr>
          <w:rFonts w:hint="eastAsia" w:ascii="宋体" w:hAnsi="宋体" w:eastAsia="宋体" w:cs="宋体"/>
          <w:sz w:val="21"/>
          <w:szCs w:val="21"/>
          <w:highlight w:val="none"/>
        </w:rPr>
        <w:t xml:space="preserve"> </w:t>
      </w:r>
      <w:r>
        <w:rPr>
          <w:rFonts w:hint="eastAsia" w:ascii="宋体" w:hAnsi="宋体" w:eastAsia="宋体" w:cs="宋体"/>
          <w:spacing w:val="16"/>
          <w:sz w:val="21"/>
          <w:szCs w:val="21"/>
          <w:highlight w:val="none"/>
        </w:rPr>
        <w:t>资</w:t>
      </w:r>
      <w:r>
        <w:rPr>
          <w:rFonts w:hint="eastAsia" w:ascii="宋体" w:hAnsi="宋体" w:eastAsia="宋体" w:cs="宋体"/>
          <w:spacing w:val="8"/>
          <w:sz w:val="21"/>
          <w:szCs w:val="21"/>
          <w:highlight w:val="none"/>
        </w:rPr>
        <w:t>历表后，应附拟投入本项目所有人员的社保证明。</w:t>
      </w:r>
    </w:p>
    <w:p>
      <w:pPr>
        <w:rPr>
          <w:rFonts w:hint="eastAsia" w:ascii="宋体" w:hAnsi="宋体" w:eastAsia="宋体" w:cs="宋体"/>
          <w:sz w:val="21"/>
          <w:szCs w:val="21"/>
          <w:highlight w:val="none"/>
        </w:rPr>
        <w:sectPr>
          <w:footerReference r:id="rId9" w:type="default"/>
          <w:pgSz w:w="11906" w:h="16839"/>
          <w:pgMar w:top="400" w:right="1493" w:bottom="655" w:left="1441" w:header="0" w:footer="447" w:gutter="0"/>
          <w:pgBorders>
            <w:top w:val="none" w:sz="0" w:space="0"/>
            <w:left w:val="none" w:sz="0" w:space="0"/>
            <w:bottom w:val="none" w:sz="0" w:space="0"/>
            <w:right w:val="none" w:sz="0" w:space="0"/>
          </w:pgBorders>
          <w:pgNumType w:fmt="decimal"/>
          <w:cols w:space="720" w:num="1"/>
        </w:sectPr>
      </w:pPr>
    </w:p>
    <w:p>
      <w:pPr>
        <w:spacing w:line="252" w:lineRule="auto"/>
        <w:rPr>
          <w:rFonts w:hint="eastAsia" w:ascii="宋体" w:hAnsi="宋体" w:eastAsia="宋体" w:cs="宋体"/>
          <w:sz w:val="21"/>
          <w:szCs w:val="21"/>
          <w:highlight w:val="none"/>
        </w:rPr>
      </w:pPr>
    </w:p>
    <w:p>
      <w:pPr>
        <w:spacing w:line="252" w:lineRule="auto"/>
        <w:rPr>
          <w:rFonts w:hint="eastAsia" w:ascii="宋体" w:hAnsi="宋体" w:eastAsia="宋体" w:cs="宋体"/>
          <w:sz w:val="21"/>
          <w:szCs w:val="21"/>
          <w:highlight w:val="none"/>
        </w:rPr>
      </w:pPr>
    </w:p>
    <w:p>
      <w:pPr>
        <w:spacing w:line="252" w:lineRule="auto"/>
        <w:rPr>
          <w:rFonts w:hint="eastAsia" w:ascii="宋体" w:hAnsi="宋体" w:eastAsia="宋体" w:cs="宋体"/>
          <w:sz w:val="21"/>
          <w:szCs w:val="21"/>
          <w:highlight w:val="none"/>
        </w:rPr>
      </w:pPr>
    </w:p>
    <w:p>
      <w:pPr>
        <w:pStyle w:val="59"/>
        <w:outlineLvl w:val="1"/>
        <w:rPr>
          <w:rFonts w:hint="eastAsia" w:ascii="宋体" w:hAnsi="宋体" w:eastAsia="宋体" w:cs="宋体"/>
          <w:color w:val="auto"/>
          <w:sz w:val="21"/>
          <w:szCs w:val="21"/>
          <w:highlight w:val="none"/>
          <w:lang w:val="en-US" w:eastAsia="zh-CN"/>
        </w:rPr>
      </w:pPr>
      <w:bookmarkStart w:id="64" w:name="_Toc256000051"/>
    </w:p>
    <w:p>
      <w:pPr>
        <w:pStyle w:val="59"/>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、其他资格证明文件</w:t>
      </w:r>
      <w:bookmarkEnd w:id="64"/>
    </w:p>
    <w:p>
      <w:pPr>
        <w:pStyle w:val="59"/>
        <w:outlineLvl w:val="1"/>
        <w:rPr>
          <w:rFonts w:hint="eastAsia" w:ascii="宋体" w:hAnsi="宋体" w:eastAsia="宋体" w:cs="宋体"/>
          <w:color w:val="auto"/>
          <w:sz w:val="21"/>
          <w:szCs w:val="21"/>
          <w:highlight w:val="none"/>
        </w:rPr>
      </w:pPr>
    </w:p>
    <w:p>
      <w:pPr>
        <w:pStyle w:val="59"/>
        <w:spacing w:line="360" w:lineRule="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1、必须是中华人民共和国境内注册并取得营业执照独立核算的法人。</w:t>
      </w:r>
    </w:p>
    <w:p>
      <w:pPr>
        <w:pStyle w:val="59"/>
        <w:spacing w:line="360" w:lineRule="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2、投标人需具备市政公用工程施工总承包资质叁级（含叁级）以上；具有合格有效的施工企业安全生产许可证；</w:t>
      </w:r>
    </w:p>
    <w:p>
      <w:pPr>
        <w:pStyle w:val="59"/>
        <w:spacing w:line="360" w:lineRule="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3、负责人须具有市政公用工程专业二级及以上（含二级）注册建造师执业资格；具备有效的安全生产考核合格证书（B类），且未担任其他在施建设工程项目的项目经理。</w:t>
      </w:r>
    </w:p>
    <w:p>
      <w:pPr>
        <w:pStyle w:val="59"/>
        <w:spacing w:line="360" w:lineRule="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 xml:space="preserve">4、本项目不接受联合体投标  </w:t>
      </w:r>
    </w:p>
    <w:p>
      <w:pPr>
        <w:pStyle w:val="59"/>
        <w:spacing w:line="360" w:lineRule="auto"/>
        <w:outlineLvl w:val="1"/>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5、必须提供近期“信用中国”、“中国政府采购网”以上2个网站查询截图并加盖公章；被列入失信被执行人、重大税收违法案件当事人名单以及政府采购严重违法失信行为记录名单的投标单位，将拒绝其参加本次政府采购活动。</w:t>
      </w:r>
    </w:p>
    <w:p>
      <w:pPr>
        <w:pStyle w:val="60"/>
        <w:spacing w:line="360" w:lineRule="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6、投标保证金缴纳凭证（提供复印件或扫描件）及基本户开户许可证；</w:t>
      </w:r>
    </w:p>
    <w:p>
      <w:pPr>
        <w:pStyle w:val="60"/>
        <w:spacing w:line="360" w:lineRule="auto"/>
        <w:rPr>
          <w:rFonts w:hint="default" w:ascii="宋体" w:hAnsi="宋体" w:eastAsia="宋体" w:cs="宋体"/>
          <w:b w:val="0"/>
          <w:color w:val="auto"/>
          <w:kern w:val="2"/>
          <w:sz w:val="21"/>
          <w:szCs w:val="21"/>
          <w:highlight w:val="none"/>
          <w:lang w:val="en-US" w:eastAsia="zh-CN" w:bidi="ar-SA"/>
        </w:rPr>
      </w:pPr>
      <w:r>
        <w:rPr>
          <w:rFonts w:hint="eastAsia" w:ascii="宋体" w:hAnsi="宋体" w:cs="宋体"/>
          <w:b w:val="0"/>
          <w:color w:val="auto"/>
          <w:kern w:val="2"/>
          <w:sz w:val="21"/>
          <w:szCs w:val="21"/>
          <w:highlight w:val="none"/>
          <w:lang w:val="en-US" w:eastAsia="zh-CN" w:bidi="ar-SA"/>
        </w:rPr>
        <w:t>7、供应商认为需要提供的其他相关文件</w:t>
      </w:r>
    </w:p>
    <w:p>
      <w:pPr>
        <w:pStyle w:val="60"/>
        <w:spacing w:line="360" w:lineRule="auto"/>
        <w:rPr>
          <w:rFonts w:hint="eastAsia" w:ascii="宋体" w:hAnsi="宋体" w:eastAsia="宋体" w:cs="宋体"/>
          <w:b w:val="0"/>
          <w:color w:val="auto"/>
          <w:kern w:val="2"/>
          <w:sz w:val="21"/>
          <w:szCs w:val="21"/>
          <w:highlight w:val="none"/>
          <w:lang w:val="en-US" w:eastAsia="zh-CN" w:bidi="ar-SA"/>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30"/>
        <w:keepNext w:val="0"/>
        <w:keepLines w:val="0"/>
        <w:pageBreakBefore w:val="0"/>
        <w:widowControl w:val="0"/>
        <w:kinsoku/>
        <w:wordWrap/>
        <w:overflowPunct/>
        <w:topLinePunct w:val="0"/>
        <w:bidi w:val="0"/>
        <w:snapToGrid/>
        <w:spacing w:line="360" w:lineRule="auto"/>
        <w:ind w:firstLine="210" w:firstLineChars="100"/>
        <w:textAlignment w:val="auto"/>
        <w:outlineLvl w:val="0"/>
        <w:rPr>
          <w:rFonts w:hint="eastAsia" w:ascii="宋体" w:hAnsi="宋体" w:eastAsia="宋体" w:cs="宋体"/>
          <w:color w:val="auto"/>
          <w:sz w:val="21"/>
          <w:szCs w:val="21"/>
          <w:highlight w:val="none"/>
        </w:rPr>
      </w:pPr>
    </w:p>
    <w:p>
      <w:pPr>
        <w:pStyle w:val="59"/>
        <w:numPr>
          <w:ilvl w:val="0"/>
          <w:numId w:val="0"/>
        </w:numPr>
        <w:spacing w:line="360" w:lineRule="auto"/>
        <w:outlineLvl w:val="1"/>
        <w:rPr>
          <w:rFonts w:hint="eastAsia" w:ascii="宋体" w:hAnsi="宋体" w:eastAsia="宋体" w:cs="宋体"/>
          <w:b/>
          <w:color w:val="auto"/>
          <w:sz w:val="21"/>
          <w:szCs w:val="21"/>
          <w:highlight w:val="none"/>
          <w:lang w:val="en-US" w:eastAsia="zh-CN" w:bidi="ar-SA"/>
        </w:rPr>
      </w:pPr>
      <w:bookmarkStart w:id="65" w:name="_Toc256000054"/>
      <w:r>
        <w:rPr>
          <w:rFonts w:hint="eastAsia" w:ascii="宋体" w:hAnsi="宋体" w:eastAsia="宋体" w:cs="宋体"/>
          <w:b/>
          <w:color w:val="auto"/>
          <w:sz w:val="21"/>
          <w:szCs w:val="21"/>
          <w:highlight w:val="none"/>
          <w:lang w:val="en-US" w:eastAsia="zh-CN" w:bidi="ar-SA"/>
        </w:rPr>
        <w:t>八、不参与围标串标承诺书</w:t>
      </w:r>
      <w:bookmarkEnd w:id="65"/>
    </w:p>
    <w:p>
      <w:pPr>
        <w:pStyle w:val="60"/>
        <w:spacing w:line="640" w:lineRule="exact"/>
        <w:jc w:val="left"/>
        <w:rPr>
          <w:rFonts w:hint="eastAsia" w:ascii="宋体" w:hAnsi="宋体" w:eastAsia="宋体" w:cs="宋体"/>
          <w:color w:val="auto"/>
          <w:sz w:val="21"/>
          <w:szCs w:val="21"/>
          <w:highlight w:val="none"/>
        </w:rPr>
      </w:pPr>
    </w:p>
    <w:p>
      <w:pPr>
        <w:pStyle w:val="59"/>
        <w:numPr>
          <w:ilvl w:val="0"/>
          <w:numId w:val="0"/>
        </w:numPr>
        <w:spacing w:line="360" w:lineRule="auto"/>
        <w:jc w:val="center"/>
        <w:outlineLvl w:val="1"/>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bidi="ar-SA"/>
        </w:rPr>
        <w:t>不参与围标串标承诺书</w:t>
      </w:r>
    </w:p>
    <w:p>
      <w:pPr>
        <w:pStyle w:val="60"/>
        <w:spacing w:line="6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本人作为</w:t>
      </w:r>
      <w:r>
        <w:rPr>
          <w:rFonts w:hint="eastAsia" w:ascii="宋体" w:hAnsi="宋体" w:eastAsia="宋体" w:cs="宋体"/>
          <w:color w:val="auto"/>
          <w:sz w:val="21"/>
          <w:szCs w:val="21"/>
          <w:highlight w:val="none"/>
          <w:u w:val="single"/>
        </w:rPr>
        <w:t xml:space="preserve">（单位名称）                    </w:t>
      </w:r>
      <w:r>
        <w:rPr>
          <w:rFonts w:hint="eastAsia" w:ascii="宋体" w:hAnsi="宋体" w:eastAsia="宋体" w:cs="宋体"/>
          <w:color w:val="auto"/>
          <w:sz w:val="21"/>
          <w:szCs w:val="21"/>
          <w:highlight w:val="none"/>
        </w:rPr>
        <w:t>的法人，清楚知晓我公司本项目投标活动，对以下事项作出承诺：</w:t>
      </w:r>
    </w:p>
    <w:p>
      <w:pPr>
        <w:pStyle w:val="60"/>
        <w:spacing w:line="6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一、我单位遵循公开、公平、公正、诚实守信的原则，依法依规参与本项目竞标。</w:t>
      </w:r>
    </w:p>
    <w:p>
      <w:pPr>
        <w:pStyle w:val="60"/>
        <w:spacing w:line="6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二、我单位在本项目招标投标活动中，未参与围标串标。</w:t>
      </w:r>
    </w:p>
    <w:p>
      <w:pPr>
        <w:pStyle w:val="60"/>
        <w:spacing w:line="64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三、我单位如被查实在本项目招标投标活动中存在围标串标的，递交投标文件行为作为实施串通投标违法行为的关键环节，本人承担直接责任人员法律责任，接受相应行政处罚和失信惩戒。</w:t>
      </w:r>
    </w:p>
    <w:p>
      <w:pPr>
        <w:pStyle w:val="60"/>
        <w:spacing w:line="6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项目名称：    </w:t>
      </w:r>
    </w:p>
    <w:p>
      <w:pPr>
        <w:pStyle w:val="60"/>
        <w:spacing w:line="6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项目编号：    </w:t>
      </w:r>
    </w:p>
    <w:p>
      <w:pPr>
        <w:pStyle w:val="60"/>
        <w:spacing w:line="64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供应商单位名称（签章）：</w:t>
      </w:r>
    </w:p>
    <w:p>
      <w:pPr>
        <w:pStyle w:val="60"/>
        <w:spacing w:line="64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供应商法人（签章）：</w:t>
      </w:r>
    </w:p>
    <w:p>
      <w:pPr>
        <w:pStyle w:val="60"/>
        <w:spacing w:line="64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年   月  日                                 </w:t>
      </w:r>
    </w:p>
    <w:p>
      <w:pPr>
        <w:pStyle w:val="60"/>
        <w:spacing w:line="640" w:lineRule="exact"/>
        <w:jc w:val="left"/>
        <w:rPr>
          <w:rFonts w:hint="eastAsia" w:ascii="宋体" w:hAnsi="宋体" w:eastAsia="宋体" w:cs="宋体"/>
          <w:color w:val="auto"/>
          <w:sz w:val="21"/>
          <w:szCs w:val="21"/>
          <w:highlight w:val="none"/>
        </w:rPr>
      </w:pPr>
    </w:p>
    <w:p>
      <w:pPr>
        <w:pStyle w:val="60"/>
        <w:spacing w:line="640" w:lineRule="exact"/>
        <w:ind w:firstLine="3570" w:firstLineChars="17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61"/>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66" w:name="_Toc256000055"/>
    </w:p>
    <w:bookmarkEnd w:id="66"/>
    <w:p>
      <w:pPr>
        <w:pStyle w:val="66"/>
        <w:outlineLvl w:val="1"/>
        <w:rPr>
          <w:rFonts w:hint="eastAsia" w:ascii="宋体" w:hAnsi="宋体" w:eastAsia="宋体" w:cs="宋体"/>
          <w:color w:val="auto"/>
          <w:sz w:val="21"/>
          <w:szCs w:val="21"/>
          <w:highlight w:val="none"/>
        </w:rPr>
      </w:pPr>
      <w:bookmarkStart w:id="67" w:name="_Toc256000060"/>
    </w:p>
    <w:p>
      <w:pPr>
        <w:pStyle w:val="66"/>
        <w:outlineLvl w:val="1"/>
        <w:rPr>
          <w:rFonts w:hint="eastAsia" w:ascii="宋体" w:hAnsi="宋体" w:eastAsia="宋体" w:cs="宋体"/>
          <w:color w:val="auto"/>
          <w:sz w:val="21"/>
          <w:szCs w:val="21"/>
          <w:highlight w:val="none"/>
        </w:rPr>
      </w:pPr>
    </w:p>
    <w:p>
      <w:pPr>
        <w:pStyle w:val="66"/>
        <w:outlineLvl w:val="1"/>
        <w:rPr>
          <w:rFonts w:hint="eastAsia" w:ascii="宋体" w:hAnsi="宋体" w:eastAsia="宋体" w:cs="宋体"/>
          <w:color w:val="auto"/>
          <w:sz w:val="21"/>
          <w:szCs w:val="21"/>
          <w:highlight w:val="none"/>
        </w:rPr>
      </w:pPr>
    </w:p>
    <w:p>
      <w:pPr>
        <w:pStyle w:val="66"/>
        <w:outlineLvl w:val="1"/>
        <w:rPr>
          <w:rFonts w:hint="eastAsia" w:ascii="宋体" w:hAnsi="宋体" w:eastAsia="宋体" w:cs="宋体"/>
          <w:color w:val="auto"/>
          <w:sz w:val="21"/>
          <w:szCs w:val="21"/>
          <w:highlight w:val="none"/>
        </w:rPr>
      </w:pPr>
    </w:p>
    <w:p>
      <w:pPr>
        <w:pStyle w:val="66"/>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、联合体协议书格式（如有）</w:t>
      </w:r>
      <w:bookmarkEnd w:id="67"/>
    </w:p>
    <w:p>
      <w:pPr>
        <w:pStyle w:val="67"/>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联合体协议</w:t>
      </w:r>
      <w:r>
        <w:rPr>
          <w:rFonts w:hint="eastAsia" w:ascii="宋体" w:hAnsi="宋体" w:eastAsia="宋体" w:cs="宋体"/>
          <w:b/>
          <w:bCs/>
          <w:color w:val="auto"/>
          <w:sz w:val="21"/>
          <w:szCs w:val="21"/>
          <w:highlight w:val="none"/>
        </w:rPr>
        <w:t xml:space="preserve"> </w:t>
      </w:r>
    </w:p>
    <w:p>
      <w:pPr>
        <w:pStyle w:val="67"/>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采购代理机构）：</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经研究，我们决定自愿组成联合体共同申请参加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（项目名称、项目编号）项目的磋商。现就联合体事宜订立如下协议：</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一、联合体基本信息：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（各方公司名称、地址、注册资金、营业执照、法定代表人姓名）。</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（某成员单位名称）为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（联合体名称）牵头人。</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四、联合体将严格按照磋商文件的各项要求，递交响应文件，参加磋商，履行成交义务和成交后的合同，并向采购人承担连带责任。</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五、联合体各成员单位内部的职责分工如下：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。按照本条上述分工，联合体成员单位各自所承担的合同工作量比例如下：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六、本协议书自签署之日起生效，合同履行完毕后自动失效。</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七、本协议书一式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份，联合体成员和采购人各执一份。</w:t>
      </w:r>
    </w:p>
    <w:p>
      <w:pPr>
        <w:pStyle w:val="67"/>
        <w:adjustRightInd w:val="0"/>
        <w:snapToGrid w:val="0"/>
        <w:spacing w:before="156"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
      </w:r>
    </w:p>
    <w:p>
      <w:pPr>
        <w:pStyle w:val="67"/>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牵头人名称（签章）：</w:t>
      </w:r>
    </w:p>
    <w:p>
      <w:pPr>
        <w:pStyle w:val="67"/>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法定代表人或其授权代表（签字或盖章）：</w:t>
      </w:r>
      <w:r>
        <w:rPr>
          <w:rFonts w:hint="eastAsia" w:ascii="宋体" w:hAnsi="宋体" w:eastAsia="宋体" w:cs="宋体"/>
          <w:color w:val="auto"/>
          <w:sz w:val="21"/>
          <w:szCs w:val="21"/>
          <w:highlight w:val="none"/>
          <w:u w:val="single"/>
        </w:rPr>
        <w:t xml:space="preserve">                     </w:t>
      </w:r>
    </w:p>
    <w:p>
      <w:pPr>
        <w:pStyle w:val="67"/>
        <w:adjustRightInd w:val="0"/>
        <w:snapToGrid w:val="0"/>
        <w:spacing w:line="360" w:lineRule="auto"/>
        <w:ind w:firstLine="1785" w:firstLineChars="850"/>
        <w:rPr>
          <w:rFonts w:hint="eastAsia" w:ascii="宋体" w:hAnsi="宋体" w:eastAsia="宋体" w:cs="宋体"/>
          <w:color w:val="auto"/>
          <w:sz w:val="21"/>
          <w:szCs w:val="21"/>
          <w:highlight w:val="none"/>
        </w:rPr>
      </w:pPr>
    </w:p>
    <w:p>
      <w:pPr>
        <w:pStyle w:val="67"/>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成员二名称（签章）：</w:t>
      </w:r>
    </w:p>
    <w:p>
      <w:pPr>
        <w:pStyle w:val="67"/>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法定代表人或其授权代表（签字或盖章）：</w:t>
      </w:r>
      <w:r>
        <w:rPr>
          <w:rFonts w:hint="eastAsia" w:ascii="宋体" w:hAnsi="宋体" w:eastAsia="宋体" w:cs="宋体"/>
          <w:color w:val="auto"/>
          <w:sz w:val="21"/>
          <w:szCs w:val="21"/>
          <w:highlight w:val="none"/>
          <w:u w:val="single"/>
        </w:rPr>
        <w:t xml:space="preserve">                      </w:t>
      </w:r>
    </w:p>
    <w:p>
      <w:pPr>
        <w:pStyle w:val="6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6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备注：本协议书由授权代表签字的，应附法定代表人签字的授权委托书。</w:t>
      </w:r>
    </w:p>
    <w:p>
      <w:pPr>
        <w:pStyle w:val="6"/>
        <w:spacing w:line="400" w:lineRule="exact"/>
        <w:ind w:left="0" w:leftChars="0" w:firstLine="0" w:firstLineChars="0"/>
        <w:rPr>
          <w:rFonts w:hint="eastAsia" w:ascii="宋体" w:hAnsi="宋体" w:eastAsia="宋体" w:cs="宋体"/>
          <w:b/>
          <w:bCs/>
          <w:color w:val="auto"/>
          <w:sz w:val="21"/>
          <w:szCs w:val="21"/>
          <w:highlight w:val="none"/>
          <w:lang w:val="en-US" w:eastAsia="zh-CN"/>
        </w:rPr>
      </w:pPr>
      <w:bookmarkStart w:id="68" w:name="_Toc256000062"/>
    </w:p>
    <w:p>
      <w:pPr>
        <w:pStyle w:val="6"/>
        <w:spacing w:line="400" w:lineRule="exact"/>
        <w:ind w:left="0" w:leftChars="0" w:firstLine="0" w:firstLineChars="0"/>
        <w:rPr>
          <w:rFonts w:hint="eastAsia" w:ascii="宋体" w:hAnsi="宋体" w:eastAsia="宋体" w:cs="宋体"/>
          <w:b/>
          <w:bCs/>
          <w:color w:val="auto"/>
          <w:sz w:val="21"/>
          <w:szCs w:val="21"/>
          <w:highlight w:val="none"/>
          <w:lang w:val="en-US" w:eastAsia="zh-CN"/>
        </w:rPr>
      </w:pPr>
    </w:p>
    <w:p>
      <w:pPr>
        <w:pStyle w:val="6"/>
        <w:spacing w:line="400" w:lineRule="exact"/>
        <w:ind w:left="0" w:leftChars="0" w:firstLine="0" w:firstLineChars="0"/>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21"/>
          <w:szCs w:val="21"/>
          <w:highlight w:val="none"/>
          <w:lang w:val="en-US" w:eastAsia="zh-CN"/>
        </w:rPr>
      </w:pPr>
    </w:p>
    <w:p>
      <w:pPr>
        <w:pStyle w:val="13"/>
        <w:rPr>
          <w:rFonts w:hint="eastAsia" w:ascii="宋体" w:hAnsi="宋体" w:eastAsia="宋体" w:cs="宋体"/>
          <w:b/>
          <w:bCs/>
          <w:color w:val="auto"/>
          <w:sz w:val="21"/>
          <w:szCs w:val="21"/>
          <w:highlight w:val="none"/>
          <w:lang w:val="en-US" w:eastAsia="zh-CN"/>
        </w:rPr>
      </w:pPr>
    </w:p>
    <w:p>
      <w:pPr>
        <w:pStyle w:val="14"/>
        <w:rPr>
          <w:rFonts w:hint="eastAsia" w:ascii="宋体" w:hAnsi="宋体" w:eastAsia="宋体" w:cs="宋体"/>
          <w:b/>
          <w:bCs/>
          <w:color w:val="auto"/>
          <w:sz w:val="21"/>
          <w:szCs w:val="21"/>
          <w:highlight w:val="none"/>
          <w:lang w:val="en-US" w:eastAsia="zh-CN"/>
        </w:rPr>
      </w:pPr>
    </w:p>
    <w:p>
      <w:pPr>
        <w:pStyle w:val="14"/>
        <w:rPr>
          <w:rFonts w:hint="eastAsia" w:ascii="宋体" w:hAnsi="宋体" w:eastAsia="宋体" w:cs="宋体"/>
          <w:b/>
          <w:bCs/>
          <w:color w:val="auto"/>
          <w:sz w:val="21"/>
          <w:szCs w:val="21"/>
          <w:highlight w:val="none"/>
          <w:lang w:val="en-US" w:eastAsia="zh-CN"/>
        </w:rPr>
      </w:pPr>
    </w:p>
    <w:p>
      <w:pPr>
        <w:pStyle w:val="14"/>
        <w:rPr>
          <w:rFonts w:hint="eastAsia" w:ascii="宋体" w:hAnsi="宋体" w:eastAsia="宋体" w:cs="宋体"/>
          <w:b/>
          <w:bCs/>
          <w:color w:val="auto"/>
          <w:sz w:val="21"/>
          <w:szCs w:val="21"/>
          <w:highlight w:val="none"/>
          <w:lang w:val="en-US" w:eastAsia="zh-CN"/>
        </w:rPr>
      </w:pPr>
    </w:p>
    <w:p>
      <w:pPr>
        <w:pStyle w:val="14"/>
        <w:rPr>
          <w:rFonts w:hint="eastAsia" w:ascii="宋体" w:hAnsi="宋体" w:eastAsia="宋体" w:cs="宋体"/>
          <w:b/>
          <w:bCs/>
          <w:color w:val="auto"/>
          <w:sz w:val="21"/>
          <w:szCs w:val="21"/>
          <w:highlight w:val="none"/>
          <w:lang w:val="en-US" w:eastAsia="zh-CN"/>
        </w:rPr>
      </w:pPr>
    </w:p>
    <w:p>
      <w:pPr>
        <w:pStyle w:val="14"/>
        <w:rPr>
          <w:rFonts w:hint="eastAsia" w:ascii="宋体" w:hAnsi="宋体" w:eastAsia="宋体" w:cs="宋体"/>
          <w:b/>
          <w:bCs/>
          <w:color w:val="auto"/>
          <w:sz w:val="21"/>
          <w:szCs w:val="21"/>
          <w:highlight w:val="none"/>
          <w:lang w:val="en-US" w:eastAsia="zh-CN"/>
        </w:rPr>
      </w:pPr>
    </w:p>
    <w:p>
      <w:pPr>
        <w:pStyle w:val="14"/>
        <w:rPr>
          <w:rFonts w:hint="eastAsia" w:ascii="宋体" w:hAnsi="宋体" w:eastAsia="宋体" w:cs="宋体"/>
          <w:b/>
          <w:bCs/>
          <w:color w:val="auto"/>
          <w:sz w:val="21"/>
          <w:szCs w:val="21"/>
          <w:highlight w:val="none"/>
          <w:lang w:val="en-US" w:eastAsia="zh-CN"/>
        </w:rPr>
      </w:pPr>
    </w:p>
    <w:p>
      <w:pPr>
        <w:pStyle w:val="6"/>
        <w:spacing w:line="400" w:lineRule="exact"/>
        <w:ind w:left="0" w:leftChars="0" w:firstLine="0" w:firstLineChars="0"/>
        <w:rPr>
          <w:rFonts w:hint="eastAsia" w:ascii="宋体" w:hAnsi="宋体" w:eastAsia="宋体" w:cs="宋体"/>
          <w:b/>
          <w:bCs/>
          <w:color w:val="auto"/>
          <w:sz w:val="21"/>
          <w:szCs w:val="21"/>
          <w:highlight w:val="none"/>
          <w:lang w:val="en-US" w:eastAsia="zh-CN"/>
        </w:rPr>
      </w:pPr>
    </w:p>
    <w:p>
      <w:pPr>
        <w:pStyle w:val="6"/>
        <w:spacing w:line="400" w:lineRule="exact"/>
        <w:ind w:left="0" w:leftChars="0" w:firstLine="0" w:firstLineChars="0"/>
        <w:rPr>
          <w:rFonts w:hint="eastAsia" w:ascii="宋体" w:hAnsi="宋体" w:eastAsia="宋体" w:cs="宋体"/>
          <w:b/>
          <w:bCs/>
          <w:color w:val="auto"/>
          <w:sz w:val="21"/>
          <w:szCs w:val="21"/>
          <w:highlight w:val="none"/>
          <w:lang w:val="en-US" w:eastAsia="zh-CN"/>
        </w:rPr>
      </w:pPr>
    </w:p>
    <w:p>
      <w:pPr>
        <w:pStyle w:val="6"/>
        <w:spacing w:line="400" w:lineRule="exact"/>
        <w:ind w:left="0" w:leftChars="0" w:firstLine="0" w:firstLineChars="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十、</w:t>
      </w:r>
      <w:r>
        <w:rPr>
          <w:rFonts w:hint="eastAsia" w:ascii="宋体" w:hAnsi="宋体" w:eastAsia="宋体" w:cs="宋体"/>
          <w:b/>
          <w:color w:val="auto"/>
          <w:sz w:val="21"/>
          <w:szCs w:val="21"/>
          <w:highlight w:val="none"/>
          <w:lang w:val="en-US" w:eastAsia="zh-CN" w:bidi="ar-SA"/>
        </w:rPr>
        <w:t>中、小微企业声明函（非中、小微企业可不提供）；</w:t>
      </w:r>
    </w:p>
    <w:p>
      <w:pPr>
        <w:pStyle w:val="44"/>
        <w:spacing w:line="400" w:lineRule="exact"/>
        <w:ind w:right="-97"/>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中小企业声明函</w:t>
      </w:r>
    </w:p>
    <w:p>
      <w:pPr>
        <w:pStyle w:val="68"/>
        <w:spacing w:line="480" w:lineRule="auto"/>
        <w:ind w:left="0" w:leftChars="0"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项目编号：</w:t>
      </w:r>
      <w:r>
        <w:rPr>
          <w:rFonts w:hint="eastAsia" w:ascii="宋体" w:hAnsi="宋体" w:eastAsia="宋体" w:cs="宋体"/>
          <w:color w:val="auto"/>
          <w:sz w:val="21"/>
          <w:szCs w:val="21"/>
          <w:highlight w:val="none"/>
          <w:u w:val="single"/>
        </w:rPr>
        <w:t xml:space="preserve">                 </w:t>
      </w:r>
    </w:p>
    <w:p>
      <w:pPr>
        <w:snapToGrid w:val="0"/>
        <w:spacing w:line="480" w:lineRule="auto"/>
        <w:ind w:firstLine="630" w:firstLineChars="3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本公司（联合体）郑重声明，根据《政府采购促进中小企业发展管理办法》（财库[2020]46号）的规定，本公司（联合体）参加</w:t>
      </w:r>
      <w:r>
        <w:rPr>
          <w:rFonts w:hint="eastAsia" w:ascii="宋体" w:hAnsi="宋体" w:eastAsia="宋体" w:cs="宋体"/>
          <w:color w:val="auto"/>
          <w:kern w:val="2"/>
          <w:sz w:val="21"/>
          <w:szCs w:val="21"/>
          <w:highlight w:val="none"/>
          <w:u w:val="single"/>
          <w:lang w:val="en-US" w:eastAsia="zh-CN" w:bidi="ar-SA"/>
        </w:rPr>
        <w:t>（单位名称）</w:t>
      </w:r>
      <w:r>
        <w:rPr>
          <w:rFonts w:hint="eastAsia" w:ascii="宋体" w:hAnsi="宋体" w:eastAsia="宋体" w:cs="宋体"/>
          <w:color w:val="auto"/>
          <w:kern w:val="2"/>
          <w:sz w:val="21"/>
          <w:szCs w:val="21"/>
          <w:highlight w:val="none"/>
          <w:lang w:val="en-US" w:eastAsia="zh-CN" w:bidi="ar-SA"/>
        </w:rPr>
        <w:t>的</w:t>
      </w:r>
      <w:r>
        <w:rPr>
          <w:rFonts w:hint="eastAsia" w:ascii="宋体" w:hAnsi="宋体" w:eastAsia="宋体" w:cs="宋体"/>
          <w:color w:val="auto"/>
          <w:kern w:val="2"/>
          <w:sz w:val="21"/>
          <w:szCs w:val="21"/>
          <w:highlight w:val="none"/>
          <w:u w:val="single"/>
          <w:lang w:val="en-US" w:eastAsia="zh-CN" w:bidi="ar-SA"/>
        </w:rPr>
        <w:t>（项目名称）</w:t>
      </w:r>
      <w:r>
        <w:rPr>
          <w:rFonts w:hint="eastAsia" w:ascii="宋体" w:hAnsi="宋体" w:eastAsia="宋体" w:cs="宋体"/>
          <w:color w:val="auto"/>
          <w:kern w:val="2"/>
          <w:sz w:val="21"/>
          <w:szCs w:val="21"/>
          <w:highlight w:val="none"/>
          <w:lang w:val="en-US" w:eastAsia="zh-CN" w:bidi="ar-SA"/>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480" w:lineRule="auto"/>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1.</w:t>
      </w:r>
      <w:r>
        <w:rPr>
          <w:rFonts w:hint="eastAsia" w:ascii="宋体" w:hAnsi="宋体" w:eastAsia="宋体" w:cs="宋体"/>
          <w:i w:val="0"/>
          <w:iCs w:val="0"/>
          <w:sz w:val="21"/>
          <w:szCs w:val="21"/>
          <w:highlight w:val="none"/>
          <w:u w:val="single"/>
        </w:rPr>
        <w:t>（标的名称）</w:t>
      </w:r>
      <w:r>
        <w:rPr>
          <w:rFonts w:hint="eastAsia" w:ascii="宋体" w:hAnsi="宋体" w:eastAsia="宋体" w:cs="宋体"/>
          <w:i w:val="0"/>
          <w:iCs w:val="0"/>
          <w:sz w:val="21"/>
          <w:szCs w:val="21"/>
          <w:highlight w:val="none"/>
        </w:rPr>
        <w:t>，属于</w:t>
      </w:r>
      <w:r>
        <w:rPr>
          <w:rFonts w:hint="eastAsia" w:ascii="宋体" w:hAnsi="宋体" w:eastAsia="宋体" w:cs="宋体"/>
          <w:i w:val="0"/>
          <w:iCs w:val="0"/>
          <w:sz w:val="21"/>
          <w:szCs w:val="21"/>
          <w:highlight w:val="none"/>
          <w:u w:val="single"/>
        </w:rPr>
        <w:t>（采购文件中明确的所属行业）</w:t>
      </w:r>
      <w:r>
        <w:rPr>
          <w:rFonts w:hint="eastAsia" w:ascii="宋体" w:hAnsi="宋体" w:eastAsia="宋体" w:cs="宋体"/>
          <w:i w:val="0"/>
          <w:iCs w:val="0"/>
          <w:sz w:val="21"/>
          <w:szCs w:val="21"/>
          <w:highlight w:val="none"/>
        </w:rPr>
        <w:t>；承建（承接）企业为</w:t>
      </w:r>
      <w:r>
        <w:rPr>
          <w:rFonts w:hint="eastAsia" w:ascii="宋体" w:hAnsi="宋体" w:eastAsia="宋体" w:cs="宋体"/>
          <w:i w:val="0"/>
          <w:iCs w:val="0"/>
          <w:sz w:val="21"/>
          <w:szCs w:val="21"/>
          <w:highlight w:val="none"/>
          <w:u w:val="single"/>
        </w:rPr>
        <w:t>（企业名称）</w:t>
      </w:r>
      <w:r>
        <w:rPr>
          <w:rFonts w:hint="eastAsia" w:ascii="宋体" w:hAnsi="宋体" w:eastAsia="宋体" w:cs="宋体"/>
          <w:i w:val="0"/>
          <w:iCs w:val="0"/>
          <w:sz w:val="21"/>
          <w:szCs w:val="21"/>
          <w:highlight w:val="none"/>
        </w:rPr>
        <w:t>，从业人员</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u w:val="single"/>
          <w:lang w:val="en-US" w:eastAsia="zh-CN"/>
        </w:rPr>
        <w:t xml:space="preserve">  </w:t>
      </w:r>
      <w:r>
        <w:rPr>
          <w:rFonts w:hint="eastAsia" w:ascii="宋体" w:hAnsi="宋体" w:eastAsia="宋体" w:cs="宋体"/>
          <w:i w:val="0"/>
          <w:iCs w:val="0"/>
          <w:sz w:val="21"/>
          <w:szCs w:val="21"/>
          <w:highlight w:val="none"/>
        </w:rPr>
        <w:t>人，营业收入为</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u w:val="single"/>
          <w:lang w:val="en-US" w:eastAsia="zh-CN"/>
        </w:rPr>
        <w:t xml:space="preserve">  </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万元，资产总额为</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万元</w:t>
      </w:r>
      <w:r>
        <w:rPr>
          <w:rStyle w:val="27"/>
          <w:rFonts w:hint="eastAsia" w:ascii="宋体" w:hAnsi="宋体" w:eastAsia="宋体" w:cs="宋体"/>
          <w:i w:val="0"/>
          <w:iCs w:val="0"/>
          <w:sz w:val="21"/>
          <w:szCs w:val="21"/>
          <w:highlight w:val="none"/>
        </w:rPr>
        <w:footnoteReference w:id="0"/>
      </w:r>
      <w:r>
        <w:rPr>
          <w:rFonts w:hint="eastAsia" w:ascii="宋体" w:hAnsi="宋体" w:eastAsia="宋体" w:cs="宋体"/>
          <w:i w:val="0"/>
          <w:iCs w:val="0"/>
          <w:sz w:val="21"/>
          <w:szCs w:val="21"/>
          <w:highlight w:val="none"/>
        </w:rPr>
        <w:t>，属于</w:t>
      </w:r>
      <w:r>
        <w:rPr>
          <w:rFonts w:hint="eastAsia" w:ascii="宋体" w:hAnsi="宋体" w:eastAsia="宋体" w:cs="宋体"/>
          <w:i w:val="0"/>
          <w:iCs w:val="0"/>
          <w:sz w:val="21"/>
          <w:szCs w:val="21"/>
          <w:highlight w:val="none"/>
          <w:u w:val="single"/>
        </w:rPr>
        <w:t>（中型企业、小型企业、微型企业）</w:t>
      </w:r>
      <w:r>
        <w:rPr>
          <w:rFonts w:hint="eastAsia" w:ascii="宋体" w:hAnsi="宋体" w:eastAsia="宋体" w:cs="宋体"/>
          <w:i w:val="0"/>
          <w:iCs w:val="0"/>
          <w:sz w:val="21"/>
          <w:szCs w:val="21"/>
          <w:highlight w:val="none"/>
        </w:rPr>
        <w:t>；</w:t>
      </w:r>
    </w:p>
    <w:p>
      <w:pPr>
        <w:snapToGrid w:val="0"/>
        <w:spacing w:line="480" w:lineRule="auto"/>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 xml:space="preserve">2. </w:t>
      </w:r>
      <w:r>
        <w:rPr>
          <w:rFonts w:hint="eastAsia" w:ascii="宋体" w:hAnsi="宋体" w:eastAsia="宋体" w:cs="宋体"/>
          <w:i w:val="0"/>
          <w:iCs w:val="0"/>
          <w:sz w:val="21"/>
          <w:szCs w:val="21"/>
          <w:highlight w:val="none"/>
          <w:u w:val="single"/>
        </w:rPr>
        <w:t>（标的名称）</w:t>
      </w:r>
      <w:r>
        <w:rPr>
          <w:rFonts w:hint="eastAsia" w:ascii="宋体" w:hAnsi="宋体" w:eastAsia="宋体" w:cs="宋体"/>
          <w:i w:val="0"/>
          <w:iCs w:val="0"/>
          <w:sz w:val="21"/>
          <w:szCs w:val="21"/>
          <w:highlight w:val="none"/>
        </w:rPr>
        <w:t>，属于</w:t>
      </w:r>
      <w:r>
        <w:rPr>
          <w:rFonts w:hint="eastAsia" w:ascii="宋体" w:hAnsi="宋体" w:eastAsia="宋体" w:cs="宋体"/>
          <w:i w:val="0"/>
          <w:iCs w:val="0"/>
          <w:sz w:val="21"/>
          <w:szCs w:val="21"/>
          <w:highlight w:val="none"/>
          <w:u w:val="single"/>
        </w:rPr>
        <w:t>（采购文件中明确的所属行业）</w:t>
      </w:r>
      <w:r>
        <w:rPr>
          <w:rFonts w:hint="eastAsia" w:ascii="宋体" w:hAnsi="宋体" w:eastAsia="宋体" w:cs="宋体"/>
          <w:i w:val="0"/>
          <w:iCs w:val="0"/>
          <w:sz w:val="21"/>
          <w:szCs w:val="21"/>
          <w:highlight w:val="none"/>
        </w:rPr>
        <w:t>；承建（承接）企业为</w:t>
      </w:r>
      <w:r>
        <w:rPr>
          <w:rFonts w:hint="eastAsia" w:ascii="宋体" w:hAnsi="宋体" w:eastAsia="宋体" w:cs="宋体"/>
          <w:i w:val="0"/>
          <w:iCs w:val="0"/>
          <w:sz w:val="21"/>
          <w:szCs w:val="21"/>
          <w:highlight w:val="none"/>
          <w:u w:val="single"/>
        </w:rPr>
        <w:t>（企业名称）</w:t>
      </w:r>
      <w:r>
        <w:rPr>
          <w:rFonts w:hint="eastAsia" w:ascii="宋体" w:hAnsi="宋体" w:eastAsia="宋体" w:cs="宋体"/>
          <w:i w:val="0"/>
          <w:iCs w:val="0"/>
          <w:sz w:val="21"/>
          <w:szCs w:val="21"/>
          <w:highlight w:val="none"/>
        </w:rPr>
        <w:t>，从业人员</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u w:val="single"/>
          <w:lang w:val="en-US" w:eastAsia="zh-CN"/>
        </w:rPr>
        <w:t xml:space="preserve">  </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人，营业收入为</w:t>
      </w:r>
      <w:r>
        <w:rPr>
          <w:rFonts w:hint="eastAsia" w:ascii="宋体" w:hAnsi="宋体" w:eastAsia="宋体" w:cs="宋体"/>
          <w:i w:val="0"/>
          <w:iCs w:val="0"/>
          <w:sz w:val="21"/>
          <w:szCs w:val="21"/>
          <w:highlight w:val="none"/>
          <w:u w:val="single"/>
          <w:lang w:val="en-US" w:eastAsia="zh-CN"/>
        </w:rPr>
        <w:t xml:space="preserve">  </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万元，资产总额为</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u w:val="single"/>
          <w:lang w:val="en-US" w:eastAsia="zh-CN"/>
        </w:rPr>
        <w:t xml:space="preserve"> </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万元，属于</w:t>
      </w:r>
      <w:r>
        <w:rPr>
          <w:rFonts w:hint="eastAsia" w:ascii="宋体" w:hAnsi="宋体" w:eastAsia="宋体" w:cs="宋体"/>
          <w:i w:val="0"/>
          <w:iCs w:val="0"/>
          <w:sz w:val="21"/>
          <w:szCs w:val="21"/>
          <w:highlight w:val="none"/>
          <w:u w:val="single"/>
        </w:rPr>
        <w:t>（中型企业、小型企业、微型企业）</w:t>
      </w:r>
      <w:r>
        <w:rPr>
          <w:rFonts w:hint="eastAsia" w:ascii="宋体" w:hAnsi="宋体" w:eastAsia="宋体" w:cs="宋体"/>
          <w:i w:val="0"/>
          <w:iCs w:val="0"/>
          <w:sz w:val="21"/>
          <w:szCs w:val="21"/>
          <w:highlight w:val="none"/>
        </w:rPr>
        <w:t>；</w:t>
      </w:r>
    </w:p>
    <w:p>
      <w:pPr>
        <w:snapToGrid w:val="0"/>
        <w:spacing w:line="48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w:t>
      </w:r>
    </w:p>
    <w:p>
      <w:pPr>
        <w:snapToGrid w:val="0"/>
        <w:spacing w:line="48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以上企业，不属于大企业的分支机构，不存在控股股东为大企业的情形，也不存在与大企业的负责人为同一人的情形。</w:t>
      </w:r>
    </w:p>
    <w:p>
      <w:pPr>
        <w:snapToGrid w:val="0"/>
        <w:spacing w:line="480" w:lineRule="auto"/>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本企业对上述声明内容的真实性负责。如有虚假，将依法承担相应责任。</w:t>
      </w:r>
    </w:p>
    <w:p>
      <w:pPr>
        <w:snapToGrid w:val="0"/>
        <w:spacing w:line="48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企业名称（盖章）：</w:t>
      </w:r>
    </w:p>
    <w:p>
      <w:pPr>
        <w:snapToGrid w:val="0"/>
        <w:spacing w:line="48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日期：</w:t>
      </w: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p>
    <w:p>
      <w:pPr>
        <w:pStyle w:val="78"/>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、施工组织设计</w:t>
      </w:r>
      <w:bookmarkEnd w:id="68"/>
    </w:p>
    <w:p>
      <w:pPr>
        <w:pStyle w:val="78"/>
        <w:outlineLvl w:val="1"/>
        <w:rPr>
          <w:rFonts w:hint="eastAsia" w:ascii="宋体" w:hAnsi="宋体" w:eastAsia="宋体" w:cs="宋体"/>
          <w:color w:val="auto"/>
          <w:sz w:val="21"/>
          <w:szCs w:val="21"/>
          <w:highlight w:val="none"/>
          <w:lang w:eastAsia="zh-CN"/>
        </w:rPr>
      </w:pPr>
    </w:p>
    <w:p>
      <w:pPr>
        <w:pStyle w:val="11"/>
        <w:spacing w:line="360" w:lineRule="auto"/>
        <w:rPr>
          <w:rFonts w:hint="eastAsia" w:ascii="宋体" w:hAnsi="宋体" w:eastAsia="宋体" w:cs="宋体"/>
          <w:color w:val="auto"/>
          <w:spacing w:val="6"/>
          <w:kern w:val="2"/>
          <w:sz w:val="21"/>
          <w:szCs w:val="21"/>
          <w:highlight w:val="none"/>
          <w:lang w:val="en-US" w:eastAsia="zh-CN" w:bidi="ar-SA"/>
        </w:rPr>
      </w:pPr>
    </w:p>
    <w:p>
      <w:pPr>
        <w:pStyle w:val="11"/>
        <w:spacing w:line="360" w:lineRule="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一、投标人应根据招标工程的具体情况，编制相应的施工组织设计。</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二、施工组织设计包括下列内容：</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1、工程概况及特点</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2、施工准备计划</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3、施工方案与技术措施</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4、施工进度计划及工期保证措施和体系</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5、安全管理体系与措施</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6、</w:t>
      </w:r>
      <w:r>
        <w:rPr>
          <w:rFonts w:hint="eastAsia" w:ascii="宋体" w:hAnsi="宋体" w:eastAsia="宋体" w:cs="宋体"/>
          <w:color w:val="auto"/>
          <w:kern w:val="0"/>
          <w:sz w:val="21"/>
          <w:szCs w:val="21"/>
          <w:highlight w:val="none"/>
          <w:lang w:val="en-US" w:eastAsia="zh-CN"/>
        </w:rPr>
        <w:t>环境保护管理体系与措施</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7、现场文明施工措施</w:t>
      </w:r>
    </w:p>
    <w:p>
      <w:pPr>
        <w:spacing w:line="360" w:lineRule="auto"/>
        <w:ind w:firstLine="63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8、劳动力、材料、机械设备需要量计划</w:t>
      </w:r>
    </w:p>
    <w:p>
      <w:pPr>
        <w:pStyle w:val="13"/>
        <w:spacing w:line="360" w:lineRule="auto"/>
        <w:ind w:left="852" w:leftChars="300" w:hanging="222" w:hangingChars="100"/>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9、质量保证措施和体系</w:t>
      </w:r>
    </w:p>
    <w:p>
      <w:pPr>
        <w:pStyle w:val="14"/>
        <w:spacing w:line="360" w:lineRule="auto"/>
        <w:rPr>
          <w:rFonts w:hint="eastAsia"/>
          <w:lang w:val="en-US" w:eastAsia="zh-CN"/>
        </w:rPr>
      </w:pPr>
      <w:r>
        <w:rPr>
          <w:rFonts w:hint="eastAsia" w:hAnsi="宋体" w:cs="宋体"/>
          <w:color w:val="auto"/>
          <w:spacing w:val="6"/>
          <w:kern w:val="2"/>
          <w:sz w:val="21"/>
          <w:szCs w:val="21"/>
          <w:highlight w:val="none"/>
          <w:lang w:val="en-US" w:eastAsia="zh-CN" w:bidi="ar-SA"/>
        </w:rPr>
        <w:t xml:space="preserve">     10、</w:t>
      </w:r>
      <w:r>
        <w:rPr>
          <w:rFonts w:hint="eastAsia" w:ascii="宋体" w:hAnsi="宋体" w:eastAsia="宋体" w:cs="宋体"/>
          <w:color w:val="auto"/>
          <w:kern w:val="0"/>
          <w:sz w:val="21"/>
          <w:szCs w:val="21"/>
          <w:highlight w:val="none"/>
          <w:lang w:val="en-US" w:eastAsia="zh-CN"/>
        </w:rPr>
        <w:t>人力资源配备及服务方式</w:t>
      </w:r>
    </w:p>
    <w:p>
      <w:pPr>
        <w:rPr>
          <w:rFonts w:hint="eastAsia" w:ascii="宋体" w:hAnsi="宋体" w:eastAsia="宋体" w:cs="宋体"/>
          <w:highlight w:val="none"/>
        </w:rPr>
        <w:sectPr>
          <w:headerReference r:id="rId10" w:type="default"/>
          <w:footerReference r:id="rId11" w:type="default"/>
          <w:pgSz w:w="11893" w:h="16840"/>
          <w:pgMar w:top="960" w:right="1417" w:bottom="655" w:left="1560" w:header="945" w:footer="447" w:gutter="0"/>
          <w:pgBorders>
            <w:top w:val="none" w:sz="0" w:space="0"/>
            <w:left w:val="none" w:sz="0" w:space="0"/>
            <w:bottom w:val="none" w:sz="0" w:space="0"/>
            <w:right w:val="none" w:sz="0" w:space="0"/>
          </w:pgBorders>
          <w:pgNumType w:fmt="decimal"/>
          <w:cols w:space="720" w:num="1"/>
        </w:sectPr>
      </w:pPr>
    </w:p>
    <w:p>
      <w:pPr>
        <w:spacing w:before="101" w:line="228" w:lineRule="auto"/>
        <w:rPr>
          <w:rFonts w:hint="eastAsia" w:ascii="宋体" w:hAnsi="宋体" w:eastAsia="宋体" w:cs="宋体"/>
          <w:highlight w:val="none"/>
        </w:rPr>
        <w:sectPr>
          <w:headerReference r:id="rId12" w:type="default"/>
          <w:footerReference r:id="rId13" w:type="default"/>
          <w:pgSz w:w="11893" w:h="16840"/>
          <w:pgMar w:top="400" w:right="1783" w:bottom="655" w:left="1783" w:header="0" w:footer="447"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b/>
          <w:color w:val="auto"/>
          <w:kern w:val="0"/>
          <w:sz w:val="21"/>
          <w:szCs w:val="21"/>
          <w:highlight w:val="none"/>
          <w:lang w:val="en-US" w:eastAsia="zh-CN" w:bidi="ar-SA"/>
        </w:rPr>
        <w:t>十</w:t>
      </w:r>
      <w:r>
        <w:rPr>
          <w:rFonts w:hint="eastAsia" w:ascii="宋体" w:hAnsi="宋体" w:cs="宋体"/>
          <w:b/>
          <w:color w:val="auto"/>
          <w:kern w:val="0"/>
          <w:sz w:val="21"/>
          <w:szCs w:val="21"/>
          <w:highlight w:val="none"/>
          <w:lang w:val="en-US" w:eastAsia="zh-CN" w:bidi="ar-SA"/>
        </w:rPr>
        <w:t>二</w:t>
      </w:r>
      <w:r>
        <w:rPr>
          <w:rFonts w:hint="eastAsia" w:ascii="宋体" w:hAnsi="宋体" w:eastAsia="宋体" w:cs="宋体"/>
          <w:b/>
          <w:color w:val="auto"/>
          <w:kern w:val="0"/>
          <w:sz w:val="21"/>
          <w:szCs w:val="21"/>
          <w:highlight w:val="none"/>
          <w:lang w:val="en-US" w:eastAsia="zh-CN" w:bidi="ar-SA"/>
        </w:rPr>
        <w:t>、近年完成的类似项目情况一览表 (格式自拟）</w:t>
      </w:r>
    </w:p>
    <w:p>
      <w:pPr>
        <w:pStyle w:val="78"/>
        <w:outlineLvl w:val="1"/>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十三、投标保证金及开户银行许可证</w:t>
      </w:r>
    </w:p>
    <w:sectPr>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314"/>
      <w:rPr>
        <w:rFonts w:ascii="宋体" w:hAnsi="宋体" w:eastAsia="宋体" w:cs="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445"/>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445"/>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445"/>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77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365"/>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78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239"/>
      <w:rPr>
        <w:rFonts w:ascii="宋体" w:hAnsi="宋体" w:eastAsia="宋体" w:cs="宋体"/>
        <w:sz w:val="21"/>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rPr>
        <w:rFonts w:ascii="宋体" w:hAnsi="宋体" w:eastAsia="宋体" w:cs="宋体"/>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6" w:lineRule="auto"/>
      <w:rPr>
        <w:rFonts w:ascii="宋体" w:hAnsi="宋体" w:eastAsia="宋体" w:cs="宋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mc:AlternateContent>
        <mc:Choice Requires="wps">
          <w:drawing>
            <wp:anchor distT="0" distB="0" distL="114300" distR="114300" simplePos="0" relativeHeight="251662336" behindDoc="0" locked="0" layoutInCell="0" allowOverlap="1">
              <wp:simplePos x="0" y="0"/>
              <wp:positionH relativeFrom="page">
                <wp:posOffset>990600</wp:posOffset>
              </wp:positionH>
              <wp:positionV relativeFrom="page">
                <wp:posOffset>600710</wp:posOffset>
              </wp:positionV>
              <wp:extent cx="5661025" cy="9525"/>
              <wp:effectExtent l="0" t="0" r="0" b="0"/>
              <wp:wrapNone/>
              <wp:docPr id="5" name="矩形 5"/>
              <wp:cNvGraphicFramePr/>
              <a:graphic xmlns:a="http://schemas.openxmlformats.org/drawingml/2006/main">
                <a:graphicData uri="http://schemas.microsoft.com/office/word/2010/wordprocessingShape">
                  <wps:wsp>
                    <wps:cNvSpPr/>
                    <wps:spPr>
                      <a:xfrm>
                        <a:off x="0" y="0"/>
                        <a:ext cx="5661025"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78pt;margin-top:47.3pt;height:0.75pt;width:445.75pt;mso-position-horizontal-relative:page;mso-position-vertical-relative:page;z-index:251662336;mso-width-relative:page;mso-height-relative:page;" fillcolor="#000000" filled="t" stroked="f" coordsize="21600,21600" o:allowincell="f" o:gfxdata="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LwwGtkA&#10;AAAKAQAADwAAAAAAAAABACAAAAAiAAAAZHJzL2Rvd25yZXYueG1sUEsBAhQAFAAAAAgAh07iQIJb&#10;CtisAQAAXQMAAA4AAAAAAAAAAQAgAAAAKAEAAGRycy9lMm9Eb2MueG1sUEsFBgAAAAAGAAYAWQEA&#10;AEYFAAAAAA==&#10;">
              <v:fill on="t" focussize="0,0"/>
              <v:stroke on="f"/>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58735"/>
    <w:multiLevelType w:val="singleLevel"/>
    <w:tmpl w:val="A0558735"/>
    <w:lvl w:ilvl="0" w:tentative="0">
      <w:start w:val="2"/>
      <w:numFmt w:val="decimal"/>
      <w:suff w:val="nothing"/>
      <w:lvlText w:val="%1、"/>
      <w:lvlJc w:val="left"/>
    </w:lvl>
  </w:abstractNum>
  <w:abstractNum w:abstractNumId="1">
    <w:nsid w:val="AEA6EA3A"/>
    <w:multiLevelType w:val="singleLevel"/>
    <w:tmpl w:val="AEA6EA3A"/>
    <w:lvl w:ilvl="0" w:tentative="0">
      <w:start w:val="1"/>
      <w:numFmt w:val="decimal"/>
      <w:suff w:val="nothing"/>
      <w:lvlText w:val="（%1）"/>
      <w:lvlJc w:val="left"/>
    </w:lvl>
  </w:abstractNum>
  <w:abstractNum w:abstractNumId="2">
    <w:nsid w:val="C0EA7CF4"/>
    <w:multiLevelType w:val="singleLevel"/>
    <w:tmpl w:val="C0EA7CF4"/>
    <w:lvl w:ilvl="0" w:tentative="0">
      <w:start w:val="1"/>
      <w:numFmt w:val="decimal"/>
      <w:suff w:val="nothing"/>
      <w:lvlText w:val="%1、"/>
      <w:lvlJc w:val="left"/>
    </w:lvl>
  </w:abstractNum>
  <w:abstractNum w:abstractNumId="3">
    <w:nsid w:val="00000002"/>
    <w:multiLevelType w:val="multilevel"/>
    <w:tmpl w:val="00000002"/>
    <w:lvl w:ilvl="0" w:tentative="0">
      <w:start w:val="1"/>
      <w:numFmt w:val="decimal"/>
      <w:pStyle w:val="9"/>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C"/>
    <w:multiLevelType w:val="multilevel"/>
    <w:tmpl w:val="0000000C"/>
    <w:lvl w:ilvl="0" w:tentative="0">
      <w:start w:val="1"/>
      <w:numFmt w:val="upperLetter"/>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0000000E"/>
    <w:multiLevelType w:val="multilevel"/>
    <w:tmpl w:val="0000000E"/>
    <w:lvl w:ilvl="0" w:tentative="0">
      <w:start w:val="1"/>
      <w:numFmt w:val="decimal"/>
      <w:lvlText w:val="（%1）"/>
      <w:lvlJc w:val="left"/>
      <w:pPr>
        <w:tabs>
          <w:tab w:val="left" w:pos="1080"/>
        </w:tabs>
        <w:ind w:left="1080" w:hanging="1080"/>
      </w:pPr>
    </w:lvl>
    <w:lvl w:ilvl="1" w:tentative="0">
      <w:start w:val="1"/>
      <w:numFmt w:val="bullet"/>
      <w:lvlText w:val=""/>
      <w:lvlJc w:val="left"/>
      <w:pPr>
        <w:tabs>
          <w:tab w:val="left" w:pos="600"/>
        </w:tabs>
        <w:ind w:left="60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0"/>
    <w:multiLevelType w:val="multilevel"/>
    <w:tmpl w:val="00000010"/>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240"/>
        </w:tabs>
        <w:ind w:left="-240" w:hanging="420"/>
      </w:pPr>
    </w:lvl>
    <w:lvl w:ilvl="2" w:tentative="0">
      <w:start w:val="1"/>
      <w:numFmt w:val="lowerRoman"/>
      <w:lvlText w:val="%3."/>
      <w:lvlJc w:val="right"/>
      <w:pPr>
        <w:tabs>
          <w:tab w:val="left" w:pos="180"/>
        </w:tabs>
        <w:ind w:left="180" w:hanging="420"/>
      </w:pPr>
    </w:lvl>
    <w:lvl w:ilvl="3" w:tentative="0">
      <w:start w:val="1"/>
      <w:numFmt w:val="decimal"/>
      <w:lvlText w:val="%4."/>
      <w:lvlJc w:val="left"/>
      <w:pPr>
        <w:tabs>
          <w:tab w:val="left" w:pos="600"/>
        </w:tabs>
        <w:ind w:left="600" w:hanging="420"/>
      </w:pPr>
    </w:lvl>
    <w:lvl w:ilvl="4" w:tentative="0">
      <w:start w:val="1"/>
      <w:numFmt w:val="lowerLetter"/>
      <w:lvlText w:val="%5)"/>
      <w:lvlJc w:val="left"/>
      <w:pPr>
        <w:tabs>
          <w:tab w:val="left" w:pos="1020"/>
        </w:tabs>
        <w:ind w:left="1020" w:hanging="420"/>
      </w:pPr>
    </w:lvl>
    <w:lvl w:ilvl="5" w:tentative="0">
      <w:start w:val="1"/>
      <w:numFmt w:val="lowerRoman"/>
      <w:lvlText w:val="%6."/>
      <w:lvlJc w:val="right"/>
      <w:pPr>
        <w:tabs>
          <w:tab w:val="left" w:pos="1440"/>
        </w:tabs>
        <w:ind w:left="1440" w:hanging="420"/>
      </w:pPr>
    </w:lvl>
    <w:lvl w:ilvl="6" w:tentative="0">
      <w:start w:val="1"/>
      <w:numFmt w:val="decimal"/>
      <w:lvlText w:val="%7."/>
      <w:lvlJc w:val="left"/>
      <w:pPr>
        <w:tabs>
          <w:tab w:val="left" w:pos="1860"/>
        </w:tabs>
        <w:ind w:left="1860" w:hanging="420"/>
      </w:pPr>
    </w:lvl>
    <w:lvl w:ilvl="7" w:tentative="0">
      <w:start w:val="1"/>
      <w:numFmt w:val="lowerLetter"/>
      <w:lvlText w:val="%8)"/>
      <w:lvlJc w:val="left"/>
      <w:pPr>
        <w:tabs>
          <w:tab w:val="left" w:pos="2280"/>
        </w:tabs>
        <w:ind w:left="2280" w:hanging="420"/>
      </w:pPr>
    </w:lvl>
    <w:lvl w:ilvl="8" w:tentative="0">
      <w:start w:val="1"/>
      <w:numFmt w:val="lowerRoman"/>
      <w:lvlText w:val="%9."/>
      <w:lvlJc w:val="right"/>
      <w:pPr>
        <w:tabs>
          <w:tab w:val="left" w:pos="2700"/>
        </w:tabs>
        <w:ind w:left="2700" w:hanging="420"/>
      </w:pPr>
    </w:lvl>
  </w:abstractNum>
  <w:abstractNum w:abstractNumId="8">
    <w:nsid w:val="00000015"/>
    <w:multiLevelType w:val="multilevel"/>
    <w:tmpl w:val="00000015"/>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b w:val="0"/>
        <w:i w:val="0"/>
        <w:color w:val="auto"/>
        <w:sz w:val="21"/>
      </w:rPr>
    </w:lvl>
    <w:lvl w:ilvl="2" w:tentative="0">
      <w:start w:val="1"/>
      <w:numFmt w:val="decimal"/>
      <w:lvlText w:val="%1.%2.%3"/>
      <w:lvlJc w:val="left"/>
      <w:pPr>
        <w:tabs>
          <w:tab w:val="left" w:pos="851"/>
        </w:tabs>
        <w:ind w:left="851" w:hanging="851"/>
      </w:pPr>
      <w:rPr>
        <w:rFonts w:hint="eastAsia"/>
      </w:rPr>
    </w:lvl>
    <w:lvl w:ilvl="3" w:tentative="0">
      <w:start w:val="1"/>
      <w:numFmt w:val="decimal"/>
      <w:lvlText w:val="(%4)"/>
      <w:lvlJc w:val="left"/>
      <w:pPr>
        <w:tabs>
          <w:tab w:val="left" w:pos="851"/>
        </w:tabs>
        <w:ind w:left="851" w:hanging="567"/>
      </w:pPr>
      <w:rPr>
        <w:rFonts w:hint="eastAsia" w:ascii="宋体" w:eastAsia="宋体"/>
        <w:b w:val="0"/>
        <w:i w:val="0"/>
        <w:color w:val="000000"/>
        <w:sz w:val="21"/>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2477107F"/>
    <w:multiLevelType w:val="multilevel"/>
    <w:tmpl w:val="2477107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837BE02"/>
    <w:multiLevelType w:val="singleLevel"/>
    <w:tmpl w:val="4837BE02"/>
    <w:lvl w:ilvl="0" w:tentative="0">
      <w:start w:val="1"/>
      <w:numFmt w:val="decimal"/>
      <w:suff w:val="nothing"/>
      <w:lvlText w:val="（%1）"/>
      <w:lvlJc w:val="left"/>
    </w:lvl>
  </w:abstractNum>
  <w:abstractNum w:abstractNumId="11">
    <w:nsid w:val="49063F04"/>
    <w:multiLevelType w:val="multilevel"/>
    <w:tmpl w:val="49063F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2ED5730"/>
    <w:multiLevelType w:val="singleLevel"/>
    <w:tmpl w:val="52ED5730"/>
    <w:lvl w:ilvl="0" w:tentative="0">
      <w:start w:val="1"/>
      <w:numFmt w:val="decimal"/>
      <w:suff w:val="nothing"/>
      <w:lvlText w:val="（%1）"/>
      <w:lvlJc w:val="left"/>
    </w:lvl>
  </w:abstractNum>
  <w:abstractNum w:abstractNumId="13">
    <w:nsid w:val="5F7835F1"/>
    <w:multiLevelType w:val="singleLevel"/>
    <w:tmpl w:val="5F7835F1"/>
    <w:lvl w:ilvl="0" w:tentative="0">
      <w:start w:val="6"/>
      <w:numFmt w:val="chineseCounting"/>
      <w:suff w:val="space"/>
      <w:lvlText w:val="第%1章"/>
      <w:lvlJc w:val="left"/>
      <w:rPr>
        <w:rFonts w:hint="eastAsia"/>
      </w:rPr>
    </w:lvl>
  </w:abstractNum>
  <w:abstractNum w:abstractNumId="14">
    <w:nsid w:val="78A1CB4F"/>
    <w:multiLevelType w:val="singleLevel"/>
    <w:tmpl w:val="78A1CB4F"/>
    <w:lvl w:ilvl="0" w:tentative="0">
      <w:start w:val="6"/>
      <w:numFmt w:val="chineseCounting"/>
      <w:suff w:val="nothing"/>
      <w:lvlText w:val="%1、"/>
      <w:lvlJc w:val="left"/>
      <w:pPr>
        <w:ind w:left="0"/>
      </w:pPr>
      <w:rPr>
        <w:rFonts w:hint="eastAsia"/>
        <w:b/>
        <w:bCs/>
      </w:rPr>
    </w:lvl>
  </w:abstractNum>
  <w:abstractNum w:abstractNumId="15">
    <w:nsid w:val="78F810B4"/>
    <w:multiLevelType w:val="multilevel"/>
    <w:tmpl w:val="78F810B4"/>
    <w:lvl w:ilvl="0" w:tentative="0">
      <w:start w:val="1"/>
      <w:numFmt w:val="chineseCountingThousand"/>
      <w:lvlText w:val="第%1章"/>
      <w:lvlJc w:val="left"/>
      <w:pPr>
        <w:ind w:left="432" w:hanging="432"/>
      </w:pPr>
      <w:rPr>
        <w:rFonts w:hint="eastAsia"/>
      </w:rPr>
    </w:lvl>
    <w:lvl w:ilvl="1" w:tentative="0">
      <w:start w:val="1"/>
      <w:numFmt w:val="decimal"/>
      <w:isLgl/>
      <w:lvlText w:val="%1.%2"/>
      <w:lvlJc w:val="left"/>
      <w:pPr>
        <w:ind w:left="1002" w:hanging="576"/>
      </w:pPr>
      <w:rPr>
        <w:rFonts w:hint="eastAsia"/>
      </w:rPr>
    </w:lvl>
    <w:lvl w:ilvl="2" w:tentative="0">
      <w:start w:val="1"/>
      <w:numFmt w:val="decimal"/>
      <w:isLgl/>
      <w:lvlText w:val="%1.%2.%3"/>
      <w:lvlJc w:val="left"/>
      <w:pPr>
        <w:ind w:left="3556"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isLgl/>
      <w:lvlText w:val="%1.%2.4.%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6">
    <w:nsid w:val="7BE7C7C9"/>
    <w:multiLevelType w:val="singleLevel"/>
    <w:tmpl w:val="7BE7C7C9"/>
    <w:lvl w:ilvl="0" w:tentative="0">
      <w:start w:val="1"/>
      <w:numFmt w:val="chineseCounting"/>
      <w:suff w:val="space"/>
      <w:lvlText w:val="第%1章"/>
      <w:lvlJc w:val="left"/>
      <w:pPr>
        <w:ind w:left="2905" w:leftChars="0" w:firstLine="0" w:firstLineChars="0"/>
      </w:pPr>
      <w:rPr>
        <w:rFonts w:hint="eastAsia"/>
      </w:rPr>
    </w:lvl>
  </w:abstractNum>
  <w:num w:numId="1">
    <w:abstractNumId w:val="15"/>
  </w:num>
  <w:num w:numId="2">
    <w:abstractNumId w:val="3"/>
  </w:num>
  <w:num w:numId="3">
    <w:abstractNumId w:val="16"/>
  </w:num>
  <w:num w:numId="4">
    <w:abstractNumId w:val="14"/>
  </w:num>
  <w:num w:numId="5">
    <w:abstractNumId w:val="2"/>
  </w:num>
  <w:num w:numId="6">
    <w:abstractNumId w:val="0"/>
  </w:num>
  <w:num w:numId="7">
    <w:abstractNumId w:val="11"/>
  </w:num>
  <w:num w:numId="8">
    <w:abstractNumId w:val="8"/>
  </w:num>
  <w:num w:numId="9">
    <w:abstractNumId w:val="6"/>
  </w:num>
  <w:num w:numId="10">
    <w:abstractNumId w:val="5"/>
  </w:num>
  <w:num w:numId="11">
    <w:abstractNumId w:val="7"/>
    <w:lvlOverride w:ilvl="1">
      <w:startOverride w:val="1"/>
    </w:lvlOverride>
  </w:num>
  <w:num w:numId="12">
    <w:abstractNumId w:val="9"/>
  </w:num>
  <w:num w:numId="13">
    <w:abstractNumId w:val="1"/>
  </w:num>
  <w:num w:numId="14">
    <w:abstractNumId w:val="12"/>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ZmVjZDFkYjQxMzRlNzQzNzEzNzliZGU1NDkyYTAifQ=="/>
    <w:docVar w:name="KSO_WPS_MARK_KEY" w:val="8d207b1f-a659-4600-b641-efc8446b7893"/>
  </w:docVars>
  <w:rsids>
    <w:rsidRoot w:val="694A7391"/>
    <w:rsid w:val="04090D29"/>
    <w:rsid w:val="062C6F51"/>
    <w:rsid w:val="06CF77A9"/>
    <w:rsid w:val="06F77C6F"/>
    <w:rsid w:val="075E38C0"/>
    <w:rsid w:val="079C1648"/>
    <w:rsid w:val="084C38DA"/>
    <w:rsid w:val="0A921E49"/>
    <w:rsid w:val="0C1F363C"/>
    <w:rsid w:val="0CDC256F"/>
    <w:rsid w:val="0F2B3D05"/>
    <w:rsid w:val="10641211"/>
    <w:rsid w:val="10E741A0"/>
    <w:rsid w:val="122A7A65"/>
    <w:rsid w:val="138C7281"/>
    <w:rsid w:val="16BF1B00"/>
    <w:rsid w:val="1AEE4E22"/>
    <w:rsid w:val="1B024FE9"/>
    <w:rsid w:val="1BAA299A"/>
    <w:rsid w:val="1BD25A4D"/>
    <w:rsid w:val="200A7EAB"/>
    <w:rsid w:val="20164539"/>
    <w:rsid w:val="222A6907"/>
    <w:rsid w:val="22997F1A"/>
    <w:rsid w:val="23140943"/>
    <w:rsid w:val="234C67A9"/>
    <w:rsid w:val="263B0931"/>
    <w:rsid w:val="268169ED"/>
    <w:rsid w:val="279D5CFA"/>
    <w:rsid w:val="294F2DD3"/>
    <w:rsid w:val="298E7457"/>
    <w:rsid w:val="2AEB031E"/>
    <w:rsid w:val="2AF358BF"/>
    <w:rsid w:val="2CCB6C14"/>
    <w:rsid w:val="2DC23B73"/>
    <w:rsid w:val="31200EC9"/>
    <w:rsid w:val="328F1079"/>
    <w:rsid w:val="329B03A1"/>
    <w:rsid w:val="343F797A"/>
    <w:rsid w:val="348A4CBF"/>
    <w:rsid w:val="35A82E8E"/>
    <w:rsid w:val="362F1FC2"/>
    <w:rsid w:val="380E02AA"/>
    <w:rsid w:val="3A971EE4"/>
    <w:rsid w:val="3ACD55BD"/>
    <w:rsid w:val="3B1803BC"/>
    <w:rsid w:val="3D7E738B"/>
    <w:rsid w:val="3DF338D5"/>
    <w:rsid w:val="3E6B1082"/>
    <w:rsid w:val="3FA0183A"/>
    <w:rsid w:val="42507E0F"/>
    <w:rsid w:val="43695AF4"/>
    <w:rsid w:val="43CF65CD"/>
    <w:rsid w:val="44051BDD"/>
    <w:rsid w:val="441B3709"/>
    <w:rsid w:val="44A1408B"/>
    <w:rsid w:val="4A007AA5"/>
    <w:rsid w:val="4B2874E0"/>
    <w:rsid w:val="4C9141EC"/>
    <w:rsid w:val="4D8B296D"/>
    <w:rsid w:val="4F6F19C7"/>
    <w:rsid w:val="4F717CEE"/>
    <w:rsid w:val="4F7A20A8"/>
    <w:rsid w:val="4FAF29A8"/>
    <w:rsid w:val="502B26DA"/>
    <w:rsid w:val="50EE73A9"/>
    <w:rsid w:val="565A053D"/>
    <w:rsid w:val="56C67108"/>
    <w:rsid w:val="58190D2C"/>
    <w:rsid w:val="596F60AE"/>
    <w:rsid w:val="5A911C7B"/>
    <w:rsid w:val="5AA36B2A"/>
    <w:rsid w:val="5B0B0058"/>
    <w:rsid w:val="5B436666"/>
    <w:rsid w:val="5CEB6ECE"/>
    <w:rsid w:val="5F381638"/>
    <w:rsid w:val="606B762E"/>
    <w:rsid w:val="62F85366"/>
    <w:rsid w:val="64760C38"/>
    <w:rsid w:val="659B15ED"/>
    <w:rsid w:val="689A2208"/>
    <w:rsid w:val="694A7391"/>
    <w:rsid w:val="694B7AB0"/>
    <w:rsid w:val="6A1929BA"/>
    <w:rsid w:val="6B81118F"/>
    <w:rsid w:val="6C561345"/>
    <w:rsid w:val="6C6608C4"/>
    <w:rsid w:val="6DE95BB0"/>
    <w:rsid w:val="6E3B25AB"/>
    <w:rsid w:val="6F6347F5"/>
    <w:rsid w:val="70250506"/>
    <w:rsid w:val="707F0C60"/>
    <w:rsid w:val="713F52B8"/>
    <w:rsid w:val="71B66B18"/>
    <w:rsid w:val="72780225"/>
    <w:rsid w:val="736A119F"/>
    <w:rsid w:val="74631310"/>
    <w:rsid w:val="74673E70"/>
    <w:rsid w:val="74E334EB"/>
    <w:rsid w:val="75DE772A"/>
    <w:rsid w:val="76C41554"/>
    <w:rsid w:val="78154BDF"/>
    <w:rsid w:val="797B7DBC"/>
    <w:rsid w:val="79C96913"/>
    <w:rsid w:val="7A47723D"/>
    <w:rsid w:val="7B3C40D0"/>
    <w:rsid w:val="7C12239B"/>
    <w:rsid w:val="7D4D6E5B"/>
    <w:rsid w:val="7ED2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9"/>
    <w:autoRedefine/>
    <w:qFormat/>
    <w:uiPriority w:val="0"/>
    <w:pPr>
      <w:keepNext/>
      <w:jc w:val="center"/>
      <w:outlineLvl w:val="0"/>
    </w:pPr>
    <w:rPr>
      <w:rFonts w:ascii="Times New Roman" w:hAnsi="Times New Roman"/>
      <w:b/>
      <w:bCs/>
      <w:kern w:val="0"/>
      <w:sz w:val="24"/>
      <w:szCs w:val="20"/>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qFormat/>
    <w:uiPriority w:val="0"/>
    <w:pPr>
      <w:keepNext/>
      <w:keepLines/>
      <w:spacing w:before="260" w:beforeLines="0" w:after="260" w:afterLines="0" w:line="413" w:lineRule="auto"/>
      <w:outlineLvl w:val="2"/>
    </w:pPr>
    <w:rPr>
      <w:b/>
      <w:bCs/>
      <w:sz w:val="32"/>
      <w:szCs w:val="32"/>
    </w:rPr>
  </w:style>
  <w:style w:type="paragraph" w:styleId="5">
    <w:name w:val="heading 4"/>
    <w:basedOn w:val="1"/>
    <w:next w:val="1"/>
    <w:autoRedefine/>
    <w:qFormat/>
    <w:uiPriority w:val="0"/>
    <w:pPr>
      <w:keepNext/>
      <w:keepLines/>
      <w:widowControl w:val="0"/>
      <w:numPr>
        <w:ilvl w:val="3"/>
        <w:numId w:val="1"/>
      </w:numPr>
      <w:adjustRightInd/>
      <w:snapToGrid/>
      <w:spacing w:before="280" w:after="290" w:line="376" w:lineRule="auto"/>
      <w:jc w:val="both"/>
      <w:outlineLvl w:val="3"/>
    </w:pPr>
    <w:rPr>
      <w:rFonts w:ascii="Calibri Light" w:hAnsi="Calibri Light" w:cs="Times New Roman"/>
      <w:b/>
      <w:bCs/>
      <w:kern w:val="2"/>
      <w:sz w:val="24"/>
      <w:szCs w:val="28"/>
    </w:rPr>
  </w:style>
  <w:style w:type="character" w:default="1" w:styleId="24">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6">
    <w:name w:val="Normal Indent"/>
    <w:basedOn w:val="1"/>
    <w:next w:val="1"/>
    <w:autoRedefine/>
    <w:unhideWhenUsed/>
    <w:qFormat/>
    <w:uiPriority w:val="99"/>
    <w:pPr>
      <w:ind w:firstLine="420" w:firstLineChars="200"/>
    </w:pPr>
  </w:style>
  <w:style w:type="paragraph" w:styleId="7">
    <w:name w:val="toa heading"/>
    <w:basedOn w:val="1"/>
    <w:next w:val="1"/>
    <w:autoRedefine/>
    <w:qFormat/>
    <w:uiPriority w:val="0"/>
    <w:pPr>
      <w:spacing w:before="120"/>
    </w:pPr>
    <w:rPr>
      <w:rFonts w:ascii="Arial" w:hAnsi="Arial"/>
      <w:sz w:val="24"/>
      <w:szCs w:val="20"/>
    </w:rPr>
  </w:style>
  <w:style w:type="paragraph" w:styleId="8">
    <w:name w:val="annotation text"/>
    <w:basedOn w:val="1"/>
    <w:autoRedefine/>
    <w:qFormat/>
    <w:uiPriority w:val="0"/>
    <w:pPr>
      <w:jc w:val="left"/>
    </w:pPr>
  </w:style>
  <w:style w:type="paragraph" w:styleId="9">
    <w:name w:val="Body Text"/>
    <w:basedOn w:val="1"/>
    <w:next w:val="10"/>
    <w:autoRedefine/>
    <w:qFormat/>
    <w:uiPriority w:val="0"/>
    <w:pPr>
      <w:numPr>
        <w:ilvl w:val="0"/>
        <w:numId w:val="2"/>
      </w:numPr>
      <w:tabs>
        <w:tab w:val="clear" w:pos="780"/>
      </w:tabs>
      <w:ind w:left="0" w:firstLine="0"/>
    </w:pPr>
    <w:rPr>
      <w:rFonts w:ascii="黑体" w:hAnsi="Times New Roman" w:eastAsia="黑体" w:cs="Times New Roman"/>
      <w:sz w:val="22"/>
    </w:rPr>
  </w:style>
  <w:style w:type="paragraph" w:styleId="10">
    <w:name w:val="Body Text First Indent"/>
    <w:basedOn w:val="9"/>
    <w:autoRedefine/>
    <w:unhideWhenUsed/>
    <w:qFormat/>
    <w:uiPriority w:val="99"/>
    <w:pPr>
      <w:tabs>
        <w:tab w:val="left" w:pos="780"/>
      </w:tabs>
      <w:ind w:firstLine="420" w:firstLineChars="100"/>
    </w:pPr>
  </w:style>
  <w:style w:type="paragraph" w:styleId="11">
    <w:name w:val="Body Text Indent"/>
    <w:basedOn w:val="1"/>
    <w:next w:val="12"/>
    <w:autoRedefine/>
    <w:qFormat/>
    <w:uiPriority w:val="0"/>
    <w:pPr>
      <w:ind w:firstLine="700" w:firstLineChars="250"/>
    </w:pPr>
    <w:rPr>
      <w:rFonts w:ascii="楷体_GB2312" w:hAnsi="宋体" w:eastAsia="楷体_GB2312"/>
      <w:sz w:val="28"/>
    </w:rPr>
  </w:style>
  <w:style w:type="paragraph" w:styleId="12">
    <w:name w:val="Body Text First Indent 2"/>
    <w:basedOn w:val="11"/>
    <w:next w:val="10"/>
    <w:autoRedefine/>
    <w:qFormat/>
    <w:uiPriority w:val="99"/>
    <w:pPr>
      <w:tabs>
        <w:tab w:val="left" w:pos="0"/>
        <w:tab w:val="left" w:pos="993"/>
        <w:tab w:val="left" w:pos="1134"/>
      </w:tabs>
      <w:ind w:firstLine="420" w:firstLineChars="200"/>
    </w:pPr>
  </w:style>
  <w:style w:type="paragraph" w:styleId="13">
    <w:name w:val="List 2"/>
    <w:basedOn w:val="1"/>
    <w:next w:val="14"/>
    <w:autoRedefine/>
    <w:qFormat/>
    <w:uiPriority w:val="0"/>
    <w:pPr>
      <w:ind w:left="100" w:leftChars="200" w:hanging="200" w:hangingChars="200"/>
    </w:pPr>
  </w:style>
  <w:style w:type="paragraph" w:styleId="14">
    <w:name w:val="Plain Text"/>
    <w:basedOn w:val="1"/>
    <w:autoRedefine/>
    <w:qFormat/>
    <w:uiPriority w:val="0"/>
    <w:rPr>
      <w:rFonts w:ascii="宋体" w:hAnsi="Courier New" w:cs="Courier New"/>
      <w:szCs w:val="21"/>
    </w:rPr>
  </w:style>
  <w:style w:type="paragraph" w:styleId="15">
    <w:name w:val="Body Text Indent 2"/>
    <w:basedOn w:val="1"/>
    <w:autoRedefine/>
    <w:qFormat/>
    <w:uiPriority w:val="0"/>
    <w:pPr>
      <w:ind w:firstLine="480"/>
    </w:pPr>
    <w:rPr>
      <w:rFonts w:ascii="宋体" w:hAnsi="宋体"/>
      <w:sz w:val="30"/>
      <w:szCs w:val="24"/>
    </w:rPr>
  </w:style>
  <w:style w:type="paragraph" w:styleId="16">
    <w:name w:val="footer"/>
    <w:basedOn w:val="1"/>
    <w:autoRedefine/>
    <w:qFormat/>
    <w:uiPriority w:val="0"/>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8">
    <w:name w:val="toc 1"/>
    <w:basedOn w:val="1"/>
    <w:next w:val="1"/>
    <w:autoRedefine/>
    <w:qFormat/>
    <w:uiPriority w:val="39"/>
    <w:pPr>
      <w:spacing w:before="156" w:beforeLines="50"/>
    </w:pPr>
    <w:rPr>
      <w:rFonts w:ascii="仿宋_GB2312" w:eastAsia="仿宋_GB2312"/>
      <w:sz w:val="24"/>
    </w:rPr>
  </w:style>
  <w:style w:type="paragraph" w:styleId="19">
    <w:name w:val="List"/>
    <w:basedOn w:val="1"/>
    <w:autoRedefine/>
    <w:semiHidden/>
    <w:qFormat/>
    <w:uiPriority w:val="0"/>
    <w:pPr>
      <w:ind w:left="200" w:hanging="200" w:hangingChars="200"/>
    </w:pPr>
  </w:style>
  <w:style w:type="paragraph" w:styleId="20">
    <w:name w:val="footnote text"/>
    <w:basedOn w:val="1"/>
    <w:autoRedefine/>
    <w:qFormat/>
    <w:uiPriority w:val="0"/>
    <w:pPr>
      <w:snapToGrid w:val="0"/>
      <w:jc w:val="left"/>
    </w:pPr>
    <w:rPr>
      <w:sz w:val="18"/>
    </w:rPr>
  </w:style>
  <w:style w:type="paragraph" w:styleId="21">
    <w:name w:val="toc 2"/>
    <w:basedOn w:val="1"/>
    <w:next w:val="1"/>
    <w:autoRedefine/>
    <w:qFormat/>
    <w:uiPriority w:val="0"/>
    <w:pPr>
      <w:ind w:left="420" w:leftChars="200"/>
    </w:pPr>
  </w:style>
  <w:style w:type="paragraph" w:styleId="22">
    <w:name w:val="Normal (Web)"/>
    <w:basedOn w:val="1"/>
    <w:autoRedefine/>
    <w:qFormat/>
    <w:uiPriority w:val="99"/>
    <w:pPr>
      <w:widowControl/>
      <w:spacing w:before="100" w:beforeLines="0" w:beforeAutospacing="1" w:after="100" w:afterLines="0" w:afterAutospacing="1"/>
      <w:jc w:val="left"/>
    </w:pPr>
    <w:rPr>
      <w:rFonts w:ascii="宋体" w:hAnsi="宋体" w:cs="宋体"/>
      <w:kern w:val="0"/>
      <w:sz w:val="24"/>
      <w:szCs w:val="24"/>
    </w:rPr>
  </w:style>
  <w:style w:type="character" w:styleId="25">
    <w:name w:val="page number"/>
    <w:basedOn w:val="24"/>
    <w:autoRedefine/>
    <w:qFormat/>
    <w:uiPriority w:val="0"/>
    <w:rPr>
      <w:rFonts w:ascii="Times New Roman" w:hAnsi="Times New Roman" w:eastAsia="宋体" w:cs="Times New Roman"/>
    </w:rPr>
  </w:style>
  <w:style w:type="character" w:styleId="26">
    <w:name w:val="Hyperlink"/>
    <w:basedOn w:val="24"/>
    <w:autoRedefine/>
    <w:qFormat/>
    <w:uiPriority w:val="99"/>
    <w:rPr>
      <w:color w:val="136EC2"/>
      <w:u w:val="single"/>
    </w:rPr>
  </w:style>
  <w:style w:type="character" w:styleId="27">
    <w:name w:val="footnote reference"/>
    <w:basedOn w:val="24"/>
    <w:autoRedefine/>
    <w:unhideWhenUsed/>
    <w:qFormat/>
    <w:uiPriority w:val="99"/>
    <w:rPr>
      <w:vertAlign w:val="superscript"/>
    </w:rPr>
  </w:style>
  <w:style w:type="paragraph" w:customStyle="1" w:styleId="28">
    <w:name w:val="Default"/>
    <w:autoRedefine/>
    <w:qFormat/>
    <w:uiPriority w:val="99"/>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customStyle="1" w:styleId="29">
    <w:name w:val="段"/>
    <w:next w:val="1"/>
    <w:autoRedefine/>
    <w:qFormat/>
    <w:uiPriority w:val="0"/>
    <w:pPr>
      <w:autoSpaceDE w:val="0"/>
      <w:autoSpaceDN w:val="0"/>
      <w:spacing w:line="360" w:lineRule="auto"/>
      <w:ind w:left="50" w:right="62" w:firstLine="200" w:firstLineChars="200"/>
      <w:jc w:val="both"/>
    </w:pPr>
    <w:rPr>
      <w:rFonts w:ascii="宋体" w:hAnsi="Times New Roman" w:eastAsia="宋体" w:cs="Times New Roman"/>
      <w:sz w:val="21"/>
      <w:lang w:val="en-US" w:eastAsia="zh-CN" w:bidi="ar-SA"/>
    </w:rPr>
  </w:style>
  <w:style w:type="paragraph" w:customStyle="1" w:styleId="30">
    <w:name w:val="缺省文本"/>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Default Text"/>
    <w:autoRedefine/>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2">
    <w:name w:val="标题 2_0"/>
    <w:basedOn w:val="33"/>
    <w:next w:val="34"/>
    <w:link w:val="36"/>
    <w:autoRedefine/>
    <w:qFormat/>
    <w:uiPriority w:val="0"/>
    <w:pPr>
      <w:spacing w:line="360" w:lineRule="auto"/>
      <w:outlineLvl w:val="1"/>
    </w:pPr>
    <w:rPr>
      <w:rFonts w:ascii="Arial" w:hAnsi="Arial"/>
      <w:b w:val="0"/>
      <w:bCs w:val="0"/>
      <w:kern w:val="0"/>
      <w:sz w:val="24"/>
      <w:szCs w:val="20"/>
    </w:rPr>
  </w:style>
  <w:style w:type="paragraph" w:customStyle="1" w:styleId="33">
    <w:name w:val="标题 3_0"/>
    <w:basedOn w:val="34"/>
    <w:next w:val="34"/>
    <w:autoRedefine/>
    <w:unhideWhenUsed/>
    <w:qFormat/>
    <w:uiPriority w:val="9"/>
    <w:pPr>
      <w:keepNext/>
      <w:keepLines/>
      <w:spacing w:before="260" w:after="260" w:line="416" w:lineRule="auto"/>
      <w:outlineLvl w:val="2"/>
    </w:pPr>
    <w:rPr>
      <w:b/>
      <w:bCs/>
      <w:sz w:val="32"/>
      <w:szCs w:val="32"/>
    </w:rPr>
  </w:style>
  <w:style w:type="paragraph" w:customStyle="1" w:styleId="34">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_2"/>
    <w:basedOn w:val="34"/>
    <w:autoRedefine/>
    <w:qFormat/>
    <w:uiPriority w:val="0"/>
    <w:rPr>
      <w:rFonts w:ascii="Calibri" w:hAnsi="Calibri" w:cs="宋体"/>
      <w:szCs w:val="21"/>
    </w:rPr>
  </w:style>
  <w:style w:type="character" w:customStyle="1" w:styleId="36">
    <w:name w:val="标题 2 Char_0"/>
    <w:link w:val="32"/>
    <w:autoRedefine/>
    <w:qFormat/>
    <w:uiPriority w:val="0"/>
    <w:rPr>
      <w:rFonts w:ascii="Arial" w:hAnsi="Arial"/>
      <w:kern w:val="0"/>
      <w:sz w:val="24"/>
      <w:szCs w:val="20"/>
    </w:rPr>
  </w:style>
  <w:style w:type="paragraph" w:customStyle="1" w:styleId="37">
    <w:name w:val="正文1"/>
    <w:basedOn w:val="1"/>
    <w:autoRedefine/>
    <w:qFormat/>
    <w:uiPriority w:val="0"/>
    <w:pPr>
      <w:widowControl w:val="0"/>
      <w:adjustRightInd/>
      <w:snapToGrid/>
      <w:spacing w:beforeLines="50" w:afterLines="50" w:line="360" w:lineRule="auto"/>
      <w:ind w:firstLine="200" w:firstLineChars="200"/>
    </w:pPr>
    <w:rPr>
      <w:rFonts w:ascii="Arial" w:hAnsi="Arial" w:cs="Arial"/>
      <w:sz w:val="28"/>
      <w:szCs w:val="21"/>
    </w:rPr>
  </w:style>
  <w:style w:type="paragraph" w:customStyle="1" w:styleId="38">
    <w:name w:val="纯文本_0"/>
    <w:basedOn w:val="34"/>
    <w:autoRedefine/>
    <w:qFormat/>
    <w:uiPriority w:val="0"/>
    <w:rPr>
      <w:rFonts w:ascii="宋体" w:hAnsi="Courier New" w:eastAsia="宋体" w:cs="Courier New"/>
      <w:szCs w:val="21"/>
    </w:rPr>
  </w:style>
  <w:style w:type="character" w:customStyle="1" w:styleId="39">
    <w:name w:val="标题 1 Char"/>
    <w:link w:val="2"/>
    <w:autoRedefine/>
    <w:qFormat/>
    <w:uiPriority w:val="0"/>
    <w:rPr>
      <w:rFonts w:ascii="Times New Roman" w:hAnsi="Times New Roman"/>
      <w:b/>
      <w:bCs/>
      <w:kern w:val="0"/>
      <w:sz w:val="24"/>
      <w:szCs w:val="20"/>
    </w:rPr>
  </w:style>
  <w:style w:type="paragraph" w:styleId="40">
    <w:name w:val="List Paragraph"/>
    <w:basedOn w:val="1"/>
    <w:autoRedefine/>
    <w:qFormat/>
    <w:uiPriority w:val="34"/>
    <w:pPr>
      <w:ind w:firstLine="420" w:firstLineChars="200"/>
    </w:pPr>
  </w:style>
  <w:style w:type="paragraph" w:customStyle="1" w:styleId="41">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Normal"/>
    <w:autoRedefine/>
    <w:qFormat/>
    <w:uiPriority w:val="0"/>
    <w:rPr>
      <w:rFonts w:ascii="Times New Roman" w:hAnsi="Times New Roman" w:eastAsia="Times New Roman" w:cs="Times New Roman"/>
      <w:sz w:val="24"/>
      <w:szCs w:val="24"/>
      <w:lang w:val="en-US" w:eastAsia="zh-CN" w:bidi="ar-SA"/>
    </w:rPr>
  </w:style>
  <w:style w:type="paragraph" w:customStyle="1" w:styleId="43">
    <w:name w:val="正文_1_1"/>
    <w:basedOn w:val="44"/>
    <w:autoRedefine/>
    <w:qFormat/>
    <w:uiPriority w:val="0"/>
    <w:rPr>
      <w:rFonts w:ascii="Calibri" w:hAnsi="Calibri" w:cs="宋体"/>
      <w:szCs w:val="21"/>
    </w:rPr>
  </w:style>
  <w:style w:type="paragraph" w:customStyle="1" w:styleId="44">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文字缩进"/>
    <w:basedOn w:val="1"/>
    <w:next w:val="1"/>
    <w:autoRedefine/>
    <w:qFormat/>
    <w:uiPriority w:val="0"/>
    <w:pPr>
      <w:spacing w:line="400" w:lineRule="atLeast"/>
      <w:ind w:left="210" w:firstLine="210"/>
      <w:jc w:val="both"/>
    </w:pPr>
    <w:rPr>
      <w:rFonts w:ascii="宋体" w:hAnsi="Times New Roman" w:eastAsia="宋体" w:cs="Times New Roman"/>
      <w:color w:val="000000"/>
      <w:sz w:val="21"/>
    </w:rPr>
  </w:style>
  <w:style w:type="paragraph" w:customStyle="1" w:styleId="46">
    <w:name w:val="正文_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Normal_0"/>
    <w:autoRedefine/>
    <w:qFormat/>
    <w:uiPriority w:val="0"/>
    <w:rPr>
      <w:rFonts w:ascii="黑体" w:hAnsi="黑体" w:eastAsia="黑体" w:cs="Times New Roman"/>
      <w:b/>
      <w:sz w:val="32"/>
      <w:szCs w:val="24"/>
      <w:lang w:val="en-US" w:eastAsia="zh-CN" w:bidi="ar-SA"/>
    </w:rPr>
  </w:style>
  <w:style w:type="paragraph" w:customStyle="1" w:styleId="48">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Normal_1_0"/>
    <w:autoRedefine/>
    <w:qFormat/>
    <w:uiPriority w:val="0"/>
    <w:rPr>
      <w:rFonts w:ascii="黑体" w:hAnsi="黑体" w:eastAsia="黑体" w:cs="Times New Roman"/>
      <w:b/>
      <w:sz w:val="32"/>
      <w:szCs w:val="24"/>
      <w:lang w:val="en-US" w:eastAsia="zh-CN" w:bidi="ar-SA"/>
    </w:rPr>
  </w:style>
  <w:style w:type="paragraph" w:customStyle="1" w:styleId="50">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日期_0"/>
    <w:basedOn w:val="48"/>
    <w:next w:val="52"/>
    <w:autoRedefine/>
    <w:qFormat/>
    <w:uiPriority w:val="0"/>
    <w:pPr>
      <w:adjustRightInd w:val="0"/>
      <w:spacing w:line="360" w:lineRule="atLeast"/>
    </w:pPr>
    <w:rPr>
      <w:rFonts w:ascii="宋体"/>
      <w:kern w:val="0"/>
      <w:sz w:val="24"/>
      <w:szCs w:val="20"/>
    </w:rPr>
  </w:style>
  <w:style w:type="paragraph" w:customStyle="1" w:styleId="52">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_0_0_1"/>
    <w:autoRedefine/>
    <w:qFormat/>
    <w:uiPriority w:val="0"/>
    <w:pPr>
      <w:spacing w:before="120" w:after="120" w:line="360" w:lineRule="auto"/>
      <w:ind w:left="1072" w:hanging="1072"/>
      <w:jc w:val="both"/>
    </w:pPr>
    <w:rPr>
      <w:rFonts w:ascii="Times New Roman" w:hAnsi="Times New Roman" w:eastAsia="宋体" w:cs="Times New Roman"/>
      <w:kern w:val="2"/>
      <w:sz w:val="28"/>
      <w:szCs w:val="22"/>
      <w:lang w:val="en-US" w:eastAsia="zh-CN" w:bidi="ar-SA"/>
    </w:rPr>
  </w:style>
  <w:style w:type="paragraph" w:customStyle="1" w:styleId="54">
    <w:name w:val="Normal_2"/>
    <w:autoRedefine/>
    <w:qFormat/>
    <w:uiPriority w:val="0"/>
    <w:rPr>
      <w:rFonts w:ascii="黑体" w:hAnsi="黑体" w:eastAsia="黑体" w:cs="Times New Roman"/>
      <w:b/>
      <w:sz w:val="32"/>
      <w:szCs w:val="24"/>
      <w:lang w:val="en-US" w:eastAsia="zh-CN" w:bidi="ar-SA"/>
    </w:rPr>
  </w:style>
  <w:style w:type="paragraph" w:customStyle="1" w:styleId="55">
    <w:name w:val="正文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_0_0_0_0"/>
    <w:autoRedefine/>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57">
    <w:name w:val="纯文本_1"/>
    <w:basedOn w:val="55"/>
    <w:autoRedefine/>
    <w:unhideWhenUsed/>
    <w:qFormat/>
    <w:uiPriority w:val="0"/>
    <w:rPr>
      <w:rFonts w:ascii="宋体" w:hAnsi="Courier New" w:eastAsia="宋体" w:cs="Courier New"/>
      <w:szCs w:val="21"/>
    </w:rPr>
  </w:style>
  <w:style w:type="paragraph" w:customStyle="1" w:styleId="58">
    <w:name w:val="Normal_3"/>
    <w:autoRedefine/>
    <w:qFormat/>
    <w:uiPriority w:val="0"/>
    <w:rPr>
      <w:rFonts w:ascii="黑体" w:hAnsi="黑体" w:eastAsia="黑体" w:cs="Times New Roman"/>
      <w:b/>
      <w:sz w:val="32"/>
      <w:szCs w:val="24"/>
      <w:lang w:val="en-US" w:eastAsia="zh-CN" w:bidi="ar-SA"/>
    </w:rPr>
  </w:style>
  <w:style w:type="paragraph" w:customStyle="1" w:styleId="59">
    <w:name w:val="Normal_4"/>
    <w:autoRedefine/>
    <w:qFormat/>
    <w:uiPriority w:val="0"/>
    <w:rPr>
      <w:rFonts w:ascii="黑体" w:hAnsi="黑体" w:eastAsia="黑体" w:cs="Times New Roman"/>
      <w:b/>
      <w:sz w:val="32"/>
      <w:szCs w:val="24"/>
      <w:lang w:val="en-US" w:eastAsia="zh-CN" w:bidi="ar-SA"/>
    </w:rPr>
  </w:style>
  <w:style w:type="paragraph" w:customStyle="1" w:styleId="60">
    <w:name w:val="Normal_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Normal_8"/>
    <w:autoRedefine/>
    <w:qFormat/>
    <w:uiPriority w:val="0"/>
    <w:rPr>
      <w:rFonts w:ascii="黑体" w:hAnsi="黑体" w:eastAsia="黑体" w:cs="Times New Roman"/>
      <w:b/>
      <w:sz w:val="32"/>
      <w:szCs w:val="24"/>
      <w:lang w:val="en-US" w:eastAsia="zh-CN" w:bidi="ar-SA"/>
    </w:rPr>
  </w:style>
  <w:style w:type="paragraph" w:customStyle="1" w:styleId="62">
    <w:name w:val="标题 3_2_0"/>
    <w:basedOn w:val="63"/>
    <w:next w:val="63"/>
    <w:autoRedefine/>
    <w:unhideWhenUsed/>
    <w:qFormat/>
    <w:uiPriority w:val="9"/>
    <w:pPr>
      <w:keepNext/>
      <w:keepLines/>
      <w:spacing w:before="260" w:after="260" w:line="416" w:lineRule="auto"/>
      <w:outlineLvl w:val="2"/>
    </w:pPr>
    <w:rPr>
      <w:rFonts w:ascii="Calibri" w:hAnsi="Calibri" w:eastAsia="宋体"/>
      <w:b/>
      <w:bCs/>
      <w:sz w:val="32"/>
      <w:szCs w:val="32"/>
    </w:rPr>
  </w:style>
  <w:style w:type="paragraph" w:customStyle="1" w:styleId="63">
    <w:name w:val="正文_5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Normal_9"/>
    <w:autoRedefine/>
    <w:qFormat/>
    <w:uiPriority w:val="0"/>
    <w:rPr>
      <w:rFonts w:ascii="黑体" w:hAnsi="黑体" w:eastAsia="黑体" w:cs="Times New Roman"/>
      <w:b/>
      <w:sz w:val="32"/>
      <w:szCs w:val="24"/>
      <w:lang w:val="en-US" w:eastAsia="zh-CN" w:bidi="ar-SA"/>
    </w:rPr>
  </w:style>
  <w:style w:type="paragraph" w:customStyle="1" w:styleId="65">
    <w:name w:val="正文_6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Normal_10"/>
    <w:autoRedefine/>
    <w:qFormat/>
    <w:uiPriority w:val="0"/>
    <w:rPr>
      <w:rFonts w:ascii="黑体" w:hAnsi="黑体" w:eastAsia="黑体" w:cs="Times New Roman"/>
      <w:b/>
      <w:sz w:val="32"/>
      <w:szCs w:val="24"/>
      <w:lang w:val="en-US" w:eastAsia="zh-CN" w:bidi="ar-SA"/>
    </w:rPr>
  </w:style>
  <w:style w:type="paragraph" w:customStyle="1" w:styleId="67">
    <w:name w:val="正文_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文本缩进_0"/>
    <w:basedOn w:val="69"/>
    <w:autoRedefine/>
    <w:qFormat/>
    <w:uiPriority w:val="0"/>
    <w:pPr>
      <w:spacing w:before="100" w:beforeAutospacing="1" w:after="120"/>
      <w:ind w:left="420" w:leftChars="200"/>
    </w:pPr>
    <w:rPr>
      <w:rFonts w:ascii="Calibri" w:hAnsi="Calibri" w:cs="宋体"/>
    </w:rPr>
  </w:style>
  <w:style w:type="paragraph" w:customStyle="1" w:styleId="69">
    <w:name w:val="正文_1_0"/>
    <w:basedOn w:val="34"/>
    <w:next w:val="70"/>
    <w:autoRedefine/>
    <w:qFormat/>
    <w:uiPriority w:val="0"/>
    <w:rPr>
      <w:rFonts w:ascii="Calibri" w:hAnsi="Calibri"/>
      <w:szCs w:val="21"/>
    </w:rPr>
  </w:style>
  <w:style w:type="paragraph" w:customStyle="1" w:styleId="70">
    <w:name w:val="正文首行缩进1"/>
    <w:basedOn w:val="71"/>
    <w:autoRedefine/>
    <w:unhideWhenUsed/>
    <w:qFormat/>
    <w:uiPriority w:val="99"/>
    <w:pPr>
      <w:ind w:firstLine="420" w:firstLineChars="100"/>
    </w:pPr>
    <w:rPr>
      <w:szCs w:val="22"/>
    </w:rPr>
  </w:style>
  <w:style w:type="paragraph" w:customStyle="1" w:styleId="71">
    <w:name w:val="正文文本_0_0"/>
    <w:basedOn w:val="72"/>
    <w:autoRedefine/>
    <w:qFormat/>
    <w:uiPriority w:val="0"/>
    <w:pPr>
      <w:spacing w:after="120"/>
    </w:pPr>
    <w:rPr>
      <w:rFonts w:ascii="Calibri" w:hAnsi="Calibri"/>
      <w:kern w:val="0"/>
      <w:sz w:val="20"/>
    </w:rPr>
  </w:style>
  <w:style w:type="paragraph" w:customStyle="1" w:styleId="72">
    <w:name w:val="正文_1_0_0_0"/>
    <w:basedOn w:val="73"/>
    <w:autoRedefine/>
    <w:qFormat/>
    <w:uiPriority w:val="0"/>
    <w:pPr>
      <w:widowControl w:val="0"/>
      <w:jc w:val="both"/>
    </w:pPr>
    <w:rPr>
      <w:rFonts w:ascii="Calibri" w:hAnsi="Calibri"/>
      <w:kern w:val="2"/>
      <w:sz w:val="28"/>
      <w:szCs w:val="22"/>
      <w:lang w:val="en-US" w:eastAsia="zh-CN" w:bidi="ar-SA"/>
    </w:rPr>
  </w:style>
  <w:style w:type="paragraph" w:customStyle="1" w:styleId="73">
    <w:name w:val="正文_2_0_0_0"/>
    <w:basedOn w:val="74"/>
    <w:next w:val="75"/>
    <w:autoRedefine/>
    <w:qFormat/>
    <w:uiPriority w:val="0"/>
    <w:rPr>
      <w:rFonts w:ascii="Times New Roman" w:hAnsi="Times New Roman" w:cs="Times New Roman"/>
    </w:rPr>
  </w:style>
  <w:style w:type="paragraph" w:customStyle="1" w:styleId="74">
    <w:name w:val="正文_2_0_0"/>
    <w:basedOn w:val="48"/>
    <w:autoRedefine/>
    <w:qFormat/>
    <w:uiPriority w:val="0"/>
    <w:rPr>
      <w:rFonts w:ascii="Calibri" w:hAnsi="Calibri" w:cs="宋体"/>
      <w:szCs w:val="21"/>
    </w:rPr>
  </w:style>
  <w:style w:type="paragraph" w:customStyle="1" w:styleId="75">
    <w:name w:val="引文目录标题_0_0_0"/>
    <w:basedOn w:val="76"/>
    <w:next w:val="76"/>
    <w:autoRedefine/>
    <w:qFormat/>
    <w:uiPriority w:val="0"/>
    <w:pPr>
      <w:widowControl w:val="0"/>
      <w:adjustRightInd/>
      <w:snapToGrid/>
      <w:spacing w:before="120" w:after="0"/>
      <w:jc w:val="both"/>
    </w:pPr>
    <w:rPr>
      <w:rFonts w:ascii="Cambria" w:hAnsi="Cambria"/>
      <w:sz w:val="28"/>
    </w:rPr>
  </w:style>
  <w:style w:type="paragraph" w:customStyle="1" w:styleId="76">
    <w:name w:val="正文_4_0"/>
    <w:next w:val="7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文本_2_0"/>
    <w:basedOn w:val="76"/>
    <w:autoRedefine/>
    <w:unhideWhenUsed/>
    <w:qFormat/>
    <w:uiPriority w:val="0"/>
    <w:pPr>
      <w:spacing w:after="120"/>
    </w:pPr>
  </w:style>
  <w:style w:type="paragraph" w:customStyle="1" w:styleId="78">
    <w:name w:val="Normal_13"/>
    <w:autoRedefine/>
    <w:qFormat/>
    <w:uiPriority w:val="0"/>
    <w:rPr>
      <w:rFonts w:ascii="黑体" w:hAnsi="黑体" w:eastAsia="黑体" w:cs="Times New Roman"/>
      <w:b/>
      <w:sz w:val="32"/>
      <w:szCs w:val="24"/>
      <w:lang w:val="en-US" w:eastAsia="zh-CN" w:bidi="ar-SA"/>
    </w:rPr>
  </w:style>
  <w:style w:type="paragraph" w:customStyle="1" w:styleId="79">
    <w:name w:val="正文_1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_2"/>
    <w:next w:val="8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文本_1"/>
    <w:basedOn w:val="69"/>
    <w:autoRedefine/>
    <w:unhideWhenUsed/>
    <w:qFormat/>
    <w:uiPriority w:val="0"/>
    <w:pPr>
      <w:spacing w:after="120"/>
    </w:pPr>
    <w:rPr>
      <w:rFonts w:ascii="Calibri" w:hAnsi="Calibri" w:eastAsia="宋体" w:cs="Times New Roman"/>
    </w:rPr>
  </w:style>
  <w:style w:type="table" w:customStyle="1" w:styleId="82">
    <w:name w:val="Table Normal"/>
    <w:autoRedefine/>
    <w:semiHidden/>
    <w:unhideWhenUsed/>
    <w:qFormat/>
    <w:uiPriority w:val="0"/>
    <w:tblPr>
      <w:tblCellMar>
        <w:top w:w="0" w:type="dxa"/>
        <w:left w:w="0" w:type="dxa"/>
        <w:bottom w:w="0" w:type="dxa"/>
        <w:right w:w="0" w:type="dxa"/>
      </w:tblCellMar>
    </w:tblPr>
  </w:style>
  <w:style w:type="character" w:customStyle="1" w:styleId="83">
    <w:name w:val="font41"/>
    <w:basedOn w:val="24"/>
    <w:autoRedefine/>
    <w:qFormat/>
    <w:uiPriority w:val="0"/>
    <w:rPr>
      <w:rFonts w:hint="eastAsia" w:ascii="宋体" w:hAnsi="宋体" w:eastAsia="宋体" w:cs="宋体"/>
      <w:color w:val="000000"/>
      <w:sz w:val="21"/>
      <w:szCs w:val="21"/>
      <w:u w:val="none"/>
    </w:rPr>
  </w:style>
  <w:style w:type="character" w:customStyle="1" w:styleId="84">
    <w:name w:val="font51"/>
    <w:basedOn w:val="24"/>
    <w:autoRedefine/>
    <w:qFormat/>
    <w:uiPriority w:val="0"/>
    <w:rPr>
      <w:rFonts w:hint="eastAsia" w:ascii="宋体" w:hAnsi="宋体" w:eastAsia="宋体" w:cs="宋体"/>
      <w:color w:val="000000"/>
      <w:sz w:val="24"/>
      <w:szCs w:val="24"/>
      <w:u w:val="single"/>
    </w:rPr>
  </w:style>
  <w:style w:type="paragraph" w:customStyle="1" w:styleId="85">
    <w:name w:val="Table Text"/>
    <w:basedOn w:val="1"/>
    <w:autoRedefine/>
    <w:semiHidden/>
    <w:qFormat/>
    <w:uiPriority w:val="0"/>
    <w:rPr>
      <w:rFonts w:ascii="宋体" w:hAnsi="宋体" w:eastAsia="宋体" w:cs="宋体"/>
      <w:sz w:val="23"/>
      <w:szCs w:val="23"/>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3.xml"/><Relationship Id="rId11" Type="http://schemas.openxmlformats.org/officeDocument/2006/relationships/footer" Target="footer6.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94</Pages>
  <Words>47164</Words>
  <Characters>50889</Characters>
  <Lines>0</Lines>
  <Paragraphs>0</Paragraphs>
  <TotalTime>53</TotalTime>
  <ScaleCrop>false</ScaleCrop>
  <LinksUpToDate>false</LinksUpToDate>
  <CharactersWithSpaces>55316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2023-03-17T12:01:00Z</dcterms:created>
  <dc:creator>A乐不思蜀❄️</dc:creator>
  <cp:lastModifiedBy>A乐不思蜀❄️</cp:lastModifiedBy>
  <cp:lastPrinted>2024-03-19T10:07:00Z</cp:lastPrinted>
  <dcterms:modified xsi:type="dcterms:W3CDTF">2024-03-28T10:04:00Z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0570320AD95441CFB3C8CBB9B0C4451C</vt:lpwstr>
  </property>
</Properties>
</file>