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eastAsiaTheme="minorEastAsia"/>
          <w:b/>
          <w:bCs/>
          <w:sz w:val="30"/>
          <w:szCs w:val="30"/>
          <w:highlight w:val="none"/>
          <w:lang w:val="en-US" w:eastAsia="zh-CN"/>
        </w:rPr>
      </w:pPr>
      <w:r>
        <w:rPr>
          <w:rFonts w:hint="eastAsia" w:ascii="宋体" w:hAnsi="宋体" w:cs="宋体"/>
          <w:b/>
          <w:bCs/>
          <w:sz w:val="30"/>
          <w:szCs w:val="30"/>
          <w:highlight w:val="none"/>
        </w:rPr>
        <w:t>项目编号：</w:t>
      </w:r>
      <w:r>
        <w:rPr>
          <w:rFonts w:hint="eastAsia" w:ascii="宋体" w:hAnsi="宋体" w:cs="宋体"/>
          <w:b/>
          <w:bCs/>
          <w:sz w:val="30"/>
          <w:szCs w:val="30"/>
          <w:highlight w:val="none"/>
          <w:lang w:eastAsia="zh-CN"/>
        </w:rPr>
        <w:t>2025HTBZFCGZXhw0012</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r>
        <w:rPr>
          <w:rFonts w:hint="eastAsia" w:ascii="方正小标宋简体" w:hAnsi="方正小标宋简体" w:eastAsia="方正小标宋简体" w:cs="方正小标宋简体"/>
          <w:kern w:val="2"/>
          <w:sz w:val="44"/>
          <w:szCs w:val="44"/>
          <w:lang w:val="en-US" w:eastAsia="zh-CN" w:bidi="ar-SA"/>
        </w:rPr>
        <w:t>标项2</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七</w:t>
      </w:r>
      <w:bookmarkStart w:id="2" w:name="_GoBack"/>
      <w:bookmarkEnd w:id="2"/>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呼图壁县2025年幼儿园设施设备采购项目标项2</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呼图壁县2025年幼儿园设施设备采购项目标项2</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16</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上</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0</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2025HTBZFCGZXhw0012</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呼图壁县2025年幼儿园设施设备采购项目标项2</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665200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628200.00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w:t>
      </w:r>
      <w:r>
        <w:rPr>
          <w:rFonts w:ascii="宋体" w:hAnsi="宋体" w:eastAsia="宋体" w:cs="宋体"/>
          <w:b w:val="0"/>
          <w:i w:val="0"/>
          <w:color w:val="000000"/>
          <w:sz w:val="22"/>
          <w:highlight w:val="none"/>
        </w:rPr>
        <w:t>求</w:t>
      </w:r>
      <w:r>
        <w:rPr>
          <w:rFonts w:hint="eastAsia" w:ascii="宋体" w:hAnsi="宋体" w:eastAsia="宋体" w:cs="宋体"/>
          <w:b w:val="0"/>
          <w:i w:val="0"/>
          <w:color w:val="000000"/>
          <w:sz w:val="22"/>
          <w:highlight w:val="none"/>
          <w:lang w:val="en-US" w:eastAsia="zh-CN"/>
        </w:rPr>
        <w:t>：幼儿园安防电子设备(详见</w:t>
      </w:r>
      <w:r>
        <w:rPr>
          <w:rFonts w:hint="eastAsia" w:ascii="宋体" w:hAnsi="宋体" w:eastAsia="宋体" w:cs="宋体"/>
          <w:b w:val="0"/>
          <w:i w:val="0"/>
          <w:color w:val="000000"/>
          <w:sz w:val="24"/>
          <w:highlight w:val="none"/>
          <w:lang w:val="en-US" w:eastAsia="zh-CN"/>
        </w:rPr>
        <w:t>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15</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w:t>
      </w:r>
      <w:r>
        <w:rPr>
          <w:rFonts w:hint="eastAsia" w:ascii="宋体" w:hAnsi="宋体" w:eastAsia="宋体" w:cs="宋体"/>
          <w:b w:val="0"/>
          <w:i w:val="0"/>
          <w:color w:val="FF0000"/>
          <w:sz w:val="24"/>
          <w:highlight w:val="none"/>
          <w:u w:val="single"/>
          <w:lang w:val="en-US" w:eastAsia="zh-CN"/>
        </w:rPr>
        <w:t>16</w:t>
      </w:r>
      <w:r>
        <w:rPr>
          <w:rFonts w:hint="eastAsia" w:ascii="宋体" w:hAnsi="宋体" w:eastAsia="宋体" w:cs="宋体"/>
          <w:b w:val="0"/>
          <w:i w:val="0"/>
          <w:color w:val="FF0000"/>
          <w:sz w:val="24"/>
          <w:highlight w:val="none"/>
          <w:u w:val="single"/>
          <w:lang w:eastAsia="zh-CN"/>
        </w:rPr>
        <w:t>日</w:t>
      </w:r>
      <w:r>
        <w:rPr>
          <w:rFonts w:hint="eastAsia" w:ascii="宋体" w:hAnsi="宋体" w:eastAsia="宋体" w:cs="宋体"/>
          <w:b w:val="0"/>
          <w:i w:val="0"/>
          <w:color w:val="FF0000"/>
          <w:sz w:val="24"/>
          <w:highlight w:val="none"/>
          <w:u w:val="single"/>
          <w:lang w:val="en-US" w:eastAsia="zh-CN"/>
        </w:rPr>
        <w:t>上</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0</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2025HTBZFCGZXhw0012</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62.82</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cstheme="minorEastAsia"/>
                <w:b w:val="0"/>
                <w:i w:val="0"/>
                <w:color w:val="000000"/>
                <w:sz w:val="24"/>
                <w:szCs w:val="24"/>
                <w:highlight w:val="none"/>
                <w:lang w:val="en-US" w:eastAsia="zh-CN"/>
              </w:rPr>
              <w:t>3</w:t>
            </w:r>
            <w:r>
              <w:rPr>
                <w:rFonts w:hint="eastAsia" w:asciiTheme="minorEastAsia" w:hAnsiTheme="minorEastAsia" w:eastAsiaTheme="minorEastAsia" w:cstheme="minorEastAsia"/>
                <w:b w:val="0"/>
                <w:i w:val="0"/>
                <w:color w:val="000000"/>
                <w:sz w:val="24"/>
                <w:szCs w:val="24"/>
                <w:highlight w:val="none"/>
                <w:lang w:val="en-US" w:eastAsia="zh-CN"/>
              </w:rPr>
              <w:t>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w:t>
            </w:r>
            <w:r>
              <w:rPr>
                <w:rFonts w:hint="eastAsia" w:asciiTheme="minorEastAsia" w:hAnsiTheme="minorEastAsia" w:cstheme="minorEastAsia"/>
                <w:b w:val="0"/>
                <w:i w:val="0"/>
                <w:color w:val="000000"/>
                <w:sz w:val="24"/>
                <w:szCs w:val="24"/>
                <w:highlight w:val="none"/>
                <w:lang w:val="en-US" w:eastAsia="zh-CN"/>
              </w:rPr>
              <w:t>叁</w:t>
            </w:r>
            <w:r>
              <w:rPr>
                <w:rFonts w:hint="eastAsia" w:asciiTheme="minorEastAsia" w:hAnsiTheme="minorEastAsia" w:eastAsiaTheme="minorEastAsia" w:cstheme="minorEastAsia"/>
                <w:b w:val="0"/>
                <w:i w:val="0"/>
                <w:color w:val="000000"/>
                <w:sz w:val="24"/>
                <w:szCs w:val="24"/>
                <w:highlight w:val="none"/>
                <w:lang w:val="en-US" w:eastAsia="zh-CN"/>
              </w:rPr>
              <w:t>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r>
              <w:rPr>
                <w:rFonts w:hint="eastAsia" w:asciiTheme="minorEastAsia" w:hAnsiTheme="minorEastAsia" w:eastAsiaTheme="minorEastAsia" w:cstheme="minorEastAsia"/>
                <w:b w:val="0"/>
                <w:i w:val="0"/>
                <w:color w:val="000000"/>
                <w:sz w:val="24"/>
                <w:szCs w:val="24"/>
                <w:highlight w:val="yellow"/>
              </w:rPr>
              <w:t>缴纳</w:t>
            </w:r>
            <w:r>
              <w:rPr>
                <w:rFonts w:hint="eastAsia" w:asciiTheme="minorEastAsia" w:hAnsiTheme="minorEastAsia" w:cstheme="minorEastAsia"/>
                <w:b w:val="0"/>
                <w:i w:val="0"/>
                <w:color w:val="000000"/>
                <w:sz w:val="24"/>
                <w:szCs w:val="24"/>
                <w:highlight w:val="yellow"/>
                <w:lang w:val="en-US" w:eastAsia="zh-CN"/>
              </w:rPr>
              <w:t>谈判</w:t>
            </w:r>
            <w:r>
              <w:rPr>
                <w:rFonts w:hint="eastAsia" w:asciiTheme="minorEastAsia" w:hAnsiTheme="minorEastAsia" w:eastAsiaTheme="minorEastAsia" w:cstheme="minorEastAsia"/>
                <w:b w:val="0"/>
                <w:i w:val="0"/>
                <w:color w:val="000000"/>
                <w:sz w:val="24"/>
                <w:szCs w:val="24"/>
                <w:highlight w:val="yellow"/>
              </w:rPr>
              <w:t>保证金后需持缴款凭证到呼图壁县政府采购中心开据付款通知单（其它缴纳方式不用）。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16</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上</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11</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665200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628200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37"/>
        <w:gridCol w:w="862"/>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gridSpan w:val="2"/>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gridSpan w:val="2"/>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trPr>
        <w:tc>
          <w:tcPr>
            <w:tcW w:w="862" w:type="dxa"/>
            <w:gridSpan w:val="2"/>
            <w:vAlign w:val="center"/>
          </w:tcPr>
          <w:p>
            <w:pPr>
              <w:wordWrap w:val="0"/>
              <w:spacing w:before="0" w:after="0" w:line="240" w:lineRule="atLeast"/>
              <w:ind w:left="0" w:right="0"/>
              <w:jc w:val="center"/>
              <w:textAlignment w:val="baseline"/>
              <w:rPr>
                <w:rFonts w:hint="eastAsia" w:eastAsiaTheme="minorEastAsia"/>
                <w:sz w:val="19"/>
                <w:highlight w:val="none"/>
                <w:lang w:eastAsia="zh-CN"/>
              </w:rPr>
            </w:pPr>
            <w:r>
              <w:rPr>
                <w:rFonts w:hint="eastAsia" w:ascii="宋体" w:hAnsi="宋体" w:eastAsia="宋体" w:cs="宋体"/>
                <w:b w:val="0"/>
                <w:i w:val="0"/>
                <w:color w:val="000000"/>
                <w:sz w:val="19"/>
                <w:highlight w:val="none"/>
                <w:lang w:val="en-US" w:eastAsia="zh-CN"/>
              </w:rPr>
              <w:t>4</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tc>
        <w:tc>
          <w:tcPr>
            <w:tcW w:w="862" w:type="dxa"/>
            <w:vAlign w:val="center"/>
          </w:tcPr>
          <w:p>
            <w:pPr>
              <w:wordWrap w:val="0"/>
              <w:spacing w:before="0" w:after="0" w:line="240" w:lineRule="atLeast"/>
              <w:ind w:left="0" w:right="0"/>
              <w:jc w:val="center"/>
              <w:textAlignment w:val="baseline"/>
              <w:rPr>
                <w:rFonts w:hint="eastAsia" w:ascii="宋体" w:hAnsi="宋体" w:eastAsia="宋体" w:cs="宋体"/>
                <w:b w:val="0"/>
                <w:i w:val="0"/>
                <w:color w:val="000000"/>
                <w:sz w:val="19"/>
                <w:highlight w:val="none"/>
                <w:lang w:val="en-US" w:eastAsia="zh-CN"/>
              </w:rPr>
            </w:pPr>
            <w:r>
              <w:rPr>
                <w:rFonts w:ascii="宋体" w:hAnsi="宋体" w:eastAsia="宋体" w:cs="宋体"/>
                <w:b w:val="0"/>
                <w:i w:val="0"/>
                <w:color w:val="auto"/>
                <w:sz w:val="19"/>
                <w:highlight w:val="none"/>
              </w:rPr>
              <w:t>售后服务</w:t>
            </w:r>
          </w:p>
          <w:p>
            <w:pPr>
              <w:wordWrap w:val="0"/>
              <w:spacing w:before="0" w:after="0" w:line="260" w:lineRule="exact"/>
              <w:ind w:left="0" w:right="0"/>
              <w:jc w:val="both"/>
              <w:textAlignment w:val="baseline"/>
              <w:rPr>
                <w:rFonts w:ascii="宋体" w:hAnsi="宋体" w:eastAsia="宋体" w:cs="宋体"/>
                <w:b w:val="0"/>
                <w:i w:val="0"/>
                <w:color w:val="000000"/>
                <w:sz w:val="20"/>
                <w:highlight w:val="none"/>
              </w:rPr>
            </w:pPr>
          </w:p>
        </w:tc>
        <w:tc>
          <w:tcPr>
            <w:tcW w:w="6521" w:type="dxa"/>
            <w:vAlign w:val="top"/>
          </w:tcPr>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jc w:val="both"/>
              <w:textAlignment w:val="baseline"/>
              <w:rPr>
                <w:highlight w:val="none"/>
              </w:rPr>
            </w:pPr>
            <w:r>
              <w:rPr>
                <w:highlight w:val="none"/>
              </w:rPr>
              <w:t>自项目验收合格后三年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售后服务要求：投标人和制造商在质量保证期内应当为采购人提供以下技术支持和服务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1、投标产品质量保证期3年。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2、电话咨询。投标人和制造商应当为采购人提供24小时技术援助电话， 解答采购人在使用中遇到的问题， 及时为采购人提出解决问题的建议。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3、故障响应。投标人应在2小时内做出响应， 4小时内到场提供更高层级的技术支持，12小时内不能解决问题则必须提供备用产品，使采购人能够正常使用。</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highlight w:val="none"/>
              </w:rPr>
            </w:pPr>
            <w:r>
              <w:rPr>
                <w:rFonts w:hint="eastAsia" w:ascii="宋体" w:hAnsi="宋体" w:eastAsia="宋体" w:cs="宋体"/>
                <w:b w:val="0"/>
                <w:i w:val="0"/>
                <w:color w:val="000000"/>
                <w:sz w:val="20"/>
                <w:highlight w:val="none"/>
                <w:lang w:val="en-US" w:eastAsia="zh-CN"/>
              </w:rPr>
              <w:t>4、</w:t>
            </w:r>
            <w:r>
              <w:rPr>
                <w:rFonts w:ascii="宋体" w:hAnsi="宋体" w:eastAsia="宋体" w:cs="宋体"/>
                <w:b w:val="0"/>
                <w:i w:val="0"/>
                <w:color w:val="000000"/>
                <w:sz w:val="20"/>
                <w:highlight w:val="none"/>
              </w:rPr>
              <w:t>技术升级。在质保期内，如果投标人和制造商的产品技术升级，应及时通知采购人， 如采购人有相应要求， 投标人和制造商应对采购人购买的产品进行升级服务。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400" w:lineRule="exact"/>
              <w:ind w:right="0" w:rightChars="0"/>
              <w:jc w:val="both"/>
              <w:textAlignment w:val="baseline"/>
              <w:rPr>
                <w:sz w:val="20"/>
                <w:highlight w:val="none"/>
              </w:rPr>
            </w:pPr>
            <w:r>
              <w:rPr>
                <w:rFonts w:ascii="宋体" w:hAnsi="宋体" w:eastAsia="宋体" w:cs="宋体"/>
                <w:b w:val="0"/>
                <w:i w:val="0"/>
                <w:color w:val="000000"/>
                <w:sz w:val="20"/>
                <w:highlight w:val="none"/>
              </w:rPr>
              <w:t>5、质保期外服务要求。质量保证期过后， 供应商和制造商应同样提供电话咨询服务，并应承诺提供产品上门维护服务。质量保证期过后， 采购人需要继续由原供应商和制造商提供售后服务的， 该供应商和制造商应以优惠价格提供售后服务。</w:t>
            </w:r>
          </w:p>
          <w:p>
            <w:pPr>
              <w:keepNext w:val="0"/>
              <w:keepLines w:val="0"/>
              <w:pageBreakBefore w:val="0"/>
              <w:widowControl w:val="0"/>
              <w:kinsoku/>
              <w:wordWrap w:val="0"/>
              <w:overflowPunct/>
              <w:topLinePunct w:val="0"/>
              <w:autoSpaceDE/>
              <w:autoSpaceDN/>
              <w:bidi w:val="0"/>
              <w:adjustRightInd/>
              <w:snapToGrid/>
              <w:spacing w:before="0" w:line="400" w:lineRule="exact"/>
              <w:ind w:right="0"/>
              <w:jc w:val="both"/>
              <w:textAlignment w:val="baseline"/>
              <w:rPr>
                <w:sz w:val="20"/>
                <w:highlight w:val="none"/>
              </w:rPr>
            </w:pPr>
            <w:r>
              <w:rPr>
                <w:rFonts w:ascii="宋体" w:hAnsi="宋体" w:eastAsia="宋体" w:cs="宋体"/>
                <w:b w:val="0"/>
                <w:i w:val="0"/>
                <w:color w:val="000000"/>
                <w:sz w:val="20"/>
                <w:highlight w:val="none"/>
              </w:rPr>
              <w:t>6、备品备件及易损件。投标人和制造商售后服务中，维修使用的备品备件及易损件应为原厂配件，未经采购人同意不得使用非原厂配件，常用的、容易损坏的备品备件及易损件的价格清单须在投标文件中列出。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7</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8</w:t>
            </w:r>
          </w:p>
        </w:tc>
        <w:tc>
          <w:tcPr>
            <w:tcW w:w="899" w:type="dxa"/>
            <w:gridSpan w:val="2"/>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9</w:t>
            </w:r>
          </w:p>
        </w:tc>
        <w:tc>
          <w:tcPr>
            <w:tcW w:w="899" w:type="dxa"/>
            <w:gridSpan w:val="2"/>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000000"/>
                <w:sz w:val="17"/>
                <w:highlight w:val="yellow"/>
                <w:lang w:val="en-US" w:eastAsia="zh-CN"/>
              </w:rPr>
              <w:t>采购清单中有要求提供检测报告的需提供相关的检测报告。未提供或提供不全的不符合要求。</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501140A"/>
    <w:rsid w:val="052854C4"/>
    <w:rsid w:val="0AB02C24"/>
    <w:rsid w:val="0C64707D"/>
    <w:rsid w:val="0CC400F2"/>
    <w:rsid w:val="0D1A6FDE"/>
    <w:rsid w:val="0D257FA6"/>
    <w:rsid w:val="0D446767"/>
    <w:rsid w:val="0E417494"/>
    <w:rsid w:val="102F7659"/>
    <w:rsid w:val="10542090"/>
    <w:rsid w:val="10CE7676"/>
    <w:rsid w:val="119555E4"/>
    <w:rsid w:val="11C81E89"/>
    <w:rsid w:val="12B23100"/>
    <w:rsid w:val="14D17654"/>
    <w:rsid w:val="154936B4"/>
    <w:rsid w:val="169223AB"/>
    <w:rsid w:val="17D52458"/>
    <w:rsid w:val="188F4C6A"/>
    <w:rsid w:val="18911F90"/>
    <w:rsid w:val="18AE19B5"/>
    <w:rsid w:val="199B6BEF"/>
    <w:rsid w:val="1A9422E4"/>
    <w:rsid w:val="1AC158B7"/>
    <w:rsid w:val="1AE751FA"/>
    <w:rsid w:val="1AEE7C6E"/>
    <w:rsid w:val="1D41751D"/>
    <w:rsid w:val="1D8C03C6"/>
    <w:rsid w:val="1D8E1B96"/>
    <w:rsid w:val="1EC633F1"/>
    <w:rsid w:val="1EF22CA6"/>
    <w:rsid w:val="1FA248A7"/>
    <w:rsid w:val="213307A8"/>
    <w:rsid w:val="21A92372"/>
    <w:rsid w:val="2304359B"/>
    <w:rsid w:val="232D4391"/>
    <w:rsid w:val="23594EAC"/>
    <w:rsid w:val="26BC2AF3"/>
    <w:rsid w:val="28287D6D"/>
    <w:rsid w:val="28CA725A"/>
    <w:rsid w:val="294B13D8"/>
    <w:rsid w:val="299B128C"/>
    <w:rsid w:val="2B124691"/>
    <w:rsid w:val="2B1A2E84"/>
    <w:rsid w:val="2B754FE2"/>
    <w:rsid w:val="2BBF5679"/>
    <w:rsid w:val="2C04429F"/>
    <w:rsid w:val="2FEB5AD8"/>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019B8"/>
    <w:rsid w:val="389D5773"/>
    <w:rsid w:val="38A3593C"/>
    <w:rsid w:val="399F74F5"/>
    <w:rsid w:val="3A2E1F88"/>
    <w:rsid w:val="3B9E0E51"/>
    <w:rsid w:val="3BB261FA"/>
    <w:rsid w:val="3BB4005B"/>
    <w:rsid w:val="3DFC4E94"/>
    <w:rsid w:val="3DFE5F02"/>
    <w:rsid w:val="3FE414AE"/>
    <w:rsid w:val="41B0165F"/>
    <w:rsid w:val="42C161FB"/>
    <w:rsid w:val="45136E18"/>
    <w:rsid w:val="458D4F1C"/>
    <w:rsid w:val="47612C28"/>
    <w:rsid w:val="47CE1C23"/>
    <w:rsid w:val="48175D3E"/>
    <w:rsid w:val="48B14ADA"/>
    <w:rsid w:val="49474E51"/>
    <w:rsid w:val="4B4F6D6F"/>
    <w:rsid w:val="4D1B6601"/>
    <w:rsid w:val="4E8955F6"/>
    <w:rsid w:val="4FF45321"/>
    <w:rsid w:val="50BA160E"/>
    <w:rsid w:val="52256FC9"/>
    <w:rsid w:val="536C2559"/>
    <w:rsid w:val="55396CDF"/>
    <w:rsid w:val="568505A9"/>
    <w:rsid w:val="57943BD8"/>
    <w:rsid w:val="5881362B"/>
    <w:rsid w:val="59AE4BA0"/>
    <w:rsid w:val="5A6D45F1"/>
    <w:rsid w:val="5AF83AFA"/>
    <w:rsid w:val="5B504BF5"/>
    <w:rsid w:val="5B6D17C5"/>
    <w:rsid w:val="5B751510"/>
    <w:rsid w:val="5C596839"/>
    <w:rsid w:val="600943C4"/>
    <w:rsid w:val="607E3446"/>
    <w:rsid w:val="61354E81"/>
    <w:rsid w:val="617D6745"/>
    <w:rsid w:val="61983B52"/>
    <w:rsid w:val="63914767"/>
    <w:rsid w:val="648647CA"/>
    <w:rsid w:val="64FC128D"/>
    <w:rsid w:val="660B6AC2"/>
    <w:rsid w:val="663A3E2B"/>
    <w:rsid w:val="66687069"/>
    <w:rsid w:val="666C3F9C"/>
    <w:rsid w:val="66B7181A"/>
    <w:rsid w:val="66C51A5D"/>
    <w:rsid w:val="66F03864"/>
    <w:rsid w:val="671127E6"/>
    <w:rsid w:val="69D062CD"/>
    <w:rsid w:val="6AB927B2"/>
    <w:rsid w:val="6B2F5E4D"/>
    <w:rsid w:val="6BB01D81"/>
    <w:rsid w:val="6CA70FD3"/>
    <w:rsid w:val="716D08D2"/>
    <w:rsid w:val="717C0D75"/>
    <w:rsid w:val="71C82E7C"/>
    <w:rsid w:val="73157940"/>
    <w:rsid w:val="73532E1A"/>
    <w:rsid w:val="776013F4"/>
    <w:rsid w:val="77AD6E50"/>
    <w:rsid w:val="78F95C8A"/>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2025-07-11T10:11:06Z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2E913D48791A48B3A56F649147C91C9E</vt:lpwstr>
  </property>
</Properties>
</file>