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hw</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09</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r>
        <w:rPr>
          <w:rFonts w:hint="eastAsia" w:ascii="方正小标宋简体" w:hAnsi="方正小标宋简体" w:eastAsia="方正小标宋简体" w:cs="方正小标宋简体"/>
          <w:kern w:val="2"/>
          <w:sz w:val="44"/>
          <w:szCs w:val="44"/>
          <w:lang w:val="en-US" w:eastAsia="zh-CN" w:bidi="ar-SA"/>
        </w:rPr>
        <w:t>标项2</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呼图壁县2025年幼儿园设施设备采购项目标项2</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呼图壁县2025年幼儿园设施设备采购项目标项2</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3</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下</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6</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2025HTBZFCGZXhw0009</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呼图壁县2025年幼儿园设施设备采购项目标项2</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750200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678200.00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w:t>
      </w:r>
      <w:r>
        <w:rPr>
          <w:rFonts w:ascii="宋体" w:hAnsi="宋体" w:eastAsia="宋体" w:cs="宋体"/>
          <w:b w:val="0"/>
          <w:i w:val="0"/>
          <w:color w:val="000000"/>
          <w:sz w:val="22"/>
          <w:highlight w:val="none"/>
        </w:rPr>
        <w:t>求</w:t>
      </w:r>
      <w:r>
        <w:rPr>
          <w:rFonts w:hint="eastAsia" w:ascii="宋体" w:hAnsi="宋体" w:eastAsia="宋体" w:cs="宋体"/>
          <w:b w:val="0"/>
          <w:i w:val="0"/>
          <w:color w:val="000000"/>
          <w:sz w:val="22"/>
          <w:highlight w:val="none"/>
          <w:lang w:val="en-US" w:eastAsia="zh-CN"/>
        </w:rPr>
        <w:t>：幼儿园安防、消防及电子设备(详见</w:t>
      </w:r>
      <w:r>
        <w:rPr>
          <w:rFonts w:hint="eastAsia" w:ascii="宋体" w:hAnsi="宋体" w:eastAsia="宋体" w:cs="宋体"/>
          <w:b w:val="0"/>
          <w:i w:val="0"/>
          <w:color w:val="000000"/>
          <w:sz w:val="24"/>
          <w:highlight w:val="none"/>
          <w:lang w:val="en-US" w:eastAsia="zh-CN"/>
        </w:rPr>
        <w:t>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6</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27</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2025年7月3日</w:t>
      </w:r>
      <w:r>
        <w:rPr>
          <w:rFonts w:hint="eastAsia" w:ascii="宋体" w:hAnsi="宋体" w:eastAsia="宋体" w:cs="宋体"/>
          <w:b w:val="0"/>
          <w:i w:val="0"/>
          <w:color w:val="FF0000"/>
          <w:sz w:val="24"/>
          <w:highlight w:val="none"/>
          <w:u w:val="single"/>
          <w:lang w:val="en-US" w:eastAsia="zh-CN"/>
        </w:rPr>
        <w:t>下</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6</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2025HTBZFCGZXhw0009</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67.82</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val="en-US" w:eastAsia="zh-CN"/>
              </w:rPr>
              <w:t>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壹万陆仟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3</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下</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6</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17</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750200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678200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37"/>
        <w:gridCol w:w="862"/>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gridSpan w:val="2"/>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gridSpan w:val="2"/>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trPr>
        <w:tc>
          <w:tcPr>
            <w:tcW w:w="862" w:type="dxa"/>
            <w:gridSpan w:val="2"/>
            <w:vAlign w:val="center"/>
          </w:tcPr>
          <w:p>
            <w:pPr>
              <w:wordWrap w:val="0"/>
              <w:spacing w:before="0" w:after="0" w:line="240" w:lineRule="atLeast"/>
              <w:ind w:left="0" w:right="0"/>
              <w:jc w:val="center"/>
              <w:textAlignment w:val="baseline"/>
              <w:rPr>
                <w:rFonts w:hint="eastAsia" w:eastAsiaTheme="minorEastAsia"/>
                <w:sz w:val="19"/>
                <w:highlight w:val="none"/>
                <w:lang w:eastAsia="zh-CN"/>
              </w:rPr>
            </w:pPr>
            <w:r>
              <w:rPr>
                <w:rFonts w:hint="eastAsia" w:ascii="宋体" w:hAnsi="宋体" w:eastAsia="宋体" w:cs="宋体"/>
                <w:b w:val="0"/>
                <w:i w:val="0"/>
                <w:color w:val="000000"/>
                <w:sz w:val="19"/>
                <w:highlight w:val="none"/>
                <w:lang w:val="en-US" w:eastAsia="zh-CN"/>
              </w:rPr>
              <w:t>4</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tc>
        <w:tc>
          <w:tcPr>
            <w:tcW w:w="862" w:type="dxa"/>
            <w:vAlign w:val="center"/>
          </w:tcPr>
          <w:p>
            <w:pPr>
              <w:wordWrap w:val="0"/>
              <w:spacing w:before="0" w:after="0" w:line="240" w:lineRule="atLeast"/>
              <w:ind w:left="0" w:right="0"/>
              <w:jc w:val="center"/>
              <w:textAlignment w:val="baseline"/>
              <w:rPr>
                <w:rFonts w:hint="eastAsia" w:ascii="宋体" w:hAnsi="宋体" w:eastAsia="宋体" w:cs="宋体"/>
                <w:b w:val="0"/>
                <w:i w:val="0"/>
                <w:color w:val="000000"/>
                <w:sz w:val="19"/>
                <w:highlight w:val="none"/>
                <w:lang w:val="en-US" w:eastAsia="zh-CN"/>
              </w:rPr>
            </w:pPr>
            <w:r>
              <w:rPr>
                <w:rFonts w:ascii="宋体" w:hAnsi="宋体" w:eastAsia="宋体" w:cs="宋体"/>
                <w:b w:val="0"/>
                <w:i w:val="0"/>
                <w:color w:val="auto"/>
                <w:sz w:val="19"/>
                <w:highlight w:val="none"/>
              </w:rPr>
              <w:t>售后服务</w:t>
            </w:r>
          </w:p>
          <w:p>
            <w:pPr>
              <w:wordWrap w:val="0"/>
              <w:spacing w:before="0" w:after="0" w:line="260" w:lineRule="exact"/>
              <w:ind w:left="0" w:right="0"/>
              <w:jc w:val="both"/>
              <w:textAlignment w:val="baseline"/>
              <w:rPr>
                <w:rFonts w:ascii="宋体" w:hAnsi="宋体" w:eastAsia="宋体" w:cs="宋体"/>
                <w:b w:val="0"/>
                <w:i w:val="0"/>
                <w:color w:val="000000"/>
                <w:sz w:val="20"/>
                <w:highlight w:val="none"/>
              </w:rPr>
            </w:pPr>
          </w:p>
        </w:tc>
        <w:tc>
          <w:tcPr>
            <w:tcW w:w="6521" w:type="dxa"/>
            <w:vAlign w:val="top"/>
          </w:tcPr>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jc w:val="both"/>
              <w:textAlignment w:val="baseline"/>
              <w:rPr>
                <w:highlight w:val="none"/>
              </w:rPr>
            </w:pPr>
            <w:r>
              <w:rPr>
                <w:highlight w:val="none"/>
              </w:rPr>
              <w:t>自项目验收合格后三年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售后服务要求：投标人和制造商在质量保证期内应当为采购人提供以下技术支持和服务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1、投标产品质量保证期3年。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2、电话咨询。投标人和制造商应当为采购人提供24小时技术援助电话， 解答采购人在使用中遇到的问题， 及时为采购人提出解决问题的建议。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3、故障响应。投标人应在2小时内做出响应， 4小时内到场提供更高层级的技术支持，12小时内不能解决问题则必须提供备用产品，使采购人能够正常使用。</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highlight w:val="none"/>
              </w:rPr>
            </w:pPr>
            <w:r>
              <w:rPr>
                <w:rFonts w:hint="eastAsia" w:ascii="宋体" w:hAnsi="宋体" w:eastAsia="宋体" w:cs="宋体"/>
                <w:b w:val="0"/>
                <w:i w:val="0"/>
                <w:color w:val="000000"/>
                <w:sz w:val="20"/>
                <w:highlight w:val="none"/>
                <w:lang w:val="en-US" w:eastAsia="zh-CN"/>
              </w:rPr>
              <w:t>4、</w:t>
            </w:r>
            <w:r>
              <w:rPr>
                <w:rFonts w:ascii="宋体" w:hAnsi="宋体" w:eastAsia="宋体" w:cs="宋体"/>
                <w:b w:val="0"/>
                <w:i w:val="0"/>
                <w:color w:val="000000"/>
                <w:sz w:val="20"/>
                <w:highlight w:val="none"/>
              </w:rPr>
              <w:t>技术升级。在质保期内，如果投标人和制造商的产品技术升级，应及时通知采购人， 如采购人有相应要求， 投标人和制造商应对采购人购买的产品进行升级服务。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400" w:lineRule="exact"/>
              <w:ind w:right="0" w:rightChars="0"/>
              <w:jc w:val="both"/>
              <w:textAlignment w:val="baseline"/>
              <w:rPr>
                <w:sz w:val="20"/>
                <w:highlight w:val="none"/>
              </w:rPr>
            </w:pPr>
            <w:r>
              <w:rPr>
                <w:rFonts w:ascii="宋体" w:hAnsi="宋体" w:eastAsia="宋体" w:cs="宋体"/>
                <w:b w:val="0"/>
                <w:i w:val="0"/>
                <w:color w:val="000000"/>
                <w:sz w:val="20"/>
                <w:highlight w:val="none"/>
              </w:rPr>
              <w:t>5、质保期外服务要求。质量保证期过后， 供应商和制造商应同样提供电话咨询服务，并应承诺提供产品上门维护服务。质量保证期过后， 采购人需要继续由原供应商和制造商提供售后服务的， 该供应商和制造商应以优惠价格提供售后服务。</w:t>
            </w:r>
          </w:p>
          <w:p>
            <w:pPr>
              <w:keepNext w:val="0"/>
              <w:keepLines w:val="0"/>
              <w:pageBreakBefore w:val="0"/>
              <w:widowControl w:val="0"/>
              <w:kinsoku/>
              <w:wordWrap w:val="0"/>
              <w:overflowPunct/>
              <w:topLinePunct w:val="0"/>
              <w:autoSpaceDE/>
              <w:autoSpaceDN/>
              <w:bidi w:val="0"/>
              <w:adjustRightInd/>
              <w:snapToGrid/>
              <w:spacing w:before="0" w:line="400" w:lineRule="exact"/>
              <w:ind w:right="0"/>
              <w:jc w:val="both"/>
              <w:textAlignment w:val="baseline"/>
              <w:rPr>
                <w:sz w:val="20"/>
                <w:highlight w:val="none"/>
              </w:rPr>
            </w:pPr>
            <w:r>
              <w:rPr>
                <w:rFonts w:ascii="宋体" w:hAnsi="宋体" w:eastAsia="宋体" w:cs="宋体"/>
                <w:b w:val="0"/>
                <w:i w:val="0"/>
                <w:color w:val="000000"/>
                <w:sz w:val="20"/>
                <w:highlight w:val="none"/>
              </w:rPr>
              <w:t>6、备品备件及易损件。投标人和制造商售后服务中，维修使用的备品备件及易损件应为原厂配件，未经采购人同意不得使用非原厂配件，常用的、容易损坏的备品备件及易损件的价格清单须在投标文件中列出。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7</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8</w:t>
            </w:r>
          </w:p>
        </w:tc>
        <w:tc>
          <w:tcPr>
            <w:tcW w:w="899" w:type="dxa"/>
            <w:gridSpan w:val="2"/>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9</w:t>
            </w:r>
          </w:p>
        </w:tc>
        <w:tc>
          <w:tcPr>
            <w:tcW w:w="899" w:type="dxa"/>
            <w:gridSpan w:val="2"/>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FF0000"/>
                <w:sz w:val="17"/>
                <w:highlight w:val="none"/>
                <w:lang w:eastAsia="zh-CN"/>
              </w:rPr>
              <w:t>逐项提供省部级或国家认可的第三方权威检测机构出具的权威检测报告或证书。</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bookmarkStart w:id="2" w:name="_GoBack"/>
      <w:bookmarkEnd w:id="2"/>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501140A"/>
    <w:rsid w:val="052854C4"/>
    <w:rsid w:val="0AB02C24"/>
    <w:rsid w:val="0CC400F2"/>
    <w:rsid w:val="0D1A6FDE"/>
    <w:rsid w:val="0D257FA6"/>
    <w:rsid w:val="0D446767"/>
    <w:rsid w:val="0E417494"/>
    <w:rsid w:val="102F7659"/>
    <w:rsid w:val="10542090"/>
    <w:rsid w:val="10CE7676"/>
    <w:rsid w:val="11C81E89"/>
    <w:rsid w:val="14D17654"/>
    <w:rsid w:val="154936B4"/>
    <w:rsid w:val="17D52458"/>
    <w:rsid w:val="188F4C6A"/>
    <w:rsid w:val="18911F90"/>
    <w:rsid w:val="18AE19B5"/>
    <w:rsid w:val="199B6BEF"/>
    <w:rsid w:val="1A9422E4"/>
    <w:rsid w:val="1AC158B7"/>
    <w:rsid w:val="1AE751FA"/>
    <w:rsid w:val="1AEE7C6E"/>
    <w:rsid w:val="1D41751D"/>
    <w:rsid w:val="1D8C03C6"/>
    <w:rsid w:val="1D8E1B96"/>
    <w:rsid w:val="1EC633F1"/>
    <w:rsid w:val="1EF22CA6"/>
    <w:rsid w:val="213307A8"/>
    <w:rsid w:val="21A92372"/>
    <w:rsid w:val="2304359B"/>
    <w:rsid w:val="232D4391"/>
    <w:rsid w:val="23594EAC"/>
    <w:rsid w:val="26BC2AF3"/>
    <w:rsid w:val="28287D6D"/>
    <w:rsid w:val="28CA725A"/>
    <w:rsid w:val="294B13D8"/>
    <w:rsid w:val="299B128C"/>
    <w:rsid w:val="2B124691"/>
    <w:rsid w:val="2B1A2E84"/>
    <w:rsid w:val="2B754FE2"/>
    <w:rsid w:val="2C04429F"/>
    <w:rsid w:val="2FEB5AD8"/>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3DFE5F02"/>
    <w:rsid w:val="41B0165F"/>
    <w:rsid w:val="42C161FB"/>
    <w:rsid w:val="45136E18"/>
    <w:rsid w:val="458D4F1C"/>
    <w:rsid w:val="47612C28"/>
    <w:rsid w:val="47CE1C23"/>
    <w:rsid w:val="48175D3E"/>
    <w:rsid w:val="49474E51"/>
    <w:rsid w:val="4D1B6601"/>
    <w:rsid w:val="4FF45321"/>
    <w:rsid w:val="50BA160E"/>
    <w:rsid w:val="52256FC9"/>
    <w:rsid w:val="536C2559"/>
    <w:rsid w:val="55396CDF"/>
    <w:rsid w:val="568505A9"/>
    <w:rsid w:val="57943BD8"/>
    <w:rsid w:val="5881362B"/>
    <w:rsid w:val="59AE4BA0"/>
    <w:rsid w:val="5A6D45F1"/>
    <w:rsid w:val="5AF83AFA"/>
    <w:rsid w:val="5B504BF5"/>
    <w:rsid w:val="5B6D17C5"/>
    <w:rsid w:val="5B751510"/>
    <w:rsid w:val="5C596839"/>
    <w:rsid w:val="600943C4"/>
    <w:rsid w:val="61354E81"/>
    <w:rsid w:val="617D6745"/>
    <w:rsid w:val="61983B52"/>
    <w:rsid w:val="648647CA"/>
    <w:rsid w:val="64FC128D"/>
    <w:rsid w:val="660B6AC2"/>
    <w:rsid w:val="663A3E2B"/>
    <w:rsid w:val="666C3F9C"/>
    <w:rsid w:val="66B7181A"/>
    <w:rsid w:val="66F03864"/>
    <w:rsid w:val="671127E6"/>
    <w:rsid w:val="69D062CD"/>
    <w:rsid w:val="6AB927B2"/>
    <w:rsid w:val="6BB01D81"/>
    <w:rsid w:val="6CA70FD3"/>
    <w:rsid w:val="716D08D2"/>
    <w:rsid w:val="717C0D75"/>
    <w:rsid w:val="71C82E7C"/>
    <w:rsid w:val="73157940"/>
    <w:rsid w:val="73532E1A"/>
    <w:rsid w:val="776013F4"/>
    <w:rsid w:val="77AD6E50"/>
    <w:rsid w:val="78F95C8A"/>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2025-06-27T02:55:57Z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6CBECDEF9A004884AB3095DB18F09FF2</vt:lpwstr>
  </property>
</Properties>
</file>