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E8BF">
      <w:pPr>
        <w:spacing w:beforeLines="50" w:line="360" w:lineRule="auto"/>
        <w:jc w:val="center"/>
        <w:rPr>
          <w:rFonts w:ascii="宋体" w:hAnsi="宋体"/>
          <w:sz w:val="96"/>
          <w:szCs w:val="96"/>
        </w:rPr>
      </w:pPr>
    </w:p>
    <w:p w14:paraId="0F3E732B">
      <w:pPr>
        <w:pStyle w:val="16"/>
        <w:keepNext/>
        <w:jc w:val="center"/>
        <w:rPr>
          <w:rFonts w:hint="eastAsia" w:hAnsi="宋体" w:cs="宋体"/>
          <w:b/>
          <w:kern w:val="2"/>
          <w:sz w:val="52"/>
          <w:szCs w:val="52"/>
          <w:lang w:eastAsia="zh-CN"/>
        </w:rPr>
      </w:pPr>
      <w:r>
        <w:rPr>
          <w:rFonts w:hint="eastAsia" w:hAnsi="宋体" w:cs="宋体"/>
          <w:b/>
          <w:kern w:val="2"/>
          <w:sz w:val="52"/>
          <w:szCs w:val="52"/>
        </w:rPr>
        <w:t>城北街道2025年国有企业退休人员全覆盖慰问</w:t>
      </w:r>
      <w:r>
        <w:rPr>
          <w:rFonts w:hint="eastAsia" w:hAnsi="宋体" w:cs="宋体"/>
          <w:b/>
          <w:kern w:val="2"/>
          <w:sz w:val="52"/>
          <w:szCs w:val="52"/>
          <w:lang w:eastAsia="zh-CN"/>
        </w:rPr>
        <w:t>招标文件</w:t>
      </w:r>
    </w:p>
    <w:p w14:paraId="733AC662">
      <w:pPr>
        <w:pStyle w:val="16"/>
        <w:keepNext/>
        <w:jc w:val="center"/>
        <w:rPr>
          <w:rFonts w:hAnsi="宋体" w:cs="宋体"/>
          <w:b/>
          <w:sz w:val="52"/>
          <w:szCs w:val="52"/>
          <w:u w:val="single"/>
        </w:rPr>
      </w:pPr>
      <w:r>
        <w:rPr>
          <w:rFonts w:hint="eastAsia" w:hAnsi="宋体" w:cs="宋体"/>
          <w:b/>
          <w:sz w:val="52"/>
          <w:szCs w:val="52"/>
          <w:u w:val="single"/>
        </w:rPr>
        <w:t>（全过程电子化评标）</w:t>
      </w:r>
    </w:p>
    <w:p w14:paraId="24606254">
      <w:pPr>
        <w:pStyle w:val="37"/>
        <w:rPr>
          <w:rFonts w:ascii="宋体" w:hAnsi="宋体"/>
          <w:szCs w:val="21"/>
        </w:rPr>
      </w:pPr>
    </w:p>
    <w:p w14:paraId="493F5765">
      <w:pPr>
        <w:pStyle w:val="9"/>
      </w:pPr>
    </w:p>
    <w:p w14:paraId="63086625">
      <w:pPr>
        <w:pStyle w:val="37"/>
      </w:pPr>
    </w:p>
    <w:p w14:paraId="04BBB5ED">
      <w:pPr>
        <w:pStyle w:val="9"/>
      </w:pPr>
    </w:p>
    <w:p w14:paraId="17C74E98"/>
    <w:p w14:paraId="1F6A5FE3">
      <w:pPr>
        <w:spacing w:line="360" w:lineRule="auto"/>
        <w:jc w:val="center"/>
        <w:rPr>
          <w:rFonts w:ascii="宋体" w:hAnsi="宋体"/>
          <w:b/>
          <w:sz w:val="32"/>
          <w:szCs w:val="32"/>
        </w:rPr>
      </w:pPr>
    </w:p>
    <w:p w14:paraId="5A22244C">
      <w:pPr>
        <w:widowControl/>
        <w:shd w:val="clear" w:color="auto" w:fill="FFFFFF"/>
        <w:spacing w:line="480" w:lineRule="auto"/>
        <w:ind w:left="2032" w:leftChars="286" w:hanging="1431" w:hangingChars="500"/>
        <w:rPr>
          <w:rFonts w:ascii="宋体" w:hAnsi="宋体" w:cs="宋体"/>
          <w:b/>
          <w:bCs/>
          <w:sz w:val="30"/>
          <w:szCs w:val="30"/>
        </w:rPr>
      </w:pPr>
      <w:r>
        <w:rPr>
          <w:rFonts w:hint="eastAsia" w:ascii="仿宋_GB2312" w:hAnsi="宋体" w:eastAsia="仿宋_GB2312" w:cs="Courier New"/>
          <w:b/>
          <w:bCs/>
          <w:w w:val="95"/>
          <w:sz w:val="30"/>
          <w:szCs w:val="30"/>
        </w:rPr>
        <w:t>项目编号：</w:t>
      </w:r>
      <w:r>
        <w:rPr>
          <w:rFonts w:hint="eastAsia" w:ascii="宋体" w:hAnsi="宋体" w:cs="宋体"/>
          <w:b/>
          <w:bCs/>
          <w:sz w:val="30"/>
          <w:szCs w:val="30"/>
        </w:rPr>
        <w:t xml:space="preserve">TCBY2025-12 </w:t>
      </w:r>
    </w:p>
    <w:p w14:paraId="48F4C69C">
      <w:pPr>
        <w:widowControl/>
        <w:shd w:val="clear" w:color="auto" w:fill="FFFFFF"/>
        <w:spacing w:line="480" w:lineRule="auto"/>
        <w:ind w:left="2107" w:leftChars="286" w:hanging="1506" w:hangingChars="500"/>
        <w:rPr>
          <w:rFonts w:ascii="宋体" w:hAnsi="宋体" w:cs="宋体"/>
          <w:b/>
          <w:bCs/>
          <w:sz w:val="30"/>
          <w:szCs w:val="30"/>
        </w:rPr>
      </w:pPr>
      <w:r>
        <w:rPr>
          <w:rFonts w:hint="eastAsia" w:ascii="宋体" w:hAnsi="宋体" w:cs="宋体"/>
          <w:b/>
          <w:bCs/>
          <w:sz w:val="30"/>
          <w:szCs w:val="30"/>
        </w:rPr>
        <w:t>采 购 人（盖章）：哈密市伊州区城北街道办事处</w:t>
      </w:r>
    </w:p>
    <w:p w14:paraId="750D670D">
      <w:pPr>
        <w:widowControl/>
        <w:shd w:val="clear" w:color="auto" w:fill="FFFFFF"/>
        <w:spacing w:line="480" w:lineRule="auto"/>
        <w:ind w:left="2107" w:leftChars="286" w:hanging="1506" w:hangingChars="500"/>
        <w:rPr>
          <w:rFonts w:ascii="宋体" w:hAnsi="宋体" w:cs="宋体"/>
          <w:b/>
          <w:bCs/>
          <w:sz w:val="30"/>
          <w:szCs w:val="30"/>
        </w:rPr>
      </w:pPr>
    </w:p>
    <w:p w14:paraId="59E96372">
      <w:pPr>
        <w:widowControl/>
        <w:shd w:val="clear" w:color="auto" w:fill="FFFFFF"/>
        <w:spacing w:line="480" w:lineRule="auto"/>
        <w:ind w:left="2107" w:leftChars="286" w:hanging="1506" w:hangingChars="500"/>
        <w:rPr>
          <w:rFonts w:ascii="宋体" w:hAnsi="宋体" w:cs="宋体"/>
          <w:b/>
          <w:bCs/>
          <w:sz w:val="30"/>
          <w:szCs w:val="30"/>
        </w:rPr>
      </w:pPr>
      <w:r>
        <w:rPr>
          <w:rFonts w:hint="eastAsia" w:ascii="宋体" w:hAnsi="宋体" w:cs="宋体"/>
          <w:b/>
          <w:bCs/>
          <w:sz w:val="30"/>
          <w:szCs w:val="30"/>
        </w:rPr>
        <w:t>采购代理机构（盖章）：新疆同创博远项目管理咨询有限责任公司</w:t>
      </w:r>
    </w:p>
    <w:p w14:paraId="11609505">
      <w:pPr>
        <w:widowControl/>
        <w:shd w:val="clear" w:color="auto" w:fill="FFFFFF"/>
        <w:spacing w:line="480" w:lineRule="auto"/>
        <w:ind w:left="2107" w:leftChars="286" w:hanging="1506" w:hangingChars="500"/>
        <w:rPr>
          <w:rFonts w:ascii="宋体" w:hAnsi="宋体" w:cs="宋体"/>
          <w:b/>
          <w:bCs/>
          <w:sz w:val="30"/>
          <w:szCs w:val="30"/>
        </w:rPr>
      </w:pPr>
      <w:r>
        <w:rPr>
          <w:rFonts w:hint="eastAsia" w:ascii="宋体" w:hAnsi="宋体" w:cs="宋体"/>
          <w:b/>
          <w:bCs/>
          <w:sz w:val="30"/>
          <w:szCs w:val="30"/>
          <w:lang w:val="zh-CN"/>
        </w:rPr>
        <w:t>日期：</w:t>
      </w:r>
      <w:r>
        <w:rPr>
          <w:rFonts w:hint="eastAsia" w:ascii="宋体" w:hAnsi="宋体" w:cs="宋体"/>
          <w:b/>
          <w:bCs/>
          <w:sz w:val="30"/>
          <w:szCs w:val="30"/>
        </w:rPr>
        <w:t>2025年04月 25日</w:t>
      </w:r>
    </w:p>
    <w:p w14:paraId="35AE308C">
      <w:pPr>
        <w:pStyle w:val="3"/>
        <w:sectPr>
          <w:pgSz w:w="11906" w:h="16838"/>
          <w:pgMar w:top="1440" w:right="1080" w:bottom="1440" w:left="1080" w:header="851" w:footer="992" w:gutter="0"/>
          <w:pgNumType w:start="0"/>
          <w:cols w:space="720" w:num="1"/>
          <w:docGrid w:type="lines" w:linePitch="312" w:charSpace="0"/>
        </w:sectPr>
      </w:pPr>
    </w:p>
    <w:p w14:paraId="183BA267">
      <w:pPr>
        <w:spacing w:line="360" w:lineRule="auto"/>
        <w:jc w:val="center"/>
        <w:rPr>
          <w:rFonts w:ascii="宋体" w:hAnsi="宋体"/>
          <w:b/>
          <w:sz w:val="44"/>
          <w:szCs w:val="44"/>
        </w:rPr>
      </w:pPr>
      <w:r>
        <w:rPr>
          <w:rFonts w:hint="eastAsia" w:ascii="宋体" w:hAnsi="宋体"/>
          <w:b/>
          <w:sz w:val="44"/>
          <w:szCs w:val="44"/>
        </w:rPr>
        <w:t>目   录</w:t>
      </w:r>
    </w:p>
    <w:p w14:paraId="2CA62EAF">
      <w:pPr>
        <w:spacing w:line="400" w:lineRule="exact"/>
        <w:jc w:val="center"/>
        <w:rPr>
          <w:rFonts w:ascii="宋体" w:hAnsi="宋体"/>
          <w:b/>
          <w:sz w:val="44"/>
          <w:szCs w:val="44"/>
        </w:rPr>
      </w:pPr>
    </w:p>
    <w:p w14:paraId="18F643E8">
      <w:pPr>
        <w:pStyle w:val="19"/>
        <w:tabs>
          <w:tab w:val="right" w:leader="dot" w:pos="8879"/>
        </w:tabs>
        <w:spacing w:line="360" w:lineRule="auto"/>
      </w:pPr>
      <w:r>
        <w:rPr>
          <w:rFonts w:hint="eastAsia" w:ascii="宋体" w:hAnsi="宋体"/>
          <w:b/>
          <w:sz w:val="30"/>
          <w:szCs w:val="30"/>
        </w:rPr>
        <w:fldChar w:fldCharType="begin"/>
      </w:r>
      <w:r>
        <w:rPr>
          <w:rFonts w:hint="eastAsia" w:ascii="宋体" w:hAnsi="宋体"/>
          <w:b/>
          <w:sz w:val="30"/>
          <w:szCs w:val="30"/>
        </w:rPr>
        <w:instrText xml:space="preserve"> TOC \o "1-3" \h \z \u </w:instrText>
      </w:r>
      <w:r>
        <w:rPr>
          <w:rFonts w:hint="eastAsia" w:ascii="宋体" w:hAnsi="宋体"/>
          <w:b/>
          <w:sz w:val="30"/>
          <w:szCs w:val="30"/>
        </w:rPr>
        <w:fldChar w:fldCharType="separate"/>
      </w:r>
      <w:r>
        <w:fldChar w:fldCharType="begin"/>
      </w:r>
      <w:r>
        <w:instrText xml:space="preserve"> HYPERLINK \l "_Toc29350" </w:instrText>
      </w:r>
      <w:r>
        <w:fldChar w:fldCharType="separate"/>
      </w:r>
      <w:r>
        <w:t xml:space="preserve">第一章 </w:t>
      </w:r>
      <w:r>
        <w:rPr>
          <w:rFonts w:hint="eastAsia"/>
          <w:lang w:eastAsia="zh-CN"/>
        </w:rPr>
        <w:t>招标</w:t>
      </w:r>
      <w:r>
        <w:rPr>
          <w:rFonts w:hint="eastAsia"/>
        </w:rPr>
        <w:t>公告</w:t>
      </w:r>
      <w:r>
        <w:tab/>
      </w:r>
      <w:r>
        <w:fldChar w:fldCharType="begin"/>
      </w:r>
      <w:r>
        <w:instrText xml:space="preserve"> PAGEREF _Toc29350 \h </w:instrText>
      </w:r>
      <w:r>
        <w:fldChar w:fldCharType="separate"/>
      </w:r>
      <w:r>
        <w:t>2</w:t>
      </w:r>
      <w:r>
        <w:fldChar w:fldCharType="end"/>
      </w:r>
      <w:r>
        <w:fldChar w:fldCharType="end"/>
      </w:r>
    </w:p>
    <w:p w14:paraId="282003FF">
      <w:pPr>
        <w:pStyle w:val="19"/>
        <w:tabs>
          <w:tab w:val="right" w:leader="dot" w:pos="8879"/>
        </w:tabs>
      </w:pPr>
      <w:r>
        <w:fldChar w:fldCharType="begin"/>
      </w:r>
      <w:r>
        <w:instrText xml:space="preserve"> HYPERLINK \l "_Toc7494" </w:instrText>
      </w:r>
      <w:r>
        <w:fldChar w:fldCharType="separate"/>
      </w:r>
      <w:r>
        <w:rPr>
          <w:rFonts w:hint="eastAsia" w:ascii="宋体" w:hAnsi="宋体" w:cs="宋体"/>
          <w:szCs w:val="28"/>
          <w:lang w:eastAsia="zh-CN"/>
        </w:rPr>
        <w:t>招标</w:t>
      </w:r>
      <w:r>
        <w:rPr>
          <w:rFonts w:hint="eastAsia" w:ascii="宋体" w:hAnsi="宋体" w:cs="宋体"/>
          <w:szCs w:val="28"/>
        </w:rPr>
        <w:t>公告</w:t>
      </w:r>
      <w:r>
        <w:tab/>
      </w:r>
      <w:r>
        <w:fldChar w:fldCharType="begin"/>
      </w:r>
      <w:r>
        <w:instrText xml:space="preserve"> PAGEREF _Toc7494 \h </w:instrText>
      </w:r>
      <w:r>
        <w:fldChar w:fldCharType="separate"/>
      </w:r>
      <w:r>
        <w:t>2</w:t>
      </w:r>
      <w:r>
        <w:fldChar w:fldCharType="end"/>
      </w:r>
      <w:r>
        <w:fldChar w:fldCharType="end"/>
      </w:r>
    </w:p>
    <w:p w14:paraId="2DDDA655">
      <w:pPr>
        <w:pStyle w:val="19"/>
        <w:tabs>
          <w:tab w:val="right" w:leader="dot" w:pos="8879"/>
        </w:tabs>
      </w:pPr>
      <w:r>
        <w:fldChar w:fldCharType="begin"/>
      </w:r>
      <w:r>
        <w:instrText xml:space="preserve"> HYPERLINK \l "_Toc7292" </w:instrText>
      </w:r>
      <w:r>
        <w:fldChar w:fldCharType="separate"/>
      </w:r>
      <w:r>
        <w:t xml:space="preserve">第二章 </w:t>
      </w:r>
      <w:r>
        <w:rPr>
          <w:rFonts w:hint="eastAsia"/>
        </w:rPr>
        <w:t>采购需求</w:t>
      </w:r>
      <w:r>
        <w:tab/>
      </w:r>
      <w:r>
        <w:fldChar w:fldCharType="begin"/>
      </w:r>
      <w:r>
        <w:instrText xml:space="preserve"> PAGEREF _Toc7292 \h </w:instrText>
      </w:r>
      <w:r>
        <w:fldChar w:fldCharType="separate"/>
      </w:r>
      <w:r>
        <w:t>5</w:t>
      </w:r>
      <w:r>
        <w:fldChar w:fldCharType="end"/>
      </w:r>
      <w:r>
        <w:fldChar w:fldCharType="end"/>
      </w:r>
    </w:p>
    <w:p w14:paraId="4918C5B9">
      <w:pPr>
        <w:pStyle w:val="19"/>
        <w:tabs>
          <w:tab w:val="right" w:leader="dot" w:pos="8879"/>
        </w:tabs>
      </w:pPr>
      <w:r>
        <w:fldChar w:fldCharType="begin"/>
      </w:r>
      <w:r>
        <w:instrText xml:space="preserve"> HYPERLINK \l "_Toc5220" </w:instrText>
      </w:r>
      <w:r>
        <w:fldChar w:fldCharType="separate"/>
      </w:r>
      <w:r>
        <w:rPr>
          <w:rFonts w:hint="eastAsia"/>
        </w:rPr>
        <w:t>第三章供应商须知</w:t>
      </w:r>
      <w:r>
        <w:tab/>
      </w:r>
      <w:r>
        <w:rPr>
          <w:rFonts w:hint="eastAsia"/>
          <w:lang w:val="en-US" w:eastAsia="zh-CN"/>
        </w:rPr>
        <w:t>6</w:t>
      </w:r>
      <w:r>
        <w:fldChar w:fldCharType="end"/>
      </w:r>
    </w:p>
    <w:p w14:paraId="19483C78">
      <w:pPr>
        <w:pStyle w:val="21"/>
        <w:tabs>
          <w:tab w:val="right" w:leader="dot" w:pos="8879"/>
          <w:tab w:val="clear" w:pos="8296"/>
        </w:tabs>
      </w:pPr>
      <w:r>
        <w:fldChar w:fldCharType="begin"/>
      </w:r>
      <w:r>
        <w:instrText xml:space="preserve"> HYPERLINK \l "_Toc8344" </w:instrText>
      </w:r>
      <w:r>
        <w:fldChar w:fldCharType="separate"/>
      </w:r>
      <w:r>
        <w:rPr>
          <w:rFonts w:hint="eastAsia"/>
        </w:rPr>
        <w:t>第一节 供应商须知前附表</w:t>
      </w:r>
      <w:r>
        <w:tab/>
      </w:r>
      <w:r>
        <w:rPr>
          <w:rFonts w:hint="eastAsia"/>
          <w:lang w:val="en-US" w:eastAsia="zh-CN"/>
        </w:rPr>
        <w:t>6</w:t>
      </w:r>
      <w:r>
        <w:fldChar w:fldCharType="end"/>
      </w:r>
    </w:p>
    <w:p w14:paraId="36D3DFB7">
      <w:pPr>
        <w:pStyle w:val="21"/>
        <w:tabs>
          <w:tab w:val="right" w:leader="dot" w:pos="8879"/>
          <w:tab w:val="clear" w:pos="8296"/>
        </w:tabs>
      </w:pPr>
      <w:r>
        <w:fldChar w:fldCharType="begin"/>
      </w:r>
      <w:r>
        <w:instrText xml:space="preserve"> HYPERLINK \l "_Toc6502" </w:instrText>
      </w:r>
      <w:r>
        <w:fldChar w:fldCharType="separate"/>
      </w:r>
      <w:r>
        <w:rPr>
          <w:rFonts w:hint="eastAsia"/>
        </w:rPr>
        <w:t>第二节 供应商须知正文</w:t>
      </w:r>
      <w:r>
        <w:tab/>
      </w:r>
      <w:r>
        <w:fldChar w:fldCharType="begin"/>
      </w:r>
      <w:r>
        <w:instrText xml:space="preserve"> PAGEREF _Toc6502 \h </w:instrText>
      </w:r>
      <w:r>
        <w:fldChar w:fldCharType="separate"/>
      </w:r>
      <w:r>
        <w:t>1</w:t>
      </w:r>
      <w:r>
        <w:rPr>
          <w:rFonts w:hint="eastAsia"/>
          <w:lang w:val="en-US" w:eastAsia="zh-CN"/>
        </w:rPr>
        <w:t>1</w:t>
      </w:r>
      <w:r>
        <w:fldChar w:fldCharType="end"/>
      </w:r>
      <w:r>
        <w:fldChar w:fldCharType="end"/>
      </w:r>
    </w:p>
    <w:p w14:paraId="356244D2">
      <w:pPr>
        <w:pStyle w:val="16"/>
        <w:spacing w:line="336" w:lineRule="auto"/>
        <w:textAlignment w:val="center"/>
        <w:rPr>
          <w:rFonts w:hint="eastAsia" w:eastAsia="宋体"/>
          <w:lang w:val="en-US" w:eastAsia="zh-CN"/>
        </w:rPr>
      </w:pPr>
      <w:r>
        <w:rPr>
          <w:rFonts w:hint="eastAsia" w:ascii="Times New Roman" w:hAnsi="Times New Roman"/>
          <w:kern w:val="2"/>
          <w:sz w:val="21"/>
          <w:szCs w:val="24"/>
        </w:rPr>
        <w:t>第四章 评审程序、评审方法和评审标准...............................................................................................2</w:t>
      </w:r>
      <w:r>
        <w:rPr>
          <w:rFonts w:hint="eastAsia" w:ascii="Times New Roman" w:hAnsi="Times New Roman"/>
          <w:kern w:val="2"/>
          <w:sz w:val="21"/>
          <w:szCs w:val="24"/>
          <w:lang w:val="en-US" w:eastAsia="zh-CN"/>
        </w:rPr>
        <w:t>5</w:t>
      </w:r>
    </w:p>
    <w:p w14:paraId="5F8A26C0">
      <w:pPr>
        <w:pStyle w:val="19"/>
        <w:tabs>
          <w:tab w:val="right" w:leader="dot" w:pos="8879"/>
        </w:tabs>
      </w:pPr>
      <w:r>
        <w:fldChar w:fldCharType="begin"/>
      </w:r>
      <w:r>
        <w:instrText xml:space="preserve"> HYPERLINK \l "_Toc15667" </w:instrText>
      </w:r>
      <w:r>
        <w:fldChar w:fldCharType="separate"/>
      </w:r>
      <w:r>
        <w:rPr>
          <w:rFonts w:hint="eastAsia"/>
        </w:rPr>
        <w:t>第五章</w:t>
      </w:r>
      <w:r>
        <w:rPr>
          <w:rFonts w:hint="eastAsia"/>
          <w:lang w:val="en-US" w:eastAsia="zh-CN"/>
        </w:rPr>
        <w:t>投标</w:t>
      </w:r>
      <w:r>
        <w:rPr>
          <w:rFonts w:hint="eastAsia"/>
        </w:rPr>
        <w:t>文件格式</w:t>
      </w:r>
      <w:r>
        <w:tab/>
      </w:r>
      <w:r>
        <w:fldChar w:fldCharType="begin"/>
      </w:r>
      <w:r>
        <w:instrText xml:space="preserve"> PAGEREF _Toc15667 \h </w:instrText>
      </w:r>
      <w:r>
        <w:fldChar w:fldCharType="separate"/>
      </w:r>
      <w:r>
        <w:t>3</w:t>
      </w:r>
      <w:r>
        <w:rPr>
          <w:rFonts w:hint="eastAsia"/>
          <w:lang w:val="en-US" w:eastAsia="zh-CN"/>
        </w:rPr>
        <w:t>0</w:t>
      </w:r>
      <w:r>
        <w:fldChar w:fldCharType="end"/>
      </w:r>
      <w:r>
        <w:fldChar w:fldCharType="end"/>
      </w:r>
    </w:p>
    <w:p w14:paraId="31241B1C">
      <w:pPr>
        <w:pStyle w:val="21"/>
        <w:rPr>
          <w:sz w:val="28"/>
          <w:szCs w:val="28"/>
        </w:rPr>
      </w:pPr>
      <w:r>
        <w:rPr>
          <w:rFonts w:hint="eastAsia" w:ascii="宋体" w:hAnsi="宋体"/>
          <w:szCs w:val="30"/>
        </w:rPr>
        <w:fldChar w:fldCharType="end"/>
      </w:r>
    </w:p>
    <w:p w14:paraId="462E60F3">
      <w:pPr>
        <w:spacing w:line="400" w:lineRule="exact"/>
        <w:jc w:val="left"/>
        <w:rPr>
          <w:rFonts w:ascii="宋体" w:hAnsi="宋体"/>
          <w:b/>
          <w:sz w:val="32"/>
          <w:szCs w:val="32"/>
        </w:rPr>
      </w:pPr>
    </w:p>
    <w:p w14:paraId="34590E60">
      <w:pPr>
        <w:widowControl/>
        <w:jc w:val="left"/>
        <w:rPr>
          <w:rFonts w:ascii="宋体" w:hAnsi="宋体"/>
          <w:b/>
          <w:sz w:val="32"/>
          <w:szCs w:val="32"/>
        </w:rPr>
        <w:sectPr>
          <w:footerReference r:id="rId3" w:type="default"/>
          <w:pgSz w:w="11906" w:h="16838"/>
          <w:pgMar w:top="1440" w:right="1440" w:bottom="1440" w:left="1587" w:header="851" w:footer="992" w:gutter="0"/>
          <w:pgNumType w:start="1"/>
          <w:cols w:space="720" w:num="1"/>
          <w:docGrid w:type="lines" w:linePitch="312" w:charSpace="0"/>
        </w:sectPr>
      </w:pPr>
    </w:p>
    <w:p w14:paraId="2169CA5C">
      <w:pPr>
        <w:pStyle w:val="2"/>
        <w:ind w:left="1560" w:hanging="1560"/>
        <w:jc w:val="center"/>
      </w:pPr>
      <w:bookmarkStart w:id="0" w:name="_Toc29350"/>
      <w:r>
        <w:t>第一章</w:t>
      </w:r>
      <w:r>
        <w:rPr>
          <w:rFonts w:hint="eastAsia"/>
          <w:lang w:eastAsia="zh-CN"/>
        </w:rPr>
        <w:t>招标</w:t>
      </w:r>
      <w:r>
        <w:rPr>
          <w:rFonts w:hint="eastAsia"/>
        </w:rPr>
        <w:t>公告</w:t>
      </w:r>
      <w:bookmarkEnd w:id="0"/>
      <w:bookmarkStart w:id="1" w:name="_Toc28359004"/>
      <w:bookmarkStart w:id="2" w:name="_Toc28359081"/>
      <w:bookmarkStart w:id="3" w:name="_Toc35393792"/>
      <w:bookmarkStart w:id="4" w:name="_Toc35393629"/>
      <w:bookmarkStart w:id="5" w:name="_Toc35393798"/>
      <w:bookmarkStart w:id="6" w:name="_Toc28359012"/>
      <w:bookmarkStart w:id="7" w:name="_Toc35393623"/>
      <w:bookmarkStart w:id="8" w:name="_Toc44229878"/>
      <w:bookmarkStart w:id="9" w:name="_Toc28359089"/>
    </w:p>
    <w:p w14:paraId="58E0979E">
      <w:pPr>
        <w:pStyle w:val="2"/>
        <w:tabs>
          <w:tab w:val="left" w:pos="0"/>
        </w:tabs>
        <w:autoSpaceDE w:val="0"/>
        <w:autoSpaceDN w:val="0"/>
        <w:adjustRightInd w:val="0"/>
        <w:spacing w:before="0" w:after="0" w:line="360" w:lineRule="auto"/>
        <w:jc w:val="center"/>
        <w:rPr>
          <w:rFonts w:hint="eastAsia" w:ascii="宋体" w:hAnsi="宋体" w:eastAsia="宋体" w:cs="宋体"/>
          <w:sz w:val="28"/>
          <w:szCs w:val="28"/>
        </w:rPr>
      </w:pPr>
      <w:bookmarkStart w:id="10" w:name="_Toc7494"/>
      <w:r>
        <w:rPr>
          <w:rFonts w:hint="eastAsia" w:ascii="宋体" w:hAnsi="宋体" w:eastAsia="宋体" w:cs="宋体"/>
          <w:sz w:val="28"/>
          <w:szCs w:val="28"/>
        </w:rPr>
        <w:t>城北街道2025年国有企业退休人员全覆盖慰问</w:t>
      </w:r>
      <w:r>
        <w:rPr>
          <w:rFonts w:hint="eastAsia" w:ascii="宋体" w:hAnsi="宋体" w:eastAsia="宋体" w:cs="宋体"/>
          <w:sz w:val="28"/>
          <w:szCs w:val="28"/>
          <w:lang w:eastAsia="zh-CN"/>
        </w:rPr>
        <w:t>招标</w:t>
      </w:r>
      <w:r>
        <w:rPr>
          <w:rFonts w:hint="eastAsia" w:ascii="宋体" w:hAnsi="宋体" w:eastAsia="宋体" w:cs="宋体"/>
          <w:sz w:val="28"/>
          <w:szCs w:val="28"/>
        </w:rPr>
        <w:t>公告</w:t>
      </w:r>
      <w:bookmarkEnd w:id="10"/>
    </w:p>
    <w:p w14:paraId="317904F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7215454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highlight w:val="none"/>
        </w:rPr>
      </w:pPr>
      <w:r>
        <w:rPr>
          <w:rFonts w:hint="eastAsia" w:ascii="宋体" w:hAnsi="宋体" w:cs="宋体"/>
          <w:szCs w:val="21"/>
          <w:u w:val="single"/>
        </w:rPr>
        <w:t>城北街道2025年国有企业退休人员全覆盖慰问</w:t>
      </w:r>
      <w:r>
        <w:rPr>
          <w:rFonts w:hint="eastAsia" w:ascii="宋体" w:hAnsi="宋体" w:cs="宋体"/>
          <w:szCs w:val="21"/>
        </w:rPr>
        <w:t>的潜在供应商应在新疆政府采购网（http://www.ccgp-xinjiang.gov.cn）政采云平台线上获取采购文件</w:t>
      </w:r>
      <w:r>
        <w:rPr>
          <w:rFonts w:hint="eastAsia" w:ascii="宋体" w:hAnsi="宋体" w:cs="宋体"/>
          <w:szCs w:val="21"/>
          <w:highlight w:val="none"/>
        </w:rPr>
        <w:t>，并于2025年5月</w:t>
      </w:r>
      <w:r>
        <w:rPr>
          <w:rFonts w:hint="eastAsia" w:ascii="宋体" w:hAnsi="宋体" w:cs="宋体"/>
          <w:szCs w:val="21"/>
          <w:highlight w:val="none"/>
          <w:lang w:val="en-US" w:eastAsia="zh-CN"/>
        </w:rPr>
        <w:t>28</w:t>
      </w:r>
      <w:r>
        <w:rPr>
          <w:rFonts w:hint="eastAsia" w:ascii="宋体" w:hAnsi="宋体" w:cs="宋体"/>
          <w:szCs w:val="21"/>
          <w:highlight w:val="none"/>
        </w:rPr>
        <w:t>日10点00分（北京时间）前提交响应文件。</w:t>
      </w:r>
    </w:p>
    <w:p w14:paraId="35C940EE">
      <w:pPr>
        <w:pStyle w:val="3"/>
        <w:numPr>
          <w:ilvl w:val="0"/>
          <w:numId w:val="2"/>
        </w:numPr>
        <w:spacing w:line="300" w:lineRule="exact"/>
        <w:rPr>
          <w:rFonts w:ascii="Times New Roman" w:hAnsi="宋体" w:cs="宋体"/>
          <w:sz w:val="21"/>
          <w:szCs w:val="28"/>
        </w:rPr>
      </w:pPr>
      <w:bookmarkStart w:id="11" w:name="_Toc12178"/>
      <w:r>
        <w:rPr>
          <w:rFonts w:hint="eastAsia" w:ascii="Times New Roman" w:hAnsi="宋体" w:cs="宋体"/>
          <w:sz w:val="21"/>
          <w:szCs w:val="28"/>
        </w:rPr>
        <w:t>项目基本情况</w:t>
      </w:r>
      <w:bookmarkEnd w:id="11"/>
    </w:p>
    <w:p w14:paraId="7C52B71D">
      <w:pPr>
        <w:snapToGrid w:val="0"/>
        <w:spacing w:beforeLines="50" w:line="360" w:lineRule="auto"/>
        <w:rPr>
          <w:rFonts w:ascii="宋体" w:hAnsi="宋体" w:cs="宋体"/>
          <w:szCs w:val="21"/>
        </w:rPr>
      </w:pPr>
      <w:r>
        <w:rPr>
          <w:rFonts w:hint="eastAsia" w:ascii="宋体" w:hAnsi="宋体" w:cs="宋体"/>
          <w:szCs w:val="21"/>
        </w:rPr>
        <w:t>项目编号：TCBY2025-12</w:t>
      </w:r>
    </w:p>
    <w:p w14:paraId="4F907810">
      <w:pPr>
        <w:widowControl/>
        <w:shd w:val="clear" w:color="auto" w:fill="FFFFFF"/>
        <w:spacing w:line="360" w:lineRule="auto"/>
        <w:ind w:left="1050" w:hanging="1050" w:hangingChars="500"/>
        <w:jc w:val="left"/>
        <w:rPr>
          <w:rFonts w:ascii="宋体" w:hAnsi="宋体" w:cs="宋体"/>
          <w:b/>
          <w:bCs/>
          <w:szCs w:val="21"/>
        </w:rPr>
      </w:pPr>
      <w:r>
        <w:rPr>
          <w:rFonts w:hint="eastAsia" w:ascii="宋体" w:hAnsi="宋体" w:cs="宋体"/>
          <w:szCs w:val="21"/>
        </w:rPr>
        <w:t>项目名称：城北街道2025年国有企业退休人员全覆盖慰问</w:t>
      </w:r>
    </w:p>
    <w:p w14:paraId="30A4B087">
      <w:pPr>
        <w:spacing w:line="360" w:lineRule="auto"/>
        <w:rPr>
          <w:rFonts w:hint="eastAsia" w:ascii="宋体" w:hAnsi="宋体" w:eastAsia="宋体" w:cs="宋体"/>
          <w:szCs w:val="21"/>
          <w:lang w:eastAsia="zh-CN"/>
        </w:rPr>
      </w:pPr>
      <w:r>
        <w:rPr>
          <w:rFonts w:hint="eastAsia" w:ascii="宋体" w:hAnsi="宋体" w:cs="宋体"/>
          <w:szCs w:val="21"/>
        </w:rPr>
        <w:t>采购方式：</w:t>
      </w:r>
      <w:r>
        <w:rPr>
          <w:rFonts w:hint="eastAsia" w:ascii="宋体" w:hAnsi="宋体" w:cs="宋体"/>
          <w:szCs w:val="21"/>
          <w:lang w:val="en-US" w:eastAsia="zh-CN"/>
        </w:rPr>
        <w:t>公开</w:t>
      </w:r>
      <w:r>
        <w:rPr>
          <w:rFonts w:hint="eastAsia" w:ascii="宋体" w:hAnsi="宋体" w:cs="宋体"/>
          <w:szCs w:val="21"/>
          <w:lang w:eastAsia="zh-CN"/>
        </w:rPr>
        <w:t>招标</w:t>
      </w:r>
    </w:p>
    <w:p w14:paraId="7683DE48">
      <w:pPr>
        <w:spacing w:line="360" w:lineRule="auto"/>
        <w:rPr>
          <w:rFonts w:ascii="宋体" w:hAnsi="宋体" w:cs="宋体"/>
          <w:szCs w:val="21"/>
        </w:rPr>
      </w:pPr>
      <w:r>
        <w:rPr>
          <w:rFonts w:hint="eastAsia" w:ascii="宋体" w:hAnsi="宋体" w:cs="宋体"/>
          <w:szCs w:val="21"/>
        </w:rPr>
        <w:t>预算金额（元）：17226</w:t>
      </w:r>
      <w:r>
        <w:rPr>
          <w:rFonts w:hint="eastAsia" w:ascii="宋体" w:hAnsi="宋体" w:cs="宋体"/>
          <w:szCs w:val="21"/>
          <w:lang w:val="en-US" w:eastAsia="zh-CN"/>
        </w:rPr>
        <w:t>00</w:t>
      </w:r>
      <w:r>
        <w:rPr>
          <w:rFonts w:hint="eastAsia" w:ascii="宋体" w:hAnsi="宋体" w:cs="宋体"/>
          <w:szCs w:val="21"/>
        </w:rPr>
        <w:t>元</w:t>
      </w:r>
    </w:p>
    <w:p w14:paraId="574176FB">
      <w:pPr>
        <w:spacing w:line="360" w:lineRule="auto"/>
        <w:rPr>
          <w:rFonts w:ascii="宋体" w:hAnsi="宋体" w:cs="宋体"/>
          <w:szCs w:val="21"/>
        </w:rPr>
      </w:pPr>
      <w:r>
        <w:rPr>
          <w:rFonts w:hint="eastAsia" w:ascii="宋体" w:hAnsi="宋体" w:cs="宋体"/>
          <w:szCs w:val="21"/>
        </w:rPr>
        <w:t>最高限价（元）：17226</w:t>
      </w:r>
      <w:r>
        <w:rPr>
          <w:rFonts w:hint="eastAsia" w:ascii="宋体" w:hAnsi="宋体" w:cs="宋体"/>
          <w:szCs w:val="21"/>
          <w:lang w:val="en-US" w:eastAsia="zh-CN"/>
        </w:rPr>
        <w:t>00</w:t>
      </w:r>
      <w:r>
        <w:rPr>
          <w:rFonts w:hint="eastAsia" w:ascii="宋体" w:hAnsi="宋体" w:cs="宋体"/>
          <w:szCs w:val="21"/>
        </w:rPr>
        <w:t>元</w:t>
      </w:r>
    </w:p>
    <w:p w14:paraId="14ACCF08">
      <w:pPr>
        <w:widowControl/>
        <w:shd w:val="clear" w:color="auto" w:fill="FFFFFF"/>
        <w:spacing w:line="360" w:lineRule="auto"/>
        <w:jc w:val="left"/>
        <w:rPr>
          <w:rFonts w:hAnsi="宋体" w:cs="宋体"/>
          <w:szCs w:val="28"/>
        </w:rPr>
      </w:pPr>
      <w:r>
        <w:rPr>
          <w:rFonts w:hint="eastAsia" w:ascii="宋体" w:hAnsi="宋体" w:cs="宋体"/>
          <w:szCs w:val="21"/>
        </w:rPr>
        <w:t>采购需求：</w:t>
      </w:r>
      <w:bookmarkStart w:id="12" w:name="_Toc35393799"/>
      <w:bookmarkStart w:id="13" w:name="_Toc28359090"/>
      <w:bookmarkStart w:id="14" w:name="_Toc35393630"/>
      <w:bookmarkStart w:id="15" w:name="_Toc28359013"/>
      <w:r>
        <w:rPr>
          <w:rFonts w:hint="eastAsia" w:ascii="宋体" w:hAnsi="宋体" w:cs="宋体"/>
          <w:szCs w:val="21"/>
        </w:rPr>
        <w:t>集中对城北街道辖区8613名国有企业退休人员开展全覆盖走访慰问活动，慰问标准每人200元（大米和清油）</w:t>
      </w:r>
    </w:p>
    <w:bookmarkEnd w:id="1"/>
    <w:bookmarkEnd w:id="2"/>
    <w:bookmarkEnd w:id="3"/>
    <w:bookmarkEnd w:id="4"/>
    <w:bookmarkEnd w:id="5"/>
    <w:bookmarkEnd w:id="6"/>
    <w:bookmarkEnd w:id="7"/>
    <w:bookmarkEnd w:id="8"/>
    <w:bookmarkEnd w:id="9"/>
    <w:bookmarkEnd w:id="12"/>
    <w:bookmarkEnd w:id="13"/>
    <w:bookmarkEnd w:id="14"/>
    <w:bookmarkEnd w:id="15"/>
    <w:p w14:paraId="729192D4">
      <w:pPr>
        <w:widowControl/>
        <w:shd w:val="clear" w:color="auto" w:fill="FFFFFF"/>
        <w:spacing w:line="360" w:lineRule="auto"/>
        <w:jc w:val="left"/>
        <w:rPr>
          <w:rFonts w:hAnsi="宋体" w:cs="宋体"/>
          <w:szCs w:val="28"/>
        </w:rPr>
      </w:pPr>
      <w:r>
        <w:rPr>
          <w:rFonts w:hint="eastAsia" w:hAnsi="宋体" w:cs="宋体"/>
          <w:b/>
          <w:bCs/>
          <w:szCs w:val="28"/>
        </w:rPr>
        <w:t>二、申请人的资格要求：</w:t>
      </w:r>
    </w:p>
    <w:p w14:paraId="09F95E84">
      <w:pPr>
        <w:widowControl/>
        <w:shd w:val="clear" w:color="auto" w:fill="FFFFFF"/>
        <w:spacing w:line="360" w:lineRule="auto"/>
        <w:jc w:val="left"/>
        <w:rPr>
          <w:rFonts w:hAnsi="宋体" w:cs="宋体"/>
          <w:szCs w:val="28"/>
        </w:rPr>
      </w:pPr>
      <w:r>
        <w:rPr>
          <w:rFonts w:hint="eastAsia" w:hAnsi="宋体" w:cs="宋体"/>
          <w:szCs w:val="28"/>
        </w:rPr>
        <w:t>1.满足《中华人民共和国政府采购法》第二十二条规定；</w:t>
      </w:r>
    </w:p>
    <w:p w14:paraId="4689DF0F">
      <w:pPr>
        <w:spacing w:line="360" w:lineRule="auto"/>
        <w:ind w:firstLine="420" w:firstLineChars="200"/>
        <w:jc w:val="left"/>
        <w:rPr>
          <w:rFonts w:hAnsi="宋体" w:cs="宋体"/>
          <w:szCs w:val="28"/>
        </w:rPr>
      </w:pPr>
      <w:r>
        <w:rPr>
          <w:rFonts w:hint="eastAsia" w:hAnsi="宋体" w:cs="宋体"/>
          <w:szCs w:val="28"/>
        </w:rPr>
        <w:t>（一）具有独立承担民事责任的能力；（提供合法有效的法人营业执照）；</w:t>
      </w:r>
    </w:p>
    <w:p w14:paraId="71D9C044">
      <w:pPr>
        <w:spacing w:line="360" w:lineRule="auto"/>
        <w:ind w:firstLine="420" w:firstLineChars="200"/>
        <w:jc w:val="left"/>
        <w:rPr>
          <w:rFonts w:hAnsi="宋体" w:cs="宋体"/>
          <w:szCs w:val="28"/>
        </w:rPr>
      </w:pPr>
      <w:r>
        <w:rPr>
          <w:rFonts w:hint="eastAsia" w:hAnsi="宋体" w:cs="宋体"/>
          <w:szCs w:val="28"/>
        </w:rPr>
        <w:t>（二）具有良好的商业信誉和健全的财务会计制度（投标人提供本单位2023年度经会计师事务所出具的审计报告复印件或财务报表并加盖投标人公章（或电子章）。成立不足一年的，则需提供近期的财务报表）。说明：审计报告复印件至少应包括资产负债表、利润表、现金流量表及其附注、加盖会计师事务所公章页。</w:t>
      </w:r>
    </w:p>
    <w:p w14:paraId="61DCEFFC">
      <w:pPr>
        <w:spacing w:line="360" w:lineRule="auto"/>
        <w:ind w:firstLine="420" w:firstLineChars="200"/>
        <w:jc w:val="left"/>
        <w:rPr>
          <w:rFonts w:hAnsi="宋体" w:cs="宋体"/>
          <w:szCs w:val="28"/>
        </w:rPr>
      </w:pPr>
      <w:r>
        <w:rPr>
          <w:rFonts w:hint="eastAsia" w:hAnsi="宋体" w:cs="宋体"/>
          <w:szCs w:val="28"/>
        </w:rPr>
        <w:t>（三）具有履行合同所必需的设备和专业技术能力；（根据项目需求提供履行合同所必需的设备和专业技术能力的加盖单位公章的书面承诺函）；</w:t>
      </w:r>
    </w:p>
    <w:p w14:paraId="1881FDED">
      <w:pPr>
        <w:spacing w:line="360" w:lineRule="auto"/>
        <w:ind w:firstLine="420" w:firstLineChars="200"/>
        <w:jc w:val="left"/>
        <w:rPr>
          <w:rFonts w:hAnsi="宋体" w:cs="宋体"/>
          <w:szCs w:val="28"/>
        </w:rPr>
      </w:pPr>
      <w:r>
        <w:rPr>
          <w:rFonts w:hint="eastAsia" w:hAnsi="宋体" w:cs="宋体"/>
          <w:szCs w:val="28"/>
        </w:rPr>
        <w:t>（四）有依法缴纳税收和社会保障资金的良好记录；（提供参加本次政府采购活动前近半年内任意一个月的依法缴纳税收和社会保障资金的相关材料）；</w:t>
      </w:r>
    </w:p>
    <w:p w14:paraId="042A9E7C">
      <w:pPr>
        <w:spacing w:line="360" w:lineRule="auto"/>
        <w:ind w:firstLine="420" w:firstLineChars="200"/>
        <w:jc w:val="left"/>
        <w:rPr>
          <w:rFonts w:hAnsi="宋体" w:cs="宋体"/>
          <w:szCs w:val="28"/>
        </w:rPr>
      </w:pPr>
      <w:r>
        <w:rPr>
          <w:rFonts w:hint="eastAsia" w:hAnsi="宋体" w:cs="宋体"/>
          <w:szCs w:val="28"/>
        </w:rPr>
        <w:t xml:space="preserve">（五）参加政府采购活动前三年内，在经营活动中没有重大违法记录；（提供参加本次政府采购活动前3年内在经营活动中没有重大违法记录的书面承诺函并加盖单位公章）。 </w:t>
      </w:r>
    </w:p>
    <w:p w14:paraId="241F85B1">
      <w:pPr>
        <w:spacing w:line="360" w:lineRule="auto"/>
        <w:ind w:firstLine="420" w:firstLineChars="200"/>
        <w:jc w:val="left"/>
        <w:rPr>
          <w:rFonts w:hAnsi="宋体" w:cs="宋体"/>
          <w:szCs w:val="28"/>
        </w:rPr>
      </w:pPr>
      <w:r>
        <w:rPr>
          <w:rFonts w:hint="eastAsia" w:hAnsi="宋体" w:cs="宋体"/>
          <w:szCs w:val="28"/>
        </w:rPr>
        <w:t>（六）法律、行政法规规定的其他条件。根据《财政部关于在政府采购活动中查询及使用信用记录有关问题的通知》（财库﹝2016﹞125号）的要求，凡拟参加本次招标项目的投标人，如在“信用中国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p w14:paraId="607078DD">
      <w:pPr>
        <w:spacing w:line="360" w:lineRule="auto"/>
        <w:jc w:val="left"/>
        <w:rPr>
          <w:rFonts w:hAnsi="宋体" w:cs="宋体"/>
          <w:szCs w:val="28"/>
        </w:rPr>
      </w:pPr>
      <w:r>
        <w:rPr>
          <w:rFonts w:hint="eastAsia" w:hAnsi="宋体" w:cs="宋体"/>
          <w:szCs w:val="28"/>
        </w:rPr>
        <w:t>（7）</w:t>
      </w:r>
      <w:r>
        <w:rPr>
          <w:rFonts w:hint="eastAsia" w:ascii="宋体" w:hAnsi="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投标人提供相关承诺函并加盖投标人单位公章</w:t>
      </w:r>
    </w:p>
    <w:p w14:paraId="046D845F">
      <w:pPr>
        <w:spacing w:line="360" w:lineRule="auto"/>
        <w:jc w:val="left"/>
        <w:rPr>
          <w:rFonts w:ascii="宋体" w:hAnsi="宋体" w:cs="宋体"/>
          <w:szCs w:val="28"/>
        </w:rPr>
      </w:pPr>
      <w:r>
        <w:rPr>
          <w:rFonts w:ascii="宋体" w:hAnsi="宋体" w:cs="宋体"/>
          <w:szCs w:val="28"/>
        </w:rPr>
        <w:t>（</w:t>
      </w:r>
      <w:r>
        <w:rPr>
          <w:rFonts w:hint="eastAsia" w:ascii="宋体" w:hAnsi="宋体" w:cs="宋体"/>
          <w:szCs w:val="28"/>
        </w:rPr>
        <w:t>8</w:t>
      </w:r>
      <w:r>
        <w:rPr>
          <w:rFonts w:ascii="宋体" w:hAnsi="宋体" w:cs="宋体"/>
          <w:szCs w:val="28"/>
        </w:rPr>
        <w:t>）本项目不接受联合体投标。</w:t>
      </w:r>
    </w:p>
    <w:p w14:paraId="3525EE93">
      <w:pPr>
        <w:widowControl/>
        <w:shd w:val="clear" w:color="auto" w:fill="FFFFFF"/>
        <w:spacing w:line="360" w:lineRule="auto"/>
        <w:jc w:val="left"/>
        <w:rPr>
          <w:rFonts w:ascii="宋体" w:hAnsi="宋体" w:cs="宋体"/>
          <w:szCs w:val="28"/>
        </w:rPr>
      </w:pPr>
      <w:r>
        <w:rPr>
          <w:rFonts w:ascii="宋体" w:hAnsi="宋体" w:cs="宋体"/>
          <w:szCs w:val="28"/>
        </w:rPr>
        <w:t>（</w:t>
      </w:r>
      <w:r>
        <w:rPr>
          <w:rFonts w:hint="eastAsia" w:ascii="宋体" w:hAnsi="宋体" w:cs="宋体"/>
          <w:szCs w:val="28"/>
        </w:rPr>
        <w:t>9</w:t>
      </w:r>
      <w:r>
        <w:rPr>
          <w:rFonts w:ascii="宋体" w:hAnsi="宋体" w:cs="宋体"/>
          <w:szCs w:val="28"/>
        </w:rPr>
        <w:t>）</w:t>
      </w:r>
      <w:r>
        <w:rPr>
          <w:rFonts w:hint="eastAsia" w:ascii="宋体" w:hAnsi="宋体" w:cs="宋体"/>
          <w:szCs w:val="28"/>
        </w:rPr>
        <w:t>落实政府采购政策需满足的资格要求：本项目专门面向中小企业采购</w:t>
      </w:r>
    </w:p>
    <w:p w14:paraId="09DEF7ED">
      <w:pPr>
        <w:widowControl/>
        <w:shd w:val="clear" w:color="auto" w:fill="FFFFFF"/>
        <w:spacing w:line="360" w:lineRule="auto"/>
        <w:jc w:val="left"/>
        <w:rPr>
          <w:rFonts w:hAnsi="宋体" w:cs="宋体"/>
          <w:szCs w:val="28"/>
        </w:rPr>
      </w:pPr>
      <w:r>
        <w:rPr>
          <w:rFonts w:hint="eastAsia" w:hAnsi="宋体" w:cs="宋体"/>
          <w:szCs w:val="28"/>
        </w:rPr>
        <w:t>2.本项目的特定资格要求：</w:t>
      </w:r>
    </w:p>
    <w:p w14:paraId="0C8D940B">
      <w:pPr>
        <w:widowControl/>
        <w:shd w:val="clear" w:color="auto" w:fill="FFFFFF"/>
        <w:spacing w:line="360" w:lineRule="auto"/>
        <w:jc w:val="left"/>
        <w:rPr>
          <w:rFonts w:hAnsi="宋体" w:cs="宋体"/>
          <w:szCs w:val="28"/>
        </w:rPr>
      </w:pPr>
      <w:r>
        <w:rPr>
          <w:rFonts w:hint="eastAsia" w:hAnsi="宋体" w:cs="宋体"/>
          <w:szCs w:val="28"/>
        </w:rPr>
        <w:t xml:space="preserve">（1）具有有效的《食品生产许可证》或《食品经营许可证》或《食品流通许可证》。  </w:t>
      </w:r>
    </w:p>
    <w:p w14:paraId="4414514F">
      <w:pPr>
        <w:widowControl/>
        <w:shd w:val="clear" w:color="auto" w:fill="FFFFFF"/>
        <w:spacing w:line="360" w:lineRule="auto"/>
        <w:jc w:val="left"/>
        <w:rPr>
          <w:rFonts w:hAnsi="宋体" w:cs="宋体"/>
          <w:szCs w:val="28"/>
        </w:rPr>
      </w:pPr>
      <w:r>
        <w:rPr>
          <w:rFonts w:hint="eastAsia" w:hAnsi="宋体" w:cs="宋体"/>
          <w:b/>
          <w:bCs/>
          <w:szCs w:val="28"/>
        </w:rPr>
        <w:t>三、获取采购文件方式</w:t>
      </w:r>
    </w:p>
    <w:p w14:paraId="0B0364FA">
      <w:pPr>
        <w:widowControl/>
        <w:shd w:val="clear" w:color="auto" w:fill="FFFFFF"/>
        <w:spacing w:line="360" w:lineRule="auto"/>
        <w:jc w:val="left"/>
        <w:rPr>
          <w:rFonts w:hAnsi="宋体" w:cs="宋体"/>
          <w:szCs w:val="28"/>
          <w:highlight w:val="none"/>
        </w:rPr>
      </w:pPr>
      <w:r>
        <w:rPr>
          <w:rFonts w:hint="eastAsia" w:hAnsi="宋体" w:cs="宋体"/>
          <w:szCs w:val="28"/>
        </w:rPr>
        <w:t>获取时间：</w:t>
      </w:r>
      <w:r>
        <w:rPr>
          <w:rFonts w:hint="eastAsia" w:hAnsi="宋体" w:cs="宋体"/>
          <w:szCs w:val="28"/>
          <w:highlight w:val="none"/>
        </w:rPr>
        <w:t>2025年</w:t>
      </w:r>
      <w:r>
        <w:rPr>
          <w:rFonts w:hint="eastAsia" w:hAnsi="宋体" w:cs="宋体"/>
          <w:szCs w:val="28"/>
          <w:highlight w:val="none"/>
          <w:lang w:val="en-US" w:eastAsia="zh-CN"/>
        </w:rPr>
        <w:t>5</w:t>
      </w:r>
      <w:r>
        <w:rPr>
          <w:rFonts w:hint="eastAsia" w:hAnsi="宋体" w:cs="宋体"/>
          <w:szCs w:val="28"/>
          <w:highlight w:val="none"/>
        </w:rPr>
        <w:t>月</w:t>
      </w:r>
      <w:r>
        <w:rPr>
          <w:rFonts w:hint="eastAsia" w:hAnsi="宋体" w:cs="宋体"/>
          <w:szCs w:val="28"/>
          <w:highlight w:val="none"/>
          <w:lang w:val="en-US" w:eastAsia="zh-CN"/>
        </w:rPr>
        <w:t>8</w:t>
      </w:r>
      <w:r>
        <w:rPr>
          <w:rFonts w:hint="eastAsia" w:hAnsi="宋体" w:cs="宋体"/>
          <w:szCs w:val="28"/>
          <w:highlight w:val="none"/>
        </w:rPr>
        <w:t>日至2025年5月1</w:t>
      </w:r>
      <w:r>
        <w:rPr>
          <w:rFonts w:hint="eastAsia" w:hAnsi="宋体" w:cs="宋体"/>
          <w:szCs w:val="28"/>
          <w:highlight w:val="none"/>
          <w:lang w:val="en-US" w:eastAsia="zh-CN"/>
        </w:rPr>
        <w:t>5</w:t>
      </w:r>
      <w:r>
        <w:rPr>
          <w:rFonts w:hint="eastAsia" w:hAnsi="宋体" w:cs="宋体"/>
          <w:szCs w:val="28"/>
          <w:highlight w:val="none"/>
        </w:rPr>
        <w:t>日，每天上午09:30至13:30，下午16:00至20:00（北京时间）</w:t>
      </w:r>
    </w:p>
    <w:p w14:paraId="3FA0829D">
      <w:pPr>
        <w:widowControl/>
        <w:shd w:val="clear" w:color="auto" w:fill="FFFFFF"/>
        <w:spacing w:line="360" w:lineRule="auto"/>
        <w:jc w:val="left"/>
        <w:rPr>
          <w:rFonts w:ascii="宋体" w:hAnsi="宋体" w:eastAsia="仿宋" w:cs="宋体"/>
          <w:szCs w:val="28"/>
          <w:highlight w:val="none"/>
        </w:rPr>
      </w:pPr>
      <w:r>
        <w:rPr>
          <w:rFonts w:ascii="宋体" w:hAnsi="宋体" w:cs="宋体"/>
          <w:szCs w:val="28"/>
          <w:highlight w:val="none"/>
        </w:rPr>
        <w:t>地点：新疆政府采购网（http://www.ccgp-xinjiang.gov.cn）政采云平台线上获取</w:t>
      </w:r>
      <w:r>
        <w:rPr>
          <w:rFonts w:hint="eastAsia" w:ascii="宋体" w:hAnsi="宋体" w:cs="宋体"/>
          <w:szCs w:val="28"/>
          <w:highlight w:val="none"/>
        </w:rPr>
        <w:t>。</w:t>
      </w:r>
    </w:p>
    <w:p w14:paraId="61F5960D">
      <w:pPr>
        <w:widowControl/>
        <w:shd w:val="clear" w:color="auto" w:fill="FFFFFF"/>
        <w:spacing w:line="360" w:lineRule="auto"/>
        <w:jc w:val="left"/>
        <w:rPr>
          <w:rFonts w:ascii="宋体" w:hAnsi="宋体" w:eastAsia="仿宋" w:cs="宋体"/>
          <w:szCs w:val="28"/>
          <w:highlight w:val="none"/>
        </w:rPr>
      </w:pPr>
      <w:r>
        <w:rPr>
          <w:rFonts w:ascii="宋体" w:hAnsi="宋体" w:cs="宋体"/>
          <w:szCs w:val="28"/>
          <w:highlight w:val="none"/>
        </w:rPr>
        <w:t>方式：供应商登录政采云平台https://www.zcygov.cn/在线申请获取采购文件（进入“项目采购”应用，在获取采购文件菜单中选择项目，申请获取采购文件）投标人获取招标文件时须在政采云平台上提供特定资格要求中需求资料的扫描件</w:t>
      </w:r>
      <w:r>
        <w:rPr>
          <w:rFonts w:hint="eastAsia" w:ascii="宋体" w:hAnsi="宋体" w:cs="宋体"/>
          <w:szCs w:val="28"/>
          <w:highlight w:val="none"/>
        </w:rPr>
        <w:t>。</w:t>
      </w:r>
    </w:p>
    <w:p w14:paraId="7EBDEA89">
      <w:pPr>
        <w:widowControl/>
        <w:shd w:val="clear" w:color="auto" w:fill="FFFFFF"/>
        <w:spacing w:line="360" w:lineRule="auto"/>
        <w:jc w:val="left"/>
        <w:rPr>
          <w:rFonts w:hAnsi="宋体" w:cs="宋体"/>
          <w:szCs w:val="28"/>
          <w:highlight w:val="none"/>
        </w:rPr>
      </w:pPr>
      <w:r>
        <w:rPr>
          <w:rFonts w:hint="eastAsia" w:hAnsi="宋体" w:cs="宋体"/>
          <w:b/>
          <w:bCs/>
          <w:szCs w:val="28"/>
          <w:highlight w:val="none"/>
        </w:rPr>
        <w:t>四、响应文件提交</w:t>
      </w:r>
    </w:p>
    <w:p w14:paraId="61083EF8">
      <w:pPr>
        <w:widowControl/>
        <w:shd w:val="clear" w:color="auto" w:fill="FFFFFF"/>
        <w:spacing w:line="360" w:lineRule="auto"/>
        <w:jc w:val="left"/>
        <w:rPr>
          <w:rFonts w:ascii="宋体" w:hAnsi="宋体" w:cs="宋体"/>
          <w:szCs w:val="28"/>
          <w:highlight w:val="none"/>
        </w:rPr>
      </w:pPr>
      <w:r>
        <w:rPr>
          <w:rFonts w:ascii="宋体" w:hAnsi="宋体" w:cs="宋体"/>
          <w:szCs w:val="28"/>
          <w:highlight w:val="none"/>
        </w:rPr>
        <w:t>截止时间：202</w:t>
      </w:r>
      <w:r>
        <w:rPr>
          <w:rFonts w:hint="eastAsia" w:ascii="宋体" w:hAnsi="宋体" w:cs="宋体"/>
          <w:szCs w:val="28"/>
          <w:highlight w:val="none"/>
        </w:rPr>
        <w:t>5</w:t>
      </w:r>
      <w:r>
        <w:rPr>
          <w:rFonts w:ascii="宋体" w:hAnsi="宋体" w:cs="宋体"/>
          <w:szCs w:val="28"/>
          <w:highlight w:val="none"/>
        </w:rPr>
        <w:t>年</w:t>
      </w:r>
      <w:r>
        <w:rPr>
          <w:rFonts w:hint="eastAsia" w:ascii="宋体" w:hAnsi="宋体" w:cs="宋体"/>
          <w:szCs w:val="28"/>
          <w:highlight w:val="none"/>
        </w:rPr>
        <w:t>5</w:t>
      </w:r>
      <w:r>
        <w:rPr>
          <w:rFonts w:ascii="宋体" w:hAnsi="宋体" w:cs="宋体"/>
          <w:szCs w:val="28"/>
          <w:highlight w:val="none"/>
        </w:rPr>
        <w:t>月</w:t>
      </w:r>
      <w:r>
        <w:rPr>
          <w:rFonts w:hint="eastAsia" w:ascii="宋体" w:hAnsi="宋体" w:cs="宋体"/>
          <w:szCs w:val="28"/>
          <w:highlight w:val="none"/>
          <w:lang w:val="en-US" w:eastAsia="zh-CN"/>
        </w:rPr>
        <w:t>28</w:t>
      </w:r>
      <w:r>
        <w:rPr>
          <w:rFonts w:ascii="宋体" w:hAnsi="宋体" w:cs="宋体"/>
          <w:szCs w:val="28"/>
          <w:highlight w:val="none"/>
        </w:rPr>
        <w:t>日10点</w:t>
      </w:r>
      <w:r>
        <w:rPr>
          <w:rFonts w:hint="eastAsia" w:ascii="宋体" w:hAnsi="宋体" w:cs="宋体"/>
          <w:szCs w:val="28"/>
          <w:highlight w:val="none"/>
        </w:rPr>
        <w:t>00</w:t>
      </w:r>
      <w:r>
        <w:rPr>
          <w:rFonts w:ascii="宋体" w:hAnsi="宋体" w:cs="宋体"/>
          <w:szCs w:val="28"/>
          <w:highlight w:val="none"/>
        </w:rPr>
        <w:t>分（北京时间）</w:t>
      </w:r>
    </w:p>
    <w:p w14:paraId="374694C6">
      <w:pPr>
        <w:widowControl/>
        <w:shd w:val="clear" w:color="auto" w:fill="FFFFFF"/>
        <w:spacing w:line="360" w:lineRule="auto"/>
        <w:jc w:val="left"/>
        <w:rPr>
          <w:rFonts w:ascii="宋体" w:hAnsi="宋体" w:cs="宋体"/>
          <w:szCs w:val="28"/>
          <w:highlight w:val="none"/>
        </w:rPr>
      </w:pPr>
      <w:r>
        <w:rPr>
          <w:rFonts w:ascii="宋体" w:hAnsi="宋体" w:cs="宋体"/>
          <w:szCs w:val="28"/>
          <w:highlight w:val="none"/>
        </w:rPr>
        <w:t>提交地址：新疆政府采购网（http://www.ccgp-xinjiang.gov.cn）政采云投标客户端投标</w:t>
      </w:r>
      <w:r>
        <w:rPr>
          <w:rFonts w:hint="eastAsia" w:ascii="宋体" w:hAnsi="宋体" w:cs="宋体"/>
          <w:szCs w:val="28"/>
          <w:highlight w:val="none"/>
        </w:rPr>
        <w:t>。</w:t>
      </w:r>
    </w:p>
    <w:p w14:paraId="736965A3">
      <w:pPr>
        <w:widowControl/>
        <w:shd w:val="clear" w:color="auto" w:fill="FFFFFF"/>
        <w:spacing w:line="360" w:lineRule="auto"/>
        <w:jc w:val="left"/>
        <w:rPr>
          <w:rFonts w:ascii="宋体" w:hAnsi="宋体" w:cs="宋体"/>
          <w:b/>
          <w:bCs/>
          <w:szCs w:val="28"/>
          <w:highlight w:val="none"/>
        </w:rPr>
      </w:pPr>
      <w:r>
        <w:rPr>
          <w:rFonts w:ascii="宋体" w:hAnsi="宋体" w:cs="宋体"/>
          <w:b/>
          <w:bCs/>
          <w:szCs w:val="28"/>
          <w:highlight w:val="none"/>
        </w:rPr>
        <w:t>五、开启</w:t>
      </w:r>
    </w:p>
    <w:p w14:paraId="0E413208">
      <w:pPr>
        <w:widowControl/>
        <w:shd w:val="clear" w:color="auto" w:fill="FFFFFF"/>
        <w:spacing w:line="360" w:lineRule="auto"/>
        <w:jc w:val="left"/>
        <w:rPr>
          <w:rFonts w:ascii="宋体" w:hAnsi="宋体" w:cs="宋体"/>
          <w:szCs w:val="28"/>
          <w:highlight w:val="none"/>
        </w:rPr>
      </w:pPr>
      <w:r>
        <w:rPr>
          <w:rFonts w:ascii="宋体" w:hAnsi="宋体" w:cs="宋体"/>
          <w:szCs w:val="28"/>
          <w:highlight w:val="none"/>
        </w:rPr>
        <w:t>开标时间： 202</w:t>
      </w:r>
      <w:r>
        <w:rPr>
          <w:rFonts w:hint="eastAsia" w:ascii="宋体" w:hAnsi="宋体" w:cs="宋体"/>
          <w:szCs w:val="28"/>
          <w:highlight w:val="none"/>
        </w:rPr>
        <w:t>5</w:t>
      </w:r>
      <w:r>
        <w:rPr>
          <w:rFonts w:ascii="宋体" w:hAnsi="宋体" w:cs="宋体"/>
          <w:szCs w:val="28"/>
          <w:highlight w:val="none"/>
        </w:rPr>
        <w:t>年</w:t>
      </w:r>
      <w:r>
        <w:rPr>
          <w:rFonts w:hint="eastAsia" w:ascii="宋体" w:hAnsi="宋体" w:cs="宋体"/>
          <w:szCs w:val="28"/>
          <w:highlight w:val="none"/>
        </w:rPr>
        <w:t>5</w:t>
      </w:r>
      <w:r>
        <w:rPr>
          <w:rFonts w:ascii="宋体" w:hAnsi="宋体" w:cs="宋体"/>
          <w:szCs w:val="28"/>
          <w:highlight w:val="none"/>
        </w:rPr>
        <w:t>月</w:t>
      </w:r>
      <w:r>
        <w:rPr>
          <w:rFonts w:hint="eastAsia" w:ascii="宋体" w:hAnsi="宋体" w:cs="宋体"/>
          <w:szCs w:val="28"/>
          <w:highlight w:val="none"/>
          <w:lang w:val="en-US" w:eastAsia="zh-CN"/>
        </w:rPr>
        <w:t>28</w:t>
      </w:r>
      <w:r>
        <w:rPr>
          <w:rFonts w:ascii="宋体" w:hAnsi="宋体" w:cs="宋体"/>
          <w:szCs w:val="28"/>
          <w:highlight w:val="none"/>
        </w:rPr>
        <w:t>日10点0</w:t>
      </w:r>
      <w:r>
        <w:rPr>
          <w:rFonts w:hint="eastAsia" w:ascii="宋体" w:hAnsi="宋体" w:cs="宋体"/>
          <w:szCs w:val="28"/>
          <w:highlight w:val="none"/>
        </w:rPr>
        <w:t>0</w:t>
      </w:r>
      <w:r>
        <w:rPr>
          <w:rFonts w:ascii="宋体" w:hAnsi="宋体" w:cs="宋体"/>
          <w:szCs w:val="28"/>
          <w:highlight w:val="none"/>
        </w:rPr>
        <w:t>分（北京时间）</w:t>
      </w:r>
    </w:p>
    <w:p w14:paraId="3EE62306">
      <w:pPr>
        <w:widowControl/>
        <w:shd w:val="clear" w:color="auto" w:fill="FFFFFF"/>
        <w:spacing w:line="360" w:lineRule="auto"/>
        <w:jc w:val="left"/>
      </w:pPr>
      <w:r>
        <w:rPr>
          <w:rFonts w:ascii="宋体" w:hAnsi="宋体" w:cs="宋体"/>
          <w:szCs w:val="28"/>
        </w:rPr>
        <w:t>开标地点：新疆政府采购网（http://www.ccgp-xinjiang.gov.cn）政采云平台</w:t>
      </w:r>
      <w:r>
        <w:rPr>
          <w:rFonts w:hint="eastAsia" w:ascii="宋体" w:hAnsi="宋体" w:cs="宋体"/>
          <w:szCs w:val="28"/>
        </w:rPr>
        <w:t>。</w:t>
      </w:r>
    </w:p>
    <w:p w14:paraId="05777770">
      <w:pPr>
        <w:widowControl/>
        <w:shd w:val="clear" w:color="auto" w:fill="FFFFFF"/>
        <w:spacing w:line="360" w:lineRule="auto"/>
        <w:jc w:val="left"/>
        <w:rPr>
          <w:rFonts w:hAnsi="宋体" w:cs="宋体"/>
          <w:szCs w:val="28"/>
        </w:rPr>
      </w:pPr>
      <w:r>
        <w:rPr>
          <w:rFonts w:hint="eastAsia" w:hAnsi="宋体" w:cs="宋体"/>
          <w:b/>
          <w:bCs/>
          <w:szCs w:val="28"/>
        </w:rPr>
        <w:t>六、公告期限</w:t>
      </w:r>
    </w:p>
    <w:p w14:paraId="791E85CA">
      <w:pPr>
        <w:widowControl/>
        <w:shd w:val="clear" w:color="auto" w:fill="FFFFFF"/>
        <w:spacing w:line="360" w:lineRule="auto"/>
        <w:jc w:val="left"/>
        <w:rPr>
          <w:rFonts w:hAnsi="宋体" w:cs="宋体"/>
          <w:szCs w:val="28"/>
        </w:rPr>
      </w:pPr>
      <w:r>
        <w:rPr>
          <w:rFonts w:hint="eastAsia" w:hAnsi="宋体" w:cs="宋体"/>
          <w:szCs w:val="28"/>
        </w:rPr>
        <w:t>自本公告发布之日起5天。</w:t>
      </w:r>
    </w:p>
    <w:p w14:paraId="3B762112">
      <w:pPr>
        <w:widowControl/>
        <w:shd w:val="clear" w:color="auto" w:fill="FFFFFF"/>
        <w:spacing w:line="360" w:lineRule="auto"/>
        <w:jc w:val="left"/>
        <w:rPr>
          <w:rFonts w:hAnsi="宋体" w:cs="宋体"/>
          <w:b/>
          <w:bCs/>
          <w:szCs w:val="28"/>
        </w:rPr>
      </w:pPr>
      <w:r>
        <w:rPr>
          <w:rFonts w:hint="eastAsia" w:hAnsi="宋体" w:cs="宋体"/>
          <w:b/>
          <w:bCs/>
          <w:szCs w:val="28"/>
        </w:rPr>
        <w:t>七、其他补充事宜</w:t>
      </w:r>
    </w:p>
    <w:p w14:paraId="4F7A9200">
      <w:pPr>
        <w:widowControl/>
        <w:shd w:val="clear" w:color="auto" w:fill="FFFFFF"/>
        <w:spacing w:line="360" w:lineRule="auto"/>
        <w:jc w:val="left"/>
        <w:rPr>
          <w:rFonts w:ascii="宋体" w:hAnsi="宋体" w:cs="宋体"/>
          <w:szCs w:val="28"/>
        </w:rPr>
      </w:pPr>
      <w:r>
        <w:rPr>
          <w:rFonts w:ascii="宋体" w:hAnsi="宋体" w:cs="宋体"/>
          <w:szCs w:val="28"/>
        </w:rPr>
        <w:t>1、本项目实行网上投标，采用电子投标文件；</w:t>
      </w:r>
    </w:p>
    <w:p w14:paraId="2DEA186D">
      <w:pPr>
        <w:widowControl/>
        <w:shd w:val="clear" w:color="auto" w:fill="FFFFFF"/>
        <w:spacing w:line="360" w:lineRule="auto"/>
        <w:jc w:val="left"/>
        <w:rPr>
          <w:rFonts w:ascii="宋体" w:hAnsi="宋体" w:cs="宋体"/>
          <w:szCs w:val="28"/>
        </w:rPr>
      </w:pPr>
      <w:r>
        <w:rPr>
          <w:rFonts w:ascii="宋体" w:hAnsi="宋体" w:cs="宋体"/>
          <w:szCs w:val="28"/>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3517FFAF">
      <w:pPr>
        <w:widowControl/>
        <w:shd w:val="clear" w:color="auto" w:fill="FFFFFF"/>
        <w:spacing w:line="360" w:lineRule="auto"/>
        <w:jc w:val="left"/>
        <w:rPr>
          <w:rFonts w:ascii="宋体" w:hAnsi="宋体" w:cs="宋体"/>
          <w:szCs w:val="28"/>
        </w:rPr>
      </w:pPr>
      <w:r>
        <w:rPr>
          <w:rFonts w:ascii="宋体" w:hAnsi="宋体" w:cs="宋体"/>
          <w:szCs w:val="28"/>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1D5E6627">
      <w:pPr>
        <w:spacing w:line="360" w:lineRule="auto"/>
        <w:rPr>
          <w:rFonts w:cs="宋体" w:asciiTheme="minorHAnsi" w:hAnsiTheme="minorHAnsi"/>
          <w:kern w:val="0"/>
          <w:sz w:val="22"/>
        </w:rPr>
      </w:pPr>
      <w:r>
        <w:rPr>
          <w:rFonts w:ascii="宋体" w:hAnsi="宋体" w:cs="宋体"/>
          <w:szCs w:val="28"/>
        </w:rPr>
        <w:t>4</w:t>
      </w:r>
      <w:r>
        <w:rPr>
          <w:rFonts w:hint="eastAsia" w:ascii="宋体" w:hAnsi="宋体" w:cs="宋体"/>
          <w:szCs w:val="28"/>
        </w:rPr>
        <w:t>、</w:t>
      </w:r>
      <w:r>
        <w:rPr>
          <w:rFonts w:ascii="宋体" w:hAnsi="宋体" w:cs="宋体"/>
          <w:szCs w:val="28"/>
        </w:rPr>
        <w:t xml:space="preserve">供应商操作指南详见新疆政府采购网（http://www.ccgp-xinjiang.gov.cn/）—办事指南—操作指南。  </w:t>
      </w:r>
    </w:p>
    <w:p w14:paraId="36DC7389">
      <w:pPr>
        <w:widowControl/>
        <w:shd w:val="clear" w:color="auto" w:fill="FFFFFF"/>
        <w:spacing w:line="360" w:lineRule="auto"/>
        <w:jc w:val="left"/>
        <w:rPr>
          <w:rFonts w:hAnsi="宋体" w:cs="宋体"/>
          <w:szCs w:val="28"/>
        </w:rPr>
      </w:pPr>
      <w:r>
        <w:rPr>
          <w:rFonts w:hint="eastAsia" w:hAnsi="宋体" w:cs="宋体"/>
          <w:b/>
          <w:bCs/>
          <w:szCs w:val="28"/>
        </w:rPr>
        <w:t>八、对本次采购提出询问，请按以下方式联系</w:t>
      </w:r>
      <w:r>
        <w:rPr>
          <w:rFonts w:hint="eastAsia" w:hAnsi="宋体" w:cs="宋体"/>
          <w:szCs w:val="28"/>
        </w:rPr>
        <w:t>　　　　　　　</w:t>
      </w:r>
      <w:bookmarkStart w:id="16" w:name="_Toc31522"/>
      <w:bookmarkEnd w:id="16"/>
      <w:bookmarkStart w:id="17" w:name="_Toc29822"/>
      <w:bookmarkEnd w:id="17"/>
      <w:bookmarkStart w:id="18" w:name="_Toc10083"/>
      <w:bookmarkEnd w:id="18"/>
    </w:p>
    <w:p w14:paraId="171CE418">
      <w:pPr>
        <w:widowControl/>
        <w:shd w:val="clear" w:color="auto" w:fill="FFFFFF"/>
        <w:spacing w:line="360" w:lineRule="auto"/>
        <w:ind w:firstLine="420" w:firstLineChars="200"/>
        <w:jc w:val="left"/>
        <w:rPr>
          <w:rFonts w:ascii="宋体" w:hAnsi="宋体" w:cs="宋体"/>
          <w:szCs w:val="28"/>
        </w:rPr>
      </w:pPr>
      <w:r>
        <w:rPr>
          <w:rFonts w:ascii="宋体" w:hAnsi="宋体" w:cs="宋体"/>
          <w:szCs w:val="28"/>
        </w:rPr>
        <w:t>1.采购人信息</w:t>
      </w:r>
    </w:p>
    <w:p w14:paraId="12ACC53D">
      <w:pPr>
        <w:pStyle w:val="9"/>
        <w:spacing w:line="360" w:lineRule="auto"/>
        <w:ind w:firstLine="420" w:firstLineChars="200"/>
        <w:rPr>
          <w:rFonts w:ascii="宋体" w:hAnsi="宋体" w:cs="宋体"/>
          <w:szCs w:val="28"/>
          <w:highlight w:val="none"/>
        </w:rPr>
      </w:pPr>
      <w:r>
        <w:rPr>
          <w:rFonts w:ascii="宋体" w:hAnsi="宋体" w:cs="宋体"/>
          <w:szCs w:val="28"/>
          <w:highlight w:val="none"/>
        </w:rPr>
        <w:t>名    称：</w:t>
      </w:r>
      <w:r>
        <w:rPr>
          <w:rFonts w:hint="eastAsia" w:ascii="宋体" w:hAnsi="宋体" w:cs="宋体"/>
          <w:szCs w:val="28"/>
          <w:highlight w:val="none"/>
        </w:rPr>
        <w:t>哈密市伊州区城北街道办事处</w:t>
      </w:r>
    </w:p>
    <w:p w14:paraId="7DC7D156">
      <w:pPr>
        <w:pStyle w:val="9"/>
        <w:spacing w:line="360" w:lineRule="auto"/>
        <w:ind w:firstLine="420" w:firstLineChars="200"/>
        <w:rPr>
          <w:rFonts w:ascii="宋体" w:hAnsi="宋体" w:cs="宋体"/>
          <w:szCs w:val="28"/>
          <w:highlight w:val="none"/>
        </w:rPr>
      </w:pPr>
      <w:r>
        <w:rPr>
          <w:rFonts w:ascii="宋体" w:hAnsi="宋体" w:cs="宋体"/>
          <w:szCs w:val="28"/>
          <w:highlight w:val="none"/>
        </w:rPr>
        <w:t>地    址：</w:t>
      </w:r>
      <w:r>
        <w:rPr>
          <w:rFonts w:hint="eastAsia" w:ascii="宋体" w:hAnsi="宋体" w:eastAsia="宋体" w:cs="宋体"/>
          <w:szCs w:val="28"/>
          <w:highlight w:val="none"/>
        </w:rPr>
        <w:t>哈密市伊州区天山北路20-3号</w:t>
      </w:r>
    </w:p>
    <w:p w14:paraId="4FBC6BD1">
      <w:pPr>
        <w:pStyle w:val="9"/>
        <w:spacing w:line="360" w:lineRule="auto"/>
        <w:ind w:firstLine="420" w:firstLineChars="200"/>
        <w:rPr>
          <w:rFonts w:hint="default" w:ascii="宋体" w:hAnsi="宋体" w:eastAsia="宋体" w:cs="宋体"/>
          <w:szCs w:val="28"/>
          <w:highlight w:val="none"/>
          <w:lang w:val="en-US" w:eastAsia="zh-CN"/>
        </w:rPr>
      </w:pPr>
      <w:r>
        <w:rPr>
          <w:rFonts w:hint="eastAsia" w:ascii="宋体" w:hAnsi="宋体" w:cs="宋体"/>
          <w:szCs w:val="28"/>
          <w:highlight w:val="none"/>
        </w:rPr>
        <w:t>联系人：</w:t>
      </w:r>
      <w:r>
        <w:rPr>
          <w:rFonts w:hint="eastAsia" w:ascii="宋体" w:hAnsi="宋体" w:cs="宋体"/>
          <w:szCs w:val="28"/>
          <w:highlight w:val="none"/>
          <w:lang w:val="en-US" w:eastAsia="zh-CN"/>
        </w:rPr>
        <w:t>王玉辉</w:t>
      </w:r>
    </w:p>
    <w:p w14:paraId="4718813F">
      <w:pPr>
        <w:pStyle w:val="9"/>
        <w:spacing w:line="360" w:lineRule="auto"/>
        <w:ind w:firstLine="420" w:firstLineChars="200"/>
        <w:rPr>
          <w:rFonts w:hint="default" w:ascii="宋体" w:hAnsi="宋体" w:eastAsia="宋体" w:cs="宋体"/>
          <w:szCs w:val="28"/>
          <w:highlight w:val="none"/>
          <w:lang w:val="en-US" w:eastAsia="zh-CN"/>
        </w:rPr>
      </w:pPr>
      <w:r>
        <w:rPr>
          <w:rFonts w:ascii="宋体" w:hAnsi="宋体" w:cs="宋体"/>
          <w:szCs w:val="28"/>
          <w:highlight w:val="none"/>
        </w:rPr>
        <w:t>联系方式</w:t>
      </w:r>
      <w:r>
        <w:rPr>
          <w:rFonts w:hint="eastAsia" w:ascii="宋体" w:hAnsi="宋体" w:cs="宋体"/>
          <w:szCs w:val="28"/>
          <w:highlight w:val="none"/>
        </w:rPr>
        <w:t>：</w:t>
      </w:r>
      <w:r>
        <w:rPr>
          <w:rFonts w:hint="eastAsia" w:ascii="宋体" w:hAnsi="宋体" w:cs="宋体"/>
          <w:szCs w:val="28"/>
          <w:highlight w:val="none"/>
          <w:lang w:val="en-US" w:eastAsia="zh-CN"/>
        </w:rPr>
        <w:t>0902-2305921</w:t>
      </w:r>
    </w:p>
    <w:p w14:paraId="5B53FC02">
      <w:pPr>
        <w:pStyle w:val="3"/>
        <w:spacing w:line="360" w:lineRule="auto"/>
        <w:ind w:firstLine="420" w:firstLineChars="200"/>
        <w:rPr>
          <w:rFonts w:ascii="宋体" w:hAnsi="宋体" w:cs="宋体"/>
          <w:b w:val="0"/>
          <w:bCs w:val="0"/>
          <w:sz w:val="21"/>
          <w:szCs w:val="28"/>
        </w:rPr>
      </w:pPr>
      <w:bookmarkStart w:id="19" w:name="_Toc35393638"/>
      <w:bookmarkEnd w:id="19"/>
      <w:bookmarkStart w:id="20" w:name="_Toc6422"/>
      <w:bookmarkEnd w:id="20"/>
      <w:bookmarkStart w:id="21" w:name="_Toc10803"/>
      <w:bookmarkEnd w:id="21"/>
      <w:bookmarkStart w:id="22" w:name="_Toc22762"/>
      <w:bookmarkEnd w:id="22"/>
      <w:bookmarkStart w:id="23" w:name="_Toc28359097"/>
      <w:bookmarkEnd w:id="23"/>
      <w:bookmarkStart w:id="24" w:name="_Toc28359020"/>
      <w:bookmarkEnd w:id="24"/>
      <w:bookmarkStart w:id="25" w:name="_Toc35393807"/>
      <w:bookmarkEnd w:id="25"/>
      <w:bookmarkStart w:id="26" w:name="_Toc103813449"/>
      <w:bookmarkEnd w:id="26"/>
      <w:bookmarkStart w:id="27" w:name="_Toc3159"/>
      <w:r>
        <w:rPr>
          <w:rFonts w:ascii="宋体" w:hAnsi="宋体" w:cs="宋体"/>
          <w:b w:val="0"/>
          <w:bCs w:val="0"/>
          <w:sz w:val="21"/>
          <w:szCs w:val="28"/>
        </w:rPr>
        <w:t>2.采购代理机构信息</w:t>
      </w:r>
      <w:bookmarkEnd w:id="27"/>
    </w:p>
    <w:p w14:paraId="5492F3EC">
      <w:pPr>
        <w:tabs>
          <w:tab w:val="right" w:pos="9864"/>
        </w:tabs>
        <w:spacing w:line="360" w:lineRule="auto"/>
        <w:ind w:firstLine="420" w:firstLineChars="200"/>
        <w:rPr>
          <w:rFonts w:ascii="宋体" w:hAnsi="宋体" w:cs="宋体"/>
          <w:szCs w:val="28"/>
          <w:u w:val="single"/>
        </w:rPr>
      </w:pPr>
      <w:r>
        <w:rPr>
          <w:rFonts w:hint="eastAsia" w:ascii="宋体" w:hAnsi="宋体" w:cs="宋体"/>
          <w:szCs w:val="28"/>
        </w:rPr>
        <w:t>采购代理机构名称：</w:t>
      </w:r>
      <w:r>
        <w:rPr>
          <w:rFonts w:hint="eastAsia" w:ascii="宋体" w:hAnsi="宋体" w:cs="宋体"/>
          <w:szCs w:val="28"/>
          <w:u w:val="single"/>
        </w:rPr>
        <w:t>新疆同创博远项目管理咨询有限责任公司</w:t>
      </w:r>
    </w:p>
    <w:p w14:paraId="1434CBDD">
      <w:pPr>
        <w:tabs>
          <w:tab w:val="right" w:pos="9864"/>
        </w:tabs>
        <w:spacing w:line="360" w:lineRule="auto"/>
        <w:ind w:firstLine="420" w:firstLineChars="200"/>
        <w:rPr>
          <w:rFonts w:ascii="宋体" w:hAnsi="宋体" w:cs="宋体"/>
          <w:szCs w:val="28"/>
        </w:rPr>
      </w:pPr>
      <w:r>
        <w:rPr>
          <w:rFonts w:hint="eastAsia" w:ascii="宋体" w:hAnsi="宋体" w:cs="宋体"/>
          <w:szCs w:val="28"/>
        </w:rPr>
        <w:t>联系人：</w:t>
      </w:r>
      <w:r>
        <w:rPr>
          <w:rFonts w:hint="eastAsia" w:ascii="宋体" w:hAnsi="宋体" w:cs="宋体"/>
          <w:sz w:val="24"/>
          <w:u w:val="single"/>
        </w:rPr>
        <w:t>张工</w:t>
      </w:r>
    </w:p>
    <w:p w14:paraId="72BFAE7E">
      <w:pPr>
        <w:pStyle w:val="22"/>
        <w:spacing w:line="408" w:lineRule="auto"/>
        <w:ind w:firstLine="420" w:firstLineChars="200"/>
        <w:rPr>
          <w:rFonts w:ascii="宋体" w:hAnsi="宋体" w:cs="宋体"/>
          <w:szCs w:val="28"/>
        </w:rPr>
      </w:pPr>
      <w:r>
        <w:rPr>
          <w:rFonts w:hint="eastAsia" w:ascii="宋体" w:hAnsi="宋体" w:cs="宋体"/>
          <w:szCs w:val="28"/>
        </w:rPr>
        <w:t>联系电话：</w:t>
      </w:r>
      <w:r>
        <w:rPr>
          <w:rFonts w:hint="eastAsia" w:ascii="宋体" w:hAnsi="宋体"/>
          <w:sz w:val="24"/>
          <w:szCs w:val="28"/>
          <w:u w:val="single"/>
        </w:rPr>
        <w:t>18199781228</w:t>
      </w:r>
    </w:p>
    <w:p w14:paraId="6FF0A39B">
      <w:pPr>
        <w:tabs>
          <w:tab w:val="right" w:pos="9864"/>
        </w:tabs>
        <w:spacing w:line="360" w:lineRule="auto"/>
        <w:ind w:firstLine="420" w:firstLineChars="200"/>
        <w:rPr>
          <w:rFonts w:ascii="宋体" w:hAnsi="宋体" w:cs="宋体"/>
          <w:szCs w:val="28"/>
        </w:rPr>
        <w:sectPr>
          <w:footerReference r:id="rId4" w:type="default"/>
          <w:pgSz w:w="11906" w:h="16838"/>
          <w:pgMar w:top="1134" w:right="1134" w:bottom="1134" w:left="1134" w:header="720" w:footer="720" w:gutter="0"/>
          <w:cols w:space="720" w:num="1"/>
          <w:docGrid w:type="lines" w:linePitch="331" w:charSpace="0"/>
        </w:sectPr>
      </w:pPr>
      <w:r>
        <w:rPr>
          <w:rFonts w:hint="eastAsia" w:ascii="宋体" w:hAnsi="宋体" w:cs="宋体"/>
          <w:szCs w:val="28"/>
        </w:rPr>
        <w:t>地址：</w:t>
      </w:r>
      <w:r>
        <w:rPr>
          <w:rFonts w:hint="eastAsia" w:ascii="宋体" w:hAnsi="宋体" w:cs="宋体"/>
          <w:color w:val="000000"/>
          <w:sz w:val="24"/>
          <w:u w:val="single"/>
        </w:rPr>
        <w:t>新疆哈密市伊州区八一路东侧魔方广场 C 单元 1621</w:t>
      </w:r>
    </w:p>
    <w:p w14:paraId="01607ED4">
      <w:pPr>
        <w:pStyle w:val="2"/>
        <w:ind w:left="1560" w:hanging="1560"/>
        <w:jc w:val="center"/>
        <w:rPr>
          <w:sz w:val="36"/>
        </w:rPr>
      </w:pPr>
      <w:bookmarkStart w:id="28" w:name="_Toc7292"/>
      <w:r>
        <w:t>第二章</w:t>
      </w:r>
      <w:r>
        <w:rPr>
          <w:rFonts w:hint="eastAsia"/>
        </w:rPr>
        <w:t>采购需求</w:t>
      </w:r>
      <w:bookmarkEnd w:id="28"/>
      <w:bookmarkStart w:id="29" w:name="_bookmark23"/>
      <w:bookmarkEnd w:id="29"/>
      <w:bookmarkStart w:id="30" w:name="_bookmark9"/>
      <w:bookmarkEnd w:id="30"/>
      <w:bookmarkStart w:id="31" w:name="_bookmark10"/>
      <w:bookmarkEnd w:id="31"/>
      <w:bookmarkStart w:id="32" w:name="_bookmark11"/>
      <w:bookmarkEnd w:id="32"/>
    </w:p>
    <w:tbl>
      <w:tblPr>
        <w:tblStyle w:val="31"/>
        <w:tblW w:w="7699" w:type="dxa"/>
        <w:jc w:val="center"/>
        <w:tblLayout w:type="fixed"/>
        <w:tblCellMar>
          <w:top w:w="0" w:type="dxa"/>
          <w:left w:w="108" w:type="dxa"/>
          <w:bottom w:w="0" w:type="dxa"/>
          <w:right w:w="108" w:type="dxa"/>
        </w:tblCellMar>
      </w:tblPr>
      <w:tblGrid>
        <w:gridCol w:w="1197"/>
        <w:gridCol w:w="2640"/>
        <w:gridCol w:w="1725"/>
        <w:gridCol w:w="2137"/>
      </w:tblGrid>
      <w:tr w14:paraId="6E40DCBF">
        <w:tblPrEx>
          <w:tblCellMar>
            <w:top w:w="0" w:type="dxa"/>
            <w:left w:w="108" w:type="dxa"/>
            <w:bottom w:w="0" w:type="dxa"/>
            <w:right w:w="108" w:type="dxa"/>
          </w:tblCellMar>
        </w:tblPrEx>
        <w:trPr>
          <w:trHeight w:val="321"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F9FC">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5E5D">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商品名称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B278">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单位</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3D69">
            <w:pPr>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r>
      <w:tr w14:paraId="3E077743">
        <w:tblPrEx>
          <w:tblCellMar>
            <w:top w:w="0" w:type="dxa"/>
            <w:left w:w="108" w:type="dxa"/>
            <w:bottom w:w="0" w:type="dxa"/>
            <w:right w:w="108" w:type="dxa"/>
          </w:tblCellMar>
        </w:tblPrEx>
        <w:trPr>
          <w:trHeight w:val="321"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919C">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1045">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清油</w:t>
            </w:r>
            <w:r>
              <w:rPr>
                <w:rFonts w:hint="eastAsia" w:ascii="微软雅黑" w:hAnsi="微软雅黑" w:eastAsia="微软雅黑" w:cs="微软雅黑"/>
                <w:color w:val="000000"/>
                <w:kern w:val="0"/>
                <w:szCs w:val="21"/>
              </w:rPr>
              <w:t>5L</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A986">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桶</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0EE4">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8613</w:t>
            </w:r>
          </w:p>
        </w:tc>
      </w:tr>
      <w:tr w14:paraId="0E394068">
        <w:tblPrEx>
          <w:tblCellMar>
            <w:top w:w="0" w:type="dxa"/>
            <w:left w:w="108" w:type="dxa"/>
            <w:bottom w:w="0" w:type="dxa"/>
            <w:right w:w="108" w:type="dxa"/>
          </w:tblCellMar>
        </w:tblPrEx>
        <w:trPr>
          <w:trHeight w:val="321"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6CCC">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913B">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大米10kg</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6E46">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395B">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8613</w:t>
            </w:r>
          </w:p>
        </w:tc>
      </w:tr>
    </w:tbl>
    <w:p w14:paraId="6CDDE766">
      <w:pPr>
        <w:pStyle w:val="16"/>
        <w:ind w:firstLine="560" w:firstLineChars="200"/>
        <w:jc w:val="left"/>
        <w:rPr>
          <w:rFonts w:ascii="微软雅黑" w:hAnsi="微软雅黑" w:eastAsia="微软雅黑" w:cs="微软雅黑"/>
          <w:sz w:val="28"/>
          <w:szCs w:val="28"/>
        </w:rPr>
      </w:pPr>
      <w:r>
        <w:rPr>
          <w:rFonts w:hint="eastAsia" w:ascii="微软雅黑" w:hAnsi="微软雅黑" w:eastAsia="微软雅黑" w:cs="微软雅黑"/>
          <w:sz w:val="28"/>
          <w:szCs w:val="28"/>
        </w:rPr>
        <w:t>注：市区范围内配送8493份，全国范围内邮寄120份</w:t>
      </w:r>
    </w:p>
    <w:p w14:paraId="33974B1F">
      <w:pPr>
        <w:pStyle w:val="16"/>
        <w:jc w:val="left"/>
        <w:rPr>
          <w:rFonts w:ascii="微软雅黑" w:hAnsi="微软雅黑" w:eastAsia="微软雅黑" w:cs="微软雅黑"/>
          <w:sz w:val="32"/>
          <w:szCs w:val="32"/>
        </w:rPr>
      </w:pPr>
    </w:p>
    <w:p w14:paraId="638E7962">
      <w:pPr>
        <w:pStyle w:val="16"/>
        <w:jc w:val="left"/>
        <w:rPr>
          <w:rFonts w:ascii="微软雅黑" w:hAnsi="微软雅黑" w:eastAsia="微软雅黑" w:cs="微软雅黑"/>
          <w:sz w:val="32"/>
          <w:szCs w:val="32"/>
        </w:rPr>
      </w:pPr>
    </w:p>
    <w:p w14:paraId="146C5E5F">
      <w:pPr>
        <w:pStyle w:val="16"/>
        <w:jc w:val="left"/>
        <w:rPr>
          <w:rFonts w:ascii="微软雅黑" w:hAnsi="微软雅黑" w:eastAsia="微软雅黑" w:cs="微软雅黑"/>
          <w:sz w:val="32"/>
          <w:szCs w:val="32"/>
        </w:rPr>
      </w:pPr>
    </w:p>
    <w:p w14:paraId="5FB5CE47">
      <w:pPr>
        <w:pStyle w:val="16"/>
        <w:jc w:val="left"/>
        <w:rPr>
          <w:rFonts w:ascii="微软雅黑" w:hAnsi="微软雅黑" w:eastAsia="微软雅黑" w:cs="微软雅黑"/>
          <w:sz w:val="32"/>
          <w:szCs w:val="32"/>
        </w:rPr>
      </w:pPr>
    </w:p>
    <w:p w14:paraId="7B30A5FE">
      <w:pPr>
        <w:pStyle w:val="16"/>
        <w:jc w:val="left"/>
        <w:rPr>
          <w:rFonts w:ascii="微软雅黑" w:hAnsi="微软雅黑" w:eastAsia="微软雅黑" w:cs="微软雅黑"/>
          <w:sz w:val="32"/>
          <w:szCs w:val="32"/>
        </w:rPr>
      </w:pPr>
    </w:p>
    <w:p w14:paraId="2734B6E2">
      <w:pPr>
        <w:pStyle w:val="16"/>
        <w:jc w:val="left"/>
        <w:rPr>
          <w:rFonts w:ascii="微软雅黑" w:hAnsi="微软雅黑" w:eastAsia="微软雅黑" w:cs="微软雅黑"/>
          <w:sz w:val="32"/>
          <w:szCs w:val="32"/>
        </w:rPr>
      </w:pPr>
    </w:p>
    <w:p w14:paraId="7CE5BED6">
      <w:pPr>
        <w:pStyle w:val="16"/>
        <w:jc w:val="left"/>
        <w:rPr>
          <w:rFonts w:ascii="微软雅黑" w:hAnsi="微软雅黑" w:eastAsia="微软雅黑" w:cs="微软雅黑"/>
          <w:sz w:val="32"/>
          <w:szCs w:val="32"/>
        </w:rPr>
      </w:pPr>
    </w:p>
    <w:p w14:paraId="112FA45E">
      <w:pPr>
        <w:pStyle w:val="16"/>
        <w:jc w:val="left"/>
        <w:rPr>
          <w:rFonts w:ascii="微软雅黑" w:hAnsi="微软雅黑" w:eastAsia="微软雅黑" w:cs="微软雅黑"/>
          <w:sz w:val="32"/>
          <w:szCs w:val="32"/>
        </w:rPr>
      </w:pPr>
    </w:p>
    <w:p w14:paraId="157B26E5">
      <w:pPr>
        <w:pStyle w:val="16"/>
        <w:jc w:val="left"/>
        <w:rPr>
          <w:rFonts w:ascii="微软雅黑" w:hAnsi="微软雅黑" w:eastAsia="微软雅黑" w:cs="微软雅黑"/>
          <w:sz w:val="32"/>
          <w:szCs w:val="32"/>
        </w:rPr>
      </w:pPr>
    </w:p>
    <w:p w14:paraId="358D54FD">
      <w:pPr>
        <w:pStyle w:val="16"/>
        <w:jc w:val="left"/>
        <w:rPr>
          <w:rFonts w:ascii="微软雅黑" w:hAnsi="微软雅黑" w:eastAsia="微软雅黑" w:cs="微软雅黑"/>
          <w:sz w:val="32"/>
          <w:szCs w:val="32"/>
        </w:rPr>
      </w:pPr>
    </w:p>
    <w:p w14:paraId="1D8920D9">
      <w:pPr>
        <w:pStyle w:val="16"/>
        <w:jc w:val="left"/>
        <w:rPr>
          <w:rFonts w:ascii="微软雅黑" w:hAnsi="微软雅黑" w:eastAsia="微软雅黑" w:cs="微软雅黑"/>
          <w:sz w:val="32"/>
          <w:szCs w:val="32"/>
        </w:rPr>
      </w:pPr>
    </w:p>
    <w:p w14:paraId="66CF494D">
      <w:pPr>
        <w:pStyle w:val="2"/>
        <w:spacing w:line="240" w:lineRule="auto"/>
      </w:pPr>
      <w:bookmarkStart w:id="33" w:name="_Toc5220"/>
    </w:p>
    <w:bookmarkEnd w:id="33"/>
    <w:p w14:paraId="1A369424">
      <w:pPr>
        <w:pStyle w:val="2"/>
        <w:spacing w:before="0" w:after="0" w:line="240" w:lineRule="auto"/>
        <w:jc w:val="center"/>
      </w:pPr>
      <w:bookmarkStart w:id="34" w:name="_Toc8344"/>
      <w:r>
        <w:rPr>
          <w:rFonts w:hint="eastAsia"/>
        </w:rPr>
        <w:t>第三章供应商须知</w:t>
      </w:r>
    </w:p>
    <w:p w14:paraId="4668CF4E">
      <w:pPr>
        <w:pStyle w:val="3"/>
        <w:spacing w:line="240" w:lineRule="auto"/>
        <w:jc w:val="center"/>
      </w:pPr>
      <w:r>
        <w:rPr>
          <w:rFonts w:hint="eastAsia"/>
        </w:rPr>
        <w:t>第一节 供应商须知前附表</w:t>
      </w:r>
      <w:bookmarkEnd w:id="34"/>
    </w:p>
    <w:tbl>
      <w:tblPr>
        <w:tblStyle w:val="31"/>
        <w:tblW w:w="11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3012"/>
        <w:gridCol w:w="7192"/>
      </w:tblGrid>
      <w:tr w14:paraId="4D28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C2FA335">
            <w:pPr>
              <w:spacing w:line="360" w:lineRule="auto"/>
              <w:jc w:val="center"/>
              <w:rPr>
                <w:rFonts w:ascii="宋体" w:hAnsi="宋体" w:cs="宋体"/>
                <w:b/>
                <w:szCs w:val="21"/>
              </w:rPr>
            </w:pPr>
            <w:r>
              <w:rPr>
                <w:rFonts w:hint="eastAsia" w:ascii="宋体" w:hAnsi="宋体" w:cs="宋体"/>
                <w:b/>
                <w:szCs w:val="21"/>
              </w:rPr>
              <w:t>条款号</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335179B8">
            <w:pPr>
              <w:spacing w:line="360" w:lineRule="auto"/>
              <w:jc w:val="center"/>
              <w:rPr>
                <w:rFonts w:ascii="宋体" w:hAnsi="宋体" w:cs="宋体"/>
                <w:b/>
                <w:szCs w:val="21"/>
              </w:rPr>
            </w:pPr>
            <w:r>
              <w:rPr>
                <w:rFonts w:hint="eastAsia" w:ascii="宋体" w:hAnsi="宋体" w:cs="宋体"/>
                <w:b/>
                <w:szCs w:val="21"/>
              </w:rPr>
              <w:t>条款内容</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78E254C1">
            <w:pPr>
              <w:spacing w:line="360" w:lineRule="auto"/>
              <w:jc w:val="center"/>
              <w:rPr>
                <w:rFonts w:ascii="宋体" w:hAnsi="宋体" w:cs="宋体"/>
                <w:b/>
                <w:szCs w:val="21"/>
              </w:rPr>
            </w:pPr>
            <w:r>
              <w:rPr>
                <w:rFonts w:hint="eastAsia" w:ascii="宋体" w:hAnsi="宋体" w:cs="宋体"/>
                <w:b/>
                <w:szCs w:val="21"/>
              </w:rPr>
              <w:t>具体要求</w:t>
            </w:r>
          </w:p>
        </w:tc>
      </w:tr>
      <w:tr w14:paraId="73DC9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03BE701A">
            <w:pPr>
              <w:spacing w:line="360" w:lineRule="auto"/>
              <w:jc w:val="center"/>
              <w:rPr>
                <w:rFonts w:ascii="宋体" w:hAnsi="宋体" w:cs="宋体"/>
                <w:szCs w:val="21"/>
              </w:rPr>
            </w:pPr>
            <w:r>
              <w:rPr>
                <w:rFonts w:hint="eastAsia" w:ascii="宋体" w:hAnsi="宋体" w:cs="宋体"/>
                <w:szCs w:val="21"/>
              </w:rPr>
              <w:t>1.1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065EEC0">
            <w:pPr>
              <w:spacing w:line="360" w:lineRule="auto"/>
              <w:jc w:val="center"/>
              <w:rPr>
                <w:rFonts w:ascii="宋体" w:hAnsi="宋体" w:cs="宋体"/>
                <w:szCs w:val="21"/>
              </w:rPr>
            </w:pPr>
            <w:r>
              <w:rPr>
                <w:rFonts w:hint="eastAsia" w:ascii="宋体" w:hAnsi="宋体" w:cs="宋体"/>
                <w:szCs w:val="21"/>
              </w:rPr>
              <w:t>供应商资格条件</w:t>
            </w:r>
          </w:p>
        </w:tc>
        <w:tc>
          <w:tcPr>
            <w:tcW w:w="7192" w:type="dxa"/>
            <w:tcBorders>
              <w:top w:val="single" w:color="000000" w:sz="4" w:space="0"/>
              <w:left w:val="single" w:color="000000" w:sz="4" w:space="0"/>
              <w:bottom w:val="single" w:color="000000" w:sz="4" w:space="0"/>
              <w:right w:val="single" w:color="000000" w:sz="4" w:space="0"/>
            </w:tcBorders>
            <w:noWrap/>
          </w:tcPr>
          <w:p w14:paraId="59FC7D2D">
            <w:pPr>
              <w:widowControl/>
              <w:shd w:val="clear" w:color="auto" w:fill="FFFFFF"/>
              <w:spacing w:line="360" w:lineRule="auto"/>
              <w:jc w:val="left"/>
              <w:rPr>
                <w:rFonts w:hAnsi="宋体" w:cs="宋体"/>
                <w:szCs w:val="28"/>
              </w:rPr>
            </w:pPr>
            <w:r>
              <w:rPr>
                <w:rFonts w:hint="eastAsia" w:hAnsi="宋体" w:cs="宋体"/>
                <w:szCs w:val="28"/>
              </w:rPr>
              <w:t>1.满足《中华人民共和国政府采购法》第二十二条规定；</w:t>
            </w:r>
          </w:p>
          <w:p w14:paraId="7CF7F0AC">
            <w:pPr>
              <w:spacing w:line="360" w:lineRule="auto"/>
              <w:jc w:val="left"/>
              <w:rPr>
                <w:rFonts w:hAnsi="宋体" w:cs="宋体"/>
                <w:szCs w:val="28"/>
              </w:rPr>
            </w:pPr>
            <w:r>
              <w:rPr>
                <w:rFonts w:hint="eastAsia" w:hAnsi="宋体" w:cs="宋体"/>
                <w:szCs w:val="28"/>
              </w:rPr>
              <w:t>（一）具有独立承担民事责任的能力；（提供合法有效的法人营业执照）；</w:t>
            </w:r>
          </w:p>
          <w:p w14:paraId="29F2D5A5">
            <w:pPr>
              <w:spacing w:line="360" w:lineRule="auto"/>
              <w:jc w:val="left"/>
              <w:rPr>
                <w:rFonts w:hAnsi="宋体" w:cs="宋体"/>
                <w:szCs w:val="28"/>
              </w:rPr>
            </w:pPr>
            <w:r>
              <w:rPr>
                <w:rFonts w:hint="eastAsia" w:hAnsi="宋体" w:cs="宋体"/>
                <w:szCs w:val="28"/>
              </w:rPr>
              <w:t>（二）具有良好的商业信誉和健全的财务会计制度（投标人提供本单位2023年度经会计师事务所出具的审计报告复印件或财务报表并加盖投标人公章（或电子章）。成立不足一年的，则需提供近期的财务报表）。说明：审计报告复印件至少应包括资产负债表、利润表、现金流量表及其附注、加盖会计师事务所公章页。</w:t>
            </w:r>
          </w:p>
          <w:p w14:paraId="3CF4AA36">
            <w:pPr>
              <w:spacing w:line="360" w:lineRule="auto"/>
              <w:jc w:val="left"/>
              <w:rPr>
                <w:rFonts w:hAnsi="宋体" w:cs="宋体"/>
                <w:szCs w:val="28"/>
              </w:rPr>
            </w:pPr>
            <w:r>
              <w:rPr>
                <w:rFonts w:hint="eastAsia" w:hAnsi="宋体" w:cs="宋体"/>
                <w:szCs w:val="28"/>
              </w:rPr>
              <w:t>（三）具有履行合同所必需的设备和专业技术能力；（根据项目需求提供履行合同所必需的设备和专业技术能力的加盖单位公章的书面承诺函）；</w:t>
            </w:r>
          </w:p>
          <w:p w14:paraId="35EA6335">
            <w:pPr>
              <w:spacing w:line="360" w:lineRule="auto"/>
              <w:jc w:val="left"/>
              <w:rPr>
                <w:rFonts w:hAnsi="宋体" w:cs="宋体"/>
                <w:szCs w:val="28"/>
              </w:rPr>
            </w:pPr>
            <w:r>
              <w:rPr>
                <w:rFonts w:hint="eastAsia" w:hAnsi="宋体" w:cs="宋体"/>
                <w:szCs w:val="28"/>
              </w:rPr>
              <w:t>（四）有依法缴纳税收和社会保障资金的良好记录；（提供参加本次政府采购活动前近半年内任意一个月的依法缴纳税收和社会保障资金的相关材料）；</w:t>
            </w:r>
          </w:p>
          <w:p w14:paraId="19C3B137">
            <w:pPr>
              <w:spacing w:line="360" w:lineRule="auto"/>
              <w:jc w:val="left"/>
              <w:rPr>
                <w:rFonts w:hAnsi="宋体" w:cs="宋体"/>
                <w:szCs w:val="28"/>
              </w:rPr>
            </w:pPr>
            <w:r>
              <w:rPr>
                <w:rFonts w:hint="eastAsia" w:hAnsi="宋体" w:cs="宋体"/>
                <w:szCs w:val="28"/>
              </w:rPr>
              <w:t xml:space="preserve">（五）参加政府采购活动前三年内，在经营活动中没有重大违法记录；（提供参加本次政府采购活动前3年内在经营活动中没有重大违法记录的书面承诺函并加盖单位公章）。 </w:t>
            </w:r>
          </w:p>
          <w:p w14:paraId="70AF407E">
            <w:pPr>
              <w:spacing w:line="360" w:lineRule="auto"/>
              <w:jc w:val="left"/>
              <w:rPr>
                <w:rFonts w:hAnsi="宋体" w:cs="宋体"/>
                <w:szCs w:val="28"/>
              </w:rPr>
            </w:pPr>
            <w:r>
              <w:rPr>
                <w:rFonts w:hint="eastAsia" w:hAnsi="宋体" w:cs="宋体"/>
                <w:szCs w:val="28"/>
              </w:rPr>
              <w:t>（六）法律、行政法规规定的其他条件。根据《财政部关于在政府采购活动中查询及使用信用记录有关问题的通知》（财库﹝2016﹞125号）的要求，凡拟参加本次招标项目的投标人，如在“信用中国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p w14:paraId="53D65542">
            <w:pPr>
              <w:spacing w:line="360" w:lineRule="auto"/>
              <w:jc w:val="left"/>
              <w:rPr>
                <w:rFonts w:hAnsi="宋体" w:cs="宋体"/>
                <w:szCs w:val="28"/>
              </w:rPr>
            </w:pPr>
            <w:r>
              <w:rPr>
                <w:rFonts w:hint="eastAsia" w:hAnsi="宋体" w:cs="宋体"/>
                <w:szCs w:val="28"/>
              </w:rPr>
              <w:t>（7）</w:t>
            </w:r>
            <w:r>
              <w:rPr>
                <w:rFonts w:hint="eastAsia" w:ascii="宋体" w:hAnsi="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投标人提供相关承诺函并加盖投标人单位公章</w:t>
            </w:r>
          </w:p>
          <w:p w14:paraId="0D5DF7B1">
            <w:pPr>
              <w:spacing w:line="360" w:lineRule="auto"/>
              <w:jc w:val="left"/>
              <w:rPr>
                <w:rFonts w:ascii="宋体" w:hAnsi="宋体" w:cs="宋体"/>
                <w:szCs w:val="28"/>
              </w:rPr>
            </w:pPr>
            <w:r>
              <w:rPr>
                <w:rFonts w:ascii="宋体" w:hAnsi="宋体" w:cs="宋体"/>
                <w:szCs w:val="28"/>
              </w:rPr>
              <w:t>（</w:t>
            </w:r>
            <w:r>
              <w:rPr>
                <w:rFonts w:hint="eastAsia" w:ascii="宋体" w:hAnsi="宋体" w:cs="宋体"/>
                <w:szCs w:val="28"/>
              </w:rPr>
              <w:t>8</w:t>
            </w:r>
            <w:r>
              <w:rPr>
                <w:rFonts w:ascii="宋体" w:hAnsi="宋体" w:cs="宋体"/>
                <w:szCs w:val="28"/>
              </w:rPr>
              <w:t>）本项目不接受联合体投标。</w:t>
            </w:r>
          </w:p>
          <w:p w14:paraId="74B760CF">
            <w:pPr>
              <w:spacing w:line="360" w:lineRule="auto"/>
              <w:jc w:val="left"/>
              <w:rPr>
                <w:rFonts w:ascii="宋体" w:hAnsi="宋体" w:cs="宋体"/>
                <w:szCs w:val="28"/>
              </w:rPr>
            </w:pPr>
            <w:r>
              <w:rPr>
                <w:rFonts w:ascii="宋体" w:hAnsi="宋体" w:cs="宋体"/>
                <w:szCs w:val="28"/>
              </w:rPr>
              <w:t>（</w:t>
            </w:r>
            <w:r>
              <w:rPr>
                <w:rFonts w:hint="eastAsia" w:ascii="宋体" w:hAnsi="宋体" w:cs="宋体"/>
                <w:szCs w:val="28"/>
              </w:rPr>
              <w:t>9</w:t>
            </w:r>
            <w:r>
              <w:rPr>
                <w:rFonts w:ascii="宋体" w:hAnsi="宋体" w:cs="宋体"/>
                <w:szCs w:val="28"/>
              </w:rPr>
              <w:t>）</w:t>
            </w:r>
            <w:r>
              <w:rPr>
                <w:rFonts w:hint="eastAsia" w:ascii="宋体" w:hAnsi="宋体" w:cs="宋体"/>
                <w:szCs w:val="28"/>
              </w:rPr>
              <w:t>落实政府采购政策需满足的资格要求：本项目专门面向中小企业采购</w:t>
            </w:r>
          </w:p>
          <w:p w14:paraId="682F7993">
            <w:pPr>
              <w:widowControl/>
              <w:shd w:val="clear" w:color="auto" w:fill="FFFFFF"/>
              <w:spacing w:line="360" w:lineRule="auto"/>
              <w:jc w:val="left"/>
            </w:pPr>
            <w:r>
              <w:rPr>
                <w:rFonts w:hint="eastAsia" w:ascii="宋体" w:hAnsi="宋体" w:cs="宋体"/>
                <w:szCs w:val="21"/>
              </w:rPr>
              <w:t>（二）、</w:t>
            </w:r>
            <w:r>
              <w:rPr>
                <w:rFonts w:hint="eastAsia" w:hAnsi="宋体" w:cs="宋体"/>
                <w:szCs w:val="28"/>
              </w:rPr>
              <w:t>本项目的特定资格要求：</w:t>
            </w:r>
            <w:r>
              <w:rPr>
                <w:rFonts w:hint="eastAsia" w:hAnsi="宋体" w:cs="宋体"/>
                <w:szCs w:val="28"/>
              </w:rPr>
              <w:br w:type="textWrapping"/>
            </w:r>
            <w:r>
              <w:rPr>
                <w:rFonts w:hint="eastAsia" w:hAnsi="宋体" w:cs="宋体"/>
                <w:szCs w:val="28"/>
              </w:rPr>
              <w:t xml:space="preserve">具有有效的《食品生产许可证》或《食品经营许可证》或《食品流通许可证》。  </w:t>
            </w:r>
          </w:p>
        </w:tc>
      </w:tr>
      <w:tr w14:paraId="7FAD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7F729C0">
            <w:pPr>
              <w:spacing w:line="360" w:lineRule="auto"/>
              <w:jc w:val="center"/>
              <w:rPr>
                <w:rFonts w:ascii="宋体" w:hAnsi="宋体" w:cs="宋体"/>
                <w:szCs w:val="21"/>
              </w:rPr>
            </w:pPr>
            <w:r>
              <w:rPr>
                <w:rFonts w:hint="eastAsia" w:ascii="宋体" w:hAnsi="宋体" w:cs="宋体"/>
                <w:szCs w:val="21"/>
              </w:rPr>
              <w:t>2.1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3012DEAC">
            <w:pPr>
              <w:spacing w:line="360" w:lineRule="auto"/>
              <w:jc w:val="center"/>
              <w:rPr>
                <w:rFonts w:ascii="宋体" w:hAnsi="宋体" w:cs="宋体"/>
                <w:szCs w:val="21"/>
              </w:rPr>
            </w:pPr>
            <w:r>
              <w:rPr>
                <w:rFonts w:hint="eastAsia" w:ascii="宋体" w:hAnsi="宋体" w:cs="宋体"/>
                <w:szCs w:val="21"/>
              </w:rPr>
              <w:t>是否接受联合体竞标</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4FF8C835">
            <w:pPr>
              <w:spacing w:line="360" w:lineRule="auto"/>
              <w:rPr>
                <w:rFonts w:ascii="宋体" w:hAnsi="宋体" w:cs="宋体"/>
                <w:szCs w:val="21"/>
              </w:rPr>
            </w:pPr>
            <w:r>
              <w:rPr>
                <w:rFonts w:hint="eastAsia" w:ascii="宋体" w:hAnsi="宋体" w:cs="宋体"/>
                <w:szCs w:val="21"/>
              </w:rPr>
              <w:t>不接受</w:t>
            </w:r>
          </w:p>
        </w:tc>
      </w:tr>
      <w:tr w14:paraId="42FB2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2EA3F131">
            <w:pPr>
              <w:spacing w:line="360" w:lineRule="auto"/>
              <w:jc w:val="center"/>
              <w:rPr>
                <w:rFonts w:ascii="宋体" w:hAnsi="宋体" w:cs="宋体"/>
                <w:szCs w:val="21"/>
              </w:rPr>
            </w:pPr>
            <w:r>
              <w:rPr>
                <w:rFonts w:hint="eastAsia" w:ascii="宋体" w:hAnsi="宋体" w:cs="宋体"/>
                <w:szCs w:val="21"/>
              </w:rPr>
              <w:t>3.1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64E865AF">
            <w:pPr>
              <w:spacing w:line="360" w:lineRule="auto"/>
              <w:jc w:val="center"/>
              <w:rPr>
                <w:rFonts w:ascii="宋体" w:hAnsi="宋体" w:cs="宋体"/>
                <w:szCs w:val="21"/>
              </w:rPr>
            </w:pPr>
            <w:r>
              <w:rPr>
                <w:rFonts w:hint="eastAsia" w:ascii="宋体" w:hAnsi="宋体" w:cs="宋体"/>
                <w:szCs w:val="21"/>
              </w:rPr>
              <w:t>是否允许分包</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1FB32E43">
            <w:pPr>
              <w:pStyle w:val="8"/>
              <w:spacing w:line="360" w:lineRule="auto"/>
              <w:rPr>
                <w:rFonts w:ascii="宋体" w:hAnsi="宋体"/>
                <w:szCs w:val="21"/>
              </w:rPr>
            </w:pPr>
            <w:bookmarkStart w:id="35" w:name="PO_3000001869_PM044"/>
            <w:r>
              <w:rPr>
                <w:rFonts w:hint="eastAsia" w:ascii="宋体" w:hAnsi="宋体"/>
                <w:szCs w:val="21"/>
              </w:rPr>
              <w:t>不允许分包</w:t>
            </w:r>
            <w:bookmarkEnd w:id="35"/>
          </w:p>
        </w:tc>
      </w:tr>
      <w:tr w14:paraId="4484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F67A0C4">
            <w:pPr>
              <w:spacing w:line="360" w:lineRule="auto"/>
              <w:jc w:val="center"/>
              <w:rPr>
                <w:rFonts w:ascii="宋体" w:hAnsi="宋体" w:cs="宋体"/>
                <w:szCs w:val="21"/>
              </w:rPr>
            </w:pPr>
            <w:r>
              <w:rPr>
                <w:rFonts w:hint="eastAsia" w:ascii="宋体" w:hAnsi="宋体" w:cs="宋体"/>
                <w:szCs w:val="21"/>
              </w:rPr>
              <w:t>4.1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0E06397A">
            <w:pPr>
              <w:spacing w:line="360" w:lineRule="auto"/>
              <w:jc w:val="center"/>
              <w:rPr>
                <w:rFonts w:ascii="宋体" w:hAnsi="宋体" w:cs="宋体"/>
                <w:szCs w:val="21"/>
              </w:rPr>
            </w:pPr>
            <w:r>
              <w:rPr>
                <w:rFonts w:hint="eastAsia" w:ascii="宋体" w:hAnsi="宋体" w:cs="宋体"/>
                <w:szCs w:val="21"/>
              </w:rPr>
              <w:t>资金来源</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2B7B4BEB">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国有企业退休人员社会化管理资金</w:t>
            </w:r>
          </w:p>
        </w:tc>
      </w:tr>
      <w:tr w14:paraId="33FEF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2DC62DF1">
            <w:pPr>
              <w:spacing w:line="360" w:lineRule="auto"/>
              <w:jc w:val="center"/>
              <w:rPr>
                <w:rFonts w:ascii="宋体" w:hAnsi="宋体" w:cs="宋体"/>
                <w:szCs w:val="21"/>
              </w:rPr>
            </w:pPr>
            <w:r>
              <w:rPr>
                <w:rFonts w:hint="eastAsia" w:ascii="宋体" w:hAnsi="宋体" w:cs="宋体"/>
                <w:szCs w:val="21"/>
              </w:rPr>
              <w:t>5</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0940CA90">
            <w:pPr>
              <w:spacing w:line="360" w:lineRule="auto"/>
              <w:jc w:val="center"/>
              <w:rPr>
                <w:rFonts w:ascii="宋体" w:hAnsi="宋体" w:cs="宋体"/>
                <w:szCs w:val="21"/>
              </w:rPr>
            </w:pPr>
            <w:r>
              <w:rPr>
                <w:rFonts w:hint="eastAsia" w:ascii="宋体" w:hAnsi="宋体" w:cs="宋体"/>
                <w:szCs w:val="21"/>
              </w:rPr>
              <w:t>响应文件电子版要求</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33FBD66E">
            <w:pPr>
              <w:snapToGrid w:val="0"/>
              <w:spacing w:line="360" w:lineRule="auto"/>
              <w:jc w:val="left"/>
              <w:rPr>
                <w:rFonts w:ascii="宋体" w:hAnsi="宋体" w:cs="宋体"/>
                <w:szCs w:val="21"/>
              </w:rPr>
            </w:pPr>
            <w:r>
              <w:rPr>
                <w:rFonts w:hint="eastAsia" w:ascii="宋体" w:hAnsi="宋体" w:cs="宋体"/>
                <w:szCs w:val="21"/>
              </w:rPr>
              <w:t>1.响应文件电子版要求：按照本招标文件“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”编写（第五章未附格式的，由供应商自行拟定），不可涂改并在规定位置加盖公章处加盖电子公章，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59D34DC7">
            <w:pPr>
              <w:snapToGrid w:val="0"/>
              <w:spacing w:line="360" w:lineRule="auto"/>
              <w:jc w:val="left"/>
              <w:rPr>
                <w:rFonts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w:t>
            </w:r>
          </w:p>
        </w:tc>
      </w:tr>
      <w:tr w14:paraId="7A3D9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208DFDB">
            <w:pPr>
              <w:spacing w:line="360" w:lineRule="auto"/>
              <w:jc w:val="center"/>
              <w:rPr>
                <w:rFonts w:ascii="宋体" w:hAnsi="宋体" w:cs="宋体"/>
                <w:szCs w:val="21"/>
              </w:rPr>
            </w:pPr>
            <w:r>
              <w:rPr>
                <w:rFonts w:hint="eastAsia" w:ascii="宋体" w:hAnsi="宋体" w:cs="宋体"/>
                <w:szCs w:val="21"/>
              </w:rPr>
              <w:t>6</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04B7FEDA">
            <w:pPr>
              <w:spacing w:line="360" w:lineRule="auto"/>
              <w:jc w:val="center"/>
              <w:rPr>
                <w:rFonts w:ascii="宋体" w:hAnsi="宋体" w:cs="宋体"/>
                <w:szCs w:val="21"/>
              </w:rPr>
            </w:pPr>
            <w:r>
              <w:rPr>
                <w:rFonts w:hint="eastAsia" w:ascii="宋体" w:hAnsi="宋体" w:cs="宋体"/>
                <w:szCs w:val="21"/>
              </w:rPr>
              <w:t>响应报价要求</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120F5E33">
            <w:pPr>
              <w:spacing w:line="360" w:lineRule="auto"/>
              <w:jc w:val="left"/>
              <w:rPr>
                <w:rFonts w:ascii="宋体" w:hAnsi="宋体" w:cs="宋体"/>
                <w:b/>
                <w:bCs/>
                <w:kern w:val="0"/>
                <w:sz w:val="24"/>
              </w:rPr>
            </w:pPr>
            <w:r>
              <w:rPr>
                <w:rFonts w:hint="eastAsia" w:ascii="宋体" w:hAnsi="宋体" w:cs="宋体"/>
                <w:szCs w:val="21"/>
              </w:rPr>
              <w:t>响应报价为“</w:t>
            </w:r>
            <w:r>
              <w:rPr>
                <w:rFonts w:hint="eastAsia" w:ascii="宋体" w:hAnsi="宋体" w:cs="宋体"/>
                <w:szCs w:val="21"/>
                <w:lang w:val="en-US" w:eastAsia="zh-CN"/>
              </w:rPr>
              <w:t>招标</w:t>
            </w:r>
            <w:r>
              <w:rPr>
                <w:rFonts w:hint="eastAsia" w:ascii="宋体" w:hAnsi="宋体" w:cs="宋体"/>
                <w:szCs w:val="21"/>
              </w:rPr>
              <w:t>范围”内的总报价，如果项目内容不发生变更，则价格不作调整。</w:t>
            </w:r>
          </w:p>
        </w:tc>
      </w:tr>
      <w:tr w14:paraId="72764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C61738C">
            <w:pPr>
              <w:spacing w:line="360" w:lineRule="auto"/>
              <w:jc w:val="center"/>
              <w:rPr>
                <w:rFonts w:ascii="宋体" w:hAnsi="宋体" w:cs="宋体"/>
                <w:szCs w:val="21"/>
              </w:rPr>
            </w:pPr>
            <w:r>
              <w:rPr>
                <w:rFonts w:hint="eastAsia" w:ascii="宋体" w:hAnsi="宋体" w:cs="宋体"/>
                <w:szCs w:val="21"/>
              </w:rPr>
              <w:t>7</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715A313B">
            <w:pPr>
              <w:spacing w:line="360" w:lineRule="auto"/>
              <w:jc w:val="center"/>
              <w:rPr>
                <w:rFonts w:ascii="宋体" w:hAnsi="宋体" w:cs="宋体"/>
                <w:szCs w:val="21"/>
              </w:rPr>
            </w:pPr>
            <w:r>
              <w:rPr>
                <w:rFonts w:hint="eastAsia" w:ascii="宋体" w:hAnsi="宋体" w:cs="宋体"/>
                <w:szCs w:val="21"/>
              </w:rPr>
              <w:t>投标有效期</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28B1F13B">
            <w:pPr>
              <w:pStyle w:val="7"/>
              <w:numPr>
                <w:ilvl w:val="0"/>
                <w:numId w:val="0"/>
              </w:numPr>
              <w:tabs>
                <w:tab w:val="left" w:pos="720"/>
                <w:tab w:val="left" w:pos="840"/>
              </w:tabs>
              <w:snapToGrid w:val="0"/>
              <w:spacing w:after="120" w:line="360" w:lineRule="auto"/>
              <w:jc w:val="left"/>
              <w:rPr>
                <w:rFonts w:ascii="宋体" w:hAnsi="宋体" w:cs="宋体"/>
                <w:szCs w:val="21"/>
              </w:rPr>
            </w:pPr>
            <w:r>
              <w:rPr>
                <w:rFonts w:hint="eastAsia" w:ascii="宋体" w:hAnsi="宋体" w:cs="宋体"/>
                <w:szCs w:val="21"/>
              </w:rPr>
              <w:t xml:space="preserve">自首次响应文件提交截止之日起 </w:t>
            </w:r>
            <w:bookmarkStart w:id="36" w:name="PO_3000001869_PM046"/>
            <w:r>
              <w:rPr>
                <w:rFonts w:hint="eastAsia" w:ascii="宋体" w:hAnsi="宋体" w:cs="宋体"/>
                <w:szCs w:val="21"/>
              </w:rPr>
              <w:t>90日历</w:t>
            </w:r>
            <w:bookmarkEnd w:id="36"/>
            <w:r>
              <w:rPr>
                <w:rFonts w:hint="eastAsia" w:ascii="宋体" w:hAnsi="宋体" w:cs="宋体"/>
                <w:szCs w:val="21"/>
              </w:rPr>
              <w:t>日。</w:t>
            </w:r>
          </w:p>
        </w:tc>
      </w:tr>
      <w:tr w14:paraId="6BD1C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7271E28">
            <w:pPr>
              <w:spacing w:line="360" w:lineRule="auto"/>
              <w:jc w:val="center"/>
              <w:rPr>
                <w:rFonts w:ascii="宋体" w:hAnsi="宋体" w:cs="宋体"/>
                <w:szCs w:val="21"/>
              </w:rPr>
            </w:pPr>
            <w:r>
              <w:rPr>
                <w:rFonts w:hint="eastAsia" w:ascii="宋体" w:hAnsi="宋体" w:cs="宋体"/>
                <w:szCs w:val="21"/>
              </w:rPr>
              <w:t>8</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707F9650">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投标</w:t>
            </w:r>
            <w:r>
              <w:rPr>
                <w:rFonts w:hint="eastAsia" w:ascii="宋体" w:hAnsi="宋体" w:cs="宋体"/>
                <w:szCs w:val="21"/>
                <w:highlight w:val="none"/>
              </w:rPr>
              <w:t>保证金</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6DE3C3D1">
            <w:pPr>
              <w:pStyle w:val="25"/>
              <w:spacing w:line="500" w:lineRule="exact"/>
              <w:rPr>
                <w:rFonts w:ascii="宋体" w:hAnsi="宋体" w:cs="宋体"/>
                <w:sz w:val="24"/>
                <w:szCs w:val="24"/>
                <w:highlight w:val="none"/>
                <w:u w:val="single"/>
              </w:rPr>
            </w:pPr>
            <w:r>
              <w:rPr>
                <w:rFonts w:hint="eastAsia" w:ascii="宋体" w:hAnsi="宋体" w:cs="宋体"/>
                <w:kern w:val="0"/>
                <w:sz w:val="24"/>
                <w:szCs w:val="24"/>
                <w:highlight w:val="none"/>
              </w:rPr>
              <w:t>金额（小写）：</w:t>
            </w:r>
            <w:r>
              <w:rPr>
                <w:rFonts w:hint="eastAsia" w:ascii="宋体" w:hAnsi="宋体" w:cs="宋体"/>
                <w:kern w:val="0"/>
                <w:sz w:val="24"/>
                <w:szCs w:val="24"/>
                <w:highlight w:val="none"/>
                <w:u w:val="single"/>
              </w:rPr>
              <w:t>¥20000.00元</w:t>
            </w:r>
          </w:p>
          <w:p w14:paraId="67029FC0">
            <w:pPr>
              <w:pStyle w:val="59"/>
              <w:spacing w:line="500" w:lineRule="exact"/>
              <w:rPr>
                <w:rFonts w:ascii="宋体" w:hAnsi="宋体" w:cs="宋体"/>
                <w:sz w:val="24"/>
                <w:szCs w:val="24"/>
                <w:highlight w:val="none"/>
              </w:rPr>
            </w:pPr>
            <w:r>
              <w:rPr>
                <w:rFonts w:hint="eastAsia" w:ascii="宋体" w:hAnsi="宋体" w:cs="宋体"/>
                <w:kern w:val="0"/>
                <w:sz w:val="24"/>
                <w:szCs w:val="24"/>
                <w:highlight w:val="none"/>
              </w:rPr>
              <w:t>金额（大写）：</w:t>
            </w:r>
            <w:r>
              <w:rPr>
                <w:rFonts w:hint="eastAsia" w:ascii="宋体" w:hAnsi="宋体" w:cs="宋体"/>
                <w:kern w:val="0"/>
                <w:sz w:val="24"/>
                <w:szCs w:val="24"/>
                <w:highlight w:val="none"/>
                <w:u w:val="single"/>
              </w:rPr>
              <w:t xml:space="preserve">贰万元整     </w:t>
            </w:r>
          </w:p>
          <w:p w14:paraId="14D706E2">
            <w:pPr>
              <w:pStyle w:val="62"/>
              <w:spacing w:line="500" w:lineRule="exact"/>
              <w:rPr>
                <w:rFonts w:ascii="宋体" w:hAnsi="宋体" w:cs="宋体"/>
                <w:kern w:val="0"/>
                <w:sz w:val="24"/>
                <w:szCs w:val="24"/>
                <w:highlight w:val="none"/>
              </w:rPr>
            </w:pPr>
            <w:r>
              <w:rPr>
                <w:rFonts w:hint="eastAsia" w:ascii="宋体" w:hAnsi="宋体" w:cs="宋体"/>
                <w:kern w:val="0"/>
                <w:sz w:val="24"/>
                <w:szCs w:val="24"/>
                <w:highlight w:val="none"/>
              </w:rPr>
              <w:t xml:space="preserve">账户名：新疆同创博远项目管理咨询有限责任公司 </w:t>
            </w:r>
          </w:p>
          <w:p w14:paraId="1EFA4E53">
            <w:pPr>
              <w:pStyle w:val="62"/>
              <w:spacing w:line="500" w:lineRule="exact"/>
              <w:rPr>
                <w:rFonts w:ascii="宋体" w:hAnsi="宋体" w:cs="宋体"/>
                <w:kern w:val="0"/>
                <w:sz w:val="24"/>
                <w:szCs w:val="24"/>
                <w:highlight w:val="none"/>
              </w:rPr>
            </w:pPr>
            <w:r>
              <w:rPr>
                <w:rFonts w:hint="eastAsia" w:ascii="宋体" w:hAnsi="宋体" w:cs="宋体"/>
                <w:kern w:val="0"/>
                <w:sz w:val="24"/>
                <w:szCs w:val="24"/>
                <w:highlight w:val="none"/>
              </w:rPr>
              <w:t>开户行：新疆银行股份有限公司哈密火车站支行</w:t>
            </w:r>
          </w:p>
          <w:p w14:paraId="34BF5376">
            <w:pPr>
              <w:pStyle w:val="62"/>
              <w:spacing w:line="500" w:lineRule="exact"/>
              <w:rPr>
                <w:rFonts w:ascii="宋体" w:hAnsi="宋体" w:cs="宋体"/>
                <w:kern w:val="0"/>
                <w:sz w:val="24"/>
                <w:szCs w:val="24"/>
                <w:highlight w:val="none"/>
              </w:rPr>
            </w:pPr>
            <w:r>
              <w:rPr>
                <w:rFonts w:hint="eastAsia" w:ascii="宋体" w:hAnsi="宋体" w:cs="宋体"/>
                <w:kern w:val="0"/>
                <w:sz w:val="24"/>
                <w:szCs w:val="24"/>
                <w:highlight w:val="none"/>
              </w:rPr>
              <w:t>帐  号：0802260000001231</w:t>
            </w:r>
          </w:p>
          <w:p w14:paraId="46A642E9">
            <w:pPr>
              <w:pStyle w:val="62"/>
              <w:spacing w:line="500" w:lineRule="exact"/>
              <w:rPr>
                <w:rFonts w:hint="eastAsia" w:ascii="宋体" w:hAnsi="宋体" w:cs="宋体"/>
                <w:bCs/>
                <w:sz w:val="24"/>
                <w:szCs w:val="24"/>
                <w:highlight w:val="none"/>
              </w:rPr>
            </w:pP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保证金提交方式：</w:t>
            </w: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保证金应在开标前由投标人以支票、汇票、本票、或者金融机构、担保机构出具的保函等非现金形式提交；基本账户以电汇</w:t>
            </w:r>
            <w:r>
              <w:rPr>
                <w:rFonts w:hint="eastAsia" w:ascii="宋体" w:hAnsi="宋体" w:cs="宋体"/>
                <w:bCs/>
                <w:sz w:val="24"/>
                <w:szCs w:val="24"/>
                <w:highlight w:val="none"/>
              </w:rPr>
              <w:t>或银行转账的方式，汇到指定的</w:t>
            </w:r>
            <w:r>
              <w:rPr>
                <w:rFonts w:hint="eastAsia" w:ascii="宋体" w:hAnsi="宋体" w:eastAsia="宋体" w:cs="宋体"/>
                <w:bCs/>
                <w:sz w:val="24"/>
                <w:szCs w:val="24"/>
                <w:highlight w:val="none"/>
                <w:lang w:val="en-US" w:eastAsia="zh-CN"/>
              </w:rPr>
              <w:t>投标</w:t>
            </w:r>
            <w:r>
              <w:rPr>
                <w:rFonts w:hint="eastAsia" w:ascii="宋体" w:hAnsi="宋体" w:cs="宋体"/>
                <w:bCs/>
                <w:sz w:val="24"/>
                <w:szCs w:val="24"/>
                <w:highlight w:val="none"/>
              </w:rPr>
              <w:t>保证金帐户</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备注好项目名称</w:t>
            </w:r>
            <w:r>
              <w:rPr>
                <w:rFonts w:hint="eastAsia" w:ascii="宋体" w:hAnsi="宋体" w:cs="宋体"/>
                <w:bCs/>
                <w:sz w:val="24"/>
                <w:szCs w:val="24"/>
                <w:highlight w:val="none"/>
              </w:rPr>
              <w:t>。（可使用政采云电子保函）</w:t>
            </w:r>
          </w:p>
          <w:p w14:paraId="77B3DAAF">
            <w:pPr>
              <w:pStyle w:val="62"/>
              <w:spacing w:line="500" w:lineRule="exact"/>
              <w:rPr>
                <w:rFonts w:hint="eastAsia" w:ascii="宋体" w:hAnsi="宋体" w:cs="宋体"/>
                <w:bCs/>
                <w:sz w:val="24"/>
                <w:szCs w:val="24"/>
                <w:highlight w:val="none"/>
              </w:rPr>
            </w:pPr>
          </w:p>
          <w:p w14:paraId="10C6F485">
            <w:pPr>
              <w:autoSpaceDE w:val="0"/>
              <w:autoSpaceDN w:val="0"/>
              <w:snapToGrid w:val="0"/>
              <w:spacing w:line="360" w:lineRule="auto"/>
              <w:textAlignment w:val="bottom"/>
              <w:rPr>
                <w:rFonts w:ascii="宋体" w:hAnsi="宋体"/>
                <w:szCs w:val="21"/>
                <w:highlight w:val="none"/>
              </w:rPr>
            </w:pPr>
            <w:r>
              <w:rPr>
                <w:rFonts w:hint="eastAsia" w:ascii="宋体" w:hAnsi="宋体" w:cs="宋体"/>
                <w:bCs/>
                <w:sz w:val="24"/>
                <w:highlight w:val="none"/>
              </w:rPr>
              <w:t>到账截止时间：</w:t>
            </w:r>
            <w:r>
              <w:rPr>
                <w:rFonts w:hint="eastAsia" w:ascii="宋体" w:hAnsi="宋体" w:cs="宋体"/>
                <w:bCs/>
                <w:color w:val="000000"/>
                <w:sz w:val="24"/>
                <w:highlight w:val="none"/>
              </w:rPr>
              <w:t>2025年05月</w:t>
            </w:r>
            <w:r>
              <w:rPr>
                <w:rFonts w:hint="eastAsia" w:ascii="宋体" w:hAnsi="宋体" w:cs="宋体"/>
                <w:bCs/>
                <w:color w:val="000000"/>
                <w:sz w:val="24"/>
                <w:highlight w:val="none"/>
                <w:lang w:val="en-US" w:eastAsia="zh-CN"/>
              </w:rPr>
              <w:t>28</w:t>
            </w:r>
            <w:r>
              <w:rPr>
                <w:rFonts w:hint="eastAsia" w:ascii="宋体" w:hAnsi="宋体" w:cs="宋体"/>
                <w:bCs/>
                <w:color w:val="000000"/>
                <w:sz w:val="24"/>
                <w:highlight w:val="none"/>
              </w:rPr>
              <w:t>日10时00 分</w:t>
            </w:r>
            <w:r>
              <w:rPr>
                <w:rFonts w:hint="eastAsia" w:ascii="宋体" w:hAnsi="宋体" w:cs="宋体"/>
                <w:bCs/>
                <w:sz w:val="24"/>
                <w:highlight w:val="none"/>
              </w:rPr>
              <w:t>（北京时间）（以银行记录确认到账为准）。</w:t>
            </w:r>
          </w:p>
        </w:tc>
      </w:tr>
      <w:tr w14:paraId="1A600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4E7AA62C">
            <w:pPr>
              <w:widowControl/>
              <w:jc w:val="left"/>
              <w:rPr>
                <w:rFonts w:ascii="宋体" w:hAnsi="宋体" w:cs="宋体"/>
                <w:szCs w:val="21"/>
              </w:rPr>
            </w:pPr>
          </w:p>
          <w:p w14:paraId="474CA748">
            <w:pPr>
              <w:widowControl/>
              <w:jc w:val="left"/>
              <w:rPr>
                <w:rFonts w:ascii="宋体" w:hAnsi="宋体" w:cs="宋体"/>
                <w:szCs w:val="21"/>
              </w:rPr>
            </w:pPr>
            <w:r>
              <w:rPr>
                <w:rFonts w:hint="eastAsia" w:ascii="宋体" w:hAnsi="宋体" w:cs="宋体"/>
                <w:szCs w:val="21"/>
              </w:rPr>
              <w:t>9</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5C1BA86">
            <w:pPr>
              <w:spacing w:line="360" w:lineRule="auto"/>
              <w:jc w:val="center"/>
              <w:rPr>
                <w:rFonts w:ascii="宋体" w:hAnsi="宋体" w:cs="宋体"/>
                <w:b/>
                <w:bCs/>
                <w:szCs w:val="21"/>
                <w:highlight w:val="none"/>
              </w:rPr>
            </w:pPr>
            <w:r>
              <w:rPr>
                <w:rFonts w:hint="eastAsia" w:ascii="宋体" w:hAnsi="宋体" w:cs="宋体"/>
                <w:b/>
                <w:bCs/>
                <w:szCs w:val="21"/>
                <w:highlight w:val="none"/>
              </w:rPr>
              <w:t>响应文件提交起止时间</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3DC030E9">
            <w:pPr>
              <w:snapToGrid w:val="0"/>
              <w:spacing w:line="360" w:lineRule="auto"/>
              <w:jc w:val="left"/>
              <w:rPr>
                <w:rFonts w:ascii="宋体" w:hAnsi="宋体" w:cs="宋体"/>
                <w:b/>
                <w:bCs/>
                <w:szCs w:val="21"/>
                <w:highlight w:val="none"/>
                <w:u w:val="single"/>
              </w:rPr>
            </w:pPr>
            <w:r>
              <w:rPr>
                <w:rFonts w:hint="eastAsia" w:ascii="宋体" w:hAnsi="宋体" w:cs="宋体"/>
                <w:b/>
                <w:bCs/>
                <w:szCs w:val="21"/>
                <w:highlight w:val="none"/>
              </w:rPr>
              <w:t>2025年5月</w:t>
            </w:r>
            <w:r>
              <w:rPr>
                <w:rFonts w:hint="eastAsia" w:ascii="宋体" w:hAnsi="宋体" w:cs="宋体"/>
                <w:b/>
                <w:bCs/>
                <w:szCs w:val="21"/>
                <w:highlight w:val="none"/>
                <w:lang w:val="en-US" w:eastAsia="zh-CN"/>
              </w:rPr>
              <w:t>28</w:t>
            </w:r>
            <w:r>
              <w:rPr>
                <w:rFonts w:hint="eastAsia" w:ascii="宋体" w:hAnsi="宋体" w:cs="宋体"/>
                <w:b/>
                <w:bCs/>
                <w:szCs w:val="21"/>
                <w:highlight w:val="none"/>
              </w:rPr>
              <w:t>日10点00分（北京时间）</w:t>
            </w:r>
          </w:p>
        </w:tc>
      </w:tr>
      <w:tr w14:paraId="7205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33566CDC">
            <w:pPr>
              <w:widowControl/>
              <w:jc w:val="left"/>
              <w:rPr>
                <w:rFonts w:ascii="宋体" w:hAnsi="宋体" w:cs="宋体"/>
                <w:szCs w:val="21"/>
              </w:rPr>
            </w:pPr>
          </w:p>
          <w:p w14:paraId="40F8519E">
            <w:pPr>
              <w:widowControl/>
              <w:jc w:val="left"/>
              <w:rPr>
                <w:rFonts w:ascii="宋体" w:hAnsi="宋体" w:cs="宋体"/>
                <w:szCs w:val="21"/>
              </w:rPr>
            </w:pPr>
            <w:r>
              <w:rPr>
                <w:rFonts w:hint="eastAsia" w:ascii="宋体" w:hAnsi="宋体" w:cs="宋体"/>
                <w:szCs w:val="21"/>
              </w:rPr>
              <w:t>10</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20764D2">
            <w:pPr>
              <w:spacing w:line="360" w:lineRule="auto"/>
              <w:ind w:firstLine="420" w:firstLineChars="200"/>
              <w:jc w:val="both"/>
              <w:rPr>
                <w:rFonts w:ascii="宋体" w:hAnsi="宋体" w:cs="宋体"/>
                <w:szCs w:val="21"/>
              </w:rPr>
            </w:pPr>
            <w:r>
              <w:rPr>
                <w:rFonts w:hint="eastAsia" w:ascii="宋体" w:hAnsi="宋体" w:cs="宋体"/>
                <w:szCs w:val="21"/>
              </w:rPr>
              <w:t>响应文件提交地点</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3E542235">
            <w:pPr>
              <w:snapToGrid w:val="0"/>
              <w:spacing w:line="360" w:lineRule="auto"/>
              <w:jc w:val="left"/>
              <w:rPr>
                <w:rFonts w:ascii="宋体" w:hAnsi="宋体" w:cs="宋体"/>
                <w:szCs w:val="21"/>
                <w:u w:val="single"/>
              </w:rPr>
            </w:pPr>
            <w:r>
              <w:rPr>
                <w:rFonts w:hint="eastAsia" w:ascii="宋体" w:hAnsi="宋体" w:cs="宋体"/>
                <w:szCs w:val="21"/>
              </w:rPr>
              <w:t>新疆政府采购网（http://www.ccgp-xinjiang.gov.cn）政采云投标客户端投标</w:t>
            </w:r>
          </w:p>
        </w:tc>
      </w:tr>
      <w:tr w14:paraId="5CB3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0CFAB127">
            <w:pPr>
              <w:widowControl/>
              <w:jc w:val="left"/>
              <w:rPr>
                <w:rFonts w:ascii="宋体" w:hAnsi="宋体" w:cs="宋体"/>
                <w:szCs w:val="21"/>
              </w:rPr>
            </w:pPr>
          </w:p>
          <w:p w14:paraId="5B5D7E7E">
            <w:pPr>
              <w:widowControl/>
              <w:jc w:val="left"/>
              <w:rPr>
                <w:rFonts w:ascii="宋体" w:hAnsi="宋体" w:cs="宋体"/>
                <w:szCs w:val="21"/>
              </w:rPr>
            </w:pPr>
            <w:r>
              <w:rPr>
                <w:rFonts w:hint="eastAsia" w:ascii="宋体" w:hAnsi="宋体" w:cs="宋体"/>
                <w:szCs w:val="21"/>
              </w:rPr>
              <w:t>11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4C0066F5">
            <w:pPr>
              <w:spacing w:line="360" w:lineRule="auto"/>
              <w:jc w:val="center"/>
              <w:rPr>
                <w:rFonts w:ascii="宋体" w:hAnsi="宋体" w:cs="宋体"/>
                <w:szCs w:val="21"/>
              </w:rPr>
            </w:pPr>
            <w:r>
              <w:rPr>
                <w:rFonts w:hint="eastAsia" w:ascii="宋体" w:hAnsi="宋体" w:cs="宋体"/>
                <w:szCs w:val="21"/>
              </w:rPr>
              <w:t>备份响应文件</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0BE537A4">
            <w:pPr>
              <w:snapToGrid w:val="0"/>
              <w:spacing w:line="360" w:lineRule="auto"/>
              <w:jc w:val="left"/>
              <w:rPr>
                <w:rFonts w:ascii="宋体" w:hAnsi="宋体" w:cs="宋体"/>
                <w:szCs w:val="21"/>
                <w:u w:val="single"/>
              </w:rPr>
            </w:pPr>
            <w:r>
              <w:rPr>
                <w:rFonts w:hint="eastAsia" w:ascii="宋体" w:hAnsi="宋体"/>
                <w:color w:val="000000"/>
                <w:szCs w:val="21"/>
              </w:rPr>
              <w:t>本项目不接受备份响应文件。</w:t>
            </w:r>
          </w:p>
        </w:tc>
      </w:tr>
      <w:tr w14:paraId="0A585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7073197">
            <w:pPr>
              <w:widowControl/>
              <w:jc w:val="center"/>
              <w:rPr>
                <w:rFonts w:ascii="宋体" w:hAnsi="宋体" w:cs="宋体"/>
                <w:szCs w:val="21"/>
              </w:rPr>
            </w:pPr>
            <w:r>
              <w:rPr>
                <w:rFonts w:hint="eastAsia" w:ascii="宋体" w:hAnsi="宋体" w:cs="宋体"/>
                <w:szCs w:val="21"/>
              </w:rPr>
              <w:t>12</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1082E59B">
            <w:pPr>
              <w:spacing w:line="360" w:lineRule="auto"/>
              <w:jc w:val="center"/>
              <w:rPr>
                <w:rFonts w:ascii="宋体" w:hAnsi="宋体" w:cs="宋体"/>
                <w:szCs w:val="21"/>
              </w:rPr>
            </w:pPr>
            <w:r>
              <w:rPr>
                <w:rFonts w:hint="eastAsia" w:ascii="宋体" w:hAnsi="宋体" w:cs="宋体"/>
                <w:szCs w:val="21"/>
              </w:rPr>
              <w:t>首次响应文件的退回</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556B3869">
            <w:pPr>
              <w:snapToGrid w:val="0"/>
              <w:spacing w:line="360" w:lineRule="auto"/>
              <w:jc w:val="left"/>
              <w:rPr>
                <w:rFonts w:ascii="宋体" w:hAnsi="宋体" w:cs="宋体"/>
                <w:szCs w:val="21"/>
                <w:u w:val="single"/>
              </w:rPr>
            </w:pPr>
            <w:r>
              <w:rPr>
                <w:rFonts w:hint="eastAsia" w:ascii="宋体" w:hAnsi="宋体" w:cs="宋体"/>
                <w:szCs w:val="21"/>
              </w:rPr>
              <w:t>详见第二节供应商须知正文。</w:t>
            </w:r>
          </w:p>
        </w:tc>
      </w:tr>
      <w:tr w14:paraId="075B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77B00D2">
            <w:pPr>
              <w:spacing w:line="360" w:lineRule="auto"/>
              <w:jc w:val="center"/>
              <w:rPr>
                <w:rFonts w:ascii="宋体" w:hAnsi="宋体" w:cs="宋体"/>
                <w:szCs w:val="21"/>
              </w:rPr>
            </w:pPr>
            <w:r>
              <w:rPr>
                <w:rFonts w:hint="eastAsia" w:ascii="宋体" w:hAnsi="宋体" w:cs="宋体"/>
                <w:szCs w:val="21"/>
              </w:rPr>
              <w:t>13</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5FC25E62">
            <w:pPr>
              <w:spacing w:line="360" w:lineRule="auto"/>
              <w:jc w:val="center"/>
              <w:rPr>
                <w:rFonts w:ascii="宋体" w:hAnsi="宋体" w:cs="宋体"/>
                <w:szCs w:val="21"/>
              </w:rPr>
            </w:pPr>
            <w:r>
              <w:rPr>
                <w:rFonts w:hint="eastAsia" w:ascii="宋体" w:hAnsi="宋体"/>
                <w:color w:val="000000"/>
                <w:szCs w:val="21"/>
              </w:rPr>
              <w:t>行业划分</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4C946E63">
            <w:pPr>
              <w:snapToGrid w:val="0"/>
              <w:spacing w:line="360" w:lineRule="auto"/>
              <w:rPr>
                <w:rFonts w:ascii="宋体" w:hAnsi="宋体" w:cs="宋体"/>
                <w:color w:val="FF0000"/>
                <w:szCs w:val="21"/>
              </w:rPr>
            </w:pPr>
            <w:r>
              <w:rPr>
                <w:rFonts w:hint="eastAsia" w:ascii="宋体" w:hAnsi="宋体"/>
                <w:color w:val="auto"/>
                <w:szCs w:val="21"/>
              </w:rPr>
              <w:t>零售业</w:t>
            </w:r>
          </w:p>
        </w:tc>
      </w:tr>
      <w:tr w14:paraId="728DB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0B7C43FB">
            <w:pPr>
              <w:spacing w:line="360" w:lineRule="auto"/>
              <w:jc w:val="center"/>
              <w:rPr>
                <w:rFonts w:ascii="宋体" w:hAnsi="宋体" w:cs="宋体"/>
                <w:szCs w:val="21"/>
              </w:rPr>
            </w:pPr>
            <w:r>
              <w:rPr>
                <w:rFonts w:hint="eastAsia" w:ascii="宋体" w:hAnsi="宋体" w:cs="宋体"/>
                <w:szCs w:val="21"/>
              </w:rPr>
              <w:t>14</w:t>
            </w:r>
          </w:p>
        </w:tc>
        <w:tc>
          <w:tcPr>
            <w:tcW w:w="3012" w:type="dxa"/>
            <w:tcBorders>
              <w:top w:val="single" w:color="000000" w:sz="4" w:space="0"/>
              <w:left w:val="single" w:color="000000" w:sz="4" w:space="0"/>
              <w:right w:val="single" w:color="000000" w:sz="4" w:space="0"/>
            </w:tcBorders>
            <w:noWrap/>
            <w:vAlign w:val="center"/>
          </w:tcPr>
          <w:p w14:paraId="257C3347">
            <w:pPr>
              <w:spacing w:line="360" w:lineRule="auto"/>
              <w:jc w:val="center"/>
              <w:rPr>
                <w:rFonts w:ascii="宋体" w:hAnsi="宋体"/>
                <w:color w:val="000000"/>
                <w:szCs w:val="21"/>
              </w:rPr>
            </w:pPr>
            <w:r>
              <w:rPr>
                <w:rFonts w:hint="eastAsia" w:ascii="宋体" w:hAnsi="宋体" w:cs="宋体"/>
                <w:szCs w:val="21"/>
              </w:rPr>
              <w:t>采购代理费</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522915A3">
            <w:pPr>
              <w:pStyle w:val="62"/>
              <w:spacing w:line="500" w:lineRule="exact"/>
              <w:rPr>
                <w:rFonts w:hAnsi="宋体" w:cs="宋体"/>
              </w:rPr>
            </w:pPr>
            <w:r>
              <w:rPr>
                <w:rFonts w:hint="eastAsia" w:hAnsi="宋体" w:cs="宋体"/>
              </w:rPr>
              <w:t>招标代理费收费依据《招标代理服务收费管理暂行办法》（计价格［2015］299号）和《国家发展改革委办公厅关于招标代理服务收费有关问题的通知》（发改办价格[2003]857号）的规定按最终中标金额为计费基数计算确定,由中标单位支付。中标单位在收到中标通知书后，须向新疆同创博远项目管理咨询有限责任公司支付招标代理服务费。</w:t>
            </w:r>
          </w:p>
          <w:p w14:paraId="205F790C">
            <w:pPr>
              <w:pStyle w:val="16"/>
              <w:snapToGrid w:val="0"/>
              <w:spacing w:line="360" w:lineRule="auto"/>
              <w:rPr>
                <w:rFonts w:hAnsi="宋体" w:cs="宋体"/>
                <w:sz w:val="21"/>
              </w:rPr>
            </w:pPr>
            <w:r>
              <w:rPr>
                <w:rFonts w:hint="eastAsia" w:hAnsi="宋体" w:cs="宋体"/>
                <w:sz w:val="21"/>
              </w:rPr>
              <w:t xml:space="preserve">收款单位：新疆同创博远项目管理咨询有限责任公司 </w:t>
            </w:r>
          </w:p>
          <w:p w14:paraId="477FE402">
            <w:pPr>
              <w:pStyle w:val="16"/>
              <w:snapToGrid w:val="0"/>
              <w:spacing w:line="360" w:lineRule="auto"/>
              <w:rPr>
                <w:rFonts w:hAnsi="宋体" w:cs="宋体"/>
                <w:sz w:val="21"/>
              </w:rPr>
            </w:pPr>
            <w:r>
              <w:rPr>
                <w:rFonts w:hint="eastAsia" w:hAnsi="宋体" w:cs="宋体"/>
                <w:sz w:val="21"/>
              </w:rPr>
              <w:t>开户银行：新疆银行股份有限公司哈密火车站支行</w:t>
            </w:r>
          </w:p>
          <w:p w14:paraId="18AA550A">
            <w:pPr>
              <w:pStyle w:val="16"/>
              <w:snapToGrid w:val="0"/>
              <w:spacing w:line="360" w:lineRule="auto"/>
              <w:rPr>
                <w:rFonts w:hAnsi="宋体"/>
                <w:color w:val="000000"/>
              </w:rPr>
            </w:pPr>
            <w:r>
              <w:rPr>
                <w:rFonts w:hint="eastAsia" w:hAnsi="宋体" w:cs="宋体"/>
                <w:sz w:val="21"/>
              </w:rPr>
              <w:t>账    号：0802260000001231</w:t>
            </w:r>
          </w:p>
        </w:tc>
      </w:tr>
      <w:tr w14:paraId="7B7F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59E431F4">
            <w:pPr>
              <w:spacing w:line="360" w:lineRule="auto"/>
              <w:jc w:val="center"/>
              <w:rPr>
                <w:rFonts w:ascii="宋体" w:hAnsi="宋体" w:cs="宋体"/>
                <w:szCs w:val="21"/>
              </w:rPr>
            </w:pPr>
            <w:r>
              <w:rPr>
                <w:rFonts w:hint="eastAsia" w:ascii="宋体" w:hAnsi="宋体" w:cs="宋体"/>
                <w:szCs w:val="21"/>
              </w:rPr>
              <w:t>15</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82C319B">
            <w:pPr>
              <w:spacing w:line="360" w:lineRule="auto"/>
              <w:jc w:val="center"/>
              <w:rPr>
                <w:rFonts w:ascii="宋体" w:hAnsi="宋体" w:cs="宋体"/>
                <w:szCs w:val="21"/>
              </w:rPr>
            </w:pPr>
            <w:r>
              <w:rPr>
                <w:rFonts w:hint="eastAsia" w:hAnsi="宋体"/>
              </w:rPr>
              <w:t>解释</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19646C81">
            <w:pPr>
              <w:pStyle w:val="16"/>
              <w:snapToGrid w:val="0"/>
              <w:spacing w:line="360" w:lineRule="auto"/>
              <w:rPr>
                <w:rFonts w:hAnsi="宋体" w:cs="宋体"/>
                <w:b/>
                <w:sz w:val="21"/>
              </w:rPr>
            </w:pPr>
            <w:r>
              <w:rPr>
                <w:rFonts w:hint="eastAsia" w:hAnsi="宋体" w:cs="宋体"/>
                <w:b/>
                <w:sz w:val="21"/>
              </w:rPr>
              <w:t>解释权：</w:t>
            </w:r>
            <w:r>
              <w:rPr>
                <w:rFonts w:hint="eastAsia" w:hAnsi="宋体" w:cs="宋体"/>
                <w:sz w:val="21"/>
              </w:rPr>
              <w:t>构成本</w:t>
            </w:r>
            <w:r>
              <w:rPr>
                <w:rFonts w:hint="eastAsia" w:hAnsi="宋体" w:cs="宋体"/>
                <w:sz w:val="21"/>
                <w:lang w:val="en-US" w:eastAsia="zh-CN"/>
              </w:rPr>
              <w:t>招标</w:t>
            </w:r>
            <w:r>
              <w:rPr>
                <w:rFonts w:hint="eastAsia" w:hAnsi="宋体" w:cs="宋体"/>
                <w:sz w:val="21"/>
              </w:rPr>
              <w:t>文件的各个组成文件应互为解释，互为说明；除</w:t>
            </w:r>
            <w:r>
              <w:rPr>
                <w:rFonts w:hint="eastAsia" w:hAnsi="宋体" w:cs="宋体"/>
                <w:sz w:val="21"/>
                <w:lang w:val="en-US" w:eastAsia="zh-CN"/>
              </w:rPr>
              <w:t>招标</w:t>
            </w:r>
            <w:r>
              <w:rPr>
                <w:rFonts w:hint="eastAsia" w:hAnsi="宋体" w:cs="宋体"/>
                <w:sz w:val="21"/>
              </w:rPr>
              <w:t>文件中有特别规定外，仅适用于竞标阶段的规定，按更正公告（澄清公告）、</w:t>
            </w:r>
            <w:r>
              <w:rPr>
                <w:rFonts w:hint="eastAsia" w:hAnsi="宋体" w:cs="宋体"/>
                <w:sz w:val="21"/>
                <w:lang w:eastAsia="zh-CN"/>
              </w:rPr>
              <w:t>招标</w:t>
            </w:r>
            <w:r>
              <w:rPr>
                <w:rFonts w:hint="eastAsia" w:hAnsi="宋体" w:cs="宋体"/>
                <w:sz w:val="21"/>
              </w:rPr>
              <w:t>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hAnsi="宋体" w:cs="宋体"/>
                <w:sz w:val="21"/>
                <w:lang w:val="en-US" w:eastAsia="zh-CN"/>
              </w:rPr>
              <w:t>招标</w:t>
            </w:r>
            <w:r>
              <w:rPr>
                <w:rFonts w:hint="eastAsia" w:hAnsi="宋体" w:cs="宋体"/>
                <w:sz w:val="21"/>
              </w:rPr>
              <w:t>文件不一致时以更正公告（澄清公告）为准。按本款前述规定仍不能形成结论的，</w:t>
            </w:r>
            <w:r>
              <w:rPr>
                <w:rFonts w:hint="eastAsia" w:hAnsi="宋体" w:cs="宋体"/>
                <w:b/>
                <w:sz w:val="21"/>
              </w:rPr>
              <w:t>由采购人或者采购代理机构负责解释。</w:t>
            </w:r>
          </w:p>
        </w:tc>
      </w:tr>
      <w:tr w14:paraId="0F50D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33219EB5">
            <w:pPr>
              <w:spacing w:line="360" w:lineRule="auto"/>
              <w:jc w:val="center"/>
              <w:rPr>
                <w:rFonts w:ascii="宋体" w:hAnsi="宋体" w:cs="宋体"/>
                <w:szCs w:val="21"/>
              </w:rPr>
            </w:pPr>
            <w:r>
              <w:rPr>
                <w:rFonts w:hint="eastAsia" w:ascii="宋体" w:hAnsi="宋体" w:cs="宋体"/>
                <w:szCs w:val="21"/>
              </w:rPr>
              <w:t>16</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363F435F">
            <w:pPr>
              <w:spacing w:line="360" w:lineRule="auto"/>
              <w:jc w:val="center"/>
              <w:rPr>
                <w:rFonts w:ascii="宋体" w:hAnsi="宋体" w:cs="宋体"/>
                <w:szCs w:val="21"/>
                <w:highlight w:val="none"/>
              </w:rPr>
            </w:pPr>
            <w:r>
              <w:rPr>
                <w:rFonts w:hint="eastAsia" w:ascii="宋体" w:hAnsi="宋体" w:cs="宋体"/>
                <w:kern w:val="0"/>
                <w:szCs w:val="21"/>
                <w:highlight w:val="none"/>
              </w:rPr>
              <w:t>供货期</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2ED23791">
            <w:pPr>
              <w:pStyle w:val="13"/>
              <w:spacing w:after="0" w:line="360" w:lineRule="auto"/>
              <w:ind w:left="0" w:leftChars="0" w:firstLine="0" w:firstLineChars="0"/>
              <w:jc w:val="center"/>
              <w:rPr>
                <w:rFonts w:hAnsi="宋体" w:cs="宋体"/>
                <w:highlight w:val="none"/>
              </w:rPr>
            </w:pPr>
            <w:r>
              <w:rPr>
                <w:rFonts w:hint="eastAsia" w:ascii="宋体" w:hAnsi="宋体" w:cs="宋体"/>
                <w:kern w:val="0"/>
                <w:szCs w:val="21"/>
                <w:highlight w:val="none"/>
              </w:rPr>
              <w:t>14天</w:t>
            </w:r>
          </w:p>
        </w:tc>
      </w:tr>
      <w:tr w14:paraId="1FEE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45CA46DA">
            <w:pPr>
              <w:spacing w:line="360" w:lineRule="auto"/>
              <w:jc w:val="center"/>
              <w:rPr>
                <w:rFonts w:ascii="宋体" w:hAnsi="宋体" w:cs="宋体"/>
                <w:szCs w:val="21"/>
              </w:rPr>
            </w:pPr>
            <w:r>
              <w:rPr>
                <w:rFonts w:hint="eastAsia" w:ascii="宋体" w:hAnsi="宋体" w:cs="宋体"/>
                <w:szCs w:val="21"/>
              </w:rPr>
              <w:t>17</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00F3DDB0">
            <w:pPr>
              <w:jc w:val="center"/>
              <w:rPr>
                <w:rFonts w:ascii="宋体" w:hAnsi="宋体" w:cs="宋体"/>
                <w:kern w:val="0"/>
                <w:szCs w:val="21"/>
              </w:rPr>
            </w:pPr>
          </w:p>
          <w:p w14:paraId="49629173">
            <w:pPr>
              <w:jc w:val="center"/>
              <w:rPr>
                <w:rFonts w:ascii="宋体" w:hAnsi="宋体" w:cs="宋体"/>
                <w:szCs w:val="21"/>
              </w:rPr>
            </w:pPr>
            <w:r>
              <w:rPr>
                <w:rFonts w:hint="eastAsia" w:ascii="宋体" w:hAnsi="宋体" w:cs="宋体"/>
                <w:kern w:val="0"/>
                <w:szCs w:val="21"/>
              </w:rPr>
              <w:t>付款方式</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71E49050">
            <w:pPr>
              <w:jc w:val="center"/>
              <w:rPr>
                <w:rFonts w:hAnsi="宋体" w:cs="宋体"/>
              </w:rPr>
            </w:pPr>
            <w:r>
              <w:rPr>
                <w:rFonts w:hint="eastAsia" w:ascii="宋体" w:hAnsi="宋体" w:cs="宋体"/>
                <w:kern w:val="0"/>
                <w:szCs w:val="21"/>
              </w:rPr>
              <w:t>甲方双方签订合同时自行协商</w:t>
            </w:r>
          </w:p>
        </w:tc>
      </w:tr>
      <w:tr w14:paraId="20B51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83A75A2">
            <w:pPr>
              <w:spacing w:line="360" w:lineRule="auto"/>
              <w:jc w:val="center"/>
              <w:rPr>
                <w:rFonts w:ascii="宋体" w:hAnsi="宋体" w:cs="宋体"/>
                <w:szCs w:val="21"/>
              </w:rPr>
            </w:pPr>
          </w:p>
          <w:p w14:paraId="4AC0EC9E">
            <w:pPr>
              <w:spacing w:line="360" w:lineRule="auto"/>
              <w:jc w:val="center"/>
              <w:rPr>
                <w:rFonts w:ascii="宋体" w:hAnsi="宋体" w:cs="宋体"/>
                <w:szCs w:val="21"/>
              </w:rPr>
            </w:pPr>
            <w:r>
              <w:rPr>
                <w:rFonts w:hint="eastAsia" w:ascii="宋体" w:hAnsi="宋体" w:cs="宋体"/>
                <w:szCs w:val="21"/>
              </w:rPr>
              <w:t>18</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66B08D3E">
            <w:pPr>
              <w:spacing w:line="360" w:lineRule="auto"/>
              <w:jc w:val="center"/>
              <w:rPr>
                <w:rFonts w:ascii="宋体" w:hAnsi="宋体" w:cs="宋体"/>
                <w:szCs w:val="21"/>
              </w:rPr>
            </w:pPr>
            <w:r>
              <w:rPr>
                <w:rFonts w:hint="eastAsia" w:ascii="宋体" w:hAnsi="宋体" w:cs="宋体"/>
                <w:szCs w:val="21"/>
              </w:rPr>
              <w:t>其他</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6F299D1A">
            <w:pPr>
              <w:pStyle w:val="16"/>
              <w:snapToGrid w:val="0"/>
              <w:spacing w:line="360" w:lineRule="auto"/>
              <w:rPr>
                <w:rFonts w:hAnsi="宋体" w:cs="宋体"/>
                <w:sz w:val="21"/>
              </w:rPr>
            </w:pPr>
            <w:r>
              <w:rPr>
                <w:rFonts w:hint="eastAsia" w:hAnsi="宋体" w:cs="宋体"/>
                <w:sz w:val="21"/>
              </w:rPr>
              <w:t>1.本</w:t>
            </w:r>
            <w:r>
              <w:rPr>
                <w:rFonts w:hint="eastAsia" w:hAnsi="宋体" w:cs="宋体"/>
                <w:sz w:val="21"/>
                <w:lang w:val="en-US" w:eastAsia="zh-CN"/>
              </w:rPr>
              <w:t>招标</w:t>
            </w:r>
            <w:r>
              <w:rPr>
                <w:rFonts w:hint="eastAsia" w:hAnsi="宋体" w:cs="宋体"/>
                <w:sz w:val="21"/>
              </w:rPr>
              <w:t>文件中描述供应商的“公章”是指根据我国对公章的管理规定，用供应商法定主体行为名称制作的印章，除本</w:t>
            </w:r>
            <w:r>
              <w:rPr>
                <w:rFonts w:hint="eastAsia" w:hAnsi="宋体" w:cs="宋体"/>
                <w:sz w:val="21"/>
                <w:lang w:val="en-US" w:eastAsia="zh-CN"/>
              </w:rPr>
              <w:t>招标</w:t>
            </w:r>
            <w:r>
              <w:rPr>
                <w:rFonts w:hint="eastAsia" w:hAnsi="宋体" w:cs="宋体"/>
                <w:sz w:val="21"/>
              </w:rPr>
              <w:t>文件有特殊规定外，供应商的财务章、部门章、分公司章、工会章、合同章、竞标/投标专用章、业务专用章及银行的转账章、现金收讫章、现金付讫章等其他形式印章均不能代替公章。</w:t>
            </w:r>
          </w:p>
          <w:p w14:paraId="6A70BC7F">
            <w:pPr>
              <w:pStyle w:val="16"/>
              <w:snapToGrid w:val="0"/>
              <w:spacing w:line="360" w:lineRule="auto"/>
              <w:rPr>
                <w:rFonts w:hint="eastAsia" w:hAnsi="宋体" w:cs="宋体"/>
                <w:sz w:val="21"/>
              </w:rPr>
            </w:pPr>
            <w:r>
              <w:rPr>
                <w:rFonts w:hint="eastAsia" w:hAnsi="宋体" w:cs="宋体"/>
                <w:sz w:val="21"/>
              </w:rPr>
              <w:t>2.本</w:t>
            </w:r>
            <w:r>
              <w:rPr>
                <w:rFonts w:hint="eastAsia" w:hAnsi="宋体" w:cs="宋体"/>
                <w:sz w:val="21"/>
                <w:lang w:val="en-US" w:eastAsia="zh-CN"/>
              </w:rPr>
              <w:t>招标</w:t>
            </w:r>
            <w:r>
              <w:rPr>
                <w:rFonts w:hint="eastAsia" w:hAnsi="宋体" w:cs="宋体"/>
                <w:sz w:val="21"/>
              </w:rPr>
              <w:t>文件中描述供应商的“签字”是指供应商的法定代表人或者委托代理人亲自在文件规</w:t>
            </w:r>
          </w:p>
          <w:p w14:paraId="0A4C9EA4">
            <w:pPr>
              <w:pStyle w:val="16"/>
              <w:snapToGrid w:val="0"/>
              <w:spacing w:line="360" w:lineRule="auto"/>
              <w:rPr>
                <w:rFonts w:hAnsi="宋体" w:cs="宋体"/>
                <w:sz w:val="21"/>
              </w:rPr>
            </w:pPr>
            <w:r>
              <w:rPr>
                <w:rFonts w:hint="eastAsia" w:hAnsi="宋体" w:cs="宋体"/>
                <w:sz w:val="21"/>
              </w:rPr>
              <w:t>定签署处亲笔写上个人的名字的行为，私章、签字章、印鉴、影印等其他形式均不能代替亲笔签字。</w:t>
            </w:r>
          </w:p>
          <w:p w14:paraId="6B4A3114">
            <w:pPr>
              <w:pStyle w:val="16"/>
              <w:snapToGrid w:val="0"/>
              <w:spacing w:line="360" w:lineRule="auto"/>
              <w:rPr>
                <w:rFonts w:hAnsi="宋体" w:cs="宋体"/>
                <w:sz w:val="21"/>
              </w:rPr>
            </w:pPr>
            <w:r>
              <w:rPr>
                <w:rFonts w:hint="eastAsia" w:hAnsi="宋体" w:cs="宋体"/>
                <w:sz w:val="21"/>
              </w:rPr>
              <w:t>3.本</w:t>
            </w:r>
            <w:r>
              <w:rPr>
                <w:rFonts w:hint="eastAsia" w:hAnsi="宋体" w:cs="宋体"/>
                <w:sz w:val="21"/>
                <w:lang w:val="en-US" w:eastAsia="zh-CN"/>
              </w:rPr>
              <w:t>招标</w:t>
            </w:r>
            <w:r>
              <w:rPr>
                <w:rFonts w:hint="eastAsia" w:hAnsi="宋体" w:cs="宋体"/>
                <w:sz w:val="21"/>
              </w:rPr>
              <w:t>文件所称的“以上”“以下”“以内”“届满”，包括本数；所称的“不满”“超过”“以外”，不包括本数。</w:t>
            </w:r>
          </w:p>
        </w:tc>
      </w:tr>
      <w:tr w14:paraId="2337F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5"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4C529EC">
            <w:pPr>
              <w:spacing w:line="360" w:lineRule="auto"/>
              <w:jc w:val="center"/>
              <w:rPr>
                <w:rFonts w:ascii="宋体" w:hAnsi="宋体" w:cs="宋体"/>
                <w:szCs w:val="21"/>
              </w:rPr>
            </w:pPr>
            <w:r>
              <w:rPr>
                <w:rFonts w:hint="eastAsia" w:ascii="宋体" w:hAnsi="宋体" w:cs="宋体"/>
                <w:szCs w:val="21"/>
              </w:rPr>
              <w:t>19</w:t>
            </w:r>
          </w:p>
        </w:tc>
        <w:tc>
          <w:tcPr>
            <w:tcW w:w="3012" w:type="dxa"/>
            <w:tcBorders>
              <w:top w:val="single" w:color="000000" w:sz="4" w:space="0"/>
              <w:left w:val="single" w:color="000000" w:sz="4" w:space="0"/>
              <w:bottom w:val="single" w:color="000000" w:sz="4" w:space="0"/>
              <w:right w:val="single" w:color="000000" w:sz="4" w:space="0"/>
            </w:tcBorders>
            <w:noWrap/>
          </w:tcPr>
          <w:p w14:paraId="27AC82B1">
            <w:pPr>
              <w:spacing w:line="360" w:lineRule="auto"/>
              <w:jc w:val="center"/>
              <w:rPr>
                <w:rFonts w:ascii="宋体" w:hAnsi="宋体" w:cs="宋体"/>
                <w:szCs w:val="21"/>
              </w:rPr>
            </w:pPr>
          </w:p>
          <w:p w14:paraId="2C089960">
            <w:pPr>
              <w:spacing w:line="360" w:lineRule="auto"/>
              <w:jc w:val="center"/>
              <w:rPr>
                <w:rFonts w:ascii="宋体" w:hAnsi="宋体" w:cs="宋体"/>
                <w:szCs w:val="21"/>
              </w:rPr>
            </w:pPr>
          </w:p>
          <w:p w14:paraId="0C77BD7C">
            <w:pPr>
              <w:spacing w:line="360" w:lineRule="auto"/>
              <w:jc w:val="center"/>
              <w:rPr>
                <w:rFonts w:ascii="宋体" w:hAnsi="宋体" w:cs="宋体"/>
                <w:szCs w:val="21"/>
              </w:rPr>
            </w:pPr>
          </w:p>
          <w:p w14:paraId="35F776FC">
            <w:pPr>
              <w:spacing w:line="360" w:lineRule="auto"/>
              <w:jc w:val="center"/>
              <w:rPr>
                <w:rFonts w:ascii="宋体" w:hAnsi="宋体" w:cs="宋体"/>
                <w:szCs w:val="21"/>
              </w:rPr>
            </w:pPr>
          </w:p>
          <w:p w14:paraId="134B495B">
            <w:pPr>
              <w:spacing w:line="360" w:lineRule="auto"/>
              <w:jc w:val="center"/>
              <w:rPr>
                <w:rFonts w:ascii="宋体" w:hAnsi="宋体" w:cs="宋体"/>
                <w:szCs w:val="21"/>
              </w:rPr>
            </w:pPr>
          </w:p>
          <w:p w14:paraId="071E406E">
            <w:pPr>
              <w:spacing w:line="360" w:lineRule="auto"/>
              <w:jc w:val="center"/>
              <w:rPr>
                <w:rFonts w:ascii="宋体" w:hAnsi="宋体" w:cs="宋体"/>
                <w:szCs w:val="21"/>
              </w:rPr>
            </w:pPr>
          </w:p>
          <w:p w14:paraId="452F1370">
            <w:pPr>
              <w:spacing w:line="360" w:lineRule="auto"/>
              <w:jc w:val="center"/>
              <w:rPr>
                <w:rFonts w:ascii="宋体" w:hAnsi="宋体" w:cs="宋体"/>
                <w:szCs w:val="21"/>
              </w:rPr>
            </w:pPr>
          </w:p>
          <w:p w14:paraId="48E64C9E">
            <w:pPr>
              <w:spacing w:line="360" w:lineRule="auto"/>
              <w:jc w:val="center"/>
              <w:rPr>
                <w:rFonts w:ascii="宋体" w:hAnsi="宋体" w:cs="宋体"/>
                <w:szCs w:val="21"/>
              </w:rPr>
            </w:pPr>
          </w:p>
          <w:p w14:paraId="4BA686F5">
            <w:pPr>
              <w:spacing w:line="360" w:lineRule="auto"/>
              <w:jc w:val="center"/>
              <w:rPr>
                <w:rFonts w:ascii="宋体" w:hAnsi="宋体" w:cs="宋体"/>
                <w:kern w:val="0"/>
                <w:szCs w:val="21"/>
                <w:highlight w:val="yellow"/>
              </w:rPr>
            </w:pPr>
            <w:r>
              <w:rPr>
                <w:rFonts w:hint="eastAsia" w:ascii="宋体" w:hAnsi="宋体" w:cs="宋体"/>
                <w:szCs w:val="21"/>
              </w:rPr>
              <w:t>其他</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0A317C0D">
            <w:pPr>
              <w:pStyle w:val="16"/>
              <w:snapToGrid w:val="0"/>
              <w:spacing w:line="360" w:lineRule="auto"/>
              <w:rPr>
                <w:rFonts w:hAnsi="宋体" w:cs="宋体"/>
                <w:sz w:val="21"/>
              </w:rPr>
            </w:pPr>
            <w:r>
              <w:rPr>
                <w:rFonts w:hint="eastAsia" w:hAnsi="宋体" w:cs="宋体"/>
                <w:sz w:val="21"/>
              </w:rPr>
              <w:t>1、供应商应依照</w:t>
            </w:r>
            <w:r>
              <w:rPr>
                <w:rFonts w:hint="eastAsia" w:hAnsi="宋体" w:cs="宋体"/>
                <w:sz w:val="21"/>
                <w:lang w:val="en-US" w:eastAsia="zh-CN"/>
              </w:rPr>
              <w:t>招标</w:t>
            </w:r>
            <w:r>
              <w:rPr>
                <w:rFonts w:hint="eastAsia" w:hAnsi="宋体" w:cs="宋体"/>
                <w:sz w:val="21"/>
              </w:rPr>
              <w:t>文件要求在响应文件中提供相关材料原件的扫描件。</w:t>
            </w:r>
          </w:p>
          <w:p w14:paraId="3C8BFFBB">
            <w:pPr>
              <w:pStyle w:val="16"/>
              <w:snapToGrid w:val="0"/>
              <w:spacing w:line="360" w:lineRule="auto"/>
              <w:rPr>
                <w:rFonts w:hAnsi="宋体" w:cs="宋体"/>
                <w:sz w:val="21"/>
                <w:lang w:val="zh-CN"/>
              </w:rPr>
            </w:pPr>
            <w:r>
              <w:rPr>
                <w:rFonts w:hint="eastAsia" w:hAnsi="宋体" w:cs="宋体"/>
                <w:sz w:val="21"/>
              </w:rPr>
              <w:t>2、</w:t>
            </w:r>
            <w:r>
              <w:rPr>
                <w:rFonts w:hint="eastAsia" w:hAnsi="宋体" w:cs="宋体"/>
                <w:sz w:val="21"/>
                <w:lang w:val="zh-CN"/>
              </w:rPr>
              <w:t>各供应商在网上及时查询本项目的澄清、修改和补充等内容，如未及时查询相关内容，造成后果自行承担。</w:t>
            </w:r>
          </w:p>
          <w:p w14:paraId="3B016164">
            <w:pPr>
              <w:pStyle w:val="16"/>
              <w:snapToGrid w:val="0"/>
              <w:spacing w:line="360" w:lineRule="auto"/>
              <w:rPr>
                <w:rFonts w:hAnsi="宋体" w:cs="宋体"/>
                <w:sz w:val="21"/>
              </w:rPr>
            </w:pPr>
            <w:r>
              <w:rPr>
                <w:rFonts w:hint="eastAsia" w:hAnsi="宋体" w:cs="宋体"/>
                <w:sz w:val="21"/>
              </w:rPr>
              <w:t>3、在</w:t>
            </w:r>
            <w:r>
              <w:rPr>
                <w:rFonts w:hint="eastAsia" w:hAnsi="宋体" w:cs="宋体"/>
                <w:sz w:val="21"/>
                <w:lang w:val="en-US" w:eastAsia="zh-CN"/>
              </w:rPr>
              <w:t>招标</w:t>
            </w:r>
            <w:r>
              <w:rPr>
                <w:rFonts w:hint="eastAsia" w:hAnsi="宋体" w:cs="宋体"/>
                <w:sz w:val="21"/>
              </w:rPr>
              <w:t>过程直至签订合同前的任何时间，如经证实发现供应商提供虚假响应资料(包括技术支持资料)或信息骗取中标的，或者未按本</w:t>
            </w:r>
            <w:r>
              <w:rPr>
                <w:rFonts w:hint="eastAsia" w:hAnsi="宋体" w:cs="宋体"/>
                <w:sz w:val="21"/>
                <w:lang w:val="en-US" w:eastAsia="zh-CN"/>
              </w:rPr>
              <w:t>招标</w:t>
            </w:r>
            <w:r>
              <w:rPr>
                <w:rFonts w:hint="eastAsia" w:hAnsi="宋体" w:cs="宋体"/>
                <w:sz w:val="21"/>
              </w:rPr>
              <w:t>文件要求提交履约保证金的（如有要求），将取消其中标资格，没收其</w:t>
            </w:r>
            <w:r>
              <w:rPr>
                <w:rFonts w:hint="eastAsia" w:hAnsi="宋体" w:cs="宋体"/>
                <w:sz w:val="21"/>
                <w:lang w:val="en-US" w:eastAsia="zh-CN"/>
              </w:rPr>
              <w:t>投标</w:t>
            </w:r>
            <w:r>
              <w:rPr>
                <w:rFonts w:hint="eastAsia" w:hAnsi="宋体" w:cs="宋体"/>
                <w:sz w:val="21"/>
              </w:rPr>
              <w:t>保证金，并报主管部门备案。</w:t>
            </w:r>
          </w:p>
          <w:p w14:paraId="5D68AD34">
            <w:pPr>
              <w:pStyle w:val="16"/>
              <w:snapToGrid w:val="0"/>
              <w:spacing w:line="360" w:lineRule="auto"/>
              <w:rPr>
                <w:rFonts w:hAnsi="宋体" w:cs="宋体"/>
                <w:sz w:val="21"/>
              </w:rPr>
            </w:pPr>
            <w:r>
              <w:rPr>
                <w:rFonts w:hint="eastAsia" w:hAnsi="宋体" w:cs="宋体"/>
                <w:sz w:val="21"/>
              </w:rPr>
              <w:t>4、关于</w:t>
            </w:r>
            <w:r>
              <w:rPr>
                <w:rFonts w:hint="eastAsia" w:hAnsi="宋体" w:cs="宋体"/>
                <w:sz w:val="21"/>
                <w:lang w:val="en-US" w:eastAsia="zh-CN"/>
              </w:rPr>
              <w:t>投标</w:t>
            </w:r>
            <w:r>
              <w:rPr>
                <w:rFonts w:hint="eastAsia" w:hAnsi="宋体" w:cs="宋体"/>
                <w:sz w:val="21"/>
              </w:rPr>
              <w:t xml:space="preserve">保证金的退还： </w:t>
            </w:r>
          </w:p>
          <w:p w14:paraId="16027F38">
            <w:pPr>
              <w:pStyle w:val="16"/>
              <w:snapToGrid w:val="0"/>
              <w:spacing w:line="360" w:lineRule="auto"/>
              <w:rPr>
                <w:rFonts w:hAnsi="宋体" w:cs="宋体"/>
                <w:sz w:val="21"/>
              </w:rPr>
            </w:pPr>
            <w:r>
              <w:rPr>
                <w:rFonts w:hint="eastAsia" w:hAnsi="宋体" w:cs="宋体"/>
                <w:sz w:val="21"/>
              </w:rPr>
              <w:t>（1）未中标（成交）单位：自中标（成交）通知书发出之日起5个工作日内退还。</w:t>
            </w:r>
          </w:p>
          <w:p w14:paraId="11D3D79C">
            <w:pPr>
              <w:pStyle w:val="16"/>
              <w:snapToGrid w:val="0"/>
              <w:spacing w:line="360" w:lineRule="auto"/>
              <w:rPr>
                <w:rFonts w:hAnsi="宋体" w:cs="宋体"/>
                <w:sz w:val="21"/>
                <w:lang w:val="zh-CN"/>
              </w:rPr>
            </w:pPr>
            <w:r>
              <w:rPr>
                <w:rFonts w:hint="eastAsia" w:hAnsi="宋体" w:cs="宋体"/>
                <w:sz w:val="21"/>
              </w:rPr>
              <w:t>（2）中标（成交）单位：自采购合同签订之日起5个工作日内退还。</w:t>
            </w:r>
            <w:r>
              <w:rPr>
                <w:rFonts w:hint="eastAsia" w:hAnsi="宋体" w:cs="宋体"/>
                <w:sz w:val="21"/>
                <w:lang w:val="zh-CN"/>
              </w:rPr>
              <w:t>中标（成交）人办理保证金退款申请时，中标（成交）人还须提供与采购人签订的已加盖中标方公章的合同复印件或扫描件一份（代理机构存档备查）。</w:t>
            </w:r>
          </w:p>
          <w:p w14:paraId="12CAB771">
            <w:pPr>
              <w:pStyle w:val="16"/>
              <w:snapToGrid w:val="0"/>
              <w:spacing w:line="360" w:lineRule="auto"/>
              <w:rPr>
                <w:rFonts w:hAnsi="宋体" w:cs="宋体"/>
                <w:sz w:val="21"/>
              </w:rPr>
            </w:pPr>
            <w:r>
              <w:rPr>
                <w:rFonts w:hint="eastAsia" w:hAnsi="宋体" w:cs="宋体"/>
                <w:sz w:val="21"/>
              </w:rPr>
              <w:t>说明：中标（成交）单位在领取中标（成交）通知书后，应及时将拟定的采购合同电子版发送至采购人，并及时取得联系。</w:t>
            </w:r>
          </w:p>
          <w:p w14:paraId="63638BDB">
            <w:pPr>
              <w:pStyle w:val="16"/>
              <w:snapToGrid w:val="0"/>
              <w:spacing w:line="360" w:lineRule="auto"/>
              <w:rPr>
                <w:rFonts w:hAnsi="宋体" w:cs="宋体"/>
                <w:sz w:val="21"/>
                <w:highlight w:val="yellow"/>
              </w:rPr>
            </w:pPr>
            <w:r>
              <w:rPr>
                <w:rFonts w:hint="eastAsia" w:hAnsi="宋体" w:cs="宋体"/>
                <w:sz w:val="21"/>
              </w:rPr>
              <w:t>5、本项目的采购活动以及相关当事人须接受财政监督部门依法实施的监督</w:t>
            </w:r>
          </w:p>
        </w:tc>
      </w:tr>
      <w:tr w14:paraId="772D4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271AF2AE">
            <w:pPr>
              <w:spacing w:line="360" w:lineRule="auto"/>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0</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3709941B">
            <w:pPr>
              <w:spacing w:line="360" w:lineRule="auto"/>
              <w:jc w:val="center"/>
              <w:rPr>
                <w:rFonts w:ascii="宋体" w:hAnsi="宋体" w:cs="宋体"/>
                <w:szCs w:val="21"/>
              </w:rPr>
            </w:pPr>
            <w:r>
              <w:rPr>
                <w:rFonts w:hint="eastAsia" w:ascii="宋体" w:hAnsi="宋体" w:cs="宋体"/>
                <w:szCs w:val="21"/>
              </w:rPr>
              <w:t>中小微型企业有关政策</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6D7E8542">
            <w:pPr>
              <w:spacing w:line="360" w:lineRule="auto"/>
              <w:jc w:val="left"/>
              <w:rPr>
                <w:rFonts w:ascii="宋体" w:hAnsi="宋体" w:cs="宋体"/>
                <w:szCs w:val="21"/>
              </w:rPr>
            </w:pPr>
            <w:r>
              <w:rPr>
                <w:rFonts w:hint="eastAsia" w:ascii="宋体" w:hAnsi="宋体" w:cs="宋体"/>
                <w:szCs w:val="21"/>
              </w:rPr>
              <w:t>(1)根据财政部、工业和信息化部发布的关于印发《政府采购促进中小企业发展管理办法》的通知，财库[2020]46号）规定执行；</w:t>
            </w:r>
          </w:p>
          <w:p w14:paraId="6435AD4B">
            <w:pPr>
              <w:spacing w:line="360" w:lineRule="auto"/>
              <w:jc w:val="left"/>
              <w:rPr>
                <w:rFonts w:ascii="宋体" w:hAnsi="宋体" w:cs="宋体"/>
                <w:szCs w:val="28"/>
              </w:rPr>
            </w:pPr>
            <w:r>
              <w:rPr>
                <w:rFonts w:hint="eastAsia" w:ascii="宋体" w:hAnsi="宋体" w:cs="宋体"/>
                <w:szCs w:val="28"/>
              </w:rPr>
              <w:t>落实政府采购政策需满足的资格要求：本项目专门面向中小企业采购</w:t>
            </w:r>
          </w:p>
        </w:tc>
      </w:tr>
      <w:tr w14:paraId="00245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0931349">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5C12C1CA">
            <w:pPr>
              <w:spacing w:line="360" w:lineRule="auto"/>
              <w:jc w:val="center"/>
              <w:rPr>
                <w:rFonts w:ascii="宋体" w:hAnsi="宋体" w:cs="宋体"/>
                <w:szCs w:val="21"/>
              </w:rPr>
            </w:pPr>
            <w:r>
              <w:rPr>
                <w:rFonts w:hint="eastAsia" w:ascii="宋体" w:hAnsi="宋体" w:cs="宋体"/>
                <w:szCs w:val="21"/>
              </w:rPr>
              <w:t>推荐成交候选供应商的数量</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1C461E35">
            <w:pPr>
              <w:pStyle w:val="41"/>
              <w:spacing w:line="500" w:lineRule="exact"/>
              <w:rPr>
                <w:rFonts w:ascii="宋体" w:hAnsi="宋体" w:cs="宋体"/>
                <w:szCs w:val="21"/>
              </w:rPr>
            </w:pPr>
            <w:r>
              <w:rPr>
                <w:rFonts w:hint="eastAsia" w:ascii="宋体" w:hAnsi="宋体" w:cs="宋体"/>
                <w:sz w:val="24"/>
                <w:u w:val="single"/>
              </w:rPr>
              <w:t>3</w:t>
            </w:r>
            <w:r>
              <w:rPr>
                <w:rFonts w:hint="eastAsia" w:ascii="宋体" w:hAnsi="宋体" w:cs="宋体"/>
                <w:sz w:val="24"/>
              </w:rPr>
              <w:t>家</w:t>
            </w:r>
          </w:p>
        </w:tc>
      </w:tr>
      <w:tr w14:paraId="23D1F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BDDBFA9">
            <w:pPr>
              <w:spacing w:line="360" w:lineRule="auto"/>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5549A80">
            <w:pPr>
              <w:spacing w:line="360" w:lineRule="auto"/>
              <w:jc w:val="center"/>
              <w:rPr>
                <w:rFonts w:ascii="宋体" w:hAnsi="宋体" w:cs="宋体"/>
                <w:szCs w:val="21"/>
              </w:rPr>
            </w:pPr>
            <w:r>
              <w:rPr>
                <w:rFonts w:hint="eastAsia" w:ascii="宋体" w:hAnsi="宋体" w:cs="宋体"/>
                <w:szCs w:val="21"/>
              </w:rPr>
              <w:t>成交结果公示媒体</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717F56EA">
            <w:pPr>
              <w:pStyle w:val="41"/>
              <w:spacing w:line="500" w:lineRule="exact"/>
              <w:rPr>
                <w:rFonts w:ascii="宋体" w:hAnsi="宋体" w:cs="宋体"/>
                <w:szCs w:val="21"/>
              </w:rPr>
            </w:pPr>
            <w:r>
              <w:rPr>
                <w:rFonts w:hint="eastAsia" w:ascii="宋体" w:hAnsi="宋体" w:cs="宋体"/>
                <w:color w:val="000000"/>
                <w:sz w:val="24"/>
              </w:rPr>
              <w:t>新疆政府采购网（http://www.ccgp-xinjiang.gov.cn）</w:t>
            </w:r>
          </w:p>
        </w:tc>
      </w:tr>
    </w:tbl>
    <w:p w14:paraId="79AB3B5B">
      <w:pPr>
        <w:rPr>
          <w:rFonts w:hint="eastAsia"/>
        </w:rPr>
      </w:pPr>
      <w:r>
        <w:rPr>
          <w:rFonts w:hint="eastAsia"/>
        </w:rPr>
        <w:br w:type="page"/>
      </w:r>
    </w:p>
    <w:p w14:paraId="2F736B0F">
      <w:pPr>
        <w:pStyle w:val="3"/>
        <w:spacing w:before="0" w:after="0" w:line="240" w:lineRule="auto"/>
        <w:jc w:val="center"/>
      </w:pPr>
      <w:r>
        <w:rPr>
          <w:rFonts w:hint="eastAsia"/>
        </w:rPr>
        <w:t>第二节 供应商须知正文</w:t>
      </w:r>
    </w:p>
    <w:p w14:paraId="66D181D4">
      <w:pPr>
        <w:spacing w:line="360" w:lineRule="auto"/>
        <w:rPr>
          <w:rFonts w:ascii="宋体" w:cs="宋体"/>
          <w:b/>
          <w:sz w:val="24"/>
          <w:szCs w:val="24"/>
          <w:highlight w:val="none"/>
        </w:rPr>
      </w:pPr>
      <w:r>
        <w:rPr>
          <w:rFonts w:hint="eastAsia" w:ascii="宋体" w:hAnsi="宋体" w:cs="宋体"/>
          <w:b/>
          <w:sz w:val="24"/>
          <w:szCs w:val="24"/>
          <w:highlight w:val="none"/>
        </w:rPr>
        <w:t>一、说明</w:t>
      </w:r>
    </w:p>
    <w:p w14:paraId="037CDD3D">
      <w:pPr>
        <w:spacing w:line="240" w:lineRule="auto"/>
        <w:ind w:firstLine="0" w:firstLineChars="0"/>
        <w:rPr>
          <w:rFonts w:ascii="宋体" w:cs="宋体"/>
          <w:b/>
          <w:sz w:val="24"/>
          <w:szCs w:val="24"/>
          <w:highlight w:val="none"/>
        </w:rPr>
      </w:pPr>
      <w:r>
        <w:rPr>
          <w:rFonts w:ascii="宋体" w:hAnsi="宋体" w:cs="宋体"/>
          <w:b/>
          <w:sz w:val="24"/>
          <w:szCs w:val="24"/>
          <w:highlight w:val="none"/>
        </w:rPr>
        <w:t>1.</w:t>
      </w:r>
      <w:r>
        <w:rPr>
          <w:rFonts w:hint="eastAsia" w:ascii="宋体" w:hAnsi="宋体" w:cs="宋体"/>
          <w:b/>
          <w:sz w:val="24"/>
          <w:szCs w:val="24"/>
          <w:highlight w:val="none"/>
        </w:rPr>
        <w:t>项目说明</w:t>
      </w:r>
    </w:p>
    <w:p w14:paraId="2AAE9F1D">
      <w:pPr>
        <w:spacing w:line="360" w:lineRule="auto"/>
        <w:ind w:firstLine="480" w:firstLineChars="200"/>
        <w:rPr>
          <w:rFonts w:ascii="宋体" w:cs="宋体"/>
          <w:sz w:val="24"/>
          <w:szCs w:val="24"/>
          <w:highlight w:val="none"/>
        </w:rPr>
      </w:pPr>
      <w:r>
        <w:rPr>
          <w:rFonts w:ascii="宋体" w:hAnsi="宋体" w:cs="宋体"/>
          <w:sz w:val="24"/>
          <w:szCs w:val="24"/>
          <w:highlight w:val="none"/>
        </w:rPr>
        <w:t>1.1</w:t>
      </w:r>
      <w:r>
        <w:rPr>
          <w:rFonts w:hint="eastAsia" w:ascii="宋体" w:hAnsi="宋体" w:cs="宋体"/>
          <w:sz w:val="24"/>
          <w:szCs w:val="24"/>
          <w:highlight w:val="none"/>
        </w:rPr>
        <w:t>项目名称及编号：详见投标人须知前附表。</w:t>
      </w:r>
    </w:p>
    <w:p w14:paraId="589418C6">
      <w:pPr>
        <w:spacing w:line="360" w:lineRule="auto"/>
        <w:ind w:firstLine="480" w:firstLineChars="200"/>
        <w:rPr>
          <w:rFonts w:ascii="宋体" w:cs="宋体"/>
          <w:sz w:val="24"/>
          <w:szCs w:val="24"/>
          <w:highlight w:val="none"/>
        </w:rPr>
      </w:pPr>
      <w:r>
        <w:rPr>
          <w:rFonts w:ascii="宋体" w:hAnsi="宋体" w:cs="宋体"/>
          <w:sz w:val="24"/>
          <w:szCs w:val="24"/>
          <w:highlight w:val="none"/>
        </w:rPr>
        <w:t>1.2</w:t>
      </w:r>
      <w:r>
        <w:rPr>
          <w:rFonts w:hint="eastAsia" w:ascii="宋体" w:hAnsi="宋体" w:cs="宋体"/>
          <w:sz w:val="24"/>
          <w:szCs w:val="24"/>
          <w:highlight w:val="none"/>
        </w:rPr>
        <w:t>资金来源：详见投标人须知前附表。采购人已获得足以支付本次采购后所签订的合同项下的款项（包括财政性资金和自筹资金）。</w:t>
      </w:r>
    </w:p>
    <w:p w14:paraId="026DA204">
      <w:pPr>
        <w:spacing w:line="360" w:lineRule="auto"/>
        <w:ind w:firstLine="482" w:firstLineChars="200"/>
        <w:rPr>
          <w:rFonts w:asci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采购人、采购代理机构、投标人、合格投标人</w:t>
      </w:r>
    </w:p>
    <w:p w14:paraId="37F29B27">
      <w:pPr>
        <w:spacing w:line="360" w:lineRule="auto"/>
        <w:ind w:firstLine="480" w:firstLineChars="200"/>
        <w:rPr>
          <w:rFonts w:ascii="宋体" w:cs="宋体"/>
          <w:sz w:val="24"/>
          <w:szCs w:val="24"/>
          <w:highlight w:val="none"/>
          <w:u w:val="single"/>
        </w:rPr>
      </w:pPr>
      <w:r>
        <w:rPr>
          <w:rFonts w:ascii="宋体" w:hAnsi="宋体" w:cs="宋体"/>
          <w:sz w:val="24"/>
          <w:szCs w:val="24"/>
          <w:highlight w:val="none"/>
        </w:rPr>
        <w:t xml:space="preserve">2.1 </w:t>
      </w:r>
      <w:r>
        <w:rPr>
          <w:rFonts w:hint="eastAsia" w:ascii="宋体" w:hAnsi="宋体" w:cs="宋体"/>
          <w:sz w:val="24"/>
          <w:szCs w:val="24"/>
          <w:highlight w:val="none"/>
        </w:rPr>
        <w:t>采购人：详见投标人须知前附表。</w:t>
      </w:r>
    </w:p>
    <w:p w14:paraId="28C80501">
      <w:pPr>
        <w:spacing w:line="360" w:lineRule="auto"/>
        <w:ind w:firstLine="480" w:firstLineChars="200"/>
        <w:rPr>
          <w:rFonts w:ascii="宋体" w:cs="宋体"/>
          <w:sz w:val="24"/>
          <w:szCs w:val="24"/>
          <w:highlight w:val="none"/>
        </w:rPr>
      </w:pPr>
      <w:r>
        <w:rPr>
          <w:rFonts w:ascii="宋体" w:hAnsi="宋体" w:cs="宋体"/>
          <w:sz w:val="24"/>
          <w:szCs w:val="24"/>
          <w:highlight w:val="none"/>
        </w:rPr>
        <w:t>2.2</w:t>
      </w:r>
      <w:r>
        <w:rPr>
          <w:rFonts w:hint="eastAsia" w:ascii="宋体" w:hAnsi="宋体" w:cs="宋体"/>
          <w:sz w:val="24"/>
          <w:szCs w:val="24"/>
          <w:highlight w:val="none"/>
        </w:rPr>
        <w:t>采购代理机构：详见投标人须知前附表。</w:t>
      </w:r>
    </w:p>
    <w:p w14:paraId="1D9C8DD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 </w:t>
      </w:r>
      <w:r>
        <w:rPr>
          <w:rFonts w:hint="eastAsia" w:ascii="宋体" w:hAnsi="宋体" w:cs="宋体"/>
          <w:sz w:val="24"/>
          <w:szCs w:val="24"/>
          <w:highlight w:val="none"/>
        </w:rPr>
        <w:t>投标人</w:t>
      </w:r>
    </w:p>
    <w:p w14:paraId="4E809066">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1)</w:t>
      </w:r>
      <w:r>
        <w:rPr>
          <w:rFonts w:hint="eastAsia" w:ascii="宋体" w:hAnsi="宋体" w:cs="宋体"/>
          <w:sz w:val="24"/>
          <w:szCs w:val="24"/>
          <w:highlight w:val="none"/>
        </w:rPr>
        <w:t>投标人必须向采购代理机构领取招标文件，未向采购代理机构领取招标文件的潜在投标人均无资格参加投标。</w:t>
      </w:r>
    </w:p>
    <w:p w14:paraId="077AE038">
      <w:pPr>
        <w:spacing w:line="360" w:lineRule="auto"/>
        <w:ind w:left="480"/>
        <w:rPr>
          <w:rFonts w:ascii="宋体" w:cs="宋体"/>
          <w:sz w:val="24"/>
          <w:szCs w:val="24"/>
          <w:highlight w:val="none"/>
        </w:rPr>
      </w:pPr>
      <w:r>
        <w:rPr>
          <w:rFonts w:ascii="宋体" w:hAnsi="宋体" w:cs="宋体"/>
          <w:sz w:val="24"/>
          <w:szCs w:val="24"/>
          <w:highlight w:val="none"/>
        </w:rPr>
        <w:t>2.4</w:t>
      </w:r>
      <w:r>
        <w:rPr>
          <w:rFonts w:hint="eastAsia" w:ascii="宋体" w:hAnsi="宋体" w:cs="宋体"/>
          <w:sz w:val="24"/>
          <w:szCs w:val="24"/>
          <w:highlight w:val="none"/>
        </w:rPr>
        <w:t>合格投标人</w:t>
      </w:r>
    </w:p>
    <w:p w14:paraId="1952DF9E">
      <w:pPr>
        <w:numPr>
          <w:ilvl w:val="0"/>
          <w:numId w:val="0"/>
        </w:numPr>
        <w:spacing w:line="360" w:lineRule="auto"/>
        <w:ind w:left="900" w:leftChars="0" w:hanging="420" w:firstLineChars="0"/>
        <w:rPr>
          <w:rFonts w:ascii="宋体" w:cs="宋体"/>
          <w:sz w:val="24"/>
          <w:szCs w:val="24"/>
          <w:highlight w:val="none"/>
        </w:rPr>
      </w:pPr>
      <w:r>
        <w:rPr>
          <w:rFonts w:ascii="宋体" w:hAnsi="Times New Roman" w:eastAsia="宋体" w:cs="Times New Roman"/>
          <w:kern w:val="2"/>
          <w:sz w:val="24"/>
          <w:szCs w:val="24"/>
          <w:lang w:val="en-US" w:eastAsia="zh-CN" w:bidi="ar-SA"/>
        </w:rPr>
        <w:t>1)</w:t>
      </w:r>
      <w:r>
        <w:rPr>
          <w:rFonts w:hint="eastAsia" w:ascii="宋体" w:hAnsi="宋体" w:cs="宋体"/>
          <w:sz w:val="24"/>
          <w:szCs w:val="24"/>
          <w:highlight w:val="none"/>
        </w:rPr>
        <w:t>合格投标人是指依法通过资格审查的投标人。</w:t>
      </w:r>
    </w:p>
    <w:p w14:paraId="11E904C8">
      <w:pPr>
        <w:spacing w:line="360" w:lineRule="auto"/>
        <w:ind w:firstLine="480" w:firstLineChars="200"/>
        <w:rPr>
          <w:rFonts w:ascii="宋体" w:cs="宋体"/>
          <w:sz w:val="24"/>
          <w:szCs w:val="24"/>
          <w:highlight w:val="none"/>
        </w:rPr>
      </w:pPr>
      <w:r>
        <w:rPr>
          <w:rFonts w:ascii="宋体" w:hAnsi="宋体" w:cs="宋体"/>
          <w:sz w:val="24"/>
          <w:szCs w:val="24"/>
          <w:highlight w:val="none"/>
        </w:rPr>
        <w:t>2.5</w:t>
      </w:r>
      <w:r>
        <w:rPr>
          <w:rFonts w:hint="eastAsia" w:ascii="宋体" w:hAnsi="宋体" w:cs="宋体"/>
          <w:sz w:val="24"/>
          <w:szCs w:val="24"/>
          <w:highlight w:val="none"/>
        </w:rPr>
        <w:t>联合体投标（不适用）</w:t>
      </w:r>
    </w:p>
    <w:p w14:paraId="505D87BA">
      <w:pPr>
        <w:spacing w:line="360" w:lineRule="auto"/>
        <w:ind w:firstLine="480" w:firstLineChars="200"/>
        <w:rPr>
          <w:rFonts w:ascii="宋体" w:cs="宋体"/>
          <w:sz w:val="24"/>
          <w:szCs w:val="24"/>
          <w:highlight w:val="none"/>
        </w:rPr>
      </w:pPr>
      <w:r>
        <w:rPr>
          <w:rFonts w:ascii="宋体" w:hAnsi="宋体" w:cs="宋体"/>
          <w:sz w:val="24"/>
          <w:szCs w:val="24"/>
          <w:highlight w:val="none"/>
        </w:rPr>
        <w:t>2.5.1</w:t>
      </w:r>
      <w:r>
        <w:rPr>
          <w:rFonts w:hint="eastAsia" w:ascii="宋体" w:hAnsi="宋体" w:cs="宋体"/>
          <w:sz w:val="24"/>
          <w:szCs w:val="24"/>
          <w:highlight w:val="none"/>
        </w:rPr>
        <w:t>两个以上的自然人、法人或者其他组织可以组成一个联合体，以一个投标人的身份共同参加政府采购。</w:t>
      </w:r>
    </w:p>
    <w:p w14:paraId="40600784">
      <w:pPr>
        <w:spacing w:line="360" w:lineRule="auto"/>
        <w:ind w:firstLine="480" w:firstLineChars="200"/>
        <w:rPr>
          <w:rFonts w:ascii="宋体" w:cs="宋体"/>
          <w:sz w:val="24"/>
          <w:szCs w:val="24"/>
          <w:highlight w:val="none"/>
        </w:rPr>
      </w:pPr>
      <w:r>
        <w:rPr>
          <w:rFonts w:ascii="宋体" w:hAnsi="宋体" w:cs="宋体"/>
          <w:sz w:val="24"/>
          <w:szCs w:val="24"/>
          <w:highlight w:val="none"/>
        </w:rPr>
        <w:t>2.5.2</w:t>
      </w:r>
      <w:r>
        <w:rPr>
          <w:rFonts w:hint="eastAsia" w:ascii="宋体" w:hAnsi="宋体" w:cs="宋体"/>
          <w:sz w:val="24"/>
          <w:szCs w:val="24"/>
          <w:highlight w:val="none"/>
        </w:rPr>
        <w:t>以联合体形式进行政府采购的，参加联合体的投标人均应当具备《中华人民共和国政府采购法》第二十二条规定的条件。采购人根据采购项目的特殊要求，规定投标人的特定条件，联合体各方中至少应当有一方符合采购人规定的特定条件。并应当向采购人提交联合协议，载明联合体各方承担的工作和义务。联合体投标协议应该在投标文件中提交。</w:t>
      </w:r>
    </w:p>
    <w:p w14:paraId="7702510B">
      <w:pPr>
        <w:spacing w:line="360" w:lineRule="auto"/>
        <w:ind w:firstLine="480" w:firstLineChars="200"/>
        <w:rPr>
          <w:rFonts w:ascii="宋体" w:cs="宋体"/>
          <w:sz w:val="24"/>
          <w:szCs w:val="24"/>
          <w:highlight w:val="none"/>
        </w:rPr>
      </w:pPr>
      <w:r>
        <w:rPr>
          <w:rFonts w:ascii="宋体" w:hAnsi="宋体" w:cs="宋体"/>
          <w:sz w:val="24"/>
          <w:szCs w:val="24"/>
          <w:highlight w:val="none"/>
        </w:rPr>
        <w:t>2.5.3</w:t>
      </w:r>
      <w:r>
        <w:rPr>
          <w:rFonts w:hint="eastAsia" w:ascii="宋体" w:hAnsi="宋体" w:cs="宋体"/>
          <w:sz w:val="24"/>
          <w:szCs w:val="24"/>
          <w:highlight w:val="none"/>
        </w:rPr>
        <w:t>联合体中有同类资质的投标人按照联合体分工承担相同工作的，按照资质等级较低的投标人确定资质等级。</w:t>
      </w:r>
    </w:p>
    <w:p w14:paraId="04C7025E">
      <w:pPr>
        <w:spacing w:line="360" w:lineRule="auto"/>
        <w:ind w:firstLine="480" w:firstLineChars="200"/>
        <w:rPr>
          <w:rFonts w:ascii="宋体" w:cs="宋体"/>
          <w:sz w:val="24"/>
          <w:szCs w:val="24"/>
          <w:highlight w:val="none"/>
        </w:rPr>
      </w:pPr>
      <w:r>
        <w:rPr>
          <w:rFonts w:ascii="宋体" w:hAnsi="宋体" w:cs="宋体"/>
          <w:sz w:val="24"/>
          <w:szCs w:val="24"/>
          <w:highlight w:val="none"/>
        </w:rPr>
        <w:t>2.5.4</w:t>
      </w:r>
      <w:r>
        <w:rPr>
          <w:rFonts w:hint="eastAsia" w:ascii="宋体" w:hAnsi="宋体" w:cs="宋体"/>
          <w:sz w:val="24"/>
          <w:szCs w:val="24"/>
          <w:highlight w:val="none"/>
        </w:rPr>
        <w:t>以联合体形式参加政府采购活动的，联合体各方不得再单独参加或者与其他投标人另外组成联合体参加同一合同项下的政府采购活动。</w:t>
      </w:r>
    </w:p>
    <w:p w14:paraId="06CE074F">
      <w:pPr>
        <w:spacing w:line="360" w:lineRule="auto"/>
        <w:ind w:firstLine="480" w:firstLineChars="200"/>
        <w:rPr>
          <w:rFonts w:ascii="宋体" w:cs="宋体"/>
          <w:sz w:val="24"/>
          <w:szCs w:val="24"/>
          <w:highlight w:val="none"/>
        </w:rPr>
      </w:pPr>
      <w:r>
        <w:rPr>
          <w:rFonts w:ascii="宋体" w:hAnsi="宋体" w:cs="宋体"/>
          <w:sz w:val="24"/>
          <w:szCs w:val="24"/>
          <w:highlight w:val="none"/>
        </w:rPr>
        <w:t>2.5.5</w:t>
      </w:r>
      <w:r>
        <w:rPr>
          <w:rFonts w:hint="eastAsia" w:ascii="宋体" w:hAnsi="宋体" w:cs="宋体"/>
          <w:sz w:val="24"/>
          <w:szCs w:val="24"/>
          <w:highlight w:val="none"/>
        </w:rPr>
        <w:t>联合体各方应当共同与采购人签订采购合同，就采购合同约定的事项对采购人承担连带责任。</w:t>
      </w:r>
    </w:p>
    <w:p w14:paraId="10B06DC2">
      <w:pPr>
        <w:spacing w:line="360" w:lineRule="auto"/>
        <w:ind w:firstLine="482" w:firstLineChars="200"/>
        <w:rPr>
          <w:rFonts w:ascii="宋体" w:cs="宋体"/>
          <w:b/>
          <w:sz w:val="24"/>
          <w:szCs w:val="24"/>
          <w:highlight w:val="none"/>
        </w:rPr>
      </w:pPr>
      <w:r>
        <w:rPr>
          <w:rFonts w:ascii="宋体" w:hAnsi="宋体" w:cs="宋体"/>
          <w:b/>
          <w:sz w:val="24"/>
          <w:szCs w:val="24"/>
          <w:highlight w:val="none"/>
        </w:rPr>
        <w:t>3.</w:t>
      </w:r>
      <w:r>
        <w:rPr>
          <w:rFonts w:hint="eastAsia" w:ascii="宋体" w:hAnsi="宋体" w:cs="宋体"/>
          <w:b/>
          <w:sz w:val="24"/>
          <w:szCs w:val="24"/>
          <w:highlight w:val="none"/>
        </w:rPr>
        <w:t>合格的货物和服务</w:t>
      </w:r>
    </w:p>
    <w:p w14:paraId="444A9E3B">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3.1</w:t>
      </w:r>
      <w:r>
        <w:rPr>
          <w:rFonts w:hint="eastAsia" w:ascii="宋体" w:hAnsi="宋体" w:cs="宋体"/>
          <w:sz w:val="24"/>
          <w:szCs w:val="24"/>
          <w:highlight w:val="none"/>
        </w:rPr>
        <w:t>合同中提供的所有货物及其有关服务，均应来自上述</w:t>
      </w:r>
      <w:r>
        <w:rPr>
          <w:rFonts w:ascii="宋体" w:hAnsi="宋体" w:cs="宋体"/>
          <w:sz w:val="24"/>
          <w:szCs w:val="24"/>
          <w:highlight w:val="none"/>
        </w:rPr>
        <w:t>2.4</w:t>
      </w:r>
      <w:r>
        <w:rPr>
          <w:rFonts w:hint="eastAsia" w:ascii="宋体" w:hAnsi="宋体" w:cs="宋体"/>
          <w:sz w:val="24"/>
          <w:szCs w:val="24"/>
          <w:highlight w:val="none"/>
        </w:rPr>
        <w:t>条款所规定的合格投标人。</w:t>
      </w:r>
    </w:p>
    <w:p w14:paraId="5936D043">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3.2</w:t>
      </w:r>
      <w:r>
        <w:rPr>
          <w:rFonts w:hint="eastAsia" w:ascii="宋体" w:hAnsi="宋体" w:cs="宋体"/>
          <w:sz w:val="24"/>
          <w:szCs w:val="24"/>
          <w:highlight w:val="none"/>
        </w:rPr>
        <w:t>货物是指投标人按招标文件规定，须向采购人提供的符合招标文件要求的相关的货物。</w:t>
      </w:r>
    </w:p>
    <w:p w14:paraId="2A63C176">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3.3</w:t>
      </w:r>
      <w:r>
        <w:rPr>
          <w:rFonts w:hint="eastAsia" w:ascii="宋体" w:hAnsi="宋体" w:cs="宋体"/>
          <w:sz w:val="24"/>
          <w:szCs w:val="24"/>
          <w:highlight w:val="none"/>
        </w:rPr>
        <w:t>服务是指招标文件规定的投标人须承担的与投标货物有关的辅助服务</w:t>
      </w:r>
      <w:r>
        <w:rPr>
          <w:rFonts w:ascii="宋体" w:cs="宋体"/>
          <w:sz w:val="24"/>
          <w:szCs w:val="24"/>
          <w:highlight w:val="none"/>
        </w:rPr>
        <w:t>,</w:t>
      </w:r>
      <w:r>
        <w:rPr>
          <w:rFonts w:hint="eastAsia" w:ascii="宋体" w:hAnsi="宋体" w:cs="宋体"/>
          <w:sz w:val="24"/>
          <w:szCs w:val="24"/>
          <w:highlight w:val="none"/>
        </w:rPr>
        <w:t>如运输、保险、安装、调试、技术培训、售后服务等以及其他类似的义务。</w:t>
      </w:r>
    </w:p>
    <w:p w14:paraId="237758D8">
      <w:pPr>
        <w:spacing w:line="360" w:lineRule="auto"/>
        <w:ind w:firstLine="482" w:firstLineChars="200"/>
        <w:rPr>
          <w:rFonts w:ascii="宋体" w:cs="宋体"/>
          <w:b/>
          <w:sz w:val="24"/>
          <w:szCs w:val="24"/>
          <w:highlight w:val="none"/>
        </w:rPr>
      </w:pPr>
      <w:r>
        <w:rPr>
          <w:rFonts w:ascii="宋体" w:hAnsi="宋体" w:cs="宋体"/>
          <w:b/>
          <w:sz w:val="24"/>
          <w:szCs w:val="24"/>
          <w:highlight w:val="none"/>
        </w:rPr>
        <w:t>4.</w:t>
      </w:r>
      <w:r>
        <w:rPr>
          <w:rFonts w:hint="eastAsia" w:ascii="宋体" w:hAnsi="宋体" w:cs="宋体"/>
          <w:b/>
          <w:sz w:val="24"/>
          <w:szCs w:val="24"/>
          <w:highlight w:val="none"/>
        </w:rPr>
        <w:t>投标费用</w:t>
      </w:r>
    </w:p>
    <w:p w14:paraId="0F03B14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4.1 </w:t>
      </w:r>
      <w:r>
        <w:rPr>
          <w:rFonts w:hint="eastAsia" w:ascii="宋体" w:hAnsi="宋体" w:cs="宋体"/>
          <w:sz w:val="24"/>
          <w:szCs w:val="24"/>
          <w:highlight w:val="none"/>
        </w:rPr>
        <w:t>投标人应承担所有与准备和参加投标有关的费用。不论投标的结果如何，采购人或采购代理机构均无义务和责任承担这些费用。</w:t>
      </w:r>
    </w:p>
    <w:p w14:paraId="69CF70B5">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4.2 </w:t>
      </w:r>
      <w:r>
        <w:rPr>
          <w:rFonts w:hint="eastAsia" w:ascii="宋体" w:hAnsi="宋体" w:cs="宋体"/>
          <w:sz w:val="24"/>
          <w:szCs w:val="24"/>
          <w:highlight w:val="none"/>
        </w:rPr>
        <w:t>无论招标结果如何，投标文件均不予退还。</w:t>
      </w:r>
    </w:p>
    <w:p w14:paraId="4290472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w:t>
      </w:r>
      <w:r>
        <w:rPr>
          <w:rFonts w:ascii="宋体" w:hAnsi="宋体" w:cs="宋体"/>
          <w:sz w:val="24"/>
          <w:szCs w:val="24"/>
          <w:highlight w:val="none"/>
        </w:rPr>
        <w:t>.3</w:t>
      </w:r>
      <w:r>
        <w:rPr>
          <w:rFonts w:hint="eastAsia" w:ascii="宋体" w:hAnsi="宋体" w:cs="宋体"/>
          <w:sz w:val="24"/>
          <w:szCs w:val="24"/>
          <w:highlight w:val="none"/>
        </w:rPr>
        <w:t xml:space="preserve"> 付款方式：见须知前附表。</w:t>
      </w:r>
    </w:p>
    <w:p w14:paraId="07D0EE09">
      <w:pPr>
        <w:pStyle w:val="96"/>
        <w:rPr>
          <w:rFonts w:hint="default" w:eastAsia="宋体"/>
          <w:highlight w:val="none"/>
          <w:lang w:val="en-US" w:eastAsia="zh-CN"/>
        </w:rPr>
      </w:pPr>
      <w:r>
        <w:rPr>
          <w:rFonts w:hint="eastAsia" w:ascii="宋体" w:hAnsi="宋体" w:cs="宋体"/>
          <w:sz w:val="24"/>
          <w:szCs w:val="24"/>
          <w:highlight w:val="none"/>
          <w:lang w:val="en-US" w:eastAsia="zh-CN"/>
        </w:rPr>
        <w:t>4.4 是否允许分包：</w:t>
      </w:r>
      <w:r>
        <w:rPr>
          <w:rFonts w:hint="eastAsia" w:ascii="宋体" w:hAnsi="宋体" w:cs="宋体"/>
          <w:sz w:val="24"/>
          <w:szCs w:val="24"/>
          <w:highlight w:val="none"/>
        </w:rPr>
        <w:t>见须知前附表。</w:t>
      </w:r>
    </w:p>
    <w:p w14:paraId="3F6EA3D0">
      <w:pPr>
        <w:spacing w:line="360" w:lineRule="auto"/>
        <w:ind w:firstLine="482" w:firstLineChars="200"/>
        <w:rPr>
          <w:rFonts w:ascii="宋体" w:cs="宋体"/>
          <w:b/>
          <w:sz w:val="24"/>
          <w:szCs w:val="24"/>
          <w:highlight w:val="none"/>
        </w:rPr>
      </w:pPr>
      <w:r>
        <w:rPr>
          <w:rFonts w:ascii="宋体" w:hAnsi="宋体" w:cs="宋体"/>
          <w:b/>
          <w:sz w:val="24"/>
          <w:szCs w:val="24"/>
          <w:highlight w:val="none"/>
        </w:rPr>
        <w:t>5.</w:t>
      </w:r>
      <w:r>
        <w:rPr>
          <w:rFonts w:hint="eastAsia" w:ascii="宋体" w:hAnsi="宋体" w:cs="宋体"/>
          <w:b/>
          <w:sz w:val="24"/>
          <w:szCs w:val="24"/>
          <w:highlight w:val="none"/>
        </w:rPr>
        <w:t>废标说明</w:t>
      </w:r>
    </w:p>
    <w:p w14:paraId="1C4FFF89">
      <w:pPr>
        <w:spacing w:line="360" w:lineRule="auto"/>
        <w:ind w:firstLine="482" w:firstLineChars="200"/>
        <w:rPr>
          <w:rFonts w:ascii="宋体" w:cs="宋体"/>
          <w:b/>
          <w:sz w:val="24"/>
          <w:szCs w:val="24"/>
          <w:highlight w:val="none"/>
          <w:u w:val="single"/>
        </w:rPr>
      </w:pPr>
      <w:r>
        <w:rPr>
          <w:rFonts w:hint="eastAsia" w:ascii="宋体" w:hAnsi="宋体" w:cs="宋体"/>
          <w:b/>
          <w:sz w:val="24"/>
          <w:szCs w:val="24"/>
          <w:highlight w:val="none"/>
          <w:u w:val="single"/>
        </w:rPr>
        <w:t>在招标采购中，出现下列情形之一的，应予废标：</w:t>
      </w:r>
    </w:p>
    <w:p w14:paraId="61D17699">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5.1</w:t>
      </w:r>
      <w:r>
        <w:rPr>
          <w:rFonts w:hint="eastAsia" w:ascii="宋体" w:hAnsi="宋体" w:cs="宋体"/>
          <w:b/>
          <w:sz w:val="24"/>
          <w:szCs w:val="24"/>
          <w:highlight w:val="none"/>
          <w:u w:val="single"/>
        </w:rPr>
        <w:t>符合专业条件的供应商或者对招标文件作实质响应的供应商不足三家的；</w:t>
      </w:r>
      <w:r>
        <w:rPr>
          <w:rFonts w:ascii="宋体" w:hAnsi="宋体" w:cs="宋体"/>
          <w:b/>
          <w:sz w:val="24"/>
          <w:szCs w:val="24"/>
          <w:highlight w:val="none"/>
          <w:u w:val="single"/>
        </w:rPr>
        <w:t xml:space="preserve"> </w:t>
      </w:r>
    </w:p>
    <w:p w14:paraId="2F488481">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5.2</w:t>
      </w:r>
      <w:r>
        <w:rPr>
          <w:rFonts w:hint="eastAsia" w:ascii="宋体" w:hAnsi="宋体" w:cs="宋体"/>
          <w:b/>
          <w:sz w:val="24"/>
          <w:szCs w:val="24"/>
          <w:highlight w:val="none"/>
          <w:u w:val="single"/>
        </w:rPr>
        <w:t>出现影响采购公正的违法、违规行为的；</w:t>
      </w:r>
    </w:p>
    <w:p w14:paraId="749E0A3B">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5.3</w:t>
      </w:r>
      <w:r>
        <w:rPr>
          <w:rFonts w:hint="eastAsia" w:ascii="宋体" w:hAnsi="宋体" w:cs="宋体"/>
          <w:b/>
          <w:sz w:val="24"/>
          <w:szCs w:val="24"/>
          <w:highlight w:val="none"/>
          <w:u w:val="single"/>
        </w:rPr>
        <w:t>投标人的报价均超过了采购预算，采购人不能够支付的；</w:t>
      </w:r>
    </w:p>
    <w:p w14:paraId="1D7B2F80">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5.4</w:t>
      </w:r>
      <w:r>
        <w:rPr>
          <w:rFonts w:hint="eastAsia" w:ascii="宋体" w:hAnsi="宋体" w:cs="宋体"/>
          <w:b/>
          <w:sz w:val="24"/>
          <w:szCs w:val="24"/>
          <w:highlight w:val="none"/>
          <w:u w:val="single"/>
        </w:rPr>
        <w:t>因重大变故，采购任务取消的。</w:t>
      </w:r>
      <w:bookmarkStart w:id="37" w:name="_Toc2511970"/>
      <w:bookmarkStart w:id="38" w:name="_Toc14776837"/>
      <w:bookmarkStart w:id="39" w:name="_Toc497167392"/>
      <w:bookmarkStart w:id="40" w:name="_Toc493422649"/>
      <w:bookmarkStart w:id="41" w:name="_Toc322446890"/>
      <w:bookmarkStart w:id="42" w:name="_Toc2355229"/>
    </w:p>
    <w:p w14:paraId="71050EDE">
      <w:pPr>
        <w:spacing w:line="360" w:lineRule="auto"/>
        <w:rPr>
          <w:rFonts w:ascii="宋体" w:cs="宋体"/>
          <w:b/>
          <w:sz w:val="24"/>
          <w:szCs w:val="24"/>
          <w:highlight w:val="none"/>
          <w:u w:val="single"/>
        </w:rPr>
      </w:pPr>
      <w:r>
        <w:rPr>
          <w:rFonts w:hint="eastAsia" w:ascii="宋体" w:hAnsi="宋体" w:cs="宋体"/>
          <w:b/>
          <w:sz w:val="24"/>
          <w:szCs w:val="24"/>
          <w:highlight w:val="none"/>
        </w:rPr>
        <w:t>二、招标文件</w:t>
      </w:r>
      <w:bookmarkEnd w:id="37"/>
      <w:bookmarkEnd w:id="38"/>
      <w:bookmarkEnd w:id="39"/>
      <w:bookmarkEnd w:id="40"/>
      <w:bookmarkEnd w:id="41"/>
      <w:bookmarkEnd w:id="42"/>
    </w:p>
    <w:p w14:paraId="7232FDAB">
      <w:pPr>
        <w:spacing w:line="360" w:lineRule="auto"/>
        <w:ind w:firstLine="482" w:firstLineChars="200"/>
        <w:rPr>
          <w:rFonts w:ascii="宋体" w:cs="宋体"/>
          <w:b/>
          <w:sz w:val="24"/>
          <w:szCs w:val="24"/>
          <w:highlight w:val="none"/>
        </w:rPr>
      </w:pPr>
      <w:r>
        <w:rPr>
          <w:rFonts w:ascii="宋体" w:hAnsi="宋体" w:cs="宋体"/>
          <w:b/>
          <w:sz w:val="24"/>
          <w:szCs w:val="24"/>
          <w:highlight w:val="none"/>
        </w:rPr>
        <w:t>6.</w:t>
      </w:r>
      <w:r>
        <w:rPr>
          <w:rFonts w:hint="eastAsia" w:ascii="宋体" w:hAnsi="宋体" w:cs="宋体"/>
          <w:b/>
          <w:sz w:val="24"/>
          <w:szCs w:val="24"/>
          <w:highlight w:val="none"/>
        </w:rPr>
        <w:t>招标文件构成</w:t>
      </w:r>
    </w:p>
    <w:p w14:paraId="7732EC8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6.1 </w:t>
      </w:r>
      <w:r>
        <w:rPr>
          <w:rFonts w:hint="eastAsia" w:ascii="宋体" w:hAnsi="宋体" w:cs="宋体"/>
          <w:sz w:val="24"/>
          <w:szCs w:val="24"/>
          <w:highlight w:val="none"/>
        </w:rPr>
        <w:t>招标文件包括下列内容：</w:t>
      </w:r>
    </w:p>
    <w:p w14:paraId="61E18BD5">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（一）招标文件的组成部分</w:t>
      </w:r>
    </w:p>
    <w:p w14:paraId="4F1AAB0D">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第一章</w:t>
      </w:r>
      <w:r>
        <w:rPr>
          <w:rFonts w:hint="eastAsia" w:ascii="宋体" w:hAnsi="宋体" w:cs="宋体"/>
          <w:sz w:val="24"/>
          <w:szCs w:val="24"/>
          <w:highlight w:val="none"/>
        </w:rPr>
        <w:t>招标公告</w:t>
      </w:r>
    </w:p>
    <w:p w14:paraId="571BE17C">
      <w:pPr>
        <w:numPr>
          <w:ilvl w:val="1"/>
          <w:numId w:val="0"/>
        </w:numPr>
        <w:spacing w:line="360" w:lineRule="auto"/>
        <w:ind w:left="0" w:leftChars="0" w:firstLine="480" w:firstLineChars="200"/>
        <w:rPr>
          <w:rFonts w:hint="default" w:ascii="宋体" w:cs="宋体"/>
          <w:sz w:val="24"/>
          <w:szCs w:val="24"/>
          <w:highlight w:val="none"/>
          <w:lang w:val="en-US"/>
        </w:rPr>
      </w:pPr>
      <w:r>
        <w:rPr>
          <w:rFonts w:hint="default" w:ascii="宋体" w:hAnsi="Times New Roman" w:eastAsia="宋体" w:cs="Times New Roman"/>
          <w:kern w:val="2"/>
          <w:sz w:val="24"/>
          <w:szCs w:val="24"/>
          <w:lang w:val="en-US" w:eastAsia="zh-CN" w:bidi="ar-SA"/>
        </w:rPr>
        <w:t>第二章</w:t>
      </w:r>
      <w:r>
        <w:rPr>
          <w:rFonts w:hint="eastAsia" w:ascii="宋体" w:hAnsi="Times New Roman" w:eastAsia="宋体" w:cs="Times New Roman"/>
          <w:kern w:val="2"/>
          <w:sz w:val="24"/>
          <w:szCs w:val="24"/>
          <w:lang w:val="en-US" w:eastAsia="zh-CN" w:bidi="ar-SA"/>
        </w:rPr>
        <w:t>采购需求</w:t>
      </w:r>
    </w:p>
    <w:p w14:paraId="14761466">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第三章</w:t>
      </w:r>
      <w:r>
        <w:rPr>
          <w:rFonts w:hint="eastAsia" w:ascii="宋体" w:hAnsi="宋体" w:cs="宋体"/>
          <w:sz w:val="24"/>
          <w:szCs w:val="24"/>
          <w:highlight w:val="none"/>
        </w:rPr>
        <w:t>投标人须知前附表</w:t>
      </w:r>
    </w:p>
    <w:p w14:paraId="580951F6">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第</w:t>
      </w:r>
      <w:r>
        <w:rPr>
          <w:rFonts w:hint="eastAsia" w:ascii="宋体" w:hAnsi="Times New Roman" w:eastAsia="宋体" w:cs="Times New Roman"/>
          <w:kern w:val="2"/>
          <w:sz w:val="24"/>
          <w:szCs w:val="24"/>
          <w:lang w:val="en-US" w:eastAsia="zh-CN" w:bidi="ar-SA"/>
        </w:rPr>
        <w:t>四</w:t>
      </w:r>
      <w:r>
        <w:rPr>
          <w:rFonts w:hint="default" w:ascii="宋体" w:hAnsi="Times New Roman" w:eastAsia="宋体" w:cs="Times New Roman"/>
          <w:kern w:val="2"/>
          <w:sz w:val="24"/>
          <w:szCs w:val="24"/>
          <w:lang w:val="en-US" w:eastAsia="zh-CN" w:bidi="ar-SA"/>
        </w:rPr>
        <w:t>章</w:t>
      </w:r>
      <w:r>
        <w:rPr>
          <w:rFonts w:hint="eastAsia" w:ascii="宋体" w:hAnsi="宋体" w:cs="宋体"/>
          <w:sz w:val="24"/>
          <w:szCs w:val="24"/>
          <w:highlight w:val="none"/>
        </w:rPr>
        <w:t>评标方法及评标标准</w:t>
      </w:r>
    </w:p>
    <w:p w14:paraId="0FAA39C0">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第</w:t>
      </w:r>
      <w:r>
        <w:rPr>
          <w:rFonts w:hint="eastAsia" w:ascii="宋体" w:hAnsi="Times New Roman" w:eastAsia="宋体" w:cs="Times New Roman"/>
          <w:kern w:val="2"/>
          <w:sz w:val="24"/>
          <w:szCs w:val="24"/>
          <w:lang w:val="en-US" w:eastAsia="zh-CN" w:bidi="ar-SA"/>
        </w:rPr>
        <w:t>五</w:t>
      </w:r>
      <w:r>
        <w:rPr>
          <w:rFonts w:hint="default" w:ascii="宋体" w:hAnsi="Times New Roman" w:eastAsia="宋体" w:cs="Times New Roman"/>
          <w:kern w:val="2"/>
          <w:sz w:val="24"/>
          <w:szCs w:val="24"/>
          <w:lang w:val="en-US" w:eastAsia="zh-CN" w:bidi="ar-SA"/>
        </w:rPr>
        <w:t>章</w:t>
      </w:r>
      <w:r>
        <w:rPr>
          <w:rFonts w:hint="eastAsia" w:ascii="宋体" w:hAnsi="宋体" w:cs="宋体"/>
          <w:sz w:val="24"/>
          <w:szCs w:val="24"/>
          <w:highlight w:val="none"/>
        </w:rPr>
        <w:t>投标文件格式</w:t>
      </w:r>
    </w:p>
    <w:p w14:paraId="6C157372">
      <w:pPr>
        <w:spacing w:line="360" w:lineRule="auto"/>
        <w:ind w:firstLine="240" w:firstLineChars="100"/>
        <w:rPr>
          <w:rFonts w:ascii="宋体" w:cs="宋体"/>
          <w:sz w:val="24"/>
          <w:szCs w:val="24"/>
          <w:highlight w:val="none"/>
        </w:rPr>
      </w:pPr>
      <w:r>
        <w:rPr>
          <w:rFonts w:hint="eastAsia" w:ascii="宋体" w:hAnsi="宋体" w:cs="宋体"/>
          <w:sz w:val="24"/>
          <w:szCs w:val="24"/>
          <w:highlight w:val="none"/>
        </w:rPr>
        <w:t>（二）采购人所作的一切有效的书面通知都是招标文件不可分割的组成部分。</w:t>
      </w:r>
    </w:p>
    <w:p w14:paraId="1643C8F2">
      <w:pPr>
        <w:spacing w:line="360" w:lineRule="auto"/>
        <w:ind w:firstLine="482" w:firstLineChars="200"/>
        <w:rPr>
          <w:rFonts w:ascii="宋体" w:cs="宋体"/>
          <w:b/>
          <w:sz w:val="24"/>
          <w:szCs w:val="24"/>
          <w:highlight w:val="none"/>
        </w:rPr>
      </w:pPr>
      <w:r>
        <w:rPr>
          <w:rFonts w:ascii="宋体" w:hAnsi="宋体" w:cs="宋体"/>
          <w:b/>
          <w:sz w:val="24"/>
          <w:szCs w:val="24"/>
          <w:highlight w:val="none"/>
        </w:rPr>
        <w:t>7.</w:t>
      </w:r>
      <w:r>
        <w:rPr>
          <w:rFonts w:hint="eastAsia" w:ascii="宋体" w:hAnsi="宋体" w:cs="宋体"/>
          <w:b/>
          <w:sz w:val="24"/>
          <w:szCs w:val="24"/>
          <w:highlight w:val="none"/>
        </w:rPr>
        <w:t>招标文件的澄清</w:t>
      </w:r>
    </w:p>
    <w:p w14:paraId="01C7F66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7.1 </w:t>
      </w:r>
      <w:r>
        <w:rPr>
          <w:rFonts w:hint="eastAsia" w:ascii="宋体" w:hAnsi="宋体" w:cs="宋体"/>
          <w:sz w:val="24"/>
          <w:szCs w:val="24"/>
          <w:highlight w:val="none"/>
        </w:rPr>
        <w:t>任何要求对招标文件进行澄清的投标人，均应以书面形式</w:t>
      </w:r>
      <w:r>
        <w:rPr>
          <w:rFonts w:hint="eastAsia" w:ascii="宋体" w:hAnsi="宋体" w:cs="宋体"/>
          <w:sz w:val="24"/>
          <w:szCs w:val="24"/>
          <w:highlight w:val="none"/>
          <w:lang w:val="en-US" w:eastAsia="zh-CN"/>
        </w:rPr>
        <w:t>或在政采云平台在线询问</w:t>
      </w:r>
      <w:r>
        <w:rPr>
          <w:rFonts w:hint="eastAsia" w:ascii="宋体" w:hAnsi="宋体" w:cs="宋体"/>
          <w:sz w:val="24"/>
          <w:szCs w:val="24"/>
          <w:highlight w:val="none"/>
        </w:rPr>
        <w:t>通知采购人或采购代理机构。采购人或者采购代理机构对在投标截止时间</w:t>
      </w:r>
      <w:r>
        <w:rPr>
          <w:rFonts w:ascii="宋体" w:hAnsi="宋体" w:cs="宋体"/>
          <w:sz w:val="24"/>
          <w:szCs w:val="24"/>
          <w:highlight w:val="none"/>
        </w:rPr>
        <w:t>15</w:t>
      </w:r>
      <w:r>
        <w:rPr>
          <w:rFonts w:hint="eastAsia" w:ascii="宋体" w:hAnsi="宋体" w:cs="宋体"/>
          <w:sz w:val="24"/>
          <w:szCs w:val="24"/>
          <w:highlight w:val="none"/>
        </w:rPr>
        <w:t>日以前收到的澄清要求应以书面形式</w:t>
      </w:r>
      <w:r>
        <w:rPr>
          <w:rFonts w:hint="eastAsia" w:ascii="宋体" w:hAnsi="宋体" w:cs="宋体"/>
          <w:sz w:val="24"/>
          <w:szCs w:val="24"/>
          <w:highlight w:val="none"/>
          <w:lang w:val="en-US" w:eastAsia="zh-CN"/>
        </w:rPr>
        <w:t>或在政采云平台</w:t>
      </w:r>
      <w:r>
        <w:rPr>
          <w:rFonts w:hint="eastAsia" w:ascii="宋体" w:hAnsi="宋体" w:cs="宋体"/>
          <w:sz w:val="24"/>
          <w:szCs w:val="24"/>
          <w:highlight w:val="none"/>
        </w:rPr>
        <w:t>予以答复。</w:t>
      </w:r>
    </w:p>
    <w:p w14:paraId="0FB05BB7">
      <w:pPr>
        <w:spacing w:line="360" w:lineRule="auto"/>
        <w:ind w:firstLine="482" w:firstLineChars="200"/>
        <w:rPr>
          <w:rFonts w:ascii="宋体" w:cs="宋体"/>
          <w:b/>
          <w:sz w:val="24"/>
          <w:szCs w:val="24"/>
          <w:highlight w:val="none"/>
        </w:rPr>
      </w:pPr>
      <w:r>
        <w:rPr>
          <w:rFonts w:ascii="宋体" w:hAnsi="宋体" w:cs="宋体"/>
          <w:b/>
          <w:sz w:val="24"/>
          <w:szCs w:val="24"/>
          <w:highlight w:val="none"/>
        </w:rPr>
        <w:t>8.</w:t>
      </w:r>
      <w:r>
        <w:rPr>
          <w:rFonts w:hint="eastAsia" w:ascii="宋体" w:hAnsi="宋体" w:cs="宋体"/>
          <w:b/>
          <w:sz w:val="24"/>
          <w:szCs w:val="24"/>
          <w:highlight w:val="none"/>
        </w:rPr>
        <w:t>招标文件的修改</w:t>
      </w:r>
    </w:p>
    <w:p w14:paraId="68DC4E7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8.1 </w:t>
      </w:r>
      <w:r>
        <w:rPr>
          <w:rFonts w:hint="eastAsia" w:ascii="宋体" w:hAnsi="宋体" w:cs="宋体"/>
          <w:sz w:val="24"/>
          <w:szCs w:val="24"/>
          <w:highlight w:val="none"/>
        </w:rPr>
        <w:t>在投标截止时间</w:t>
      </w:r>
      <w:r>
        <w:rPr>
          <w:rFonts w:ascii="宋体" w:hAnsi="宋体" w:cs="宋体"/>
          <w:sz w:val="24"/>
          <w:szCs w:val="24"/>
          <w:highlight w:val="none"/>
        </w:rPr>
        <w:t>15</w:t>
      </w:r>
      <w:r>
        <w:rPr>
          <w:rFonts w:hint="eastAsia" w:ascii="宋体" w:hAnsi="宋体" w:cs="宋体"/>
          <w:sz w:val="24"/>
          <w:szCs w:val="24"/>
          <w:highlight w:val="none"/>
        </w:rPr>
        <w:t>日前，无论出于何种原因，采购人或采购代理机构可主动地或在解答投标人提出的澄清问题时对招标文件进行修改，修改的内容为招标文件的组成部分。</w:t>
      </w:r>
    </w:p>
    <w:p w14:paraId="2BDF9467">
      <w:pPr>
        <w:spacing w:line="360" w:lineRule="auto"/>
        <w:ind w:firstLine="480" w:firstLineChars="200"/>
        <w:rPr>
          <w:rFonts w:hint="default" w:ascii="宋体" w:eastAsia="宋体" w:cs="宋体"/>
          <w:sz w:val="24"/>
          <w:szCs w:val="24"/>
          <w:highlight w:val="none"/>
          <w:lang w:val="en-US" w:eastAsia="zh-CN"/>
        </w:rPr>
      </w:pPr>
      <w:r>
        <w:rPr>
          <w:rFonts w:ascii="宋体" w:hAnsi="宋体" w:cs="宋体"/>
          <w:sz w:val="24"/>
          <w:szCs w:val="24"/>
          <w:highlight w:val="none"/>
        </w:rPr>
        <w:t xml:space="preserve">8.2 </w:t>
      </w:r>
      <w:r>
        <w:rPr>
          <w:rFonts w:hint="eastAsia" w:ascii="宋体" w:hAnsi="宋体" w:cs="宋体"/>
          <w:sz w:val="24"/>
          <w:szCs w:val="24"/>
          <w:highlight w:val="none"/>
        </w:rPr>
        <w:t>对招标文件的修改，将以变更形式上传至新疆政府采购网（政采云平台），澄清和修改将作为招标文件的组成部分，对所有投标人具有约束力。投标人自行网上查阅上传的每一份补充文件。如投标人因个人原因未在新疆政府采购网（政采云平台）查阅已上传的补充文件，造成的后果由投标人自行承担</w:t>
      </w:r>
      <w:r>
        <w:rPr>
          <w:rFonts w:hint="eastAsia" w:ascii="宋体" w:hAnsi="宋体" w:cs="宋体"/>
          <w:sz w:val="24"/>
          <w:szCs w:val="24"/>
          <w:highlight w:val="none"/>
          <w:lang w:val="en-US" w:eastAsia="zh-CN"/>
        </w:rPr>
        <w:t>。</w:t>
      </w:r>
    </w:p>
    <w:p w14:paraId="3896B886">
      <w:pPr>
        <w:spacing w:line="360" w:lineRule="auto"/>
        <w:ind w:firstLine="480" w:firstLineChars="200"/>
        <w:rPr>
          <w:rFonts w:ascii="宋体" w:cs="宋体"/>
          <w:sz w:val="24"/>
          <w:szCs w:val="24"/>
          <w:highlight w:val="none"/>
        </w:rPr>
      </w:pPr>
      <w:r>
        <w:rPr>
          <w:rFonts w:ascii="宋体" w:hAnsi="宋体" w:cs="宋体"/>
          <w:sz w:val="24"/>
          <w:szCs w:val="24"/>
          <w:highlight w:val="none"/>
        </w:rPr>
        <w:t>8.3</w:t>
      </w:r>
      <w:r>
        <w:rPr>
          <w:rFonts w:hint="eastAsia" w:ascii="宋体" w:hAnsi="宋体" w:cs="宋体"/>
          <w:sz w:val="24"/>
          <w:szCs w:val="24"/>
          <w:highlight w:val="none"/>
        </w:rPr>
        <w:t>澄清或者修改的内容可能影响投标文件编制的，为使投标人准备投标时有充分时间对招标文件的修改部分进行研究，采购人或采购代理机构可适当延长投标截止时间。并以</w:t>
      </w:r>
      <w:r>
        <w:rPr>
          <w:rFonts w:hint="eastAsia" w:ascii="宋体" w:hAnsi="宋体" w:cs="宋体"/>
          <w:sz w:val="24"/>
          <w:szCs w:val="24"/>
          <w:highlight w:val="none"/>
          <w:lang w:val="en-US" w:eastAsia="zh-CN"/>
        </w:rPr>
        <w:t>书面</w:t>
      </w:r>
      <w:r>
        <w:rPr>
          <w:rFonts w:hint="eastAsia" w:ascii="宋体" w:hAnsi="宋体" w:cs="宋体"/>
          <w:sz w:val="24"/>
          <w:szCs w:val="24"/>
          <w:highlight w:val="none"/>
        </w:rPr>
        <w:t>形式通知所有购买招标文件的投标人。</w:t>
      </w:r>
    </w:p>
    <w:p w14:paraId="3F1DAC5A">
      <w:pPr>
        <w:spacing w:line="360" w:lineRule="auto"/>
        <w:ind w:firstLine="482" w:firstLineChars="200"/>
        <w:rPr>
          <w:rFonts w:ascii="宋体" w:cs="宋体"/>
          <w:b/>
          <w:sz w:val="24"/>
          <w:szCs w:val="24"/>
          <w:highlight w:val="none"/>
        </w:rPr>
      </w:pPr>
      <w:r>
        <w:rPr>
          <w:rFonts w:ascii="宋体" w:hAnsi="宋体" w:cs="宋体"/>
          <w:b/>
          <w:sz w:val="24"/>
          <w:szCs w:val="24"/>
          <w:highlight w:val="none"/>
        </w:rPr>
        <w:t>9.</w:t>
      </w:r>
      <w:r>
        <w:rPr>
          <w:rFonts w:hint="eastAsia" w:ascii="宋体" w:hAnsi="宋体" w:cs="宋体"/>
          <w:b/>
          <w:sz w:val="24"/>
          <w:szCs w:val="24"/>
          <w:highlight w:val="none"/>
        </w:rPr>
        <w:t>询问和质疑</w:t>
      </w:r>
    </w:p>
    <w:p w14:paraId="4C8BFF0D">
      <w:pPr>
        <w:spacing w:line="360" w:lineRule="auto"/>
        <w:ind w:firstLine="480" w:firstLineChars="200"/>
        <w:rPr>
          <w:rFonts w:ascii="宋体" w:cs="宋体"/>
          <w:sz w:val="24"/>
          <w:szCs w:val="24"/>
          <w:highlight w:val="none"/>
        </w:rPr>
      </w:pPr>
      <w:r>
        <w:rPr>
          <w:rFonts w:ascii="宋体" w:hAnsi="宋体" w:cs="宋体"/>
          <w:sz w:val="24"/>
          <w:szCs w:val="24"/>
          <w:highlight w:val="none"/>
        </w:rPr>
        <w:t>9.1</w:t>
      </w:r>
      <w:r>
        <w:rPr>
          <w:rFonts w:hint="eastAsia" w:ascii="宋体" w:hAnsi="宋体" w:cs="宋体"/>
          <w:sz w:val="24"/>
          <w:szCs w:val="24"/>
          <w:highlight w:val="none"/>
        </w:rPr>
        <w:t>投标人对政府采购活动事项有疑问的，可以提出询问；</w:t>
      </w:r>
    </w:p>
    <w:p w14:paraId="70BE2EFF">
      <w:pPr>
        <w:spacing w:line="360" w:lineRule="auto"/>
        <w:ind w:firstLine="480" w:firstLineChars="200"/>
        <w:rPr>
          <w:rFonts w:ascii="宋体" w:cs="宋体"/>
          <w:sz w:val="24"/>
          <w:szCs w:val="24"/>
          <w:highlight w:val="none"/>
        </w:rPr>
      </w:pPr>
      <w:r>
        <w:rPr>
          <w:rFonts w:ascii="宋体" w:hAnsi="宋体" w:cs="宋体"/>
          <w:sz w:val="24"/>
          <w:szCs w:val="24"/>
          <w:highlight w:val="none"/>
        </w:rPr>
        <w:t>9.2</w:t>
      </w:r>
      <w:r>
        <w:rPr>
          <w:rFonts w:hint="eastAsia" w:ascii="宋体" w:hAnsi="宋体" w:cs="宋体"/>
          <w:sz w:val="24"/>
          <w:szCs w:val="24"/>
          <w:highlight w:val="none"/>
        </w:rPr>
        <w:t>投标人认为采购文件、采购过程、中标或者中标结果使自己的权益受到损害的，可以在知道或者应知权益受到损害之日起</w:t>
      </w:r>
      <w:r>
        <w:rPr>
          <w:rFonts w:ascii="宋体" w:hAnsi="宋体" w:cs="宋体"/>
          <w:sz w:val="24"/>
          <w:szCs w:val="24"/>
          <w:highlight w:val="none"/>
        </w:rPr>
        <w:t>7</w:t>
      </w:r>
      <w:r>
        <w:rPr>
          <w:rFonts w:hint="eastAsia" w:ascii="宋体" w:hAnsi="宋体" w:cs="宋体"/>
          <w:sz w:val="24"/>
          <w:szCs w:val="24"/>
          <w:highlight w:val="none"/>
        </w:rPr>
        <w:t>个工作日内，提出质疑。</w:t>
      </w:r>
    </w:p>
    <w:p w14:paraId="531151F3">
      <w:pPr>
        <w:spacing w:line="360" w:lineRule="auto"/>
        <w:ind w:firstLine="480" w:firstLineChars="200"/>
        <w:rPr>
          <w:rFonts w:ascii="宋体" w:cs="宋体"/>
          <w:sz w:val="24"/>
          <w:szCs w:val="24"/>
          <w:highlight w:val="none"/>
        </w:rPr>
      </w:pPr>
      <w:r>
        <w:rPr>
          <w:rFonts w:ascii="宋体" w:hAnsi="宋体" w:cs="宋体"/>
          <w:sz w:val="24"/>
          <w:szCs w:val="24"/>
          <w:highlight w:val="none"/>
        </w:rPr>
        <w:t>9.3</w:t>
      </w:r>
      <w:r>
        <w:rPr>
          <w:rFonts w:hint="eastAsia" w:ascii="宋体" w:hAnsi="宋体" w:cs="宋体"/>
          <w:sz w:val="24"/>
          <w:szCs w:val="24"/>
          <w:highlight w:val="none"/>
        </w:rPr>
        <w:t>接收质疑函的方式：投标人应提交书面质疑函，投标人应在法定质疑期内一次性提出针对同一采购程序环节的质疑。</w:t>
      </w:r>
    </w:p>
    <w:p w14:paraId="17E195D5">
      <w:pPr>
        <w:spacing w:line="360" w:lineRule="auto"/>
        <w:ind w:firstLine="480" w:firstLineChars="200"/>
        <w:rPr>
          <w:rFonts w:ascii="宋体" w:cs="宋体"/>
          <w:sz w:val="24"/>
          <w:szCs w:val="24"/>
          <w:highlight w:val="none"/>
        </w:rPr>
      </w:pPr>
      <w:r>
        <w:rPr>
          <w:rFonts w:ascii="宋体" w:hAnsi="宋体" w:cs="宋体"/>
          <w:sz w:val="24"/>
          <w:szCs w:val="24"/>
          <w:highlight w:val="none"/>
        </w:rPr>
        <w:t>9.4</w:t>
      </w:r>
      <w:r>
        <w:rPr>
          <w:rFonts w:hint="eastAsia" w:ascii="宋体" w:hAnsi="宋体" w:cs="宋体"/>
          <w:sz w:val="24"/>
          <w:szCs w:val="24"/>
          <w:highlight w:val="none"/>
        </w:rPr>
        <w:t>投标人提出质疑应当提交质疑函和必要的证明材料。质疑函应当包括下列内容：</w:t>
      </w:r>
    </w:p>
    <w:p w14:paraId="52640F99">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）投标人的姓名或者名称、地址、邮编、联系人及联系电话；</w:t>
      </w:r>
    </w:p>
    <w:p w14:paraId="6950A307">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）质疑项目的名称、编号；</w:t>
      </w:r>
    </w:p>
    <w:p w14:paraId="41789765">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）具体、明确的质疑事项和与质疑事项相关的请求；</w:t>
      </w:r>
    </w:p>
    <w:p w14:paraId="6AF5E42C">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）事实依据；</w:t>
      </w:r>
    </w:p>
    <w:p w14:paraId="5D3B386F">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）必要的法律依据；</w:t>
      </w:r>
    </w:p>
    <w:p w14:paraId="5391ED35">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）提出质疑的日期。</w:t>
      </w:r>
    </w:p>
    <w:p w14:paraId="78F8E3B7">
      <w:pPr>
        <w:spacing w:line="360" w:lineRule="auto"/>
        <w:ind w:firstLine="480" w:firstLineChars="200"/>
        <w:rPr>
          <w:rFonts w:ascii="宋体" w:cs="宋体"/>
          <w:sz w:val="24"/>
          <w:szCs w:val="24"/>
          <w:highlight w:val="none"/>
        </w:rPr>
      </w:pPr>
      <w:r>
        <w:rPr>
          <w:rFonts w:ascii="宋体" w:hAnsi="宋体" w:cs="宋体"/>
          <w:sz w:val="24"/>
          <w:szCs w:val="24"/>
          <w:highlight w:val="none"/>
        </w:rPr>
        <w:t>9.5</w:t>
      </w:r>
      <w:r>
        <w:rPr>
          <w:rFonts w:hint="eastAsia" w:ascii="宋体" w:hAnsi="宋体" w:cs="宋体"/>
          <w:sz w:val="24"/>
          <w:szCs w:val="24"/>
          <w:highlight w:val="none"/>
        </w:rPr>
        <w:t>投标人为自然人的，质疑函应当由本人签字；投标人为法人或者其他组织的，质疑函应当由法定代表人、主要负责人，或者其授权代表签字或者盖章，并加盖公章。</w:t>
      </w:r>
    </w:p>
    <w:p w14:paraId="08A01107">
      <w:pPr>
        <w:spacing w:line="360" w:lineRule="auto"/>
        <w:ind w:firstLine="480" w:firstLineChars="200"/>
        <w:rPr>
          <w:rFonts w:ascii="宋体" w:cs="宋体"/>
          <w:sz w:val="24"/>
          <w:szCs w:val="24"/>
          <w:highlight w:val="none"/>
        </w:rPr>
      </w:pPr>
      <w:r>
        <w:rPr>
          <w:rFonts w:ascii="宋体" w:hAnsi="宋体" w:cs="宋体"/>
          <w:sz w:val="24"/>
          <w:szCs w:val="24"/>
          <w:highlight w:val="none"/>
        </w:rPr>
        <w:t>9.6</w:t>
      </w:r>
      <w:r>
        <w:rPr>
          <w:rFonts w:hint="eastAsia" w:ascii="宋体" w:hAnsi="宋体" w:cs="宋体"/>
          <w:sz w:val="24"/>
          <w:szCs w:val="24"/>
          <w:highlight w:val="none"/>
        </w:rPr>
        <w:t>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bookmarkStart w:id="43" w:name="_Toc493422650"/>
      <w:bookmarkStart w:id="44" w:name="_Toc2511971"/>
      <w:bookmarkStart w:id="45" w:name="_Toc322446891"/>
      <w:bookmarkStart w:id="46" w:name="_Toc14776838"/>
      <w:bookmarkStart w:id="47" w:name="_Toc497167393"/>
      <w:bookmarkStart w:id="48" w:name="_Toc2355230"/>
    </w:p>
    <w:p w14:paraId="6FFBF29A">
      <w:pPr>
        <w:spacing w:line="360" w:lineRule="auto"/>
        <w:rPr>
          <w:rFonts w:ascii="宋体" w:cs="宋体"/>
          <w:b/>
          <w:sz w:val="24"/>
          <w:szCs w:val="24"/>
          <w:highlight w:val="none"/>
        </w:rPr>
      </w:pPr>
      <w:r>
        <w:rPr>
          <w:rFonts w:hint="eastAsia" w:ascii="宋体" w:hAnsi="宋体" w:cs="宋体"/>
          <w:b/>
          <w:sz w:val="24"/>
          <w:szCs w:val="24"/>
          <w:highlight w:val="none"/>
        </w:rPr>
        <w:t>三、投标文件的编制</w:t>
      </w:r>
      <w:bookmarkEnd w:id="43"/>
      <w:bookmarkEnd w:id="44"/>
      <w:bookmarkEnd w:id="45"/>
      <w:bookmarkEnd w:id="46"/>
      <w:bookmarkEnd w:id="47"/>
      <w:bookmarkEnd w:id="48"/>
    </w:p>
    <w:p w14:paraId="60F0D8B9">
      <w:pPr>
        <w:spacing w:line="360" w:lineRule="auto"/>
        <w:ind w:firstLine="482" w:firstLineChars="200"/>
        <w:rPr>
          <w:rFonts w:ascii="宋体" w:cs="宋体"/>
          <w:b/>
          <w:sz w:val="24"/>
          <w:szCs w:val="24"/>
          <w:highlight w:val="none"/>
        </w:rPr>
      </w:pPr>
      <w:r>
        <w:rPr>
          <w:rFonts w:ascii="宋体" w:hAnsi="宋体" w:cs="宋体"/>
          <w:b/>
          <w:sz w:val="24"/>
          <w:szCs w:val="24"/>
          <w:highlight w:val="none"/>
        </w:rPr>
        <w:t>10.</w:t>
      </w:r>
      <w:r>
        <w:rPr>
          <w:rFonts w:hint="eastAsia" w:ascii="宋体" w:hAnsi="宋体" w:cs="宋体"/>
          <w:b/>
          <w:sz w:val="24"/>
          <w:szCs w:val="24"/>
          <w:highlight w:val="none"/>
        </w:rPr>
        <w:t>编制要求</w:t>
      </w:r>
    </w:p>
    <w:p w14:paraId="3928E46E">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10.1</w:t>
      </w:r>
      <w:r>
        <w:rPr>
          <w:rFonts w:hint="eastAsia" w:ascii="宋体" w:hAnsi="宋体" w:cs="宋体"/>
          <w:sz w:val="24"/>
          <w:szCs w:val="24"/>
          <w:highlight w:val="none"/>
        </w:rPr>
        <w:t>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14:paraId="20BA9D73">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10.2</w:t>
      </w:r>
      <w:r>
        <w:rPr>
          <w:rFonts w:hint="eastAsia" w:ascii="宋体" w:hAnsi="宋体" w:cs="宋体"/>
          <w:sz w:val="24"/>
          <w:szCs w:val="24"/>
          <w:highlight w:val="none"/>
        </w:rPr>
        <w:t>采购人或采购代理机构有权随时检查投标人所提供的全部资料的真实性。如果发现投标人在投标资料中使用有虚假的证明材料的，由此所产生的经济责任和法律责任由投标人自行承担。</w:t>
      </w:r>
    </w:p>
    <w:p w14:paraId="165E6A61">
      <w:pPr>
        <w:pStyle w:val="4"/>
        <w:tabs>
          <w:tab w:val="left" w:pos="840"/>
        </w:tabs>
        <w:spacing w:line="360" w:lineRule="auto"/>
        <w:ind w:firstLine="480" w:firstLineChars="200"/>
        <w:rPr>
          <w:rFonts w:ascii="宋体" w:cs="宋体"/>
          <w:sz w:val="24"/>
          <w:szCs w:val="24"/>
          <w:highlight w:val="none"/>
        </w:rPr>
      </w:pPr>
      <w:r>
        <w:rPr>
          <w:rFonts w:ascii="宋体" w:hAnsi="宋体" w:cs="宋体"/>
          <w:sz w:val="24"/>
          <w:szCs w:val="24"/>
          <w:highlight w:val="none"/>
        </w:rPr>
        <w:t>10.3</w:t>
      </w:r>
      <w:r>
        <w:rPr>
          <w:rFonts w:hint="eastAsia" w:ascii="宋体" w:hAnsi="宋体" w:cs="宋体"/>
          <w:sz w:val="24"/>
          <w:szCs w:val="24"/>
          <w:highlight w:val="none"/>
        </w:rPr>
        <w:t>投标的语言</w:t>
      </w:r>
    </w:p>
    <w:p w14:paraId="165919E0">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投标人提交的投标文件以及投标人与采购代理机构就有关投标的所有来往函电均应以中文书写，且以之为准。</w:t>
      </w:r>
    </w:p>
    <w:p w14:paraId="1ECF9968">
      <w:pPr>
        <w:spacing w:line="360" w:lineRule="auto"/>
        <w:ind w:firstLine="482" w:firstLineChars="200"/>
        <w:rPr>
          <w:rFonts w:ascii="宋体" w:cs="宋体"/>
          <w:b/>
          <w:sz w:val="24"/>
          <w:szCs w:val="24"/>
          <w:highlight w:val="none"/>
        </w:rPr>
      </w:pPr>
      <w:r>
        <w:rPr>
          <w:rFonts w:ascii="宋体" w:hAnsi="宋体" w:cs="宋体"/>
          <w:b/>
          <w:sz w:val="24"/>
          <w:szCs w:val="24"/>
          <w:highlight w:val="none"/>
        </w:rPr>
        <w:t>11.</w:t>
      </w:r>
      <w:r>
        <w:rPr>
          <w:rFonts w:hint="eastAsia" w:ascii="宋体" w:hAnsi="宋体" w:cs="宋体"/>
          <w:b/>
          <w:sz w:val="24"/>
          <w:szCs w:val="24"/>
          <w:highlight w:val="none"/>
        </w:rPr>
        <w:t>投标文件构成</w:t>
      </w:r>
    </w:p>
    <w:p w14:paraId="6FA8925E">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11.1</w:t>
      </w:r>
      <w:r>
        <w:rPr>
          <w:rFonts w:hint="eastAsia" w:ascii="宋体" w:hAnsi="宋体" w:cs="宋体"/>
          <w:sz w:val="24"/>
          <w:szCs w:val="24"/>
          <w:highlight w:val="none"/>
        </w:rPr>
        <w:t>投标人编写的投标文件应包括下列部分：</w:t>
      </w:r>
    </w:p>
    <w:p w14:paraId="46EF20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）资格证明材料部分：按照第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章提供的</w:t>
      </w:r>
      <w:r>
        <w:rPr>
          <w:rFonts w:hint="eastAsia" w:ascii="宋体" w:hAnsi="宋体" w:cs="宋体"/>
          <w:sz w:val="24"/>
          <w:szCs w:val="24"/>
          <w:highlight w:val="none"/>
          <w:lang w:val="en-US" w:eastAsia="zh-CN"/>
        </w:rPr>
        <w:t>投标文件</w:t>
      </w:r>
      <w:r>
        <w:rPr>
          <w:rFonts w:hint="eastAsia" w:ascii="宋体" w:hAnsi="宋体" w:cs="宋体"/>
          <w:sz w:val="24"/>
          <w:szCs w:val="24"/>
          <w:highlight w:val="none"/>
        </w:rPr>
        <w:t>格式提交。</w:t>
      </w:r>
    </w:p>
    <w:p w14:paraId="2157006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）商务部分：按照第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章提供的</w:t>
      </w:r>
      <w:r>
        <w:rPr>
          <w:rFonts w:hint="eastAsia" w:ascii="宋体" w:hAnsi="宋体" w:cs="宋体"/>
          <w:sz w:val="24"/>
          <w:szCs w:val="24"/>
          <w:highlight w:val="none"/>
          <w:lang w:val="en-US" w:eastAsia="zh-CN"/>
        </w:rPr>
        <w:t>投标文件</w:t>
      </w:r>
      <w:r>
        <w:rPr>
          <w:rFonts w:hint="eastAsia" w:ascii="宋体" w:hAnsi="宋体" w:cs="宋体"/>
          <w:sz w:val="24"/>
          <w:szCs w:val="24"/>
          <w:highlight w:val="none"/>
        </w:rPr>
        <w:t>格式提交。</w:t>
      </w:r>
    </w:p>
    <w:p w14:paraId="2D49650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）技术部分：服务技术描述（供货方案及保障措施；质量保证措施及方案；运输及配送方案；售后服务方案；合理化建议及售后承诺；）、招标文件技术需求部分要求提供的内容、服务偏离表等。</w:t>
      </w:r>
    </w:p>
    <w:p w14:paraId="5C94192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）投标服务技术符合招标文件规定的证明文件及投标人认为需加以说明的其他内容。</w:t>
      </w:r>
    </w:p>
    <w:p w14:paraId="4F8DA4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）投标人应将投标文件详列目录，并填写“投标文件资料清单、目录、页码”，以便阅读。</w:t>
      </w:r>
    </w:p>
    <w:p w14:paraId="27EE023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）证明投标人履约能力的文件（本须知</w:t>
      </w:r>
      <w:r>
        <w:rPr>
          <w:rFonts w:ascii="宋体" w:hAnsi="宋体" w:cs="宋体"/>
          <w:sz w:val="24"/>
          <w:szCs w:val="24"/>
          <w:highlight w:val="none"/>
        </w:rPr>
        <w:t>15</w:t>
      </w:r>
      <w:r>
        <w:rPr>
          <w:rFonts w:hint="eastAsia" w:ascii="宋体" w:hAnsi="宋体" w:cs="宋体"/>
          <w:sz w:val="24"/>
          <w:szCs w:val="24"/>
          <w:highlight w:val="none"/>
        </w:rPr>
        <w:t>条内容）</w:t>
      </w:r>
    </w:p>
    <w:p w14:paraId="602AD1BA">
      <w:pPr>
        <w:spacing w:line="360" w:lineRule="auto"/>
        <w:ind w:firstLine="482" w:firstLineChars="200"/>
        <w:rPr>
          <w:rFonts w:ascii="宋体" w:hAnsi="宋体" w:eastAsia="宋体" w:cs="宋体"/>
          <w:b/>
          <w:sz w:val="24"/>
          <w:szCs w:val="24"/>
          <w:highlight w:val="none"/>
        </w:rPr>
      </w:pPr>
      <w:r>
        <w:rPr>
          <w:rFonts w:ascii="宋体" w:hAnsi="宋体" w:eastAsia="宋体" w:cs="宋体"/>
          <w:b/>
          <w:sz w:val="24"/>
          <w:szCs w:val="24"/>
          <w:highlight w:val="none"/>
        </w:rPr>
        <w:t>12.</w:t>
      </w:r>
      <w:r>
        <w:rPr>
          <w:rFonts w:hint="eastAsia" w:ascii="宋体" w:hAnsi="宋体" w:eastAsia="宋体" w:cs="宋体"/>
          <w:b/>
          <w:sz w:val="24"/>
          <w:szCs w:val="24"/>
          <w:highlight w:val="none"/>
        </w:rPr>
        <w:t>投标文件格式</w:t>
      </w:r>
    </w:p>
    <w:p w14:paraId="483DC015">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12.1 </w:t>
      </w:r>
      <w:r>
        <w:rPr>
          <w:rFonts w:hint="eastAsia" w:ascii="宋体" w:hAnsi="宋体" w:cs="宋体"/>
          <w:sz w:val="24"/>
          <w:szCs w:val="24"/>
          <w:highlight w:val="none"/>
        </w:rPr>
        <w:t>投标人应按招标文件第</w:t>
      </w:r>
      <w:r>
        <w:rPr>
          <w:rFonts w:ascii="宋体" w:hAnsi="宋体" w:cs="宋体"/>
          <w:sz w:val="24"/>
          <w:szCs w:val="24"/>
          <w:highlight w:val="none"/>
        </w:rPr>
        <w:t>11</w:t>
      </w:r>
      <w:r>
        <w:rPr>
          <w:rFonts w:hint="eastAsia" w:ascii="宋体" w:hAnsi="宋体" w:cs="宋体"/>
          <w:sz w:val="24"/>
          <w:szCs w:val="24"/>
          <w:highlight w:val="none"/>
        </w:rPr>
        <w:t>条的内容与要求和第</w:t>
      </w:r>
      <w:r>
        <w:rPr>
          <w:rFonts w:hint="eastAsia" w:ascii="宋体" w:hAnsi="宋体" w:cs="宋体"/>
          <w:sz w:val="24"/>
          <w:szCs w:val="24"/>
          <w:highlight w:val="none"/>
          <w:lang w:val="en-US" w:eastAsia="zh-CN"/>
        </w:rPr>
        <w:t>五</w:t>
      </w:r>
      <w:r>
        <w:rPr>
          <w:rFonts w:hint="eastAsia" w:ascii="宋体" w:hAnsi="宋体" w:cs="宋体"/>
          <w:sz w:val="24"/>
          <w:szCs w:val="24"/>
          <w:highlight w:val="none"/>
        </w:rPr>
        <w:t>章提供的格式编写其投标文件，投标人不得缺少或留空任何招标文件要求填写的表格或提交的资料。</w:t>
      </w:r>
    </w:p>
    <w:p w14:paraId="038DA5A7">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12.2</w:t>
      </w:r>
      <w:r>
        <w:rPr>
          <w:rFonts w:hint="eastAsia" w:ascii="宋体" w:hAnsi="宋体" w:cs="宋体"/>
          <w:sz w:val="24"/>
          <w:szCs w:val="24"/>
          <w:highlight w:val="none"/>
        </w:rPr>
        <w:t>投标人应将投标文件按第</w:t>
      </w:r>
      <w:r>
        <w:rPr>
          <w:rFonts w:ascii="宋体" w:hAnsi="宋体" w:cs="宋体"/>
          <w:sz w:val="24"/>
          <w:szCs w:val="24"/>
          <w:highlight w:val="none"/>
        </w:rPr>
        <w:t>11</w:t>
      </w:r>
      <w:r>
        <w:rPr>
          <w:rFonts w:hint="eastAsia" w:ascii="宋体" w:hAnsi="宋体" w:cs="宋体"/>
          <w:sz w:val="24"/>
          <w:szCs w:val="24"/>
          <w:highlight w:val="none"/>
        </w:rPr>
        <w:t>条规定的顺序编排、并应编制目录、逐页标注连续页码。</w:t>
      </w:r>
    </w:p>
    <w:p w14:paraId="132F92FC">
      <w:pPr>
        <w:spacing w:line="360" w:lineRule="auto"/>
        <w:ind w:firstLine="482" w:firstLineChars="200"/>
        <w:rPr>
          <w:rFonts w:ascii="宋体" w:cs="宋体"/>
          <w:b/>
          <w:sz w:val="24"/>
          <w:szCs w:val="24"/>
          <w:highlight w:val="none"/>
        </w:rPr>
      </w:pPr>
      <w:r>
        <w:rPr>
          <w:rFonts w:ascii="宋体" w:hAnsi="宋体" w:cs="宋体"/>
          <w:b/>
          <w:sz w:val="24"/>
          <w:szCs w:val="24"/>
          <w:highlight w:val="none"/>
        </w:rPr>
        <w:t>13.</w:t>
      </w:r>
      <w:r>
        <w:rPr>
          <w:rFonts w:hint="eastAsia" w:ascii="宋体" w:hAnsi="宋体" w:cs="宋体"/>
          <w:b/>
          <w:sz w:val="24"/>
          <w:szCs w:val="24"/>
          <w:highlight w:val="none"/>
        </w:rPr>
        <w:t>投标报价</w:t>
      </w:r>
    </w:p>
    <w:p w14:paraId="370D0B20">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13.1 </w:t>
      </w:r>
      <w:r>
        <w:rPr>
          <w:rFonts w:hint="eastAsia" w:ascii="宋体" w:hAnsi="宋体" w:cs="宋体"/>
          <w:sz w:val="24"/>
          <w:szCs w:val="24"/>
          <w:highlight w:val="none"/>
        </w:rPr>
        <w:t>投标人应在投标分项报价表上标明本合同拟提供服务的单价和总价。</w:t>
      </w:r>
    </w:p>
    <w:p w14:paraId="4311F147">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13.2 </w:t>
      </w:r>
      <w:r>
        <w:rPr>
          <w:rFonts w:hint="eastAsia" w:ascii="宋体" w:hAnsi="宋体" w:cs="宋体"/>
          <w:sz w:val="24"/>
          <w:szCs w:val="24"/>
          <w:highlight w:val="none"/>
        </w:rPr>
        <w:t>投标人对每种</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只允许有一个报价，采购人不接受有任何选择的报价。</w:t>
      </w:r>
    </w:p>
    <w:p w14:paraId="0496B682">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13.3 </w:t>
      </w:r>
      <w:r>
        <w:rPr>
          <w:rFonts w:hint="eastAsia" w:ascii="宋体" w:hAnsi="宋体" w:cs="宋体"/>
          <w:sz w:val="24"/>
          <w:szCs w:val="24"/>
          <w:highlight w:val="none"/>
        </w:rPr>
        <w:t>投标人根据本须知的规定将投标价分成几部分，只是为了方便采购人或采购代理机构对投标文件进行比较，并不限制采购人以上述任何条件订立合同的权利。</w:t>
      </w:r>
    </w:p>
    <w:p w14:paraId="338D5121">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13.4 </w:t>
      </w:r>
      <w:r>
        <w:rPr>
          <w:rFonts w:hint="eastAsia" w:ascii="宋体" w:hAnsi="宋体" w:cs="宋体"/>
          <w:sz w:val="24"/>
          <w:szCs w:val="24"/>
          <w:highlight w:val="none"/>
        </w:rPr>
        <w:t>投标人所报的投标价在合同执行过程中是固定不变的，不得以任何理由予以变更。任何包含价格调整要求的投标，将被认为是非响应性投标而作无效投标处理。</w:t>
      </w:r>
    </w:p>
    <w:p w14:paraId="49906BB3">
      <w:pPr>
        <w:spacing w:line="360" w:lineRule="auto"/>
        <w:ind w:firstLine="480" w:firstLineChars="200"/>
        <w:rPr>
          <w:rFonts w:ascii="宋体" w:cs="宋体"/>
          <w:sz w:val="24"/>
          <w:szCs w:val="24"/>
          <w:highlight w:val="none"/>
        </w:rPr>
      </w:pPr>
      <w:r>
        <w:rPr>
          <w:rFonts w:ascii="宋体" w:hAnsi="宋体" w:cs="宋体"/>
          <w:sz w:val="24"/>
          <w:szCs w:val="24"/>
          <w:highlight w:val="none"/>
        </w:rPr>
        <w:t>13.5</w:t>
      </w:r>
      <w:r>
        <w:rPr>
          <w:rFonts w:hint="eastAsia" w:ascii="宋体" w:hAnsi="宋体" w:cs="宋体"/>
          <w:sz w:val="24"/>
          <w:szCs w:val="24"/>
          <w:highlight w:val="none"/>
        </w:rPr>
        <w:t>投标人不得违反《中华人民共和国反不正当竞争法》的规定，以低于成本的价格销售货物或服务，否则应对其价格构成情况做出详细说明并提供相关证明资料。</w:t>
      </w:r>
      <w:r>
        <w:rPr>
          <w:rFonts w:hint="eastAsia" w:ascii="宋体" w:hAnsi="宋体" w:cs="宋体"/>
          <w:b/>
          <w:sz w:val="24"/>
          <w:szCs w:val="24"/>
          <w:highlight w:val="none"/>
          <w:u w:val="single"/>
        </w:rPr>
        <w:t>评标委员会认为投标人的报价明显低于其他通过符合性审查投标人的报价，有可能影响产品质量或者不能诚信履约的，应当要求其在评标现场合理的时间内</w:t>
      </w:r>
      <w:r>
        <w:rPr>
          <w:rFonts w:hint="eastAsia" w:ascii="宋体" w:hAnsi="宋体" w:cs="宋体"/>
          <w:b/>
          <w:sz w:val="24"/>
          <w:szCs w:val="24"/>
          <w:highlight w:val="none"/>
          <w:u w:val="single"/>
          <w:lang w:val="en-US" w:eastAsia="zh-CN"/>
        </w:rPr>
        <w:t>在线</w:t>
      </w:r>
      <w:r>
        <w:rPr>
          <w:rFonts w:hint="eastAsia" w:ascii="宋体" w:hAnsi="宋体" w:cs="宋体"/>
          <w:b/>
          <w:sz w:val="24"/>
          <w:szCs w:val="24"/>
          <w:highlight w:val="none"/>
          <w:u w:val="single"/>
        </w:rPr>
        <w:t>提供书面说明，必要时提交相关证明材料；投标人不能证明其报价合理性的，评标委员会应当将其作为无效投标处理。</w:t>
      </w:r>
      <w:r>
        <w:rPr>
          <w:rFonts w:hint="eastAsia" w:ascii="宋体" w:hAnsi="宋体" w:cs="宋体"/>
          <w:sz w:val="24"/>
          <w:szCs w:val="24"/>
          <w:highlight w:val="none"/>
        </w:rPr>
        <w:t>投标人的澄清、说明或者补正应当采用书面形式，由其授权代表签字</w:t>
      </w:r>
      <w:r>
        <w:rPr>
          <w:rFonts w:hint="eastAsia" w:ascii="宋体" w:hAnsi="宋体" w:cs="宋体"/>
          <w:sz w:val="24"/>
          <w:szCs w:val="24"/>
          <w:highlight w:val="none"/>
          <w:lang w:val="en-US" w:eastAsia="zh-CN"/>
        </w:rPr>
        <w:t>或盖投标人公章（电子章）</w:t>
      </w:r>
      <w:r>
        <w:rPr>
          <w:rFonts w:hint="eastAsia" w:ascii="宋体" w:hAnsi="宋体" w:cs="宋体"/>
          <w:sz w:val="24"/>
          <w:szCs w:val="24"/>
          <w:highlight w:val="none"/>
        </w:rPr>
        <w:t>，并不得超出投标文件的范围或者改变投标文件的实质性内容，书面承诺为其投标文件的组成部分。</w:t>
      </w:r>
    </w:p>
    <w:p w14:paraId="386A5DE5">
      <w:pPr>
        <w:spacing w:line="360" w:lineRule="auto"/>
        <w:ind w:firstLine="480" w:firstLineChars="200"/>
        <w:rPr>
          <w:rFonts w:ascii="宋体" w:cs="宋体"/>
          <w:sz w:val="24"/>
          <w:szCs w:val="24"/>
          <w:highlight w:val="none"/>
        </w:rPr>
      </w:pPr>
      <w:r>
        <w:rPr>
          <w:rFonts w:ascii="宋体" w:hAnsi="宋体" w:cs="宋体"/>
          <w:sz w:val="24"/>
          <w:szCs w:val="24"/>
          <w:highlight w:val="none"/>
        </w:rPr>
        <w:t>13.6</w:t>
      </w:r>
      <w:r>
        <w:rPr>
          <w:rFonts w:hint="eastAsia" w:ascii="宋体" w:hAnsi="宋体" w:cs="宋体"/>
          <w:sz w:val="24"/>
          <w:szCs w:val="24"/>
          <w:highlight w:val="none"/>
        </w:rPr>
        <w:t>对于投标报价不全，应当提交的报价而在标书中没有提交的投标人，将作无效投标处理。</w:t>
      </w:r>
    </w:p>
    <w:p w14:paraId="5C9247F3">
      <w:pPr>
        <w:spacing w:line="360" w:lineRule="auto"/>
        <w:ind w:firstLine="482" w:firstLineChars="200"/>
        <w:rPr>
          <w:rFonts w:ascii="宋体" w:cs="宋体"/>
          <w:b/>
          <w:sz w:val="24"/>
          <w:szCs w:val="24"/>
          <w:highlight w:val="none"/>
        </w:rPr>
      </w:pPr>
      <w:r>
        <w:rPr>
          <w:rFonts w:ascii="宋体" w:hAnsi="宋体" w:cs="宋体"/>
          <w:b/>
          <w:sz w:val="24"/>
          <w:szCs w:val="24"/>
          <w:highlight w:val="none"/>
        </w:rPr>
        <w:t>14.</w:t>
      </w:r>
      <w:r>
        <w:rPr>
          <w:rFonts w:hint="eastAsia" w:ascii="宋体" w:hAnsi="宋体" w:cs="宋体"/>
          <w:b/>
          <w:sz w:val="24"/>
          <w:szCs w:val="24"/>
          <w:highlight w:val="none"/>
        </w:rPr>
        <w:t>投标货币</w:t>
      </w:r>
    </w:p>
    <w:p w14:paraId="0A0A837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14.1 </w:t>
      </w:r>
      <w:r>
        <w:rPr>
          <w:rFonts w:hint="eastAsia" w:ascii="宋体" w:hAnsi="宋体" w:cs="宋体"/>
          <w:sz w:val="24"/>
          <w:szCs w:val="24"/>
          <w:highlight w:val="none"/>
        </w:rPr>
        <w:t>投标人提供的货物和服务一律用人民币报价。</w:t>
      </w:r>
    </w:p>
    <w:p w14:paraId="0534E77A">
      <w:pPr>
        <w:spacing w:line="360" w:lineRule="auto"/>
        <w:ind w:firstLine="482" w:firstLineChars="200"/>
        <w:rPr>
          <w:rFonts w:ascii="宋体" w:cs="宋体"/>
          <w:b/>
          <w:sz w:val="24"/>
          <w:szCs w:val="24"/>
          <w:highlight w:val="none"/>
        </w:rPr>
      </w:pPr>
      <w:r>
        <w:rPr>
          <w:rFonts w:ascii="宋体" w:hAnsi="宋体" w:cs="宋体"/>
          <w:b/>
          <w:sz w:val="24"/>
          <w:szCs w:val="24"/>
          <w:highlight w:val="none"/>
        </w:rPr>
        <w:t>15.</w:t>
      </w:r>
      <w:r>
        <w:rPr>
          <w:rFonts w:hint="eastAsia" w:ascii="宋体" w:hAnsi="宋体" w:cs="宋体"/>
          <w:b/>
          <w:sz w:val="24"/>
          <w:szCs w:val="24"/>
          <w:highlight w:val="none"/>
        </w:rPr>
        <w:t>证明投标人合格的资格证明材料</w:t>
      </w:r>
    </w:p>
    <w:p w14:paraId="354A9CFC">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15.1 </w:t>
      </w:r>
      <w:r>
        <w:rPr>
          <w:rFonts w:hint="eastAsia" w:ascii="宋体" w:hAnsi="宋体" w:cs="宋体"/>
          <w:sz w:val="24"/>
          <w:szCs w:val="24"/>
          <w:highlight w:val="none"/>
        </w:rPr>
        <w:t>投标人应提交证明其有资格参加投标和中标后有能力履行合同的材料，并作为其投标文件的一部分。</w:t>
      </w:r>
    </w:p>
    <w:p w14:paraId="3C91764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15.2 </w:t>
      </w:r>
      <w:r>
        <w:rPr>
          <w:rFonts w:hint="eastAsia" w:ascii="宋体" w:hAnsi="宋体" w:cs="宋体"/>
          <w:sz w:val="24"/>
          <w:szCs w:val="24"/>
          <w:highlight w:val="none"/>
        </w:rPr>
        <w:t>投标人提交的资格证明材料应符合第七章投标文件格式“一、投标文件</w:t>
      </w:r>
      <w:r>
        <w:rPr>
          <w:rFonts w:ascii="宋体" w:cs="宋体"/>
          <w:sz w:val="24"/>
          <w:szCs w:val="24"/>
          <w:highlight w:val="none"/>
        </w:rPr>
        <w:t>-</w:t>
      </w:r>
      <w:r>
        <w:rPr>
          <w:rFonts w:hint="eastAsia" w:ascii="宋体" w:hAnsi="宋体" w:cs="宋体"/>
          <w:sz w:val="24"/>
          <w:szCs w:val="24"/>
          <w:highlight w:val="none"/>
        </w:rPr>
        <w:t>资格证明材料”的要求。</w:t>
      </w:r>
    </w:p>
    <w:p w14:paraId="28535B38">
      <w:pPr>
        <w:spacing w:line="360" w:lineRule="auto"/>
        <w:ind w:firstLine="480" w:firstLineChars="200"/>
        <w:rPr>
          <w:rFonts w:ascii="宋体" w:cs="宋体"/>
          <w:sz w:val="24"/>
          <w:szCs w:val="24"/>
          <w:highlight w:val="none"/>
        </w:rPr>
      </w:pPr>
      <w:r>
        <w:rPr>
          <w:rFonts w:ascii="宋体" w:hAnsi="宋体" w:cs="宋体"/>
          <w:sz w:val="24"/>
          <w:szCs w:val="24"/>
          <w:highlight w:val="none"/>
        </w:rPr>
        <w:t>15.3</w:t>
      </w:r>
      <w:r>
        <w:rPr>
          <w:rFonts w:hint="eastAsia" w:ascii="宋体" w:hAnsi="宋体" w:cs="宋体"/>
          <w:sz w:val="24"/>
          <w:szCs w:val="24"/>
          <w:highlight w:val="none"/>
        </w:rPr>
        <w:t>投标人在收到中标通知书前后或签署合同前后对于采购人或采购代理机构提出的质疑能够在</w:t>
      </w:r>
      <w:r>
        <w:rPr>
          <w:rFonts w:ascii="宋体" w:hAnsi="宋体" w:cs="宋体"/>
          <w:sz w:val="24"/>
          <w:szCs w:val="24"/>
          <w:highlight w:val="none"/>
        </w:rPr>
        <w:t>3</w:t>
      </w:r>
      <w:r>
        <w:rPr>
          <w:rFonts w:hint="eastAsia" w:ascii="宋体" w:hAnsi="宋体" w:cs="宋体"/>
          <w:sz w:val="24"/>
          <w:szCs w:val="24"/>
          <w:highlight w:val="none"/>
        </w:rPr>
        <w:t>个工作日内给予满意合理的解释。</w:t>
      </w:r>
    </w:p>
    <w:p w14:paraId="2874616E">
      <w:pPr>
        <w:spacing w:line="360" w:lineRule="auto"/>
        <w:ind w:firstLine="482" w:firstLineChars="200"/>
        <w:rPr>
          <w:rFonts w:ascii="宋体" w:cs="宋体"/>
          <w:b/>
          <w:sz w:val="24"/>
          <w:szCs w:val="24"/>
          <w:highlight w:val="none"/>
        </w:rPr>
      </w:pPr>
      <w:r>
        <w:rPr>
          <w:rFonts w:ascii="宋体" w:hAnsi="宋体" w:cs="宋体"/>
          <w:b/>
          <w:sz w:val="24"/>
          <w:szCs w:val="24"/>
          <w:highlight w:val="none"/>
        </w:rPr>
        <w:t>16.</w:t>
      </w:r>
      <w:r>
        <w:rPr>
          <w:rFonts w:hint="eastAsia" w:ascii="宋体" w:hAnsi="宋体" w:cs="宋体"/>
          <w:b/>
          <w:sz w:val="24"/>
          <w:szCs w:val="24"/>
          <w:highlight w:val="none"/>
        </w:rPr>
        <w:t>证明货物或服务的合格性和符合招标文件规定的文件</w:t>
      </w:r>
    </w:p>
    <w:p w14:paraId="0B84AE1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16.1 </w:t>
      </w:r>
      <w:r>
        <w:rPr>
          <w:rFonts w:hint="eastAsia" w:ascii="宋体" w:hAnsi="宋体" w:cs="宋体"/>
          <w:sz w:val="24"/>
          <w:szCs w:val="24"/>
          <w:highlight w:val="none"/>
        </w:rPr>
        <w:t>投标人应提交证明文件证明其拟投标的</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的合格性符合招标文件规定。该证明文件作为投标文件的一部分。</w:t>
      </w:r>
    </w:p>
    <w:p w14:paraId="4A43FEC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16.2 </w:t>
      </w:r>
      <w:r>
        <w:rPr>
          <w:rFonts w:hint="eastAsia" w:ascii="宋体" w:hAnsi="宋体" w:cs="宋体"/>
          <w:sz w:val="24"/>
          <w:szCs w:val="24"/>
          <w:highlight w:val="none"/>
        </w:rPr>
        <w:t>证明货物和服务与招标文件的要求一致的文件，可以是文字资料、图纸和数据，它包括但不限于以下内容：</w:t>
      </w:r>
    </w:p>
    <w:p w14:paraId="3D82FC0A">
      <w:pPr>
        <w:pStyle w:val="9"/>
        <w:ind w:firstLine="420" w:firstLineChars="200"/>
        <w:rPr>
          <w:highlight w:val="none"/>
        </w:rPr>
      </w:pPr>
      <w:r>
        <w:rPr>
          <w:rFonts w:hint="eastAsia"/>
          <w:highlight w:val="none"/>
        </w:rPr>
        <w:t>（1）投标人所拥有相应的资质证书；</w:t>
      </w:r>
    </w:p>
    <w:p w14:paraId="70769024">
      <w:pPr>
        <w:pStyle w:val="9"/>
        <w:ind w:firstLine="420" w:firstLineChars="200"/>
        <w:rPr>
          <w:highlight w:val="none"/>
        </w:rPr>
      </w:pPr>
      <w:r>
        <w:rPr>
          <w:rFonts w:hint="eastAsia"/>
          <w:highlight w:val="none"/>
        </w:rPr>
        <w:t>（2）投标人所拥有具有相应专业技术能力的人员证书；</w:t>
      </w:r>
    </w:p>
    <w:p w14:paraId="34AC19C5">
      <w:pPr>
        <w:pStyle w:val="9"/>
        <w:ind w:firstLine="420" w:firstLineChars="200"/>
        <w:rPr>
          <w:highlight w:val="none"/>
        </w:rPr>
      </w:pPr>
      <w:r>
        <w:rPr>
          <w:rFonts w:hint="eastAsia"/>
          <w:highlight w:val="none"/>
        </w:rPr>
        <w:t>（3）相关设备的购置发票；</w:t>
      </w:r>
    </w:p>
    <w:p w14:paraId="1A95D6B5">
      <w:pPr>
        <w:pStyle w:val="9"/>
        <w:ind w:firstLine="420" w:firstLineChars="200"/>
        <w:rPr>
          <w:highlight w:val="none"/>
        </w:rPr>
      </w:pPr>
      <w:r>
        <w:rPr>
          <w:rFonts w:hint="eastAsia"/>
          <w:highlight w:val="none"/>
        </w:rPr>
        <w:t>（4）对照招标文件技术服务需求要求，逐条说明所提供服务已对招标文件的技术服务需求、内容与要求做出了实质性的响应、技术服务需求与要求条文的偏差和例外（按第七章服务需求偏离表格式填写）。</w:t>
      </w:r>
    </w:p>
    <w:p w14:paraId="0A510E1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16.3 </w:t>
      </w:r>
      <w:r>
        <w:rPr>
          <w:rFonts w:hint="eastAsia" w:ascii="宋体" w:hAnsi="宋体" w:cs="宋体"/>
          <w:sz w:val="24"/>
          <w:szCs w:val="24"/>
          <w:highlight w:val="none"/>
        </w:rPr>
        <w:t>投标人在阐述上述第</w:t>
      </w:r>
      <w:r>
        <w:rPr>
          <w:rFonts w:ascii="宋体" w:hAnsi="宋体" w:cs="宋体"/>
          <w:sz w:val="24"/>
          <w:szCs w:val="24"/>
          <w:highlight w:val="none"/>
        </w:rPr>
        <w:t>16.2</w:t>
      </w:r>
      <w:r>
        <w:rPr>
          <w:rFonts w:hint="eastAsia" w:ascii="宋体" w:hAnsi="宋体" w:cs="宋体"/>
          <w:sz w:val="24"/>
          <w:szCs w:val="24"/>
          <w:highlight w:val="none"/>
        </w:rPr>
        <w:t>时应注意招标文件技术部分中“采购需求”指出的工艺、材料和设备的标准以及参照的牌号或分类号仅起说明作用，并没有任何限制性。投标人在投标中可以选用替代标准、牌号或分类号，但这些替代要实质上相当于</w:t>
      </w:r>
      <w:r>
        <w:rPr>
          <w:rFonts w:hint="eastAsia" w:ascii="宋体" w:hAnsi="宋体" w:cs="宋体"/>
          <w:color w:val="000000"/>
          <w:sz w:val="24"/>
          <w:szCs w:val="24"/>
          <w:highlight w:val="none"/>
        </w:rPr>
        <w:t>或优于</w:t>
      </w:r>
      <w:r>
        <w:rPr>
          <w:rFonts w:hint="eastAsia" w:ascii="宋体" w:hAnsi="宋体" w:cs="宋体"/>
          <w:sz w:val="24"/>
          <w:szCs w:val="24"/>
          <w:highlight w:val="none"/>
        </w:rPr>
        <w:t>技术规格（服务需求）的要求。</w:t>
      </w:r>
    </w:p>
    <w:p w14:paraId="6B3C451B">
      <w:pPr>
        <w:spacing w:line="360" w:lineRule="auto"/>
        <w:ind w:firstLine="482" w:firstLineChars="200"/>
        <w:rPr>
          <w:rFonts w:ascii="宋体" w:cs="宋体"/>
          <w:b/>
          <w:sz w:val="24"/>
          <w:szCs w:val="24"/>
          <w:highlight w:val="none"/>
        </w:rPr>
      </w:pPr>
      <w:r>
        <w:rPr>
          <w:rFonts w:ascii="宋体" w:hAnsi="宋体" w:cs="宋体"/>
          <w:b/>
          <w:sz w:val="24"/>
          <w:szCs w:val="24"/>
          <w:highlight w:val="none"/>
        </w:rPr>
        <w:t>17.</w:t>
      </w:r>
      <w:r>
        <w:rPr>
          <w:rFonts w:hint="eastAsia" w:ascii="宋体" w:hAnsi="宋体" w:cs="宋体"/>
          <w:b/>
          <w:sz w:val="24"/>
          <w:szCs w:val="24"/>
          <w:highlight w:val="none"/>
        </w:rPr>
        <w:t>投标保证金与中标服务费</w:t>
      </w:r>
    </w:p>
    <w:p w14:paraId="2722F9F3">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17.1 </w:t>
      </w:r>
      <w:r>
        <w:rPr>
          <w:rFonts w:hint="eastAsia" w:ascii="宋体" w:hAnsi="宋体" w:cs="宋体"/>
          <w:sz w:val="24"/>
          <w:szCs w:val="24"/>
          <w:highlight w:val="none"/>
        </w:rPr>
        <w:t>投标人应提交“投标人须知前附表”规定数额的投标保证金，并作为其投标的一部分，投标保证金的接收单位为</w:t>
      </w:r>
      <w:r>
        <w:rPr>
          <w:rFonts w:hint="eastAsia" w:ascii="宋体" w:hAnsi="宋体" w:cs="宋体"/>
          <w:sz w:val="24"/>
          <w:szCs w:val="24"/>
          <w:highlight w:val="none"/>
          <w:lang w:eastAsia="zh-CN"/>
        </w:rPr>
        <w:t>新疆同创博远项目管理咨询有限责任公司</w:t>
      </w:r>
      <w:r>
        <w:rPr>
          <w:rFonts w:hint="eastAsia" w:ascii="宋体" w:hAnsi="宋体" w:cs="宋体"/>
          <w:sz w:val="24"/>
          <w:szCs w:val="24"/>
          <w:highlight w:val="none"/>
        </w:rPr>
        <w:t>，依据《中华人民共和国政府法采购实施》第三十三条相关规定，投标保证金不得超过采购项目预算金额的</w:t>
      </w:r>
      <w:r>
        <w:rPr>
          <w:rFonts w:ascii="宋体" w:hAnsi="宋体" w:cs="宋体"/>
          <w:sz w:val="24"/>
          <w:szCs w:val="24"/>
          <w:highlight w:val="none"/>
        </w:rPr>
        <w:t>2%</w:t>
      </w:r>
      <w:r>
        <w:rPr>
          <w:rFonts w:hint="eastAsia" w:ascii="宋体" w:hAnsi="宋体" w:cs="宋体"/>
          <w:sz w:val="24"/>
          <w:szCs w:val="24"/>
          <w:highlight w:val="none"/>
        </w:rPr>
        <w:t>。</w:t>
      </w:r>
    </w:p>
    <w:p w14:paraId="0EC9D5CB">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17.2 </w:t>
      </w:r>
      <w:r>
        <w:rPr>
          <w:rFonts w:hint="eastAsia" w:ascii="宋体" w:hAnsi="宋体" w:cs="宋体"/>
          <w:sz w:val="24"/>
          <w:szCs w:val="24"/>
          <w:highlight w:val="none"/>
        </w:rPr>
        <w:t>投标保证金的货币为人民币，并采用下列任何一种形式：</w:t>
      </w:r>
    </w:p>
    <w:p w14:paraId="05E1681C">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电汇；</w:t>
      </w:r>
      <w:r>
        <w:rPr>
          <w:rFonts w:ascii="宋体" w:hAnsi="宋体" w:cs="宋体"/>
          <w:sz w:val="24"/>
          <w:szCs w:val="24"/>
          <w:highlight w:val="none"/>
        </w:rPr>
        <w:t xml:space="preserve"> </w:t>
      </w:r>
    </w:p>
    <w:p w14:paraId="00CB4D1B">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支票（须提前一个工作日）；</w:t>
      </w:r>
      <w:r>
        <w:rPr>
          <w:rFonts w:ascii="宋体" w:hAnsi="宋体" w:cs="宋体"/>
          <w:sz w:val="24"/>
          <w:szCs w:val="24"/>
          <w:highlight w:val="none"/>
        </w:rPr>
        <w:t xml:space="preserve"> </w:t>
      </w:r>
    </w:p>
    <w:p w14:paraId="650187C7">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银行汇票；</w:t>
      </w:r>
    </w:p>
    <w:p w14:paraId="4BE89694">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本票；</w:t>
      </w:r>
    </w:p>
    <w:p w14:paraId="5FA07373">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金融机构、担保机构出具的保函。</w:t>
      </w:r>
    </w:p>
    <w:p w14:paraId="1CDE4C17">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17.3 </w:t>
      </w:r>
      <w:r>
        <w:rPr>
          <w:rFonts w:hint="eastAsia" w:ascii="宋体" w:hAnsi="宋体" w:cs="宋体"/>
          <w:sz w:val="24"/>
          <w:szCs w:val="24"/>
          <w:highlight w:val="none"/>
        </w:rPr>
        <w:t>凡没有根据本须知第</w:t>
      </w:r>
      <w:r>
        <w:rPr>
          <w:rFonts w:ascii="宋体" w:hAnsi="宋体" w:cs="宋体"/>
          <w:sz w:val="24"/>
          <w:szCs w:val="24"/>
          <w:highlight w:val="none"/>
        </w:rPr>
        <w:t>17.1</w:t>
      </w:r>
      <w:r>
        <w:rPr>
          <w:rFonts w:hint="eastAsia" w:ascii="宋体" w:hAnsi="宋体" w:cs="宋体"/>
          <w:sz w:val="24"/>
          <w:szCs w:val="24"/>
          <w:highlight w:val="none"/>
        </w:rPr>
        <w:t>和</w:t>
      </w:r>
      <w:r>
        <w:rPr>
          <w:rFonts w:ascii="宋体" w:hAnsi="宋体" w:cs="宋体"/>
          <w:sz w:val="24"/>
          <w:szCs w:val="24"/>
          <w:highlight w:val="none"/>
        </w:rPr>
        <w:t>17.2</w:t>
      </w:r>
      <w:r>
        <w:rPr>
          <w:rFonts w:hint="eastAsia" w:ascii="宋体" w:hAnsi="宋体" w:cs="宋体"/>
          <w:sz w:val="24"/>
          <w:szCs w:val="24"/>
          <w:highlight w:val="none"/>
        </w:rPr>
        <w:t>条的规定随附投标保证金的投标，投标无效。投标人提交的投标保证金，将以转账形式予以退回。请各投标人在中标公告公布之后将单位退保证金公账户信息发送电子邮件至采购代理机构指定邮箱，如未发送，保证金逾期未退还将由投标人承担。</w:t>
      </w:r>
    </w:p>
    <w:p w14:paraId="77BAC3F6">
      <w:pPr>
        <w:spacing w:line="360" w:lineRule="auto"/>
        <w:ind w:firstLine="480" w:firstLineChars="200"/>
        <w:rPr>
          <w:rFonts w:ascii="宋体" w:cs="宋体"/>
          <w:sz w:val="24"/>
          <w:highlight w:val="none"/>
        </w:rPr>
      </w:pPr>
      <w:r>
        <w:rPr>
          <w:rFonts w:ascii="宋体" w:hAnsi="宋体" w:cs="宋体"/>
          <w:sz w:val="24"/>
          <w:szCs w:val="24"/>
          <w:highlight w:val="none"/>
        </w:rPr>
        <w:t xml:space="preserve">17.4 </w:t>
      </w:r>
      <w:r>
        <w:rPr>
          <w:rFonts w:hint="eastAsia" w:ascii="宋体" w:hAnsi="宋体" w:cs="宋体"/>
          <w:sz w:val="24"/>
          <w:szCs w:val="24"/>
          <w:highlight w:val="none"/>
        </w:rPr>
        <w:t>未中标投标人的投标保证金</w:t>
      </w:r>
      <w:r>
        <w:rPr>
          <w:rFonts w:ascii="宋体" w:hAnsi="宋体" w:cs="宋体"/>
          <w:sz w:val="24"/>
          <w:szCs w:val="24"/>
          <w:highlight w:val="none"/>
        </w:rPr>
        <w:t xml:space="preserve">, </w:t>
      </w:r>
      <w:r>
        <w:rPr>
          <w:rFonts w:hint="eastAsia" w:ascii="宋体" w:hAnsi="宋体" w:cs="宋体"/>
          <w:sz w:val="24"/>
          <w:highlight w:val="none"/>
        </w:rPr>
        <w:t>自中标通知书发出之日起</w:t>
      </w:r>
      <w:r>
        <w:rPr>
          <w:rFonts w:ascii="宋体" w:hAnsi="宋体" w:cs="宋体"/>
          <w:sz w:val="24"/>
          <w:highlight w:val="none"/>
        </w:rPr>
        <w:t>5</w:t>
      </w:r>
      <w:r>
        <w:rPr>
          <w:rFonts w:hint="eastAsia" w:ascii="宋体" w:hAnsi="宋体" w:cs="宋体"/>
          <w:sz w:val="24"/>
          <w:highlight w:val="none"/>
        </w:rPr>
        <w:t>个工作日内退还投标人。</w:t>
      </w:r>
    </w:p>
    <w:p w14:paraId="1BC26A7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17.5 </w:t>
      </w:r>
      <w:r>
        <w:rPr>
          <w:rFonts w:hint="eastAsia" w:ascii="宋体" w:hAnsi="宋体" w:cs="宋体"/>
          <w:sz w:val="24"/>
          <w:szCs w:val="24"/>
          <w:highlight w:val="none"/>
        </w:rPr>
        <w:t>中标投标人的投标保证金，自政府采购合同签订之日起</w:t>
      </w:r>
      <w:r>
        <w:rPr>
          <w:rFonts w:ascii="宋体" w:hAnsi="宋体" w:cs="宋体"/>
          <w:sz w:val="24"/>
          <w:szCs w:val="24"/>
          <w:highlight w:val="none"/>
        </w:rPr>
        <w:t>5</w:t>
      </w:r>
      <w:r>
        <w:rPr>
          <w:rFonts w:hint="eastAsia" w:ascii="宋体" w:hAnsi="宋体" w:cs="宋体"/>
          <w:sz w:val="24"/>
          <w:szCs w:val="24"/>
          <w:highlight w:val="none"/>
        </w:rPr>
        <w:t>个工作日内退还。</w:t>
      </w:r>
    </w:p>
    <w:p w14:paraId="606BED7C">
      <w:pPr>
        <w:numPr>
          <w:ilvl w:val="1"/>
          <w:numId w:val="0"/>
        </w:numPr>
        <w:spacing w:line="360" w:lineRule="auto"/>
        <w:ind w:left="960" w:leftChars="0" w:hanging="480" w:firstLineChars="0"/>
        <w:rPr>
          <w:rFonts w:ascii="宋体" w:cs="宋体"/>
          <w:sz w:val="24"/>
          <w:szCs w:val="24"/>
          <w:highlight w:val="none"/>
        </w:rPr>
      </w:pPr>
      <w:r>
        <w:rPr>
          <w:rFonts w:hint="default" w:ascii="宋体" w:hAnsi="Times New Roman" w:eastAsia="宋体" w:cs="Times New Roman"/>
          <w:kern w:val="2"/>
          <w:sz w:val="24"/>
          <w:szCs w:val="24"/>
          <w:lang w:val="en-US" w:eastAsia="zh-CN" w:bidi="ar-SA"/>
        </w:rPr>
        <w:t>17.6</w:t>
      </w:r>
      <w:r>
        <w:rPr>
          <w:rFonts w:hint="eastAsia" w:ascii="宋体" w:hAnsi="宋体" w:cs="宋体"/>
          <w:sz w:val="24"/>
          <w:szCs w:val="24"/>
          <w:highlight w:val="none"/>
        </w:rPr>
        <w:t>下列任何情况发生时，投标保证金将不予退还：</w:t>
      </w:r>
    </w:p>
    <w:p w14:paraId="0D1F2F31">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）投标人在招标文件中规定的投标有效期内撤回其投标；</w:t>
      </w:r>
    </w:p>
    <w:p w14:paraId="780E9C22">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）投标人行贿采购人或采购代理机构或评标专家或试图影响招标结果的行为；</w:t>
      </w:r>
    </w:p>
    <w:p w14:paraId="17DB509E">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）中标人在规定期限内未能根据本须知第</w:t>
      </w:r>
      <w:r>
        <w:rPr>
          <w:rFonts w:ascii="宋体" w:hAnsi="宋体" w:cs="宋体"/>
          <w:sz w:val="24"/>
          <w:szCs w:val="24"/>
          <w:highlight w:val="none"/>
        </w:rPr>
        <w:t>31</w:t>
      </w:r>
      <w:r>
        <w:rPr>
          <w:rFonts w:hint="eastAsia" w:ascii="宋体" w:hAnsi="宋体" w:cs="宋体"/>
          <w:sz w:val="24"/>
          <w:szCs w:val="24"/>
          <w:highlight w:val="none"/>
        </w:rPr>
        <w:t>条规定签订合同；</w:t>
      </w:r>
    </w:p>
    <w:p w14:paraId="5D7D6379">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）投标人在提交投标文件时或答复质疑及澄清时提供虚假或伪造的证明材料及数据；</w:t>
      </w:r>
    </w:p>
    <w:p w14:paraId="72D3E13B">
      <w:pPr>
        <w:spacing w:line="360" w:lineRule="auto"/>
        <w:ind w:left="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法律、行政法规和招标文件规定的其他情况。</w:t>
      </w:r>
    </w:p>
    <w:p w14:paraId="63BC23F3">
      <w:pPr>
        <w:pStyle w:val="9"/>
        <w:ind w:leftChars="200"/>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17.7其他注意事项：</w:t>
      </w:r>
    </w:p>
    <w:p w14:paraId="39DF350D">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 xml:space="preserve">1.入账方式缴纳的保证金以保证金实际到达采购代理机构账户时间为准； </w:t>
      </w:r>
    </w:p>
    <w:p w14:paraId="00FF6C3F">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 xml:space="preserve">以支票、汇票、本票或者金融机构、担保机构出具的保函、电汇、网银转账等非现金形式提交保证金的注意事项如下： </w:t>
      </w:r>
    </w:p>
    <w:p w14:paraId="6A1858DB">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（1）保证金单位名称必须与</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登记的单位名称一致,不得以</w:t>
      </w:r>
      <w:r>
        <w:rPr>
          <w:rFonts w:hint="eastAsia" w:ascii="宋体" w:hAnsi="宋体" w:cs="宋体"/>
          <w:sz w:val="24"/>
          <w:szCs w:val="24"/>
          <w:highlight w:val="none"/>
          <w:lang w:val="en-US" w:eastAsia="zh-CN"/>
        </w:rPr>
        <w:t>其</w:t>
      </w:r>
      <w:r>
        <w:rPr>
          <w:rFonts w:hint="default" w:ascii="宋体" w:hAnsi="宋体" w:cs="宋体"/>
          <w:sz w:val="24"/>
          <w:szCs w:val="24"/>
          <w:highlight w:val="none"/>
          <w:lang w:val="en-US" w:eastAsia="zh-CN"/>
        </w:rPr>
        <w:t>分公司、办事处或其或其他机构名义交纳,否则其投标将被拒绝。</w:t>
      </w:r>
      <w:r>
        <w:rPr>
          <w:rFonts w:hint="eastAsia" w:ascii="宋体" w:hAnsi="宋体" w:cs="宋体"/>
          <w:sz w:val="24"/>
          <w:szCs w:val="24"/>
          <w:highlight w:val="none"/>
          <w:lang w:val="en-US" w:eastAsia="zh-CN"/>
        </w:rPr>
        <w:t>（以</w:t>
      </w:r>
      <w:r>
        <w:rPr>
          <w:rFonts w:hint="default" w:ascii="宋体" w:hAnsi="宋体" w:cs="宋体"/>
          <w:sz w:val="24"/>
          <w:szCs w:val="24"/>
          <w:highlight w:val="none"/>
          <w:lang w:val="en-US" w:eastAsia="zh-CN"/>
        </w:rPr>
        <w:t>分公司、办事处或其或其他机构</w:t>
      </w:r>
      <w:r>
        <w:rPr>
          <w:rFonts w:hint="eastAsia" w:ascii="宋体" w:hAnsi="宋体" w:cs="宋体"/>
          <w:sz w:val="24"/>
          <w:szCs w:val="24"/>
          <w:highlight w:val="none"/>
          <w:lang w:val="en-US" w:eastAsia="zh-CN"/>
        </w:rPr>
        <w:t>登记领取文件的除外）</w:t>
      </w:r>
    </w:p>
    <w:p w14:paraId="14A5D4FB">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须在投标截止时间前由投标单位账户一次性汇入采购文件指定帐号,</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须自行评估因异地、跨行、公休日等因素造成的保证金到账延迟风险,并承担相应责任。</w:t>
      </w:r>
    </w:p>
    <w:p w14:paraId="33D52975">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（3）</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请自行查询是否到账,</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以网银转账、电汇汇款方式缴纳保证金的须从供应商账户转出,请备注项目名称或项目编号。</w:t>
      </w:r>
    </w:p>
    <w:p w14:paraId="780A3258">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（4）采用电子保函形式</w:t>
      </w:r>
      <w:r>
        <w:rPr>
          <w:rFonts w:hint="eastAsia" w:ascii="宋体" w:hAnsi="宋体" w:cs="宋体"/>
          <w:sz w:val="24"/>
          <w:szCs w:val="24"/>
          <w:highlight w:val="none"/>
          <w:lang w:val="en-US" w:eastAsia="zh-CN"/>
        </w:rPr>
        <w:t>缴纳的请自行至新疆政府采购网（政采云平台）电子保函平台进行办理。投标人在办理电子保函过程中</w:t>
      </w:r>
    </w:p>
    <w:p w14:paraId="421ACC8C">
      <w:pPr>
        <w:spacing w:line="360" w:lineRule="auto"/>
        <w:ind w:firstLine="482" w:firstLineChars="200"/>
        <w:rPr>
          <w:rFonts w:ascii="宋体" w:cs="宋体"/>
          <w:b/>
          <w:kern w:val="0"/>
          <w:sz w:val="24"/>
          <w:szCs w:val="24"/>
          <w:highlight w:val="none"/>
          <w:lang w:val="zh-CN"/>
        </w:rPr>
      </w:pPr>
      <w:r>
        <w:rPr>
          <w:rFonts w:ascii="宋体" w:hAnsi="宋体" w:cs="宋体"/>
          <w:b/>
          <w:color w:val="000000"/>
          <w:sz w:val="24"/>
          <w:szCs w:val="24"/>
          <w:highlight w:val="none"/>
        </w:rPr>
        <w:t>1</w:t>
      </w:r>
      <w:r>
        <w:rPr>
          <w:rFonts w:ascii="宋体" w:hAnsi="宋体" w:cs="宋体"/>
          <w:b/>
          <w:kern w:val="0"/>
          <w:sz w:val="24"/>
          <w:szCs w:val="24"/>
          <w:highlight w:val="none"/>
          <w:lang w:val="zh-CN"/>
        </w:rPr>
        <w:t xml:space="preserve">7.7 </w:t>
      </w:r>
      <w:r>
        <w:rPr>
          <w:rFonts w:hint="eastAsia" w:ascii="宋体" w:hAnsi="宋体" w:cs="宋体"/>
          <w:b/>
          <w:kern w:val="0"/>
          <w:sz w:val="24"/>
          <w:szCs w:val="24"/>
          <w:highlight w:val="none"/>
          <w:lang w:val="zh-CN"/>
        </w:rPr>
        <w:t>中标服务费</w:t>
      </w:r>
    </w:p>
    <w:p w14:paraId="70A7B864">
      <w:pPr>
        <w:spacing w:line="360" w:lineRule="auto"/>
        <w:ind w:firstLine="482" w:firstLineChars="200"/>
        <w:rPr>
          <w:rFonts w:ascii="宋体" w:cs="宋体"/>
          <w:b/>
          <w:sz w:val="24"/>
          <w:szCs w:val="24"/>
          <w:highlight w:val="none"/>
        </w:rPr>
      </w:pPr>
      <w:r>
        <w:rPr>
          <w:rFonts w:ascii="宋体" w:hAnsi="宋体" w:cs="宋体"/>
          <w:b/>
          <w:kern w:val="0"/>
          <w:sz w:val="24"/>
          <w:szCs w:val="24"/>
          <w:highlight w:val="none"/>
          <w:lang w:val="zh-CN"/>
        </w:rPr>
        <w:t>17.7.1</w:t>
      </w:r>
      <w:r>
        <w:rPr>
          <w:rFonts w:hint="eastAsia" w:ascii="宋体" w:hAnsi="宋体" w:cs="宋体"/>
          <w:b/>
          <w:kern w:val="0"/>
          <w:sz w:val="24"/>
          <w:szCs w:val="24"/>
          <w:highlight w:val="none"/>
          <w:lang w:val="zh-CN"/>
        </w:rPr>
        <w:t>中标人应</w:t>
      </w:r>
      <w:r>
        <w:rPr>
          <w:rFonts w:hint="eastAsia" w:ascii="宋体" w:hAnsi="宋体" w:cs="宋体"/>
          <w:b/>
          <w:sz w:val="24"/>
          <w:szCs w:val="24"/>
          <w:highlight w:val="none"/>
        </w:rPr>
        <w:t>在领取中标通知书时向采购代理机构交纳中标服务费。</w:t>
      </w:r>
    </w:p>
    <w:p w14:paraId="131E55F5">
      <w:pPr>
        <w:spacing w:line="360" w:lineRule="auto"/>
        <w:ind w:firstLine="482" w:firstLineChars="200"/>
        <w:rPr>
          <w:rFonts w:ascii="宋体" w:cs="宋体"/>
          <w:b/>
          <w:sz w:val="24"/>
          <w:szCs w:val="24"/>
          <w:highlight w:val="none"/>
        </w:rPr>
      </w:pPr>
      <w:r>
        <w:rPr>
          <w:rFonts w:ascii="宋体" w:hAnsi="宋体" w:cs="宋体"/>
          <w:b/>
          <w:sz w:val="24"/>
          <w:szCs w:val="24"/>
          <w:highlight w:val="none"/>
        </w:rPr>
        <w:t>17.7.2</w:t>
      </w:r>
      <w:r>
        <w:rPr>
          <w:rFonts w:hint="eastAsia" w:ascii="宋体" w:hAnsi="宋体" w:cs="宋体"/>
          <w:b/>
          <w:sz w:val="24"/>
          <w:szCs w:val="24"/>
          <w:highlight w:val="none"/>
        </w:rPr>
        <w:t>中标服务费</w:t>
      </w:r>
      <w:r>
        <w:rPr>
          <w:rFonts w:hint="eastAsia" w:ascii="宋体" w:hAnsi="宋体" w:cs="宋体"/>
          <w:b/>
          <w:sz w:val="24"/>
          <w:highlight w:val="none"/>
        </w:rPr>
        <w:t>以中标通知书的中标金额作为收取的计算基数，参照原《招标代理服务收费管理暂行办法》（计价格</w:t>
      </w:r>
      <w:r>
        <w:rPr>
          <w:rFonts w:ascii="宋体" w:hAnsi="宋体" w:cs="宋体"/>
          <w:b/>
          <w:sz w:val="24"/>
          <w:highlight w:val="none"/>
        </w:rPr>
        <w:t>[20</w:t>
      </w:r>
      <w:r>
        <w:rPr>
          <w:rFonts w:hint="eastAsia" w:ascii="宋体" w:hAnsi="宋体" w:cs="宋体"/>
          <w:b/>
          <w:sz w:val="24"/>
          <w:highlight w:val="none"/>
          <w:lang w:val="en-US" w:eastAsia="zh-CN"/>
        </w:rPr>
        <w:t>15</w:t>
      </w:r>
      <w:r>
        <w:rPr>
          <w:rFonts w:ascii="宋体" w:hAnsi="宋体" w:cs="宋体"/>
          <w:b/>
          <w:sz w:val="24"/>
          <w:highlight w:val="none"/>
        </w:rPr>
        <w:t>]</w:t>
      </w:r>
      <w:r>
        <w:rPr>
          <w:rFonts w:hint="eastAsia" w:ascii="宋体" w:hAnsi="宋体" w:cs="宋体"/>
          <w:b/>
          <w:sz w:val="24"/>
          <w:highlight w:val="none"/>
          <w:lang w:val="en-US" w:eastAsia="zh-CN"/>
        </w:rPr>
        <w:t>299</w:t>
      </w:r>
      <w:r>
        <w:rPr>
          <w:rFonts w:hint="eastAsia" w:ascii="宋体" w:hAnsi="宋体" w:cs="宋体"/>
          <w:b/>
          <w:sz w:val="24"/>
          <w:highlight w:val="none"/>
        </w:rPr>
        <w:t>号）的规定，按差额定率累进法计算。</w:t>
      </w:r>
    </w:p>
    <w:p w14:paraId="107EC3B3">
      <w:pPr>
        <w:spacing w:line="360" w:lineRule="auto"/>
        <w:ind w:firstLine="482" w:firstLineChars="200"/>
        <w:rPr>
          <w:rFonts w:ascii="宋体" w:cs="宋体"/>
          <w:b/>
          <w:sz w:val="24"/>
          <w:szCs w:val="24"/>
          <w:highlight w:val="none"/>
        </w:rPr>
      </w:pPr>
      <w:r>
        <w:rPr>
          <w:rFonts w:ascii="宋体" w:hAnsi="宋体" w:cs="宋体"/>
          <w:b/>
          <w:sz w:val="24"/>
          <w:szCs w:val="24"/>
          <w:highlight w:val="none"/>
        </w:rPr>
        <w:t>18.</w:t>
      </w:r>
      <w:r>
        <w:rPr>
          <w:rFonts w:hint="eastAsia" w:ascii="宋体" w:hAnsi="宋体" w:cs="宋体"/>
          <w:b/>
          <w:sz w:val="24"/>
          <w:szCs w:val="24"/>
          <w:highlight w:val="none"/>
        </w:rPr>
        <w:t>投标有效期</w:t>
      </w:r>
    </w:p>
    <w:p w14:paraId="443FE15C">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18.1 </w:t>
      </w:r>
      <w:r>
        <w:rPr>
          <w:rFonts w:hint="eastAsia" w:ascii="宋体" w:hAnsi="宋体" w:cs="宋体"/>
          <w:sz w:val="24"/>
          <w:szCs w:val="24"/>
          <w:highlight w:val="none"/>
        </w:rPr>
        <w:t>投标应自本须知第</w:t>
      </w:r>
      <w:r>
        <w:rPr>
          <w:rFonts w:ascii="宋体" w:hAnsi="宋体" w:cs="宋体"/>
          <w:sz w:val="24"/>
          <w:szCs w:val="24"/>
          <w:highlight w:val="none"/>
        </w:rPr>
        <w:t>24.1</w:t>
      </w:r>
      <w:r>
        <w:rPr>
          <w:rFonts w:hint="eastAsia" w:ascii="宋体" w:hAnsi="宋体" w:cs="宋体"/>
          <w:sz w:val="24"/>
          <w:szCs w:val="24"/>
          <w:highlight w:val="none"/>
        </w:rPr>
        <w:t>条规定的开标日起，并在“投标人须知前附表”中所述时期内保持有效。投标有效期不足的投标将被视为非响应性投标而作无效投标处理。</w:t>
      </w:r>
    </w:p>
    <w:p w14:paraId="75F753C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18.2 </w:t>
      </w:r>
      <w:r>
        <w:rPr>
          <w:rFonts w:hint="eastAsia" w:ascii="宋体" w:hAnsi="宋体" w:cs="宋体"/>
          <w:sz w:val="24"/>
          <w:szCs w:val="24"/>
          <w:highlight w:val="none"/>
        </w:rPr>
        <w:t>特殊情况下，在原投标有效期截止之前，采购人可要求合格投标人同意延长投标有效期。这种要求与答复均应以书面形式提交。合格投标人可拒绝采购代理机构的这种要求，其投标保证金将予以退还。接受延长投标有效期的合格投标人将不会被要求和允许修正其投标，而只会被要求相应地延长其投标保证金的有效期。在这种情况下，本须知第</w:t>
      </w:r>
      <w:r>
        <w:rPr>
          <w:rFonts w:ascii="宋体" w:hAnsi="宋体" w:cs="宋体"/>
          <w:sz w:val="24"/>
          <w:szCs w:val="24"/>
          <w:highlight w:val="none"/>
        </w:rPr>
        <w:t>17</w:t>
      </w:r>
      <w:r>
        <w:rPr>
          <w:rFonts w:hint="eastAsia" w:ascii="宋体" w:hAnsi="宋体" w:cs="宋体"/>
          <w:sz w:val="24"/>
          <w:szCs w:val="24"/>
          <w:highlight w:val="none"/>
        </w:rPr>
        <w:t>条有关投标保证金的退还和不予退还的规定将在延长了的有效期内继续有效。</w:t>
      </w:r>
    </w:p>
    <w:p w14:paraId="14D79942">
      <w:pPr>
        <w:spacing w:line="360" w:lineRule="auto"/>
        <w:ind w:firstLine="482" w:firstLineChars="200"/>
        <w:rPr>
          <w:rFonts w:hint="eastAsia" w:ascii="宋体" w:eastAsia="宋体" w:cs="宋体"/>
          <w:b/>
          <w:sz w:val="24"/>
          <w:szCs w:val="24"/>
          <w:highlight w:val="none"/>
          <w:lang w:eastAsia="zh-CN"/>
        </w:rPr>
      </w:pPr>
      <w:r>
        <w:rPr>
          <w:rFonts w:ascii="宋体" w:hAnsi="宋体" w:cs="宋体"/>
          <w:b/>
          <w:sz w:val="24"/>
          <w:szCs w:val="24"/>
          <w:highlight w:val="none"/>
        </w:rPr>
        <w:t>19.</w:t>
      </w:r>
      <w:r>
        <w:rPr>
          <w:rFonts w:hint="eastAsia" w:ascii="宋体" w:hAnsi="宋体" w:cs="宋体"/>
          <w:b/>
          <w:sz w:val="24"/>
          <w:szCs w:val="24"/>
          <w:highlight w:val="none"/>
        </w:rPr>
        <w:t>投标文件的制作和签署</w:t>
      </w:r>
    </w:p>
    <w:p w14:paraId="043D798C">
      <w:pPr>
        <w:spacing w:line="360" w:lineRule="auto"/>
        <w:ind w:firstLine="480" w:firstLineChars="200"/>
        <w:rPr>
          <w:rFonts w:ascii="宋体" w:cs="宋体"/>
          <w:sz w:val="24"/>
          <w:szCs w:val="24"/>
          <w:highlight w:val="none"/>
        </w:rPr>
      </w:pPr>
      <w:bookmarkStart w:id="49" w:name="_Toc2511972"/>
      <w:bookmarkStart w:id="50" w:name="_Toc493422651"/>
      <w:bookmarkStart w:id="51" w:name="_Toc322446892"/>
      <w:bookmarkStart w:id="52" w:name="_Toc14776839"/>
      <w:bookmarkStart w:id="53" w:name="_Toc2355231"/>
      <w:r>
        <w:rPr>
          <w:rFonts w:ascii="宋体" w:hAnsi="宋体" w:cs="宋体"/>
          <w:sz w:val="24"/>
          <w:szCs w:val="24"/>
          <w:highlight w:val="none"/>
        </w:rPr>
        <w:t xml:space="preserve">19.1 </w:t>
      </w:r>
      <w:r>
        <w:rPr>
          <w:rFonts w:hint="eastAsia" w:ascii="宋体" w:hAnsi="宋体" w:cs="宋体"/>
          <w:sz w:val="24"/>
          <w:szCs w:val="24"/>
          <w:highlight w:val="none"/>
        </w:rPr>
        <w:t>投标人应准备一份投标文件正本，</w:t>
      </w:r>
      <w:r>
        <w:rPr>
          <w:rFonts w:hint="eastAsia" w:ascii="宋体" w:hAnsi="宋体" w:cs="宋体"/>
          <w:sz w:val="24"/>
          <w:szCs w:val="24"/>
          <w:highlight w:val="none"/>
          <w:lang w:val="en-US" w:eastAsia="zh-CN"/>
        </w:rPr>
        <w:t>并按要求上传至政采云平台（https://www.zcygov.cn/）</w:t>
      </w:r>
      <w:r>
        <w:rPr>
          <w:rFonts w:hint="eastAsia" w:ascii="宋体" w:hAnsi="宋体" w:cs="宋体"/>
          <w:sz w:val="24"/>
          <w:szCs w:val="24"/>
          <w:highlight w:val="none"/>
        </w:rPr>
        <w:t>。</w:t>
      </w:r>
    </w:p>
    <w:p w14:paraId="5946D1CD">
      <w:pPr>
        <w:spacing w:line="360" w:lineRule="auto"/>
        <w:ind w:firstLine="480" w:firstLineChars="200"/>
        <w:rPr>
          <w:rFonts w:hint="eastAsia" w:ascii="宋体" w:eastAsia="宋体" w:cs="宋体"/>
          <w:b/>
          <w:bCs/>
          <w:sz w:val="24"/>
          <w:szCs w:val="24"/>
          <w:highlight w:val="none"/>
          <w:lang w:eastAsia="zh-CN"/>
        </w:rPr>
      </w:pPr>
      <w:r>
        <w:rPr>
          <w:rFonts w:ascii="宋体" w:hAnsi="宋体" w:cs="宋体"/>
          <w:sz w:val="24"/>
          <w:szCs w:val="24"/>
          <w:highlight w:val="none"/>
        </w:rPr>
        <w:t xml:space="preserve">19.2 </w:t>
      </w:r>
      <w:r>
        <w:rPr>
          <w:rFonts w:hint="eastAsia" w:ascii="宋体" w:hAnsi="宋体" w:cs="宋体"/>
          <w:sz w:val="24"/>
          <w:szCs w:val="24"/>
          <w:highlight w:val="none"/>
        </w:rPr>
        <w:t>投标文件的正本建议双面打印，并由投标人法定代表人或经正式授权的代表在投标文件上签字或盖章并加盖公司公章。投标文件的副本可采用正本签字盖章后的复印件（双面复印）加盖公司公章。</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仅针对中标人</w:t>
      </w:r>
      <w:r>
        <w:rPr>
          <w:rFonts w:hint="eastAsia" w:ascii="宋体" w:hAnsi="宋体" w:cs="宋体"/>
          <w:b/>
          <w:bCs/>
          <w:sz w:val="24"/>
          <w:szCs w:val="24"/>
          <w:highlight w:val="none"/>
          <w:lang w:eastAsia="zh-CN"/>
        </w:rPr>
        <w:t>）</w:t>
      </w:r>
    </w:p>
    <w:p w14:paraId="520FC4E2">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19.3 </w:t>
      </w:r>
      <w:r>
        <w:rPr>
          <w:rFonts w:hint="eastAsia" w:ascii="宋体" w:hAnsi="宋体" w:cs="宋体"/>
          <w:sz w:val="24"/>
          <w:szCs w:val="24"/>
          <w:highlight w:val="none"/>
        </w:rPr>
        <w:t>任何行间插字、涂改或增删，必须由投标文件签字人姓或首字母在旁边签字才有效。</w:t>
      </w:r>
    </w:p>
    <w:p w14:paraId="6EDC9882">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19.4 </w:t>
      </w:r>
      <w:r>
        <w:rPr>
          <w:rFonts w:hint="eastAsia" w:ascii="宋体" w:hAnsi="宋体" w:cs="宋体"/>
          <w:sz w:val="24"/>
          <w:szCs w:val="24"/>
          <w:highlight w:val="none"/>
        </w:rPr>
        <w:t>投标文件应包含资格性证明材料部分、商务部分和技术部分。投标文件正本需要经正式授权的授权代表签字并加盖公章</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电子章</w:t>
      </w:r>
      <w:r>
        <w:rPr>
          <w:rFonts w:hint="eastAsia" w:ascii="宋体" w:hAnsi="宋体" w:cs="宋体"/>
          <w:sz w:val="24"/>
          <w:szCs w:val="24"/>
          <w:highlight w:val="none"/>
          <w:lang w:eastAsia="zh-CN"/>
        </w:rPr>
        <w:t>）</w:t>
      </w:r>
      <w:r>
        <w:rPr>
          <w:rFonts w:hint="eastAsia" w:ascii="宋体" w:hAnsi="宋体" w:cs="宋体"/>
          <w:sz w:val="24"/>
          <w:szCs w:val="24"/>
          <w:highlight w:val="none"/>
        </w:rPr>
        <w:t>。</w:t>
      </w:r>
    </w:p>
    <w:p w14:paraId="5152EA58">
      <w:pPr>
        <w:spacing w:line="360" w:lineRule="auto"/>
        <w:ind w:firstLine="480" w:firstLineChars="200"/>
        <w:rPr>
          <w:rFonts w:hint="default" w:ascii="宋体" w:hAnsi="宋体" w:eastAsia="宋体" w:cs="宋体"/>
          <w:sz w:val="24"/>
          <w:szCs w:val="24"/>
          <w:highlight w:val="none"/>
          <w:lang w:val="en-US" w:eastAsia="zh-CN"/>
        </w:rPr>
      </w:pPr>
      <w:r>
        <w:rPr>
          <w:rFonts w:ascii="宋体" w:hAnsi="宋体" w:cs="宋体"/>
          <w:sz w:val="24"/>
          <w:szCs w:val="24"/>
          <w:highlight w:val="none"/>
        </w:rPr>
        <w:t>19.5</w:t>
      </w:r>
      <w:r>
        <w:rPr>
          <w:rFonts w:hint="eastAsia" w:ascii="宋体" w:hAnsi="宋体" w:cs="宋体"/>
          <w:sz w:val="24"/>
          <w:highlight w:val="none"/>
        </w:rPr>
        <w:t>投标文件封面应标注： “投标文件”、项目名称、招标编号</w:t>
      </w:r>
      <w:r>
        <w:rPr>
          <w:rFonts w:ascii="宋体" w:hAnsi="宋体" w:cs="宋体"/>
          <w:sz w:val="24"/>
          <w:highlight w:val="none"/>
        </w:rPr>
        <w:t>[</w:t>
      </w:r>
      <w:r>
        <w:rPr>
          <w:rFonts w:hint="eastAsia" w:ascii="宋体" w:hAnsi="宋体" w:cs="宋体"/>
          <w:sz w:val="24"/>
          <w:highlight w:val="none"/>
        </w:rPr>
        <w:t>包号</w:t>
      </w:r>
      <w:r>
        <w:rPr>
          <w:rFonts w:ascii="宋体" w:hAnsi="宋体" w:cs="宋体"/>
          <w:sz w:val="24"/>
          <w:highlight w:val="none"/>
        </w:rPr>
        <w:t>]</w:t>
      </w:r>
      <w:r>
        <w:rPr>
          <w:rFonts w:hint="eastAsia" w:ascii="宋体" w:hAnsi="宋体" w:cs="宋体"/>
          <w:sz w:val="24"/>
          <w:highlight w:val="none"/>
        </w:rPr>
        <w:t>、投标人名称并加盖投标人公章</w:t>
      </w:r>
      <w:r>
        <w:rPr>
          <w:rFonts w:hint="eastAsia" w:ascii="宋体" w:hAnsi="宋体" w:cs="宋体"/>
          <w:sz w:val="24"/>
          <w:highlight w:val="none"/>
          <w:lang w:eastAsia="zh-CN"/>
        </w:rPr>
        <w:t>（</w:t>
      </w:r>
      <w:r>
        <w:rPr>
          <w:rFonts w:hint="eastAsia" w:ascii="宋体" w:hAnsi="宋体" w:cs="宋体"/>
          <w:sz w:val="24"/>
          <w:highlight w:val="none"/>
          <w:lang w:val="en-US" w:eastAsia="zh-CN"/>
        </w:rPr>
        <w:t>电子章</w:t>
      </w:r>
      <w:r>
        <w:rPr>
          <w:rFonts w:hint="eastAsia" w:ascii="宋体" w:hAnsi="宋体" w:cs="宋体"/>
          <w:sz w:val="24"/>
          <w:highlight w:val="none"/>
          <w:lang w:eastAsia="zh-CN"/>
        </w:rPr>
        <w:t>）</w:t>
      </w:r>
      <w:r>
        <w:rPr>
          <w:rFonts w:hint="eastAsia" w:ascii="宋体" w:hAnsi="宋体" w:cs="宋体"/>
          <w:sz w:val="24"/>
          <w:highlight w:val="none"/>
        </w:rPr>
        <w:t>、正本或副本。</w:t>
      </w:r>
    </w:p>
    <w:p w14:paraId="3C147D70">
      <w:pPr>
        <w:spacing w:line="360" w:lineRule="auto"/>
        <w:rPr>
          <w:rFonts w:ascii="宋体" w:cs="宋体"/>
          <w:b/>
          <w:sz w:val="24"/>
          <w:szCs w:val="24"/>
          <w:highlight w:val="none"/>
        </w:rPr>
      </w:pPr>
      <w:r>
        <w:rPr>
          <w:rFonts w:hint="eastAsia" w:ascii="宋体" w:hAnsi="宋体" w:cs="宋体"/>
          <w:b/>
          <w:sz w:val="24"/>
          <w:szCs w:val="24"/>
          <w:highlight w:val="none"/>
        </w:rPr>
        <w:t>四、投标文件的密封和递交</w:t>
      </w:r>
      <w:bookmarkEnd w:id="49"/>
      <w:bookmarkEnd w:id="50"/>
      <w:bookmarkEnd w:id="51"/>
      <w:bookmarkEnd w:id="52"/>
      <w:bookmarkEnd w:id="53"/>
    </w:p>
    <w:p w14:paraId="22B3A41A">
      <w:pPr>
        <w:spacing w:line="360" w:lineRule="auto"/>
        <w:ind w:firstLine="482" w:firstLineChars="200"/>
        <w:rPr>
          <w:rFonts w:ascii="宋体" w:cs="宋体"/>
          <w:b/>
          <w:sz w:val="24"/>
          <w:szCs w:val="24"/>
          <w:highlight w:val="none"/>
        </w:rPr>
      </w:pPr>
      <w:r>
        <w:rPr>
          <w:rFonts w:ascii="宋体" w:hAnsi="宋体" w:cs="宋体"/>
          <w:b/>
          <w:sz w:val="24"/>
          <w:szCs w:val="24"/>
          <w:highlight w:val="none"/>
        </w:rPr>
        <w:t>20.</w:t>
      </w:r>
      <w:r>
        <w:rPr>
          <w:rFonts w:hint="eastAsia" w:ascii="宋体" w:hAnsi="宋体" w:cs="宋体"/>
          <w:b/>
          <w:sz w:val="24"/>
          <w:szCs w:val="24"/>
          <w:highlight w:val="none"/>
        </w:rPr>
        <w:t>投标文件的密封和标记（</w:t>
      </w:r>
      <w:r>
        <w:rPr>
          <w:rFonts w:hint="eastAsia" w:ascii="宋体" w:hAnsi="宋体" w:cs="宋体"/>
          <w:b/>
          <w:sz w:val="24"/>
          <w:szCs w:val="24"/>
          <w:highlight w:val="none"/>
          <w:lang w:val="en-US" w:eastAsia="zh-CN"/>
        </w:rPr>
        <w:t>采用</w:t>
      </w:r>
      <w:r>
        <w:rPr>
          <w:rFonts w:hint="eastAsia" w:ascii="宋体" w:hAnsi="宋体" w:cs="宋体"/>
          <w:b/>
          <w:sz w:val="24"/>
          <w:szCs w:val="24"/>
          <w:highlight w:val="none"/>
        </w:rPr>
        <w:t>电子开评标</w:t>
      </w:r>
      <w:r>
        <w:rPr>
          <w:rFonts w:hint="eastAsia" w:ascii="宋体" w:hAnsi="宋体" w:cs="宋体"/>
          <w:b/>
          <w:sz w:val="24"/>
          <w:szCs w:val="24"/>
          <w:highlight w:val="none"/>
          <w:lang w:val="en-US" w:eastAsia="zh-CN"/>
        </w:rPr>
        <w:t>的，在确定中标单位前，所有投标人的投标文件均</w:t>
      </w:r>
      <w:r>
        <w:rPr>
          <w:rFonts w:hint="eastAsia" w:ascii="宋体" w:hAnsi="宋体" w:cs="宋体"/>
          <w:b/>
          <w:sz w:val="24"/>
          <w:szCs w:val="24"/>
          <w:highlight w:val="none"/>
        </w:rPr>
        <w:t>无需</w:t>
      </w:r>
      <w:r>
        <w:rPr>
          <w:rFonts w:hint="eastAsia" w:ascii="宋体" w:hAnsi="宋体" w:cs="宋体"/>
          <w:b/>
          <w:sz w:val="24"/>
          <w:szCs w:val="24"/>
          <w:highlight w:val="none"/>
          <w:lang w:val="en-US" w:eastAsia="zh-CN"/>
        </w:rPr>
        <w:t>打印、胶装、</w:t>
      </w:r>
      <w:r>
        <w:rPr>
          <w:rFonts w:hint="eastAsia" w:ascii="宋体" w:hAnsi="宋体" w:cs="宋体"/>
          <w:b/>
          <w:sz w:val="24"/>
          <w:szCs w:val="24"/>
          <w:highlight w:val="none"/>
        </w:rPr>
        <w:t>密封</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任何纸质投标文件的要求仅针对中标单位</w:t>
      </w:r>
      <w:r>
        <w:rPr>
          <w:rFonts w:hint="eastAsia" w:ascii="宋体" w:hAnsi="宋体" w:cs="宋体"/>
          <w:b/>
          <w:sz w:val="24"/>
          <w:szCs w:val="24"/>
          <w:highlight w:val="none"/>
        </w:rPr>
        <w:t>）</w:t>
      </w:r>
    </w:p>
    <w:p w14:paraId="2826387C">
      <w:pPr>
        <w:spacing w:line="360" w:lineRule="auto"/>
        <w:ind w:firstLine="480" w:firstLineChars="200"/>
        <w:rPr>
          <w:rFonts w:ascii="宋体" w:cs="宋体"/>
          <w:sz w:val="24"/>
          <w:szCs w:val="24"/>
          <w:highlight w:val="none"/>
        </w:rPr>
      </w:pPr>
      <w:r>
        <w:rPr>
          <w:rFonts w:ascii="宋体" w:hAnsi="宋体" w:cs="宋体"/>
          <w:sz w:val="24"/>
          <w:szCs w:val="24"/>
          <w:highlight w:val="none"/>
        </w:rPr>
        <w:t>20.1</w:t>
      </w:r>
      <w:r>
        <w:rPr>
          <w:rFonts w:hint="eastAsia" w:ascii="宋体" w:hAnsi="宋体" w:cs="宋体"/>
          <w:sz w:val="24"/>
          <w:szCs w:val="24"/>
          <w:highlight w:val="none"/>
        </w:rPr>
        <w:t>投标人应完整地按招标文件要求填写投标文件，“投标文件</w:t>
      </w:r>
      <w:r>
        <w:rPr>
          <w:rFonts w:ascii="宋体" w:cs="宋体"/>
          <w:sz w:val="24"/>
          <w:szCs w:val="24"/>
          <w:highlight w:val="none"/>
        </w:rPr>
        <w:t>-</w:t>
      </w:r>
      <w:r>
        <w:rPr>
          <w:rFonts w:hint="eastAsia" w:ascii="宋体" w:hAnsi="宋体" w:cs="宋体"/>
          <w:sz w:val="24"/>
          <w:szCs w:val="24"/>
          <w:highlight w:val="none"/>
        </w:rPr>
        <w:t>资格证明材料”和“投标文件”所有部分胶装成一册，所有文件均须左侧胶装，胶装须牢固不易拆散和换页，不得采用活页方式装订。</w:t>
      </w:r>
    </w:p>
    <w:p w14:paraId="67122C55">
      <w:pPr>
        <w:spacing w:line="360" w:lineRule="auto"/>
        <w:ind w:firstLine="480" w:firstLineChars="200"/>
        <w:rPr>
          <w:rFonts w:ascii="宋体" w:cs="宋体"/>
          <w:sz w:val="24"/>
          <w:szCs w:val="24"/>
          <w:highlight w:val="none"/>
        </w:rPr>
      </w:pPr>
      <w:r>
        <w:rPr>
          <w:rFonts w:ascii="宋体" w:hAnsi="宋体" w:cs="宋体"/>
          <w:sz w:val="24"/>
          <w:szCs w:val="24"/>
          <w:highlight w:val="none"/>
        </w:rPr>
        <w:t>20.</w:t>
      </w:r>
      <w:r>
        <w:rPr>
          <w:rFonts w:hint="eastAsia" w:ascii="宋体" w:hAnsi="宋体" w:cs="宋体"/>
          <w:sz w:val="24"/>
          <w:szCs w:val="24"/>
          <w:highlight w:val="none"/>
          <w:lang w:val="en-US" w:eastAsia="zh-CN"/>
        </w:rPr>
        <w:t>2</w:t>
      </w:r>
      <w:r>
        <w:rPr>
          <w:rFonts w:hint="eastAsia" w:ascii="宋体" w:hAnsi="宋体" w:cs="宋体"/>
          <w:sz w:val="24"/>
          <w:szCs w:val="24"/>
          <w:highlight w:val="none"/>
        </w:rPr>
        <w:t>采购人、采购代理机构对误投或过早启封概不负责。</w:t>
      </w:r>
      <w:r>
        <w:rPr>
          <w:rFonts w:hint="eastAsia" w:ascii="宋体" w:hAnsi="宋体" w:cs="宋体"/>
          <w:b/>
          <w:sz w:val="24"/>
          <w:szCs w:val="24"/>
          <w:highlight w:val="none"/>
          <w:u w:val="single"/>
        </w:rPr>
        <w:t>逾期送达或者未按照招标文件要求密封的投标文件，采购人、采购代理机构应当拒收。</w:t>
      </w:r>
    </w:p>
    <w:p w14:paraId="58963088">
      <w:pPr>
        <w:spacing w:line="360" w:lineRule="auto"/>
        <w:ind w:firstLine="482" w:firstLineChars="200"/>
        <w:rPr>
          <w:rFonts w:ascii="宋体" w:cs="宋体"/>
          <w:b/>
          <w:sz w:val="24"/>
          <w:szCs w:val="24"/>
          <w:highlight w:val="none"/>
        </w:rPr>
      </w:pPr>
      <w:r>
        <w:rPr>
          <w:rFonts w:ascii="宋体" w:hAnsi="宋体" w:cs="宋体"/>
          <w:b/>
          <w:sz w:val="24"/>
          <w:szCs w:val="24"/>
          <w:highlight w:val="none"/>
        </w:rPr>
        <w:t>21.</w:t>
      </w:r>
      <w:r>
        <w:rPr>
          <w:rFonts w:hint="eastAsia" w:ascii="宋体" w:hAnsi="宋体" w:cs="宋体"/>
          <w:b/>
          <w:sz w:val="24"/>
          <w:szCs w:val="24"/>
          <w:highlight w:val="none"/>
        </w:rPr>
        <w:t>投标截止时间</w:t>
      </w:r>
    </w:p>
    <w:p w14:paraId="4C02C42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21.1 </w:t>
      </w:r>
      <w:r>
        <w:rPr>
          <w:rFonts w:hint="eastAsia" w:ascii="宋体" w:hAnsi="宋体" w:cs="宋体"/>
          <w:sz w:val="24"/>
          <w:szCs w:val="24"/>
          <w:highlight w:val="none"/>
        </w:rPr>
        <w:t>投标人应当在投标截止时间（详见“投标人须知前附表”）前将投标文件密封送达至指定的投标文件递交地点，递交地点应是“投标人须知前附表”中指明的地址。</w:t>
      </w:r>
    </w:p>
    <w:p w14:paraId="63878330">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21.2 </w:t>
      </w:r>
      <w:r>
        <w:rPr>
          <w:rFonts w:hint="eastAsia" w:ascii="宋体" w:hAnsi="宋体" w:cs="宋体"/>
          <w:sz w:val="24"/>
          <w:szCs w:val="24"/>
          <w:highlight w:val="none"/>
        </w:rPr>
        <w:t>采购代理机构可以按本须知第</w:t>
      </w:r>
      <w:r>
        <w:rPr>
          <w:rFonts w:ascii="宋体" w:hAnsi="宋体" w:cs="宋体"/>
          <w:sz w:val="24"/>
          <w:szCs w:val="24"/>
          <w:highlight w:val="none"/>
        </w:rPr>
        <w:t>8</w:t>
      </w:r>
      <w:r>
        <w:rPr>
          <w:rFonts w:hint="eastAsia" w:ascii="宋体" w:hAnsi="宋体" w:cs="宋体"/>
          <w:sz w:val="24"/>
          <w:szCs w:val="24"/>
          <w:highlight w:val="none"/>
        </w:rPr>
        <w:t>条规定，通知修改招标文件适当延长投标截止时间。在此情况下，采购代理机构、采购人和投标人受投标截止时间制约的所有权利和义务均应延长至新的截止期。</w:t>
      </w:r>
    </w:p>
    <w:p w14:paraId="6D3A9648">
      <w:pPr>
        <w:spacing w:line="360" w:lineRule="auto"/>
        <w:ind w:firstLine="482" w:firstLineChars="200"/>
        <w:rPr>
          <w:rFonts w:ascii="宋体" w:cs="宋体"/>
          <w:b/>
          <w:sz w:val="24"/>
          <w:szCs w:val="24"/>
          <w:highlight w:val="none"/>
        </w:rPr>
      </w:pPr>
      <w:r>
        <w:rPr>
          <w:rFonts w:ascii="宋体" w:hAnsi="宋体" w:cs="宋体"/>
          <w:b/>
          <w:sz w:val="24"/>
          <w:szCs w:val="24"/>
          <w:highlight w:val="none"/>
        </w:rPr>
        <w:t>22.</w:t>
      </w:r>
      <w:r>
        <w:rPr>
          <w:rFonts w:hint="eastAsia" w:ascii="宋体" w:hAnsi="宋体" w:cs="宋体"/>
          <w:b/>
          <w:sz w:val="24"/>
          <w:szCs w:val="24"/>
          <w:highlight w:val="none"/>
        </w:rPr>
        <w:t>迟交的投标文件</w:t>
      </w:r>
    </w:p>
    <w:p w14:paraId="607BC272">
      <w:pPr>
        <w:spacing w:line="360" w:lineRule="auto"/>
        <w:ind w:firstLine="482" w:firstLineChars="200"/>
        <w:rPr>
          <w:rFonts w:ascii="宋体" w:cs="宋体"/>
          <w:b/>
          <w:sz w:val="24"/>
          <w:szCs w:val="24"/>
          <w:highlight w:val="none"/>
        </w:rPr>
      </w:pPr>
      <w:r>
        <w:rPr>
          <w:rFonts w:ascii="宋体" w:hAnsi="宋体" w:cs="宋体"/>
          <w:b/>
          <w:sz w:val="24"/>
          <w:szCs w:val="24"/>
          <w:highlight w:val="none"/>
        </w:rPr>
        <w:t xml:space="preserve">22.1 </w:t>
      </w:r>
      <w:r>
        <w:rPr>
          <w:rFonts w:hint="eastAsia" w:ascii="宋体" w:hAnsi="宋体" w:cs="宋体"/>
          <w:b/>
          <w:sz w:val="24"/>
          <w:szCs w:val="24"/>
          <w:highlight w:val="none"/>
        </w:rPr>
        <w:t>采购人、采购代理机构将拒绝接收在本须知第</w:t>
      </w:r>
      <w:r>
        <w:rPr>
          <w:rFonts w:ascii="宋体" w:hAnsi="宋体" w:cs="宋体"/>
          <w:b/>
          <w:sz w:val="24"/>
          <w:szCs w:val="24"/>
          <w:highlight w:val="none"/>
        </w:rPr>
        <w:t>21</w:t>
      </w:r>
      <w:r>
        <w:rPr>
          <w:rFonts w:hint="eastAsia" w:ascii="宋体" w:hAnsi="宋体" w:cs="宋体"/>
          <w:b/>
          <w:sz w:val="24"/>
          <w:szCs w:val="24"/>
          <w:highlight w:val="none"/>
        </w:rPr>
        <w:t>条规定的截止期后送达的任何投标文件。</w:t>
      </w:r>
      <w:r>
        <w:rPr>
          <w:rFonts w:ascii="宋体" w:hAnsi="宋体" w:cs="宋体"/>
          <w:b/>
          <w:sz w:val="24"/>
          <w:szCs w:val="24"/>
          <w:highlight w:val="none"/>
        </w:rPr>
        <w:t xml:space="preserve"> </w:t>
      </w:r>
    </w:p>
    <w:p w14:paraId="1DD48E09">
      <w:pPr>
        <w:spacing w:line="360" w:lineRule="auto"/>
        <w:ind w:firstLine="482" w:firstLineChars="200"/>
        <w:rPr>
          <w:rFonts w:ascii="宋体" w:cs="宋体"/>
          <w:b/>
          <w:sz w:val="24"/>
          <w:szCs w:val="24"/>
          <w:highlight w:val="none"/>
        </w:rPr>
      </w:pPr>
      <w:bookmarkStart w:id="54" w:name="_Toc322446893"/>
      <w:bookmarkStart w:id="55" w:name="_Toc14776840"/>
      <w:bookmarkStart w:id="56" w:name="_Toc493422652"/>
      <w:bookmarkStart w:id="57" w:name="_Toc2355232"/>
      <w:bookmarkStart w:id="58" w:name="_Toc2511973"/>
      <w:r>
        <w:rPr>
          <w:rFonts w:ascii="宋体" w:hAnsi="宋体" w:cs="宋体"/>
          <w:b/>
          <w:sz w:val="24"/>
          <w:szCs w:val="24"/>
          <w:highlight w:val="none"/>
        </w:rPr>
        <w:t>23.</w:t>
      </w:r>
      <w:r>
        <w:rPr>
          <w:rFonts w:hint="eastAsia" w:ascii="宋体" w:hAnsi="宋体" w:cs="宋体"/>
          <w:b/>
          <w:sz w:val="24"/>
          <w:szCs w:val="24"/>
          <w:highlight w:val="none"/>
        </w:rPr>
        <w:t>投标文件的修改与撤回</w:t>
      </w:r>
    </w:p>
    <w:p w14:paraId="554BC7C6">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23.1 </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应通过电子</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文件制作工具严格按</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文件要求制作</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文件，在</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截止时间前完成上传经过数字证书电子签章并加密的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文件（加密和解密须用同一把数字证书）。</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在响应截止时间前，可以对其所递交的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文件进行修改并重新上传，但以</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截止时间前最后一次上传的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文件为有效</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w:t>
      </w:r>
    </w:p>
    <w:p w14:paraId="28663AD3">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23.2 </w:t>
      </w:r>
      <w:r>
        <w:rPr>
          <w:rFonts w:hint="eastAsia" w:ascii="宋体" w:hAnsi="宋体" w:cs="宋体"/>
          <w:sz w:val="24"/>
          <w:szCs w:val="24"/>
          <w:highlight w:val="none"/>
        </w:rPr>
        <w:t>投标人的修改或撤回通知应按本须知第</w:t>
      </w:r>
      <w:r>
        <w:rPr>
          <w:rFonts w:ascii="宋体" w:hAnsi="宋体" w:cs="宋体"/>
          <w:sz w:val="24"/>
          <w:szCs w:val="24"/>
          <w:highlight w:val="none"/>
        </w:rPr>
        <w:t>20</w:t>
      </w:r>
      <w:r>
        <w:rPr>
          <w:rFonts w:hint="eastAsia" w:ascii="宋体" w:hAnsi="宋体" w:cs="宋体"/>
          <w:sz w:val="24"/>
          <w:szCs w:val="24"/>
          <w:highlight w:val="none"/>
        </w:rPr>
        <w:t>条规定编制、标记和递交。</w:t>
      </w:r>
    </w:p>
    <w:p w14:paraId="57F3101C">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23.3 </w:t>
      </w:r>
      <w:r>
        <w:rPr>
          <w:rFonts w:hint="eastAsia" w:ascii="宋体" w:hAnsi="宋体" w:cs="宋体"/>
          <w:sz w:val="24"/>
          <w:szCs w:val="24"/>
          <w:highlight w:val="none"/>
        </w:rPr>
        <w:t>在投标截止时间之后，投标人不得对其投标做任何修改。</w:t>
      </w:r>
    </w:p>
    <w:p w14:paraId="78139AA1">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23.4 </w:t>
      </w:r>
      <w:r>
        <w:rPr>
          <w:rFonts w:hint="eastAsia" w:ascii="宋体" w:hAnsi="宋体" w:cs="宋体"/>
          <w:sz w:val="24"/>
          <w:szCs w:val="24"/>
          <w:highlight w:val="none"/>
        </w:rPr>
        <w:t>从投标截止时间至投标人在投标书格式中确定的投标有效期期满这段时间内，投标人不得撤回其投标，否则其投标保证金将按照本须知第</w:t>
      </w:r>
      <w:r>
        <w:rPr>
          <w:rFonts w:ascii="宋体" w:hAnsi="宋体" w:cs="宋体"/>
          <w:sz w:val="24"/>
          <w:szCs w:val="24"/>
          <w:highlight w:val="none"/>
        </w:rPr>
        <w:t>17.7</w:t>
      </w:r>
      <w:r>
        <w:rPr>
          <w:rFonts w:hint="eastAsia" w:ascii="宋体" w:hAnsi="宋体" w:cs="宋体"/>
          <w:sz w:val="24"/>
          <w:szCs w:val="24"/>
          <w:highlight w:val="none"/>
        </w:rPr>
        <w:t>条的规定不予退还。</w:t>
      </w:r>
    </w:p>
    <w:p w14:paraId="49678EAC">
      <w:pPr>
        <w:spacing w:line="360" w:lineRule="auto"/>
        <w:rPr>
          <w:rFonts w:ascii="宋体" w:cs="宋体"/>
          <w:b/>
          <w:sz w:val="24"/>
          <w:szCs w:val="24"/>
          <w:highlight w:val="none"/>
        </w:rPr>
      </w:pPr>
      <w:r>
        <w:rPr>
          <w:rFonts w:hint="eastAsia" w:ascii="宋体" w:hAnsi="宋体" w:cs="宋体"/>
          <w:b/>
          <w:sz w:val="24"/>
          <w:szCs w:val="24"/>
          <w:highlight w:val="none"/>
        </w:rPr>
        <w:t>五、开标与评标</w:t>
      </w:r>
      <w:bookmarkEnd w:id="54"/>
      <w:bookmarkEnd w:id="55"/>
      <w:bookmarkEnd w:id="56"/>
      <w:bookmarkEnd w:id="57"/>
      <w:bookmarkEnd w:id="58"/>
    </w:p>
    <w:p w14:paraId="4F34DDE6">
      <w:pPr>
        <w:spacing w:line="360" w:lineRule="auto"/>
        <w:ind w:firstLine="482" w:firstLineChars="200"/>
        <w:rPr>
          <w:rFonts w:ascii="宋体" w:cs="宋体"/>
          <w:b/>
          <w:sz w:val="24"/>
          <w:szCs w:val="24"/>
          <w:highlight w:val="none"/>
        </w:rPr>
      </w:pPr>
      <w:r>
        <w:rPr>
          <w:rFonts w:ascii="宋体" w:hAnsi="宋体" w:cs="宋体"/>
          <w:b/>
          <w:sz w:val="24"/>
          <w:szCs w:val="24"/>
          <w:highlight w:val="none"/>
        </w:rPr>
        <w:t>24.</w:t>
      </w:r>
      <w:r>
        <w:rPr>
          <w:rFonts w:hint="eastAsia" w:ascii="宋体" w:hAnsi="宋体" w:cs="宋体"/>
          <w:b/>
          <w:sz w:val="24"/>
          <w:szCs w:val="24"/>
          <w:highlight w:val="none"/>
        </w:rPr>
        <w:t>开标</w:t>
      </w:r>
    </w:p>
    <w:p w14:paraId="1731D4E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24.1 </w:t>
      </w:r>
      <w:r>
        <w:rPr>
          <w:rFonts w:hint="eastAsia" w:ascii="宋体" w:hAnsi="宋体"/>
          <w:kern w:val="0"/>
          <w:sz w:val="24"/>
          <w:szCs w:val="24"/>
          <w:highlight w:val="none"/>
        </w:rPr>
        <w:t>采购单位</w:t>
      </w:r>
      <w:r>
        <w:rPr>
          <w:rFonts w:hint="eastAsia" w:ascii="宋体" w:hAnsi="宋体"/>
          <w:kern w:val="0"/>
          <w:sz w:val="24"/>
          <w:szCs w:val="21"/>
          <w:highlight w:val="none"/>
        </w:rPr>
        <w:t>应当按采购邀请的规定，在响应文件递交截止时间的同一时间和预先确定的</w:t>
      </w:r>
      <w:r>
        <w:rPr>
          <w:rFonts w:hint="eastAsia" w:ascii="宋体" w:hAnsi="宋体"/>
          <w:kern w:val="0"/>
          <w:sz w:val="24"/>
          <w:szCs w:val="21"/>
          <w:highlight w:val="none"/>
          <w:lang w:val="en-US" w:eastAsia="zh-CN"/>
        </w:rPr>
        <w:t>平台网址</w:t>
      </w:r>
      <w:r>
        <w:rPr>
          <w:rFonts w:hint="eastAsia" w:ascii="宋体" w:hAnsi="宋体"/>
          <w:kern w:val="0"/>
          <w:sz w:val="24"/>
          <w:szCs w:val="21"/>
          <w:highlight w:val="none"/>
        </w:rPr>
        <w:t>组织</w:t>
      </w:r>
      <w:r>
        <w:rPr>
          <w:rFonts w:hint="eastAsia" w:ascii="宋体" w:hAnsi="宋体"/>
          <w:kern w:val="0"/>
          <w:sz w:val="24"/>
          <w:szCs w:val="21"/>
          <w:highlight w:val="none"/>
          <w:lang w:val="en-US" w:eastAsia="zh-CN"/>
        </w:rPr>
        <w:t>采购</w:t>
      </w:r>
      <w:r>
        <w:rPr>
          <w:rFonts w:hint="eastAsia" w:ascii="宋体" w:hAnsi="宋体"/>
          <w:kern w:val="0"/>
          <w:sz w:val="24"/>
          <w:szCs w:val="21"/>
          <w:highlight w:val="none"/>
        </w:rPr>
        <w:t>活动，并邀请所有</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代表参加。</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代表应签名报到以证明其出席</w:t>
      </w:r>
      <w:r>
        <w:rPr>
          <w:rFonts w:hint="eastAsia" w:ascii="宋体" w:hAnsi="宋体"/>
          <w:kern w:val="0"/>
          <w:sz w:val="24"/>
          <w:szCs w:val="21"/>
          <w:highlight w:val="none"/>
          <w:lang w:eastAsia="zh-CN"/>
        </w:rPr>
        <w:t>，</w:t>
      </w:r>
      <w:r>
        <w:rPr>
          <w:rFonts w:hint="eastAsia" w:ascii="宋体" w:hAnsi="宋体"/>
          <w:kern w:val="0"/>
          <w:sz w:val="24"/>
          <w:szCs w:val="21"/>
          <w:highlight w:val="none"/>
          <w:lang w:val="en-US" w:eastAsia="zh-CN"/>
        </w:rPr>
        <w:t>并在开启环节全程保持在线</w:t>
      </w:r>
      <w:r>
        <w:rPr>
          <w:rFonts w:hint="eastAsia" w:ascii="宋体" w:hAnsi="宋体"/>
          <w:kern w:val="0"/>
          <w:sz w:val="24"/>
          <w:szCs w:val="21"/>
          <w:highlight w:val="none"/>
        </w:rPr>
        <w:t>。采购代理机构在线上开启</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文件解密，后由各</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在规定时间内在线解密</w:t>
      </w:r>
      <w:r>
        <w:rPr>
          <w:rFonts w:hint="eastAsia" w:ascii="宋体" w:hAnsi="宋体"/>
          <w:kern w:val="0"/>
          <w:sz w:val="24"/>
          <w:szCs w:val="21"/>
          <w:highlight w:val="none"/>
          <w:lang w:val="en-US" w:eastAsia="zh-CN"/>
        </w:rPr>
        <w:t>其投标</w:t>
      </w:r>
      <w:r>
        <w:rPr>
          <w:rFonts w:hint="eastAsia" w:ascii="宋体" w:hAnsi="宋体"/>
          <w:kern w:val="0"/>
          <w:sz w:val="24"/>
          <w:szCs w:val="21"/>
          <w:highlight w:val="none"/>
        </w:rPr>
        <w:t>文件。未在规定时间内解密</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文件的视为放弃</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资格，</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文件在线解密时长为30分钟，因</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自身原因未在规定时间内解密</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文件导致废标的，由</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自行承担后果。除了按照本须知第</w:t>
      </w:r>
      <w:r>
        <w:rPr>
          <w:rFonts w:hint="eastAsia" w:ascii="宋体" w:hAnsi="宋体"/>
          <w:kern w:val="0"/>
          <w:sz w:val="24"/>
          <w:szCs w:val="21"/>
          <w:highlight w:val="none"/>
          <w:lang w:val="en-US" w:eastAsia="zh-CN"/>
        </w:rPr>
        <w:t>19</w:t>
      </w:r>
      <w:r>
        <w:rPr>
          <w:rFonts w:hint="eastAsia" w:ascii="宋体" w:hAnsi="宋体"/>
          <w:kern w:val="0"/>
          <w:sz w:val="24"/>
          <w:szCs w:val="21"/>
          <w:highlight w:val="none"/>
        </w:rPr>
        <w:t>条的规定原封退回迟到的</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之外，</w:t>
      </w:r>
      <w:r>
        <w:rPr>
          <w:rFonts w:hint="eastAsia" w:ascii="宋体" w:hAnsi="宋体"/>
          <w:kern w:val="0"/>
          <w:sz w:val="24"/>
          <w:szCs w:val="21"/>
          <w:highlight w:val="none"/>
          <w:lang w:val="en-US" w:eastAsia="zh-CN"/>
        </w:rPr>
        <w:t>开启</w:t>
      </w:r>
      <w:r>
        <w:rPr>
          <w:rFonts w:hint="eastAsia" w:ascii="宋体" w:hAnsi="宋体"/>
          <w:kern w:val="0"/>
          <w:sz w:val="24"/>
          <w:szCs w:val="21"/>
          <w:highlight w:val="none"/>
        </w:rPr>
        <w:t>时将不得拒绝任何投标。</w:t>
      </w:r>
    </w:p>
    <w:p w14:paraId="70FC29BB">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24.2 </w:t>
      </w:r>
      <w:r>
        <w:rPr>
          <w:rFonts w:hint="eastAsia" w:ascii="宋体" w:hAnsi="宋体" w:cs="宋体"/>
          <w:sz w:val="24"/>
          <w:szCs w:val="24"/>
          <w:highlight w:val="none"/>
        </w:rPr>
        <w:t>开标时，</w:t>
      </w:r>
      <w:r>
        <w:rPr>
          <w:rFonts w:hint="eastAsia" w:ascii="宋体" w:hAnsi="宋体"/>
          <w:b w:val="0"/>
          <w:bCs w:val="0"/>
          <w:sz w:val="24"/>
          <w:szCs w:val="24"/>
          <w:highlight w:val="none"/>
          <w:lang w:val="en-US" w:eastAsia="zh-CN"/>
        </w:rPr>
        <w:t>采购代理机构在线上开启投标文件解密，后由各投标人在规定时间内在线解密投标文件</w:t>
      </w:r>
      <w:r>
        <w:rPr>
          <w:rFonts w:hint="eastAsia" w:ascii="宋体" w:hAnsi="宋体" w:cs="宋体"/>
          <w:sz w:val="24"/>
          <w:szCs w:val="24"/>
          <w:highlight w:val="none"/>
        </w:rPr>
        <w:t>。</w:t>
      </w:r>
      <w:r>
        <w:rPr>
          <w:rFonts w:hint="eastAsia" w:ascii="宋体" w:hAnsi="宋体" w:cs="宋体"/>
          <w:sz w:val="24"/>
          <w:szCs w:val="24"/>
          <w:highlight w:val="none"/>
          <w:lang w:val="en-US" w:eastAsia="zh-CN"/>
        </w:rPr>
        <w:t>未在规定时间内解密投标文件的视为放弃投标资格，投标文件在线解密时长为30分钟，因投标人自身原因未在规定时间内解密投标文件导致废标的，由投标人自行承担后果。在所有投标人解密投标文件或投标文件解密时间截止后，由采购代理机构在线公布投标人的报价、合同履行期限等内容。</w:t>
      </w:r>
      <w:r>
        <w:rPr>
          <w:rFonts w:hint="eastAsia" w:ascii="宋体" w:hAnsi="宋体" w:cs="宋体"/>
          <w:sz w:val="24"/>
          <w:szCs w:val="24"/>
          <w:highlight w:val="none"/>
        </w:rPr>
        <w:t>除了按照本须知第</w:t>
      </w:r>
      <w:r>
        <w:rPr>
          <w:rFonts w:ascii="宋体" w:hAnsi="宋体" w:cs="宋体"/>
          <w:sz w:val="24"/>
          <w:szCs w:val="24"/>
          <w:highlight w:val="none"/>
        </w:rPr>
        <w:t>22</w:t>
      </w:r>
      <w:r>
        <w:rPr>
          <w:rFonts w:hint="eastAsia" w:ascii="宋体" w:hAnsi="宋体" w:cs="宋体"/>
          <w:sz w:val="24"/>
          <w:szCs w:val="24"/>
          <w:highlight w:val="none"/>
        </w:rPr>
        <w:t>条的规定原封退回迟到的投标之外，开标时将不得拒绝任何投标。</w:t>
      </w:r>
    </w:p>
    <w:p w14:paraId="5A0BB634">
      <w:pPr>
        <w:spacing w:line="360" w:lineRule="auto"/>
        <w:ind w:firstLine="480" w:firstLineChars="200"/>
        <w:rPr>
          <w:rFonts w:ascii="宋体" w:cs="宋体"/>
          <w:sz w:val="24"/>
          <w:szCs w:val="24"/>
          <w:highlight w:val="none"/>
        </w:rPr>
      </w:pPr>
      <w:r>
        <w:rPr>
          <w:rFonts w:ascii="宋体" w:hAnsi="宋体" w:cs="宋体"/>
          <w:sz w:val="24"/>
          <w:szCs w:val="24"/>
          <w:highlight w:val="none"/>
        </w:rPr>
        <w:t>24.3</w:t>
      </w:r>
      <w:r>
        <w:rPr>
          <w:rFonts w:hint="eastAsia" w:ascii="宋体" w:hAnsi="宋体" w:cs="宋体"/>
          <w:sz w:val="24"/>
          <w:szCs w:val="24"/>
          <w:highlight w:val="none"/>
        </w:rPr>
        <w:t>投标人授权代表对开标过程和开标记录有疑义，以及认为采购人、采购代理机构相关工作人员有需要回避的情形的，应当场提出询问或者回避申请。</w:t>
      </w:r>
      <w:r>
        <w:rPr>
          <w:rFonts w:hint="eastAsia" w:ascii="宋体" w:hAnsi="宋体" w:cs="宋体"/>
          <w:sz w:val="24"/>
          <w:szCs w:val="32"/>
          <w:highlight w:val="none"/>
        </w:rPr>
        <w:t>若投标人当场未提出疑义，则认为投标人已确认开标过程和开标记录。</w:t>
      </w:r>
    </w:p>
    <w:p w14:paraId="4D08244D">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24.4 </w:t>
      </w:r>
      <w:r>
        <w:rPr>
          <w:rFonts w:hint="eastAsia" w:ascii="宋体" w:hAnsi="宋体" w:cs="宋体"/>
          <w:sz w:val="24"/>
          <w:szCs w:val="24"/>
          <w:highlight w:val="none"/>
        </w:rPr>
        <w:t>开标过程由采购代理机构将做开标记录，由参加开标的各投标人代表</w:t>
      </w:r>
      <w:r>
        <w:rPr>
          <w:rFonts w:hint="eastAsia" w:ascii="宋体" w:hAnsi="宋体" w:cs="宋体"/>
          <w:sz w:val="24"/>
          <w:szCs w:val="24"/>
          <w:highlight w:val="none"/>
          <w:lang w:val="en-US" w:eastAsia="zh-CN"/>
        </w:rPr>
        <w:t>在线</w:t>
      </w:r>
      <w:r>
        <w:rPr>
          <w:rFonts w:hint="eastAsia" w:ascii="宋体" w:hAnsi="宋体" w:cs="宋体"/>
          <w:sz w:val="24"/>
          <w:szCs w:val="24"/>
          <w:highlight w:val="none"/>
        </w:rPr>
        <w:t>签字确认。</w:t>
      </w:r>
    </w:p>
    <w:p w14:paraId="2C530148">
      <w:pPr>
        <w:spacing w:line="360" w:lineRule="auto"/>
        <w:ind w:firstLine="482" w:firstLineChars="200"/>
        <w:rPr>
          <w:rFonts w:ascii="宋体" w:cs="宋体"/>
          <w:b/>
          <w:sz w:val="24"/>
          <w:szCs w:val="24"/>
          <w:highlight w:val="none"/>
        </w:rPr>
      </w:pPr>
      <w:r>
        <w:rPr>
          <w:rFonts w:ascii="宋体" w:hAnsi="宋体" w:cs="宋体"/>
          <w:b/>
          <w:sz w:val="24"/>
          <w:szCs w:val="24"/>
          <w:highlight w:val="none"/>
        </w:rPr>
        <w:t>25.</w:t>
      </w:r>
      <w:r>
        <w:rPr>
          <w:rFonts w:hint="eastAsia" w:ascii="宋体" w:hAnsi="宋体" w:cs="宋体"/>
          <w:b/>
          <w:sz w:val="24"/>
          <w:szCs w:val="24"/>
          <w:highlight w:val="none"/>
        </w:rPr>
        <w:t>投标人的资格性审查</w:t>
      </w:r>
    </w:p>
    <w:p w14:paraId="0BB15AB9">
      <w:pPr>
        <w:spacing w:line="360" w:lineRule="auto"/>
        <w:ind w:firstLine="480" w:firstLineChars="200"/>
        <w:jc w:val="left"/>
        <w:rPr>
          <w:rFonts w:ascii="宋体" w:cs="宋体"/>
          <w:sz w:val="24"/>
          <w:szCs w:val="24"/>
          <w:highlight w:val="none"/>
        </w:rPr>
      </w:pPr>
      <w:r>
        <w:rPr>
          <w:rFonts w:hint="eastAsia" w:ascii="宋体" w:hAnsi="宋体" w:cs="宋体"/>
          <w:sz w:val="24"/>
          <w:szCs w:val="24"/>
          <w:highlight w:val="none"/>
        </w:rPr>
        <w:t>公开招标采购项目开标结束后，采购人或采购代理机构对投标人提交的资格证明材料进行审查，并在对应的审查意见一栏记录审查意见，合格投标人不足</w:t>
      </w:r>
      <w:r>
        <w:rPr>
          <w:rFonts w:ascii="宋体" w:hAnsi="宋体" w:cs="宋体"/>
          <w:sz w:val="24"/>
          <w:szCs w:val="24"/>
          <w:highlight w:val="none"/>
        </w:rPr>
        <w:t>3</w:t>
      </w:r>
      <w:r>
        <w:rPr>
          <w:rFonts w:hint="eastAsia" w:ascii="宋体" w:hAnsi="宋体" w:cs="宋体"/>
          <w:sz w:val="24"/>
          <w:szCs w:val="24"/>
          <w:highlight w:val="none"/>
        </w:rPr>
        <w:t>家的，不再开展评标工作。</w:t>
      </w:r>
    </w:p>
    <w:p w14:paraId="24BA6C6D">
      <w:pPr>
        <w:spacing w:line="360" w:lineRule="auto"/>
        <w:ind w:firstLine="482" w:firstLineChars="200"/>
        <w:rPr>
          <w:rFonts w:ascii="宋体" w:cs="宋体"/>
          <w:sz w:val="24"/>
          <w:szCs w:val="24"/>
          <w:highlight w:val="none"/>
        </w:rPr>
      </w:pPr>
      <w:r>
        <w:rPr>
          <w:rFonts w:ascii="宋体" w:hAnsi="宋体" w:cs="宋体"/>
          <w:b/>
          <w:sz w:val="24"/>
          <w:szCs w:val="24"/>
          <w:highlight w:val="none"/>
        </w:rPr>
        <w:t>26.</w:t>
      </w:r>
      <w:r>
        <w:rPr>
          <w:rFonts w:hint="eastAsia" w:ascii="宋体" w:hAnsi="宋体" w:cs="宋体"/>
          <w:b/>
          <w:sz w:val="24"/>
          <w:szCs w:val="24"/>
          <w:highlight w:val="none"/>
        </w:rPr>
        <w:t>评标</w:t>
      </w:r>
    </w:p>
    <w:p w14:paraId="393CE589">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26.1 </w:t>
      </w:r>
      <w:r>
        <w:rPr>
          <w:rFonts w:hint="eastAsia" w:ascii="宋体" w:hAnsi="宋体" w:cs="宋体"/>
          <w:b/>
          <w:bCs/>
          <w:sz w:val="24"/>
          <w:szCs w:val="24"/>
          <w:highlight w:val="none"/>
        </w:rPr>
        <w:t>评标委员会</w:t>
      </w:r>
    </w:p>
    <w:p w14:paraId="30B1D2D0">
      <w:pPr>
        <w:spacing w:line="360" w:lineRule="auto"/>
        <w:ind w:firstLine="480" w:firstLineChars="200"/>
        <w:rPr>
          <w:rFonts w:ascii="宋体" w:cs="宋体"/>
          <w:sz w:val="24"/>
          <w:szCs w:val="24"/>
          <w:highlight w:val="none"/>
        </w:rPr>
      </w:pPr>
      <w:r>
        <w:rPr>
          <w:rFonts w:ascii="宋体" w:hAnsi="宋体" w:cs="宋体"/>
          <w:sz w:val="24"/>
          <w:szCs w:val="24"/>
          <w:highlight w:val="none"/>
        </w:rPr>
        <w:t>26.1.1</w:t>
      </w:r>
      <w:r>
        <w:rPr>
          <w:rFonts w:hint="eastAsia" w:ascii="宋体" w:hAnsi="宋体" w:cs="宋体"/>
          <w:sz w:val="24"/>
          <w:szCs w:val="24"/>
          <w:highlight w:val="none"/>
        </w:rPr>
        <w:t>采购人或者采购代理机构将从新疆政府采购网的政府采购评审专家库中，通过随机方式抽取评审专家。</w:t>
      </w:r>
    </w:p>
    <w:p w14:paraId="2FF26A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26.1.2 评标委员会由采购人代表和评审专家组成，成员人数应当为5人以上单数，其中评审专家不得少于成员总数的三分之二。</w:t>
      </w:r>
    </w:p>
    <w:p w14:paraId="36A26CD5">
      <w:pPr>
        <w:spacing w:line="360" w:lineRule="auto"/>
        <w:ind w:firstLine="480" w:firstLineChars="200"/>
        <w:rPr>
          <w:rFonts w:ascii="宋体" w:cs="宋体"/>
          <w:sz w:val="24"/>
          <w:szCs w:val="24"/>
          <w:highlight w:val="none"/>
        </w:rPr>
      </w:pPr>
      <w:r>
        <w:rPr>
          <w:rFonts w:ascii="宋体" w:hAnsi="宋体" w:cs="宋体"/>
          <w:sz w:val="24"/>
          <w:szCs w:val="24"/>
          <w:highlight w:val="none"/>
        </w:rPr>
        <w:t>26.1.3</w:t>
      </w:r>
      <w:r>
        <w:rPr>
          <w:rFonts w:hint="eastAsia" w:ascii="宋体" w:hAnsi="宋体" w:cs="宋体"/>
          <w:sz w:val="24"/>
          <w:szCs w:val="24"/>
          <w:highlight w:val="none"/>
        </w:rPr>
        <w:t>评标委员会负责评标工作，应当对合格投标人（通过资格审查）的投标文件进行审查、评价投标文件是否符合招标文件的商务、技术等实质性要求，要求投标人对投标文件有关事项作出澄清或者说明，对投标文件进行比较和评价等，确定中标候选人名单或根据采购人委托直接确定中标人，根据全体评标成员签字的原始评标记录和评标结果编写评标报告。</w:t>
      </w:r>
    </w:p>
    <w:p w14:paraId="32DC1101">
      <w:pPr>
        <w:spacing w:line="360" w:lineRule="auto"/>
        <w:ind w:firstLine="482" w:firstLineChars="200"/>
        <w:rPr>
          <w:rFonts w:ascii="宋体" w:cs="宋体"/>
          <w:b/>
          <w:bCs/>
          <w:sz w:val="24"/>
          <w:szCs w:val="24"/>
          <w:highlight w:val="none"/>
        </w:rPr>
      </w:pPr>
      <w:r>
        <w:rPr>
          <w:rFonts w:ascii="宋体" w:hAnsi="宋体" w:cs="宋体"/>
          <w:b/>
          <w:bCs/>
          <w:sz w:val="24"/>
          <w:szCs w:val="24"/>
          <w:highlight w:val="none"/>
        </w:rPr>
        <w:t>26.2</w:t>
      </w:r>
      <w:r>
        <w:rPr>
          <w:rFonts w:hint="eastAsia" w:ascii="宋体" w:hAnsi="宋体" w:cs="宋体"/>
          <w:b/>
          <w:bCs/>
          <w:sz w:val="24"/>
          <w:szCs w:val="24"/>
          <w:highlight w:val="none"/>
        </w:rPr>
        <w:t>评标方法：</w:t>
      </w:r>
      <w:r>
        <w:rPr>
          <w:rFonts w:hint="eastAsia" w:ascii="宋体" w:hAnsi="宋体" w:cs="宋体"/>
          <w:sz w:val="24"/>
          <w:szCs w:val="24"/>
          <w:highlight w:val="none"/>
        </w:rPr>
        <w:t>详见投标人须知前附表。</w:t>
      </w:r>
    </w:p>
    <w:p w14:paraId="766122CE">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26.3 </w:t>
      </w:r>
      <w:r>
        <w:rPr>
          <w:rFonts w:hint="eastAsia" w:ascii="宋体" w:hAnsi="宋体" w:cs="宋体"/>
          <w:b/>
          <w:bCs/>
          <w:sz w:val="24"/>
          <w:szCs w:val="24"/>
          <w:highlight w:val="none"/>
        </w:rPr>
        <w:t>投标文件的澄清</w:t>
      </w:r>
    </w:p>
    <w:p w14:paraId="5D8D18F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26.3.1 </w:t>
      </w:r>
      <w:r>
        <w:rPr>
          <w:rFonts w:hint="eastAsia" w:ascii="宋体" w:hAnsi="宋体" w:cs="宋体"/>
          <w:sz w:val="24"/>
          <w:szCs w:val="24"/>
          <w:highlight w:val="none"/>
        </w:rPr>
        <w:t>在评标期间，对于投标文件中含义不明确、同类问题表述不一致或者有明显文字和计算错误的内容，评标委员会应当</w:t>
      </w:r>
      <w:r>
        <w:rPr>
          <w:rFonts w:hint="eastAsia" w:ascii="宋体" w:hAnsi="宋体" w:cs="宋体"/>
          <w:sz w:val="24"/>
          <w:szCs w:val="24"/>
          <w:highlight w:val="none"/>
          <w:lang w:val="en-US" w:eastAsia="zh-CN"/>
        </w:rPr>
        <w:t>在线</w:t>
      </w:r>
      <w:r>
        <w:rPr>
          <w:rFonts w:hint="eastAsia" w:ascii="宋体" w:hAnsi="宋体" w:cs="宋体"/>
          <w:sz w:val="24"/>
          <w:szCs w:val="24"/>
          <w:highlight w:val="none"/>
        </w:rPr>
        <w:t>以书面形式要求投标人作出必要的澄清、说明或者补正。投标人的澄清、说明或者补正应当采用书面形式</w:t>
      </w:r>
      <w:r>
        <w:rPr>
          <w:rFonts w:hint="eastAsia" w:ascii="宋体" w:hAnsi="宋体" w:cs="宋体"/>
          <w:sz w:val="24"/>
          <w:szCs w:val="24"/>
          <w:highlight w:val="none"/>
          <w:lang w:val="en-US" w:eastAsia="zh-CN"/>
        </w:rPr>
        <w:t>线上回函</w:t>
      </w:r>
      <w:r>
        <w:rPr>
          <w:rFonts w:hint="eastAsia" w:ascii="宋体" w:hAnsi="宋体" w:cs="宋体"/>
          <w:sz w:val="24"/>
          <w:szCs w:val="24"/>
          <w:highlight w:val="none"/>
        </w:rPr>
        <w:t>，并加盖公章</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或电子章</w:t>
      </w:r>
      <w:r>
        <w:rPr>
          <w:rFonts w:hint="eastAsia" w:ascii="宋体" w:hAnsi="宋体" w:cs="宋体"/>
          <w:sz w:val="24"/>
          <w:szCs w:val="24"/>
          <w:highlight w:val="none"/>
          <w:lang w:eastAsia="zh-CN"/>
        </w:rPr>
        <w:t>）</w:t>
      </w:r>
      <w:r>
        <w:rPr>
          <w:rFonts w:hint="eastAsia" w:ascii="宋体" w:hAnsi="宋体" w:cs="宋体"/>
          <w:sz w:val="24"/>
          <w:szCs w:val="24"/>
          <w:highlight w:val="none"/>
        </w:rPr>
        <w:t>，或者由法定代表人或其授权的代表签字。投标人的澄清、说明或者补正不得超出投标文件的范围或者改变投标文件的实质性内容。澄清的内容为投标文件的组成部分。</w:t>
      </w:r>
    </w:p>
    <w:p w14:paraId="13B0017C">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26.4 </w:t>
      </w:r>
      <w:r>
        <w:rPr>
          <w:rFonts w:hint="eastAsia" w:ascii="宋体" w:hAnsi="宋体" w:cs="宋体"/>
          <w:b/>
          <w:sz w:val="24"/>
          <w:szCs w:val="24"/>
          <w:highlight w:val="none"/>
        </w:rPr>
        <w:t>投标文件的初审（符合性审查）</w:t>
      </w:r>
    </w:p>
    <w:p w14:paraId="666DD233">
      <w:pPr>
        <w:spacing w:line="360" w:lineRule="auto"/>
        <w:ind w:firstLine="480" w:firstLineChars="200"/>
        <w:rPr>
          <w:rFonts w:ascii="宋体" w:cs="宋体"/>
          <w:sz w:val="24"/>
          <w:szCs w:val="24"/>
          <w:highlight w:val="none"/>
        </w:rPr>
      </w:pPr>
      <w:r>
        <w:rPr>
          <w:rFonts w:ascii="宋体" w:hAnsi="宋体" w:cs="宋体"/>
          <w:sz w:val="24"/>
          <w:szCs w:val="24"/>
          <w:highlight w:val="none"/>
        </w:rPr>
        <w:t>26.4.1</w:t>
      </w:r>
      <w:r>
        <w:rPr>
          <w:rFonts w:hint="eastAsia" w:ascii="宋体" w:hAnsi="宋体" w:cs="宋体"/>
          <w:sz w:val="24"/>
          <w:szCs w:val="24"/>
          <w:highlight w:val="none"/>
        </w:rPr>
        <w:t>评标委员会将对符合资格的投标人的投标文件进行符合性审查，以确定其是否满足招标文件的实质性要求。</w:t>
      </w:r>
    </w:p>
    <w:p w14:paraId="21C5490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26.4.2 </w:t>
      </w:r>
      <w:r>
        <w:rPr>
          <w:rFonts w:hint="eastAsia" w:ascii="宋体" w:hAnsi="宋体" w:cs="宋体"/>
          <w:sz w:val="24"/>
          <w:szCs w:val="24"/>
          <w:highlight w:val="none"/>
        </w:rPr>
        <w:t>投标文件报价出现前后不一致的，按照下列规定修正：</w:t>
      </w:r>
    </w:p>
    <w:p w14:paraId="27EB524A">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）开标一览表内容与投标文件中相应内容不一致的，以开标一览表为准；</w:t>
      </w:r>
    </w:p>
    <w:p w14:paraId="388C6CC5">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）大写金额和小写金额不一致的，以大写金额为准；</w:t>
      </w:r>
    </w:p>
    <w:p w14:paraId="5006C92D">
      <w:pPr>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）单价金额小数点或者百分比有明显错位的，以开标一览表的总价为准，并修改单价；</w:t>
      </w:r>
    </w:p>
    <w:p w14:paraId="56C874D0">
      <w:pPr>
        <w:spacing w:line="360" w:lineRule="auto"/>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）总价金额与按单价汇总金额不一致的，以单价金额计算结果为准。</w:t>
      </w:r>
    </w:p>
    <w:p w14:paraId="677B23E9">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同时出现两种以上不一致的，按照前款规定的顺序修正。修正后的报价按照本须知第</w:t>
      </w:r>
      <w:r>
        <w:rPr>
          <w:rFonts w:ascii="宋体" w:hAnsi="宋体" w:cs="宋体"/>
          <w:sz w:val="24"/>
          <w:szCs w:val="24"/>
          <w:highlight w:val="none"/>
        </w:rPr>
        <w:t>26.3.1</w:t>
      </w:r>
      <w:r>
        <w:rPr>
          <w:rFonts w:hint="eastAsia" w:ascii="宋体" w:hAnsi="宋体" w:cs="宋体"/>
          <w:sz w:val="24"/>
          <w:szCs w:val="24"/>
          <w:highlight w:val="none"/>
        </w:rPr>
        <w:t>条的规定经投标人确认后产生约束力，投标人不确认的，其投标无效。</w:t>
      </w:r>
    </w:p>
    <w:p w14:paraId="2DB0942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26.4.3 </w:t>
      </w:r>
      <w:r>
        <w:rPr>
          <w:rFonts w:hint="eastAsia" w:ascii="宋体" w:hAnsi="宋体" w:cs="宋体"/>
          <w:sz w:val="24"/>
          <w:szCs w:val="24"/>
          <w:highlight w:val="none"/>
        </w:rPr>
        <w:t>对于投标文件中不构成实质性偏差的不正规、不一致或不规则，评标委员会将进行综合打分。</w:t>
      </w:r>
    </w:p>
    <w:p w14:paraId="67017F5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26.4.4 </w:t>
      </w:r>
      <w:r>
        <w:rPr>
          <w:rFonts w:hint="eastAsia" w:ascii="宋体" w:hAnsi="宋体" w:cs="宋体"/>
          <w:sz w:val="24"/>
          <w:szCs w:val="24"/>
          <w:highlight w:val="none"/>
        </w:rPr>
        <w:t>在详细评标之前，根据本须知第</w:t>
      </w:r>
      <w:r>
        <w:rPr>
          <w:rFonts w:ascii="宋体" w:hAnsi="宋体" w:cs="宋体"/>
          <w:sz w:val="24"/>
          <w:szCs w:val="24"/>
          <w:highlight w:val="none"/>
        </w:rPr>
        <w:t>26.4.5</w:t>
      </w:r>
      <w:r>
        <w:rPr>
          <w:rFonts w:hint="eastAsia" w:ascii="宋体" w:hAnsi="宋体" w:cs="宋体"/>
          <w:sz w:val="24"/>
          <w:szCs w:val="24"/>
          <w:highlight w:val="none"/>
        </w:rPr>
        <w:t>条和第</w:t>
      </w:r>
      <w:r>
        <w:rPr>
          <w:rFonts w:ascii="宋体" w:hAnsi="宋体" w:cs="宋体"/>
          <w:sz w:val="24"/>
          <w:szCs w:val="24"/>
          <w:highlight w:val="none"/>
        </w:rPr>
        <w:t>26.4.6</w:t>
      </w:r>
      <w:r>
        <w:rPr>
          <w:rFonts w:hint="eastAsia" w:ascii="宋体" w:hAnsi="宋体" w:cs="宋体"/>
          <w:sz w:val="24"/>
          <w:szCs w:val="24"/>
          <w:highlight w:val="none"/>
        </w:rPr>
        <w:t>条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14:paraId="0759ADD0">
      <w:pPr>
        <w:spacing w:line="360" w:lineRule="auto"/>
        <w:ind w:firstLine="482" w:firstLineChars="200"/>
        <w:rPr>
          <w:rFonts w:ascii="宋体" w:cs="宋体"/>
          <w:b/>
          <w:sz w:val="24"/>
          <w:szCs w:val="24"/>
          <w:highlight w:val="none"/>
        </w:rPr>
      </w:pPr>
      <w:r>
        <w:rPr>
          <w:rFonts w:ascii="宋体" w:hAnsi="宋体" w:cs="宋体"/>
          <w:b/>
          <w:sz w:val="24"/>
          <w:szCs w:val="24"/>
          <w:highlight w:val="none"/>
        </w:rPr>
        <w:t xml:space="preserve">26.4.5 </w:t>
      </w:r>
      <w:r>
        <w:rPr>
          <w:rFonts w:hint="eastAsia" w:ascii="宋体" w:hAnsi="宋体" w:cs="宋体"/>
          <w:b/>
          <w:sz w:val="24"/>
          <w:szCs w:val="24"/>
          <w:highlight w:val="none"/>
        </w:rPr>
        <w:t>实质上没有响应招标文件要求的投标将作无效投标处理。投标人不得通过修正或撤销不合要求的偏离或保留从而使其投标成为实质上响应的投标。投标人存在下列情况之一的，投标无效：</w:t>
      </w:r>
    </w:p>
    <w:p w14:paraId="31EB6982">
      <w:pPr>
        <w:numPr>
          <w:ilvl w:val="0"/>
          <w:numId w:val="0"/>
        </w:numPr>
        <w:tabs>
          <w:tab w:val="left" w:pos="780"/>
          <w:tab w:val="left" w:pos="900"/>
        </w:tabs>
        <w:spacing w:line="360" w:lineRule="auto"/>
        <w:ind w:left="0" w:leftChars="0" w:firstLine="422" w:firstLineChars="200"/>
        <w:rPr>
          <w:highlight w:val="none"/>
        </w:rPr>
      </w:pPr>
      <w:r>
        <w:rPr>
          <w:rFonts w:hint="eastAsia" w:ascii="Times New Roman" w:hAnsi="Times New Roman" w:eastAsia="宋体" w:cs="Times New Roman"/>
          <w:b/>
          <w:kern w:val="2"/>
          <w:sz w:val="21"/>
          <w:lang w:val="en-US" w:eastAsia="zh-CN" w:bidi="ar-SA"/>
        </w:rPr>
        <w:t>1)</w:t>
      </w:r>
      <w:r>
        <w:rPr>
          <w:rFonts w:hint="eastAsia" w:ascii="宋体" w:hAnsi="宋体" w:cs="宋体"/>
          <w:b/>
          <w:sz w:val="24"/>
          <w:szCs w:val="24"/>
          <w:highlight w:val="none"/>
          <w:u w:val="single"/>
        </w:rPr>
        <w:t>投标文件未按照招标文件要求签署、盖章、提交的，或签字人无法定代表人有效委托书的；</w:t>
      </w:r>
    </w:p>
    <w:p w14:paraId="54702B07">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2)</w:t>
      </w:r>
      <w:r>
        <w:rPr>
          <w:rFonts w:hint="eastAsia" w:ascii="宋体" w:hAnsi="宋体" w:cs="宋体"/>
          <w:b/>
          <w:sz w:val="24"/>
          <w:szCs w:val="24"/>
          <w:highlight w:val="none"/>
          <w:u w:val="single"/>
        </w:rPr>
        <w:t>报价超过招标文件中规定的预算金额或者最高限价的；</w:t>
      </w:r>
    </w:p>
    <w:p w14:paraId="18AA0298">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3)</w:t>
      </w:r>
      <w:r>
        <w:rPr>
          <w:rFonts w:hint="eastAsia" w:ascii="宋体" w:hAnsi="宋体" w:cs="宋体"/>
          <w:b/>
          <w:sz w:val="24"/>
          <w:szCs w:val="24"/>
          <w:highlight w:val="none"/>
          <w:u w:val="single"/>
        </w:rPr>
        <w:t>合同履行期限不满足招标文件要求的；</w:t>
      </w:r>
    </w:p>
    <w:p w14:paraId="097A0FDA">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4)</w:t>
      </w:r>
      <w:r>
        <w:rPr>
          <w:rFonts w:hint="eastAsia" w:ascii="宋体" w:hAnsi="宋体" w:cs="宋体"/>
          <w:b/>
          <w:sz w:val="24"/>
          <w:szCs w:val="24"/>
          <w:highlight w:val="none"/>
          <w:u w:val="single"/>
        </w:rPr>
        <w:t>投标文件含有采购人不能接受的附加条件的；</w:t>
      </w:r>
    </w:p>
    <w:p w14:paraId="20726E44">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5)</w:t>
      </w:r>
      <w:r>
        <w:rPr>
          <w:rFonts w:hint="eastAsia" w:ascii="宋体" w:hAnsi="宋体" w:cs="宋体"/>
          <w:b/>
          <w:sz w:val="24"/>
          <w:szCs w:val="24"/>
          <w:highlight w:val="none"/>
          <w:u w:val="single"/>
        </w:rPr>
        <w:t>投标有效期不足；</w:t>
      </w:r>
    </w:p>
    <w:p w14:paraId="4B48C4F8">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6)</w:t>
      </w:r>
      <w:r>
        <w:rPr>
          <w:rFonts w:hint="eastAsia" w:ascii="宋体" w:hAnsi="宋体" w:cs="宋体"/>
          <w:b/>
          <w:sz w:val="24"/>
          <w:szCs w:val="24"/>
          <w:highlight w:val="none"/>
          <w:u w:val="single"/>
        </w:rPr>
        <w:t>投标报价不全，或投标人在同一份投标文件中对同一招标货物或服务报有两个或多个报价的，但招标文件要求提交备选投标的除外；</w:t>
      </w:r>
    </w:p>
    <w:p w14:paraId="7A3176AD">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7)</w:t>
      </w:r>
      <w:r>
        <w:rPr>
          <w:rFonts w:hint="eastAsia" w:ascii="宋体" w:hAnsi="宋体" w:cs="宋体"/>
          <w:b/>
          <w:sz w:val="24"/>
          <w:szCs w:val="24"/>
          <w:highlight w:val="none"/>
          <w:u w:val="single"/>
        </w:rPr>
        <w:t>不接受评委对投标文件报价出现前后不一致的修正；</w:t>
      </w:r>
    </w:p>
    <w:p w14:paraId="072FE7F0">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8)</w:t>
      </w:r>
      <w:r>
        <w:rPr>
          <w:rFonts w:hint="eastAsia" w:ascii="宋体" w:hAnsi="宋体" w:cs="宋体"/>
          <w:b/>
          <w:sz w:val="24"/>
          <w:szCs w:val="24"/>
          <w:highlight w:val="none"/>
          <w:u w:val="single"/>
        </w:rPr>
        <w:t>投标人有串通投标、弄虚作假、行贿等违法行为；</w:t>
      </w:r>
    </w:p>
    <w:p w14:paraId="37B76DA2">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9)</w:t>
      </w:r>
      <w:r>
        <w:rPr>
          <w:rFonts w:hint="eastAsia" w:ascii="宋体" w:hAnsi="宋体" w:cs="宋体"/>
          <w:b/>
          <w:sz w:val="24"/>
          <w:szCs w:val="24"/>
          <w:highlight w:val="none"/>
          <w:u w:val="single"/>
        </w:rPr>
        <w:t>投标文件没有对招标文件的实质性要求和条件作出响应的；</w:t>
      </w:r>
    </w:p>
    <w:p w14:paraId="0188D28E">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10)</w:t>
      </w:r>
      <w:r>
        <w:rPr>
          <w:rFonts w:hint="eastAsia" w:ascii="宋体" w:hAnsi="宋体" w:cs="宋体"/>
          <w:b/>
          <w:sz w:val="24"/>
          <w:szCs w:val="24"/>
          <w:highlight w:val="none"/>
          <w:u w:val="single"/>
        </w:rPr>
        <w:t>法律、法规和招标文件中规定的其他无效情形；</w:t>
      </w:r>
    </w:p>
    <w:p w14:paraId="124A03C8">
      <w:pPr>
        <w:tabs>
          <w:tab w:val="left" w:pos="780"/>
          <w:tab w:val="left" w:pos="900"/>
        </w:tabs>
        <w:spacing w:line="360" w:lineRule="auto"/>
        <w:ind w:left="482"/>
        <w:rPr>
          <w:rFonts w:ascii="宋体" w:cs="宋体"/>
          <w:b/>
          <w:sz w:val="24"/>
          <w:szCs w:val="24"/>
          <w:highlight w:val="none"/>
        </w:rPr>
      </w:pPr>
      <w:r>
        <w:rPr>
          <w:rFonts w:ascii="宋体" w:hAnsi="宋体" w:cs="宋体"/>
          <w:b/>
          <w:sz w:val="24"/>
          <w:szCs w:val="24"/>
          <w:highlight w:val="none"/>
        </w:rPr>
        <w:t>26.4.6</w:t>
      </w:r>
      <w:r>
        <w:rPr>
          <w:rFonts w:hint="eastAsia" w:ascii="宋体" w:hAnsi="宋体" w:cs="宋体"/>
          <w:b/>
          <w:sz w:val="24"/>
          <w:szCs w:val="24"/>
          <w:highlight w:val="none"/>
        </w:rPr>
        <w:t>有下列情形之一的，视为投标人串通投标，其投标无效：</w:t>
      </w:r>
    </w:p>
    <w:p w14:paraId="408458AE">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1</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不同投标人的投标文件由同一单位或者个人编制；</w:t>
      </w:r>
    </w:p>
    <w:p w14:paraId="147AE7D0">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2</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不同投标人委托同一单位或者个人办理投标事宜；</w:t>
      </w:r>
    </w:p>
    <w:p w14:paraId="20A626CE">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3</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不同投标人的投标文件载明的项目管理成员或者联系人员为同一人；</w:t>
      </w:r>
    </w:p>
    <w:p w14:paraId="3928A149">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4</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不同投标人的投标文件异常一致或者投标报价呈规律性差异；</w:t>
      </w:r>
    </w:p>
    <w:p w14:paraId="3B044FBB">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5</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不同投标人的投标文件相互混装；</w:t>
      </w:r>
    </w:p>
    <w:p w14:paraId="7C1F4A90">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6</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不同投标人的投标保证金从同一单位或者个人的账户转出。</w:t>
      </w:r>
    </w:p>
    <w:p w14:paraId="2E33857A">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26.5 </w:t>
      </w:r>
      <w:r>
        <w:rPr>
          <w:rFonts w:hint="eastAsia" w:ascii="宋体" w:hAnsi="宋体" w:cs="宋体"/>
          <w:b/>
          <w:sz w:val="24"/>
          <w:szCs w:val="24"/>
          <w:highlight w:val="none"/>
        </w:rPr>
        <w:t>投标文件的详细评审</w:t>
      </w:r>
    </w:p>
    <w:p w14:paraId="06B2C820">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26.5.1 </w:t>
      </w:r>
      <w:r>
        <w:rPr>
          <w:rFonts w:hint="eastAsia" w:ascii="宋体" w:hAnsi="宋体" w:cs="宋体"/>
          <w:sz w:val="24"/>
          <w:szCs w:val="24"/>
          <w:highlight w:val="none"/>
        </w:rPr>
        <w:t>评标委员会将按照本须知第</w:t>
      </w:r>
      <w:r>
        <w:rPr>
          <w:rFonts w:ascii="宋体" w:hAnsi="宋体" w:cs="宋体"/>
          <w:sz w:val="24"/>
          <w:szCs w:val="24"/>
          <w:highlight w:val="none"/>
        </w:rPr>
        <w:t>26.4</w:t>
      </w:r>
      <w:r>
        <w:rPr>
          <w:rFonts w:hint="eastAsia" w:ascii="宋体" w:hAnsi="宋体" w:cs="宋体"/>
          <w:sz w:val="24"/>
          <w:szCs w:val="24"/>
          <w:highlight w:val="none"/>
        </w:rPr>
        <w:t>条规定，只对确定为实质上响应招标文件要求的投标进行详细评审。</w:t>
      </w:r>
    </w:p>
    <w:p w14:paraId="58A95C2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26.5.2 </w:t>
      </w:r>
      <w:r>
        <w:rPr>
          <w:rFonts w:hint="eastAsia" w:ascii="宋体" w:hAnsi="宋体" w:cs="宋体"/>
          <w:sz w:val="24"/>
          <w:szCs w:val="24"/>
          <w:highlight w:val="none"/>
        </w:rPr>
        <w:t>详细评审即以招标文件为依据，对所有实质上响应的投标分别从“商务”、“技术”和“价格”三个方面进行评审并按照百分制进行综合打分（详见第六章评标标准）。</w:t>
      </w:r>
    </w:p>
    <w:p w14:paraId="2096C2D3">
      <w:pPr>
        <w:spacing w:line="360" w:lineRule="auto"/>
        <w:ind w:firstLine="482" w:firstLineChars="200"/>
        <w:rPr>
          <w:rFonts w:ascii="宋体" w:cs="宋体"/>
          <w:b/>
          <w:sz w:val="24"/>
          <w:szCs w:val="24"/>
          <w:highlight w:val="none"/>
        </w:rPr>
      </w:pPr>
      <w:r>
        <w:rPr>
          <w:rFonts w:ascii="宋体" w:hAnsi="宋体" w:cs="宋体"/>
          <w:b/>
          <w:sz w:val="24"/>
          <w:szCs w:val="24"/>
          <w:highlight w:val="none"/>
        </w:rPr>
        <w:t>26.6</w:t>
      </w:r>
      <w:r>
        <w:rPr>
          <w:rFonts w:hint="eastAsia" w:ascii="宋体" w:hAnsi="宋体" w:cs="宋体"/>
          <w:b/>
          <w:sz w:val="24"/>
          <w:szCs w:val="24"/>
          <w:highlight w:val="none"/>
        </w:rPr>
        <w:t>中标人的确定</w:t>
      </w:r>
    </w:p>
    <w:p w14:paraId="54ABA457">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评标委员会对进入详细评审的投标人进行综合评分并按得分由高到低顺序排列，得分相同的，按投标报价由低到高顺序排列，得分且投标报价相同的，按评审因素的技术指标评审得分高低顺序。由采购人按照评标委员会推荐的中标候选人顺序确定中标投标人。</w:t>
      </w:r>
    </w:p>
    <w:p w14:paraId="060E4402">
      <w:pPr>
        <w:spacing w:line="360" w:lineRule="auto"/>
        <w:ind w:firstLine="482" w:firstLineChars="200"/>
        <w:rPr>
          <w:rFonts w:ascii="宋体" w:cs="宋体"/>
          <w:b/>
          <w:sz w:val="24"/>
          <w:szCs w:val="24"/>
          <w:highlight w:val="none"/>
        </w:rPr>
      </w:pPr>
      <w:r>
        <w:rPr>
          <w:rFonts w:ascii="宋体" w:hAnsi="宋体" w:cs="宋体"/>
          <w:b/>
          <w:sz w:val="24"/>
          <w:szCs w:val="24"/>
          <w:highlight w:val="none"/>
        </w:rPr>
        <w:t>27.</w:t>
      </w:r>
      <w:r>
        <w:rPr>
          <w:rFonts w:hint="eastAsia" w:ascii="宋体" w:hAnsi="宋体" w:cs="宋体"/>
          <w:b/>
          <w:sz w:val="24"/>
          <w:szCs w:val="24"/>
          <w:highlight w:val="none"/>
        </w:rPr>
        <w:t>与采购代理机构、采购人和评标委员会的接触</w:t>
      </w:r>
    </w:p>
    <w:p w14:paraId="62ECE014">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27.1 </w:t>
      </w:r>
      <w:r>
        <w:rPr>
          <w:rFonts w:hint="eastAsia" w:ascii="宋体" w:hAnsi="宋体" w:cs="宋体"/>
          <w:sz w:val="24"/>
          <w:szCs w:val="24"/>
          <w:highlight w:val="none"/>
        </w:rPr>
        <w:t>除本须知第</w:t>
      </w:r>
      <w:r>
        <w:rPr>
          <w:rFonts w:ascii="宋体" w:hAnsi="宋体" w:cs="宋体"/>
          <w:sz w:val="24"/>
          <w:szCs w:val="24"/>
          <w:highlight w:val="none"/>
        </w:rPr>
        <w:t>26.3</w:t>
      </w:r>
      <w:r>
        <w:rPr>
          <w:rFonts w:hint="eastAsia" w:ascii="宋体" w:hAnsi="宋体" w:cs="宋体"/>
          <w:sz w:val="24"/>
          <w:szCs w:val="24"/>
          <w:highlight w:val="none"/>
        </w:rPr>
        <w:t>条的规定外，从开标之日起至公布中标结果之日止，投标人不得就与其投标有关的事项与采购代理机构、采购人以及评标委员会成员接触，但经评标委员会同意的澄清、答疑期间除外。</w:t>
      </w:r>
    </w:p>
    <w:p w14:paraId="3273AE5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27.2 </w:t>
      </w:r>
      <w:r>
        <w:rPr>
          <w:rFonts w:hint="eastAsia" w:ascii="宋体" w:hAnsi="宋体" w:cs="宋体"/>
          <w:sz w:val="24"/>
          <w:szCs w:val="24"/>
          <w:highlight w:val="none"/>
        </w:rPr>
        <w:t>投标人试图对采购代理机构、采购人和评标委员会的评标、比较或授予合同的决定进行影响，都可能导致其投标无效。</w:t>
      </w:r>
      <w:bookmarkStart w:id="59" w:name="_Toc2511974"/>
      <w:bookmarkStart w:id="60" w:name="_Toc2355233"/>
      <w:bookmarkStart w:id="61" w:name="_Toc493422653"/>
      <w:bookmarkStart w:id="62" w:name="_Toc14776841"/>
      <w:bookmarkStart w:id="63" w:name="_Toc322446894"/>
    </w:p>
    <w:p w14:paraId="208AD152">
      <w:pPr>
        <w:spacing w:line="360" w:lineRule="auto"/>
        <w:rPr>
          <w:rFonts w:ascii="宋体" w:cs="宋体"/>
          <w:b/>
          <w:sz w:val="24"/>
          <w:szCs w:val="24"/>
          <w:highlight w:val="none"/>
        </w:rPr>
      </w:pPr>
      <w:r>
        <w:rPr>
          <w:rFonts w:hint="eastAsia" w:ascii="宋体" w:hAnsi="宋体" w:cs="宋体"/>
          <w:b/>
          <w:sz w:val="24"/>
          <w:szCs w:val="24"/>
          <w:highlight w:val="none"/>
        </w:rPr>
        <w:t>六、授予合同</w:t>
      </w:r>
      <w:bookmarkEnd w:id="59"/>
      <w:bookmarkEnd w:id="60"/>
      <w:bookmarkEnd w:id="61"/>
      <w:bookmarkEnd w:id="62"/>
      <w:bookmarkEnd w:id="63"/>
    </w:p>
    <w:p w14:paraId="79A1ECB3">
      <w:pPr>
        <w:spacing w:line="360" w:lineRule="auto"/>
        <w:ind w:firstLine="482" w:firstLineChars="200"/>
        <w:rPr>
          <w:rFonts w:ascii="宋体" w:cs="宋体"/>
          <w:b/>
          <w:sz w:val="24"/>
          <w:szCs w:val="24"/>
          <w:highlight w:val="none"/>
        </w:rPr>
      </w:pPr>
      <w:r>
        <w:rPr>
          <w:rFonts w:ascii="宋体" w:hAnsi="宋体" w:cs="宋体"/>
          <w:b/>
          <w:sz w:val="24"/>
          <w:szCs w:val="24"/>
          <w:highlight w:val="none"/>
        </w:rPr>
        <w:t>28.</w:t>
      </w:r>
      <w:r>
        <w:rPr>
          <w:rFonts w:hint="eastAsia" w:ascii="宋体" w:hAnsi="宋体" w:cs="宋体"/>
          <w:b/>
          <w:sz w:val="24"/>
          <w:szCs w:val="24"/>
          <w:highlight w:val="none"/>
        </w:rPr>
        <w:t>合同授予标准</w:t>
      </w:r>
    </w:p>
    <w:p w14:paraId="13A561C0">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28.1 </w:t>
      </w:r>
      <w:r>
        <w:rPr>
          <w:rFonts w:hint="eastAsia" w:ascii="宋体" w:hAnsi="宋体" w:cs="宋体"/>
          <w:sz w:val="24"/>
          <w:szCs w:val="24"/>
          <w:highlight w:val="none"/>
        </w:rPr>
        <w:t>除第</w:t>
      </w:r>
      <w:r>
        <w:rPr>
          <w:rFonts w:ascii="宋体" w:hAnsi="宋体" w:cs="宋体"/>
          <w:sz w:val="24"/>
          <w:szCs w:val="24"/>
          <w:highlight w:val="none"/>
        </w:rPr>
        <w:t>31</w:t>
      </w:r>
      <w:r>
        <w:rPr>
          <w:rFonts w:hint="eastAsia" w:ascii="宋体" w:hAnsi="宋体" w:cs="宋体"/>
          <w:sz w:val="24"/>
          <w:szCs w:val="24"/>
          <w:highlight w:val="none"/>
        </w:rPr>
        <w:t>条的规定之外，采购代理机构将把合同授予被确定为实质上响应招标文件的要求并有履行合同能力的具有合理报价的合格投标人。</w:t>
      </w:r>
    </w:p>
    <w:p w14:paraId="7AC2C7DC">
      <w:pPr>
        <w:spacing w:line="360" w:lineRule="auto"/>
        <w:ind w:firstLine="482" w:firstLineChars="200"/>
        <w:rPr>
          <w:rFonts w:ascii="宋体" w:cs="宋体"/>
          <w:b/>
          <w:sz w:val="24"/>
          <w:szCs w:val="24"/>
          <w:highlight w:val="none"/>
        </w:rPr>
      </w:pPr>
      <w:r>
        <w:rPr>
          <w:rFonts w:ascii="宋体" w:hAnsi="宋体" w:cs="宋体"/>
          <w:b/>
          <w:sz w:val="24"/>
          <w:szCs w:val="24"/>
          <w:highlight w:val="none"/>
        </w:rPr>
        <w:t>29.</w:t>
      </w:r>
      <w:r>
        <w:rPr>
          <w:rFonts w:hint="eastAsia" w:ascii="宋体" w:hAnsi="宋体" w:cs="宋体"/>
          <w:b/>
          <w:sz w:val="24"/>
          <w:szCs w:val="24"/>
          <w:highlight w:val="none"/>
        </w:rPr>
        <w:t>接受和拒绝任何或所有投标的权利</w:t>
      </w:r>
    </w:p>
    <w:p w14:paraId="72CF2ED1">
      <w:pPr>
        <w:spacing w:line="360" w:lineRule="auto"/>
        <w:ind w:firstLine="480" w:firstLineChars="200"/>
        <w:rPr>
          <w:rFonts w:ascii="宋体" w:cs="宋体"/>
          <w:sz w:val="24"/>
          <w:szCs w:val="24"/>
          <w:highlight w:val="none"/>
        </w:rPr>
      </w:pPr>
      <w:r>
        <w:rPr>
          <w:rFonts w:ascii="宋体" w:hAnsi="宋体" w:cs="宋体"/>
          <w:sz w:val="24"/>
          <w:szCs w:val="24"/>
          <w:highlight w:val="none"/>
        </w:rPr>
        <w:t>29.1</w:t>
      </w:r>
      <w:r>
        <w:rPr>
          <w:rFonts w:hint="eastAsia" w:ascii="宋体" w:hAnsi="宋体" w:cs="宋体"/>
          <w:sz w:val="24"/>
          <w:szCs w:val="24"/>
          <w:highlight w:val="none"/>
        </w:rPr>
        <w:t>采购人或采购代理机构保留依法定事由、不可抗力或政府采购主管部门相关要求，拒绝任何或所有投标的权利，或宣布招标无效的权利。对受影响的投标人不承担任何责任。</w:t>
      </w:r>
    </w:p>
    <w:p w14:paraId="3BC20BF9">
      <w:pPr>
        <w:spacing w:line="360" w:lineRule="auto"/>
        <w:ind w:firstLine="482" w:firstLineChars="200"/>
        <w:rPr>
          <w:rFonts w:ascii="宋体" w:cs="宋体"/>
          <w:b/>
          <w:sz w:val="24"/>
          <w:szCs w:val="24"/>
          <w:highlight w:val="none"/>
        </w:rPr>
      </w:pPr>
      <w:r>
        <w:rPr>
          <w:rFonts w:ascii="宋体" w:hAnsi="宋体" w:cs="宋体"/>
          <w:b/>
          <w:sz w:val="24"/>
          <w:szCs w:val="24"/>
          <w:highlight w:val="none"/>
        </w:rPr>
        <w:t>30.</w:t>
      </w:r>
      <w:r>
        <w:rPr>
          <w:rFonts w:hint="eastAsia" w:ascii="宋体" w:hAnsi="宋体" w:cs="宋体"/>
          <w:b/>
          <w:sz w:val="24"/>
          <w:szCs w:val="24"/>
          <w:highlight w:val="none"/>
        </w:rPr>
        <w:t>中标通知书</w:t>
      </w:r>
    </w:p>
    <w:p w14:paraId="4BA2F247">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30.1 </w:t>
      </w:r>
      <w:r>
        <w:rPr>
          <w:rFonts w:hint="eastAsia" w:ascii="宋体" w:hAnsi="宋体" w:cs="宋体"/>
          <w:sz w:val="24"/>
          <w:szCs w:val="24"/>
          <w:highlight w:val="none"/>
        </w:rPr>
        <w:t>中标人确定后，采购代理机构将向中标人发出中标通知书，告知未中标人本人的评审得分与排序。</w:t>
      </w:r>
    </w:p>
    <w:p w14:paraId="2BF33E17">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30.2 </w:t>
      </w:r>
      <w:r>
        <w:rPr>
          <w:rFonts w:hint="eastAsia" w:ascii="宋体" w:hAnsi="宋体" w:cs="宋体"/>
          <w:sz w:val="24"/>
          <w:szCs w:val="24"/>
          <w:highlight w:val="none"/>
        </w:rPr>
        <w:t>中标通知书是合同的一个组成部分，没有提交书面中标通知书所签署的合同属于无效合同。</w:t>
      </w:r>
    </w:p>
    <w:p w14:paraId="30E159CF">
      <w:pPr>
        <w:spacing w:line="360" w:lineRule="auto"/>
        <w:ind w:firstLine="480" w:firstLineChars="200"/>
        <w:rPr>
          <w:rFonts w:ascii="宋体" w:cs="宋体"/>
          <w:sz w:val="24"/>
          <w:szCs w:val="24"/>
          <w:highlight w:val="none"/>
        </w:rPr>
      </w:pPr>
      <w:r>
        <w:rPr>
          <w:rFonts w:ascii="宋体" w:hAnsi="宋体" w:cs="宋体"/>
          <w:sz w:val="24"/>
          <w:szCs w:val="24"/>
          <w:highlight w:val="none"/>
        </w:rPr>
        <w:t>30.3</w:t>
      </w:r>
      <w:r>
        <w:rPr>
          <w:rFonts w:hint="eastAsia" w:ascii="宋体" w:hAnsi="宋体" w:cs="宋体"/>
          <w:sz w:val="24"/>
          <w:szCs w:val="24"/>
          <w:highlight w:val="none"/>
        </w:rPr>
        <w:t>中标结果公告发布后，中标人到代理机构领取中标通知书，未中标的投标人到代理机构领取落标通知书。</w:t>
      </w:r>
    </w:p>
    <w:p w14:paraId="700528E7">
      <w:pPr>
        <w:spacing w:line="360" w:lineRule="auto"/>
        <w:ind w:firstLine="482" w:firstLineChars="200"/>
        <w:rPr>
          <w:rFonts w:ascii="宋体" w:cs="宋体"/>
          <w:b/>
          <w:sz w:val="24"/>
          <w:szCs w:val="24"/>
          <w:highlight w:val="none"/>
        </w:rPr>
      </w:pPr>
      <w:r>
        <w:rPr>
          <w:rFonts w:ascii="宋体" w:hAnsi="宋体" w:cs="宋体"/>
          <w:b/>
          <w:sz w:val="24"/>
          <w:szCs w:val="24"/>
          <w:highlight w:val="none"/>
        </w:rPr>
        <w:t>31.</w:t>
      </w:r>
      <w:r>
        <w:rPr>
          <w:rFonts w:hint="eastAsia" w:ascii="宋体" w:hAnsi="宋体" w:cs="宋体"/>
          <w:b/>
          <w:sz w:val="24"/>
          <w:szCs w:val="24"/>
          <w:highlight w:val="none"/>
        </w:rPr>
        <w:t>签订合同</w:t>
      </w:r>
    </w:p>
    <w:p w14:paraId="7AECAE38">
      <w:pPr>
        <w:spacing w:line="360" w:lineRule="auto"/>
        <w:ind w:firstLine="480" w:firstLineChars="200"/>
        <w:rPr>
          <w:rFonts w:ascii="宋体" w:cs="宋体"/>
          <w:sz w:val="24"/>
          <w:szCs w:val="24"/>
          <w:highlight w:val="none"/>
        </w:rPr>
      </w:pPr>
      <w:r>
        <w:rPr>
          <w:rFonts w:ascii="宋体" w:hAnsi="宋体" w:cs="宋体"/>
          <w:sz w:val="24"/>
          <w:szCs w:val="24"/>
          <w:highlight w:val="none"/>
        </w:rPr>
        <w:t>31.1</w:t>
      </w:r>
      <w:r>
        <w:rPr>
          <w:rFonts w:hint="eastAsia" w:ascii="宋体" w:hAnsi="宋体" w:cs="宋体"/>
          <w:sz w:val="24"/>
          <w:szCs w:val="24"/>
          <w:highlight w:val="none"/>
        </w:rPr>
        <w:t>中标人应当自中标通知书发出之日起三十日内，按照招标文件和中标人投标文件的约定，与采购人签订书面合同。所签订的合同不得对招标文件和中标供商投标文件作实质性修改。</w:t>
      </w:r>
    </w:p>
    <w:p w14:paraId="143A7531">
      <w:pPr>
        <w:spacing w:line="360" w:lineRule="auto"/>
        <w:ind w:firstLine="480" w:firstLineChars="200"/>
        <w:rPr>
          <w:rFonts w:ascii="宋体" w:hAnsi="宋体" w:cs="宋体"/>
          <w:sz w:val="24"/>
          <w:highlight w:val="none"/>
        </w:rPr>
      </w:pPr>
      <w:r>
        <w:rPr>
          <w:rFonts w:ascii="宋体" w:hAnsi="宋体" w:cs="宋体"/>
          <w:sz w:val="24"/>
          <w:szCs w:val="24"/>
          <w:highlight w:val="none"/>
        </w:rPr>
        <w:t>31.2</w:t>
      </w:r>
      <w:r>
        <w:rPr>
          <w:rFonts w:hint="eastAsia" w:ascii="宋体" w:hAnsi="宋体" w:cs="宋体"/>
          <w:sz w:val="24"/>
          <w:highlight w:val="none"/>
        </w:rPr>
        <w:t>如中标人没有按照本须知</w:t>
      </w:r>
      <w:r>
        <w:rPr>
          <w:rFonts w:ascii="宋体" w:hAnsi="宋体" w:cs="宋体"/>
          <w:sz w:val="24"/>
          <w:highlight w:val="none"/>
        </w:rPr>
        <w:t>31.1</w:t>
      </w:r>
      <w:r>
        <w:rPr>
          <w:rFonts w:hint="eastAsia" w:ascii="宋体" w:hAnsi="宋体" w:cs="宋体"/>
          <w:sz w:val="24"/>
          <w:highlight w:val="none"/>
        </w:rPr>
        <w:t>条规定执行，应当依法承担法律责任，投标保证金也将不予退还。在此情况下，招标采购单位可将合同授予排名在中标人下一位的中标候选人，也可以重新招标。</w:t>
      </w:r>
    </w:p>
    <w:p w14:paraId="1A697285">
      <w:pPr>
        <w:pStyle w:val="9"/>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31.3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5FF94FAC">
      <w:pPr>
        <w:spacing w:line="360" w:lineRule="auto"/>
        <w:ind w:firstLine="482" w:firstLineChars="200"/>
        <w:rPr>
          <w:rFonts w:hint="default" w:ascii="宋体" w:hAnsi="宋体" w:cs="宋体"/>
          <w:sz w:val="24"/>
          <w:highlight w:val="none"/>
          <w:lang w:val="en-US" w:eastAsia="zh-CN"/>
        </w:rPr>
        <w:sectPr>
          <w:pgSz w:w="11906" w:h="16838"/>
          <w:pgMar w:top="1440" w:right="1800" w:bottom="1440" w:left="1800" w:header="624" w:footer="964" w:gutter="0"/>
          <w:cols w:space="720" w:num="1"/>
          <w:docGrid w:type="lines" w:linePitch="312" w:charSpace="0"/>
        </w:sectPr>
      </w:pPr>
      <w:r>
        <w:rPr>
          <w:rFonts w:hint="eastAsia" w:ascii="宋体" w:hAnsi="宋体" w:cs="宋体"/>
          <w:b/>
          <w:bCs/>
          <w:sz w:val="24"/>
          <w:highlight w:val="none"/>
          <w:lang w:val="en-US" w:eastAsia="zh-CN"/>
        </w:rPr>
        <w:t>32履约保证金</w:t>
      </w:r>
      <w:r>
        <w:rPr>
          <w:rFonts w:hint="eastAsia" w:ascii="宋体" w:hAnsi="宋体" w:cs="宋体"/>
          <w:sz w:val="24"/>
          <w:highlight w:val="none"/>
          <w:lang w:val="en-US" w:eastAsia="zh-CN"/>
        </w:rPr>
        <w:t>：详见投标人须知前附表</w:t>
      </w:r>
    </w:p>
    <w:p w14:paraId="0F76407D">
      <w:pPr>
        <w:pStyle w:val="16"/>
        <w:spacing w:line="336" w:lineRule="auto"/>
        <w:ind w:firstLine="883" w:firstLineChars="200"/>
        <w:textAlignment w:val="center"/>
        <w:rPr>
          <w:rStyle w:val="53"/>
        </w:rPr>
      </w:pPr>
      <w:r>
        <w:rPr>
          <w:rStyle w:val="53"/>
          <w:rFonts w:hint="eastAsia"/>
        </w:rPr>
        <w:t>第四章评审程序、评审方法和评审标准</w:t>
      </w:r>
    </w:p>
    <w:p w14:paraId="6ACBACC1">
      <w:pPr>
        <w:pStyle w:val="3"/>
        <w:jc w:val="center"/>
        <w:rPr>
          <w:rFonts w:hint="eastAsia"/>
        </w:rPr>
      </w:pPr>
      <w:bookmarkStart w:id="64" w:name="_Toc15736"/>
      <w:r>
        <w:rPr>
          <w:rFonts w:hint="eastAsia"/>
        </w:rPr>
        <w:t>第一节 评审程序和评审方法</w:t>
      </w:r>
      <w:bookmarkEnd w:id="64"/>
    </w:p>
    <w:p w14:paraId="4050BDF4">
      <w:pPr>
        <w:pStyle w:val="3"/>
        <w:jc w:val="center"/>
      </w:pPr>
      <w:r>
        <w:rPr>
          <w:rFonts w:hint="eastAsia" w:ascii="宋体" w:hAnsi="宋体" w:eastAsia="宋体"/>
        </w:rPr>
        <w:t>资格审查表</w:t>
      </w:r>
    </w:p>
    <w:tbl>
      <w:tblPr>
        <w:tblStyle w:val="31"/>
        <w:tblpPr w:leftFromText="180" w:rightFromText="180" w:vertAnchor="text" w:horzAnchor="page" w:tblpX="854" w:tblpY="528"/>
        <w:tblOverlap w:val="never"/>
        <w:tblW w:w="10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1974"/>
        <w:gridCol w:w="25"/>
        <w:gridCol w:w="1983"/>
        <w:gridCol w:w="6213"/>
      </w:tblGrid>
      <w:tr w14:paraId="368D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noWrap/>
            <w:vAlign w:val="center"/>
          </w:tcPr>
          <w:p w14:paraId="1608FC4B">
            <w:pPr>
              <w:pStyle w:val="4"/>
              <w:spacing w:line="360" w:lineRule="auto"/>
              <w:rPr>
                <w:rFonts w:ascii="宋体" w:hAnsi="宋体"/>
              </w:rPr>
            </w:pPr>
            <w:r>
              <w:rPr>
                <w:rFonts w:hint="eastAsia" w:ascii="宋体" w:hAnsi="宋体"/>
              </w:rPr>
              <w:t>序号</w:t>
            </w:r>
          </w:p>
        </w:tc>
        <w:tc>
          <w:tcPr>
            <w:tcW w:w="3982" w:type="dxa"/>
            <w:gridSpan w:val="3"/>
            <w:noWrap/>
            <w:vAlign w:val="center"/>
          </w:tcPr>
          <w:p w14:paraId="36E931E5">
            <w:pPr>
              <w:pStyle w:val="4"/>
              <w:rPr>
                <w:rFonts w:ascii="宋体" w:hAnsi="宋体"/>
              </w:rPr>
            </w:pPr>
            <w:r>
              <w:rPr>
                <w:rFonts w:hint="eastAsia" w:ascii="宋体" w:hAnsi="宋体"/>
              </w:rPr>
              <w:t>检查因素</w:t>
            </w:r>
          </w:p>
        </w:tc>
        <w:tc>
          <w:tcPr>
            <w:tcW w:w="6213" w:type="dxa"/>
            <w:noWrap/>
            <w:vAlign w:val="center"/>
          </w:tcPr>
          <w:p w14:paraId="6AA24908">
            <w:pPr>
              <w:pStyle w:val="4"/>
              <w:rPr>
                <w:rFonts w:ascii="宋体" w:hAnsi="宋体"/>
              </w:rPr>
            </w:pPr>
            <w:r>
              <w:rPr>
                <w:rFonts w:hint="eastAsia" w:ascii="宋体" w:hAnsi="宋体"/>
              </w:rPr>
              <w:t>检查内容</w:t>
            </w:r>
          </w:p>
        </w:tc>
      </w:tr>
      <w:tr w14:paraId="3637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Merge w:val="restart"/>
            <w:noWrap/>
            <w:vAlign w:val="center"/>
          </w:tcPr>
          <w:p w14:paraId="2B7BD6CF">
            <w:pPr>
              <w:pStyle w:val="4"/>
              <w:rPr>
                <w:rFonts w:ascii="宋体" w:hAnsi="宋体"/>
              </w:rPr>
            </w:pPr>
            <w:r>
              <w:rPr>
                <w:rFonts w:hint="eastAsia" w:ascii="宋体" w:hAnsi="宋体"/>
              </w:rPr>
              <w:t>1</w:t>
            </w:r>
          </w:p>
        </w:tc>
        <w:tc>
          <w:tcPr>
            <w:tcW w:w="1974" w:type="dxa"/>
            <w:vMerge w:val="restart"/>
            <w:noWrap/>
            <w:vAlign w:val="center"/>
          </w:tcPr>
          <w:p w14:paraId="66F4568A">
            <w:pPr>
              <w:pStyle w:val="4"/>
              <w:ind w:firstLine="0"/>
              <w:jc w:val="center"/>
              <w:rPr>
                <w:rFonts w:ascii="宋体" w:hAnsi="宋体"/>
              </w:rPr>
            </w:pPr>
            <w:r>
              <w:rPr>
                <w:rFonts w:hint="eastAsia" w:ascii="宋体" w:hAnsi="宋体"/>
              </w:rPr>
              <w:t>符合《中华人民共和国政府采购法》第二十二条规定，提供：</w:t>
            </w:r>
          </w:p>
        </w:tc>
        <w:tc>
          <w:tcPr>
            <w:tcW w:w="2008" w:type="dxa"/>
            <w:gridSpan w:val="2"/>
            <w:noWrap/>
            <w:vAlign w:val="center"/>
          </w:tcPr>
          <w:p w14:paraId="3D01EFF9">
            <w:pPr>
              <w:pStyle w:val="4"/>
              <w:ind w:firstLine="0"/>
              <w:rPr>
                <w:rFonts w:ascii="宋体" w:hAnsi="宋体"/>
              </w:rPr>
            </w:pPr>
            <w:r>
              <w:rPr>
                <w:rFonts w:hint="eastAsia" w:ascii="宋体" w:hAnsi="宋体"/>
              </w:rPr>
              <w:t>（1）具有独立承担民事责任的能力</w:t>
            </w:r>
          </w:p>
        </w:tc>
        <w:tc>
          <w:tcPr>
            <w:tcW w:w="6213" w:type="dxa"/>
            <w:noWrap/>
            <w:vAlign w:val="center"/>
          </w:tcPr>
          <w:p w14:paraId="4C44C525">
            <w:pPr>
              <w:pStyle w:val="4"/>
              <w:rPr>
                <w:rFonts w:ascii="宋体" w:hAnsi="宋体" w:cs="宋体"/>
                <w:szCs w:val="21"/>
              </w:rPr>
            </w:pPr>
            <w:r>
              <w:rPr>
                <w:rFonts w:hint="eastAsia" w:ascii="宋体" w:hAnsi="宋体" w:cs="宋体"/>
                <w:szCs w:val="21"/>
              </w:rPr>
              <w:t>提供合法有效的法人营业执照</w:t>
            </w:r>
          </w:p>
        </w:tc>
      </w:tr>
      <w:tr w14:paraId="1260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77" w:type="dxa"/>
            <w:vMerge w:val="continue"/>
            <w:noWrap/>
            <w:vAlign w:val="center"/>
          </w:tcPr>
          <w:p w14:paraId="593E997D">
            <w:pPr>
              <w:pStyle w:val="4"/>
              <w:rPr>
                <w:rFonts w:ascii="宋体" w:hAnsi="宋体"/>
              </w:rPr>
            </w:pPr>
          </w:p>
        </w:tc>
        <w:tc>
          <w:tcPr>
            <w:tcW w:w="1974" w:type="dxa"/>
            <w:vMerge w:val="continue"/>
            <w:noWrap/>
            <w:vAlign w:val="center"/>
          </w:tcPr>
          <w:p w14:paraId="366FC755">
            <w:pPr>
              <w:pStyle w:val="4"/>
              <w:ind w:firstLine="0"/>
              <w:jc w:val="center"/>
              <w:rPr>
                <w:rFonts w:ascii="宋体" w:hAnsi="宋体"/>
              </w:rPr>
            </w:pPr>
          </w:p>
        </w:tc>
        <w:tc>
          <w:tcPr>
            <w:tcW w:w="2008" w:type="dxa"/>
            <w:gridSpan w:val="2"/>
            <w:noWrap/>
            <w:vAlign w:val="center"/>
          </w:tcPr>
          <w:p w14:paraId="08AD62E1">
            <w:pPr>
              <w:pStyle w:val="4"/>
              <w:ind w:firstLine="0"/>
              <w:rPr>
                <w:rFonts w:ascii="宋体" w:hAnsi="宋体"/>
              </w:rPr>
            </w:pPr>
            <w:r>
              <w:rPr>
                <w:rFonts w:hint="eastAsia" w:ascii="宋体" w:hAnsi="宋体"/>
              </w:rPr>
              <w:t>（2）具有良好的商业信誉和健全的财务会计制度</w:t>
            </w:r>
          </w:p>
        </w:tc>
        <w:tc>
          <w:tcPr>
            <w:tcW w:w="6213" w:type="dxa"/>
            <w:noWrap/>
            <w:vAlign w:val="center"/>
          </w:tcPr>
          <w:p w14:paraId="7CAEC44E">
            <w:pPr>
              <w:pStyle w:val="4"/>
              <w:rPr>
                <w:rFonts w:ascii="宋体" w:hAnsi="宋体" w:cs="宋体"/>
                <w:szCs w:val="21"/>
              </w:rPr>
            </w:pPr>
            <w:r>
              <w:rPr>
                <w:rFonts w:hint="eastAsia" w:ascii="宋体" w:hAnsi="宋体" w:cs="宋体"/>
                <w:szCs w:val="21"/>
              </w:rPr>
              <w:t>投标人提供本单位2023年度经会计师事务所出具的审计报告复印件</w:t>
            </w:r>
            <w:r>
              <w:rPr>
                <w:rFonts w:hint="eastAsia" w:hAnsi="宋体" w:cs="宋体"/>
                <w:szCs w:val="28"/>
              </w:rPr>
              <w:t>或财务报表</w:t>
            </w:r>
            <w:r>
              <w:rPr>
                <w:rFonts w:hint="eastAsia" w:ascii="宋体" w:hAnsi="宋体" w:cs="宋体"/>
                <w:szCs w:val="21"/>
              </w:rPr>
              <w:t>并加盖投标人公章（或电子章）。成立不足一年的，则需提供近期的财务报表。说明：审计报告复印件至少应包括资产负债表、利润表、现金流量表及其附注、加盖会计师事务所公章页。</w:t>
            </w:r>
          </w:p>
        </w:tc>
      </w:tr>
      <w:tr w14:paraId="471B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Merge w:val="continue"/>
            <w:noWrap/>
            <w:vAlign w:val="center"/>
          </w:tcPr>
          <w:p w14:paraId="36635EB3">
            <w:pPr>
              <w:pStyle w:val="4"/>
              <w:rPr>
                <w:rFonts w:ascii="宋体" w:hAnsi="宋体"/>
              </w:rPr>
            </w:pPr>
          </w:p>
        </w:tc>
        <w:tc>
          <w:tcPr>
            <w:tcW w:w="1974" w:type="dxa"/>
            <w:vMerge w:val="continue"/>
            <w:noWrap/>
            <w:vAlign w:val="center"/>
          </w:tcPr>
          <w:p w14:paraId="288FDA59">
            <w:pPr>
              <w:pStyle w:val="4"/>
              <w:rPr>
                <w:rFonts w:ascii="宋体" w:hAnsi="宋体"/>
              </w:rPr>
            </w:pPr>
          </w:p>
        </w:tc>
        <w:tc>
          <w:tcPr>
            <w:tcW w:w="2008" w:type="dxa"/>
            <w:gridSpan w:val="2"/>
            <w:noWrap/>
            <w:vAlign w:val="center"/>
          </w:tcPr>
          <w:p w14:paraId="72A4D9E2">
            <w:pPr>
              <w:pStyle w:val="4"/>
              <w:ind w:firstLine="0"/>
              <w:rPr>
                <w:rFonts w:ascii="宋体" w:hAnsi="宋体"/>
              </w:rPr>
            </w:pPr>
            <w:r>
              <w:rPr>
                <w:rFonts w:hint="eastAsia" w:ascii="宋体" w:hAnsi="宋体"/>
              </w:rPr>
              <w:t>（3）具有履行合同所必须的设备和专业技术能力</w:t>
            </w:r>
          </w:p>
        </w:tc>
        <w:tc>
          <w:tcPr>
            <w:tcW w:w="6213" w:type="dxa"/>
            <w:noWrap/>
            <w:vAlign w:val="center"/>
          </w:tcPr>
          <w:p w14:paraId="1F71C7D9">
            <w:pPr>
              <w:pStyle w:val="4"/>
              <w:rPr>
                <w:rFonts w:ascii="宋体" w:hAnsi="宋体" w:cs="宋体"/>
                <w:szCs w:val="21"/>
              </w:rPr>
            </w:pPr>
            <w:r>
              <w:rPr>
                <w:rFonts w:hint="eastAsia" w:ascii="宋体" w:hAnsi="宋体" w:cs="宋体"/>
                <w:szCs w:val="21"/>
              </w:rPr>
              <w:t>根据项目需求提供履行合同所必需的设备和专业技术能力的加盖单位公章的书面承诺函</w:t>
            </w:r>
          </w:p>
        </w:tc>
      </w:tr>
      <w:tr w14:paraId="6C27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Merge w:val="continue"/>
            <w:noWrap/>
            <w:vAlign w:val="center"/>
          </w:tcPr>
          <w:p w14:paraId="567AC977">
            <w:pPr>
              <w:pStyle w:val="4"/>
              <w:rPr>
                <w:rFonts w:ascii="宋体" w:hAnsi="宋体"/>
              </w:rPr>
            </w:pPr>
          </w:p>
        </w:tc>
        <w:tc>
          <w:tcPr>
            <w:tcW w:w="1974" w:type="dxa"/>
            <w:vMerge w:val="continue"/>
            <w:noWrap/>
            <w:vAlign w:val="center"/>
          </w:tcPr>
          <w:p w14:paraId="16F85205">
            <w:pPr>
              <w:pStyle w:val="4"/>
              <w:rPr>
                <w:rFonts w:ascii="宋体" w:hAnsi="宋体"/>
              </w:rPr>
            </w:pPr>
          </w:p>
        </w:tc>
        <w:tc>
          <w:tcPr>
            <w:tcW w:w="2008" w:type="dxa"/>
            <w:gridSpan w:val="2"/>
            <w:noWrap/>
            <w:vAlign w:val="center"/>
          </w:tcPr>
          <w:p w14:paraId="37A51450">
            <w:pPr>
              <w:pStyle w:val="4"/>
              <w:ind w:firstLine="0"/>
              <w:rPr>
                <w:rFonts w:ascii="宋体" w:hAnsi="宋体"/>
              </w:rPr>
            </w:pPr>
            <w:r>
              <w:rPr>
                <w:rFonts w:hint="eastAsia" w:ascii="宋体" w:hAnsi="宋体"/>
              </w:rPr>
              <w:t>（4）有依法缴纳税收和社会保障金的良好记录</w:t>
            </w:r>
          </w:p>
        </w:tc>
        <w:tc>
          <w:tcPr>
            <w:tcW w:w="6213" w:type="dxa"/>
            <w:noWrap/>
            <w:vAlign w:val="center"/>
          </w:tcPr>
          <w:p w14:paraId="3DF2C8B3">
            <w:pPr>
              <w:pStyle w:val="4"/>
              <w:rPr>
                <w:rFonts w:ascii="宋体" w:hAnsi="宋体" w:cs="宋体"/>
                <w:szCs w:val="21"/>
              </w:rPr>
            </w:pPr>
            <w:r>
              <w:rPr>
                <w:rFonts w:hint="eastAsia" w:ascii="宋体" w:hAnsi="宋体" w:cs="宋体"/>
                <w:szCs w:val="21"/>
              </w:rPr>
              <w:t>提供参加本次政府采购活动前近半年内任意一个月的依法缴纳税收和社会保障资金的相关材料</w:t>
            </w:r>
          </w:p>
        </w:tc>
      </w:tr>
      <w:tr w14:paraId="1B58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77" w:type="dxa"/>
            <w:vMerge w:val="continue"/>
            <w:noWrap/>
            <w:vAlign w:val="center"/>
          </w:tcPr>
          <w:p w14:paraId="04B7D64F">
            <w:pPr>
              <w:pStyle w:val="4"/>
              <w:rPr>
                <w:rFonts w:ascii="宋体" w:hAnsi="宋体"/>
              </w:rPr>
            </w:pPr>
          </w:p>
        </w:tc>
        <w:tc>
          <w:tcPr>
            <w:tcW w:w="1974" w:type="dxa"/>
            <w:vMerge w:val="continue"/>
            <w:noWrap/>
            <w:vAlign w:val="center"/>
          </w:tcPr>
          <w:p w14:paraId="7B03716F">
            <w:pPr>
              <w:pStyle w:val="4"/>
              <w:rPr>
                <w:rFonts w:ascii="宋体" w:hAnsi="宋体"/>
              </w:rPr>
            </w:pPr>
          </w:p>
        </w:tc>
        <w:tc>
          <w:tcPr>
            <w:tcW w:w="2008" w:type="dxa"/>
            <w:gridSpan w:val="2"/>
            <w:noWrap/>
            <w:vAlign w:val="center"/>
          </w:tcPr>
          <w:p w14:paraId="1E32CE84">
            <w:pPr>
              <w:pStyle w:val="4"/>
              <w:ind w:firstLine="0"/>
              <w:rPr>
                <w:rFonts w:ascii="宋体" w:hAnsi="宋体"/>
              </w:rPr>
            </w:pPr>
            <w:r>
              <w:rPr>
                <w:rFonts w:hint="eastAsia" w:ascii="宋体" w:hAnsi="宋体"/>
              </w:rPr>
              <w:t>（5）参加政府采购活动近3年内，在经营活动中没有重大违法记录</w:t>
            </w:r>
          </w:p>
        </w:tc>
        <w:tc>
          <w:tcPr>
            <w:tcW w:w="6213" w:type="dxa"/>
            <w:noWrap/>
            <w:vAlign w:val="center"/>
          </w:tcPr>
          <w:p w14:paraId="02B27361">
            <w:pPr>
              <w:pStyle w:val="4"/>
              <w:rPr>
                <w:rFonts w:ascii="宋体" w:hAnsi="宋体" w:cs="宋体"/>
                <w:szCs w:val="21"/>
              </w:rPr>
            </w:pPr>
            <w:r>
              <w:rPr>
                <w:rFonts w:hint="eastAsia" w:ascii="宋体" w:hAnsi="宋体" w:cs="宋体"/>
                <w:szCs w:val="21"/>
              </w:rPr>
              <w:t>提供参加本次政府采购活动前3年内在经营活动中没有重大违法记录的书面承诺函并加盖单位公章</w:t>
            </w:r>
          </w:p>
        </w:tc>
      </w:tr>
      <w:tr w14:paraId="7078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7" w:type="dxa"/>
            <w:noWrap/>
            <w:vAlign w:val="center"/>
          </w:tcPr>
          <w:p w14:paraId="65C419DD">
            <w:pPr>
              <w:pStyle w:val="4"/>
              <w:rPr>
                <w:rFonts w:ascii="宋体" w:hAnsi="宋体"/>
              </w:rPr>
            </w:pPr>
            <w:r>
              <w:rPr>
                <w:rFonts w:hint="eastAsia" w:ascii="宋体" w:hAnsi="宋体"/>
              </w:rPr>
              <w:t>2</w:t>
            </w:r>
          </w:p>
        </w:tc>
        <w:tc>
          <w:tcPr>
            <w:tcW w:w="1999" w:type="dxa"/>
            <w:gridSpan w:val="2"/>
            <w:noWrap/>
            <w:vAlign w:val="center"/>
          </w:tcPr>
          <w:p w14:paraId="48D013EF">
            <w:pPr>
              <w:pStyle w:val="4"/>
              <w:ind w:firstLine="0"/>
              <w:rPr>
                <w:rFonts w:ascii="宋体" w:hAnsi="宋体"/>
              </w:rPr>
            </w:pPr>
          </w:p>
        </w:tc>
        <w:tc>
          <w:tcPr>
            <w:tcW w:w="1983" w:type="dxa"/>
            <w:noWrap/>
            <w:vAlign w:val="center"/>
          </w:tcPr>
          <w:p w14:paraId="446EDD21">
            <w:pPr>
              <w:pStyle w:val="4"/>
              <w:ind w:firstLine="0"/>
              <w:rPr>
                <w:rFonts w:ascii="宋体" w:hAnsi="宋体"/>
              </w:rPr>
            </w:pPr>
            <w:r>
              <w:rPr>
                <w:rFonts w:hint="eastAsia" w:ascii="宋体" w:hAnsi="宋体"/>
              </w:rPr>
              <w:t>（6）法律、行政法规规定的其他条件。</w:t>
            </w:r>
          </w:p>
        </w:tc>
        <w:tc>
          <w:tcPr>
            <w:tcW w:w="6213" w:type="dxa"/>
            <w:noWrap/>
            <w:vAlign w:val="center"/>
          </w:tcPr>
          <w:p w14:paraId="5CDC6229">
            <w:pPr>
              <w:pStyle w:val="4"/>
              <w:rPr>
                <w:rFonts w:ascii="宋体" w:hAnsi="宋体"/>
              </w:rPr>
            </w:pPr>
            <w:r>
              <w:rPr>
                <w:rFonts w:hint="eastAsia" w:ascii="宋体" w:hAnsi="宋体" w:cs="宋体"/>
                <w:szCs w:val="21"/>
              </w:rPr>
              <w:t>根据《财政部关于在政府采购活动中查询及使用信用记录有关问题的通知》（财库﹝2016﹞125号）的要求，凡拟参加本次招标项目的投标人，如在“信用中国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tc>
      </w:tr>
      <w:tr w14:paraId="4E17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77" w:type="dxa"/>
            <w:noWrap/>
            <w:vAlign w:val="center"/>
          </w:tcPr>
          <w:p w14:paraId="06C41194">
            <w:pPr>
              <w:pStyle w:val="4"/>
              <w:rPr>
                <w:rFonts w:ascii="宋体" w:hAnsi="宋体"/>
              </w:rPr>
            </w:pPr>
            <w:r>
              <w:rPr>
                <w:rFonts w:hint="eastAsia" w:ascii="宋体" w:hAnsi="宋体"/>
              </w:rPr>
              <w:t>3</w:t>
            </w:r>
          </w:p>
        </w:tc>
        <w:tc>
          <w:tcPr>
            <w:tcW w:w="3982" w:type="dxa"/>
            <w:gridSpan w:val="3"/>
            <w:noWrap/>
            <w:vAlign w:val="center"/>
          </w:tcPr>
          <w:p w14:paraId="10446677">
            <w:pPr>
              <w:pStyle w:val="4"/>
              <w:jc w:val="center"/>
              <w:rPr>
                <w:rFonts w:ascii="宋体" w:hAnsi="宋体"/>
              </w:rPr>
            </w:pPr>
            <w:r>
              <w:rPr>
                <w:rFonts w:hint="eastAsia" w:ascii="宋体" w:hAnsi="宋体"/>
              </w:rPr>
              <w:t>其他</w:t>
            </w:r>
          </w:p>
        </w:tc>
        <w:tc>
          <w:tcPr>
            <w:tcW w:w="6213" w:type="dxa"/>
            <w:noWrap/>
            <w:vAlign w:val="center"/>
          </w:tcPr>
          <w:p w14:paraId="257AB6EF">
            <w:pPr>
              <w:pStyle w:val="4"/>
              <w:rPr>
                <w:rFonts w:ascii="宋体" w:hAnsi="宋体"/>
              </w:rPr>
            </w:pPr>
            <w:r>
              <w:rPr>
                <w:rFonts w:hint="eastAsia" w:ascii="宋体" w:hAnsi="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投标人提供相关承诺函并加盖投标人单位公章。</w:t>
            </w:r>
          </w:p>
        </w:tc>
      </w:tr>
      <w:tr w14:paraId="2599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77" w:type="dxa"/>
            <w:noWrap/>
            <w:vAlign w:val="center"/>
          </w:tcPr>
          <w:p w14:paraId="425A8EAD">
            <w:pPr>
              <w:pStyle w:val="4"/>
              <w:rPr>
                <w:rFonts w:ascii="宋体" w:hAnsi="宋体"/>
              </w:rPr>
            </w:pPr>
          </w:p>
        </w:tc>
        <w:tc>
          <w:tcPr>
            <w:tcW w:w="3982" w:type="dxa"/>
            <w:gridSpan w:val="3"/>
            <w:noWrap/>
            <w:vAlign w:val="center"/>
          </w:tcPr>
          <w:p w14:paraId="60BE69DA">
            <w:pPr>
              <w:pStyle w:val="4"/>
              <w:jc w:val="center"/>
              <w:rPr>
                <w:rFonts w:ascii="宋体" w:hAnsi="宋体"/>
              </w:rPr>
            </w:pPr>
            <w:r>
              <w:rPr>
                <w:rFonts w:hint="eastAsia" w:ascii="宋体" w:hAnsi="宋体"/>
              </w:rPr>
              <w:t>特定资格要求</w:t>
            </w:r>
          </w:p>
        </w:tc>
        <w:tc>
          <w:tcPr>
            <w:tcW w:w="6213" w:type="dxa"/>
            <w:noWrap/>
            <w:vAlign w:val="center"/>
          </w:tcPr>
          <w:p w14:paraId="1F5DE52C">
            <w:pPr>
              <w:widowControl/>
              <w:shd w:val="clear" w:color="auto" w:fill="FFFFFF"/>
              <w:spacing w:line="360" w:lineRule="auto"/>
              <w:jc w:val="left"/>
              <w:rPr>
                <w:rFonts w:ascii="宋体" w:hAnsi="宋体"/>
              </w:rPr>
            </w:pPr>
            <w:r>
              <w:rPr>
                <w:rFonts w:hint="eastAsia" w:hAnsi="宋体" w:cs="宋体"/>
                <w:szCs w:val="28"/>
              </w:rPr>
              <w:t>具有有效的《食品生产许可证》或《食品经营许可证》或《食品流通许可证》</w:t>
            </w:r>
          </w:p>
        </w:tc>
      </w:tr>
      <w:tr w14:paraId="638A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77" w:type="dxa"/>
            <w:noWrap/>
            <w:vAlign w:val="center"/>
          </w:tcPr>
          <w:p w14:paraId="2AA59708">
            <w:pPr>
              <w:pStyle w:val="4"/>
              <w:rPr>
                <w:rFonts w:ascii="宋体" w:hAnsi="宋体"/>
              </w:rPr>
            </w:pPr>
          </w:p>
        </w:tc>
        <w:tc>
          <w:tcPr>
            <w:tcW w:w="3982" w:type="dxa"/>
            <w:gridSpan w:val="3"/>
            <w:noWrap/>
            <w:vAlign w:val="center"/>
          </w:tcPr>
          <w:p w14:paraId="0F679856">
            <w:pPr>
              <w:pStyle w:val="4"/>
              <w:jc w:val="center"/>
              <w:rPr>
                <w:rFonts w:hAnsi="宋体" w:cs="宋体"/>
                <w:szCs w:val="28"/>
              </w:rPr>
            </w:pPr>
            <w:r>
              <w:rPr>
                <w:rFonts w:hint="eastAsia" w:hAnsi="宋体" w:cs="宋体"/>
                <w:szCs w:val="28"/>
              </w:rPr>
              <w:t>中小企业声明函</w:t>
            </w:r>
          </w:p>
        </w:tc>
        <w:tc>
          <w:tcPr>
            <w:tcW w:w="6213" w:type="dxa"/>
            <w:noWrap/>
            <w:vAlign w:val="center"/>
          </w:tcPr>
          <w:p w14:paraId="7F246DE1">
            <w:pPr>
              <w:widowControl/>
              <w:shd w:val="clear" w:color="auto" w:fill="FFFFFF"/>
              <w:spacing w:line="360" w:lineRule="auto"/>
              <w:jc w:val="left"/>
              <w:rPr>
                <w:rFonts w:hAnsi="宋体" w:cs="宋体"/>
                <w:szCs w:val="28"/>
              </w:rPr>
            </w:pPr>
            <w:r>
              <w:rPr>
                <w:rFonts w:hint="eastAsia" w:hAnsi="宋体" w:cs="宋体"/>
                <w:szCs w:val="28"/>
              </w:rPr>
              <w:t>按招标文件要求提供中小企业声明函</w:t>
            </w:r>
          </w:p>
        </w:tc>
      </w:tr>
    </w:tbl>
    <w:p w14:paraId="628A0A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备注：依据法律法规和招标文件的规定，对投标文件中的资格证明等进行审查，以确定供应商是否具备投标资格，如供应商提供的投标文件中资格审查有一项未通过上述审查标准，将失去供应商资格。</w:t>
      </w:r>
    </w:p>
    <w:p w14:paraId="31556DBF">
      <w:pPr>
        <w:pStyle w:val="3"/>
        <w:spacing w:line="288" w:lineRule="auto"/>
        <w:rPr>
          <w:rFonts w:ascii="宋体" w:hAnsi="宋体" w:eastAsia="宋体" w:cs="宋体"/>
          <w:sz w:val="32"/>
          <w:szCs w:val="22"/>
          <w:highlight w:val="none"/>
        </w:rPr>
      </w:pPr>
      <w:r>
        <w:rPr>
          <w:rFonts w:hint="eastAsia" w:ascii="宋体" w:hAnsi="宋体" w:eastAsia="宋体" w:cs="宋体"/>
          <w:sz w:val="32"/>
          <w:szCs w:val="22"/>
          <w:highlight w:val="none"/>
        </w:rPr>
        <w:t>第一部分：评标方法</w:t>
      </w:r>
    </w:p>
    <w:p w14:paraId="33B32286">
      <w:pPr>
        <w:spacing w:line="360" w:lineRule="auto"/>
        <w:ind w:firstLine="480"/>
        <w:rPr>
          <w:rFonts w:ascii="宋体" w:cs="宋体"/>
          <w:sz w:val="24"/>
          <w:szCs w:val="24"/>
          <w:highlight w:val="none"/>
        </w:rPr>
      </w:pPr>
      <w:r>
        <w:rPr>
          <w:rFonts w:hint="eastAsia" w:ascii="宋体" w:hAnsi="宋体" w:cs="宋体"/>
          <w:sz w:val="24"/>
          <w:szCs w:val="24"/>
          <w:highlight w:val="none"/>
        </w:rPr>
        <w:t>本项目采用</w:t>
      </w:r>
      <w:r>
        <w:rPr>
          <w:rFonts w:hint="eastAsia" w:ascii="宋体" w:hAnsi="宋体" w:cs="宋体"/>
          <w:sz w:val="24"/>
          <w:szCs w:val="24"/>
          <w:highlight w:val="none"/>
          <w:lang w:eastAsia="zh-CN"/>
        </w:rPr>
        <w:t>综合评估法</w:t>
      </w:r>
      <w:r>
        <w:rPr>
          <w:rFonts w:hint="eastAsia" w:ascii="宋体" w:hAnsi="宋体" w:cs="宋体"/>
          <w:sz w:val="24"/>
          <w:szCs w:val="24"/>
          <w:highlight w:val="none"/>
        </w:rPr>
        <w:t>（是指投标文件满足招标文件全部实质性要求，且按照评审因素的量化指标评审得分最高的投标人为中标候选人的评标方法），总分</w:t>
      </w:r>
      <w:r>
        <w:rPr>
          <w:rFonts w:ascii="宋体" w:hAnsi="宋体" w:cs="宋体"/>
          <w:sz w:val="24"/>
          <w:szCs w:val="24"/>
          <w:highlight w:val="none"/>
        </w:rPr>
        <w:t>100</w:t>
      </w:r>
      <w:r>
        <w:rPr>
          <w:rFonts w:hint="eastAsia" w:ascii="宋体" w:hAnsi="宋体" w:cs="宋体"/>
          <w:sz w:val="24"/>
          <w:szCs w:val="24"/>
          <w:highlight w:val="none"/>
        </w:rPr>
        <w:t>分，其中价格占</w:t>
      </w:r>
      <w:r>
        <w:rPr>
          <w:rFonts w:hint="eastAsia" w:ascii="宋体" w:hAnsi="宋体" w:cs="宋体"/>
          <w:sz w:val="24"/>
          <w:szCs w:val="24"/>
          <w:highlight w:val="none"/>
          <w:lang w:val="en-US" w:eastAsia="zh-CN"/>
        </w:rPr>
        <w:t>3</w:t>
      </w:r>
      <w:r>
        <w:rPr>
          <w:rFonts w:ascii="宋体" w:hAnsi="宋体" w:cs="宋体"/>
          <w:sz w:val="24"/>
          <w:szCs w:val="24"/>
          <w:highlight w:val="none"/>
        </w:rPr>
        <w:t>0</w:t>
      </w:r>
      <w:r>
        <w:rPr>
          <w:rFonts w:hint="eastAsia" w:ascii="宋体" w:hAnsi="宋体" w:cs="宋体"/>
          <w:sz w:val="24"/>
          <w:szCs w:val="24"/>
          <w:highlight w:val="none"/>
        </w:rPr>
        <w:t>分</w:t>
      </w:r>
      <w:r>
        <w:rPr>
          <w:rFonts w:ascii="宋体" w:cs="宋体"/>
          <w:sz w:val="24"/>
          <w:szCs w:val="24"/>
          <w:highlight w:val="none"/>
        </w:rPr>
        <w:t>,</w:t>
      </w:r>
      <w:r>
        <w:rPr>
          <w:rFonts w:hint="eastAsia" w:ascii="宋体" w:hAnsi="宋体" w:cs="宋体"/>
          <w:sz w:val="24"/>
          <w:szCs w:val="24"/>
          <w:highlight w:val="none"/>
        </w:rPr>
        <w:t>商务、技术部分占</w:t>
      </w:r>
      <w:r>
        <w:rPr>
          <w:rFonts w:hint="eastAsia" w:ascii="宋体" w:hAnsi="宋体" w:cs="宋体"/>
          <w:sz w:val="24"/>
          <w:szCs w:val="24"/>
          <w:highlight w:val="none"/>
          <w:lang w:val="en-US" w:eastAsia="zh-CN"/>
        </w:rPr>
        <w:t>7</w:t>
      </w:r>
      <w:r>
        <w:rPr>
          <w:rFonts w:ascii="宋体" w:hAnsi="宋体" w:cs="宋体"/>
          <w:sz w:val="24"/>
          <w:szCs w:val="24"/>
          <w:highlight w:val="none"/>
        </w:rPr>
        <w:t>0</w:t>
      </w:r>
      <w:r>
        <w:rPr>
          <w:rFonts w:hint="eastAsia" w:ascii="宋体" w:hAnsi="宋体" w:cs="宋体"/>
          <w:sz w:val="24"/>
          <w:szCs w:val="24"/>
          <w:highlight w:val="none"/>
        </w:rPr>
        <w:t>分。</w:t>
      </w:r>
    </w:p>
    <w:p w14:paraId="251F41CA">
      <w:pPr>
        <w:pStyle w:val="3"/>
        <w:spacing w:line="288" w:lineRule="auto"/>
        <w:rPr>
          <w:rFonts w:ascii="宋体" w:hAnsi="宋体"/>
        </w:rPr>
      </w:pPr>
      <w:bookmarkStart w:id="65" w:name="_Toc15139"/>
      <w:bookmarkStart w:id="66" w:name="_Toc44704908"/>
      <w:bookmarkStart w:id="67" w:name="_Toc44705276"/>
      <w:bookmarkStart w:id="68" w:name="_Toc8631"/>
      <w:bookmarkStart w:id="69" w:name="_Toc44705055"/>
      <w:r>
        <w:rPr>
          <w:rFonts w:hint="eastAsia" w:ascii="宋体" w:hAnsi="宋体" w:eastAsia="宋体" w:cs="宋体"/>
          <w:sz w:val="32"/>
          <w:szCs w:val="22"/>
          <w:highlight w:val="none"/>
        </w:rPr>
        <w:t>第二部分：评标标准</w:t>
      </w:r>
      <w:bookmarkEnd w:id="65"/>
      <w:bookmarkEnd w:id="66"/>
      <w:bookmarkEnd w:id="67"/>
      <w:bookmarkEnd w:id="68"/>
      <w:bookmarkEnd w:id="69"/>
    </w:p>
    <w:p w14:paraId="31B5DE64">
      <w:pPr>
        <w:spacing w:line="480" w:lineRule="exact"/>
        <w:ind w:firstLine="482"/>
        <w:jc w:val="center"/>
        <w:rPr>
          <w:rFonts w:ascii="宋体" w:hAnsi="宋体"/>
          <w:b/>
          <w:bCs/>
          <w:sz w:val="32"/>
          <w:szCs w:val="40"/>
        </w:rPr>
      </w:pPr>
      <w:r>
        <w:rPr>
          <w:rFonts w:hint="eastAsia" w:ascii="宋体" w:hAnsi="宋体"/>
          <w:b/>
          <w:bCs/>
          <w:sz w:val="32"/>
          <w:szCs w:val="40"/>
        </w:rPr>
        <w:t>符合性审查表</w:t>
      </w:r>
    </w:p>
    <w:p w14:paraId="73E528A0">
      <w:pPr>
        <w:pStyle w:val="13"/>
      </w:pPr>
    </w:p>
    <w:tbl>
      <w:tblPr>
        <w:tblStyle w:val="31"/>
        <w:tblW w:w="10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972"/>
        <w:gridCol w:w="2080"/>
        <w:gridCol w:w="5868"/>
      </w:tblGrid>
      <w:tr w14:paraId="0D17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63" w:type="dxa"/>
            <w:noWrap/>
            <w:vAlign w:val="center"/>
          </w:tcPr>
          <w:p w14:paraId="1BCBAB30">
            <w:pPr>
              <w:pStyle w:val="4"/>
              <w:rPr>
                <w:rFonts w:ascii="宋体" w:hAnsi="宋体"/>
              </w:rPr>
            </w:pPr>
            <w:r>
              <w:rPr>
                <w:rFonts w:hint="eastAsia" w:ascii="宋体" w:hAnsi="宋体"/>
              </w:rPr>
              <w:t>序号</w:t>
            </w:r>
          </w:p>
        </w:tc>
        <w:tc>
          <w:tcPr>
            <w:tcW w:w="4052" w:type="dxa"/>
            <w:gridSpan w:val="2"/>
            <w:noWrap/>
            <w:vAlign w:val="center"/>
          </w:tcPr>
          <w:p w14:paraId="49F308C9">
            <w:pPr>
              <w:pStyle w:val="4"/>
              <w:rPr>
                <w:rFonts w:ascii="宋体" w:hAnsi="宋体"/>
              </w:rPr>
            </w:pPr>
            <w:r>
              <w:rPr>
                <w:rFonts w:hint="eastAsia" w:ascii="宋体" w:hAnsi="宋体"/>
              </w:rPr>
              <w:t>评标因素</w:t>
            </w:r>
          </w:p>
        </w:tc>
        <w:tc>
          <w:tcPr>
            <w:tcW w:w="5868" w:type="dxa"/>
            <w:noWrap/>
            <w:vAlign w:val="center"/>
          </w:tcPr>
          <w:p w14:paraId="25F74B3B">
            <w:pPr>
              <w:pStyle w:val="4"/>
              <w:rPr>
                <w:rFonts w:ascii="宋体" w:hAnsi="宋体"/>
              </w:rPr>
            </w:pPr>
            <w:r>
              <w:rPr>
                <w:rFonts w:hint="eastAsia" w:ascii="宋体" w:hAnsi="宋体"/>
              </w:rPr>
              <w:t>评标标准</w:t>
            </w:r>
          </w:p>
        </w:tc>
      </w:tr>
      <w:tr w14:paraId="630B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63" w:type="dxa"/>
            <w:vMerge w:val="restart"/>
            <w:noWrap/>
            <w:vAlign w:val="center"/>
          </w:tcPr>
          <w:p w14:paraId="5A4F3C4E">
            <w:pPr>
              <w:pStyle w:val="4"/>
              <w:rPr>
                <w:rFonts w:ascii="宋体" w:hAnsi="宋体"/>
              </w:rPr>
            </w:pPr>
            <w:r>
              <w:rPr>
                <w:rFonts w:hint="eastAsia" w:ascii="宋体" w:hAnsi="宋体"/>
              </w:rPr>
              <w:t>1</w:t>
            </w:r>
          </w:p>
        </w:tc>
        <w:tc>
          <w:tcPr>
            <w:tcW w:w="1972" w:type="dxa"/>
            <w:vMerge w:val="restart"/>
            <w:noWrap/>
            <w:vAlign w:val="center"/>
          </w:tcPr>
          <w:p w14:paraId="4AD1879C">
            <w:pPr>
              <w:pStyle w:val="4"/>
              <w:rPr>
                <w:rFonts w:ascii="宋体" w:hAnsi="宋体"/>
              </w:rPr>
            </w:pPr>
            <w:r>
              <w:rPr>
                <w:rFonts w:hint="eastAsia" w:ascii="宋体" w:hAnsi="宋体"/>
              </w:rPr>
              <w:t>符合性审查</w:t>
            </w:r>
          </w:p>
        </w:tc>
        <w:tc>
          <w:tcPr>
            <w:tcW w:w="2080" w:type="dxa"/>
            <w:noWrap/>
            <w:vAlign w:val="center"/>
          </w:tcPr>
          <w:p w14:paraId="7033804E">
            <w:pPr>
              <w:pStyle w:val="4"/>
              <w:rPr>
                <w:rFonts w:ascii="宋体" w:hAnsi="宋体"/>
              </w:rPr>
            </w:pPr>
            <w:r>
              <w:rPr>
                <w:rFonts w:hint="eastAsia" w:ascii="宋体" w:hAnsi="宋体"/>
              </w:rPr>
              <w:t>投标人名称</w:t>
            </w:r>
          </w:p>
        </w:tc>
        <w:tc>
          <w:tcPr>
            <w:tcW w:w="5868" w:type="dxa"/>
            <w:noWrap/>
            <w:vAlign w:val="center"/>
          </w:tcPr>
          <w:p w14:paraId="17B815D4">
            <w:pPr>
              <w:pStyle w:val="4"/>
              <w:jc w:val="center"/>
              <w:rPr>
                <w:rFonts w:ascii="宋体" w:hAnsi="宋体"/>
              </w:rPr>
            </w:pPr>
            <w:r>
              <w:rPr>
                <w:rFonts w:hint="eastAsia" w:ascii="宋体" w:hAnsi="宋体"/>
              </w:rPr>
              <w:t>营业执照、资质证书名称必须一致。</w:t>
            </w:r>
          </w:p>
        </w:tc>
      </w:tr>
      <w:tr w14:paraId="52AC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63" w:type="dxa"/>
            <w:vMerge w:val="continue"/>
            <w:noWrap/>
            <w:vAlign w:val="center"/>
          </w:tcPr>
          <w:p w14:paraId="6CDC5B06">
            <w:pPr>
              <w:pStyle w:val="4"/>
              <w:rPr>
                <w:rFonts w:ascii="宋体" w:hAnsi="宋体"/>
              </w:rPr>
            </w:pPr>
          </w:p>
        </w:tc>
        <w:tc>
          <w:tcPr>
            <w:tcW w:w="1972" w:type="dxa"/>
            <w:vMerge w:val="continue"/>
            <w:noWrap/>
            <w:vAlign w:val="center"/>
          </w:tcPr>
          <w:p w14:paraId="41A4ADAB">
            <w:pPr>
              <w:pStyle w:val="4"/>
              <w:rPr>
                <w:rFonts w:ascii="宋体" w:hAnsi="宋体"/>
              </w:rPr>
            </w:pPr>
          </w:p>
        </w:tc>
        <w:tc>
          <w:tcPr>
            <w:tcW w:w="2080" w:type="dxa"/>
            <w:noWrap/>
            <w:vAlign w:val="center"/>
          </w:tcPr>
          <w:p w14:paraId="6623DA96">
            <w:pPr>
              <w:pStyle w:val="4"/>
              <w:rPr>
                <w:rFonts w:ascii="宋体" w:hAnsi="宋体"/>
              </w:rPr>
            </w:pPr>
            <w:r>
              <w:rPr>
                <w:rFonts w:hint="eastAsia" w:ascii="宋体" w:hAnsi="宋体"/>
              </w:rPr>
              <w:t>投标文件签署</w:t>
            </w:r>
          </w:p>
        </w:tc>
        <w:tc>
          <w:tcPr>
            <w:tcW w:w="5868" w:type="dxa"/>
            <w:noWrap/>
            <w:vAlign w:val="center"/>
          </w:tcPr>
          <w:p w14:paraId="070B81B5">
            <w:pPr>
              <w:pStyle w:val="4"/>
              <w:jc w:val="center"/>
              <w:rPr>
                <w:rFonts w:ascii="宋体" w:hAnsi="宋体"/>
              </w:rPr>
            </w:pPr>
            <w:r>
              <w:rPr>
                <w:rFonts w:hint="eastAsia" w:ascii="宋体" w:hAnsi="宋体"/>
              </w:rPr>
              <w:t>投标文件上法定代表人或其授权代理人的签字、投标人的单位章齐全符合招标文件规定。</w:t>
            </w:r>
          </w:p>
        </w:tc>
      </w:tr>
      <w:tr w14:paraId="6E69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63" w:type="dxa"/>
            <w:vMerge w:val="continue"/>
            <w:noWrap/>
            <w:vAlign w:val="center"/>
          </w:tcPr>
          <w:p w14:paraId="5076E1D7">
            <w:pPr>
              <w:pStyle w:val="4"/>
              <w:rPr>
                <w:rFonts w:ascii="宋体" w:hAnsi="宋体"/>
              </w:rPr>
            </w:pPr>
          </w:p>
        </w:tc>
        <w:tc>
          <w:tcPr>
            <w:tcW w:w="1972" w:type="dxa"/>
            <w:vMerge w:val="continue"/>
            <w:noWrap/>
            <w:vAlign w:val="center"/>
          </w:tcPr>
          <w:p w14:paraId="7CEF04D5">
            <w:pPr>
              <w:pStyle w:val="4"/>
              <w:rPr>
                <w:rFonts w:ascii="宋体" w:hAnsi="宋体"/>
              </w:rPr>
            </w:pPr>
          </w:p>
        </w:tc>
        <w:tc>
          <w:tcPr>
            <w:tcW w:w="2080" w:type="dxa"/>
            <w:noWrap/>
            <w:vAlign w:val="center"/>
          </w:tcPr>
          <w:p w14:paraId="0BEDE183">
            <w:pPr>
              <w:pStyle w:val="4"/>
              <w:ind w:firstLine="0"/>
              <w:rPr>
                <w:rFonts w:ascii="宋体" w:hAnsi="宋体"/>
              </w:rPr>
            </w:pPr>
            <w:r>
              <w:rPr>
                <w:rFonts w:hint="eastAsia" w:ascii="宋体" w:hAnsi="宋体"/>
              </w:rPr>
              <w:t>法定代表人身份证明及授权委托书</w:t>
            </w:r>
          </w:p>
        </w:tc>
        <w:tc>
          <w:tcPr>
            <w:tcW w:w="5868" w:type="dxa"/>
            <w:noWrap/>
            <w:vAlign w:val="center"/>
          </w:tcPr>
          <w:p w14:paraId="1030AEEB">
            <w:pPr>
              <w:pStyle w:val="4"/>
              <w:jc w:val="center"/>
              <w:rPr>
                <w:rFonts w:ascii="宋体" w:hAnsi="宋体"/>
              </w:rPr>
            </w:pPr>
            <w:r>
              <w:rPr>
                <w:rFonts w:hint="eastAsia" w:ascii="宋体" w:hAnsi="宋体"/>
              </w:rPr>
              <w:t>法定代表人身份证明及授权委托书有效，且符合招标文件规定的格式。</w:t>
            </w:r>
          </w:p>
        </w:tc>
      </w:tr>
      <w:tr w14:paraId="398C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63" w:type="dxa"/>
            <w:vMerge w:val="continue"/>
            <w:noWrap/>
            <w:vAlign w:val="center"/>
          </w:tcPr>
          <w:p w14:paraId="2503D23A">
            <w:pPr>
              <w:pStyle w:val="4"/>
              <w:rPr>
                <w:rFonts w:ascii="宋体" w:hAnsi="宋体"/>
              </w:rPr>
            </w:pPr>
          </w:p>
        </w:tc>
        <w:tc>
          <w:tcPr>
            <w:tcW w:w="1972" w:type="dxa"/>
            <w:vMerge w:val="continue"/>
            <w:noWrap/>
            <w:vAlign w:val="center"/>
          </w:tcPr>
          <w:p w14:paraId="3EBFEAFB">
            <w:pPr>
              <w:pStyle w:val="4"/>
              <w:rPr>
                <w:rFonts w:ascii="宋体" w:hAnsi="宋体"/>
              </w:rPr>
            </w:pPr>
          </w:p>
        </w:tc>
        <w:tc>
          <w:tcPr>
            <w:tcW w:w="2080" w:type="dxa"/>
            <w:noWrap/>
            <w:vAlign w:val="center"/>
          </w:tcPr>
          <w:p w14:paraId="03E88483">
            <w:pPr>
              <w:pStyle w:val="4"/>
              <w:rPr>
                <w:rFonts w:ascii="宋体" w:hAnsi="宋体"/>
              </w:rPr>
            </w:pPr>
            <w:r>
              <w:rPr>
                <w:rFonts w:hint="eastAsia" w:ascii="宋体" w:hAnsi="宋体"/>
              </w:rPr>
              <w:t>报价唯一</w:t>
            </w:r>
          </w:p>
        </w:tc>
        <w:tc>
          <w:tcPr>
            <w:tcW w:w="5868" w:type="dxa"/>
            <w:noWrap/>
            <w:vAlign w:val="center"/>
          </w:tcPr>
          <w:p w14:paraId="6EF2186F">
            <w:pPr>
              <w:pStyle w:val="4"/>
              <w:jc w:val="center"/>
              <w:rPr>
                <w:rFonts w:ascii="宋体" w:hAnsi="宋体"/>
              </w:rPr>
            </w:pPr>
            <w:r>
              <w:rPr>
                <w:rFonts w:hint="eastAsia" w:ascii="宋体" w:hAnsi="宋体"/>
              </w:rPr>
              <w:t>其报价未超过采购最高限价金额，且只有一个有效报价，不得提交选择性报价。</w:t>
            </w:r>
          </w:p>
        </w:tc>
      </w:tr>
      <w:tr w14:paraId="50FF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3" w:type="dxa"/>
            <w:vMerge w:val="continue"/>
            <w:noWrap/>
            <w:vAlign w:val="center"/>
          </w:tcPr>
          <w:p w14:paraId="7A37ED6D">
            <w:pPr>
              <w:pStyle w:val="4"/>
              <w:rPr>
                <w:rFonts w:ascii="宋体" w:hAnsi="宋体"/>
              </w:rPr>
            </w:pPr>
          </w:p>
        </w:tc>
        <w:tc>
          <w:tcPr>
            <w:tcW w:w="1972" w:type="dxa"/>
            <w:vMerge w:val="continue"/>
            <w:noWrap/>
            <w:vAlign w:val="center"/>
          </w:tcPr>
          <w:p w14:paraId="63A30127">
            <w:pPr>
              <w:pStyle w:val="4"/>
              <w:rPr>
                <w:rFonts w:ascii="宋体" w:hAnsi="宋体"/>
              </w:rPr>
            </w:pPr>
          </w:p>
        </w:tc>
        <w:tc>
          <w:tcPr>
            <w:tcW w:w="2080" w:type="dxa"/>
            <w:noWrap/>
            <w:vAlign w:val="center"/>
          </w:tcPr>
          <w:p w14:paraId="0C36CE71">
            <w:pPr>
              <w:pStyle w:val="4"/>
              <w:rPr>
                <w:rFonts w:ascii="宋体" w:hAnsi="宋体"/>
              </w:rPr>
            </w:pPr>
            <w:r>
              <w:rPr>
                <w:rFonts w:hint="eastAsia" w:ascii="宋体" w:hAnsi="宋体"/>
              </w:rPr>
              <w:t>投标保证金</w:t>
            </w:r>
          </w:p>
        </w:tc>
        <w:tc>
          <w:tcPr>
            <w:tcW w:w="5868" w:type="dxa"/>
            <w:noWrap/>
            <w:vAlign w:val="center"/>
          </w:tcPr>
          <w:p w14:paraId="59E9A690">
            <w:pPr>
              <w:pStyle w:val="4"/>
              <w:jc w:val="center"/>
              <w:rPr>
                <w:rFonts w:ascii="宋体" w:hAnsi="宋体"/>
              </w:rPr>
            </w:pPr>
            <w:r>
              <w:rPr>
                <w:rFonts w:hint="eastAsia" w:ascii="宋体" w:hAnsi="宋体"/>
              </w:rPr>
              <w:t>按时、足额缴纳投标保证金。</w:t>
            </w:r>
          </w:p>
        </w:tc>
      </w:tr>
      <w:tr w14:paraId="5DE2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63" w:type="dxa"/>
            <w:vMerge w:val="continue"/>
            <w:noWrap/>
            <w:vAlign w:val="center"/>
          </w:tcPr>
          <w:p w14:paraId="777629E3">
            <w:pPr>
              <w:pStyle w:val="4"/>
              <w:rPr>
                <w:rFonts w:ascii="宋体" w:hAnsi="宋体"/>
              </w:rPr>
            </w:pPr>
          </w:p>
        </w:tc>
        <w:tc>
          <w:tcPr>
            <w:tcW w:w="1972" w:type="dxa"/>
            <w:vMerge w:val="continue"/>
            <w:noWrap/>
            <w:vAlign w:val="center"/>
          </w:tcPr>
          <w:p w14:paraId="2513DC72">
            <w:pPr>
              <w:pStyle w:val="4"/>
              <w:rPr>
                <w:rFonts w:ascii="宋体" w:hAnsi="宋体"/>
              </w:rPr>
            </w:pPr>
          </w:p>
        </w:tc>
        <w:tc>
          <w:tcPr>
            <w:tcW w:w="2080" w:type="dxa"/>
            <w:noWrap/>
            <w:vAlign w:val="center"/>
          </w:tcPr>
          <w:p w14:paraId="50E36730">
            <w:pPr>
              <w:pStyle w:val="4"/>
              <w:rPr>
                <w:rFonts w:ascii="宋体" w:hAnsi="宋体"/>
              </w:rPr>
            </w:pPr>
            <w:r>
              <w:rPr>
                <w:rFonts w:hint="eastAsia" w:ascii="宋体" w:hAnsi="宋体"/>
              </w:rPr>
              <w:t>供货期</w:t>
            </w:r>
          </w:p>
        </w:tc>
        <w:tc>
          <w:tcPr>
            <w:tcW w:w="5868" w:type="dxa"/>
            <w:noWrap/>
            <w:vAlign w:val="center"/>
          </w:tcPr>
          <w:p w14:paraId="246D8816">
            <w:pPr>
              <w:pStyle w:val="4"/>
              <w:jc w:val="center"/>
              <w:rPr>
                <w:rFonts w:ascii="宋体" w:hAnsi="宋体"/>
              </w:rPr>
            </w:pPr>
            <w:r>
              <w:rPr>
                <w:rFonts w:hint="eastAsia" w:ascii="宋体" w:hAnsi="宋体"/>
              </w:rPr>
              <w:t>满足招标文件要求。</w:t>
            </w:r>
          </w:p>
        </w:tc>
      </w:tr>
      <w:tr w14:paraId="2098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63" w:type="dxa"/>
            <w:vMerge w:val="continue"/>
            <w:noWrap/>
            <w:vAlign w:val="center"/>
          </w:tcPr>
          <w:p w14:paraId="78672F78">
            <w:pPr>
              <w:pStyle w:val="4"/>
              <w:rPr>
                <w:rFonts w:ascii="宋体" w:hAnsi="宋体"/>
              </w:rPr>
            </w:pPr>
          </w:p>
        </w:tc>
        <w:tc>
          <w:tcPr>
            <w:tcW w:w="1972" w:type="dxa"/>
            <w:vMerge w:val="continue"/>
            <w:noWrap/>
            <w:vAlign w:val="center"/>
          </w:tcPr>
          <w:p w14:paraId="0F023973">
            <w:pPr>
              <w:pStyle w:val="4"/>
              <w:rPr>
                <w:rFonts w:ascii="宋体" w:hAnsi="宋体"/>
              </w:rPr>
            </w:pPr>
          </w:p>
        </w:tc>
        <w:tc>
          <w:tcPr>
            <w:tcW w:w="2080" w:type="dxa"/>
            <w:tcBorders>
              <w:bottom w:val="single" w:color="auto" w:sz="4" w:space="0"/>
            </w:tcBorders>
            <w:noWrap/>
            <w:vAlign w:val="center"/>
          </w:tcPr>
          <w:p w14:paraId="47E4E3F0">
            <w:pPr>
              <w:pStyle w:val="4"/>
              <w:rPr>
                <w:rFonts w:ascii="宋体" w:hAnsi="宋体"/>
              </w:rPr>
            </w:pPr>
            <w:r>
              <w:rPr>
                <w:rFonts w:hint="eastAsia" w:ascii="宋体" w:hAnsi="宋体"/>
              </w:rPr>
              <w:t>其他</w:t>
            </w:r>
          </w:p>
        </w:tc>
        <w:tc>
          <w:tcPr>
            <w:tcW w:w="5868" w:type="dxa"/>
            <w:tcBorders>
              <w:bottom w:val="single" w:color="auto" w:sz="4" w:space="0"/>
            </w:tcBorders>
            <w:noWrap/>
            <w:vAlign w:val="center"/>
          </w:tcPr>
          <w:p w14:paraId="719E6DC6">
            <w:pPr>
              <w:pStyle w:val="4"/>
              <w:jc w:val="center"/>
              <w:rPr>
                <w:rFonts w:ascii="宋体" w:hAnsi="宋体"/>
              </w:rPr>
            </w:pPr>
            <w:r>
              <w:rPr>
                <w:rFonts w:hint="eastAsia" w:ascii="宋体" w:hAnsi="宋体"/>
              </w:rPr>
              <w:t>投标文件未附有采购人不能接受的附加条件及法律、法规和招标文件规定的其他无效情形。</w:t>
            </w:r>
          </w:p>
        </w:tc>
      </w:tr>
    </w:tbl>
    <w:p w14:paraId="7123DC22">
      <w:pPr>
        <w:spacing w:line="360" w:lineRule="auto"/>
        <w:rPr>
          <w:rFonts w:ascii="宋体" w:hAnsi="宋体"/>
          <w:bCs/>
          <w:szCs w:val="21"/>
        </w:rPr>
      </w:pPr>
      <w:bookmarkStart w:id="70" w:name="PO_TDCUS_ITEM_SM_TABLE_1"/>
    </w:p>
    <w:p w14:paraId="60C2D464">
      <w:pPr>
        <w:keepNext w:val="0"/>
        <w:keepLines w:val="0"/>
        <w:widowControl/>
        <w:suppressLineNumbers w:val="0"/>
        <w:jc w:val="left"/>
      </w:pPr>
      <w:r>
        <w:rPr>
          <w:rFonts w:hint="eastAsia" w:ascii="宋体" w:hAnsi="宋体" w:eastAsia="宋体" w:cs="宋体"/>
          <w:color w:val="000000"/>
          <w:kern w:val="0"/>
          <w:sz w:val="24"/>
          <w:szCs w:val="24"/>
          <w:lang w:val="en-US" w:eastAsia="zh-CN" w:bidi="ar"/>
        </w:rPr>
        <w:t>备注：由评标委员会对符合资格的各供应商投标文件进行符合性审查，如果供应商有一项未通过上述审查标准，评标委员会将认定整个投标文件不响应招标文件而予以否决，并且不允许供应商通过修改或撤销其不符合要求的差异或保留，使之成为具有响应性的响应。未通过符合性审查的供应商其投标文件将按照无效投标处理。</w:t>
      </w:r>
    </w:p>
    <w:p w14:paraId="29B8E2CA">
      <w:pPr>
        <w:spacing w:line="360" w:lineRule="auto"/>
        <w:rPr>
          <w:rFonts w:ascii="宋体" w:hAnsi="宋体"/>
          <w:bCs/>
          <w:szCs w:val="21"/>
        </w:rPr>
      </w:pPr>
    </w:p>
    <w:p w14:paraId="3C0AB44A">
      <w:pPr>
        <w:spacing w:line="360" w:lineRule="auto"/>
        <w:ind w:firstLine="360" w:firstLineChars="150"/>
        <w:rPr>
          <w:rFonts w:ascii="宋体" w:cs="宋体"/>
          <w:sz w:val="24"/>
          <w:szCs w:val="24"/>
          <w:highlight w:val="none"/>
        </w:rPr>
      </w:pPr>
      <w:r>
        <w:rPr>
          <w:rFonts w:hint="eastAsia" w:ascii="宋体" w:hAnsi="宋体" w:cs="宋体"/>
          <w:sz w:val="24"/>
          <w:szCs w:val="24"/>
          <w:highlight w:val="none"/>
        </w:rPr>
        <w:t>（一）、价格分（</w:t>
      </w:r>
      <w:r>
        <w:rPr>
          <w:rFonts w:hint="eastAsia" w:ascii="宋体" w:hAnsi="宋体" w:cs="宋体"/>
          <w:sz w:val="24"/>
          <w:szCs w:val="24"/>
          <w:highlight w:val="none"/>
          <w:lang w:val="en-US" w:eastAsia="zh-CN"/>
        </w:rPr>
        <w:t>3</w:t>
      </w:r>
      <w:r>
        <w:rPr>
          <w:rFonts w:ascii="宋体" w:hAnsi="宋体" w:cs="宋体"/>
          <w:sz w:val="24"/>
          <w:szCs w:val="24"/>
          <w:highlight w:val="none"/>
        </w:rPr>
        <w:t>0</w:t>
      </w:r>
      <w:r>
        <w:rPr>
          <w:rFonts w:hint="eastAsia" w:ascii="宋体" w:hAnsi="宋体" w:cs="宋体"/>
          <w:sz w:val="24"/>
          <w:szCs w:val="24"/>
          <w:highlight w:val="none"/>
        </w:rPr>
        <w:t>分）</w:t>
      </w:r>
    </w:p>
    <w:p w14:paraId="63086413">
      <w:pPr>
        <w:spacing w:line="360" w:lineRule="auto"/>
        <w:ind w:firstLine="360" w:firstLineChars="15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价格分统一采用低价优先法计算即满足招标文件要求且投标价格最低的有效投标报价（即除低于成本报价以外的所有报价）为评标基准价，其价格分为满分。有效投标报价必须不高于本采购项目的预算价，否则为无效报价。</w:t>
      </w:r>
    </w:p>
    <w:p w14:paraId="39AE31E8">
      <w:pPr>
        <w:spacing w:line="360" w:lineRule="auto"/>
        <w:ind w:firstLine="360" w:firstLineChars="15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．其他投标人的价格分统一按照以下公式计算：</w:t>
      </w:r>
    </w:p>
    <w:p w14:paraId="20846363">
      <w:pPr>
        <w:spacing w:line="360" w:lineRule="auto"/>
        <w:ind w:firstLine="360" w:firstLineChars="150"/>
        <w:rPr>
          <w:rFonts w:hint="default" w:ascii="宋体" w:eastAsia="宋体" w:cs="宋体"/>
          <w:sz w:val="24"/>
          <w:szCs w:val="24"/>
          <w:highlight w:val="none"/>
          <w:lang w:val="en-US" w:eastAsia="zh-CN"/>
        </w:rPr>
      </w:pPr>
      <w:r>
        <w:rPr>
          <w:rFonts w:hint="eastAsia" w:ascii="宋体" w:hAnsi="宋体" w:cs="宋体"/>
          <w:color w:val="000000"/>
          <w:kern w:val="0"/>
          <w:sz w:val="24"/>
        </w:rPr>
        <w:t xml:space="preserve">投标报价得分=(评标基准价／投标报价)×0.30×100 </w:t>
      </w:r>
    </w:p>
    <w:p w14:paraId="6100F3CD">
      <w:pPr>
        <w:spacing w:line="360" w:lineRule="auto"/>
        <w:ind w:firstLine="360" w:firstLineChars="15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最低报价不作为中标的保证。</w:t>
      </w:r>
    </w:p>
    <w:p w14:paraId="443950ED">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.中、小型和微型企业的规定</w:t>
      </w:r>
    </w:p>
    <w:p w14:paraId="70C9B567">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1中小企业划分标准参照《关于印发&lt;政府采购促进中小企业发展管理办法&gt;的通知》(财库〔2020〕46号）及《关于印发中小企业划型标准规定的通知》（工信部联企业[2011]300号）。提供对应的《中小企业声明函》（详见附件）</w:t>
      </w:r>
    </w:p>
    <w:p w14:paraId="0EC0E517">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.2监狱企业视同小型、微型企业, 监狱企业应当提供由省级以上监狱管理局、戒毒管理局(含新疆生产建设兵团)出具的属于监狱企业的证明文件。监狱企业应当提供市监狱管理局、市教育矫治局出具的监狱企业的证明文件。</w:t>
      </w:r>
    </w:p>
    <w:p w14:paraId="54BD266A">
      <w:pPr>
        <w:spacing w:line="360" w:lineRule="auto"/>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4.3残疾人福利性单位视同小型、微型企业，符合条件的残疾人福利性单位在参加政府采购活动时，应当提供本通知规定的《残疾人福利性单位声明函》，并对声明的真实性负责。</w:t>
      </w:r>
    </w:p>
    <w:p w14:paraId="51FCC348">
      <w:pPr>
        <w:spacing w:line="360" w:lineRule="auto"/>
        <w:rPr>
          <w:rFonts w:ascii="宋体" w:hAnsi="宋体"/>
          <w:bCs/>
          <w:szCs w:val="21"/>
        </w:rPr>
      </w:pPr>
      <w:r>
        <w:rPr>
          <w:rFonts w:hint="eastAsia" w:ascii="宋体" w:hAnsi="宋体" w:eastAsia="宋体" w:cs="宋体"/>
          <w:sz w:val="24"/>
          <w:szCs w:val="24"/>
          <w:highlight w:val="none"/>
          <w:lang w:val="en-US" w:eastAsia="zh-CN"/>
        </w:rPr>
        <w:t>4.4本项目专门面向中小企业采购，不再对小微企业的报价进行价格扣除优惠。</w:t>
      </w:r>
    </w:p>
    <w:tbl>
      <w:tblPr>
        <w:tblStyle w:val="55"/>
        <w:tblpPr w:leftFromText="180" w:rightFromText="180" w:vertAnchor="text" w:horzAnchor="page" w:tblpX="764" w:tblpY="1027"/>
        <w:tblOverlap w:val="never"/>
        <w:tblW w:w="105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394"/>
        <w:gridCol w:w="768"/>
        <w:gridCol w:w="7643"/>
      </w:tblGrid>
      <w:tr w14:paraId="0E9C8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756" w:type="dxa"/>
          </w:tcPr>
          <w:p w14:paraId="26036FC0">
            <w:pPr>
              <w:spacing w:line="348" w:lineRule="auto"/>
              <w:rPr>
                <w:rFonts w:ascii="Arial"/>
              </w:rPr>
            </w:pPr>
          </w:p>
          <w:p w14:paraId="40FC74EF">
            <w:pPr>
              <w:spacing w:before="65" w:line="230" w:lineRule="auto"/>
              <w:ind w:left="173"/>
              <w:rPr>
                <w:rFonts w:ascii="新宋体" w:hAnsi="新宋体" w:eastAsia="新宋体" w:cs="新宋体"/>
                <w:sz w:val="20"/>
                <w:szCs w:val="20"/>
              </w:rPr>
            </w:pPr>
            <w:r>
              <w:rPr>
                <w:rFonts w:ascii="新宋体" w:hAnsi="新宋体" w:eastAsia="新宋体" w:cs="新宋体"/>
                <w:spacing w:val="5"/>
                <w:sz w:val="20"/>
                <w:szCs w:val="20"/>
              </w:rPr>
              <w:t>序号</w:t>
            </w:r>
          </w:p>
        </w:tc>
        <w:tc>
          <w:tcPr>
            <w:tcW w:w="1394" w:type="dxa"/>
          </w:tcPr>
          <w:p w14:paraId="4CE3EDA5">
            <w:pPr>
              <w:spacing w:line="348" w:lineRule="auto"/>
              <w:rPr>
                <w:rFonts w:ascii="Arial"/>
              </w:rPr>
            </w:pPr>
          </w:p>
          <w:p w14:paraId="5152BB03">
            <w:pPr>
              <w:spacing w:before="65" w:line="229" w:lineRule="auto"/>
              <w:ind w:left="278"/>
              <w:rPr>
                <w:rFonts w:ascii="新宋体" w:hAnsi="新宋体" w:eastAsia="新宋体" w:cs="新宋体"/>
                <w:sz w:val="20"/>
                <w:szCs w:val="20"/>
              </w:rPr>
            </w:pPr>
            <w:r>
              <w:rPr>
                <w:rFonts w:ascii="新宋体" w:hAnsi="新宋体" w:eastAsia="新宋体" w:cs="新宋体"/>
                <w:spacing w:val="9"/>
                <w:sz w:val="20"/>
                <w:szCs w:val="20"/>
              </w:rPr>
              <w:t>评</w:t>
            </w:r>
            <w:r>
              <w:rPr>
                <w:rFonts w:ascii="新宋体" w:hAnsi="新宋体" w:eastAsia="新宋体" w:cs="新宋体"/>
                <w:spacing w:val="7"/>
                <w:sz w:val="20"/>
                <w:szCs w:val="20"/>
              </w:rPr>
              <w:t>标项目</w:t>
            </w:r>
          </w:p>
        </w:tc>
        <w:tc>
          <w:tcPr>
            <w:tcW w:w="768" w:type="dxa"/>
          </w:tcPr>
          <w:p w14:paraId="3FCDE364">
            <w:pPr>
              <w:spacing w:line="349" w:lineRule="auto"/>
              <w:rPr>
                <w:rFonts w:ascii="Arial"/>
              </w:rPr>
            </w:pPr>
          </w:p>
          <w:p w14:paraId="7358E3B3">
            <w:pPr>
              <w:spacing w:before="65" w:line="228" w:lineRule="auto"/>
              <w:ind w:left="181"/>
              <w:rPr>
                <w:rFonts w:ascii="新宋体" w:hAnsi="新宋体" w:eastAsia="新宋体" w:cs="新宋体"/>
                <w:sz w:val="20"/>
                <w:szCs w:val="20"/>
              </w:rPr>
            </w:pPr>
            <w:r>
              <w:rPr>
                <w:rFonts w:ascii="新宋体" w:hAnsi="新宋体" w:eastAsia="新宋体" w:cs="新宋体"/>
                <w:spacing w:val="4"/>
                <w:sz w:val="20"/>
                <w:szCs w:val="20"/>
              </w:rPr>
              <w:t>分</w:t>
            </w:r>
            <w:r>
              <w:rPr>
                <w:rFonts w:ascii="新宋体" w:hAnsi="新宋体" w:eastAsia="新宋体" w:cs="新宋体"/>
                <w:spacing w:val="3"/>
                <w:sz w:val="20"/>
                <w:szCs w:val="20"/>
              </w:rPr>
              <w:t>值</w:t>
            </w:r>
          </w:p>
        </w:tc>
        <w:tc>
          <w:tcPr>
            <w:tcW w:w="7643" w:type="dxa"/>
          </w:tcPr>
          <w:p w14:paraId="7A740CE1">
            <w:pPr>
              <w:spacing w:line="349" w:lineRule="auto"/>
              <w:rPr>
                <w:rFonts w:ascii="Arial"/>
              </w:rPr>
            </w:pPr>
          </w:p>
          <w:p w14:paraId="05AF6F14">
            <w:pPr>
              <w:spacing w:before="65" w:line="228" w:lineRule="auto"/>
              <w:ind w:left="3404"/>
              <w:rPr>
                <w:rFonts w:ascii="新宋体" w:hAnsi="新宋体" w:eastAsia="新宋体" w:cs="新宋体"/>
                <w:sz w:val="20"/>
                <w:szCs w:val="20"/>
              </w:rPr>
            </w:pPr>
            <w:r>
              <w:rPr>
                <w:rFonts w:ascii="新宋体" w:hAnsi="新宋体" w:eastAsia="新宋体" w:cs="新宋体"/>
                <w:spacing w:val="9"/>
                <w:sz w:val="20"/>
                <w:szCs w:val="20"/>
              </w:rPr>
              <w:t>评</w:t>
            </w:r>
            <w:r>
              <w:rPr>
                <w:rFonts w:ascii="新宋体" w:hAnsi="新宋体" w:eastAsia="新宋体" w:cs="新宋体"/>
                <w:spacing w:val="7"/>
                <w:sz w:val="20"/>
                <w:szCs w:val="20"/>
              </w:rPr>
              <w:t>标内容</w:t>
            </w:r>
          </w:p>
        </w:tc>
      </w:tr>
      <w:tr w14:paraId="5008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56" w:type="dxa"/>
          </w:tcPr>
          <w:p w14:paraId="67291430">
            <w:pPr>
              <w:spacing w:line="257" w:lineRule="auto"/>
              <w:rPr>
                <w:rFonts w:ascii="Arial"/>
              </w:rPr>
            </w:pPr>
          </w:p>
          <w:p w14:paraId="72CA3539">
            <w:pPr>
              <w:widowControl/>
              <w:jc w:val="left"/>
              <w:rPr>
                <w:rFonts w:ascii="金山云技术体" w:hAnsi="金山云技术体" w:eastAsia="金山云技术体" w:cs="金山云技术体"/>
                <w:sz w:val="10"/>
                <w:szCs w:val="10"/>
              </w:rPr>
            </w:pPr>
          </w:p>
          <w:p w14:paraId="3803703F">
            <w:pPr>
              <w:widowControl/>
              <w:jc w:val="left"/>
              <w:rPr>
                <w:rFonts w:ascii="金山云技术体" w:hAnsi="金山云技术体" w:eastAsia="金山云技术体" w:cs="金山云技术体"/>
                <w:sz w:val="10"/>
                <w:szCs w:val="10"/>
              </w:rPr>
            </w:pPr>
          </w:p>
          <w:p w14:paraId="7EEB853F">
            <w:pPr>
              <w:widowControl/>
              <w:ind w:firstLine="240" w:firstLineChars="100"/>
              <w:jc w:val="left"/>
              <w:rPr>
                <w:rFonts w:ascii="宋体" w:hAnsi="宋体" w:cs="宋体"/>
                <w:sz w:val="24"/>
              </w:rPr>
            </w:pPr>
          </w:p>
          <w:p w14:paraId="1C29DD23">
            <w:pPr>
              <w:widowControl/>
              <w:ind w:firstLine="240" w:firstLineChars="100"/>
              <w:jc w:val="left"/>
              <w:rPr>
                <w:rFonts w:ascii="宋体" w:hAnsi="宋体" w:cs="宋体"/>
                <w:sz w:val="24"/>
              </w:rPr>
            </w:pPr>
          </w:p>
          <w:p w14:paraId="0526D1FC">
            <w:pPr>
              <w:widowControl/>
              <w:jc w:val="left"/>
              <w:rPr>
                <w:rFonts w:ascii="新宋体" w:hAnsi="新宋体" w:eastAsia="新宋体" w:cs="新宋体"/>
                <w:spacing w:val="8"/>
                <w:sz w:val="20"/>
                <w:szCs w:val="20"/>
              </w:rPr>
            </w:pPr>
          </w:p>
          <w:p w14:paraId="5ED41E8C">
            <w:pPr>
              <w:widowControl/>
              <w:ind w:firstLine="216" w:firstLineChars="100"/>
              <w:jc w:val="left"/>
              <w:rPr>
                <w:rFonts w:ascii="新宋体" w:hAnsi="新宋体" w:eastAsia="新宋体" w:cs="新宋体"/>
                <w:spacing w:val="8"/>
                <w:sz w:val="20"/>
                <w:szCs w:val="20"/>
              </w:rPr>
            </w:pPr>
          </w:p>
          <w:p w14:paraId="686D05E9">
            <w:pPr>
              <w:widowControl/>
              <w:ind w:firstLine="216" w:firstLineChars="100"/>
              <w:jc w:val="left"/>
              <w:rPr>
                <w:rFonts w:ascii="金山云技术体" w:hAnsi="金山云技术体" w:eastAsia="金山云技术体" w:cs="金山云技术体"/>
                <w:sz w:val="10"/>
                <w:szCs w:val="10"/>
              </w:rPr>
            </w:pPr>
            <w:r>
              <w:rPr>
                <w:rFonts w:hint="eastAsia" w:ascii="新宋体" w:hAnsi="新宋体" w:eastAsia="新宋体" w:cs="新宋体"/>
                <w:spacing w:val="8"/>
                <w:sz w:val="20"/>
                <w:szCs w:val="20"/>
              </w:rPr>
              <w:t>一</w:t>
            </w:r>
          </w:p>
        </w:tc>
        <w:tc>
          <w:tcPr>
            <w:tcW w:w="1394" w:type="dxa"/>
          </w:tcPr>
          <w:p w14:paraId="235ED14C">
            <w:pPr>
              <w:widowControl/>
              <w:jc w:val="left"/>
              <w:rPr>
                <w:rFonts w:ascii="宋体" w:hAnsi="宋体" w:cs="宋体"/>
                <w:color w:val="000000"/>
                <w:kern w:val="0"/>
                <w:sz w:val="24"/>
              </w:rPr>
            </w:pPr>
          </w:p>
          <w:p w14:paraId="1ECDE81E">
            <w:pPr>
              <w:widowControl/>
              <w:jc w:val="left"/>
              <w:rPr>
                <w:rFonts w:ascii="宋体" w:hAnsi="宋体" w:cs="宋体"/>
                <w:color w:val="000000"/>
                <w:kern w:val="0"/>
                <w:sz w:val="24"/>
              </w:rPr>
            </w:pPr>
          </w:p>
          <w:p w14:paraId="284F3A51">
            <w:pPr>
              <w:widowControl/>
              <w:jc w:val="left"/>
              <w:rPr>
                <w:rFonts w:ascii="宋体" w:hAnsi="宋体" w:cs="宋体"/>
                <w:color w:val="000000"/>
                <w:kern w:val="0"/>
                <w:sz w:val="24"/>
              </w:rPr>
            </w:pPr>
          </w:p>
          <w:p w14:paraId="128359CE">
            <w:pPr>
              <w:widowControl/>
              <w:ind w:firstLine="240" w:firstLineChars="100"/>
              <w:jc w:val="left"/>
              <w:rPr>
                <w:rFonts w:ascii="宋体" w:hAnsi="宋体" w:cs="宋体"/>
                <w:color w:val="000000"/>
                <w:kern w:val="0"/>
                <w:sz w:val="24"/>
              </w:rPr>
            </w:pPr>
          </w:p>
          <w:p w14:paraId="7206D5A9">
            <w:pPr>
              <w:widowControl/>
              <w:ind w:firstLine="240" w:firstLineChars="100"/>
              <w:jc w:val="left"/>
              <w:rPr>
                <w:rFonts w:ascii="宋体" w:hAnsi="宋体" w:cs="宋体"/>
                <w:color w:val="000000"/>
                <w:kern w:val="0"/>
                <w:sz w:val="24"/>
              </w:rPr>
            </w:pPr>
          </w:p>
          <w:p w14:paraId="4CEBFDE3">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报价部分</w:t>
            </w:r>
          </w:p>
        </w:tc>
        <w:tc>
          <w:tcPr>
            <w:tcW w:w="768" w:type="dxa"/>
          </w:tcPr>
          <w:p w14:paraId="19E7AFAF">
            <w:pPr>
              <w:widowControl/>
              <w:jc w:val="left"/>
              <w:rPr>
                <w:rFonts w:ascii="宋体" w:hAnsi="宋体" w:cs="宋体"/>
                <w:color w:val="000000"/>
                <w:kern w:val="0"/>
                <w:sz w:val="24"/>
              </w:rPr>
            </w:pPr>
          </w:p>
          <w:p w14:paraId="6AEC1973">
            <w:pPr>
              <w:widowControl/>
              <w:jc w:val="left"/>
              <w:rPr>
                <w:rFonts w:ascii="宋体" w:hAnsi="宋体" w:cs="宋体"/>
                <w:color w:val="000000"/>
                <w:kern w:val="0"/>
                <w:sz w:val="24"/>
              </w:rPr>
            </w:pPr>
          </w:p>
          <w:p w14:paraId="6B6A3669">
            <w:pPr>
              <w:widowControl/>
              <w:jc w:val="left"/>
              <w:rPr>
                <w:rFonts w:ascii="宋体" w:hAnsi="宋体" w:cs="宋体"/>
                <w:color w:val="000000"/>
                <w:kern w:val="0"/>
                <w:sz w:val="24"/>
              </w:rPr>
            </w:pPr>
          </w:p>
          <w:p w14:paraId="50C008A5">
            <w:pPr>
              <w:widowControl/>
              <w:ind w:firstLine="240" w:firstLineChars="100"/>
              <w:jc w:val="left"/>
              <w:rPr>
                <w:rFonts w:ascii="宋体" w:hAnsi="宋体" w:cs="宋体"/>
                <w:color w:val="000000"/>
                <w:kern w:val="0"/>
                <w:sz w:val="24"/>
              </w:rPr>
            </w:pPr>
          </w:p>
          <w:p w14:paraId="7EDD5DC1">
            <w:pPr>
              <w:widowControl/>
              <w:ind w:firstLine="240" w:firstLineChars="100"/>
              <w:jc w:val="left"/>
              <w:rPr>
                <w:rFonts w:ascii="宋体" w:hAnsi="宋体" w:cs="宋体"/>
                <w:color w:val="000000"/>
                <w:kern w:val="0"/>
                <w:sz w:val="24"/>
              </w:rPr>
            </w:pPr>
          </w:p>
          <w:p w14:paraId="1EEDDF1A">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30分</w:t>
            </w:r>
          </w:p>
        </w:tc>
        <w:tc>
          <w:tcPr>
            <w:tcW w:w="7643" w:type="dxa"/>
          </w:tcPr>
          <w:p w14:paraId="350DFE6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价格分应当采用低价优先法计算，即满足招标文件要求且投标价格最低的投标报价为评标基准价，其价格分为满分。其他投标人的价格分统一按照 </w:t>
            </w:r>
          </w:p>
          <w:p w14:paraId="0F80D0C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下列公式计算：投标报价得分=(评标基准价／投标报价)×0.30×100 </w:t>
            </w:r>
          </w:p>
          <w:p w14:paraId="71BF954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评标过程中，不得去掉报价中的最高报价和最低报价</w:t>
            </w:r>
          </w:p>
          <w:p w14:paraId="36599AD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72AA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6" w:type="dxa"/>
          </w:tcPr>
          <w:p w14:paraId="16E6893D">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二</w:t>
            </w:r>
          </w:p>
        </w:tc>
        <w:tc>
          <w:tcPr>
            <w:tcW w:w="1394" w:type="dxa"/>
          </w:tcPr>
          <w:p w14:paraId="13E818BD">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商务部分</w:t>
            </w:r>
          </w:p>
        </w:tc>
        <w:tc>
          <w:tcPr>
            <w:tcW w:w="768" w:type="dxa"/>
          </w:tcPr>
          <w:p w14:paraId="5CE634B4">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0</w:t>
            </w:r>
            <w:r>
              <w:rPr>
                <w:rFonts w:hint="eastAsia" w:ascii="宋体" w:hAnsi="宋体" w:cs="宋体"/>
                <w:color w:val="000000"/>
                <w:kern w:val="0"/>
                <w:sz w:val="24"/>
              </w:rPr>
              <w:t>分</w:t>
            </w:r>
          </w:p>
        </w:tc>
        <w:tc>
          <w:tcPr>
            <w:tcW w:w="7643" w:type="dxa"/>
          </w:tcPr>
          <w:p w14:paraId="6E659ED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具体按下列标准要求进行评审</w:t>
            </w:r>
          </w:p>
        </w:tc>
      </w:tr>
      <w:tr w14:paraId="0C30E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56" w:type="dxa"/>
          </w:tcPr>
          <w:p w14:paraId="0A29E60A">
            <w:pPr>
              <w:widowControl/>
              <w:spacing w:line="360" w:lineRule="auto"/>
              <w:jc w:val="left"/>
              <w:rPr>
                <w:rFonts w:ascii="宋体" w:hAnsi="宋体" w:cs="宋体"/>
                <w:color w:val="000000"/>
                <w:kern w:val="0"/>
                <w:sz w:val="24"/>
              </w:rPr>
            </w:pPr>
          </w:p>
          <w:p w14:paraId="2D8B57BF">
            <w:pPr>
              <w:widowControl/>
              <w:spacing w:line="360" w:lineRule="auto"/>
              <w:jc w:val="left"/>
              <w:rPr>
                <w:rFonts w:ascii="宋体" w:hAnsi="宋体" w:cs="宋体"/>
                <w:color w:val="000000"/>
                <w:kern w:val="0"/>
                <w:sz w:val="24"/>
              </w:rPr>
            </w:pPr>
          </w:p>
          <w:p w14:paraId="7FB22535">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1</w:t>
            </w:r>
          </w:p>
        </w:tc>
        <w:tc>
          <w:tcPr>
            <w:tcW w:w="1394" w:type="dxa"/>
          </w:tcPr>
          <w:p w14:paraId="7237E7EC">
            <w:pPr>
              <w:widowControl/>
              <w:spacing w:line="360" w:lineRule="auto"/>
              <w:jc w:val="left"/>
              <w:rPr>
                <w:rFonts w:ascii="宋体" w:hAnsi="宋体" w:cs="宋体"/>
                <w:color w:val="000000"/>
                <w:kern w:val="0"/>
                <w:sz w:val="24"/>
              </w:rPr>
            </w:pPr>
          </w:p>
          <w:p w14:paraId="2558859E">
            <w:pPr>
              <w:widowControl/>
              <w:spacing w:line="360" w:lineRule="auto"/>
              <w:jc w:val="left"/>
              <w:rPr>
                <w:rFonts w:ascii="宋体" w:hAnsi="宋体" w:cs="宋体"/>
                <w:color w:val="000000"/>
                <w:kern w:val="0"/>
                <w:sz w:val="24"/>
              </w:rPr>
            </w:pPr>
          </w:p>
          <w:p w14:paraId="37CA7C84">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项目业绩</w:t>
            </w:r>
          </w:p>
        </w:tc>
        <w:tc>
          <w:tcPr>
            <w:tcW w:w="768" w:type="dxa"/>
          </w:tcPr>
          <w:p w14:paraId="1DA7A62F">
            <w:pPr>
              <w:widowControl/>
              <w:spacing w:line="360" w:lineRule="auto"/>
              <w:jc w:val="left"/>
              <w:rPr>
                <w:rFonts w:ascii="宋体" w:hAnsi="宋体" w:cs="宋体"/>
                <w:color w:val="000000"/>
                <w:kern w:val="0"/>
                <w:sz w:val="24"/>
              </w:rPr>
            </w:pPr>
          </w:p>
          <w:p w14:paraId="6D905B8C">
            <w:pPr>
              <w:widowControl/>
              <w:spacing w:line="360" w:lineRule="auto"/>
              <w:ind w:firstLine="240" w:firstLineChars="100"/>
              <w:jc w:val="left"/>
              <w:rPr>
                <w:rFonts w:ascii="宋体" w:hAnsi="宋体" w:cs="宋体"/>
                <w:color w:val="000000"/>
                <w:kern w:val="0"/>
                <w:sz w:val="24"/>
              </w:rPr>
            </w:pPr>
          </w:p>
          <w:p w14:paraId="5C39AC21">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分</w:t>
            </w:r>
          </w:p>
        </w:tc>
        <w:tc>
          <w:tcPr>
            <w:tcW w:w="7643" w:type="dxa"/>
          </w:tcPr>
          <w:p w14:paraId="69BDB1A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投标人在投标文件中提供 2022 年 1 月 1 日（以合同签订日期或中标通知书上的日期为准）至投标截止日类似项目业绩，每提供一份有效业绩得 </w:t>
            </w:r>
            <w:r>
              <w:rPr>
                <w:rFonts w:hint="eastAsia" w:ascii="宋体" w:hAnsi="宋体" w:cs="宋体"/>
                <w:color w:val="000000"/>
                <w:kern w:val="0"/>
                <w:sz w:val="24"/>
                <w:lang w:val="en-US" w:eastAsia="zh-CN"/>
              </w:rPr>
              <w:t>1</w:t>
            </w:r>
            <w:r>
              <w:rPr>
                <w:rFonts w:hint="eastAsia" w:ascii="宋体" w:hAnsi="宋体" w:cs="宋体"/>
                <w:color w:val="000000"/>
                <w:kern w:val="0"/>
                <w:sz w:val="24"/>
              </w:rPr>
              <w:t>分，此项满分</w:t>
            </w:r>
            <w:r>
              <w:rPr>
                <w:rFonts w:hint="eastAsia" w:ascii="宋体" w:hAnsi="宋体" w:cs="宋体"/>
                <w:color w:val="000000"/>
                <w:kern w:val="0"/>
                <w:sz w:val="24"/>
                <w:lang w:val="en-US" w:eastAsia="zh-CN"/>
              </w:rPr>
              <w:t>4</w:t>
            </w:r>
            <w:r>
              <w:rPr>
                <w:rFonts w:hint="eastAsia" w:ascii="宋体" w:hAnsi="宋体" w:cs="宋体"/>
                <w:color w:val="000000"/>
                <w:kern w:val="0"/>
                <w:sz w:val="24"/>
              </w:rPr>
              <w:t xml:space="preserve">分，最低得0分。 </w:t>
            </w:r>
          </w:p>
          <w:p w14:paraId="1DC5E47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注：需提供中标通知书或成交通知书、合同、交接单或结算单、发票。上述证明材料未提供或提供不全者不得分</w:t>
            </w:r>
          </w:p>
        </w:tc>
      </w:tr>
      <w:tr w14:paraId="009D4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756" w:type="dxa"/>
          </w:tcPr>
          <w:p w14:paraId="63E3C8A6">
            <w:pPr>
              <w:widowControl/>
              <w:spacing w:line="360" w:lineRule="auto"/>
              <w:ind w:firstLine="240" w:firstLineChars="100"/>
              <w:jc w:val="left"/>
              <w:rPr>
                <w:rFonts w:ascii="宋体" w:hAnsi="宋体" w:cs="宋体"/>
                <w:color w:val="000000"/>
                <w:kern w:val="0"/>
                <w:sz w:val="24"/>
              </w:rPr>
            </w:pPr>
          </w:p>
          <w:p w14:paraId="31E94201">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2</w:t>
            </w:r>
          </w:p>
        </w:tc>
        <w:tc>
          <w:tcPr>
            <w:tcW w:w="1394" w:type="dxa"/>
          </w:tcPr>
          <w:p w14:paraId="0B67E45E">
            <w:pPr>
              <w:widowControl/>
              <w:spacing w:line="360" w:lineRule="auto"/>
              <w:ind w:firstLine="240" w:firstLineChars="100"/>
              <w:jc w:val="left"/>
              <w:rPr>
                <w:rFonts w:ascii="宋体" w:hAnsi="宋体" w:cs="宋体"/>
                <w:color w:val="000000"/>
                <w:kern w:val="0"/>
                <w:sz w:val="24"/>
              </w:rPr>
            </w:pPr>
          </w:p>
          <w:p w14:paraId="5432C605">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人员配置</w:t>
            </w:r>
          </w:p>
        </w:tc>
        <w:tc>
          <w:tcPr>
            <w:tcW w:w="768" w:type="dxa"/>
          </w:tcPr>
          <w:p w14:paraId="07F445DE">
            <w:pPr>
              <w:widowControl/>
              <w:spacing w:line="360" w:lineRule="auto"/>
              <w:ind w:firstLine="240" w:firstLineChars="100"/>
              <w:jc w:val="left"/>
              <w:rPr>
                <w:rFonts w:ascii="宋体" w:hAnsi="宋体" w:cs="宋体"/>
                <w:color w:val="000000"/>
                <w:kern w:val="0"/>
                <w:sz w:val="24"/>
              </w:rPr>
            </w:pPr>
          </w:p>
          <w:p w14:paraId="493DEA1C">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6分</w:t>
            </w:r>
          </w:p>
        </w:tc>
        <w:tc>
          <w:tcPr>
            <w:tcW w:w="7643" w:type="dxa"/>
          </w:tcPr>
          <w:p w14:paraId="07A68B86">
            <w:pPr>
              <w:widowControl/>
              <w:spacing w:line="360" w:lineRule="auto"/>
              <w:jc w:val="left"/>
              <w:rPr>
                <w:rFonts w:hint="eastAsia" w:ascii="宋体" w:hAnsi="宋体" w:cs="宋体"/>
                <w:color w:val="000000"/>
                <w:kern w:val="0"/>
                <w:sz w:val="24"/>
              </w:rPr>
            </w:pPr>
          </w:p>
          <w:p w14:paraId="007AE80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提供拟派往本项目的管理人员和配送人员名单，在本单位缴纳社保人数</w:t>
            </w:r>
            <w:r>
              <w:rPr>
                <w:rFonts w:hint="eastAsia" w:ascii="宋体" w:hAnsi="宋体" w:cs="宋体"/>
                <w:color w:val="000000"/>
                <w:kern w:val="0"/>
                <w:sz w:val="24"/>
                <w:lang w:val="en-US" w:eastAsia="zh-CN"/>
              </w:rPr>
              <w:t>7</w:t>
            </w:r>
            <w:r>
              <w:rPr>
                <w:rFonts w:hint="eastAsia" w:ascii="宋体" w:hAnsi="宋体" w:cs="宋体"/>
                <w:color w:val="000000"/>
                <w:kern w:val="0"/>
                <w:sz w:val="24"/>
              </w:rPr>
              <w:t>人（包含）以上得6分，3-5人得4分，3人以下得2分，未提供不得分。</w:t>
            </w:r>
          </w:p>
        </w:tc>
      </w:tr>
      <w:bookmarkEnd w:id="70"/>
    </w:tbl>
    <w:p w14:paraId="15F40949">
      <w:pPr>
        <w:pStyle w:val="6"/>
        <w:jc w:val="both"/>
        <w:rPr>
          <w:rFonts w:ascii="宋体" w:hAnsi="宋体" w:eastAsia="宋体" w:cs="宋体"/>
          <w:color w:val="000000"/>
        </w:rPr>
      </w:pPr>
    </w:p>
    <w:tbl>
      <w:tblPr>
        <w:tblStyle w:val="55"/>
        <w:tblW w:w="105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49"/>
        <w:gridCol w:w="1544"/>
        <w:gridCol w:w="6881"/>
      </w:tblGrid>
      <w:tr w14:paraId="31E5E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0573" w:type="dxa"/>
            <w:gridSpan w:val="4"/>
            <w:tcBorders>
              <w:top w:val="single" w:color="auto" w:sz="4" w:space="0"/>
              <w:left w:val="single" w:color="auto" w:sz="4" w:space="0"/>
              <w:bottom w:val="single" w:color="auto" w:sz="4" w:space="0"/>
            </w:tcBorders>
          </w:tcPr>
          <w:p w14:paraId="12AFE11D">
            <w:pPr>
              <w:spacing w:before="178" w:line="228" w:lineRule="auto"/>
              <w:jc w:val="both"/>
              <w:rPr>
                <w:rFonts w:ascii="宋体" w:hAnsi="宋体" w:cs="宋体"/>
                <w:spacing w:val="10"/>
                <w:sz w:val="20"/>
                <w:szCs w:val="20"/>
              </w:rPr>
            </w:pPr>
          </w:p>
          <w:p w14:paraId="391156CA">
            <w:pPr>
              <w:widowControl/>
              <w:spacing w:line="360" w:lineRule="auto"/>
              <w:ind w:firstLine="4800" w:firstLineChars="2000"/>
              <w:jc w:val="left"/>
              <w:rPr>
                <w:rFonts w:ascii="宋体" w:hAnsi="宋体" w:cs="宋体"/>
                <w:spacing w:val="6"/>
                <w:sz w:val="20"/>
                <w:szCs w:val="20"/>
              </w:rPr>
            </w:pPr>
            <w:r>
              <w:rPr>
                <w:rFonts w:hint="eastAsia" w:ascii="宋体" w:hAnsi="宋体" w:eastAsia="宋体" w:cs="宋体"/>
                <w:color w:val="000000"/>
                <w:kern w:val="0"/>
                <w:sz w:val="24"/>
              </w:rPr>
              <w:t>技术标评标标准</w:t>
            </w:r>
          </w:p>
        </w:tc>
      </w:tr>
      <w:tr w14:paraId="7A133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jc w:val="center"/>
        </w:trPr>
        <w:tc>
          <w:tcPr>
            <w:tcW w:w="799" w:type="dxa"/>
            <w:tcBorders>
              <w:top w:val="single" w:color="auto" w:sz="4" w:space="0"/>
              <w:bottom w:val="nil"/>
            </w:tcBorders>
          </w:tcPr>
          <w:p w14:paraId="5108467F">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项目</w:t>
            </w:r>
          </w:p>
          <w:p w14:paraId="09BB7BE0">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分值</w:t>
            </w:r>
          </w:p>
        </w:tc>
        <w:tc>
          <w:tcPr>
            <w:tcW w:w="2893" w:type="dxa"/>
            <w:gridSpan w:val="2"/>
            <w:tcBorders>
              <w:top w:val="single" w:color="auto" w:sz="4" w:space="0"/>
            </w:tcBorders>
            <w:vAlign w:val="center"/>
          </w:tcPr>
          <w:p w14:paraId="0BFE3CA6">
            <w:pPr>
              <w:widowControl/>
              <w:spacing w:line="360" w:lineRule="auto"/>
              <w:ind w:firstLine="720" w:firstLineChars="300"/>
              <w:jc w:val="left"/>
              <w:rPr>
                <w:rFonts w:ascii="宋体" w:hAnsi="宋体" w:cs="宋体"/>
                <w:color w:val="000000"/>
                <w:kern w:val="0"/>
                <w:sz w:val="24"/>
              </w:rPr>
            </w:pPr>
            <w:r>
              <w:rPr>
                <w:rFonts w:hint="eastAsia" w:ascii="宋体" w:hAnsi="宋体" w:cs="宋体"/>
                <w:color w:val="000000"/>
                <w:kern w:val="0"/>
                <w:sz w:val="24"/>
              </w:rPr>
              <w:t>评分内容</w:t>
            </w:r>
          </w:p>
        </w:tc>
        <w:tc>
          <w:tcPr>
            <w:tcW w:w="6881" w:type="dxa"/>
          </w:tcPr>
          <w:p w14:paraId="64C2E8D8">
            <w:pPr>
              <w:widowControl/>
              <w:spacing w:line="360" w:lineRule="auto"/>
              <w:rPr>
                <w:rFonts w:ascii="宋体" w:hAnsi="宋体" w:cs="宋体"/>
                <w:color w:val="000000"/>
                <w:kern w:val="0"/>
                <w:sz w:val="24"/>
              </w:rPr>
            </w:pPr>
          </w:p>
          <w:p w14:paraId="587E977C">
            <w:pPr>
              <w:widowControl/>
              <w:spacing w:line="360" w:lineRule="auto"/>
              <w:ind w:firstLine="2400" w:firstLineChars="1000"/>
              <w:rPr>
                <w:rFonts w:ascii="宋体" w:hAnsi="宋体" w:cs="宋体"/>
                <w:color w:val="000000"/>
                <w:kern w:val="0"/>
                <w:sz w:val="24"/>
              </w:rPr>
            </w:pPr>
            <w:r>
              <w:rPr>
                <w:rFonts w:hint="eastAsia" w:ascii="宋体" w:hAnsi="宋体" w:cs="宋体"/>
                <w:color w:val="000000"/>
                <w:kern w:val="0"/>
                <w:sz w:val="24"/>
              </w:rPr>
              <w:t>评分方法</w:t>
            </w:r>
          </w:p>
        </w:tc>
      </w:tr>
      <w:tr w14:paraId="51B33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jc w:val="center"/>
        </w:trPr>
        <w:tc>
          <w:tcPr>
            <w:tcW w:w="799" w:type="dxa"/>
            <w:vMerge w:val="restart"/>
            <w:tcBorders>
              <w:top w:val="single" w:color="auto" w:sz="4" w:space="0"/>
              <w:left w:val="single" w:color="auto" w:sz="4" w:space="0"/>
              <w:bottom w:val="single" w:color="auto" w:sz="4" w:space="0"/>
              <w:right w:val="single" w:color="auto" w:sz="4" w:space="0"/>
            </w:tcBorders>
            <w:vAlign w:val="center"/>
          </w:tcPr>
          <w:p w14:paraId="5638866F">
            <w:pPr>
              <w:jc w:val="center"/>
              <w:rPr>
                <w:rFonts w:ascii="Arial"/>
              </w:rPr>
            </w:pPr>
            <w:r>
              <w:rPr>
                <w:rFonts w:ascii="Arial"/>
              </w:rPr>
              <w:t>技术</w:t>
            </w:r>
          </w:p>
          <w:p w14:paraId="27B48AEC">
            <w:pPr>
              <w:jc w:val="center"/>
              <w:rPr>
                <w:rFonts w:ascii="Arial"/>
              </w:rPr>
            </w:pPr>
            <w:r>
              <w:rPr>
                <w:rFonts w:ascii="Arial"/>
              </w:rPr>
              <w:t>标</w:t>
            </w:r>
          </w:p>
          <w:p w14:paraId="7939EB11">
            <w:pPr>
              <w:jc w:val="center"/>
              <w:rPr>
                <w:rFonts w:ascii="Arial"/>
              </w:rPr>
            </w:pPr>
            <w:r>
              <w:rPr>
                <w:rFonts w:hint="eastAsia" w:ascii="Arial"/>
                <w:lang w:val="en-US" w:eastAsia="zh-CN"/>
              </w:rPr>
              <w:t>60</w:t>
            </w:r>
            <w:bookmarkStart w:id="143" w:name="_GoBack"/>
            <w:bookmarkEnd w:id="143"/>
            <w:r>
              <w:rPr>
                <w:rFonts w:ascii="Arial"/>
              </w:rPr>
              <w:t>分</w:t>
            </w:r>
          </w:p>
        </w:tc>
        <w:tc>
          <w:tcPr>
            <w:tcW w:w="1349" w:type="dxa"/>
            <w:tcBorders>
              <w:top w:val="single" w:color="auto" w:sz="4" w:space="0"/>
              <w:left w:val="single" w:color="auto" w:sz="4" w:space="0"/>
              <w:bottom w:val="single" w:color="auto" w:sz="4" w:space="0"/>
              <w:right w:val="single" w:color="auto" w:sz="4" w:space="0"/>
            </w:tcBorders>
            <w:vAlign w:val="center"/>
          </w:tcPr>
          <w:p w14:paraId="723774C5">
            <w:pPr>
              <w:widowControl/>
              <w:jc w:val="center"/>
              <w:rPr>
                <w:rFonts w:ascii="宋体" w:hAnsi="宋体" w:cs="宋体"/>
                <w:color w:val="000000"/>
                <w:kern w:val="0"/>
                <w:sz w:val="24"/>
              </w:rPr>
            </w:pPr>
          </w:p>
          <w:p w14:paraId="057B5E6E">
            <w:pPr>
              <w:widowControl/>
              <w:jc w:val="center"/>
            </w:pPr>
            <w:r>
              <w:rPr>
                <w:rFonts w:hint="eastAsia" w:ascii="宋体" w:hAnsi="宋体" w:cs="宋体"/>
                <w:color w:val="000000"/>
                <w:kern w:val="0"/>
                <w:sz w:val="24"/>
              </w:rPr>
              <w:t>供货方案及保障措施</w:t>
            </w:r>
          </w:p>
          <w:p w14:paraId="086CE2BB">
            <w:pPr>
              <w:jc w:val="center"/>
              <w:rPr>
                <w:rFonts w:ascii="Arial"/>
              </w:rPr>
            </w:pPr>
          </w:p>
        </w:tc>
        <w:tc>
          <w:tcPr>
            <w:tcW w:w="1544" w:type="dxa"/>
            <w:tcBorders>
              <w:left w:val="single" w:color="auto" w:sz="4" w:space="0"/>
            </w:tcBorders>
            <w:vAlign w:val="center"/>
          </w:tcPr>
          <w:p w14:paraId="193C52AA">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15分</w:t>
            </w:r>
          </w:p>
        </w:tc>
        <w:tc>
          <w:tcPr>
            <w:tcW w:w="6881" w:type="dxa"/>
          </w:tcPr>
          <w:p w14:paraId="0A78BAF4">
            <w:pPr>
              <w:widowControl/>
              <w:ind w:firstLine="480" w:firstLineChars="200"/>
              <w:jc w:val="left"/>
              <w:rPr>
                <w:rFonts w:ascii="宋体" w:hAnsi="宋体" w:cs="宋体"/>
                <w:sz w:val="20"/>
                <w:szCs w:val="20"/>
              </w:rPr>
            </w:pPr>
            <w:r>
              <w:rPr>
                <w:rFonts w:hint="eastAsia" w:ascii="宋体" w:hAnsi="宋体" w:cs="宋体"/>
                <w:color w:val="000000"/>
                <w:kern w:val="0"/>
                <w:sz w:val="24"/>
              </w:rPr>
              <w:t>评委根据投标人提供的针对本项目的供货方案、项目实施计划及人员安排、 供货周期及供货保障措施等方面进行综合评审，方案充分、合理、供货及时、方案内容详细、供货有保障的得 15 分，每有一项不合理扣 1 分,缺一项的或与本项目实际需求不符的扣 3 分，扣完为止。未提供不得分。</w:t>
            </w:r>
          </w:p>
        </w:tc>
      </w:tr>
      <w:tr w14:paraId="244B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799" w:type="dxa"/>
            <w:vMerge w:val="continue"/>
            <w:tcBorders>
              <w:top w:val="single" w:color="auto" w:sz="4" w:space="0"/>
              <w:left w:val="single" w:color="auto" w:sz="4" w:space="0"/>
              <w:bottom w:val="single" w:color="auto" w:sz="4" w:space="0"/>
              <w:right w:val="single" w:color="auto" w:sz="4" w:space="0"/>
            </w:tcBorders>
          </w:tcPr>
          <w:p w14:paraId="2FF674EB">
            <w:pPr>
              <w:rPr>
                <w:rFonts w:ascii="Arial"/>
              </w:rPr>
            </w:pPr>
          </w:p>
        </w:tc>
        <w:tc>
          <w:tcPr>
            <w:tcW w:w="1349" w:type="dxa"/>
            <w:tcBorders>
              <w:top w:val="single" w:color="auto" w:sz="4" w:space="0"/>
              <w:left w:val="single" w:color="auto" w:sz="4" w:space="0"/>
              <w:bottom w:val="single" w:color="auto" w:sz="4" w:space="0"/>
              <w:right w:val="single" w:color="auto" w:sz="4" w:space="0"/>
            </w:tcBorders>
            <w:vAlign w:val="center"/>
          </w:tcPr>
          <w:p w14:paraId="4AAE1BFD">
            <w:pPr>
              <w:widowControl/>
              <w:jc w:val="center"/>
            </w:pPr>
            <w:r>
              <w:rPr>
                <w:rFonts w:hint="eastAsia" w:ascii="宋体" w:hAnsi="宋体" w:cs="宋体"/>
                <w:color w:val="000000"/>
                <w:kern w:val="0"/>
                <w:sz w:val="24"/>
              </w:rPr>
              <w:t>质量保证措施及方案</w:t>
            </w:r>
          </w:p>
          <w:p w14:paraId="392EAD1B">
            <w:pPr>
              <w:spacing w:line="229" w:lineRule="auto"/>
              <w:jc w:val="center"/>
              <w:rPr>
                <w:rFonts w:ascii="宋体" w:hAnsi="宋体" w:cs="宋体"/>
                <w:sz w:val="20"/>
                <w:szCs w:val="20"/>
              </w:rPr>
            </w:pPr>
          </w:p>
        </w:tc>
        <w:tc>
          <w:tcPr>
            <w:tcW w:w="1544" w:type="dxa"/>
            <w:tcBorders>
              <w:left w:val="single" w:color="auto" w:sz="4" w:space="0"/>
            </w:tcBorders>
          </w:tcPr>
          <w:p w14:paraId="1ACBC1F0">
            <w:pPr>
              <w:widowControl/>
              <w:jc w:val="left"/>
              <w:rPr>
                <w:rFonts w:ascii="宋体" w:hAnsi="宋体" w:cs="宋体"/>
                <w:color w:val="000000"/>
                <w:kern w:val="0"/>
                <w:sz w:val="24"/>
              </w:rPr>
            </w:pPr>
          </w:p>
          <w:p w14:paraId="2A36FA77">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10分</w:t>
            </w:r>
          </w:p>
        </w:tc>
        <w:tc>
          <w:tcPr>
            <w:tcW w:w="6881" w:type="dxa"/>
          </w:tcPr>
          <w:p w14:paraId="4F5BA686">
            <w:pPr>
              <w:widowControl/>
              <w:ind w:firstLine="480" w:firstLineChars="200"/>
              <w:jc w:val="left"/>
            </w:pPr>
            <w:r>
              <w:rPr>
                <w:rFonts w:hint="eastAsia" w:ascii="宋体" w:hAnsi="宋体" w:cs="宋体"/>
                <w:color w:val="000000"/>
                <w:kern w:val="0"/>
                <w:sz w:val="24"/>
              </w:rPr>
              <w:t>评委根据投标人提供的质量保证措施进行综合评分，有明确的质量保证目标，质量保证措施，体系合理先进，具有详细的实施内容的得10分，每有一项漏项或内容不合理的扣 2分，扣完为止。</w:t>
            </w:r>
          </w:p>
        </w:tc>
      </w:tr>
      <w:tr w14:paraId="32BD2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799" w:type="dxa"/>
            <w:vMerge w:val="continue"/>
            <w:tcBorders>
              <w:top w:val="single" w:color="auto" w:sz="4" w:space="0"/>
              <w:left w:val="single" w:color="auto" w:sz="4" w:space="0"/>
              <w:bottom w:val="single" w:color="auto" w:sz="4" w:space="0"/>
              <w:right w:val="single" w:color="auto" w:sz="4" w:space="0"/>
            </w:tcBorders>
          </w:tcPr>
          <w:p w14:paraId="5470FB89">
            <w:pPr>
              <w:rPr>
                <w:rFonts w:ascii="Arial"/>
              </w:rPr>
            </w:pPr>
          </w:p>
        </w:tc>
        <w:tc>
          <w:tcPr>
            <w:tcW w:w="1349" w:type="dxa"/>
            <w:tcBorders>
              <w:top w:val="single" w:color="auto" w:sz="4" w:space="0"/>
              <w:left w:val="single" w:color="auto" w:sz="4" w:space="0"/>
              <w:bottom w:val="single" w:color="auto" w:sz="4" w:space="0"/>
              <w:right w:val="single" w:color="auto" w:sz="4" w:space="0"/>
            </w:tcBorders>
            <w:vAlign w:val="center"/>
          </w:tcPr>
          <w:p w14:paraId="333DE21E">
            <w:pPr>
              <w:widowControl/>
              <w:jc w:val="center"/>
              <w:rPr>
                <w:rFonts w:ascii="宋体" w:hAnsi="宋体" w:cs="宋体"/>
                <w:color w:val="000000"/>
                <w:kern w:val="0"/>
                <w:sz w:val="24"/>
              </w:rPr>
            </w:pPr>
            <w:r>
              <w:rPr>
                <w:rFonts w:hint="eastAsia" w:ascii="宋体" w:hAnsi="宋体" w:cs="宋体"/>
                <w:color w:val="000000"/>
                <w:kern w:val="0"/>
                <w:sz w:val="24"/>
              </w:rPr>
              <w:t>运输及配送方案</w:t>
            </w:r>
          </w:p>
        </w:tc>
        <w:tc>
          <w:tcPr>
            <w:tcW w:w="1544" w:type="dxa"/>
            <w:tcBorders>
              <w:left w:val="single" w:color="auto" w:sz="4" w:space="0"/>
            </w:tcBorders>
            <w:vAlign w:val="center"/>
          </w:tcPr>
          <w:p w14:paraId="54D87CF4">
            <w:pPr>
              <w:widowControl/>
              <w:jc w:val="center"/>
              <w:rPr>
                <w:rFonts w:ascii="宋体" w:hAnsi="宋体" w:cs="宋体"/>
                <w:color w:val="000000"/>
                <w:kern w:val="0"/>
                <w:sz w:val="24"/>
              </w:rPr>
            </w:pPr>
            <w:r>
              <w:rPr>
                <w:rFonts w:hint="eastAsia" w:ascii="宋体" w:hAnsi="宋体" w:cs="宋体"/>
                <w:color w:val="000000"/>
                <w:kern w:val="0"/>
                <w:sz w:val="24"/>
              </w:rPr>
              <w:t>15分</w:t>
            </w:r>
          </w:p>
        </w:tc>
        <w:tc>
          <w:tcPr>
            <w:tcW w:w="6881" w:type="dxa"/>
          </w:tcPr>
          <w:p w14:paraId="190CFAC5">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根据投标人提供的针对本项目的运输、配送方案的可行性等方面进行评审： </w:t>
            </w:r>
          </w:p>
          <w:p w14:paraId="0D84583D">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1、运输、配送方案详细、完善、具体、可行性强得15 分； </w:t>
            </w:r>
          </w:p>
          <w:p w14:paraId="3AD1B08D">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2、运输、配送方案完整、具体、可行性较强得12 分； </w:t>
            </w:r>
          </w:p>
          <w:p w14:paraId="0D9E05D2">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3、运输、配送方案较完整、较具体、可行性较好得 9 分；</w:t>
            </w:r>
          </w:p>
          <w:p w14:paraId="6233BDEB">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4、运输、配送方案较简单、不够具体、可行性一般得6分； </w:t>
            </w:r>
          </w:p>
          <w:p w14:paraId="7A0A1BE1">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5、运输、配送方案简单、不具体、可行性差3分。</w:t>
            </w:r>
          </w:p>
          <w:p w14:paraId="7C9F57C7">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未提供不得分</w:t>
            </w:r>
          </w:p>
        </w:tc>
      </w:tr>
      <w:tr w14:paraId="5802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799" w:type="dxa"/>
            <w:vMerge w:val="continue"/>
            <w:tcBorders>
              <w:top w:val="single" w:color="auto" w:sz="4" w:space="0"/>
              <w:left w:val="single" w:color="auto" w:sz="4" w:space="0"/>
              <w:bottom w:val="single" w:color="auto" w:sz="4" w:space="0"/>
              <w:right w:val="single" w:color="auto" w:sz="4" w:space="0"/>
            </w:tcBorders>
          </w:tcPr>
          <w:p w14:paraId="41EFA35C">
            <w:pPr>
              <w:rPr>
                <w:rFonts w:ascii="Arial"/>
              </w:rPr>
            </w:pPr>
          </w:p>
        </w:tc>
        <w:tc>
          <w:tcPr>
            <w:tcW w:w="1349" w:type="dxa"/>
            <w:tcBorders>
              <w:top w:val="single" w:color="auto" w:sz="4" w:space="0"/>
              <w:left w:val="single" w:color="auto" w:sz="4" w:space="0"/>
              <w:bottom w:val="single" w:color="auto" w:sz="4" w:space="0"/>
              <w:right w:val="single" w:color="auto" w:sz="4" w:space="0"/>
            </w:tcBorders>
            <w:vAlign w:val="center"/>
          </w:tcPr>
          <w:p w14:paraId="587A63B4">
            <w:pPr>
              <w:widowControl/>
              <w:jc w:val="center"/>
            </w:pPr>
            <w:r>
              <w:rPr>
                <w:rFonts w:hint="eastAsia" w:ascii="宋体" w:hAnsi="宋体" w:cs="宋体"/>
                <w:color w:val="000000"/>
                <w:kern w:val="0"/>
                <w:sz w:val="24"/>
              </w:rPr>
              <w:t>售后服务方案</w:t>
            </w:r>
          </w:p>
          <w:p w14:paraId="112F3FFD">
            <w:pPr>
              <w:spacing w:line="335" w:lineRule="auto"/>
              <w:jc w:val="center"/>
              <w:rPr>
                <w:rFonts w:ascii="宋体" w:hAnsi="宋体" w:cs="宋体"/>
                <w:szCs w:val="21"/>
                <w:u w:color="000000"/>
              </w:rPr>
            </w:pPr>
          </w:p>
        </w:tc>
        <w:tc>
          <w:tcPr>
            <w:tcW w:w="1544" w:type="dxa"/>
            <w:tcBorders>
              <w:left w:val="single" w:color="auto" w:sz="4" w:space="0"/>
            </w:tcBorders>
            <w:vAlign w:val="center"/>
          </w:tcPr>
          <w:p w14:paraId="488D9CBE">
            <w:pPr>
              <w:spacing w:before="174" w:line="269" w:lineRule="exact"/>
              <w:ind w:left="599"/>
              <w:rPr>
                <w:rFonts w:ascii="宋体" w:hAnsi="宋体" w:cs="宋体"/>
                <w:spacing w:val="37"/>
                <w:sz w:val="20"/>
                <w:szCs w:val="20"/>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p>
        </w:tc>
        <w:tc>
          <w:tcPr>
            <w:tcW w:w="6881" w:type="dxa"/>
          </w:tcPr>
          <w:p w14:paraId="22635A04">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根据投标人对本项目提供售后服务方案（包含但不限于供货计划、 供货紧急情况应对方案、售后服务措施）进行评审： </w:t>
            </w:r>
          </w:p>
          <w:p w14:paraId="6C492C57">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1、具有完善具体的售后服务内容，总体服务方案科学合理、亮点多、针对性强、可行性高的得1</w:t>
            </w:r>
            <w:r>
              <w:rPr>
                <w:rFonts w:hint="eastAsia" w:ascii="宋体" w:hAnsi="宋体" w:cs="宋体"/>
                <w:color w:val="000000"/>
                <w:kern w:val="0"/>
                <w:sz w:val="24"/>
                <w:lang w:val="en-US" w:eastAsia="zh-CN"/>
              </w:rPr>
              <w:t>2</w:t>
            </w:r>
            <w:r>
              <w:rPr>
                <w:rFonts w:hint="eastAsia" w:ascii="宋体" w:hAnsi="宋体" w:cs="宋体"/>
                <w:color w:val="000000"/>
                <w:kern w:val="0"/>
                <w:sz w:val="24"/>
              </w:rPr>
              <w:t xml:space="preserve">分； </w:t>
            </w:r>
          </w:p>
          <w:p w14:paraId="3587E78D">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2、具有较完善具体的售后服务内容，总体服务方案较合理、亮点较多、针对性较强、可行性较高的得 </w:t>
            </w:r>
            <w:r>
              <w:rPr>
                <w:rFonts w:hint="eastAsia" w:ascii="宋体" w:hAnsi="宋体" w:cs="宋体"/>
                <w:color w:val="000000"/>
                <w:kern w:val="0"/>
                <w:sz w:val="24"/>
                <w:lang w:val="en-US" w:eastAsia="zh-CN"/>
              </w:rPr>
              <w:t>9</w:t>
            </w:r>
            <w:r>
              <w:rPr>
                <w:rFonts w:hint="eastAsia" w:ascii="宋体" w:hAnsi="宋体" w:cs="宋体"/>
                <w:color w:val="000000"/>
                <w:kern w:val="0"/>
                <w:sz w:val="24"/>
              </w:rPr>
              <w:t xml:space="preserve"> 分； </w:t>
            </w:r>
          </w:p>
          <w:p w14:paraId="3DAFE392">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3、售后服务内容比较完善，总体服务方案比较合理，针对性一般、可行性一般的得 </w:t>
            </w:r>
            <w:r>
              <w:rPr>
                <w:rFonts w:hint="eastAsia" w:ascii="宋体" w:hAnsi="宋体" w:cs="宋体"/>
                <w:color w:val="000000"/>
                <w:kern w:val="0"/>
                <w:sz w:val="24"/>
                <w:lang w:val="en-US" w:eastAsia="zh-CN"/>
              </w:rPr>
              <w:t>7</w:t>
            </w:r>
            <w:r>
              <w:rPr>
                <w:rFonts w:hint="eastAsia" w:ascii="宋体" w:hAnsi="宋体" w:cs="宋体"/>
                <w:color w:val="000000"/>
                <w:kern w:val="0"/>
                <w:sz w:val="24"/>
              </w:rPr>
              <w:t xml:space="preserve">分； </w:t>
            </w:r>
          </w:p>
          <w:p w14:paraId="34738866">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4、售后服务内容不完整，总体服务方案不合理，针对性较差、可行性不高得 4分；</w:t>
            </w:r>
          </w:p>
          <w:p w14:paraId="37E71F19">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5、售后服务内容完整度较差，总体服务方案不合理，针对性差、可行性低得2分。</w:t>
            </w:r>
          </w:p>
          <w:p w14:paraId="6858419E">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未提供不得分</w:t>
            </w:r>
          </w:p>
        </w:tc>
      </w:tr>
      <w:tr w14:paraId="0E2AF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799" w:type="dxa"/>
            <w:vMerge w:val="continue"/>
            <w:tcBorders>
              <w:top w:val="nil"/>
              <w:left w:val="single" w:color="auto" w:sz="4" w:space="0"/>
              <w:bottom w:val="nil"/>
            </w:tcBorders>
          </w:tcPr>
          <w:p w14:paraId="53CE7751">
            <w:pPr>
              <w:rPr>
                <w:rFonts w:ascii="Arial"/>
              </w:rPr>
            </w:pPr>
          </w:p>
        </w:tc>
        <w:tc>
          <w:tcPr>
            <w:tcW w:w="1349" w:type="dxa"/>
            <w:tcBorders>
              <w:top w:val="single" w:color="auto" w:sz="4" w:space="0"/>
              <w:bottom w:val="single" w:color="auto" w:sz="4" w:space="0"/>
            </w:tcBorders>
            <w:vAlign w:val="center"/>
          </w:tcPr>
          <w:p w14:paraId="0D59C60B">
            <w:pPr>
              <w:spacing w:before="65" w:line="439" w:lineRule="exact"/>
              <w:jc w:val="center"/>
              <w:rPr>
                <w:rFonts w:ascii="宋体" w:hAnsi="宋体" w:cs="宋体"/>
                <w:sz w:val="20"/>
                <w:szCs w:val="20"/>
              </w:rPr>
            </w:pPr>
            <w:r>
              <w:rPr>
                <w:rFonts w:hint="eastAsia" w:ascii="宋体" w:hAnsi="宋体" w:cs="宋体"/>
                <w:szCs w:val="21"/>
              </w:rPr>
              <w:t>合理化建议及售后承诺</w:t>
            </w:r>
          </w:p>
        </w:tc>
        <w:tc>
          <w:tcPr>
            <w:tcW w:w="1544" w:type="dxa"/>
          </w:tcPr>
          <w:p w14:paraId="2E4FF5B5">
            <w:pPr>
              <w:spacing w:line="271" w:lineRule="auto"/>
              <w:rPr>
                <w:rFonts w:ascii="Arial"/>
              </w:rPr>
            </w:pPr>
          </w:p>
          <w:p w14:paraId="683DE48C">
            <w:pPr>
              <w:spacing w:before="174" w:line="269" w:lineRule="exact"/>
              <w:ind w:left="599"/>
              <w:rPr>
                <w:rFonts w:ascii="宋体" w:hAnsi="宋体" w:cs="宋体"/>
                <w:color w:val="000000"/>
                <w:kern w:val="0"/>
                <w:sz w:val="24"/>
              </w:rPr>
            </w:pPr>
          </w:p>
          <w:p w14:paraId="5397F20C">
            <w:pPr>
              <w:spacing w:before="174" w:line="269" w:lineRule="exact"/>
              <w:ind w:left="599"/>
              <w:rPr>
                <w:rFonts w:ascii="宋体" w:hAnsi="宋体" w:cs="宋体"/>
                <w:color w:val="000000"/>
                <w:kern w:val="0"/>
                <w:sz w:val="24"/>
              </w:rPr>
            </w:pPr>
          </w:p>
          <w:p w14:paraId="6C14AAB1">
            <w:pPr>
              <w:spacing w:before="174" w:line="269" w:lineRule="exact"/>
              <w:ind w:left="599"/>
              <w:rPr>
                <w:rFonts w:ascii="宋体" w:hAnsi="宋体" w:cs="宋体"/>
                <w:sz w:val="20"/>
                <w:szCs w:val="20"/>
              </w:rPr>
            </w:pPr>
            <w:r>
              <w:rPr>
                <w:rFonts w:hint="eastAsia" w:ascii="宋体" w:hAnsi="宋体" w:cs="宋体"/>
                <w:color w:val="000000"/>
                <w:kern w:val="0"/>
                <w:sz w:val="24"/>
                <w:lang w:val="en-US" w:eastAsia="zh-CN"/>
              </w:rPr>
              <w:t>8</w:t>
            </w:r>
            <w:r>
              <w:rPr>
                <w:rFonts w:hint="eastAsia" w:ascii="宋体" w:hAnsi="宋体" w:cs="宋体"/>
                <w:color w:val="000000"/>
                <w:kern w:val="0"/>
                <w:sz w:val="24"/>
              </w:rPr>
              <w:t>分</w:t>
            </w:r>
          </w:p>
        </w:tc>
        <w:tc>
          <w:tcPr>
            <w:tcW w:w="6881" w:type="dxa"/>
          </w:tcPr>
          <w:p w14:paraId="378E6297">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根据投标人对本项目提供合理化建议及售后承诺</w:t>
            </w:r>
          </w:p>
          <w:p w14:paraId="71317769">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1、合理化建议及售后承诺完整、具体、可行性强得</w:t>
            </w:r>
            <w:r>
              <w:rPr>
                <w:rFonts w:hint="eastAsia" w:ascii="宋体" w:hAnsi="宋体" w:cs="宋体"/>
                <w:color w:val="000000"/>
                <w:kern w:val="0"/>
                <w:sz w:val="24"/>
                <w:lang w:val="en-US" w:eastAsia="zh-CN"/>
              </w:rPr>
              <w:t>8</w:t>
            </w:r>
            <w:r>
              <w:rPr>
                <w:rFonts w:hint="eastAsia" w:ascii="宋体" w:hAnsi="宋体" w:cs="宋体"/>
                <w:color w:val="000000"/>
                <w:kern w:val="0"/>
                <w:sz w:val="24"/>
              </w:rPr>
              <w:t xml:space="preserve"> 分； </w:t>
            </w:r>
          </w:p>
          <w:p w14:paraId="0D321D43">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2、合理化建议及售后承诺较完整、较具体、可行性较强得</w:t>
            </w:r>
            <w:r>
              <w:rPr>
                <w:rFonts w:hint="eastAsia" w:ascii="宋体" w:hAnsi="宋体" w:cs="宋体"/>
                <w:color w:val="000000"/>
                <w:kern w:val="0"/>
                <w:sz w:val="24"/>
                <w:lang w:val="en-US" w:eastAsia="zh-CN"/>
              </w:rPr>
              <w:t>5</w:t>
            </w:r>
            <w:r>
              <w:rPr>
                <w:rFonts w:hint="eastAsia" w:ascii="宋体" w:hAnsi="宋体" w:cs="宋体"/>
                <w:color w:val="000000"/>
                <w:kern w:val="0"/>
                <w:sz w:val="24"/>
              </w:rPr>
              <w:t xml:space="preserve">分； </w:t>
            </w:r>
          </w:p>
          <w:p w14:paraId="792E80DC">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3、合理化建议及售后承诺较简单、不够具体、可行性较好得</w:t>
            </w:r>
            <w:r>
              <w:rPr>
                <w:rFonts w:hint="eastAsia" w:ascii="宋体" w:hAnsi="宋体" w:cs="宋体"/>
                <w:color w:val="000000"/>
                <w:kern w:val="0"/>
                <w:sz w:val="24"/>
                <w:lang w:val="en-US" w:eastAsia="zh-CN"/>
              </w:rPr>
              <w:t>3</w:t>
            </w:r>
            <w:r>
              <w:rPr>
                <w:rFonts w:hint="eastAsia" w:ascii="宋体" w:hAnsi="宋体" w:cs="宋体"/>
                <w:color w:val="000000"/>
                <w:kern w:val="0"/>
                <w:sz w:val="24"/>
              </w:rPr>
              <w:t>分；</w:t>
            </w:r>
          </w:p>
          <w:p w14:paraId="15DBE267">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4、合理化建议及售后承诺简单、不具体、可行性一般得1分；</w:t>
            </w:r>
          </w:p>
          <w:p w14:paraId="73B9837B">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未提供不得分。</w:t>
            </w:r>
          </w:p>
        </w:tc>
      </w:tr>
      <w:tr w14:paraId="52BB8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0573" w:type="dxa"/>
            <w:gridSpan w:val="4"/>
          </w:tcPr>
          <w:p w14:paraId="0400A8FB">
            <w:pPr>
              <w:spacing w:before="241" w:line="229" w:lineRule="auto"/>
              <w:ind w:left="117"/>
              <w:rPr>
                <w:rFonts w:ascii="宋体" w:hAnsi="宋体" w:cs="宋体"/>
                <w:sz w:val="20"/>
                <w:szCs w:val="20"/>
              </w:rPr>
            </w:pPr>
            <w:r>
              <w:rPr>
                <w:rFonts w:ascii="宋体" w:hAnsi="宋体" w:cs="宋体"/>
                <w:spacing w:val="5"/>
                <w:sz w:val="20"/>
                <w:szCs w:val="20"/>
              </w:rPr>
              <w:t>指</w:t>
            </w:r>
            <w:r>
              <w:rPr>
                <w:rFonts w:ascii="宋体" w:hAnsi="宋体" w:cs="宋体"/>
                <w:spacing w:val="3"/>
                <w:sz w:val="20"/>
                <w:szCs w:val="20"/>
              </w:rPr>
              <w:t>标总分合计：100 分</w:t>
            </w:r>
          </w:p>
        </w:tc>
      </w:tr>
    </w:tbl>
    <w:p w14:paraId="72743363">
      <w:pPr>
        <w:widowControl/>
        <w:spacing w:line="360" w:lineRule="auto"/>
        <w:jc w:val="left"/>
        <w:textAlignment w:val="center"/>
        <w:rPr>
          <w:rFonts w:ascii="宋体" w:hAnsi="宋体" w:cs="宋体"/>
          <w:b/>
          <w:bCs/>
          <w:color w:val="000000"/>
        </w:rPr>
      </w:pPr>
      <w:r>
        <w:rPr>
          <w:rFonts w:hint="eastAsia" w:ascii="宋体" w:hAnsi="宋体" w:cs="宋体"/>
          <w:b/>
          <w:bCs/>
          <w:color w:val="000000"/>
        </w:rPr>
        <w:t>注：1、所有评委评分分值的算术平均值（四舍五入后，小数点后保留两位有效数）。</w:t>
      </w:r>
    </w:p>
    <w:p w14:paraId="643B53C9">
      <w:pPr>
        <w:widowControl/>
        <w:spacing w:line="360" w:lineRule="auto"/>
        <w:jc w:val="left"/>
        <w:textAlignment w:val="center"/>
        <w:rPr>
          <w:rFonts w:ascii="宋体" w:hAnsi="宋体" w:cs="宋体"/>
          <w:b/>
          <w:bCs/>
          <w:color w:val="000000"/>
        </w:rPr>
      </w:pPr>
      <w:r>
        <w:rPr>
          <w:rFonts w:hint="eastAsia" w:ascii="宋体" w:hAnsi="宋体" w:cs="宋体"/>
          <w:b/>
          <w:bCs/>
          <w:color w:val="000000"/>
        </w:rPr>
        <w:t>2、中小企业（含中小型、微型企业）应当符合以下条件：</w:t>
      </w:r>
    </w:p>
    <w:p w14:paraId="51347F36">
      <w:pPr>
        <w:widowControl/>
        <w:spacing w:line="360" w:lineRule="auto"/>
        <w:jc w:val="left"/>
        <w:textAlignment w:val="center"/>
        <w:rPr>
          <w:rFonts w:ascii="宋体" w:hAnsi="宋体" w:cs="宋体"/>
          <w:b/>
          <w:bCs/>
          <w:color w:val="000000"/>
        </w:rPr>
      </w:pPr>
      <w:r>
        <w:rPr>
          <w:rFonts w:hint="eastAsia" w:ascii="宋体" w:hAnsi="宋体" w:cs="宋体"/>
          <w:b/>
          <w:bCs/>
          <w:color w:val="000000"/>
        </w:rPr>
        <w:t>提供本企业制造的货物，或者提供其他中小企业制造的货物。如果提供的货物为大型企业注册商标的货物，视同大型企业。</w:t>
      </w:r>
    </w:p>
    <w:p w14:paraId="710AD62E">
      <w:pPr>
        <w:widowControl/>
        <w:spacing w:line="360" w:lineRule="auto"/>
        <w:jc w:val="left"/>
        <w:textAlignment w:val="center"/>
        <w:rPr>
          <w:rFonts w:ascii="宋体" w:hAnsi="宋体" w:cs="宋体"/>
          <w:b/>
          <w:bCs/>
          <w:color w:val="000000"/>
        </w:rPr>
      </w:pPr>
      <w:r>
        <w:rPr>
          <w:rFonts w:hint="eastAsia" w:ascii="宋体" w:hAnsi="宋体" w:cs="宋体"/>
          <w:b/>
          <w:bCs/>
          <w:color w:val="000000"/>
        </w:rPr>
        <w:t>3、上述评分办法均</w:t>
      </w:r>
      <w:r>
        <w:rPr>
          <w:rFonts w:hint="eastAsia" w:ascii="宋体" w:hAnsi="宋体" w:cs="宋体"/>
          <w:b/>
          <w:bCs/>
          <w:color w:val="000000"/>
          <w:lang w:val="en-US" w:eastAsia="zh-CN"/>
        </w:rPr>
        <w:t>招标</w:t>
      </w:r>
      <w:r>
        <w:rPr>
          <w:rFonts w:hint="eastAsia" w:ascii="宋体" w:hAnsi="宋体" w:cs="宋体"/>
          <w:b/>
          <w:bCs/>
          <w:color w:val="000000"/>
        </w:rPr>
        <w:t>文件、评委的判断为准。</w:t>
      </w:r>
    </w:p>
    <w:p w14:paraId="6F6DE632">
      <w:pPr>
        <w:widowControl/>
        <w:spacing w:line="360" w:lineRule="auto"/>
        <w:jc w:val="left"/>
        <w:textAlignment w:val="center"/>
        <w:rPr>
          <w:rFonts w:ascii="宋体" w:hAnsi="宋体" w:cs="宋体"/>
          <w:b/>
          <w:bCs/>
          <w:color w:val="000000"/>
        </w:rPr>
      </w:pPr>
      <w:r>
        <w:rPr>
          <w:rFonts w:hint="eastAsia" w:ascii="宋体" w:hAnsi="宋体" w:cs="宋体"/>
          <w:b/>
          <w:bCs/>
          <w:color w:val="000000"/>
        </w:rPr>
        <w:t>4、</w:t>
      </w:r>
      <w:r>
        <w:rPr>
          <w:rFonts w:hint="eastAsia" w:ascii="宋体" w:hAnsi="宋体" w:cs="宋体"/>
          <w:b/>
          <w:bCs/>
          <w:color w:val="000000"/>
          <w:lang w:val="en-US" w:eastAsia="zh-CN"/>
        </w:rPr>
        <w:t>评审</w:t>
      </w:r>
      <w:r>
        <w:rPr>
          <w:rFonts w:hint="eastAsia" w:ascii="宋体" w:hAnsi="宋体" w:cs="宋体"/>
          <w:b/>
          <w:bCs/>
          <w:color w:val="000000"/>
          <w:lang w:val="zh-CN"/>
        </w:rPr>
        <w:t>小组不保证有效报价最低的供应商成交。</w:t>
      </w:r>
    </w:p>
    <w:p w14:paraId="7C18F722">
      <w:pPr>
        <w:pStyle w:val="16"/>
        <w:spacing w:line="360" w:lineRule="auto"/>
        <w:ind w:firstLine="420" w:firstLineChars="200"/>
        <w:rPr>
          <w:rFonts w:hAnsi="宋体" w:cs="宋体"/>
          <w:color w:val="000000"/>
          <w:kern w:val="2"/>
          <w:sz w:val="21"/>
          <w:szCs w:val="24"/>
        </w:rPr>
      </w:pPr>
      <w:r>
        <w:rPr>
          <w:rFonts w:hint="eastAsia" w:hAnsi="宋体" w:cs="宋体"/>
          <w:color w:val="000000"/>
          <w:kern w:val="2"/>
          <w:sz w:val="21"/>
          <w:szCs w:val="24"/>
        </w:rPr>
        <w:t>9.2商务技术评审因素为客观评分项的，应在评分项目或评分标准中予以标注为“客观分”。对供应商的客观评分项目，各评审专家评分应当一致。</w:t>
      </w:r>
    </w:p>
    <w:p w14:paraId="18D3DC46">
      <w:pPr>
        <w:spacing w:line="360" w:lineRule="auto"/>
        <w:ind w:firstLine="420" w:firstLineChars="200"/>
        <w:rPr>
          <w:rFonts w:ascii="宋体" w:hAnsi="宋体" w:cs="宋体"/>
          <w:color w:val="000000"/>
        </w:rPr>
      </w:pPr>
      <w:bookmarkStart w:id="71" w:name="_Toc80205935"/>
      <w:r>
        <w:rPr>
          <w:rFonts w:hint="eastAsia" w:ascii="宋体" w:hAnsi="宋体" w:cs="宋体"/>
          <w:color w:val="000000"/>
        </w:rPr>
        <w:t>9.3.终止</w:t>
      </w:r>
      <w:r>
        <w:rPr>
          <w:rFonts w:hint="eastAsia" w:ascii="宋体" w:hAnsi="宋体" w:cs="宋体"/>
          <w:color w:val="000000"/>
          <w:lang w:val="en-US" w:eastAsia="zh-CN"/>
        </w:rPr>
        <w:t>公开招标</w:t>
      </w:r>
      <w:r>
        <w:rPr>
          <w:rFonts w:hint="eastAsia" w:ascii="宋体" w:hAnsi="宋体" w:cs="宋体"/>
          <w:color w:val="000000"/>
        </w:rPr>
        <w:t>采购活动</w:t>
      </w:r>
    </w:p>
    <w:p w14:paraId="6AB552C5">
      <w:pPr>
        <w:spacing w:line="360" w:lineRule="auto"/>
        <w:ind w:firstLine="420" w:firstLineChars="200"/>
        <w:rPr>
          <w:rFonts w:ascii="宋体" w:hAnsi="宋体"/>
          <w:b/>
        </w:rPr>
      </w:pPr>
      <w:r>
        <w:rPr>
          <w:rFonts w:hint="eastAsia" w:ascii="宋体" w:hAnsi="宋体" w:cs="宋体"/>
          <w:color w:val="000000"/>
          <w:lang w:val="en-US" w:eastAsia="zh-CN"/>
        </w:rPr>
        <w:t>评审</w:t>
      </w:r>
      <w:r>
        <w:rPr>
          <w:rFonts w:hint="eastAsia" w:ascii="宋体" w:hAnsi="宋体" w:cs="宋体"/>
          <w:color w:val="000000"/>
        </w:rPr>
        <w:t>小组发现</w:t>
      </w:r>
      <w:r>
        <w:rPr>
          <w:rFonts w:hint="eastAsia" w:ascii="宋体" w:hAnsi="宋体" w:cs="宋体"/>
          <w:color w:val="000000"/>
          <w:lang w:val="en-US" w:eastAsia="zh-CN"/>
        </w:rPr>
        <w:t>招标</w:t>
      </w:r>
      <w:r>
        <w:rPr>
          <w:rFonts w:hint="eastAsia" w:ascii="宋体" w:hAnsi="宋体" w:cs="宋体"/>
          <w:color w:val="000000"/>
        </w:rPr>
        <w:t>文件存在歧义、重大缺陷导致评审工作无法进行，或者</w:t>
      </w:r>
      <w:r>
        <w:rPr>
          <w:rFonts w:hint="eastAsia" w:ascii="宋体" w:hAnsi="宋体" w:cs="宋体"/>
          <w:color w:val="000000"/>
          <w:lang w:val="en-US" w:eastAsia="zh-CN"/>
        </w:rPr>
        <w:t>招标</w:t>
      </w:r>
      <w:r>
        <w:rPr>
          <w:rFonts w:hint="eastAsia" w:ascii="宋体" w:hAnsi="宋体" w:cs="宋体"/>
          <w:color w:val="000000"/>
        </w:rPr>
        <w:t>文件内容违反国家有关规定的，要停止评审工作并向采购人或采购代理机构书面说明情况，采购人或采购代理机构应当修改</w:t>
      </w:r>
      <w:r>
        <w:rPr>
          <w:rFonts w:hint="eastAsia" w:ascii="宋体" w:hAnsi="宋体" w:cs="宋体"/>
          <w:color w:val="000000"/>
          <w:lang w:val="en-US" w:eastAsia="zh-CN"/>
        </w:rPr>
        <w:t>招标</w:t>
      </w:r>
      <w:r>
        <w:rPr>
          <w:rFonts w:hint="eastAsia" w:ascii="宋体" w:hAnsi="宋体" w:cs="宋体"/>
          <w:color w:val="000000"/>
        </w:rPr>
        <w:t>文件后重新组织采购活动；发现供应商提供虚假材料、串通等违法违规行为的，要及时向采购人或采购代理机构报告。</w:t>
      </w:r>
    </w:p>
    <w:bookmarkEnd w:id="71"/>
    <w:p w14:paraId="5C662985">
      <w:pPr>
        <w:pStyle w:val="3"/>
        <w:spacing w:before="0" w:after="0" w:line="360" w:lineRule="auto"/>
        <w:jc w:val="both"/>
        <w:rPr>
          <w:rFonts w:ascii="宋体" w:hAnsi="宋体"/>
          <w:b w:val="0"/>
        </w:rPr>
      </w:pPr>
      <w:bookmarkStart w:id="72" w:name="_Toc16716"/>
      <w:bookmarkStart w:id="73" w:name="_Toc80205936"/>
    </w:p>
    <w:bookmarkEnd w:id="72"/>
    <w:bookmarkEnd w:id="73"/>
    <w:p w14:paraId="483B8C1F">
      <w:pPr>
        <w:pStyle w:val="3"/>
        <w:ind w:firstLine="405" w:firstLineChars="126"/>
        <w:rPr>
          <w:rFonts w:cs="宋体"/>
        </w:rPr>
      </w:pPr>
      <w:bookmarkStart w:id="74" w:name="_Toc19684"/>
      <w:bookmarkStart w:id="75" w:name="_Toc30502"/>
      <w:r>
        <w:br w:type="page"/>
      </w:r>
      <w:bookmarkEnd w:id="74"/>
      <w:bookmarkEnd w:id="75"/>
    </w:p>
    <w:p w14:paraId="144E777E">
      <w:pPr>
        <w:pStyle w:val="2"/>
        <w:jc w:val="center"/>
      </w:pPr>
      <w:bookmarkStart w:id="76" w:name="_Toc15667"/>
      <w:r>
        <w:rPr>
          <w:rFonts w:hint="eastAsia"/>
        </w:rPr>
        <w:t>第五章</w:t>
      </w:r>
      <w:r>
        <w:rPr>
          <w:rFonts w:hint="eastAsia"/>
          <w:lang w:val="en-US" w:eastAsia="zh-CN"/>
        </w:rPr>
        <w:t>投标</w:t>
      </w:r>
      <w:r>
        <w:rPr>
          <w:rFonts w:hint="eastAsia"/>
        </w:rPr>
        <w:t>文件格式</w:t>
      </w:r>
      <w:bookmarkEnd w:id="76"/>
    </w:p>
    <w:p w14:paraId="147F28F3">
      <w:pPr>
        <w:pStyle w:val="69"/>
        <w:spacing w:after="100" w:afterAutospacing="1"/>
        <w:jc w:val="center"/>
        <w:outlineLvl w:val="0"/>
        <w:rPr>
          <w:rFonts w:ascii="宋体" w:hAnsi="宋体" w:eastAsia="宋体" w:cs="宋体"/>
        </w:rPr>
      </w:pPr>
      <w:bookmarkStart w:id="77" w:name="_Toc108609103"/>
      <w:bookmarkStart w:id="78" w:name="_Toc21410"/>
      <w:bookmarkStart w:id="79" w:name="_Toc106276273"/>
      <w:r>
        <w:rPr>
          <w:rFonts w:hint="eastAsia" w:ascii="宋体" w:hAnsi="宋体" w:eastAsia="宋体" w:cs="宋体"/>
          <w:sz w:val="40"/>
        </w:rPr>
        <w:t>目录</w:t>
      </w:r>
      <w:bookmarkEnd w:id="77"/>
      <w:bookmarkEnd w:id="78"/>
      <w:bookmarkEnd w:id="79"/>
    </w:p>
    <w:p w14:paraId="16499FA6">
      <w:pPr>
        <w:pStyle w:val="69"/>
        <w:numPr>
          <w:ilvl w:val="0"/>
          <w:numId w:val="0"/>
        </w:numPr>
        <w:spacing w:line="360" w:lineRule="auto"/>
        <w:outlineLvl w:val="0"/>
        <w:rPr>
          <w:rFonts w:hint="eastAsia" w:ascii="宋体" w:hAnsi="宋体" w:eastAsia="宋体" w:cs="宋体"/>
        </w:rPr>
      </w:pPr>
      <w:bookmarkStart w:id="80" w:name="_Toc108609104"/>
      <w:bookmarkStart w:id="81" w:name="_Toc106276274"/>
      <w:bookmarkStart w:id="82" w:name="_Toc17700"/>
      <w:r>
        <w:rPr>
          <w:rFonts w:hint="eastAsia" w:ascii="宋体" w:hAnsi="宋体" w:eastAsia="宋体" w:cs="宋体"/>
          <w:sz w:val="24"/>
          <w:szCs w:val="24"/>
          <w:lang w:val="en-US" w:eastAsia="zh-CN" w:bidi="ar-SA"/>
        </w:rPr>
        <w:t>一</w:t>
      </w:r>
      <w:r>
        <w:rPr>
          <w:rFonts w:hint="eastAsia" w:ascii="宋体" w:hAnsi="宋体" w:eastAsia="宋体" w:cs="宋体"/>
          <w:sz w:val="24"/>
          <w:szCs w:val="24"/>
          <w:lang w:bidi="ar-SA"/>
        </w:rPr>
        <w:t>、</w:t>
      </w:r>
      <w:r>
        <w:rPr>
          <w:rFonts w:hint="eastAsia" w:ascii="宋体" w:hAnsi="宋体" w:eastAsia="宋体" w:cs="宋体"/>
        </w:rPr>
        <w:t>投标文件封面</w:t>
      </w:r>
      <w:bookmarkEnd w:id="80"/>
      <w:bookmarkEnd w:id="81"/>
      <w:bookmarkEnd w:id="82"/>
    </w:p>
    <w:p w14:paraId="2215ACD6">
      <w:pPr>
        <w:pStyle w:val="69"/>
        <w:numPr>
          <w:ilvl w:val="0"/>
          <w:numId w:val="0"/>
        </w:numPr>
        <w:spacing w:line="360" w:lineRule="auto"/>
        <w:outlineLvl w:val="0"/>
        <w:rPr>
          <w:rFonts w:hint="eastAsia" w:ascii="宋体" w:hAnsi="宋体" w:eastAsia="宋体" w:cs="宋体"/>
          <w:lang w:eastAsia="zh-CN"/>
        </w:rPr>
      </w:pPr>
      <w:bookmarkStart w:id="83" w:name="_Toc108609105"/>
      <w:bookmarkStart w:id="84" w:name="_Toc21481"/>
      <w:bookmarkStart w:id="85" w:name="_Toc106276275"/>
      <w:r>
        <w:rPr>
          <w:rFonts w:hint="eastAsia" w:ascii="宋体" w:hAnsi="宋体" w:eastAsia="宋体" w:cs="宋体"/>
          <w:sz w:val="24"/>
          <w:szCs w:val="24"/>
          <w:lang w:val="en-US" w:eastAsia="zh-CN" w:bidi="ar-SA"/>
        </w:rPr>
        <w:t>二</w:t>
      </w:r>
      <w:r>
        <w:rPr>
          <w:rFonts w:hint="eastAsia" w:ascii="宋体" w:hAnsi="宋体" w:eastAsia="宋体" w:cs="宋体"/>
          <w:sz w:val="24"/>
          <w:szCs w:val="24"/>
          <w:lang w:eastAsia="zh-CN" w:bidi="ar-SA"/>
        </w:rPr>
        <w:t>、</w:t>
      </w:r>
      <w:r>
        <w:rPr>
          <w:rFonts w:hint="eastAsia" w:ascii="宋体" w:hAnsi="宋体" w:eastAsia="宋体" w:cs="宋体"/>
          <w:lang w:eastAsia="zh-CN"/>
        </w:rPr>
        <w:t>资格响应文件</w:t>
      </w:r>
      <w:bookmarkEnd w:id="83"/>
      <w:bookmarkEnd w:id="84"/>
      <w:bookmarkEnd w:id="85"/>
    </w:p>
    <w:p w14:paraId="0615231E">
      <w:pPr>
        <w:pStyle w:val="69"/>
        <w:spacing w:line="360" w:lineRule="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6AD34345">
      <w:pPr>
        <w:pStyle w:val="69"/>
        <w:spacing w:line="360" w:lineRule="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23D83B8C">
      <w:pPr>
        <w:pStyle w:val="69"/>
        <w:spacing w:line="360" w:lineRule="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22480E8A">
      <w:pPr>
        <w:pStyle w:val="69"/>
        <w:spacing w:line="360" w:lineRule="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592852AD">
      <w:pPr>
        <w:pStyle w:val="69"/>
        <w:spacing w:line="360" w:lineRule="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lang w:val="en-US" w:eastAsia="zh-CN"/>
        </w:rPr>
        <w:t>投标</w:t>
      </w:r>
      <w:r>
        <w:rPr>
          <w:rFonts w:hint="eastAsia" w:ascii="宋体" w:hAnsi="宋体" w:eastAsia="宋体" w:cs="宋体"/>
        </w:rPr>
        <w:t>保证金</w:t>
      </w:r>
    </w:p>
    <w:p w14:paraId="00E75F35">
      <w:pPr>
        <w:pStyle w:val="69"/>
        <w:spacing w:line="360" w:lineRule="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中、小微企业声明函（中、小、微型企业产品价格需扣除的须提供）</w:t>
      </w:r>
    </w:p>
    <w:p w14:paraId="5E600E17">
      <w:pPr>
        <w:pStyle w:val="69"/>
        <w:spacing w:line="360" w:lineRule="auto"/>
        <w:outlineLvl w:val="0"/>
        <w:rPr>
          <w:rFonts w:hint="eastAsia" w:ascii="宋体" w:hAnsi="宋体" w:eastAsia="宋体" w:cs="宋体"/>
          <w:lang w:eastAsia="zh-CN"/>
        </w:rPr>
      </w:pPr>
      <w:bookmarkStart w:id="86" w:name="_Toc108609106"/>
      <w:bookmarkStart w:id="87" w:name="_Toc106276276"/>
      <w:bookmarkStart w:id="88" w:name="_Toc5673"/>
      <w:r>
        <w:rPr>
          <w:rFonts w:hint="eastAsia" w:ascii="宋体" w:hAnsi="宋体" w:eastAsia="宋体" w:cs="宋体"/>
          <w:lang w:eastAsia="zh-CN"/>
        </w:rPr>
        <w:t>三、报价响应文件</w:t>
      </w:r>
      <w:bookmarkEnd w:id="86"/>
      <w:bookmarkEnd w:id="87"/>
      <w:bookmarkEnd w:id="88"/>
    </w:p>
    <w:p w14:paraId="6E4BA63F">
      <w:pPr>
        <w:pStyle w:val="69"/>
        <w:spacing w:line="360" w:lineRule="auto"/>
        <w:rPr>
          <w:rFonts w:hint="default" w:ascii="宋体" w:hAnsi="宋体" w:eastAsia="宋体" w:cs="宋体"/>
          <w:lang w:val="en-US"/>
        </w:rPr>
      </w:pPr>
      <w:r>
        <w:rPr>
          <w:rFonts w:hint="eastAsia" w:ascii="宋体" w:hAnsi="宋体" w:eastAsia="宋体" w:cs="宋体"/>
          <w:lang w:eastAsia="zh-CN"/>
        </w:rPr>
        <w:t>（一）开标一览表，</w:t>
      </w:r>
      <w:r>
        <w:rPr>
          <w:rFonts w:hint="eastAsia" w:ascii="宋体" w:hAnsi="宋体" w:eastAsia="宋体" w:cs="宋体"/>
          <w:lang w:val="en-US" w:eastAsia="zh-CN"/>
        </w:rPr>
        <w:t>报价明细表</w:t>
      </w:r>
    </w:p>
    <w:p w14:paraId="34B26AC0">
      <w:pPr>
        <w:pStyle w:val="69"/>
        <w:spacing w:line="360" w:lineRule="auto"/>
        <w:outlineLvl w:val="0"/>
        <w:rPr>
          <w:rFonts w:hint="eastAsia" w:ascii="宋体" w:hAnsi="宋体" w:eastAsia="宋体" w:cs="宋体"/>
          <w:lang w:eastAsia="zh-CN"/>
        </w:rPr>
      </w:pPr>
      <w:bookmarkStart w:id="89" w:name="_Toc31343"/>
      <w:bookmarkStart w:id="90" w:name="_Toc106276277"/>
      <w:bookmarkStart w:id="91" w:name="_Toc108609107"/>
      <w:r>
        <w:rPr>
          <w:rFonts w:hint="eastAsia" w:ascii="宋体" w:hAnsi="宋体" w:eastAsia="宋体" w:cs="宋体"/>
          <w:lang w:eastAsia="zh-CN"/>
        </w:rPr>
        <w:t>四、商务、技术响应文件</w:t>
      </w:r>
      <w:bookmarkEnd w:id="89"/>
      <w:bookmarkEnd w:id="90"/>
      <w:bookmarkEnd w:id="91"/>
    </w:p>
    <w:p w14:paraId="1D35530C">
      <w:pPr>
        <w:pStyle w:val="69"/>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lang w:eastAsia="zh-CN"/>
        </w:rPr>
        <w:t>（一）</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rPr>
        <w:t>申请</w:t>
      </w:r>
    </w:p>
    <w:p w14:paraId="0056F7D3">
      <w:pPr>
        <w:pStyle w:val="69"/>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6720EB16">
      <w:pPr>
        <w:pStyle w:val="69"/>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1、企业业绩</w:t>
      </w:r>
    </w:p>
    <w:p w14:paraId="6C4E71D4">
      <w:pPr>
        <w:pStyle w:val="69"/>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2、商务条款偏离表</w:t>
      </w:r>
    </w:p>
    <w:p w14:paraId="2CBDEFB1">
      <w:pPr>
        <w:pStyle w:val="69"/>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3、投标人情况介绍</w:t>
      </w:r>
    </w:p>
    <w:p w14:paraId="5EF362CE">
      <w:pPr>
        <w:pStyle w:val="69"/>
        <w:spacing w:line="360" w:lineRule="auto"/>
        <w:rPr>
          <w:rFonts w:hint="eastAsia" w:ascii="宋体" w:hAnsi="宋体" w:eastAsia="宋体" w:cs="宋体"/>
          <w:color w:val="000000"/>
          <w:lang w:eastAsia="zh-CN"/>
        </w:rPr>
      </w:pPr>
      <w:r>
        <w:rPr>
          <w:rFonts w:hint="eastAsia" w:ascii="宋体" w:hAnsi="宋体" w:eastAsia="宋体" w:cs="宋体"/>
          <w:color w:val="000000"/>
          <w:lang w:val="en-US" w:eastAsia="zh-CN"/>
        </w:rPr>
        <w:t>4、</w:t>
      </w:r>
      <w:r>
        <w:rPr>
          <w:rFonts w:hint="eastAsia" w:ascii="宋体" w:hAnsi="宋体" w:eastAsia="宋体" w:cs="宋体"/>
          <w:color w:val="000000"/>
          <w:lang w:eastAsia="zh-CN"/>
        </w:rPr>
        <w:t>供应商类似的业绩证明文件</w:t>
      </w:r>
    </w:p>
    <w:p w14:paraId="79140468">
      <w:pPr>
        <w:pStyle w:val="69"/>
        <w:spacing w:line="36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5、人员配置（格式自拟）</w:t>
      </w:r>
    </w:p>
    <w:p w14:paraId="4E51260C">
      <w:pPr>
        <w:pStyle w:val="69"/>
        <w:spacing w:line="360" w:lineRule="auto"/>
        <w:rPr>
          <w:rFonts w:hint="default" w:ascii="宋体" w:hAnsi="宋体" w:eastAsia="宋体" w:cs="宋体"/>
          <w:color w:val="000000"/>
          <w:lang w:val="en-US" w:eastAsia="zh-CN"/>
        </w:rPr>
      </w:pPr>
      <w:r>
        <w:rPr>
          <w:rFonts w:hint="eastAsia" w:ascii="宋体" w:hAnsi="宋体" w:eastAsia="宋体" w:cs="宋体"/>
          <w:color w:val="000000"/>
          <w:lang w:val="en-US" w:eastAsia="zh-CN"/>
        </w:rPr>
        <w:t>6、</w:t>
      </w:r>
      <w:r>
        <w:rPr>
          <w:rFonts w:hint="eastAsia" w:ascii="宋体" w:hAnsi="宋体" w:eastAsia="宋体" w:cs="宋体"/>
          <w:color w:val="000000"/>
          <w:lang w:eastAsia="zh-CN"/>
        </w:rPr>
        <w:t>供应商认为需要提供的其他有关资</w:t>
      </w:r>
      <w:r>
        <w:rPr>
          <w:rFonts w:hint="eastAsia" w:ascii="宋体" w:hAnsi="宋体" w:eastAsia="宋体" w:cs="宋体"/>
          <w:color w:val="000000"/>
          <w:lang w:val="en-US" w:eastAsia="zh-CN"/>
        </w:rPr>
        <w:t>料</w:t>
      </w:r>
    </w:p>
    <w:p w14:paraId="16ABED5D">
      <w:pPr>
        <w:pStyle w:val="69"/>
        <w:spacing w:line="360" w:lineRule="auto"/>
        <w:rPr>
          <w:rFonts w:hint="eastAsia" w:ascii="宋体" w:hAnsi="宋体" w:eastAsia="宋体" w:cs="宋体"/>
          <w:color w:val="000000"/>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1351F34C">
      <w:pPr>
        <w:sectPr>
          <w:headerReference r:id="rId5" w:type="default"/>
          <w:footerReference r:id="rId6" w:type="default"/>
          <w:pgSz w:w="11910" w:h="16840"/>
          <w:pgMar w:top="1340" w:right="1500" w:bottom="280" w:left="1680" w:header="720" w:footer="720" w:gutter="0"/>
          <w:cols w:space="720" w:num="1"/>
        </w:sectPr>
      </w:pPr>
    </w:p>
    <w:p w14:paraId="18F44440">
      <w:pPr>
        <w:rPr>
          <w:rFonts w:ascii="宋体" w:hAnsi="宋体" w:cs="宋体"/>
          <w:color w:val="FF0000"/>
          <w:kern w:val="0"/>
          <w:sz w:val="24"/>
        </w:rPr>
      </w:pPr>
      <w:bookmarkStart w:id="92" w:name="_Toc29053"/>
      <w:bookmarkStart w:id="93" w:name="_Toc119"/>
      <w:bookmarkStart w:id="94" w:name="_Toc80205938"/>
      <w:r>
        <w:rPr>
          <w:rFonts w:hint="eastAsia" w:ascii="宋体" w:hAnsi="宋体" w:cs="宋体"/>
        </w:rPr>
        <w:t>一、响应文件封面</w:t>
      </w:r>
      <w:bookmarkEnd w:id="92"/>
    </w:p>
    <w:p w14:paraId="4E3255B3">
      <w:pPr>
        <w:pStyle w:val="67"/>
        <w:spacing w:line="360" w:lineRule="auto"/>
        <w:rPr>
          <w:rFonts w:ascii="宋体" w:hAnsi="宋体" w:cs="宋体"/>
          <w:b/>
          <w:color w:val="000000"/>
          <w:sz w:val="24"/>
        </w:rPr>
      </w:pPr>
    </w:p>
    <w:p w14:paraId="6825EEA2">
      <w:pPr>
        <w:pStyle w:val="67"/>
        <w:spacing w:line="360" w:lineRule="auto"/>
        <w:jc w:val="center"/>
        <w:rPr>
          <w:rFonts w:ascii="宋体" w:hAnsi="宋体" w:cs="宋体"/>
          <w:color w:val="000000"/>
          <w:sz w:val="24"/>
        </w:rPr>
      </w:pPr>
    </w:p>
    <w:p w14:paraId="5184D120">
      <w:pPr>
        <w:pStyle w:val="67"/>
        <w:spacing w:line="360" w:lineRule="auto"/>
        <w:outlineLvl w:val="1"/>
        <w:rPr>
          <w:rFonts w:ascii="宋体" w:hAnsi="宋体" w:cs="宋体"/>
          <w:color w:val="000000"/>
          <w:sz w:val="28"/>
          <w:szCs w:val="28"/>
        </w:rPr>
      </w:pPr>
      <w:bookmarkStart w:id="95" w:name="_Toc106276278"/>
      <w:bookmarkStart w:id="96" w:name="_Toc14830"/>
      <w:bookmarkStart w:id="97" w:name="_Toc108609119"/>
      <w:r>
        <w:rPr>
          <w:rFonts w:hint="eastAsia" w:ascii="宋体" w:hAnsi="宋体" w:cs="宋体"/>
          <w:color w:val="000000"/>
          <w:sz w:val="28"/>
          <w:szCs w:val="28"/>
        </w:rPr>
        <w:t>（项目名称）</w:t>
      </w:r>
      <w:bookmarkEnd w:id="95"/>
      <w:bookmarkEnd w:id="96"/>
      <w:bookmarkEnd w:id="97"/>
    </w:p>
    <w:p w14:paraId="3CE18347">
      <w:pPr>
        <w:pStyle w:val="67"/>
        <w:spacing w:line="360" w:lineRule="auto"/>
        <w:jc w:val="center"/>
        <w:rPr>
          <w:rFonts w:ascii="宋体" w:hAnsi="宋体" w:cs="宋体"/>
          <w:color w:val="000000"/>
          <w:sz w:val="28"/>
          <w:szCs w:val="28"/>
        </w:rPr>
      </w:pPr>
    </w:p>
    <w:p w14:paraId="618B5DE1">
      <w:pPr>
        <w:pStyle w:val="67"/>
        <w:spacing w:line="360" w:lineRule="auto"/>
        <w:ind w:firstLine="1680" w:firstLineChars="600"/>
        <w:rPr>
          <w:rFonts w:ascii="宋体" w:hAnsi="宋体" w:cs="宋体"/>
          <w:color w:val="000000"/>
          <w:sz w:val="28"/>
          <w:szCs w:val="28"/>
        </w:rPr>
      </w:pPr>
    </w:p>
    <w:p w14:paraId="45C99FAC">
      <w:pPr>
        <w:pStyle w:val="67"/>
        <w:spacing w:line="360" w:lineRule="auto"/>
        <w:jc w:val="center"/>
        <w:rPr>
          <w:rFonts w:ascii="宋体" w:hAnsi="宋体" w:cs="宋体"/>
          <w:color w:val="000000"/>
          <w:sz w:val="24"/>
        </w:rPr>
      </w:pPr>
    </w:p>
    <w:p w14:paraId="783AA90D">
      <w:pPr>
        <w:pStyle w:val="67"/>
        <w:spacing w:line="360" w:lineRule="auto"/>
        <w:jc w:val="center"/>
        <w:rPr>
          <w:rFonts w:ascii="宋体" w:hAnsi="宋体" w:cs="宋体"/>
          <w:color w:val="000000"/>
          <w:sz w:val="24"/>
        </w:rPr>
      </w:pPr>
    </w:p>
    <w:p w14:paraId="5E020B0C">
      <w:pPr>
        <w:pStyle w:val="67"/>
        <w:spacing w:line="360" w:lineRule="auto"/>
        <w:jc w:val="center"/>
        <w:rPr>
          <w:rFonts w:ascii="宋体" w:hAnsi="宋体" w:cs="宋体"/>
          <w:b/>
          <w:sz w:val="52"/>
          <w:szCs w:val="52"/>
        </w:rPr>
      </w:pPr>
      <w:r>
        <w:rPr>
          <w:rFonts w:hint="eastAsia" w:ascii="宋体" w:hAnsi="宋体" w:cs="宋体"/>
          <w:b/>
          <w:sz w:val="52"/>
          <w:szCs w:val="52"/>
          <w:lang w:val="en-US" w:eastAsia="zh-CN"/>
        </w:rPr>
        <w:t>投标</w:t>
      </w:r>
      <w:r>
        <w:rPr>
          <w:rFonts w:hint="eastAsia" w:ascii="宋体" w:hAnsi="宋体" w:cs="宋体"/>
          <w:b/>
          <w:sz w:val="52"/>
          <w:szCs w:val="52"/>
        </w:rPr>
        <w:t>文件</w:t>
      </w:r>
    </w:p>
    <w:p w14:paraId="581D970A">
      <w:pPr>
        <w:pStyle w:val="67"/>
        <w:spacing w:line="360" w:lineRule="auto"/>
        <w:jc w:val="center"/>
        <w:rPr>
          <w:rFonts w:ascii="宋体" w:hAnsi="宋体" w:cs="宋体"/>
          <w:color w:val="000000"/>
          <w:sz w:val="24"/>
        </w:rPr>
      </w:pPr>
    </w:p>
    <w:p w14:paraId="04BE93BE">
      <w:pPr>
        <w:pStyle w:val="67"/>
        <w:spacing w:line="360" w:lineRule="auto"/>
        <w:jc w:val="center"/>
        <w:rPr>
          <w:rFonts w:ascii="宋体" w:hAnsi="宋体" w:cs="宋体"/>
          <w:color w:val="000000"/>
          <w:sz w:val="24"/>
        </w:rPr>
      </w:pPr>
    </w:p>
    <w:p w14:paraId="1E08D58C">
      <w:pPr>
        <w:pStyle w:val="67"/>
        <w:spacing w:line="360" w:lineRule="auto"/>
        <w:jc w:val="center"/>
        <w:rPr>
          <w:rFonts w:ascii="宋体" w:hAnsi="宋体" w:cs="宋体"/>
          <w:b/>
          <w:color w:val="000000"/>
          <w:sz w:val="24"/>
        </w:rPr>
      </w:pPr>
    </w:p>
    <w:p w14:paraId="3C7F1C38">
      <w:pPr>
        <w:pStyle w:val="67"/>
        <w:spacing w:line="360" w:lineRule="auto"/>
        <w:jc w:val="center"/>
        <w:rPr>
          <w:rFonts w:ascii="宋体" w:hAnsi="宋体" w:cs="宋体"/>
          <w:b/>
          <w:color w:val="000000"/>
          <w:sz w:val="24"/>
        </w:rPr>
      </w:pPr>
    </w:p>
    <w:p w14:paraId="78A8D2BC">
      <w:pPr>
        <w:pStyle w:val="67"/>
        <w:spacing w:line="360" w:lineRule="auto"/>
        <w:jc w:val="center"/>
        <w:rPr>
          <w:rFonts w:ascii="宋体" w:hAnsi="宋体" w:cs="宋体"/>
          <w:b/>
          <w:color w:val="000000"/>
          <w:sz w:val="24"/>
        </w:rPr>
      </w:pPr>
    </w:p>
    <w:p w14:paraId="69CA8DEE">
      <w:pPr>
        <w:pStyle w:val="67"/>
        <w:spacing w:line="360" w:lineRule="auto"/>
        <w:jc w:val="center"/>
        <w:rPr>
          <w:rFonts w:ascii="宋体" w:hAnsi="宋体" w:cs="宋体"/>
          <w:b/>
          <w:color w:val="000000"/>
          <w:sz w:val="24"/>
        </w:rPr>
      </w:pPr>
    </w:p>
    <w:p w14:paraId="63475382">
      <w:pPr>
        <w:pStyle w:val="67"/>
        <w:spacing w:line="360" w:lineRule="auto"/>
        <w:jc w:val="center"/>
        <w:rPr>
          <w:rFonts w:ascii="宋体" w:hAnsi="宋体" w:cs="宋体"/>
          <w:b/>
          <w:color w:val="000000"/>
          <w:sz w:val="24"/>
        </w:rPr>
      </w:pPr>
    </w:p>
    <w:p w14:paraId="23520FF8">
      <w:pPr>
        <w:pStyle w:val="67"/>
        <w:spacing w:line="360" w:lineRule="auto"/>
        <w:jc w:val="center"/>
        <w:rPr>
          <w:rFonts w:ascii="宋体" w:hAnsi="宋体" w:cs="宋体"/>
          <w:b/>
          <w:color w:val="000000"/>
          <w:sz w:val="24"/>
        </w:rPr>
      </w:pPr>
    </w:p>
    <w:p w14:paraId="406D37EB">
      <w:pPr>
        <w:pStyle w:val="67"/>
        <w:spacing w:line="360" w:lineRule="auto"/>
        <w:ind w:firstLine="1680" w:firstLineChars="600"/>
        <w:rPr>
          <w:rFonts w:ascii="宋体" w:hAnsi="宋体" w:cs="宋体"/>
          <w:color w:val="000000"/>
          <w:sz w:val="28"/>
          <w:szCs w:val="28"/>
          <w:u w:val="single"/>
        </w:rPr>
      </w:pPr>
      <w:r>
        <w:rPr>
          <w:rFonts w:hint="eastAsia" w:ascii="宋体" w:hAnsi="宋体" w:cs="宋体"/>
          <w:color w:val="000000"/>
          <w:sz w:val="28"/>
          <w:szCs w:val="28"/>
        </w:rPr>
        <w:t>供应商</w:t>
      </w:r>
      <w:r>
        <w:rPr>
          <w:rFonts w:hint="eastAsia" w:ascii="宋体" w:hAnsi="宋体" w:cs="宋体"/>
          <w:sz w:val="28"/>
          <w:szCs w:val="28"/>
        </w:rPr>
        <w:t>（盖章）</w:t>
      </w:r>
    </w:p>
    <w:p w14:paraId="79B65E14">
      <w:pPr>
        <w:pStyle w:val="67"/>
        <w:spacing w:line="360" w:lineRule="auto"/>
        <w:ind w:firstLine="1680" w:firstLineChars="600"/>
        <w:outlineLvl w:val="1"/>
        <w:rPr>
          <w:rFonts w:ascii="宋体" w:hAnsi="宋体" w:cs="宋体"/>
          <w:color w:val="000000"/>
          <w:sz w:val="28"/>
          <w:szCs w:val="28"/>
        </w:rPr>
      </w:pPr>
      <w:r>
        <w:rPr>
          <w:rFonts w:hint="eastAsia" w:ascii="宋体" w:hAnsi="宋体" w:cs="宋体"/>
          <w:color w:val="000000"/>
          <w:sz w:val="28"/>
          <w:szCs w:val="28"/>
        </w:rPr>
        <w:t>法定代表人（签字或盖章）</w:t>
      </w:r>
    </w:p>
    <w:p w14:paraId="7124032E">
      <w:pPr>
        <w:pStyle w:val="68"/>
        <w:ind w:firstLine="1680" w:firstLineChars="600"/>
        <w:rPr>
          <w:rFonts w:ascii="宋体" w:hAnsi="宋体" w:cs="宋体"/>
          <w:sz w:val="28"/>
          <w:szCs w:val="28"/>
          <w:u w:val="single"/>
        </w:rPr>
      </w:pPr>
      <w:r>
        <w:rPr>
          <w:rFonts w:hint="eastAsia" w:ascii="宋体" w:hAnsi="宋体" w:cs="宋体"/>
          <w:sz w:val="28"/>
          <w:szCs w:val="28"/>
        </w:rPr>
        <w:t>联系人：</w:t>
      </w:r>
    </w:p>
    <w:p w14:paraId="5C0F78EC">
      <w:pPr>
        <w:pStyle w:val="68"/>
        <w:ind w:firstLine="1680" w:firstLineChars="600"/>
        <w:rPr>
          <w:rFonts w:ascii="宋体" w:hAnsi="宋体" w:cs="宋体"/>
          <w:sz w:val="28"/>
          <w:szCs w:val="28"/>
          <w:u w:val="single"/>
        </w:rPr>
      </w:pPr>
      <w:r>
        <w:rPr>
          <w:rFonts w:hint="eastAsia" w:ascii="宋体" w:hAnsi="宋体" w:cs="宋体"/>
          <w:sz w:val="28"/>
          <w:szCs w:val="28"/>
        </w:rPr>
        <w:t>联系电话：</w:t>
      </w:r>
    </w:p>
    <w:p w14:paraId="6F0E15DD">
      <w:pPr>
        <w:pStyle w:val="67"/>
        <w:spacing w:line="360" w:lineRule="auto"/>
        <w:jc w:val="center"/>
        <w:rPr>
          <w:rFonts w:ascii="宋体" w:hAnsi="宋体" w:cs="宋体"/>
          <w:color w:val="000000"/>
          <w:sz w:val="28"/>
          <w:szCs w:val="28"/>
          <w:u w:val="single"/>
        </w:rPr>
      </w:pPr>
      <w:r>
        <w:rPr>
          <w:rFonts w:hint="eastAsia" w:ascii="宋体" w:hAnsi="宋体" w:cs="宋体"/>
          <w:color w:val="000000"/>
          <w:sz w:val="28"/>
          <w:szCs w:val="28"/>
        </w:rPr>
        <w:t>日期（年/月/日）</w:t>
      </w:r>
    </w:p>
    <w:p w14:paraId="6F3A4AE7">
      <w:pPr>
        <w:pStyle w:val="70"/>
        <w:outlineLvl w:val="0"/>
        <w:rPr>
          <w:rFonts w:ascii="宋体" w:hAnsi="宋体" w:eastAsia="宋体" w:cs="宋体"/>
        </w:rPr>
        <w:sectPr>
          <w:pgSz w:w="11906" w:h="16838"/>
          <w:pgMar w:top="1440" w:right="1531" w:bottom="1440" w:left="1531" w:header="851" w:footer="992" w:gutter="0"/>
          <w:cols w:space="720" w:num="1"/>
          <w:docGrid w:type="lines" w:linePitch="312" w:charSpace="0"/>
        </w:sectPr>
      </w:pPr>
    </w:p>
    <w:p w14:paraId="5DE430A4">
      <w:pPr>
        <w:pStyle w:val="70"/>
        <w:outlineLvl w:val="1"/>
        <w:rPr>
          <w:rFonts w:ascii="宋体" w:hAnsi="宋体" w:eastAsia="宋体" w:cs="宋体"/>
        </w:rPr>
      </w:pPr>
      <w:bookmarkStart w:id="98" w:name="_Toc106276280"/>
      <w:bookmarkStart w:id="99" w:name="_Toc108609121"/>
      <w:bookmarkStart w:id="100" w:name="_Toc2129"/>
      <w:r>
        <w:rPr>
          <w:rFonts w:hint="eastAsia" w:ascii="宋体" w:hAnsi="宋体" w:eastAsia="宋体" w:cs="宋体"/>
        </w:rPr>
        <w:t>二、资格响应</w:t>
      </w:r>
      <w:bookmarkEnd w:id="98"/>
      <w:bookmarkEnd w:id="99"/>
    </w:p>
    <w:p w14:paraId="27EC82F1">
      <w:pPr>
        <w:pStyle w:val="70"/>
        <w:outlineLvl w:val="1"/>
        <w:rPr>
          <w:rFonts w:ascii="宋体" w:hAnsi="宋体" w:eastAsia="宋体" w:cs="宋体"/>
          <w:sz w:val="30"/>
          <w:szCs w:val="30"/>
        </w:rPr>
      </w:pPr>
      <w:r>
        <w:rPr>
          <w:rFonts w:ascii="宋体" w:hAnsi="宋体" w:eastAsia="宋体" w:cs="宋体"/>
          <w:sz w:val="30"/>
          <w:szCs w:val="30"/>
        </w:rPr>
        <w:br w:type="page"/>
      </w:r>
      <w:bookmarkStart w:id="101" w:name="_Toc106276281"/>
      <w:bookmarkStart w:id="102" w:name="_Toc108609122"/>
      <w:r>
        <w:rPr>
          <w:rFonts w:hint="eastAsia" w:ascii="宋体" w:hAnsi="宋体" w:eastAsia="宋体" w:cs="宋体"/>
          <w:sz w:val="30"/>
          <w:szCs w:val="30"/>
        </w:rPr>
        <w:t>（一）供应商资格声明</w:t>
      </w:r>
      <w:bookmarkEnd w:id="100"/>
      <w:bookmarkEnd w:id="101"/>
      <w:bookmarkEnd w:id="102"/>
    </w:p>
    <w:p w14:paraId="347751EF">
      <w:pPr>
        <w:pStyle w:val="71"/>
        <w:spacing w:line="360" w:lineRule="auto"/>
        <w:ind w:firstLine="420"/>
        <w:rPr>
          <w:rFonts w:ascii="宋体" w:hAnsi="宋体" w:cs="宋体"/>
          <w:sz w:val="24"/>
          <w:szCs w:val="24"/>
        </w:rPr>
      </w:pPr>
      <w:r>
        <w:rPr>
          <w:rFonts w:hint="eastAsia" w:ascii="宋体" w:hAnsi="宋体" w:cs="宋体"/>
          <w:sz w:val="24"/>
          <w:szCs w:val="24"/>
        </w:rPr>
        <w:t xml:space="preserve">1．供应商概况：                                   </w:t>
      </w:r>
    </w:p>
    <w:p w14:paraId="2B1A8B9D">
      <w:pPr>
        <w:pStyle w:val="71"/>
        <w:spacing w:line="360" w:lineRule="auto"/>
        <w:ind w:firstLine="420"/>
        <w:rPr>
          <w:rFonts w:ascii="宋体" w:hAnsi="宋体" w:cs="宋体"/>
          <w:sz w:val="24"/>
          <w:szCs w:val="24"/>
          <w:u w:val="single"/>
        </w:rPr>
      </w:pPr>
      <w:r>
        <w:rPr>
          <w:rFonts w:hint="eastAsia" w:ascii="宋体" w:hAnsi="宋体" w:cs="宋体"/>
          <w:sz w:val="24"/>
          <w:szCs w:val="24"/>
        </w:rPr>
        <w:t xml:space="preserve">        Ａ．供应商名称：</w:t>
      </w:r>
      <w:r>
        <w:rPr>
          <w:rFonts w:hint="eastAsia" w:ascii="宋体" w:hAnsi="宋体" w:cs="宋体"/>
          <w:sz w:val="24"/>
          <w:szCs w:val="24"/>
          <w:u w:val="single"/>
        </w:rPr>
        <w:t xml:space="preserve">                               </w:t>
      </w:r>
    </w:p>
    <w:p w14:paraId="33E1AD64">
      <w:pPr>
        <w:pStyle w:val="71"/>
        <w:spacing w:line="360" w:lineRule="auto"/>
        <w:ind w:firstLine="420"/>
        <w:rPr>
          <w:rFonts w:ascii="宋体" w:hAnsi="宋体" w:cs="宋体"/>
          <w:sz w:val="24"/>
          <w:szCs w:val="24"/>
          <w:u w:val="single"/>
        </w:rPr>
      </w:pPr>
      <w:r>
        <w:rPr>
          <w:rFonts w:hint="eastAsia" w:ascii="宋体" w:hAnsi="宋体" w:cs="宋体"/>
          <w:sz w:val="24"/>
          <w:szCs w:val="24"/>
        </w:rPr>
        <w:t xml:space="preserve">        Ｂ．注册地址：</w:t>
      </w:r>
      <w:r>
        <w:rPr>
          <w:rFonts w:hint="eastAsia" w:ascii="宋体" w:hAnsi="宋体" w:cs="宋体"/>
          <w:sz w:val="24"/>
          <w:szCs w:val="24"/>
          <w:u w:val="single"/>
        </w:rPr>
        <w:t xml:space="preserve">                                 </w:t>
      </w:r>
    </w:p>
    <w:p w14:paraId="111F8447">
      <w:pPr>
        <w:pStyle w:val="71"/>
        <w:spacing w:line="360" w:lineRule="auto"/>
        <w:ind w:firstLine="420"/>
        <w:rPr>
          <w:rFonts w:ascii="宋体" w:hAnsi="宋体" w:cs="宋体"/>
          <w:sz w:val="24"/>
          <w:szCs w:val="24"/>
        </w:rPr>
      </w:pPr>
      <w:r>
        <w:rPr>
          <w:rFonts w:hint="eastAsia" w:ascii="宋体" w:hAnsi="宋体" w:cs="宋体"/>
          <w:sz w:val="24"/>
          <w:szCs w:val="24"/>
        </w:rPr>
        <w:t xml:space="preserve">            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0C6C8E33">
      <w:pPr>
        <w:pStyle w:val="71"/>
        <w:spacing w:line="360" w:lineRule="auto"/>
        <w:ind w:firstLine="420"/>
        <w:rPr>
          <w:rFonts w:ascii="宋体" w:hAnsi="宋体" w:cs="宋体"/>
          <w:sz w:val="24"/>
          <w:szCs w:val="24"/>
          <w:u w:val="single"/>
        </w:rPr>
      </w:pPr>
      <w:r>
        <w:rPr>
          <w:rFonts w:hint="eastAsia" w:ascii="宋体" w:hAnsi="宋体" w:cs="宋体"/>
          <w:sz w:val="24"/>
          <w:szCs w:val="24"/>
        </w:rPr>
        <w:t xml:space="preserve">        Ｃ．成立或注册日期：</w:t>
      </w:r>
      <w:r>
        <w:rPr>
          <w:rFonts w:hint="eastAsia" w:ascii="宋体" w:hAnsi="宋体" w:cs="宋体"/>
          <w:sz w:val="24"/>
          <w:szCs w:val="24"/>
          <w:u w:val="single"/>
        </w:rPr>
        <w:t xml:space="preserve">                      </w:t>
      </w:r>
    </w:p>
    <w:p w14:paraId="6C447475">
      <w:pPr>
        <w:pStyle w:val="71"/>
        <w:spacing w:line="360" w:lineRule="auto"/>
        <w:ind w:firstLine="420"/>
        <w:rPr>
          <w:rFonts w:ascii="宋体" w:hAnsi="宋体" w:cs="宋体"/>
          <w:sz w:val="24"/>
          <w:szCs w:val="24"/>
        </w:rPr>
      </w:pPr>
      <w:r>
        <w:rPr>
          <w:rFonts w:hint="eastAsia" w:ascii="宋体" w:hAnsi="宋体" w:cs="宋体"/>
          <w:sz w:val="24"/>
          <w:szCs w:val="24"/>
        </w:rPr>
        <w:t xml:space="preserve">        Ｄ．法定代表人：</w:t>
      </w:r>
      <w:r>
        <w:rPr>
          <w:rFonts w:hint="eastAsia" w:ascii="宋体" w:hAnsi="宋体" w:cs="宋体"/>
          <w:sz w:val="24"/>
          <w:szCs w:val="24"/>
          <w:u w:val="single"/>
        </w:rPr>
        <w:t xml:space="preserve">                   </w:t>
      </w:r>
      <w:r>
        <w:rPr>
          <w:rFonts w:hint="eastAsia" w:ascii="宋体" w:hAnsi="宋体" w:cs="宋体"/>
          <w:sz w:val="24"/>
          <w:szCs w:val="24"/>
        </w:rPr>
        <w:t>（姓名、职务）</w:t>
      </w:r>
    </w:p>
    <w:p w14:paraId="0BC54A9E">
      <w:pPr>
        <w:pStyle w:val="71"/>
        <w:spacing w:line="360" w:lineRule="auto"/>
        <w:ind w:firstLine="420"/>
        <w:rPr>
          <w:rFonts w:ascii="宋体" w:hAnsi="宋体" w:cs="宋体"/>
          <w:sz w:val="24"/>
          <w:szCs w:val="24"/>
          <w:u w:val="single"/>
        </w:rPr>
      </w:pPr>
      <w:r>
        <w:rPr>
          <w:rFonts w:hint="eastAsia" w:ascii="宋体" w:hAnsi="宋体" w:cs="宋体"/>
          <w:sz w:val="24"/>
          <w:szCs w:val="24"/>
        </w:rPr>
        <w:t xml:space="preserve">        实收资本：</w:t>
      </w:r>
      <w:r>
        <w:rPr>
          <w:rFonts w:hint="eastAsia" w:ascii="宋体" w:hAnsi="宋体" w:cs="宋体"/>
          <w:sz w:val="24"/>
          <w:szCs w:val="24"/>
          <w:u w:val="single"/>
        </w:rPr>
        <w:t xml:space="preserve">                    </w:t>
      </w:r>
    </w:p>
    <w:p w14:paraId="3B0FDBD6">
      <w:pPr>
        <w:pStyle w:val="71"/>
        <w:spacing w:line="360" w:lineRule="auto"/>
        <w:ind w:firstLine="420"/>
        <w:rPr>
          <w:rFonts w:ascii="宋体" w:hAnsi="宋体" w:cs="宋体"/>
          <w:sz w:val="24"/>
          <w:szCs w:val="24"/>
        </w:rPr>
      </w:pPr>
      <w:r>
        <w:rPr>
          <w:rFonts w:hint="eastAsia" w:ascii="宋体" w:hAnsi="宋体" w:cs="宋体"/>
          <w:sz w:val="24"/>
          <w:szCs w:val="24"/>
        </w:rPr>
        <w:t xml:space="preserve">        其中 国家资本：</w:t>
      </w:r>
      <w:r>
        <w:rPr>
          <w:rFonts w:hint="eastAsia" w:ascii="宋体" w:hAnsi="宋体" w:cs="宋体"/>
          <w:sz w:val="24"/>
          <w:szCs w:val="24"/>
          <w:u w:val="single"/>
        </w:rPr>
        <w:t xml:space="preserve">             </w:t>
      </w:r>
      <w:r>
        <w:rPr>
          <w:rFonts w:hint="eastAsia" w:ascii="宋体" w:hAnsi="宋体" w:cs="宋体"/>
          <w:sz w:val="24"/>
          <w:szCs w:val="24"/>
        </w:rPr>
        <w:t xml:space="preserve"> 法人资本：</w:t>
      </w:r>
      <w:r>
        <w:rPr>
          <w:rFonts w:hint="eastAsia" w:ascii="宋体" w:hAnsi="宋体" w:cs="宋体"/>
          <w:sz w:val="24"/>
          <w:szCs w:val="24"/>
          <w:u w:val="single"/>
        </w:rPr>
        <w:t xml:space="preserve">           </w:t>
      </w:r>
    </w:p>
    <w:p w14:paraId="0BA1F1AF">
      <w:pPr>
        <w:pStyle w:val="71"/>
        <w:spacing w:line="360" w:lineRule="auto"/>
        <w:ind w:firstLine="420"/>
        <w:rPr>
          <w:rFonts w:ascii="宋体" w:hAnsi="宋体" w:cs="宋体"/>
          <w:sz w:val="24"/>
          <w:szCs w:val="24"/>
        </w:rPr>
      </w:pPr>
      <w:r>
        <w:rPr>
          <w:rFonts w:hint="eastAsia" w:ascii="宋体" w:hAnsi="宋体" w:cs="宋体"/>
          <w:sz w:val="24"/>
          <w:szCs w:val="24"/>
        </w:rPr>
        <w:t xml:space="preserve">             个人资本：</w:t>
      </w:r>
      <w:r>
        <w:rPr>
          <w:rFonts w:hint="eastAsia" w:ascii="宋体" w:hAnsi="宋体" w:cs="宋体"/>
          <w:sz w:val="24"/>
          <w:szCs w:val="24"/>
          <w:u w:val="single"/>
        </w:rPr>
        <w:t xml:space="preserve">             </w:t>
      </w:r>
      <w:r>
        <w:rPr>
          <w:rFonts w:hint="eastAsia" w:ascii="宋体" w:hAnsi="宋体" w:cs="宋体"/>
          <w:sz w:val="24"/>
          <w:szCs w:val="24"/>
        </w:rPr>
        <w:t xml:space="preserve"> 外商资本：</w:t>
      </w:r>
      <w:r>
        <w:rPr>
          <w:rFonts w:hint="eastAsia" w:ascii="宋体" w:hAnsi="宋体" w:cs="宋体"/>
          <w:sz w:val="24"/>
          <w:szCs w:val="24"/>
          <w:u w:val="single"/>
        </w:rPr>
        <w:t xml:space="preserve">           </w:t>
      </w:r>
    </w:p>
    <w:p w14:paraId="2016DCA0">
      <w:pPr>
        <w:pStyle w:val="71"/>
        <w:spacing w:line="360" w:lineRule="auto"/>
        <w:ind w:firstLine="420"/>
        <w:rPr>
          <w:rFonts w:ascii="宋体" w:hAnsi="宋体" w:cs="宋体"/>
          <w:sz w:val="24"/>
          <w:szCs w:val="24"/>
        </w:rPr>
      </w:pPr>
      <w:r>
        <w:rPr>
          <w:rFonts w:hint="eastAsia" w:ascii="宋体" w:hAnsi="宋体" w:cs="宋体"/>
          <w:sz w:val="24"/>
          <w:szCs w:val="24"/>
        </w:rPr>
        <w:t xml:space="preserve">       Ｅ．最近资产负债表（到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日为止）。</w:t>
      </w:r>
    </w:p>
    <w:p w14:paraId="3DA34F35">
      <w:pPr>
        <w:pStyle w:val="71"/>
        <w:spacing w:line="360" w:lineRule="auto"/>
        <w:ind w:firstLine="420"/>
        <w:rPr>
          <w:rFonts w:ascii="宋体" w:hAnsi="宋体" w:cs="宋体"/>
          <w:sz w:val="24"/>
          <w:szCs w:val="24"/>
          <w:u w:val="single"/>
        </w:rPr>
      </w:pPr>
      <w:r>
        <w:rPr>
          <w:rFonts w:hint="eastAsia" w:ascii="宋体" w:hAnsi="宋体" w:cs="宋体"/>
          <w:sz w:val="24"/>
          <w:szCs w:val="24"/>
        </w:rPr>
        <w:t xml:space="preserve">        (1) 固定资产合计:</w:t>
      </w:r>
      <w:r>
        <w:rPr>
          <w:rFonts w:hint="eastAsia" w:ascii="宋体" w:hAnsi="宋体" w:cs="宋体"/>
          <w:sz w:val="24"/>
          <w:szCs w:val="24"/>
          <w:u w:val="single"/>
        </w:rPr>
        <w:t xml:space="preserve">                   </w:t>
      </w:r>
    </w:p>
    <w:p w14:paraId="48E36476">
      <w:pPr>
        <w:pStyle w:val="71"/>
        <w:spacing w:line="360" w:lineRule="auto"/>
        <w:ind w:firstLine="420"/>
        <w:rPr>
          <w:rFonts w:ascii="宋体" w:hAnsi="宋体" w:cs="宋体"/>
          <w:sz w:val="24"/>
          <w:szCs w:val="24"/>
        </w:rPr>
      </w:pPr>
      <w:r>
        <w:rPr>
          <w:rFonts w:hint="eastAsia" w:ascii="宋体" w:hAnsi="宋体" w:cs="宋体"/>
          <w:sz w:val="24"/>
          <w:szCs w:val="24"/>
        </w:rPr>
        <w:t xml:space="preserve">        (2) 流动资产合计:</w:t>
      </w:r>
      <w:r>
        <w:rPr>
          <w:rFonts w:hint="eastAsia" w:ascii="宋体" w:hAnsi="宋体" w:cs="宋体"/>
          <w:sz w:val="24"/>
          <w:szCs w:val="24"/>
          <w:u w:val="single"/>
        </w:rPr>
        <w:t xml:space="preserve">                   </w:t>
      </w:r>
    </w:p>
    <w:p w14:paraId="0E896737">
      <w:pPr>
        <w:pStyle w:val="71"/>
        <w:spacing w:line="360" w:lineRule="auto"/>
        <w:ind w:firstLine="420"/>
        <w:rPr>
          <w:rFonts w:ascii="宋体" w:hAnsi="宋体" w:cs="宋体"/>
          <w:sz w:val="24"/>
          <w:szCs w:val="24"/>
        </w:rPr>
      </w:pPr>
      <w:r>
        <w:rPr>
          <w:rFonts w:hint="eastAsia" w:ascii="宋体" w:hAnsi="宋体" w:cs="宋体"/>
          <w:sz w:val="24"/>
          <w:szCs w:val="24"/>
        </w:rPr>
        <w:t xml:space="preserve">        (3) 长期负债合计:</w:t>
      </w:r>
      <w:r>
        <w:rPr>
          <w:rFonts w:hint="eastAsia" w:ascii="宋体" w:hAnsi="宋体" w:cs="宋体"/>
          <w:sz w:val="24"/>
          <w:szCs w:val="24"/>
          <w:u w:val="single"/>
        </w:rPr>
        <w:t xml:space="preserve">                   </w:t>
      </w:r>
    </w:p>
    <w:p w14:paraId="60AFD822">
      <w:pPr>
        <w:pStyle w:val="71"/>
        <w:spacing w:line="360" w:lineRule="auto"/>
        <w:ind w:firstLine="420"/>
        <w:rPr>
          <w:rFonts w:ascii="宋体" w:hAnsi="宋体" w:cs="宋体"/>
          <w:sz w:val="24"/>
          <w:szCs w:val="24"/>
        </w:rPr>
      </w:pPr>
      <w:r>
        <w:rPr>
          <w:rFonts w:hint="eastAsia" w:ascii="宋体" w:hAnsi="宋体" w:cs="宋体"/>
          <w:sz w:val="24"/>
          <w:szCs w:val="24"/>
        </w:rPr>
        <w:t xml:space="preserve">        (4) 流动负债合计:</w:t>
      </w:r>
      <w:r>
        <w:rPr>
          <w:rFonts w:hint="eastAsia" w:ascii="宋体" w:hAnsi="宋体" w:cs="宋体"/>
          <w:sz w:val="24"/>
          <w:szCs w:val="24"/>
          <w:u w:val="single"/>
        </w:rPr>
        <w:t xml:space="preserve">                   </w:t>
      </w:r>
    </w:p>
    <w:p w14:paraId="63290E31">
      <w:pPr>
        <w:pStyle w:val="71"/>
        <w:spacing w:line="360" w:lineRule="auto"/>
        <w:ind w:firstLine="420"/>
        <w:rPr>
          <w:rFonts w:ascii="宋体" w:hAnsi="宋体" w:cs="宋体"/>
          <w:sz w:val="24"/>
          <w:szCs w:val="24"/>
        </w:rPr>
      </w:pPr>
      <w:r>
        <w:rPr>
          <w:rFonts w:hint="eastAsia" w:ascii="宋体" w:hAnsi="宋体" w:cs="宋体"/>
          <w:sz w:val="24"/>
          <w:szCs w:val="24"/>
        </w:rPr>
        <w:t xml:space="preserve">       Ｆ．最近损益表（到</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日为止）。</w:t>
      </w:r>
    </w:p>
    <w:p w14:paraId="7D724F64">
      <w:pPr>
        <w:pStyle w:val="71"/>
        <w:spacing w:line="360" w:lineRule="auto"/>
        <w:ind w:firstLine="1440" w:firstLineChars="600"/>
        <w:rPr>
          <w:rFonts w:ascii="宋体" w:hAnsi="宋体" w:cs="宋体"/>
          <w:sz w:val="24"/>
          <w:szCs w:val="24"/>
          <w:u w:val="single"/>
        </w:rPr>
      </w:pPr>
      <w:r>
        <w:rPr>
          <w:rFonts w:hint="eastAsia" w:ascii="宋体" w:hAnsi="宋体" w:cs="宋体"/>
          <w:sz w:val="24"/>
          <w:szCs w:val="24"/>
        </w:rPr>
        <w:t>(1) 本年（期）利润总额累计：</w:t>
      </w:r>
      <w:r>
        <w:rPr>
          <w:rFonts w:hint="eastAsia" w:ascii="宋体" w:hAnsi="宋体" w:cs="宋体"/>
          <w:sz w:val="24"/>
          <w:szCs w:val="24"/>
          <w:u w:val="single"/>
        </w:rPr>
        <w:t xml:space="preserve">            </w:t>
      </w:r>
    </w:p>
    <w:p w14:paraId="50E50E90">
      <w:pPr>
        <w:pStyle w:val="71"/>
        <w:spacing w:line="360" w:lineRule="auto"/>
        <w:ind w:firstLine="1440" w:firstLineChars="600"/>
        <w:rPr>
          <w:rFonts w:ascii="宋体" w:hAnsi="宋体" w:cs="宋体"/>
          <w:sz w:val="24"/>
          <w:szCs w:val="24"/>
        </w:rPr>
      </w:pPr>
      <w:r>
        <w:rPr>
          <w:rFonts w:hint="eastAsia" w:ascii="宋体" w:hAnsi="宋体" w:cs="宋体"/>
          <w:sz w:val="24"/>
          <w:szCs w:val="24"/>
        </w:rPr>
        <w:t xml:space="preserve">(2) 本年（期）净利润累计： </w:t>
      </w:r>
      <w:r>
        <w:rPr>
          <w:rFonts w:hint="eastAsia" w:ascii="宋体" w:hAnsi="宋体" w:cs="宋体"/>
          <w:sz w:val="24"/>
          <w:szCs w:val="24"/>
          <w:u w:val="single"/>
        </w:rPr>
        <w:t xml:space="preserve">             </w:t>
      </w:r>
    </w:p>
    <w:p w14:paraId="5902B344">
      <w:pPr>
        <w:pStyle w:val="71"/>
        <w:spacing w:line="360" w:lineRule="auto"/>
        <w:ind w:firstLine="420"/>
        <w:rPr>
          <w:rFonts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2．我方在此声明，我方具备并满足下列各项条款的规定。本声明如有虚假或不实之处，我方将失去合格供应商资格且我方的</w:t>
      </w:r>
      <w:r>
        <w:rPr>
          <w:rFonts w:hint="eastAsia" w:ascii="宋体" w:hAnsi="宋体" w:cs="宋体"/>
          <w:sz w:val="24"/>
          <w:szCs w:val="24"/>
          <w:lang w:val="en-US" w:eastAsia="zh-CN"/>
        </w:rPr>
        <w:t>投标</w:t>
      </w:r>
      <w:r>
        <w:rPr>
          <w:rFonts w:hint="eastAsia" w:ascii="宋体" w:hAnsi="宋体" w:cs="宋体"/>
          <w:sz w:val="24"/>
          <w:szCs w:val="24"/>
        </w:rPr>
        <w:t>保证金将不予退还。</w:t>
      </w:r>
    </w:p>
    <w:p w14:paraId="1A979608">
      <w:pPr>
        <w:pStyle w:val="71"/>
        <w:spacing w:line="360" w:lineRule="auto"/>
        <w:ind w:firstLine="420"/>
        <w:rPr>
          <w:rFonts w:ascii="宋体" w:hAnsi="宋体" w:cs="宋体"/>
          <w:sz w:val="24"/>
          <w:szCs w:val="24"/>
        </w:rPr>
      </w:pPr>
      <w:r>
        <w:rPr>
          <w:rFonts w:hint="eastAsia" w:ascii="宋体" w:hAnsi="宋体" w:cs="宋体"/>
          <w:sz w:val="24"/>
          <w:szCs w:val="24"/>
        </w:rPr>
        <w:t xml:space="preserve">（1）具有独立承担民事责任的能力； </w:t>
      </w:r>
    </w:p>
    <w:p w14:paraId="0D0B75AD">
      <w:pPr>
        <w:pStyle w:val="71"/>
        <w:spacing w:line="360" w:lineRule="auto"/>
        <w:ind w:firstLine="420"/>
        <w:rPr>
          <w:rFonts w:ascii="宋体" w:hAnsi="宋体" w:cs="宋体"/>
          <w:sz w:val="24"/>
          <w:szCs w:val="24"/>
        </w:rPr>
      </w:pPr>
      <w:r>
        <w:rPr>
          <w:rFonts w:hint="eastAsia" w:ascii="宋体" w:hAnsi="宋体" w:cs="宋体"/>
          <w:sz w:val="24"/>
          <w:szCs w:val="24"/>
        </w:rPr>
        <w:t xml:space="preserve">（2）具有良好的商业信誉和健全的财务会计制度； </w:t>
      </w:r>
    </w:p>
    <w:p w14:paraId="3175389E">
      <w:pPr>
        <w:pStyle w:val="71"/>
        <w:spacing w:line="360" w:lineRule="auto"/>
        <w:ind w:firstLine="420"/>
        <w:rPr>
          <w:rFonts w:ascii="宋体" w:hAnsi="宋体" w:cs="宋体"/>
          <w:sz w:val="24"/>
          <w:szCs w:val="24"/>
        </w:rPr>
      </w:pPr>
      <w:r>
        <w:rPr>
          <w:rFonts w:hint="eastAsia" w:ascii="宋体" w:hAnsi="宋体" w:cs="宋体"/>
          <w:sz w:val="24"/>
          <w:szCs w:val="24"/>
        </w:rPr>
        <w:t xml:space="preserve">（3）具有履行合同所必需的设备和专业技术能力； </w:t>
      </w:r>
    </w:p>
    <w:p w14:paraId="090E06E8">
      <w:pPr>
        <w:pStyle w:val="71"/>
        <w:spacing w:line="360" w:lineRule="auto"/>
        <w:ind w:firstLine="420"/>
        <w:rPr>
          <w:rFonts w:ascii="宋体" w:hAnsi="宋体" w:cs="宋体"/>
          <w:sz w:val="24"/>
          <w:szCs w:val="24"/>
        </w:rPr>
      </w:pPr>
      <w:r>
        <w:rPr>
          <w:rFonts w:hint="eastAsia" w:ascii="宋体" w:hAnsi="宋体" w:cs="宋体"/>
          <w:sz w:val="24"/>
          <w:szCs w:val="24"/>
        </w:rPr>
        <w:t xml:space="preserve">（4）有依法缴纳税收的良好记录； </w:t>
      </w:r>
    </w:p>
    <w:p w14:paraId="5484F878">
      <w:pPr>
        <w:pStyle w:val="71"/>
        <w:spacing w:line="360" w:lineRule="auto"/>
        <w:ind w:firstLine="420"/>
        <w:rPr>
          <w:rFonts w:ascii="宋体" w:hAnsi="宋体" w:cs="宋体"/>
          <w:sz w:val="24"/>
          <w:szCs w:val="24"/>
        </w:rPr>
      </w:pPr>
      <w:r>
        <w:rPr>
          <w:rFonts w:hint="eastAsia" w:ascii="宋体" w:hAnsi="宋体" w:cs="宋体"/>
          <w:sz w:val="24"/>
          <w:szCs w:val="24"/>
        </w:rPr>
        <w:t xml:space="preserve">（5）近三年内，在经营活动中没有重大违法记录。 </w:t>
      </w:r>
    </w:p>
    <w:p w14:paraId="62651E93">
      <w:pPr>
        <w:pStyle w:val="71"/>
        <w:spacing w:line="360" w:lineRule="auto"/>
        <w:ind w:firstLine="420"/>
        <w:rPr>
          <w:rFonts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rPr>
        <w:t>3. 附法人营业执照等材料复印件。</w:t>
      </w:r>
    </w:p>
    <w:p w14:paraId="3149E6F6">
      <w:pPr>
        <w:pStyle w:val="71"/>
        <w:spacing w:line="360" w:lineRule="auto"/>
        <w:ind w:firstLine="420"/>
        <w:rPr>
          <w:rFonts w:ascii="宋体" w:hAnsi="宋体" w:cs="宋体"/>
          <w:sz w:val="24"/>
          <w:szCs w:val="24"/>
        </w:rPr>
      </w:pPr>
    </w:p>
    <w:p w14:paraId="5BCD864E">
      <w:pPr>
        <w:pStyle w:val="71"/>
        <w:spacing w:line="360" w:lineRule="auto"/>
        <w:ind w:firstLine="420"/>
        <w:rPr>
          <w:rFonts w:ascii="宋体" w:hAnsi="宋体" w:cs="宋体"/>
          <w:sz w:val="24"/>
          <w:szCs w:val="24"/>
        </w:rPr>
      </w:pPr>
    </w:p>
    <w:p w14:paraId="1B2C7A0D">
      <w:pPr>
        <w:pStyle w:val="71"/>
        <w:spacing w:line="360" w:lineRule="auto"/>
        <w:ind w:firstLine="420"/>
        <w:rPr>
          <w:rFonts w:ascii="宋体" w:hAnsi="宋体" w:cs="宋体"/>
          <w:sz w:val="24"/>
          <w:szCs w:val="24"/>
        </w:rPr>
      </w:pPr>
    </w:p>
    <w:p w14:paraId="185C4B1F">
      <w:pPr>
        <w:pStyle w:val="71"/>
        <w:spacing w:line="360" w:lineRule="auto"/>
        <w:ind w:firstLine="420"/>
        <w:rPr>
          <w:rFonts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14:paraId="4EAF0A75">
      <w:pPr>
        <w:pStyle w:val="71"/>
        <w:spacing w:line="360" w:lineRule="auto"/>
        <w:ind w:firstLine="420"/>
        <w:rPr>
          <w:rFonts w:ascii="宋体" w:hAnsi="宋体" w:cs="宋体"/>
          <w:sz w:val="24"/>
          <w:szCs w:val="24"/>
        </w:rPr>
      </w:pPr>
    </w:p>
    <w:p w14:paraId="04C9C5E9">
      <w:pPr>
        <w:pStyle w:val="71"/>
        <w:spacing w:line="360" w:lineRule="auto"/>
        <w:ind w:firstLine="420"/>
        <w:rPr>
          <w:rFonts w:ascii="宋体" w:hAnsi="宋体" w:cs="宋体"/>
          <w:sz w:val="24"/>
          <w:szCs w:val="24"/>
        </w:rPr>
      </w:pPr>
    </w:p>
    <w:p w14:paraId="70142710">
      <w:pPr>
        <w:pStyle w:val="71"/>
        <w:spacing w:line="360" w:lineRule="auto"/>
        <w:ind w:firstLine="420"/>
        <w:rPr>
          <w:rFonts w:ascii="宋体" w:hAnsi="宋体" w:cs="宋体"/>
          <w:sz w:val="24"/>
          <w:szCs w:val="24"/>
        </w:rPr>
      </w:pPr>
    </w:p>
    <w:p w14:paraId="5CC40C37">
      <w:pPr>
        <w:pStyle w:val="71"/>
        <w:spacing w:line="360" w:lineRule="auto"/>
        <w:ind w:firstLine="420"/>
        <w:rPr>
          <w:rFonts w:ascii="宋体" w:hAnsi="宋体" w:cs="宋体"/>
          <w:sz w:val="24"/>
          <w:szCs w:val="24"/>
        </w:rPr>
      </w:pPr>
    </w:p>
    <w:p w14:paraId="54D5C308">
      <w:pPr>
        <w:pStyle w:val="71"/>
        <w:spacing w:line="360" w:lineRule="auto"/>
        <w:ind w:firstLine="420"/>
        <w:rPr>
          <w:rFonts w:ascii="宋体" w:hAnsi="宋体" w:cs="宋体"/>
          <w:sz w:val="24"/>
          <w:szCs w:val="24"/>
        </w:rPr>
      </w:pPr>
    </w:p>
    <w:p w14:paraId="5649898E">
      <w:pPr>
        <w:pStyle w:val="71"/>
        <w:spacing w:line="360" w:lineRule="auto"/>
        <w:ind w:firstLine="420"/>
        <w:rPr>
          <w:rFonts w:ascii="宋体" w:hAnsi="宋体" w:cs="宋体"/>
          <w:sz w:val="24"/>
          <w:szCs w:val="24"/>
        </w:rPr>
      </w:pPr>
    </w:p>
    <w:p w14:paraId="1414C3C6">
      <w:pPr>
        <w:pStyle w:val="71"/>
        <w:spacing w:line="360" w:lineRule="auto"/>
        <w:ind w:firstLine="420"/>
        <w:rPr>
          <w:rFonts w:ascii="宋体" w:hAnsi="宋体" w:cs="宋体"/>
          <w:sz w:val="24"/>
          <w:szCs w:val="24"/>
        </w:rPr>
      </w:pPr>
    </w:p>
    <w:p w14:paraId="73535D00">
      <w:pPr>
        <w:pStyle w:val="71"/>
        <w:spacing w:line="360" w:lineRule="auto"/>
        <w:ind w:firstLine="420"/>
        <w:rPr>
          <w:rFonts w:ascii="宋体" w:hAnsi="宋体" w:cs="宋体"/>
          <w:sz w:val="24"/>
          <w:szCs w:val="24"/>
        </w:rPr>
      </w:pPr>
    </w:p>
    <w:p w14:paraId="2098E8AA">
      <w:pPr>
        <w:pStyle w:val="71"/>
        <w:spacing w:line="360" w:lineRule="auto"/>
        <w:ind w:firstLine="420"/>
        <w:rPr>
          <w:rFonts w:ascii="宋体" w:hAnsi="宋体" w:cs="宋体"/>
          <w:sz w:val="24"/>
          <w:szCs w:val="24"/>
        </w:rPr>
      </w:pPr>
      <w:r>
        <w:rPr>
          <w:rFonts w:hint="eastAsia" w:ascii="宋体" w:hAnsi="宋体" w:cs="宋体"/>
          <w:sz w:val="24"/>
          <w:szCs w:val="24"/>
        </w:rPr>
        <w:t xml:space="preserve">   供应商（盖章）：</w:t>
      </w:r>
    </w:p>
    <w:p w14:paraId="167A4E4C">
      <w:pPr>
        <w:pStyle w:val="71"/>
        <w:spacing w:line="360" w:lineRule="auto"/>
        <w:ind w:firstLine="420"/>
        <w:rPr>
          <w:rFonts w:ascii="宋体" w:hAnsi="宋体" w:cs="宋体"/>
          <w:sz w:val="24"/>
          <w:szCs w:val="24"/>
          <w:u w:val="single"/>
        </w:rPr>
      </w:pPr>
      <w:r>
        <w:rPr>
          <w:rFonts w:hint="eastAsia" w:ascii="宋体" w:hAnsi="宋体" w:cs="宋体"/>
          <w:sz w:val="24"/>
          <w:szCs w:val="24"/>
        </w:rPr>
        <w:t xml:space="preserve">   法定代表人或其授权代表（签字或盖章）</w:t>
      </w:r>
      <w:r>
        <w:rPr>
          <w:rFonts w:hint="eastAsia" w:ascii="宋体" w:hAnsi="宋体" w:cs="宋体"/>
          <w:bCs/>
          <w:sz w:val="24"/>
          <w:szCs w:val="24"/>
        </w:rPr>
        <w:t>：</w:t>
      </w:r>
    </w:p>
    <w:p w14:paraId="1C18C336">
      <w:pPr>
        <w:pStyle w:val="71"/>
        <w:spacing w:line="360" w:lineRule="auto"/>
        <w:ind w:firstLine="420"/>
        <w:rPr>
          <w:rFonts w:ascii="宋体" w:hAnsi="宋体" w:cs="宋体"/>
          <w:sz w:val="24"/>
          <w:szCs w:val="24"/>
        </w:rPr>
      </w:pPr>
      <w:r>
        <w:rPr>
          <w:rFonts w:hint="eastAsia" w:ascii="宋体" w:hAnsi="宋体" w:cs="宋体"/>
          <w:sz w:val="24"/>
          <w:szCs w:val="24"/>
        </w:rPr>
        <w:t xml:space="preserve">   日    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39509FB">
      <w:pPr>
        <w:pStyle w:val="72"/>
        <w:outlineLvl w:val="1"/>
        <w:rPr>
          <w:rFonts w:ascii="宋体" w:hAnsi="宋体" w:eastAsia="宋体" w:cs="宋体"/>
        </w:rPr>
      </w:pPr>
      <w:r>
        <w:rPr>
          <w:rFonts w:hint="eastAsia" w:ascii="宋体" w:hAnsi="宋体" w:eastAsia="宋体" w:cs="宋体"/>
        </w:rPr>
        <w:br w:type="page"/>
      </w:r>
      <w:bookmarkStart w:id="103" w:name="_Toc108609123"/>
      <w:bookmarkStart w:id="104" w:name="_Toc106276282"/>
      <w:bookmarkStart w:id="105" w:name="_Toc2908"/>
      <w:r>
        <w:rPr>
          <w:rFonts w:hint="eastAsia" w:ascii="宋体" w:hAnsi="宋体" w:eastAsia="宋体" w:cs="宋体"/>
          <w:sz w:val="30"/>
          <w:szCs w:val="30"/>
        </w:rPr>
        <w:t>（二）法定代表人身份证明及附有法定代表人身份证明的授权书</w:t>
      </w:r>
      <w:bookmarkEnd w:id="103"/>
      <w:bookmarkEnd w:id="104"/>
      <w:bookmarkEnd w:id="105"/>
    </w:p>
    <w:p w14:paraId="763EBB6D">
      <w:pPr>
        <w:pStyle w:val="73"/>
        <w:spacing w:line="360" w:lineRule="auto"/>
        <w:ind w:firstLine="420"/>
        <w:jc w:val="center"/>
        <w:rPr>
          <w:rFonts w:ascii="宋体" w:hAnsi="宋体" w:cs="宋体"/>
          <w:szCs w:val="21"/>
        </w:rPr>
      </w:pPr>
    </w:p>
    <w:p w14:paraId="2DED8B95">
      <w:pPr>
        <w:pStyle w:val="73"/>
        <w:spacing w:line="360" w:lineRule="auto"/>
        <w:jc w:val="center"/>
        <w:rPr>
          <w:rFonts w:ascii="宋体" w:hAnsi="宋体" w:cs="宋体"/>
          <w:b/>
          <w:sz w:val="24"/>
        </w:rPr>
      </w:pPr>
      <w:r>
        <w:rPr>
          <w:rFonts w:hint="eastAsia" w:ascii="宋体" w:hAnsi="宋体" w:cs="宋体"/>
          <w:b/>
          <w:bCs/>
          <w:sz w:val="24"/>
        </w:rPr>
        <w:t>法定代表人身份证明</w:t>
      </w:r>
    </w:p>
    <w:p w14:paraId="226C4625">
      <w:pPr>
        <w:pStyle w:val="73"/>
        <w:spacing w:line="360" w:lineRule="auto"/>
        <w:ind w:firstLine="480"/>
        <w:rPr>
          <w:rFonts w:ascii="宋体" w:hAnsi="宋体" w:cs="宋体"/>
          <w:sz w:val="24"/>
        </w:rPr>
      </w:pPr>
    </w:p>
    <w:p w14:paraId="30325413">
      <w:pPr>
        <w:pStyle w:val="73"/>
        <w:spacing w:line="360" w:lineRule="auto"/>
        <w:ind w:firstLine="420"/>
        <w:rPr>
          <w:rFonts w:ascii="宋体" w:hAnsi="宋体" w:cs="宋体"/>
          <w:szCs w:val="21"/>
        </w:rPr>
      </w:pPr>
    </w:p>
    <w:p w14:paraId="69938982">
      <w:pPr>
        <w:pStyle w:val="73"/>
        <w:spacing w:line="360" w:lineRule="auto"/>
        <w:ind w:firstLine="420"/>
        <w:rPr>
          <w:rFonts w:ascii="宋体" w:hAnsi="宋体" w:cs="宋体"/>
          <w:sz w:val="24"/>
          <w:szCs w:val="24"/>
        </w:rPr>
      </w:pPr>
      <w:r>
        <w:rPr>
          <w:rFonts w:hint="eastAsia" w:ascii="宋体" w:hAnsi="宋体" w:cs="宋体"/>
          <w:sz w:val="24"/>
          <w:szCs w:val="24"/>
        </w:rPr>
        <w:t>供应商名称：</w:t>
      </w:r>
    </w:p>
    <w:p w14:paraId="70A2DC56">
      <w:pPr>
        <w:pStyle w:val="73"/>
        <w:spacing w:line="360" w:lineRule="auto"/>
        <w:ind w:firstLine="420"/>
        <w:rPr>
          <w:rFonts w:ascii="宋体" w:hAnsi="宋体" w:cs="宋体"/>
          <w:sz w:val="24"/>
          <w:szCs w:val="24"/>
        </w:rPr>
      </w:pPr>
      <w:r>
        <w:rPr>
          <w:rFonts w:hint="eastAsia" w:ascii="宋体" w:hAnsi="宋体" w:cs="宋体"/>
          <w:sz w:val="24"/>
          <w:szCs w:val="24"/>
        </w:rPr>
        <w:t>单位性质：</w:t>
      </w:r>
    </w:p>
    <w:p w14:paraId="4B2D01A9">
      <w:pPr>
        <w:pStyle w:val="73"/>
        <w:spacing w:line="360" w:lineRule="auto"/>
        <w:ind w:firstLine="420"/>
        <w:rPr>
          <w:rFonts w:ascii="宋体" w:hAnsi="宋体" w:cs="宋体"/>
          <w:sz w:val="24"/>
          <w:szCs w:val="24"/>
        </w:rPr>
      </w:pPr>
      <w:r>
        <w:rPr>
          <w:rFonts w:hint="eastAsia" w:ascii="宋体" w:hAnsi="宋体" w:cs="宋体"/>
          <w:sz w:val="24"/>
          <w:szCs w:val="24"/>
        </w:rPr>
        <w:t>地    址：</w:t>
      </w:r>
    </w:p>
    <w:p w14:paraId="0AA8B017">
      <w:pPr>
        <w:pStyle w:val="73"/>
        <w:spacing w:line="360" w:lineRule="auto"/>
        <w:ind w:firstLine="420"/>
        <w:rPr>
          <w:rFonts w:ascii="宋体" w:hAnsi="宋体" w:cs="宋体"/>
          <w:sz w:val="24"/>
          <w:szCs w:val="24"/>
        </w:rPr>
      </w:pPr>
      <w:r>
        <w:rPr>
          <w:rFonts w:hint="eastAsia" w:ascii="宋体" w:hAnsi="宋体" w:cs="宋体"/>
          <w:sz w:val="24"/>
          <w:szCs w:val="24"/>
        </w:rPr>
        <w:t>成立时间：年月日</w:t>
      </w:r>
    </w:p>
    <w:p w14:paraId="09F043AD">
      <w:pPr>
        <w:pStyle w:val="73"/>
        <w:spacing w:line="360" w:lineRule="auto"/>
        <w:ind w:firstLine="420"/>
        <w:rPr>
          <w:rFonts w:ascii="宋体" w:hAnsi="宋体" w:cs="宋体"/>
          <w:sz w:val="24"/>
          <w:szCs w:val="24"/>
        </w:rPr>
      </w:pPr>
      <w:r>
        <w:rPr>
          <w:rFonts w:hint="eastAsia" w:ascii="宋体" w:hAnsi="宋体" w:cs="宋体"/>
          <w:sz w:val="24"/>
          <w:szCs w:val="24"/>
        </w:rPr>
        <w:t>经营期限：</w:t>
      </w:r>
    </w:p>
    <w:p w14:paraId="01233BE4">
      <w:pPr>
        <w:pStyle w:val="73"/>
        <w:spacing w:line="360" w:lineRule="auto"/>
        <w:ind w:firstLine="420"/>
        <w:rPr>
          <w:rFonts w:ascii="宋体" w:hAnsi="宋体" w:cs="宋体"/>
          <w:sz w:val="24"/>
          <w:szCs w:val="24"/>
        </w:rPr>
      </w:pPr>
    </w:p>
    <w:p w14:paraId="346B52AA">
      <w:pPr>
        <w:pStyle w:val="73"/>
        <w:spacing w:line="360" w:lineRule="auto"/>
        <w:ind w:firstLine="420"/>
        <w:rPr>
          <w:rFonts w:ascii="宋体" w:hAnsi="宋体" w:cs="宋体"/>
          <w:sz w:val="24"/>
          <w:szCs w:val="24"/>
        </w:rPr>
      </w:pPr>
      <w:r>
        <w:rPr>
          <w:rFonts w:hint="eastAsia" w:ascii="宋体" w:hAnsi="宋体" w:cs="宋体"/>
          <w:sz w:val="24"/>
          <w:szCs w:val="24"/>
        </w:rPr>
        <w:t>姓    名：性     别：</w:t>
      </w:r>
    </w:p>
    <w:p w14:paraId="627C91F4">
      <w:pPr>
        <w:pStyle w:val="73"/>
        <w:spacing w:line="360" w:lineRule="auto"/>
        <w:ind w:firstLine="420"/>
        <w:rPr>
          <w:rFonts w:ascii="宋体" w:hAnsi="宋体" w:cs="宋体"/>
          <w:sz w:val="24"/>
          <w:szCs w:val="24"/>
          <w:u w:val="single"/>
        </w:rPr>
      </w:pPr>
      <w:r>
        <w:rPr>
          <w:rFonts w:hint="eastAsia" w:ascii="宋体" w:hAnsi="宋体" w:cs="宋体"/>
          <w:sz w:val="24"/>
          <w:szCs w:val="24"/>
        </w:rPr>
        <w:t>年    龄：职     务：</w:t>
      </w:r>
    </w:p>
    <w:p w14:paraId="156977F3">
      <w:pPr>
        <w:pStyle w:val="73"/>
        <w:spacing w:line="360" w:lineRule="auto"/>
        <w:ind w:firstLine="420"/>
        <w:rPr>
          <w:rFonts w:ascii="宋体" w:hAnsi="宋体" w:cs="宋体"/>
          <w:sz w:val="24"/>
          <w:szCs w:val="24"/>
        </w:rPr>
      </w:pPr>
    </w:p>
    <w:p w14:paraId="07BF9A75">
      <w:pPr>
        <w:pStyle w:val="73"/>
        <w:spacing w:line="360" w:lineRule="auto"/>
        <w:ind w:firstLine="420"/>
        <w:rPr>
          <w:rFonts w:ascii="宋体" w:hAnsi="宋体" w:cs="宋体"/>
          <w:sz w:val="24"/>
          <w:szCs w:val="24"/>
        </w:rPr>
      </w:pPr>
      <w:r>
        <w:rPr>
          <w:rFonts w:hint="eastAsia" w:ascii="宋体" w:hAnsi="宋体" w:cs="宋体"/>
          <w:sz w:val="24"/>
          <w:szCs w:val="24"/>
        </w:rPr>
        <w:tab/>
      </w:r>
    </w:p>
    <w:p w14:paraId="506BE77F">
      <w:pPr>
        <w:pStyle w:val="73"/>
        <w:spacing w:line="360" w:lineRule="auto"/>
        <w:ind w:firstLine="420"/>
        <w:rPr>
          <w:rFonts w:ascii="宋体" w:hAnsi="宋体" w:cs="宋体"/>
          <w:sz w:val="24"/>
          <w:szCs w:val="24"/>
        </w:rPr>
      </w:pPr>
      <w:r>
        <w:rPr>
          <w:rFonts w:hint="eastAsia" w:ascii="宋体" w:hAnsi="宋体" w:cs="宋体"/>
          <w:sz w:val="24"/>
          <w:szCs w:val="24"/>
        </w:rPr>
        <w:t>系（供应商）的法定代表人。</w:t>
      </w:r>
    </w:p>
    <w:p w14:paraId="37F6B397">
      <w:pPr>
        <w:pStyle w:val="73"/>
        <w:spacing w:line="360" w:lineRule="auto"/>
        <w:ind w:firstLine="420"/>
        <w:rPr>
          <w:rFonts w:ascii="宋体" w:hAnsi="宋体" w:cs="宋体"/>
          <w:sz w:val="24"/>
          <w:szCs w:val="24"/>
        </w:rPr>
      </w:pPr>
      <w:r>
        <w:rPr>
          <w:rFonts w:hint="eastAsia" w:ascii="宋体" w:hAnsi="宋体" w:cs="宋体"/>
          <w:sz w:val="24"/>
          <w:szCs w:val="24"/>
        </w:rPr>
        <w:t>特此证明。</w:t>
      </w:r>
    </w:p>
    <w:p w14:paraId="0D564477">
      <w:pPr>
        <w:pStyle w:val="73"/>
        <w:spacing w:line="360" w:lineRule="auto"/>
        <w:ind w:firstLine="420"/>
        <w:rPr>
          <w:rFonts w:ascii="宋体" w:hAnsi="宋体" w:cs="宋体"/>
          <w:sz w:val="24"/>
          <w:szCs w:val="24"/>
        </w:rPr>
      </w:pPr>
    </w:p>
    <w:p w14:paraId="43F1BA16">
      <w:pPr>
        <w:pStyle w:val="73"/>
        <w:spacing w:line="360" w:lineRule="auto"/>
        <w:ind w:firstLine="420"/>
        <w:rPr>
          <w:rFonts w:ascii="宋体" w:hAnsi="宋体" w:cs="宋体"/>
          <w:sz w:val="24"/>
          <w:szCs w:val="24"/>
        </w:rPr>
      </w:pPr>
      <w:r>
        <w:rPr>
          <w:rFonts w:hint="eastAsia" w:ascii="宋体" w:hAnsi="宋体" w:cs="宋体"/>
          <w:sz w:val="24"/>
          <w:szCs w:val="24"/>
        </w:rPr>
        <w:t>附：法定代表人身份证复印件正反面</w:t>
      </w:r>
    </w:p>
    <w:p w14:paraId="090CC9ED">
      <w:pPr>
        <w:pStyle w:val="73"/>
        <w:spacing w:line="360" w:lineRule="auto"/>
        <w:ind w:firstLine="420"/>
        <w:rPr>
          <w:rFonts w:ascii="宋体" w:hAnsi="宋体" w:cs="宋体"/>
          <w:sz w:val="24"/>
          <w:szCs w:val="24"/>
        </w:rPr>
      </w:pPr>
    </w:p>
    <w:p w14:paraId="69D44889">
      <w:pPr>
        <w:pStyle w:val="73"/>
        <w:spacing w:line="360" w:lineRule="auto"/>
        <w:ind w:firstLine="420"/>
        <w:rPr>
          <w:rFonts w:ascii="宋体" w:hAnsi="宋体" w:cs="宋体"/>
          <w:sz w:val="24"/>
          <w:szCs w:val="24"/>
        </w:rPr>
      </w:pPr>
    </w:p>
    <w:p w14:paraId="4EEE6A98">
      <w:pPr>
        <w:pStyle w:val="73"/>
        <w:spacing w:line="360" w:lineRule="auto"/>
        <w:ind w:firstLine="420"/>
        <w:rPr>
          <w:rFonts w:ascii="宋体" w:hAnsi="宋体" w:cs="宋体"/>
          <w:sz w:val="24"/>
          <w:szCs w:val="24"/>
        </w:rPr>
      </w:pPr>
      <w:r>
        <w:rPr>
          <w:rFonts w:hint="eastAsia" w:ascii="宋体" w:hAnsi="宋体" w:cs="宋体"/>
          <w:sz w:val="24"/>
          <w:szCs w:val="24"/>
        </w:rPr>
        <w:t xml:space="preserve">                   供应商（盖章）：</w:t>
      </w:r>
      <w:r>
        <w:rPr>
          <w:rFonts w:hint="eastAsia" w:ascii="宋体" w:hAnsi="宋体" w:cs="宋体"/>
          <w:sz w:val="24"/>
          <w:szCs w:val="24"/>
          <w:u w:val="single"/>
        </w:rPr>
        <w:t xml:space="preserve">                           </w:t>
      </w:r>
    </w:p>
    <w:p w14:paraId="515E4B15">
      <w:pPr>
        <w:pStyle w:val="73"/>
        <w:spacing w:line="360" w:lineRule="auto"/>
        <w:ind w:firstLine="420"/>
        <w:rPr>
          <w:rFonts w:ascii="宋体" w:hAnsi="宋体" w:cs="宋体"/>
          <w:szCs w:val="21"/>
        </w:rPr>
      </w:pPr>
      <w:r>
        <w:rPr>
          <w:rFonts w:hint="eastAsia" w:ascii="宋体" w:hAnsi="宋体" w:cs="宋体"/>
          <w:sz w:val="24"/>
          <w:szCs w:val="24"/>
        </w:rPr>
        <w:t xml:space="preserve">                   日          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14:paraId="2C55C253">
      <w:pPr>
        <w:pStyle w:val="73"/>
        <w:spacing w:line="360" w:lineRule="auto"/>
        <w:ind w:firstLine="420"/>
        <w:rPr>
          <w:rFonts w:ascii="宋体" w:hAnsi="宋体" w:cs="宋体"/>
          <w:szCs w:val="21"/>
        </w:rPr>
      </w:pPr>
    </w:p>
    <w:p w14:paraId="353F6F94">
      <w:pPr>
        <w:pStyle w:val="73"/>
        <w:spacing w:line="360" w:lineRule="auto"/>
        <w:jc w:val="center"/>
        <w:rPr>
          <w:rFonts w:ascii="宋体" w:hAnsi="宋体" w:cs="宋体"/>
          <w:b/>
          <w:bCs/>
          <w:sz w:val="24"/>
          <w:lang w:val="zh-CN"/>
        </w:rPr>
      </w:pPr>
      <w:r>
        <w:rPr>
          <w:rFonts w:hint="eastAsia" w:ascii="宋体" w:hAnsi="宋体" w:cs="宋体"/>
          <w:sz w:val="20"/>
        </w:rPr>
        <w:br w:type="page"/>
      </w:r>
      <w:r>
        <w:rPr>
          <w:rFonts w:hint="eastAsia" w:ascii="宋体" w:hAnsi="宋体" w:cs="宋体"/>
          <w:b/>
          <w:bCs/>
          <w:sz w:val="24"/>
          <w:lang w:val="zh-CN"/>
        </w:rPr>
        <w:t>授权委托书</w:t>
      </w:r>
    </w:p>
    <w:p w14:paraId="032DF777">
      <w:pPr>
        <w:pStyle w:val="73"/>
        <w:spacing w:line="360" w:lineRule="auto"/>
        <w:jc w:val="center"/>
        <w:rPr>
          <w:rFonts w:ascii="宋体" w:hAnsi="宋体" w:cs="宋体"/>
          <w:b/>
          <w:bCs/>
          <w:sz w:val="24"/>
          <w:lang w:val="zh-CN"/>
        </w:rPr>
      </w:pPr>
    </w:p>
    <w:p w14:paraId="5653E888">
      <w:pPr>
        <w:pStyle w:val="74"/>
        <w:adjustRightInd w:val="0"/>
        <w:snapToGrid w:val="0"/>
        <w:spacing w:line="360" w:lineRule="auto"/>
        <w:ind w:firstLine="480" w:firstLineChars="200"/>
        <w:rPr>
          <w:rFonts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 xml:space="preserve"> (姓名)系</w:t>
      </w:r>
      <w:r>
        <w:rPr>
          <w:rFonts w:hint="eastAsia" w:hAnsi="宋体" w:cs="宋体"/>
          <w:sz w:val="24"/>
          <w:szCs w:val="24"/>
          <w:u w:val="single"/>
        </w:rPr>
        <w:t xml:space="preserve">            </w:t>
      </w:r>
      <w:r>
        <w:rPr>
          <w:rFonts w:hint="eastAsia" w:hAnsi="宋体" w:cs="宋体"/>
          <w:sz w:val="24"/>
          <w:szCs w:val="24"/>
        </w:rPr>
        <w:t xml:space="preserve">(供应商名称)的法定代表人，现授权委托 </w:t>
      </w:r>
      <w:r>
        <w:rPr>
          <w:rFonts w:hint="eastAsia" w:hAnsi="宋体" w:cs="宋体"/>
          <w:sz w:val="24"/>
          <w:szCs w:val="24"/>
          <w:u w:val="single"/>
        </w:rPr>
        <w:t xml:space="preserve">         </w:t>
      </w:r>
      <w:r>
        <w:rPr>
          <w:rFonts w:hint="eastAsia" w:hAnsi="宋体" w:cs="宋体"/>
          <w:sz w:val="24"/>
          <w:szCs w:val="24"/>
        </w:rPr>
        <w:t>(姓名)为我公司本次</w:t>
      </w:r>
      <w:r>
        <w:rPr>
          <w:rFonts w:hint="eastAsia" w:hAnsi="宋体" w:cs="宋体"/>
          <w:sz w:val="24"/>
          <w:szCs w:val="24"/>
          <w:lang w:val="en-US" w:eastAsia="zh-CN"/>
        </w:rPr>
        <w:t>招投标</w:t>
      </w:r>
      <w:r>
        <w:rPr>
          <w:rFonts w:hint="eastAsia" w:hAnsi="宋体" w:cs="宋体"/>
          <w:sz w:val="24"/>
          <w:szCs w:val="24"/>
        </w:rPr>
        <w:t>活动的授权代表，参加</w:t>
      </w:r>
      <w:r>
        <w:rPr>
          <w:rFonts w:hint="eastAsia" w:hAnsi="宋体" w:cs="宋体"/>
          <w:sz w:val="24"/>
          <w:szCs w:val="24"/>
          <w:u w:val="single"/>
        </w:rPr>
        <w:t xml:space="preserve">                </w:t>
      </w:r>
      <w:r>
        <w:rPr>
          <w:rFonts w:hint="eastAsia" w:hAnsi="宋体" w:cs="宋体"/>
          <w:sz w:val="24"/>
          <w:szCs w:val="24"/>
        </w:rPr>
        <w:t>(采购人)的</w:t>
      </w:r>
      <w:r>
        <w:rPr>
          <w:rFonts w:hint="eastAsia" w:hAnsi="宋体" w:cs="宋体"/>
          <w:sz w:val="24"/>
          <w:szCs w:val="24"/>
          <w:u w:val="single"/>
        </w:rPr>
        <w:t xml:space="preserve">                    </w:t>
      </w:r>
      <w:r>
        <w:rPr>
          <w:rFonts w:hint="eastAsia" w:hAnsi="宋体" w:cs="宋体"/>
          <w:sz w:val="24"/>
          <w:szCs w:val="24"/>
        </w:rPr>
        <w:t>项目的</w:t>
      </w:r>
      <w:r>
        <w:rPr>
          <w:rFonts w:hint="eastAsia" w:hAnsi="宋体" w:cs="宋体"/>
          <w:sz w:val="24"/>
          <w:szCs w:val="24"/>
          <w:lang w:val="en-US" w:eastAsia="zh-CN"/>
        </w:rPr>
        <w:t>招标</w:t>
      </w:r>
      <w:r>
        <w:rPr>
          <w:rFonts w:hint="eastAsia" w:hAnsi="宋体" w:cs="宋体"/>
          <w:sz w:val="24"/>
          <w:szCs w:val="24"/>
        </w:rPr>
        <w:t>活动。授权代表在</w:t>
      </w:r>
      <w:r>
        <w:rPr>
          <w:rFonts w:hint="eastAsia" w:hAnsi="宋体" w:cs="宋体"/>
          <w:sz w:val="24"/>
          <w:szCs w:val="24"/>
          <w:lang w:val="en-US" w:eastAsia="zh-CN"/>
        </w:rPr>
        <w:t>招标</w:t>
      </w:r>
      <w:r>
        <w:rPr>
          <w:rFonts w:hint="eastAsia" w:hAnsi="宋体" w:cs="宋体"/>
          <w:sz w:val="24"/>
          <w:szCs w:val="24"/>
        </w:rPr>
        <w:t>、合同签订过程中所签署的一切文件和处理与之有关的一切事务，我均予以承认。</w:t>
      </w:r>
    </w:p>
    <w:p w14:paraId="7B2461AD">
      <w:pPr>
        <w:pStyle w:val="74"/>
        <w:adjustRightInd w:val="0"/>
        <w:snapToGrid w:val="0"/>
        <w:spacing w:line="360" w:lineRule="auto"/>
        <w:rPr>
          <w:rFonts w:hAnsi="宋体" w:cs="宋体"/>
          <w:sz w:val="24"/>
          <w:szCs w:val="24"/>
        </w:rPr>
      </w:pPr>
    </w:p>
    <w:p w14:paraId="564EC5ED">
      <w:pPr>
        <w:pStyle w:val="74"/>
        <w:adjustRightInd w:val="0"/>
        <w:snapToGrid w:val="0"/>
        <w:spacing w:line="360" w:lineRule="auto"/>
        <w:ind w:left="412"/>
        <w:rPr>
          <w:rFonts w:hAnsi="宋体" w:cs="宋体"/>
          <w:sz w:val="24"/>
          <w:szCs w:val="24"/>
        </w:rPr>
      </w:pPr>
      <w:r>
        <w:rPr>
          <w:rFonts w:hint="eastAsia" w:hAnsi="宋体" w:cs="宋体"/>
          <w:sz w:val="24"/>
          <w:szCs w:val="24"/>
        </w:rPr>
        <w:t>授权代表无转委托权。特此委托。</w:t>
      </w:r>
    </w:p>
    <w:p w14:paraId="6A8ABB79">
      <w:pPr>
        <w:pStyle w:val="74"/>
        <w:adjustRightInd w:val="0"/>
        <w:snapToGrid w:val="0"/>
        <w:spacing w:line="360" w:lineRule="auto"/>
        <w:ind w:left="412"/>
        <w:rPr>
          <w:rFonts w:hAnsi="宋体" w:cs="宋体"/>
          <w:sz w:val="24"/>
          <w:szCs w:val="24"/>
        </w:rPr>
      </w:pPr>
    </w:p>
    <w:p w14:paraId="1067802C">
      <w:pPr>
        <w:pStyle w:val="74"/>
        <w:adjustRightInd w:val="0"/>
        <w:snapToGrid w:val="0"/>
        <w:spacing w:line="360" w:lineRule="auto"/>
        <w:ind w:left="412"/>
        <w:rPr>
          <w:rFonts w:hAnsi="宋体" w:cs="宋体"/>
          <w:sz w:val="24"/>
          <w:szCs w:val="24"/>
          <w:u w:val="single"/>
        </w:rPr>
      </w:pPr>
      <w:r>
        <w:rPr>
          <w:rFonts w:hint="eastAsia" w:hAnsi="宋体" w:cs="宋体"/>
          <w:sz w:val="24"/>
          <w:szCs w:val="24"/>
        </w:rPr>
        <w:t>授权代表（姓名）：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rPr>
        <w:t xml:space="preserve">   </w:t>
      </w:r>
    </w:p>
    <w:p w14:paraId="7CF4B743">
      <w:pPr>
        <w:pStyle w:val="74"/>
        <w:adjustRightInd w:val="0"/>
        <w:snapToGrid w:val="0"/>
        <w:spacing w:line="360" w:lineRule="auto"/>
        <w:ind w:firstLine="420"/>
        <w:rPr>
          <w:rFonts w:hAnsi="宋体" w:cs="宋体"/>
          <w:sz w:val="24"/>
          <w:szCs w:val="24"/>
          <w:u w:val="single"/>
        </w:rPr>
      </w:pPr>
      <w:r>
        <w:rPr>
          <w:rFonts w:hint="eastAsia" w:hAnsi="宋体" w:cs="宋体"/>
          <w:sz w:val="24"/>
          <w:szCs w:val="24"/>
        </w:rPr>
        <w:t>单           位：</w:t>
      </w:r>
      <w:r>
        <w:rPr>
          <w:rFonts w:hint="eastAsia" w:hAnsi="宋体" w:cs="宋体"/>
          <w:sz w:val="24"/>
          <w:szCs w:val="24"/>
          <w:u w:val="single"/>
        </w:rPr>
        <w:t xml:space="preserve">              </w:t>
      </w:r>
      <w:r>
        <w:rPr>
          <w:rFonts w:hint="eastAsia" w:hAnsi="宋体" w:cs="宋体"/>
          <w:sz w:val="24"/>
          <w:szCs w:val="24"/>
        </w:rPr>
        <w:t xml:space="preserve">  部门：</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04B08AAF">
      <w:pPr>
        <w:pStyle w:val="74"/>
        <w:adjustRightInd w:val="0"/>
        <w:snapToGrid w:val="0"/>
        <w:spacing w:line="360" w:lineRule="auto"/>
        <w:ind w:firstLine="420"/>
        <w:rPr>
          <w:rFonts w:hAnsi="宋体" w:cs="宋体"/>
          <w:sz w:val="24"/>
          <w:szCs w:val="24"/>
          <w:u w:val="single"/>
        </w:rPr>
      </w:pPr>
    </w:p>
    <w:p w14:paraId="34148D0C">
      <w:pPr>
        <w:pStyle w:val="74"/>
        <w:adjustRightInd w:val="0"/>
        <w:snapToGrid w:val="0"/>
        <w:spacing w:line="360" w:lineRule="auto"/>
        <w:ind w:firstLine="420"/>
        <w:rPr>
          <w:rFonts w:hAnsi="宋体" w:cs="宋体"/>
          <w:sz w:val="24"/>
          <w:szCs w:val="24"/>
        </w:rPr>
      </w:pPr>
      <w:r>
        <w:rPr>
          <w:rFonts w:hint="eastAsia" w:hAnsi="宋体" w:cs="宋体"/>
          <w:sz w:val="24"/>
          <w:szCs w:val="24"/>
        </w:rPr>
        <w:t>附：授权代表身份证复印件正反面</w:t>
      </w:r>
    </w:p>
    <w:p w14:paraId="7ADA8F7B">
      <w:pPr>
        <w:pStyle w:val="74"/>
        <w:adjustRightInd w:val="0"/>
        <w:snapToGrid w:val="0"/>
        <w:spacing w:line="360" w:lineRule="auto"/>
        <w:ind w:firstLine="420"/>
        <w:rPr>
          <w:rFonts w:hAnsi="宋体" w:cs="宋体"/>
          <w:sz w:val="24"/>
          <w:szCs w:val="24"/>
        </w:rPr>
      </w:pPr>
    </w:p>
    <w:p w14:paraId="5C4148E7">
      <w:pPr>
        <w:pStyle w:val="74"/>
        <w:adjustRightInd w:val="0"/>
        <w:snapToGrid w:val="0"/>
        <w:spacing w:line="360" w:lineRule="auto"/>
        <w:ind w:firstLine="420"/>
        <w:rPr>
          <w:rFonts w:hAnsi="宋体" w:cs="宋体"/>
          <w:sz w:val="24"/>
          <w:szCs w:val="24"/>
          <w:u w:val="single"/>
        </w:rPr>
      </w:pPr>
      <w:r>
        <w:rPr>
          <w:rFonts w:hint="eastAsia" w:hAnsi="宋体" w:cs="宋体"/>
          <w:sz w:val="24"/>
          <w:szCs w:val="24"/>
        </w:rPr>
        <w:t>供应商名称 (盖章)：</w:t>
      </w:r>
    </w:p>
    <w:p w14:paraId="1ECEE06A">
      <w:pPr>
        <w:pStyle w:val="74"/>
        <w:adjustRightInd w:val="0"/>
        <w:snapToGrid w:val="0"/>
        <w:spacing w:line="360" w:lineRule="auto"/>
        <w:ind w:firstLine="420"/>
        <w:rPr>
          <w:rFonts w:hAnsi="宋体" w:cs="宋体"/>
          <w:sz w:val="24"/>
          <w:szCs w:val="24"/>
          <w:highlight w:val="yellow"/>
        </w:rPr>
      </w:pPr>
      <w:r>
        <w:rPr>
          <w:rFonts w:hint="eastAsia" w:hAnsi="宋体" w:cs="宋体"/>
          <w:sz w:val="24"/>
          <w:szCs w:val="24"/>
        </w:rPr>
        <w:t>法定代表人 (签字或盖章)：</w:t>
      </w:r>
    </w:p>
    <w:p w14:paraId="48239A27">
      <w:pPr>
        <w:pStyle w:val="74"/>
        <w:adjustRightInd w:val="0"/>
        <w:snapToGrid w:val="0"/>
        <w:spacing w:line="360" w:lineRule="auto"/>
        <w:ind w:firstLine="420"/>
        <w:rPr>
          <w:rFonts w:hAnsi="宋体" w:cs="宋体"/>
          <w:sz w:val="24"/>
          <w:szCs w:val="24"/>
        </w:rPr>
      </w:pPr>
      <w:r>
        <w:rPr>
          <w:rFonts w:hint="eastAsia" w:hAnsi="宋体" w:cs="宋体"/>
          <w:sz w:val="24"/>
          <w:szCs w:val="24"/>
        </w:rPr>
        <w:t xml:space="preserve">委托代理人 (签字或盖章)：                  </w:t>
      </w:r>
    </w:p>
    <w:p w14:paraId="0DF0634E">
      <w:pPr>
        <w:pStyle w:val="74"/>
        <w:adjustRightInd w:val="0"/>
        <w:snapToGrid w:val="0"/>
        <w:spacing w:line="360" w:lineRule="auto"/>
        <w:ind w:right="420" w:firstLine="480" w:firstLineChars="200"/>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400244A9">
      <w:pPr>
        <w:pStyle w:val="75"/>
        <w:ind w:firstLine="964" w:firstLineChars="300"/>
        <w:outlineLvl w:val="1"/>
        <w:rPr>
          <w:rFonts w:ascii="宋体" w:hAnsi="宋体" w:eastAsia="宋体" w:cs="宋体"/>
        </w:rPr>
      </w:pPr>
    </w:p>
    <w:p w14:paraId="102AF42E">
      <w:pPr>
        <w:pStyle w:val="75"/>
        <w:ind w:firstLine="964" w:firstLineChars="300"/>
        <w:outlineLvl w:val="1"/>
        <w:rPr>
          <w:rFonts w:ascii="宋体" w:hAnsi="宋体" w:eastAsia="宋体" w:cs="宋体"/>
        </w:rPr>
      </w:pPr>
    </w:p>
    <w:p w14:paraId="23C92E4C">
      <w:pPr>
        <w:pStyle w:val="75"/>
        <w:ind w:firstLine="964" w:firstLineChars="300"/>
        <w:outlineLvl w:val="1"/>
        <w:rPr>
          <w:rFonts w:ascii="宋体" w:hAnsi="宋体" w:eastAsia="宋体" w:cs="宋体"/>
        </w:rPr>
      </w:pPr>
    </w:p>
    <w:p w14:paraId="226110E3">
      <w:pPr>
        <w:pStyle w:val="75"/>
        <w:ind w:firstLine="964" w:firstLineChars="300"/>
        <w:outlineLvl w:val="1"/>
        <w:rPr>
          <w:rFonts w:ascii="宋体" w:hAnsi="宋体" w:eastAsia="宋体" w:cs="宋体"/>
        </w:rPr>
      </w:pPr>
    </w:p>
    <w:p w14:paraId="4B2D9BE4">
      <w:pPr>
        <w:pStyle w:val="75"/>
        <w:ind w:firstLine="723" w:firstLineChars="300"/>
        <w:outlineLvl w:val="1"/>
        <w:rPr>
          <w:rFonts w:ascii="宋体" w:hAnsi="宋体" w:eastAsia="宋体" w:cs="宋体"/>
          <w:sz w:val="30"/>
          <w:szCs w:val="30"/>
        </w:rPr>
      </w:pPr>
      <w:r>
        <w:rPr>
          <w:rFonts w:hint="eastAsia" w:ascii="宋体" w:hAnsi="宋体" w:eastAsia="宋体" w:cs="宋体"/>
          <w:bCs/>
          <w:kern w:val="2"/>
          <w:sz w:val="24"/>
          <w:szCs w:val="22"/>
        </w:rPr>
        <w:t>备注：法定代表人本人参加</w:t>
      </w:r>
      <w:r>
        <w:rPr>
          <w:rFonts w:hint="eastAsia" w:ascii="宋体" w:hAnsi="宋体" w:eastAsia="宋体" w:cs="宋体"/>
          <w:bCs/>
          <w:kern w:val="2"/>
          <w:sz w:val="24"/>
          <w:szCs w:val="22"/>
          <w:lang w:val="en-US" w:eastAsia="zh-CN"/>
        </w:rPr>
        <w:t>招标</w:t>
      </w:r>
      <w:r>
        <w:rPr>
          <w:rFonts w:hint="eastAsia" w:ascii="宋体" w:hAnsi="宋体" w:eastAsia="宋体" w:cs="宋体"/>
          <w:bCs/>
          <w:kern w:val="2"/>
          <w:sz w:val="24"/>
          <w:szCs w:val="22"/>
        </w:rPr>
        <w:t>活动无须提供</w:t>
      </w:r>
      <w:r>
        <w:rPr>
          <w:rFonts w:hint="eastAsia" w:ascii="宋体" w:hAnsi="宋体" w:eastAsia="宋体" w:cs="宋体"/>
        </w:rPr>
        <w:br w:type="page"/>
      </w:r>
      <w:bookmarkStart w:id="106" w:name="_Toc106276283"/>
      <w:bookmarkStart w:id="107" w:name="_Toc18333"/>
      <w:bookmarkStart w:id="108" w:name="_Toc108609124"/>
      <w:r>
        <w:rPr>
          <w:rFonts w:hint="eastAsia" w:ascii="宋体" w:hAnsi="宋体" w:eastAsia="宋体" w:cs="宋体"/>
          <w:sz w:val="30"/>
          <w:szCs w:val="30"/>
        </w:rPr>
        <w:t>（三）其他资格证明文件</w:t>
      </w:r>
      <w:bookmarkEnd w:id="106"/>
      <w:bookmarkEnd w:id="107"/>
      <w:bookmarkEnd w:id="108"/>
    </w:p>
    <w:p w14:paraId="14DBA3F4">
      <w:pPr>
        <w:pStyle w:val="39"/>
        <w:tabs>
          <w:tab w:val="left" w:pos="1429"/>
        </w:tabs>
        <w:spacing w:line="360" w:lineRule="auto"/>
        <w:rPr>
          <w:rFonts w:eastAsia="宋体"/>
          <w:b/>
        </w:rPr>
      </w:pPr>
      <w:r>
        <w:rPr>
          <w:rFonts w:hint="eastAsia" w:eastAsia="宋体"/>
          <w:b/>
        </w:rPr>
        <w:t>1、</w:t>
      </w:r>
      <w:r>
        <w:rPr>
          <w:rFonts w:eastAsia="宋体"/>
          <w:b/>
        </w:rPr>
        <w:t>供应商应具备《政府采购法》第二十二条规定的条件</w:t>
      </w:r>
      <w:r>
        <w:rPr>
          <w:rFonts w:hint="eastAsia" w:eastAsia="宋体"/>
          <w:b/>
        </w:rPr>
        <w:t>，</w:t>
      </w:r>
      <w:r>
        <w:rPr>
          <w:rFonts w:eastAsia="宋体"/>
          <w:b/>
        </w:rPr>
        <w:t>并提供下列材料：</w:t>
      </w:r>
    </w:p>
    <w:p w14:paraId="268D69AD">
      <w:pPr>
        <w:spacing w:line="360" w:lineRule="auto"/>
        <w:jc w:val="left"/>
        <w:rPr>
          <w:rFonts w:hAnsi="宋体" w:cs="宋体"/>
          <w:sz w:val="24"/>
        </w:rPr>
      </w:pPr>
      <w:r>
        <w:rPr>
          <w:rFonts w:hint="eastAsia" w:hAnsi="宋体" w:cs="宋体"/>
          <w:sz w:val="24"/>
        </w:rPr>
        <w:t>（一）具有独立承担民事责任的能力；（提供合法有效的法人营业执照）；</w:t>
      </w:r>
    </w:p>
    <w:p w14:paraId="19AC4272">
      <w:pPr>
        <w:spacing w:line="360" w:lineRule="auto"/>
        <w:jc w:val="left"/>
        <w:rPr>
          <w:rFonts w:hAnsi="宋体" w:cs="宋体"/>
          <w:sz w:val="24"/>
        </w:rPr>
      </w:pPr>
      <w:r>
        <w:rPr>
          <w:rFonts w:hint="eastAsia" w:hAnsi="宋体" w:cs="宋体"/>
          <w:sz w:val="24"/>
        </w:rPr>
        <w:t>（二）具有良好的商业信誉和健全的财务会计制度（投标人提供本单位2023年度经会计师事务所出具的审计报告复印件或财务报表并加盖投标人公章（或电子章）。成立不足一年的，则需提供近期的财务报表）。说明：审计报告复印件至少应包括资产负债表、利润表、现金流量表及其附注、加盖会计师事务所公章页。</w:t>
      </w:r>
    </w:p>
    <w:p w14:paraId="2A04812D">
      <w:pPr>
        <w:spacing w:line="360" w:lineRule="auto"/>
        <w:jc w:val="left"/>
        <w:rPr>
          <w:rFonts w:hAnsi="宋体" w:cs="宋体"/>
          <w:sz w:val="24"/>
        </w:rPr>
      </w:pPr>
      <w:r>
        <w:rPr>
          <w:rFonts w:hint="eastAsia" w:hAnsi="宋体" w:cs="宋体"/>
          <w:sz w:val="24"/>
        </w:rPr>
        <w:t>（三）具有履行合同所必需的设备和专业技术能力；（根据项目需求提供履行合同所必需的设备和专业技术能力的加盖单位公章的书面承诺函）；</w:t>
      </w:r>
    </w:p>
    <w:p w14:paraId="31B920D5">
      <w:pPr>
        <w:spacing w:line="360" w:lineRule="auto"/>
        <w:jc w:val="left"/>
        <w:rPr>
          <w:rFonts w:hAnsi="宋体" w:cs="宋体"/>
          <w:sz w:val="24"/>
        </w:rPr>
      </w:pPr>
      <w:r>
        <w:rPr>
          <w:rFonts w:hint="eastAsia" w:hAnsi="宋体" w:cs="宋体"/>
          <w:sz w:val="24"/>
        </w:rPr>
        <w:t>（四）有依法缴纳税收和社会保障资金的良好记录；（提供参加本次政府采购活动前近半年内任意一个月的依法缴纳税收和社会保障资金的相关材料）；</w:t>
      </w:r>
    </w:p>
    <w:p w14:paraId="10DA8309">
      <w:pPr>
        <w:spacing w:line="360" w:lineRule="auto"/>
        <w:jc w:val="left"/>
        <w:rPr>
          <w:rFonts w:hAnsi="宋体" w:cs="宋体"/>
          <w:sz w:val="24"/>
        </w:rPr>
      </w:pPr>
      <w:r>
        <w:rPr>
          <w:rFonts w:hint="eastAsia" w:hAnsi="宋体" w:cs="宋体"/>
          <w:sz w:val="24"/>
        </w:rPr>
        <w:t xml:space="preserve">（五）参加政府采购活动前三年内，在经营活动中没有重大违法记录；（提供参加本次政府采购活动前3年内在经营活动中没有重大违法记录的书面承诺函并加盖单位公章）。 </w:t>
      </w:r>
    </w:p>
    <w:p w14:paraId="3D5B1E6F">
      <w:pPr>
        <w:spacing w:line="360" w:lineRule="auto"/>
        <w:jc w:val="left"/>
        <w:rPr>
          <w:rFonts w:hAnsi="宋体" w:cs="宋体"/>
          <w:sz w:val="24"/>
        </w:rPr>
      </w:pPr>
      <w:r>
        <w:rPr>
          <w:rFonts w:hint="eastAsia" w:hAnsi="宋体" w:cs="宋体"/>
          <w:sz w:val="24"/>
        </w:rPr>
        <w:t>（六）法律、行政法规规定的其他条件。根据《财政部关于在政府采购活动中查询及使用信用记录有关问题的通知》（财库﹝2016﹞125号）的要求，凡拟参加本次招标项目的投标人，如在“信用中国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p w14:paraId="3E001076">
      <w:pPr>
        <w:spacing w:line="360" w:lineRule="auto"/>
        <w:jc w:val="left"/>
        <w:rPr>
          <w:rFonts w:hAnsi="宋体" w:cs="宋体"/>
          <w:sz w:val="24"/>
        </w:rPr>
      </w:pPr>
      <w:r>
        <w:rPr>
          <w:rFonts w:hint="eastAsia" w:hAnsi="宋体" w:cs="宋体"/>
          <w:sz w:val="24"/>
        </w:rPr>
        <w:t>（七）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投标人提供相关承诺函并加盖投标人单位公章</w:t>
      </w:r>
    </w:p>
    <w:p w14:paraId="5593439B">
      <w:pPr>
        <w:spacing w:line="360" w:lineRule="auto"/>
        <w:jc w:val="left"/>
        <w:rPr>
          <w:rFonts w:hAnsi="宋体" w:cs="宋体"/>
          <w:sz w:val="24"/>
        </w:rPr>
      </w:pPr>
      <w:r>
        <w:rPr>
          <w:rFonts w:hint="eastAsia" w:hAnsi="宋体" w:cs="宋体"/>
          <w:sz w:val="24"/>
        </w:rPr>
        <w:t>2、供应商需要提供的其他资格证明文件。</w:t>
      </w:r>
    </w:p>
    <w:p w14:paraId="2CE70CF8">
      <w:pPr>
        <w:spacing w:line="360" w:lineRule="auto"/>
        <w:jc w:val="left"/>
        <w:rPr>
          <w:rFonts w:hAnsi="宋体" w:cs="宋体"/>
          <w:sz w:val="24"/>
        </w:rPr>
      </w:pPr>
      <w:r>
        <w:rPr>
          <w:rFonts w:hint="eastAsia" w:hAnsi="宋体" w:cs="宋体"/>
          <w:sz w:val="24"/>
        </w:rPr>
        <w:t>本项目的特定资格要求：</w:t>
      </w:r>
      <w:r>
        <w:rPr>
          <w:rFonts w:hint="eastAsia" w:hAnsi="宋体" w:cs="宋体"/>
          <w:sz w:val="24"/>
        </w:rPr>
        <w:br w:type="textWrapping"/>
      </w:r>
      <w:r>
        <w:rPr>
          <w:rFonts w:hint="eastAsia" w:hAnsi="宋体" w:cs="宋体"/>
          <w:sz w:val="24"/>
        </w:rPr>
        <w:t xml:space="preserve">（1）具有有效的《食品生产许可证》或《食品经营许可证》或《食品流通许可证》。  </w:t>
      </w:r>
    </w:p>
    <w:p w14:paraId="75AA3C41">
      <w:pPr>
        <w:pStyle w:val="77"/>
        <w:outlineLvl w:val="1"/>
        <w:rPr>
          <w:rFonts w:ascii="宋体" w:hAnsi="宋体" w:eastAsia="宋体" w:cs="宋体"/>
        </w:rPr>
      </w:pPr>
      <w:r>
        <w:rPr>
          <w:rFonts w:hint="eastAsia" w:ascii="宋体" w:hAnsi="宋体" w:eastAsia="宋体" w:cs="宋体"/>
        </w:rPr>
        <w:br w:type="page"/>
      </w:r>
      <w:bookmarkStart w:id="109" w:name="_Toc108609125"/>
      <w:bookmarkStart w:id="110" w:name="_Toc106276284"/>
      <w:bookmarkStart w:id="111" w:name="_Toc3747"/>
      <w:r>
        <w:rPr>
          <w:rFonts w:hint="eastAsia" w:ascii="宋体" w:hAnsi="宋体" w:eastAsia="宋体" w:cs="宋体"/>
          <w:sz w:val="30"/>
          <w:szCs w:val="30"/>
        </w:rPr>
        <w:t>（四）不参与围标串标承诺书</w:t>
      </w:r>
      <w:bookmarkEnd w:id="109"/>
      <w:bookmarkEnd w:id="110"/>
      <w:bookmarkEnd w:id="111"/>
    </w:p>
    <w:p w14:paraId="06E1C2A6">
      <w:pPr>
        <w:pStyle w:val="78"/>
        <w:spacing w:line="640" w:lineRule="exact"/>
        <w:ind w:firstLine="426" w:firstLineChars="177"/>
        <w:jc w:val="center"/>
        <w:rPr>
          <w:rFonts w:ascii="宋体" w:hAnsi="宋体" w:cs="宋体"/>
          <w:sz w:val="24"/>
        </w:rPr>
      </w:pPr>
      <w:r>
        <w:rPr>
          <w:rFonts w:hint="eastAsia" w:ascii="宋体" w:hAnsi="宋体" w:cs="宋体"/>
          <w:b/>
          <w:bCs/>
          <w:sz w:val="24"/>
        </w:rPr>
        <w:t>不参与围标串标承诺书</w:t>
      </w:r>
    </w:p>
    <w:p w14:paraId="1F950DBF">
      <w:pPr>
        <w:pStyle w:val="78"/>
        <w:spacing w:line="640" w:lineRule="exact"/>
        <w:jc w:val="left"/>
        <w:rPr>
          <w:rFonts w:ascii="宋体" w:hAnsi="宋体" w:cs="宋体"/>
          <w:sz w:val="24"/>
        </w:rPr>
      </w:pPr>
    </w:p>
    <w:p w14:paraId="05098D62">
      <w:pPr>
        <w:pStyle w:val="78"/>
        <w:spacing w:line="640" w:lineRule="exact"/>
        <w:ind w:firstLine="480" w:firstLineChars="200"/>
        <w:rPr>
          <w:rFonts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157C83F3">
      <w:pPr>
        <w:pStyle w:val="78"/>
        <w:spacing w:line="640" w:lineRule="exact"/>
        <w:ind w:firstLine="480" w:firstLineChars="200"/>
        <w:rPr>
          <w:rFonts w:ascii="宋体" w:hAnsi="宋体" w:cs="宋体"/>
          <w:sz w:val="24"/>
        </w:rPr>
      </w:pPr>
      <w:r>
        <w:rPr>
          <w:rFonts w:hint="eastAsia" w:ascii="宋体" w:hAnsi="宋体" w:cs="宋体"/>
          <w:sz w:val="24"/>
        </w:rPr>
        <w:t>一、我单位遵循公开、公平、公正、诚实守信的原则，依法依规参与本项目竞标。</w:t>
      </w:r>
    </w:p>
    <w:p w14:paraId="1E72EFCD">
      <w:pPr>
        <w:pStyle w:val="78"/>
        <w:spacing w:line="640" w:lineRule="exact"/>
        <w:ind w:firstLine="480" w:firstLineChars="200"/>
        <w:rPr>
          <w:rFonts w:ascii="宋体" w:hAnsi="宋体" w:cs="宋体"/>
          <w:sz w:val="24"/>
        </w:rPr>
      </w:pPr>
      <w:r>
        <w:rPr>
          <w:rFonts w:hint="eastAsia" w:ascii="宋体" w:hAnsi="宋体" w:cs="宋体"/>
          <w:sz w:val="24"/>
        </w:rPr>
        <w:t>二、我单位在本项目招标投标活动中，未参与围标串标。</w:t>
      </w:r>
    </w:p>
    <w:p w14:paraId="65768654">
      <w:pPr>
        <w:pStyle w:val="78"/>
        <w:spacing w:line="640" w:lineRule="exact"/>
        <w:ind w:firstLine="480" w:firstLineChars="200"/>
        <w:rPr>
          <w:rFonts w:ascii="宋体" w:hAnsi="宋体" w:cs="宋体"/>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6236ADDB">
      <w:pPr>
        <w:pStyle w:val="78"/>
        <w:spacing w:line="640" w:lineRule="exact"/>
        <w:ind w:firstLine="480" w:firstLineChars="200"/>
        <w:rPr>
          <w:rFonts w:ascii="宋体" w:hAnsi="宋体" w:cs="宋体"/>
          <w:sz w:val="24"/>
        </w:rPr>
      </w:pPr>
    </w:p>
    <w:p w14:paraId="646AA257">
      <w:pPr>
        <w:pStyle w:val="78"/>
        <w:spacing w:line="640" w:lineRule="exact"/>
        <w:ind w:firstLine="482" w:firstLineChars="200"/>
        <w:rPr>
          <w:rFonts w:ascii="宋体" w:hAnsi="宋体" w:cs="宋体"/>
          <w:b/>
          <w:sz w:val="24"/>
        </w:rPr>
      </w:pPr>
    </w:p>
    <w:p w14:paraId="2EC6F5E9">
      <w:pPr>
        <w:pStyle w:val="78"/>
        <w:spacing w:line="360" w:lineRule="auto"/>
        <w:jc w:val="left"/>
        <w:rPr>
          <w:rFonts w:ascii="宋体" w:hAnsi="宋体" w:cs="宋体"/>
          <w:sz w:val="24"/>
        </w:rPr>
      </w:pPr>
      <w:r>
        <w:rPr>
          <w:rFonts w:hint="eastAsia" w:ascii="宋体" w:hAnsi="宋体" w:cs="宋体"/>
          <w:sz w:val="24"/>
        </w:rPr>
        <w:t xml:space="preserve">项目编号：       </w:t>
      </w:r>
    </w:p>
    <w:p w14:paraId="41A97CD0">
      <w:pPr>
        <w:pStyle w:val="74"/>
        <w:adjustRightInd w:val="0"/>
        <w:snapToGrid w:val="0"/>
        <w:spacing w:line="360" w:lineRule="auto"/>
        <w:rPr>
          <w:rFonts w:hAnsi="宋体" w:cs="宋体"/>
          <w:sz w:val="24"/>
          <w:szCs w:val="24"/>
          <w:u w:val="single"/>
        </w:rPr>
      </w:pPr>
      <w:r>
        <w:rPr>
          <w:rFonts w:hint="eastAsia" w:hAnsi="宋体" w:cs="宋体"/>
          <w:sz w:val="24"/>
          <w:szCs w:val="24"/>
        </w:rPr>
        <w:t>供应商名称 (盖章)：</w:t>
      </w:r>
    </w:p>
    <w:p w14:paraId="524ABB76">
      <w:pPr>
        <w:pStyle w:val="74"/>
        <w:adjustRightInd w:val="0"/>
        <w:snapToGrid w:val="0"/>
        <w:spacing w:line="360" w:lineRule="auto"/>
        <w:rPr>
          <w:rFonts w:hAnsi="宋体" w:cs="宋体"/>
          <w:sz w:val="24"/>
          <w:szCs w:val="24"/>
        </w:rPr>
      </w:pPr>
      <w:r>
        <w:rPr>
          <w:rFonts w:hint="eastAsia" w:hAnsi="宋体" w:cs="宋体"/>
          <w:sz w:val="24"/>
          <w:szCs w:val="24"/>
        </w:rPr>
        <w:t>法定代表人 (签字或盖章)：</w:t>
      </w:r>
    </w:p>
    <w:p w14:paraId="6CBCBA6A">
      <w:pPr>
        <w:pStyle w:val="74"/>
        <w:adjustRightInd w:val="0"/>
        <w:snapToGrid w:val="0"/>
        <w:spacing w:line="360" w:lineRule="auto"/>
        <w:ind w:right="420"/>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518A2426">
      <w:pPr>
        <w:pStyle w:val="78"/>
        <w:spacing w:line="640" w:lineRule="exact"/>
        <w:jc w:val="left"/>
        <w:rPr>
          <w:rFonts w:ascii="宋体" w:hAnsi="宋体" w:cs="宋体"/>
          <w:sz w:val="24"/>
        </w:rPr>
      </w:pPr>
    </w:p>
    <w:p w14:paraId="64BD5C74">
      <w:pPr>
        <w:pStyle w:val="78"/>
        <w:spacing w:line="640" w:lineRule="exact"/>
        <w:jc w:val="left"/>
        <w:rPr>
          <w:rFonts w:ascii="宋体" w:hAnsi="宋体" w:cs="宋体"/>
          <w:sz w:val="24"/>
        </w:rPr>
      </w:pPr>
    </w:p>
    <w:p w14:paraId="5F426956">
      <w:pPr>
        <w:pStyle w:val="78"/>
        <w:spacing w:line="640" w:lineRule="exact"/>
        <w:ind w:firstLine="4080" w:firstLineChars="1700"/>
        <w:jc w:val="left"/>
        <w:rPr>
          <w:rFonts w:ascii="宋体" w:hAnsi="宋体" w:cs="宋体"/>
          <w:sz w:val="24"/>
        </w:rPr>
      </w:pPr>
    </w:p>
    <w:p w14:paraId="0A2DDB61">
      <w:pPr>
        <w:pStyle w:val="79"/>
        <w:outlineLvl w:val="1"/>
        <w:rPr>
          <w:rFonts w:ascii="宋体" w:hAnsi="宋体" w:eastAsia="宋体" w:cs="宋体"/>
        </w:rPr>
      </w:pPr>
      <w:r>
        <w:rPr>
          <w:rFonts w:hint="eastAsia" w:ascii="宋体" w:hAnsi="宋体" w:eastAsia="宋体" w:cs="宋体"/>
        </w:rPr>
        <w:br w:type="page"/>
      </w:r>
      <w:bookmarkStart w:id="112" w:name="_Toc8804"/>
      <w:bookmarkStart w:id="113" w:name="_Toc106276285"/>
      <w:bookmarkStart w:id="114" w:name="_Toc108609126"/>
      <w:r>
        <w:rPr>
          <w:rFonts w:hint="eastAsia" w:ascii="宋体" w:hAnsi="宋体" w:eastAsia="宋体" w:cs="宋体"/>
          <w:sz w:val="30"/>
          <w:szCs w:val="30"/>
        </w:rPr>
        <w:t>（五）</w:t>
      </w:r>
      <w:r>
        <w:rPr>
          <w:rFonts w:hint="eastAsia" w:ascii="宋体" w:hAnsi="宋体" w:eastAsia="宋体" w:cs="宋体"/>
          <w:sz w:val="30"/>
          <w:szCs w:val="30"/>
          <w:lang w:val="en-US" w:eastAsia="zh-CN"/>
        </w:rPr>
        <w:t>投标</w:t>
      </w:r>
      <w:r>
        <w:rPr>
          <w:rFonts w:hint="eastAsia" w:ascii="宋体" w:hAnsi="宋体" w:eastAsia="宋体" w:cs="宋体"/>
          <w:sz w:val="30"/>
          <w:szCs w:val="30"/>
        </w:rPr>
        <w:t>保证金</w:t>
      </w:r>
      <w:bookmarkEnd w:id="112"/>
      <w:bookmarkEnd w:id="113"/>
      <w:bookmarkEnd w:id="114"/>
    </w:p>
    <w:p w14:paraId="2E018A65">
      <w:pPr>
        <w:pStyle w:val="80"/>
        <w:spacing w:line="360" w:lineRule="auto"/>
        <w:rPr>
          <w:rFonts w:ascii="宋体" w:hAnsi="宋体" w:cs="宋体"/>
          <w:sz w:val="24"/>
          <w:szCs w:val="24"/>
        </w:rPr>
      </w:pPr>
      <w:r>
        <w:rPr>
          <w:rFonts w:hint="eastAsia" w:ascii="宋体" w:hAnsi="宋体" w:cs="宋体"/>
          <w:sz w:val="24"/>
          <w:szCs w:val="24"/>
        </w:rPr>
        <w:t>说明：1、此处上传</w:t>
      </w:r>
      <w:r>
        <w:rPr>
          <w:rFonts w:hint="eastAsia" w:ascii="宋体" w:hAnsi="宋体" w:cs="宋体"/>
          <w:sz w:val="24"/>
          <w:szCs w:val="24"/>
          <w:lang w:val="en-US" w:eastAsia="zh-CN"/>
        </w:rPr>
        <w:t>投标</w:t>
      </w:r>
      <w:r>
        <w:rPr>
          <w:rFonts w:hint="eastAsia" w:ascii="宋体" w:hAnsi="宋体" w:cs="宋体"/>
          <w:sz w:val="24"/>
          <w:szCs w:val="24"/>
        </w:rPr>
        <w:t>保证金缴纳证明文件。</w:t>
      </w:r>
    </w:p>
    <w:p w14:paraId="037EEBA5">
      <w:pPr>
        <w:pStyle w:val="80"/>
        <w:spacing w:line="360" w:lineRule="auto"/>
        <w:ind w:firstLine="720" w:firstLineChars="300"/>
        <w:rPr>
          <w:rFonts w:ascii="宋体" w:hAnsi="宋体" w:cs="宋体"/>
          <w:sz w:val="24"/>
          <w:szCs w:val="24"/>
        </w:rPr>
      </w:pPr>
      <w:r>
        <w:rPr>
          <w:rFonts w:hint="eastAsia" w:ascii="宋体" w:hAnsi="宋体" w:cs="宋体"/>
          <w:sz w:val="24"/>
          <w:szCs w:val="24"/>
        </w:rPr>
        <w:t>2、上传企业账户信息（开票信息），用于退</w:t>
      </w:r>
      <w:r>
        <w:rPr>
          <w:rFonts w:hint="eastAsia" w:ascii="宋体" w:hAnsi="宋体" w:cs="宋体"/>
          <w:sz w:val="24"/>
          <w:szCs w:val="24"/>
          <w:lang w:val="en-US" w:eastAsia="zh-CN"/>
        </w:rPr>
        <w:t>投标</w:t>
      </w:r>
      <w:r>
        <w:rPr>
          <w:rFonts w:hint="eastAsia" w:ascii="宋体" w:hAnsi="宋体" w:cs="宋体"/>
          <w:sz w:val="24"/>
          <w:szCs w:val="24"/>
        </w:rPr>
        <w:t>保证金（必须含有企业开户行号） 。</w:t>
      </w:r>
    </w:p>
    <w:p w14:paraId="1DFD4DFC">
      <w:pPr>
        <w:pStyle w:val="80"/>
        <w:spacing w:line="360" w:lineRule="auto"/>
        <w:ind w:firstLine="720" w:firstLineChars="300"/>
        <w:rPr>
          <w:rFonts w:ascii="宋体" w:hAnsi="宋体" w:cs="宋体"/>
          <w:sz w:val="24"/>
          <w:szCs w:val="24"/>
        </w:rPr>
      </w:pPr>
    </w:p>
    <w:p w14:paraId="12EDF1BF">
      <w:pPr>
        <w:pStyle w:val="81"/>
        <w:outlineLvl w:val="1"/>
        <w:rPr>
          <w:rFonts w:ascii="宋体" w:hAnsi="宋体" w:eastAsia="宋体" w:cs="宋体"/>
        </w:rPr>
      </w:pPr>
      <w:r>
        <w:rPr>
          <w:rFonts w:hint="eastAsia" w:ascii="宋体" w:hAnsi="宋体" w:eastAsia="宋体" w:cs="宋体"/>
        </w:rPr>
        <w:br w:type="page"/>
      </w:r>
      <w:bookmarkStart w:id="115" w:name="_Toc106276286"/>
      <w:bookmarkStart w:id="116" w:name="_Toc22550"/>
      <w:bookmarkStart w:id="117" w:name="_Toc108609127"/>
      <w:r>
        <w:rPr>
          <w:rFonts w:hint="eastAsia" w:ascii="宋体" w:hAnsi="宋体" w:eastAsia="宋体" w:cs="宋体"/>
          <w:sz w:val="30"/>
          <w:szCs w:val="30"/>
        </w:rPr>
        <w:t>（六）中、小微企业声明函</w:t>
      </w:r>
      <w:bookmarkEnd w:id="115"/>
      <w:bookmarkEnd w:id="116"/>
      <w:bookmarkEnd w:id="117"/>
    </w:p>
    <w:p w14:paraId="34B25465">
      <w:pPr>
        <w:pStyle w:val="22"/>
        <w:widowControl/>
        <w:spacing w:beforeAutospacing="0" w:afterAutospacing="0" w:line="500" w:lineRule="exact"/>
        <w:ind w:firstLine="420"/>
        <w:jc w:val="center"/>
        <w:rPr>
          <w:rFonts w:ascii="仿宋" w:hAnsi="仿宋" w:eastAsia="仿宋" w:cs="仿宋"/>
          <w:color w:val="000000"/>
          <w:sz w:val="32"/>
          <w:szCs w:val="32"/>
        </w:rPr>
      </w:pPr>
      <w:r>
        <w:rPr>
          <w:rStyle w:val="34"/>
          <w:rFonts w:hint="eastAsia" w:ascii="仿宋" w:hAnsi="仿宋" w:eastAsia="仿宋" w:cs="仿宋"/>
          <w:color w:val="000000"/>
          <w:sz w:val="32"/>
          <w:szCs w:val="32"/>
        </w:rPr>
        <w:t>中小企业声明函（货物）</w:t>
      </w:r>
    </w:p>
    <w:p w14:paraId="0E93A514">
      <w:pPr>
        <w:pStyle w:val="22"/>
        <w:widowControl/>
        <w:spacing w:beforeAutospacing="0" w:afterAutospacing="0" w:line="500" w:lineRule="exact"/>
        <w:ind w:firstLine="420"/>
        <w:rPr>
          <w:rFonts w:ascii="仿宋" w:hAnsi="仿宋" w:eastAsia="仿宋" w:cs="仿宋"/>
          <w:color w:val="000000"/>
          <w:sz w:val="27"/>
          <w:szCs w:val="27"/>
        </w:rPr>
      </w:pPr>
      <w:r>
        <w:rPr>
          <w:rFonts w:hint="eastAsia" w:ascii="仿宋" w:hAnsi="仿宋" w:eastAsia="仿宋" w:cs="仿宋"/>
          <w:color w:val="000000"/>
          <w:sz w:val="27"/>
          <w:szCs w:val="27"/>
        </w:rPr>
        <w:t> </w:t>
      </w:r>
    </w:p>
    <w:p w14:paraId="4ADDF0C8">
      <w:pPr>
        <w:pStyle w:val="22"/>
        <w:widowControl/>
        <w:spacing w:beforeAutospacing="0" w:afterAutospacing="0" w:line="500" w:lineRule="exact"/>
        <w:ind w:firstLine="720" w:firstLineChars="300"/>
        <w:rPr>
          <w:rFonts w:hint="eastAsia" w:ascii="宋体" w:hAnsi="宋体" w:eastAsia="宋体" w:cs="宋体"/>
          <w:i w:val="0"/>
          <w:iCs w:val="0"/>
          <w:color w:val="000000"/>
          <w:sz w:val="24"/>
          <w:szCs w:val="24"/>
        </w:rPr>
      </w:pPr>
      <w:r>
        <w:rPr>
          <w:rFonts w:hint="eastAsia" w:ascii="宋体" w:hAnsi="宋体" w:eastAsia="宋体" w:cs="宋体"/>
          <w:color w:val="000000"/>
          <w:sz w:val="24"/>
          <w:szCs w:val="24"/>
        </w:rPr>
        <w:t>本公司（联合体）郑重声明，根据《政府采购促进中小企业发展管理办法》（财库〔2020〕[2020]46号）的规定，本公司（联合体）参</w:t>
      </w:r>
      <w:r>
        <w:rPr>
          <w:rFonts w:hint="eastAsia" w:ascii="宋体" w:hAnsi="宋体" w:eastAsia="宋体" w:cs="宋体"/>
          <w:i w:val="0"/>
          <w:iCs w:val="0"/>
          <w:color w:val="000000"/>
          <w:sz w:val="24"/>
          <w:szCs w:val="24"/>
        </w:rPr>
        <w:t>加</w:t>
      </w:r>
      <w:r>
        <w:rPr>
          <w:rFonts w:hint="eastAsia" w:ascii="宋体" w:hAnsi="宋体" w:eastAsia="宋体" w:cs="宋体"/>
          <w:i w:val="0"/>
          <w:iCs w:val="0"/>
          <w:color w:val="000000"/>
          <w:sz w:val="24"/>
          <w:szCs w:val="24"/>
          <w:u w:val="single"/>
        </w:rPr>
        <w:t>（单位名称）</w:t>
      </w:r>
      <w:r>
        <w:rPr>
          <w:rFonts w:hint="eastAsia" w:ascii="宋体" w:hAnsi="宋体" w:eastAsia="宋体" w:cs="宋体"/>
          <w:i w:val="0"/>
          <w:iCs w:val="0"/>
          <w:color w:val="000000"/>
          <w:sz w:val="24"/>
          <w:szCs w:val="24"/>
        </w:rPr>
        <w:t>的</w:t>
      </w:r>
      <w:r>
        <w:rPr>
          <w:rFonts w:hint="eastAsia" w:ascii="宋体" w:hAnsi="宋体" w:eastAsia="宋体" w:cs="宋体"/>
          <w:i w:val="0"/>
          <w:iCs w:val="0"/>
          <w:color w:val="000000"/>
          <w:sz w:val="24"/>
          <w:szCs w:val="24"/>
          <w:u w:val="single"/>
        </w:rPr>
        <w:t>（项目名称）</w:t>
      </w:r>
      <w:r>
        <w:rPr>
          <w:rFonts w:hint="eastAsia" w:ascii="宋体" w:hAnsi="宋体" w:eastAsia="宋体" w:cs="宋体"/>
          <w:i w:val="0"/>
          <w:iCs w:val="0"/>
          <w:color w:val="000000"/>
          <w:sz w:val="24"/>
          <w:szCs w:val="24"/>
        </w:rPr>
        <w:t>采购活动，提供的货物全部由符合政策要求的中小企业制造。相关企业（含联合体中的中小企业、签订分包意向协议的中小企业）的具体情况如下：</w:t>
      </w:r>
    </w:p>
    <w:p w14:paraId="1C4E4107">
      <w:pPr>
        <w:pStyle w:val="22"/>
        <w:widowControl/>
        <w:spacing w:beforeAutospacing="0" w:afterAutospacing="0" w:line="500" w:lineRule="exact"/>
        <w:ind w:firstLine="42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1.</w:t>
      </w:r>
      <w:r>
        <w:rPr>
          <w:rFonts w:hint="eastAsia" w:ascii="宋体" w:hAnsi="宋体" w:eastAsia="宋体" w:cs="宋体"/>
          <w:i w:val="0"/>
          <w:iCs w:val="0"/>
          <w:color w:val="000000"/>
          <w:sz w:val="24"/>
          <w:szCs w:val="24"/>
          <w:u w:val="single"/>
        </w:rPr>
        <w:t>（标的名称）</w:t>
      </w:r>
      <w:r>
        <w:rPr>
          <w:rFonts w:hint="eastAsia" w:ascii="宋体" w:hAnsi="宋体" w:eastAsia="宋体" w:cs="宋体"/>
          <w:i w:val="0"/>
          <w:iCs w:val="0"/>
          <w:color w:val="000000"/>
          <w:sz w:val="24"/>
          <w:szCs w:val="24"/>
        </w:rPr>
        <w:t>，属于</w:t>
      </w:r>
      <w:r>
        <w:rPr>
          <w:rFonts w:hint="eastAsia" w:ascii="宋体" w:hAnsi="宋体" w:eastAsia="宋体" w:cs="宋体"/>
          <w:i w:val="0"/>
          <w:iCs w:val="0"/>
          <w:color w:val="000000"/>
          <w:sz w:val="24"/>
          <w:szCs w:val="24"/>
          <w:u w:val="single"/>
        </w:rPr>
        <w:t>（采购文件中明确的所属行业）</w:t>
      </w:r>
      <w:r>
        <w:rPr>
          <w:rFonts w:hint="eastAsia" w:ascii="宋体" w:hAnsi="宋体" w:eastAsia="宋体" w:cs="宋体"/>
          <w:i w:val="0"/>
          <w:iCs w:val="0"/>
          <w:color w:val="000000"/>
          <w:sz w:val="24"/>
          <w:szCs w:val="24"/>
        </w:rPr>
        <w:t>；制造商为</w:t>
      </w:r>
      <w:r>
        <w:rPr>
          <w:rFonts w:hint="eastAsia" w:ascii="宋体" w:hAnsi="宋体" w:eastAsia="宋体" w:cs="宋体"/>
          <w:i w:val="0"/>
          <w:iCs w:val="0"/>
          <w:color w:val="000000"/>
          <w:sz w:val="24"/>
          <w:szCs w:val="24"/>
          <w:u w:val="single"/>
        </w:rPr>
        <w:t>（企业名称）</w:t>
      </w:r>
      <w:r>
        <w:rPr>
          <w:rFonts w:hint="eastAsia" w:ascii="宋体" w:hAnsi="宋体" w:eastAsia="宋体" w:cs="宋体"/>
          <w:i w:val="0"/>
          <w:iCs w:val="0"/>
          <w:color w:val="000000"/>
          <w:sz w:val="24"/>
          <w:szCs w:val="24"/>
        </w:rPr>
        <w:t>，从业人员</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人，营业收入为</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 万元，资产总额为</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 万元，属于</w:t>
      </w:r>
      <w:r>
        <w:rPr>
          <w:rFonts w:hint="eastAsia" w:ascii="宋体" w:hAnsi="宋体" w:eastAsia="宋体" w:cs="宋体"/>
          <w:i w:val="0"/>
          <w:iCs w:val="0"/>
          <w:color w:val="000000"/>
          <w:sz w:val="24"/>
          <w:szCs w:val="24"/>
          <w:u w:val="single"/>
        </w:rPr>
        <w:t>（中型企业、小型企业、微型企业）</w:t>
      </w:r>
      <w:r>
        <w:rPr>
          <w:rFonts w:hint="eastAsia" w:ascii="宋体" w:hAnsi="宋体" w:eastAsia="宋体" w:cs="宋体"/>
          <w:i w:val="0"/>
          <w:iCs w:val="0"/>
          <w:color w:val="000000"/>
          <w:sz w:val="24"/>
          <w:szCs w:val="24"/>
        </w:rPr>
        <w:t>；</w:t>
      </w:r>
    </w:p>
    <w:p w14:paraId="2CCC6C13">
      <w:pPr>
        <w:pStyle w:val="22"/>
        <w:widowControl/>
        <w:spacing w:beforeAutospacing="0" w:afterAutospacing="0" w:line="500" w:lineRule="exact"/>
        <w:ind w:firstLine="420"/>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2.</w:t>
      </w:r>
      <w:r>
        <w:rPr>
          <w:rFonts w:hint="eastAsia" w:ascii="宋体" w:hAnsi="宋体" w:eastAsia="宋体" w:cs="宋体"/>
          <w:i w:val="0"/>
          <w:iCs w:val="0"/>
          <w:color w:val="000000"/>
          <w:sz w:val="24"/>
          <w:szCs w:val="24"/>
          <w:u w:val="single"/>
        </w:rPr>
        <w:t>（标的名称）</w:t>
      </w:r>
      <w:r>
        <w:rPr>
          <w:rFonts w:hint="eastAsia" w:ascii="宋体" w:hAnsi="宋体" w:eastAsia="宋体" w:cs="宋体"/>
          <w:i w:val="0"/>
          <w:iCs w:val="0"/>
          <w:color w:val="000000"/>
          <w:sz w:val="24"/>
          <w:szCs w:val="24"/>
        </w:rPr>
        <w:t>，属于</w:t>
      </w:r>
      <w:r>
        <w:rPr>
          <w:rFonts w:hint="eastAsia" w:ascii="宋体" w:hAnsi="宋体" w:eastAsia="宋体" w:cs="宋体"/>
          <w:i w:val="0"/>
          <w:iCs w:val="0"/>
          <w:color w:val="000000"/>
          <w:sz w:val="24"/>
          <w:szCs w:val="24"/>
          <w:u w:val="single"/>
        </w:rPr>
        <w:t>（采购文件中明确的所属行业）</w:t>
      </w:r>
      <w:r>
        <w:rPr>
          <w:rFonts w:hint="eastAsia" w:ascii="宋体" w:hAnsi="宋体" w:eastAsia="宋体" w:cs="宋体"/>
          <w:i w:val="0"/>
          <w:iCs w:val="0"/>
          <w:color w:val="000000"/>
          <w:sz w:val="24"/>
          <w:szCs w:val="24"/>
        </w:rPr>
        <w:t>；制造商为</w:t>
      </w:r>
      <w:r>
        <w:rPr>
          <w:rFonts w:hint="eastAsia" w:ascii="宋体" w:hAnsi="宋体" w:eastAsia="宋体" w:cs="宋体"/>
          <w:i w:val="0"/>
          <w:iCs w:val="0"/>
          <w:color w:val="000000"/>
          <w:sz w:val="24"/>
          <w:szCs w:val="24"/>
          <w:u w:val="single"/>
        </w:rPr>
        <w:t>（企业名称）</w:t>
      </w:r>
      <w:r>
        <w:rPr>
          <w:rFonts w:hint="eastAsia" w:ascii="宋体" w:hAnsi="宋体" w:eastAsia="宋体" w:cs="宋体"/>
          <w:i w:val="0"/>
          <w:iCs w:val="0"/>
          <w:color w:val="000000"/>
          <w:sz w:val="24"/>
          <w:szCs w:val="24"/>
        </w:rPr>
        <w:t>，从业人员</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人，营业收入为</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 万元，资产总额为</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rPr>
        <w:t> 万元，属于</w:t>
      </w:r>
      <w:r>
        <w:rPr>
          <w:rFonts w:hint="eastAsia" w:ascii="宋体" w:hAnsi="宋体" w:eastAsia="宋体" w:cs="宋体"/>
          <w:i w:val="0"/>
          <w:iCs w:val="0"/>
          <w:color w:val="000000"/>
          <w:sz w:val="24"/>
          <w:szCs w:val="24"/>
          <w:u w:val="single"/>
        </w:rPr>
        <w:t>（中型企业、小型企业、微型企业）</w:t>
      </w:r>
      <w:r>
        <w:rPr>
          <w:rFonts w:hint="eastAsia" w:ascii="宋体" w:hAnsi="宋体" w:eastAsia="宋体" w:cs="宋体"/>
          <w:i w:val="0"/>
          <w:iCs w:val="0"/>
          <w:color w:val="000000"/>
          <w:sz w:val="24"/>
          <w:szCs w:val="24"/>
        </w:rPr>
        <w:t>；</w:t>
      </w:r>
    </w:p>
    <w:p w14:paraId="6E801298">
      <w:pPr>
        <w:pStyle w:val="22"/>
        <w:widowControl/>
        <w:spacing w:beforeAutospacing="0" w:afterAutospacing="0" w:line="50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30FFE709">
      <w:pPr>
        <w:pStyle w:val="22"/>
        <w:widowControl/>
        <w:spacing w:beforeAutospacing="0" w:afterAutospacing="0" w:line="50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以上企业，不属于大企业的分支机构，不存在控股股东为大企业的情形，也不存在与大企业的负责人为同一人的情形。</w:t>
      </w:r>
    </w:p>
    <w:p w14:paraId="4E8EE3AC">
      <w:pPr>
        <w:pStyle w:val="22"/>
        <w:widowControl/>
        <w:spacing w:beforeAutospacing="0" w:afterAutospacing="0" w:line="50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本企业对上述声明内容的真实性负责。如有虚假，将依法承担相应责任。</w:t>
      </w:r>
    </w:p>
    <w:p w14:paraId="73D95E75">
      <w:pPr>
        <w:pStyle w:val="22"/>
        <w:widowControl/>
        <w:spacing w:beforeAutospacing="0" w:afterAutospacing="0" w:line="50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6EE0D39C">
      <w:pPr>
        <w:pStyle w:val="22"/>
        <w:widowControl/>
        <w:spacing w:beforeAutospacing="0" w:afterAutospacing="0" w:line="500" w:lineRule="exact"/>
        <w:ind w:firstLine="420"/>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企业名称（盖章）：</w:t>
      </w:r>
      <w:r>
        <w:rPr>
          <w:rFonts w:hint="eastAsia" w:ascii="宋体" w:hAnsi="宋体" w:eastAsia="宋体" w:cs="宋体"/>
          <w:color w:val="000000"/>
          <w:sz w:val="24"/>
          <w:szCs w:val="24"/>
          <w:u w:val="single"/>
        </w:rPr>
        <w:t xml:space="preserve">          </w:t>
      </w:r>
    </w:p>
    <w:p w14:paraId="0DB3B4C0">
      <w:pPr>
        <w:pStyle w:val="22"/>
        <w:widowControl/>
        <w:spacing w:beforeAutospacing="0" w:afterAutospacing="0" w:line="500" w:lineRule="exact"/>
        <w:ind w:firstLine="5520" w:firstLineChars="23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p>
    <w:p w14:paraId="7F0732E3">
      <w:pPr>
        <w:rPr>
          <w:rFonts w:ascii="仿宋" w:hAnsi="仿宋" w:eastAsia="仿宋" w:cs="仿宋"/>
          <w:color w:val="000000"/>
          <w:kern w:val="0"/>
          <w:szCs w:val="21"/>
          <w:lang w:bidi="ar"/>
        </w:rPr>
      </w:pPr>
    </w:p>
    <w:p w14:paraId="16B11D6D">
      <w:pPr>
        <w:widowControl/>
        <w:jc w:val="left"/>
        <w:rPr>
          <w:rFonts w:cs="宋体" w:asciiTheme="minorEastAsia" w:hAnsiTheme="minorEastAsia" w:eastAsiaTheme="minorEastAsia"/>
          <w:spacing w:val="-2"/>
          <w:sz w:val="24"/>
        </w:rPr>
      </w:pPr>
    </w:p>
    <w:p w14:paraId="36011168">
      <w:pPr>
        <w:pStyle w:val="81"/>
        <w:ind w:firstLine="480" w:firstLineChars="200"/>
        <w:outlineLvl w:val="0"/>
        <w:rPr>
          <w:rFonts w:ascii="宋体" w:hAnsi="宋体" w:eastAsia="宋体" w:cs="宋体"/>
          <w:bCs/>
          <w:sz w:val="24"/>
        </w:rPr>
      </w:pPr>
      <w:bookmarkStart w:id="118" w:name="_Toc106276287"/>
      <w:bookmarkStart w:id="119" w:name="_Toc108609128"/>
      <w:bookmarkStart w:id="120" w:name="_Toc25422"/>
      <w:r>
        <w:rPr>
          <w:rFonts w:hint="eastAsia" w:cs="宋体" w:asciiTheme="minorEastAsia" w:hAnsiTheme="minorEastAsia" w:eastAsiaTheme="minorEastAsia"/>
          <w:b w:val="0"/>
          <w:bCs/>
          <w:sz w:val="24"/>
        </w:rPr>
        <w:t>从业人员、营业收入、资产总额填报上一年度数据，无上一年度数据的新成立企业可不填报</w:t>
      </w:r>
      <w:r>
        <w:rPr>
          <w:rFonts w:hint="eastAsia" w:cs="宋体" w:asciiTheme="minorEastAsia" w:hAnsiTheme="minorEastAsia" w:eastAsiaTheme="minorEastAsia"/>
          <w:bCs/>
          <w:sz w:val="24"/>
        </w:rPr>
        <w:t>。</w:t>
      </w:r>
      <w:bookmarkEnd w:id="118"/>
      <w:bookmarkEnd w:id="119"/>
    </w:p>
    <w:p w14:paraId="47F0EAFE">
      <w:pPr>
        <w:pStyle w:val="81"/>
        <w:outlineLvl w:val="0"/>
        <w:rPr>
          <w:rFonts w:ascii="宋体" w:hAnsi="宋体" w:eastAsia="宋体" w:cs="宋体"/>
          <w:bCs/>
          <w:sz w:val="24"/>
        </w:rPr>
      </w:pPr>
      <w:bookmarkStart w:id="121" w:name="_Toc106276288"/>
      <w:bookmarkStart w:id="122" w:name="_Toc108609129"/>
      <w:r>
        <w:rPr>
          <w:rFonts w:hint="eastAsia" w:ascii="宋体" w:hAnsi="宋体" w:eastAsia="宋体" w:cs="宋体"/>
          <w:bCs/>
          <w:sz w:val="24"/>
        </w:rPr>
        <w:t>注：</w:t>
      </w:r>
      <w:bookmarkEnd w:id="121"/>
      <w:bookmarkEnd w:id="122"/>
    </w:p>
    <w:p w14:paraId="28731673">
      <w:pPr>
        <w:pStyle w:val="81"/>
        <w:ind w:firstLine="241" w:firstLineChars="100"/>
        <w:outlineLvl w:val="0"/>
        <w:rPr>
          <w:rFonts w:ascii="宋体" w:hAnsi="宋体" w:eastAsia="宋体" w:cs="宋体"/>
          <w:bCs/>
          <w:sz w:val="24"/>
        </w:rPr>
      </w:pPr>
      <w:bookmarkStart w:id="123" w:name="_Toc108609130"/>
      <w:bookmarkStart w:id="124" w:name="_Toc106276289"/>
      <w:r>
        <w:rPr>
          <w:rFonts w:hint="eastAsia" w:ascii="宋体" w:hAnsi="宋体" w:eastAsia="宋体" w:cs="宋体"/>
          <w:bCs/>
          <w:sz w:val="24"/>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123"/>
      <w:bookmarkEnd w:id="124"/>
    </w:p>
    <w:p w14:paraId="3CF244AA">
      <w:pPr>
        <w:pStyle w:val="81"/>
        <w:ind w:firstLine="241" w:firstLineChars="100"/>
        <w:outlineLvl w:val="0"/>
        <w:rPr>
          <w:rFonts w:ascii="宋体" w:hAnsi="宋体" w:eastAsia="宋体" w:cs="宋体"/>
          <w:bCs/>
          <w:sz w:val="24"/>
        </w:rPr>
      </w:pPr>
      <w:bookmarkStart w:id="125" w:name="_Toc106276290"/>
      <w:bookmarkStart w:id="126" w:name="_Toc108609131"/>
      <w:r>
        <w:rPr>
          <w:rFonts w:hint="eastAsia" w:ascii="宋体" w:hAnsi="宋体" w:eastAsia="宋体" w:cs="宋体"/>
          <w:bCs/>
          <w:sz w:val="24"/>
        </w:rPr>
        <w:t>2、如存在虚假声明或未按实际内容填写，供应商需承担由此产生的一切后果及相应的法律责任。</w:t>
      </w:r>
      <w:bookmarkEnd w:id="125"/>
      <w:bookmarkEnd w:id="126"/>
    </w:p>
    <w:p w14:paraId="4025249C">
      <w:pPr>
        <w:pStyle w:val="81"/>
        <w:ind w:firstLine="241" w:firstLineChars="100"/>
        <w:outlineLvl w:val="0"/>
        <w:rPr>
          <w:rFonts w:ascii="宋体" w:hAnsi="宋体" w:eastAsia="宋体" w:cs="宋体"/>
          <w:bCs/>
          <w:sz w:val="24"/>
        </w:rPr>
      </w:pPr>
      <w:bookmarkStart w:id="127" w:name="_Toc106276291"/>
      <w:bookmarkStart w:id="128" w:name="_Toc108609132"/>
      <w:r>
        <w:rPr>
          <w:rFonts w:hint="eastAsia" w:ascii="宋体" w:hAnsi="宋体" w:eastAsia="宋体" w:cs="宋体"/>
          <w:bCs/>
          <w:sz w:val="24"/>
        </w:rPr>
        <w:t>3、后附中小企业划型标准的部分内容。详细内容请在中国政府采购网上查询获取。</w:t>
      </w:r>
      <w:bookmarkEnd w:id="127"/>
      <w:bookmarkEnd w:id="128"/>
    </w:p>
    <w:p w14:paraId="5B34D265">
      <w:pPr>
        <w:spacing w:line="560" w:lineRule="exact"/>
        <w:rPr>
          <w:b/>
          <w:bCs/>
          <w:sz w:val="24"/>
        </w:rPr>
      </w:pPr>
      <w:r>
        <w:rPr>
          <w:sz w:val="24"/>
        </w:rPr>
        <w:br w:type="page"/>
      </w:r>
      <w:r>
        <w:rPr>
          <w:b/>
          <w:bCs/>
          <w:sz w:val="24"/>
        </w:rPr>
        <w:t>附</w:t>
      </w:r>
      <w:r>
        <w:rPr>
          <w:rFonts w:hint="eastAsia"/>
          <w:b/>
          <w:bCs/>
          <w:sz w:val="24"/>
        </w:rPr>
        <w:t>表</w:t>
      </w:r>
      <w:r>
        <w:rPr>
          <w:b/>
          <w:bCs/>
          <w:sz w:val="24"/>
        </w:rPr>
        <w:t>：</w:t>
      </w:r>
      <w:r>
        <w:rPr>
          <w:rFonts w:hint="eastAsia"/>
          <w:b/>
          <w:bCs/>
          <w:sz w:val="24"/>
        </w:rPr>
        <w:t>大中小微型企业划分标准</w:t>
      </w:r>
    </w:p>
    <w:tbl>
      <w:tblPr>
        <w:tblStyle w:val="31"/>
        <w:tblW w:w="0" w:type="auto"/>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60F2B712">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7DFDF0A5">
            <w:pPr>
              <w:widowControl/>
              <w:spacing w:line="240" w:lineRule="exact"/>
              <w:jc w:val="center"/>
              <w:rPr>
                <w:b/>
                <w:bCs/>
                <w:kern w:val="0"/>
                <w:sz w:val="20"/>
              </w:rPr>
            </w:pPr>
            <w:r>
              <w:rPr>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14:paraId="19EFA8E2">
            <w:pPr>
              <w:widowControl/>
              <w:jc w:val="center"/>
              <w:rPr>
                <w:b/>
                <w:bCs/>
                <w:kern w:val="0"/>
                <w:sz w:val="20"/>
                <w:szCs w:val="20"/>
              </w:rPr>
            </w:pPr>
            <w:r>
              <w:rPr>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14:paraId="2AC84A21">
            <w:pPr>
              <w:widowControl/>
              <w:jc w:val="center"/>
              <w:rPr>
                <w:b/>
                <w:bCs/>
                <w:kern w:val="0"/>
                <w:sz w:val="20"/>
                <w:szCs w:val="20"/>
              </w:rPr>
            </w:pPr>
            <w:r>
              <w:rPr>
                <w:b/>
                <w:bCs/>
                <w:kern w:val="0"/>
                <w:sz w:val="20"/>
                <w:szCs w:val="20"/>
              </w:rPr>
              <w:t>计量</w:t>
            </w:r>
          </w:p>
          <w:p w14:paraId="4682DE33">
            <w:pPr>
              <w:widowControl/>
              <w:jc w:val="center"/>
              <w:rPr>
                <w:b/>
                <w:bCs/>
                <w:kern w:val="0"/>
                <w:sz w:val="20"/>
                <w:szCs w:val="20"/>
              </w:rPr>
            </w:pPr>
            <w:r>
              <w:rPr>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14:paraId="377B1162">
            <w:pPr>
              <w:widowControl/>
              <w:jc w:val="center"/>
              <w:rPr>
                <w:b/>
                <w:bCs/>
                <w:kern w:val="0"/>
                <w:sz w:val="20"/>
                <w:szCs w:val="20"/>
              </w:rPr>
            </w:pPr>
            <w:r>
              <w:rPr>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14:paraId="1EFA37DD">
            <w:pPr>
              <w:widowControl/>
              <w:jc w:val="center"/>
              <w:rPr>
                <w:b/>
                <w:bCs/>
                <w:kern w:val="0"/>
                <w:sz w:val="20"/>
                <w:szCs w:val="20"/>
              </w:rPr>
            </w:pPr>
            <w:r>
              <w:rPr>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14:paraId="163F056F">
            <w:pPr>
              <w:widowControl/>
              <w:jc w:val="center"/>
              <w:rPr>
                <w:b/>
                <w:bCs/>
                <w:kern w:val="0"/>
                <w:sz w:val="20"/>
                <w:szCs w:val="20"/>
              </w:rPr>
            </w:pPr>
            <w:r>
              <w:rPr>
                <w:b/>
                <w:bCs/>
                <w:kern w:val="0"/>
                <w:sz w:val="20"/>
                <w:szCs w:val="20"/>
              </w:rPr>
              <w:t>小型</w:t>
            </w:r>
          </w:p>
        </w:tc>
        <w:tc>
          <w:tcPr>
            <w:tcW w:w="1122" w:type="dxa"/>
            <w:tcBorders>
              <w:top w:val="single" w:color="auto" w:sz="4" w:space="0"/>
              <w:left w:val="nil"/>
              <w:bottom w:val="single" w:color="auto" w:sz="4" w:space="0"/>
              <w:right w:val="nil"/>
            </w:tcBorders>
            <w:noWrap/>
            <w:vAlign w:val="center"/>
          </w:tcPr>
          <w:p w14:paraId="0B133377">
            <w:pPr>
              <w:widowControl/>
              <w:jc w:val="center"/>
              <w:rPr>
                <w:b/>
                <w:bCs/>
                <w:kern w:val="0"/>
                <w:sz w:val="20"/>
                <w:szCs w:val="20"/>
              </w:rPr>
            </w:pPr>
            <w:r>
              <w:rPr>
                <w:b/>
                <w:bCs/>
                <w:kern w:val="0"/>
                <w:sz w:val="20"/>
                <w:szCs w:val="20"/>
              </w:rPr>
              <w:t>微型</w:t>
            </w:r>
          </w:p>
        </w:tc>
      </w:tr>
      <w:tr w14:paraId="4E35D7B0">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361FAB47">
            <w:pPr>
              <w:widowControl/>
              <w:spacing w:line="240" w:lineRule="exact"/>
              <w:jc w:val="left"/>
              <w:rPr>
                <w:kern w:val="0"/>
                <w:sz w:val="20"/>
                <w:szCs w:val="20"/>
              </w:rPr>
            </w:pPr>
            <w:r>
              <w:rPr>
                <w:kern w:val="0"/>
                <w:sz w:val="20"/>
                <w:szCs w:val="20"/>
              </w:rPr>
              <w:t>农、林、牧、渔业</w:t>
            </w:r>
          </w:p>
        </w:tc>
        <w:tc>
          <w:tcPr>
            <w:tcW w:w="1369" w:type="dxa"/>
            <w:tcBorders>
              <w:top w:val="nil"/>
              <w:left w:val="nil"/>
              <w:bottom w:val="single" w:color="auto" w:sz="4" w:space="0"/>
              <w:right w:val="single" w:color="auto" w:sz="4" w:space="0"/>
            </w:tcBorders>
            <w:noWrap/>
            <w:vAlign w:val="center"/>
          </w:tcPr>
          <w:p w14:paraId="125162CE">
            <w:pPr>
              <w:widowControl/>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3F32F37E">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33C05BA8">
            <w:pPr>
              <w:widowControl/>
              <w:jc w:val="center"/>
              <w:rPr>
                <w:kern w:val="0"/>
                <w:sz w:val="20"/>
                <w:szCs w:val="20"/>
              </w:rPr>
            </w:pPr>
            <w:r>
              <w:rPr>
                <w:kern w:val="0"/>
                <w:sz w:val="20"/>
                <w:szCs w:val="20"/>
              </w:rPr>
              <w:t>Y≥20000</w:t>
            </w:r>
          </w:p>
        </w:tc>
        <w:tc>
          <w:tcPr>
            <w:tcW w:w="1828" w:type="dxa"/>
            <w:tcBorders>
              <w:top w:val="nil"/>
              <w:left w:val="nil"/>
              <w:bottom w:val="single" w:color="auto" w:sz="4" w:space="0"/>
              <w:right w:val="single" w:color="auto" w:sz="4" w:space="0"/>
            </w:tcBorders>
            <w:noWrap/>
            <w:vAlign w:val="center"/>
          </w:tcPr>
          <w:p w14:paraId="358782CD">
            <w:pPr>
              <w:widowControl/>
              <w:jc w:val="center"/>
              <w:rPr>
                <w:kern w:val="0"/>
                <w:sz w:val="20"/>
                <w:szCs w:val="20"/>
              </w:rPr>
            </w:pPr>
            <w:r>
              <w:rPr>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24986520">
            <w:pPr>
              <w:widowControl/>
              <w:jc w:val="center"/>
              <w:rPr>
                <w:kern w:val="0"/>
                <w:sz w:val="20"/>
                <w:szCs w:val="20"/>
              </w:rPr>
            </w:pPr>
            <w:r>
              <w:rPr>
                <w:kern w:val="0"/>
                <w:sz w:val="20"/>
                <w:szCs w:val="20"/>
              </w:rPr>
              <w:t xml:space="preserve"> 50≤Y＜500</w:t>
            </w:r>
          </w:p>
        </w:tc>
        <w:tc>
          <w:tcPr>
            <w:tcW w:w="1122" w:type="dxa"/>
            <w:tcBorders>
              <w:top w:val="nil"/>
              <w:left w:val="nil"/>
              <w:bottom w:val="single" w:color="auto" w:sz="4" w:space="0"/>
              <w:right w:val="nil"/>
            </w:tcBorders>
            <w:noWrap/>
            <w:vAlign w:val="center"/>
          </w:tcPr>
          <w:p w14:paraId="52946B2D">
            <w:pPr>
              <w:widowControl/>
              <w:jc w:val="center"/>
              <w:rPr>
                <w:kern w:val="0"/>
                <w:sz w:val="20"/>
                <w:szCs w:val="20"/>
              </w:rPr>
            </w:pPr>
            <w:r>
              <w:rPr>
                <w:kern w:val="0"/>
                <w:sz w:val="20"/>
                <w:szCs w:val="20"/>
              </w:rPr>
              <w:t>Y＜50</w:t>
            </w:r>
          </w:p>
        </w:tc>
      </w:tr>
      <w:tr w14:paraId="383DD43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FA22FCC">
            <w:pPr>
              <w:widowControl/>
              <w:spacing w:line="240" w:lineRule="exact"/>
              <w:jc w:val="left"/>
              <w:rPr>
                <w:kern w:val="0"/>
                <w:sz w:val="20"/>
                <w:szCs w:val="20"/>
              </w:rPr>
            </w:pPr>
            <w:r>
              <w:rPr>
                <w:kern w:val="0"/>
                <w:sz w:val="20"/>
                <w:szCs w:val="20"/>
              </w:rPr>
              <w:t>工业 *</w:t>
            </w:r>
          </w:p>
        </w:tc>
        <w:tc>
          <w:tcPr>
            <w:tcW w:w="1369" w:type="dxa"/>
            <w:tcBorders>
              <w:top w:val="nil"/>
              <w:left w:val="nil"/>
              <w:bottom w:val="nil"/>
              <w:right w:val="single" w:color="auto" w:sz="4" w:space="0"/>
            </w:tcBorders>
            <w:noWrap/>
            <w:vAlign w:val="center"/>
          </w:tcPr>
          <w:p w14:paraId="6C09487C">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2304B693">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20CCC16C">
            <w:pPr>
              <w:widowControl/>
              <w:jc w:val="center"/>
              <w:rPr>
                <w:kern w:val="0"/>
                <w:sz w:val="20"/>
                <w:szCs w:val="20"/>
              </w:rPr>
            </w:pPr>
            <w:r>
              <w:rPr>
                <w:kern w:val="0"/>
                <w:sz w:val="20"/>
                <w:szCs w:val="20"/>
              </w:rPr>
              <w:t>X≥1000</w:t>
            </w:r>
          </w:p>
        </w:tc>
        <w:tc>
          <w:tcPr>
            <w:tcW w:w="1828" w:type="dxa"/>
            <w:tcBorders>
              <w:top w:val="nil"/>
              <w:left w:val="nil"/>
              <w:bottom w:val="nil"/>
              <w:right w:val="single" w:color="auto" w:sz="4" w:space="0"/>
            </w:tcBorders>
            <w:noWrap/>
            <w:vAlign w:val="center"/>
          </w:tcPr>
          <w:p w14:paraId="6FEC4213">
            <w:pPr>
              <w:widowControl/>
              <w:jc w:val="center"/>
              <w:rPr>
                <w:kern w:val="0"/>
                <w:sz w:val="20"/>
                <w:szCs w:val="20"/>
              </w:rPr>
            </w:pPr>
            <w:r>
              <w:rPr>
                <w:kern w:val="0"/>
                <w:sz w:val="20"/>
                <w:szCs w:val="20"/>
              </w:rPr>
              <w:t>300≤X＜1000</w:t>
            </w:r>
          </w:p>
        </w:tc>
        <w:tc>
          <w:tcPr>
            <w:tcW w:w="1588" w:type="dxa"/>
            <w:tcBorders>
              <w:top w:val="nil"/>
              <w:left w:val="nil"/>
              <w:bottom w:val="nil"/>
              <w:right w:val="single" w:color="auto" w:sz="4" w:space="0"/>
            </w:tcBorders>
            <w:noWrap/>
            <w:vAlign w:val="center"/>
          </w:tcPr>
          <w:p w14:paraId="0437D535">
            <w:pPr>
              <w:widowControl/>
              <w:jc w:val="center"/>
              <w:rPr>
                <w:kern w:val="0"/>
                <w:sz w:val="20"/>
                <w:szCs w:val="20"/>
              </w:rPr>
            </w:pPr>
            <w:r>
              <w:rPr>
                <w:kern w:val="0"/>
                <w:sz w:val="20"/>
                <w:szCs w:val="20"/>
              </w:rPr>
              <w:t xml:space="preserve"> 20≤X＜300</w:t>
            </w:r>
          </w:p>
        </w:tc>
        <w:tc>
          <w:tcPr>
            <w:tcW w:w="1122" w:type="dxa"/>
            <w:tcBorders>
              <w:top w:val="nil"/>
              <w:left w:val="nil"/>
              <w:bottom w:val="nil"/>
              <w:right w:val="nil"/>
            </w:tcBorders>
            <w:noWrap/>
            <w:vAlign w:val="center"/>
          </w:tcPr>
          <w:p w14:paraId="2A18A05B">
            <w:pPr>
              <w:widowControl/>
              <w:jc w:val="center"/>
              <w:rPr>
                <w:kern w:val="0"/>
                <w:sz w:val="20"/>
                <w:szCs w:val="20"/>
              </w:rPr>
            </w:pPr>
            <w:r>
              <w:rPr>
                <w:kern w:val="0"/>
                <w:sz w:val="20"/>
                <w:szCs w:val="20"/>
              </w:rPr>
              <w:t>X＜20</w:t>
            </w:r>
          </w:p>
        </w:tc>
      </w:tr>
      <w:tr w14:paraId="6911CFB2">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A422203">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0FAA5449">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F3EF212">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17B93AE1">
            <w:pPr>
              <w:widowControl/>
              <w:jc w:val="center"/>
              <w:rPr>
                <w:kern w:val="0"/>
                <w:sz w:val="20"/>
                <w:szCs w:val="20"/>
              </w:rPr>
            </w:pPr>
            <w:r>
              <w:rPr>
                <w:kern w:val="0"/>
                <w:sz w:val="20"/>
                <w:szCs w:val="20"/>
              </w:rPr>
              <w:t>Y≥40000</w:t>
            </w:r>
          </w:p>
        </w:tc>
        <w:tc>
          <w:tcPr>
            <w:tcW w:w="1828" w:type="dxa"/>
            <w:tcBorders>
              <w:top w:val="nil"/>
              <w:left w:val="nil"/>
              <w:bottom w:val="single" w:color="auto" w:sz="4" w:space="0"/>
              <w:right w:val="single" w:color="auto" w:sz="4" w:space="0"/>
            </w:tcBorders>
            <w:noWrap/>
            <w:vAlign w:val="center"/>
          </w:tcPr>
          <w:p w14:paraId="5544AC40">
            <w:pPr>
              <w:widowControl/>
              <w:jc w:val="center"/>
              <w:rPr>
                <w:kern w:val="0"/>
                <w:sz w:val="20"/>
                <w:szCs w:val="20"/>
              </w:rPr>
            </w:pPr>
            <w:r>
              <w:rPr>
                <w:kern w:val="0"/>
                <w:sz w:val="20"/>
                <w:szCs w:val="20"/>
              </w:rPr>
              <w:t>2000≤Y＜40000</w:t>
            </w:r>
          </w:p>
        </w:tc>
        <w:tc>
          <w:tcPr>
            <w:tcW w:w="1588" w:type="dxa"/>
            <w:tcBorders>
              <w:top w:val="nil"/>
              <w:left w:val="nil"/>
              <w:bottom w:val="single" w:color="auto" w:sz="4" w:space="0"/>
              <w:right w:val="single" w:color="auto" w:sz="4" w:space="0"/>
            </w:tcBorders>
            <w:noWrap/>
            <w:vAlign w:val="center"/>
          </w:tcPr>
          <w:p w14:paraId="62D1B81C">
            <w:pPr>
              <w:widowControl/>
              <w:jc w:val="center"/>
              <w:rPr>
                <w:kern w:val="0"/>
                <w:sz w:val="20"/>
                <w:szCs w:val="20"/>
              </w:rPr>
            </w:pPr>
            <w:r>
              <w:rPr>
                <w:kern w:val="0"/>
                <w:sz w:val="20"/>
                <w:szCs w:val="20"/>
              </w:rPr>
              <w:t xml:space="preserve"> 300≤Y＜2000</w:t>
            </w:r>
          </w:p>
        </w:tc>
        <w:tc>
          <w:tcPr>
            <w:tcW w:w="1122" w:type="dxa"/>
            <w:tcBorders>
              <w:top w:val="nil"/>
              <w:left w:val="nil"/>
              <w:bottom w:val="single" w:color="auto" w:sz="4" w:space="0"/>
              <w:right w:val="nil"/>
            </w:tcBorders>
            <w:noWrap/>
            <w:vAlign w:val="center"/>
          </w:tcPr>
          <w:p w14:paraId="0FBAFDE6">
            <w:pPr>
              <w:widowControl/>
              <w:jc w:val="center"/>
              <w:rPr>
                <w:kern w:val="0"/>
                <w:sz w:val="20"/>
                <w:szCs w:val="20"/>
              </w:rPr>
            </w:pPr>
            <w:r>
              <w:rPr>
                <w:kern w:val="0"/>
                <w:sz w:val="20"/>
                <w:szCs w:val="20"/>
              </w:rPr>
              <w:t>Y＜300</w:t>
            </w:r>
          </w:p>
        </w:tc>
      </w:tr>
      <w:tr w14:paraId="486FB78B">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D27A600">
            <w:pPr>
              <w:widowControl/>
              <w:spacing w:line="240" w:lineRule="exact"/>
              <w:jc w:val="left"/>
              <w:rPr>
                <w:kern w:val="0"/>
                <w:sz w:val="20"/>
                <w:szCs w:val="20"/>
              </w:rPr>
            </w:pPr>
            <w:r>
              <w:rPr>
                <w:rFonts w:hint="eastAsia"/>
                <w:kern w:val="0"/>
                <w:sz w:val="20"/>
                <w:szCs w:val="20"/>
              </w:rPr>
              <w:t>建筑</w:t>
            </w:r>
            <w:r>
              <w:rPr>
                <w:kern w:val="0"/>
                <w:sz w:val="20"/>
                <w:szCs w:val="20"/>
              </w:rPr>
              <w:t>业</w:t>
            </w:r>
          </w:p>
        </w:tc>
        <w:tc>
          <w:tcPr>
            <w:tcW w:w="1369" w:type="dxa"/>
            <w:tcBorders>
              <w:top w:val="nil"/>
              <w:left w:val="nil"/>
              <w:bottom w:val="nil"/>
              <w:right w:val="single" w:color="auto" w:sz="4" w:space="0"/>
            </w:tcBorders>
            <w:noWrap/>
            <w:vAlign w:val="center"/>
          </w:tcPr>
          <w:p w14:paraId="592275AD">
            <w:pPr>
              <w:widowControl/>
              <w:jc w:val="center"/>
              <w:rPr>
                <w:kern w:val="0"/>
                <w:sz w:val="20"/>
                <w:szCs w:val="20"/>
              </w:rPr>
            </w:pPr>
            <w:r>
              <w:rPr>
                <w:kern w:val="0"/>
                <w:sz w:val="20"/>
                <w:szCs w:val="20"/>
              </w:rPr>
              <w:t>营业收入(Y)</w:t>
            </w:r>
          </w:p>
        </w:tc>
        <w:tc>
          <w:tcPr>
            <w:tcW w:w="709" w:type="dxa"/>
            <w:tcBorders>
              <w:top w:val="nil"/>
              <w:left w:val="nil"/>
              <w:bottom w:val="nil"/>
              <w:right w:val="single" w:color="auto" w:sz="4" w:space="0"/>
            </w:tcBorders>
            <w:noWrap/>
            <w:vAlign w:val="center"/>
          </w:tcPr>
          <w:p w14:paraId="0A9FAC89">
            <w:pPr>
              <w:widowControl/>
              <w:jc w:val="center"/>
              <w:rPr>
                <w:kern w:val="0"/>
                <w:sz w:val="20"/>
                <w:szCs w:val="20"/>
              </w:rPr>
            </w:pPr>
            <w:r>
              <w:rPr>
                <w:kern w:val="0"/>
                <w:sz w:val="20"/>
                <w:szCs w:val="20"/>
              </w:rPr>
              <w:t>万元</w:t>
            </w:r>
          </w:p>
        </w:tc>
        <w:tc>
          <w:tcPr>
            <w:tcW w:w="1125" w:type="dxa"/>
            <w:tcBorders>
              <w:top w:val="nil"/>
              <w:left w:val="nil"/>
              <w:bottom w:val="nil"/>
              <w:right w:val="single" w:color="auto" w:sz="4" w:space="0"/>
            </w:tcBorders>
            <w:noWrap/>
            <w:vAlign w:val="center"/>
          </w:tcPr>
          <w:p w14:paraId="544BB86E">
            <w:pPr>
              <w:widowControl/>
              <w:jc w:val="center"/>
              <w:rPr>
                <w:kern w:val="0"/>
                <w:sz w:val="20"/>
                <w:szCs w:val="20"/>
              </w:rPr>
            </w:pPr>
            <w:r>
              <w:rPr>
                <w:kern w:val="0"/>
                <w:sz w:val="20"/>
                <w:szCs w:val="20"/>
              </w:rPr>
              <w:t>Y≥80000</w:t>
            </w:r>
          </w:p>
        </w:tc>
        <w:tc>
          <w:tcPr>
            <w:tcW w:w="1828" w:type="dxa"/>
            <w:tcBorders>
              <w:top w:val="nil"/>
              <w:left w:val="nil"/>
              <w:bottom w:val="nil"/>
              <w:right w:val="single" w:color="auto" w:sz="4" w:space="0"/>
            </w:tcBorders>
            <w:noWrap/>
            <w:vAlign w:val="center"/>
          </w:tcPr>
          <w:p w14:paraId="7E78F71C">
            <w:pPr>
              <w:widowControl/>
              <w:jc w:val="center"/>
              <w:rPr>
                <w:kern w:val="0"/>
                <w:sz w:val="20"/>
                <w:szCs w:val="20"/>
              </w:rPr>
            </w:pPr>
            <w:r>
              <w:rPr>
                <w:kern w:val="0"/>
                <w:sz w:val="20"/>
                <w:szCs w:val="20"/>
              </w:rPr>
              <w:t>6000≤Y＜80000</w:t>
            </w:r>
          </w:p>
        </w:tc>
        <w:tc>
          <w:tcPr>
            <w:tcW w:w="1588" w:type="dxa"/>
            <w:tcBorders>
              <w:top w:val="nil"/>
              <w:left w:val="nil"/>
              <w:bottom w:val="nil"/>
              <w:right w:val="single" w:color="auto" w:sz="4" w:space="0"/>
            </w:tcBorders>
            <w:noWrap/>
            <w:vAlign w:val="center"/>
          </w:tcPr>
          <w:p w14:paraId="01A9CB1A">
            <w:pPr>
              <w:widowControl/>
              <w:jc w:val="center"/>
              <w:rPr>
                <w:kern w:val="0"/>
                <w:sz w:val="20"/>
                <w:szCs w:val="20"/>
              </w:rPr>
            </w:pPr>
            <w:r>
              <w:rPr>
                <w:kern w:val="0"/>
                <w:sz w:val="20"/>
                <w:szCs w:val="20"/>
              </w:rPr>
              <w:t xml:space="preserve"> 300≤Y＜6000</w:t>
            </w:r>
          </w:p>
        </w:tc>
        <w:tc>
          <w:tcPr>
            <w:tcW w:w="1122" w:type="dxa"/>
            <w:tcBorders>
              <w:top w:val="nil"/>
              <w:left w:val="nil"/>
              <w:bottom w:val="nil"/>
              <w:right w:val="nil"/>
            </w:tcBorders>
            <w:noWrap/>
            <w:vAlign w:val="center"/>
          </w:tcPr>
          <w:p w14:paraId="40DC2354">
            <w:pPr>
              <w:widowControl/>
              <w:jc w:val="center"/>
              <w:rPr>
                <w:kern w:val="0"/>
                <w:sz w:val="20"/>
                <w:szCs w:val="20"/>
              </w:rPr>
            </w:pPr>
            <w:r>
              <w:rPr>
                <w:kern w:val="0"/>
                <w:sz w:val="20"/>
                <w:szCs w:val="20"/>
              </w:rPr>
              <w:t>Y＜300</w:t>
            </w:r>
          </w:p>
        </w:tc>
      </w:tr>
      <w:tr w14:paraId="60A65E2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01DEF83B">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3A062E38">
            <w:pPr>
              <w:widowControl/>
              <w:spacing w:line="240" w:lineRule="exact"/>
              <w:jc w:val="center"/>
              <w:rPr>
                <w:kern w:val="0"/>
                <w:sz w:val="20"/>
                <w:szCs w:val="20"/>
              </w:rPr>
            </w:pPr>
            <w:r>
              <w:rPr>
                <w:kern w:val="0"/>
                <w:sz w:val="20"/>
                <w:szCs w:val="20"/>
              </w:rPr>
              <w:t>资产总额(Z)</w:t>
            </w:r>
          </w:p>
        </w:tc>
        <w:tc>
          <w:tcPr>
            <w:tcW w:w="709" w:type="dxa"/>
            <w:tcBorders>
              <w:top w:val="nil"/>
              <w:left w:val="nil"/>
              <w:bottom w:val="single" w:color="auto" w:sz="4" w:space="0"/>
              <w:right w:val="single" w:color="auto" w:sz="4" w:space="0"/>
            </w:tcBorders>
            <w:noWrap/>
            <w:vAlign w:val="center"/>
          </w:tcPr>
          <w:p w14:paraId="014AA81D">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2F6C1460">
            <w:pPr>
              <w:widowControl/>
              <w:jc w:val="center"/>
              <w:rPr>
                <w:kern w:val="0"/>
                <w:sz w:val="20"/>
                <w:szCs w:val="20"/>
              </w:rPr>
            </w:pPr>
            <w:r>
              <w:rPr>
                <w:kern w:val="0"/>
                <w:sz w:val="20"/>
                <w:szCs w:val="20"/>
              </w:rPr>
              <w:t>Z≥80000</w:t>
            </w:r>
          </w:p>
        </w:tc>
        <w:tc>
          <w:tcPr>
            <w:tcW w:w="1828" w:type="dxa"/>
            <w:tcBorders>
              <w:top w:val="nil"/>
              <w:left w:val="nil"/>
              <w:bottom w:val="single" w:color="auto" w:sz="4" w:space="0"/>
              <w:right w:val="single" w:color="auto" w:sz="4" w:space="0"/>
            </w:tcBorders>
            <w:noWrap/>
            <w:vAlign w:val="center"/>
          </w:tcPr>
          <w:p w14:paraId="52DB5004">
            <w:pPr>
              <w:widowControl/>
              <w:jc w:val="center"/>
              <w:rPr>
                <w:kern w:val="0"/>
                <w:sz w:val="20"/>
                <w:szCs w:val="20"/>
              </w:rPr>
            </w:pPr>
            <w:r>
              <w:rPr>
                <w:kern w:val="0"/>
                <w:sz w:val="20"/>
                <w:szCs w:val="20"/>
              </w:rPr>
              <w:t>5000≤Z＜80000</w:t>
            </w:r>
          </w:p>
        </w:tc>
        <w:tc>
          <w:tcPr>
            <w:tcW w:w="1588" w:type="dxa"/>
            <w:tcBorders>
              <w:top w:val="nil"/>
              <w:left w:val="nil"/>
              <w:bottom w:val="single" w:color="auto" w:sz="4" w:space="0"/>
              <w:right w:val="single" w:color="auto" w:sz="4" w:space="0"/>
            </w:tcBorders>
            <w:noWrap/>
            <w:vAlign w:val="center"/>
          </w:tcPr>
          <w:p w14:paraId="249F84BD">
            <w:pPr>
              <w:widowControl/>
              <w:jc w:val="center"/>
              <w:rPr>
                <w:kern w:val="0"/>
                <w:sz w:val="20"/>
                <w:szCs w:val="20"/>
              </w:rPr>
            </w:pPr>
            <w:r>
              <w:rPr>
                <w:kern w:val="0"/>
                <w:sz w:val="20"/>
                <w:szCs w:val="20"/>
              </w:rPr>
              <w:t xml:space="preserve"> 300≤Z＜5000</w:t>
            </w:r>
          </w:p>
        </w:tc>
        <w:tc>
          <w:tcPr>
            <w:tcW w:w="1122" w:type="dxa"/>
            <w:tcBorders>
              <w:top w:val="nil"/>
              <w:left w:val="nil"/>
              <w:bottom w:val="single" w:color="auto" w:sz="4" w:space="0"/>
              <w:right w:val="nil"/>
            </w:tcBorders>
            <w:noWrap/>
            <w:vAlign w:val="center"/>
          </w:tcPr>
          <w:p w14:paraId="7BF75255">
            <w:pPr>
              <w:widowControl/>
              <w:jc w:val="center"/>
              <w:rPr>
                <w:kern w:val="0"/>
                <w:sz w:val="20"/>
                <w:szCs w:val="20"/>
              </w:rPr>
            </w:pPr>
            <w:r>
              <w:rPr>
                <w:kern w:val="0"/>
                <w:sz w:val="20"/>
                <w:szCs w:val="20"/>
              </w:rPr>
              <w:t>Z＜300</w:t>
            </w:r>
          </w:p>
        </w:tc>
      </w:tr>
      <w:tr w14:paraId="60D517D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1A0823B7">
            <w:pPr>
              <w:widowControl/>
              <w:spacing w:line="240" w:lineRule="exact"/>
              <w:jc w:val="left"/>
              <w:rPr>
                <w:kern w:val="0"/>
                <w:sz w:val="20"/>
                <w:szCs w:val="20"/>
              </w:rPr>
            </w:pPr>
            <w:r>
              <w:rPr>
                <w:kern w:val="0"/>
                <w:sz w:val="20"/>
                <w:szCs w:val="20"/>
              </w:rPr>
              <w:t>批发业</w:t>
            </w:r>
          </w:p>
        </w:tc>
        <w:tc>
          <w:tcPr>
            <w:tcW w:w="1369" w:type="dxa"/>
            <w:tcBorders>
              <w:top w:val="nil"/>
              <w:left w:val="nil"/>
              <w:bottom w:val="nil"/>
              <w:right w:val="single" w:color="auto" w:sz="4" w:space="0"/>
            </w:tcBorders>
            <w:noWrap/>
            <w:vAlign w:val="center"/>
          </w:tcPr>
          <w:p w14:paraId="02A18D9E">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1A436107">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0605C5CB">
            <w:pPr>
              <w:widowControl/>
              <w:jc w:val="center"/>
              <w:rPr>
                <w:kern w:val="0"/>
                <w:sz w:val="20"/>
                <w:szCs w:val="20"/>
              </w:rPr>
            </w:pPr>
            <w:r>
              <w:rPr>
                <w:kern w:val="0"/>
                <w:sz w:val="20"/>
                <w:szCs w:val="20"/>
              </w:rPr>
              <w:t>X≥200</w:t>
            </w:r>
          </w:p>
        </w:tc>
        <w:tc>
          <w:tcPr>
            <w:tcW w:w="1828" w:type="dxa"/>
            <w:tcBorders>
              <w:top w:val="nil"/>
              <w:left w:val="nil"/>
              <w:bottom w:val="nil"/>
              <w:right w:val="single" w:color="auto" w:sz="4" w:space="0"/>
            </w:tcBorders>
            <w:noWrap/>
            <w:vAlign w:val="center"/>
          </w:tcPr>
          <w:p w14:paraId="6AFEC6AB">
            <w:pPr>
              <w:widowControl/>
              <w:jc w:val="center"/>
              <w:rPr>
                <w:kern w:val="0"/>
                <w:sz w:val="20"/>
                <w:szCs w:val="20"/>
              </w:rPr>
            </w:pPr>
            <w:r>
              <w:rPr>
                <w:kern w:val="0"/>
                <w:sz w:val="20"/>
                <w:szCs w:val="20"/>
              </w:rPr>
              <w:t>20≤X＜200</w:t>
            </w:r>
          </w:p>
        </w:tc>
        <w:tc>
          <w:tcPr>
            <w:tcW w:w="1588" w:type="dxa"/>
            <w:tcBorders>
              <w:top w:val="nil"/>
              <w:left w:val="nil"/>
              <w:bottom w:val="nil"/>
              <w:right w:val="single" w:color="auto" w:sz="4" w:space="0"/>
            </w:tcBorders>
            <w:noWrap/>
            <w:vAlign w:val="center"/>
          </w:tcPr>
          <w:p w14:paraId="4E7C9906">
            <w:pPr>
              <w:widowControl/>
              <w:jc w:val="center"/>
              <w:rPr>
                <w:kern w:val="0"/>
                <w:sz w:val="20"/>
                <w:szCs w:val="20"/>
              </w:rPr>
            </w:pPr>
            <w:r>
              <w:rPr>
                <w:kern w:val="0"/>
                <w:sz w:val="20"/>
                <w:szCs w:val="20"/>
              </w:rPr>
              <w:t xml:space="preserve"> 5≤X＜20</w:t>
            </w:r>
          </w:p>
        </w:tc>
        <w:tc>
          <w:tcPr>
            <w:tcW w:w="1122" w:type="dxa"/>
            <w:tcBorders>
              <w:top w:val="nil"/>
              <w:left w:val="nil"/>
              <w:bottom w:val="nil"/>
              <w:right w:val="nil"/>
            </w:tcBorders>
            <w:noWrap/>
            <w:vAlign w:val="center"/>
          </w:tcPr>
          <w:p w14:paraId="0CC9F7CE">
            <w:pPr>
              <w:widowControl/>
              <w:jc w:val="center"/>
              <w:rPr>
                <w:kern w:val="0"/>
                <w:sz w:val="20"/>
                <w:szCs w:val="20"/>
              </w:rPr>
            </w:pPr>
            <w:r>
              <w:rPr>
                <w:kern w:val="0"/>
                <w:sz w:val="20"/>
                <w:szCs w:val="20"/>
              </w:rPr>
              <w:t>X＜5</w:t>
            </w:r>
          </w:p>
        </w:tc>
      </w:tr>
      <w:tr w14:paraId="3F8AC1B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07665F30">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72A92390">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F33C87B">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1039F75A">
            <w:pPr>
              <w:widowControl/>
              <w:jc w:val="center"/>
              <w:rPr>
                <w:kern w:val="0"/>
                <w:sz w:val="20"/>
                <w:szCs w:val="20"/>
              </w:rPr>
            </w:pPr>
            <w:r>
              <w:rPr>
                <w:kern w:val="0"/>
                <w:sz w:val="20"/>
                <w:szCs w:val="20"/>
              </w:rPr>
              <w:t>Y≥40000</w:t>
            </w:r>
          </w:p>
        </w:tc>
        <w:tc>
          <w:tcPr>
            <w:tcW w:w="1828" w:type="dxa"/>
            <w:tcBorders>
              <w:top w:val="nil"/>
              <w:left w:val="nil"/>
              <w:bottom w:val="single" w:color="auto" w:sz="4" w:space="0"/>
              <w:right w:val="single" w:color="auto" w:sz="4" w:space="0"/>
            </w:tcBorders>
            <w:noWrap/>
            <w:vAlign w:val="center"/>
          </w:tcPr>
          <w:p w14:paraId="7F48BE2C">
            <w:pPr>
              <w:widowControl/>
              <w:jc w:val="center"/>
              <w:rPr>
                <w:kern w:val="0"/>
                <w:sz w:val="20"/>
                <w:szCs w:val="20"/>
              </w:rPr>
            </w:pPr>
            <w:r>
              <w:rPr>
                <w:kern w:val="0"/>
                <w:sz w:val="20"/>
                <w:szCs w:val="20"/>
              </w:rPr>
              <w:t>5000≤Y＜40000</w:t>
            </w:r>
          </w:p>
        </w:tc>
        <w:tc>
          <w:tcPr>
            <w:tcW w:w="1588" w:type="dxa"/>
            <w:tcBorders>
              <w:top w:val="nil"/>
              <w:left w:val="nil"/>
              <w:bottom w:val="single" w:color="auto" w:sz="4" w:space="0"/>
              <w:right w:val="single" w:color="auto" w:sz="4" w:space="0"/>
            </w:tcBorders>
            <w:noWrap/>
            <w:vAlign w:val="center"/>
          </w:tcPr>
          <w:p w14:paraId="3F146746">
            <w:pPr>
              <w:widowControl/>
              <w:ind w:left="-1" w:leftChars="-1" w:hanging="1"/>
              <w:jc w:val="center"/>
              <w:rPr>
                <w:kern w:val="0"/>
                <w:sz w:val="20"/>
                <w:szCs w:val="20"/>
              </w:rPr>
            </w:pPr>
            <w:r>
              <w:rPr>
                <w:kern w:val="0"/>
                <w:sz w:val="20"/>
                <w:szCs w:val="20"/>
              </w:rPr>
              <w:t>1000≤Y＜5000</w:t>
            </w:r>
          </w:p>
        </w:tc>
        <w:tc>
          <w:tcPr>
            <w:tcW w:w="1122" w:type="dxa"/>
            <w:tcBorders>
              <w:top w:val="nil"/>
              <w:left w:val="nil"/>
              <w:bottom w:val="single" w:color="auto" w:sz="4" w:space="0"/>
              <w:right w:val="nil"/>
            </w:tcBorders>
            <w:noWrap/>
            <w:vAlign w:val="center"/>
          </w:tcPr>
          <w:p w14:paraId="4EA1AC6C">
            <w:pPr>
              <w:widowControl/>
              <w:jc w:val="center"/>
              <w:rPr>
                <w:kern w:val="0"/>
                <w:sz w:val="20"/>
                <w:szCs w:val="20"/>
              </w:rPr>
            </w:pPr>
            <w:r>
              <w:rPr>
                <w:kern w:val="0"/>
                <w:sz w:val="20"/>
                <w:szCs w:val="20"/>
              </w:rPr>
              <w:t>Y＜1000</w:t>
            </w:r>
          </w:p>
        </w:tc>
      </w:tr>
      <w:tr w14:paraId="5DEA710F">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CDBFE8A">
            <w:pPr>
              <w:widowControl/>
              <w:spacing w:line="240" w:lineRule="exact"/>
              <w:jc w:val="left"/>
              <w:rPr>
                <w:kern w:val="0"/>
                <w:sz w:val="20"/>
                <w:szCs w:val="20"/>
              </w:rPr>
            </w:pPr>
            <w:r>
              <w:rPr>
                <w:kern w:val="0"/>
                <w:sz w:val="20"/>
                <w:szCs w:val="20"/>
              </w:rPr>
              <w:t>零售业</w:t>
            </w:r>
          </w:p>
        </w:tc>
        <w:tc>
          <w:tcPr>
            <w:tcW w:w="1369" w:type="dxa"/>
            <w:tcBorders>
              <w:top w:val="nil"/>
              <w:left w:val="nil"/>
              <w:bottom w:val="nil"/>
              <w:right w:val="single" w:color="auto" w:sz="4" w:space="0"/>
            </w:tcBorders>
            <w:noWrap/>
            <w:vAlign w:val="center"/>
          </w:tcPr>
          <w:p w14:paraId="133FD5E4">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39E11900">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2226D44F">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122D6349">
            <w:pPr>
              <w:widowControl/>
              <w:jc w:val="center"/>
              <w:rPr>
                <w:kern w:val="0"/>
                <w:sz w:val="20"/>
                <w:szCs w:val="20"/>
              </w:rPr>
            </w:pPr>
            <w:r>
              <w:rPr>
                <w:kern w:val="0"/>
                <w:sz w:val="20"/>
                <w:szCs w:val="20"/>
              </w:rPr>
              <w:t>50≤X＜300</w:t>
            </w:r>
          </w:p>
        </w:tc>
        <w:tc>
          <w:tcPr>
            <w:tcW w:w="1588" w:type="dxa"/>
            <w:tcBorders>
              <w:top w:val="nil"/>
              <w:left w:val="nil"/>
              <w:bottom w:val="nil"/>
              <w:right w:val="single" w:color="auto" w:sz="4" w:space="0"/>
            </w:tcBorders>
            <w:noWrap/>
            <w:vAlign w:val="center"/>
          </w:tcPr>
          <w:p w14:paraId="0D95D5F4">
            <w:pPr>
              <w:widowControl/>
              <w:ind w:left="-1" w:leftChars="-1" w:hanging="1"/>
              <w:jc w:val="center"/>
              <w:rPr>
                <w:kern w:val="0"/>
                <w:sz w:val="20"/>
                <w:szCs w:val="20"/>
              </w:rPr>
            </w:pPr>
            <w:r>
              <w:rPr>
                <w:kern w:val="0"/>
                <w:sz w:val="20"/>
                <w:szCs w:val="20"/>
              </w:rPr>
              <w:t xml:space="preserve">10≤X＜50 </w:t>
            </w:r>
          </w:p>
        </w:tc>
        <w:tc>
          <w:tcPr>
            <w:tcW w:w="1122" w:type="dxa"/>
            <w:tcBorders>
              <w:top w:val="nil"/>
              <w:left w:val="nil"/>
              <w:bottom w:val="nil"/>
              <w:right w:val="nil"/>
            </w:tcBorders>
            <w:noWrap/>
            <w:vAlign w:val="center"/>
          </w:tcPr>
          <w:p w14:paraId="21D735D8">
            <w:pPr>
              <w:widowControl/>
              <w:jc w:val="center"/>
              <w:rPr>
                <w:kern w:val="0"/>
                <w:sz w:val="20"/>
                <w:szCs w:val="20"/>
              </w:rPr>
            </w:pPr>
            <w:r>
              <w:rPr>
                <w:kern w:val="0"/>
                <w:sz w:val="20"/>
                <w:szCs w:val="20"/>
              </w:rPr>
              <w:t>X＜10</w:t>
            </w:r>
          </w:p>
        </w:tc>
      </w:tr>
      <w:tr w14:paraId="53C2925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E4DB5BE">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6577D3A2">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AF94B5F">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39B97BC2">
            <w:pPr>
              <w:widowControl/>
              <w:jc w:val="center"/>
              <w:rPr>
                <w:kern w:val="0"/>
                <w:sz w:val="20"/>
                <w:szCs w:val="20"/>
              </w:rPr>
            </w:pPr>
            <w:r>
              <w:rPr>
                <w:kern w:val="0"/>
                <w:sz w:val="20"/>
                <w:szCs w:val="20"/>
              </w:rPr>
              <w:t>Y≥20000</w:t>
            </w:r>
          </w:p>
        </w:tc>
        <w:tc>
          <w:tcPr>
            <w:tcW w:w="1828" w:type="dxa"/>
            <w:tcBorders>
              <w:top w:val="nil"/>
              <w:left w:val="nil"/>
              <w:bottom w:val="single" w:color="auto" w:sz="4" w:space="0"/>
              <w:right w:val="single" w:color="auto" w:sz="4" w:space="0"/>
            </w:tcBorders>
            <w:noWrap/>
            <w:vAlign w:val="center"/>
          </w:tcPr>
          <w:p w14:paraId="4D98C642">
            <w:pPr>
              <w:widowControl/>
              <w:jc w:val="center"/>
              <w:rPr>
                <w:kern w:val="0"/>
                <w:sz w:val="20"/>
                <w:szCs w:val="20"/>
              </w:rPr>
            </w:pPr>
            <w:r>
              <w:rPr>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501D89A3">
            <w:pPr>
              <w:widowControl/>
              <w:ind w:left="-1" w:leftChars="-1" w:hanging="1"/>
              <w:jc w:val="center"/>
              <w:rPr>
                <w:kern w:val="0"/>
                <w:sz w:val="20"/>
                <w:szCs w:val="20"/>
              </w:rPr>
            </w:pPr>
            <w:r>
              <w:rPr>
                <w:kern w:val="0"/>
                <w:sz w:val="20"/>
                <w:szCs w:val="20"/>
              </w:rPr>
              <w:t xml:space="preserve">100≤Y＜500 </w:t>
            </w:r>
          </w:p>
        </w:tc>
        <w:tc>
          <w:tcPr>
            <w:tcW w:w="1122" w:type="dxa"/>
            <w:tcBorders>
              <w:top w:val="nil"/>
              <w:left w:val="nil"/>
              <w:bottom w:val="single" w:color="auto" w:sz="4" w:space="0"/>
              <w:right w:val="nil"/>
            </w:tcBorders>
            <w:noWrap/>
            <w:vAlign w:val="center"/>
          </w:tcPr>
          <w:p w14:paraId="3A2AA94E">
            <w:pPr>
              <w:widowControl/>
              <w:jc w:val="center"/>
              <w:rPr>
                <w:kern w:val="0"/>
                <w:sz w:val="20"/>
                <w:szCs w:val="20"/>
              </w:rPr>
            </w:pPr>
            <w:r>
              <w:rPr>
                <w:kern w:val="0"/>
                <w:sz w:val="20"/>
                <w:szCs w:val="20"/>
              </w:rPr>
              <w:t>Y＜100</w:t>
            </w:r>
          </w:p>
        </w:tc>
      </w:tr>
      <w:tr w14:paraId="63ED370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2CFD386A">
            <w:pPr>
              <w:widowControl/>
              <w:spacing w:line="240" w:lineRule="exact"/>
              <w:jc w:val="left"/>
              <w:rPr>
                <w:kern w:val="0"/>
                <w:sz w:val="20"/>
                <w:szCs w:val="20"/>
              </w:rPr>
            </w:pPr>
            <w:r>
              <w:rPr>
                <w:kern w:val="0"/>
                <w:sz w:val="20"/>
                <w:szCs w:val="20"/>
              </w:rPr>
              <w:t>交通运输业 *</w:t>
            </w:r>
          </w:p>
        </w:tc>
        <w:tc>
          <w:tcPr>
            <w:tcW w:w="1369" w:type="dxa"/>
            <w:tcBorders>
              <w:top w:val="nil"/>
              <w:left w:val="nil"/>
              <w:bottom w:val="nil"/>
              <w:right w:val="single" w:color="auto" w:sz="4" w:space="0"/>
            </w:tcBorders>
            <w:noWrap/>
            <w:vAlign w:val="center"/>
          </w:tcPr>
          <w:p w14:paraId="4DBAA675">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77ABFFC8">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4C07D6D3">
            <w:pPr>
              <w:widowControl/>
              <w:jc w:val="center"/>
              <w:rPr>
                <w:kern w:val="0"/>
                <w:sz w:val="20"/>
                <w:szCs w:val="20"/>
              </w:rPr>
            </w:pPr>
            <w:r>
              <w:rPr>
                <w:kern w:val="0"/>
                <w:sz w:val="20"/>
                <w:szCs w:val="20"/>
              </w:rPr>
              <w:t>X≥1000</w:t>
            </w:r>
          </w:p>
        </w:tc>
        <w:tc>
          <w:tcPr>
            <w:tcW w:w="1828" w:type="dxa"/>
            <w:tcBorders>
              <w:top w:val="nil"/>
              <w:left w:val="nil"/>
              <w:bottom w:val="nil"/>
              <w:right w:val="single" w:color="auto" w:sz="4" w:space="0"/>
            </w:tcBorders>
            <w:noWrap/>
            <w:vAlign w:val="center"/>
          </w:tcPr>
          <w:p w14:paraId="6239D6C2">
            <w:pPr>
              <w:widowControl/>
              <w:jc w:val="center"/>
              <w:rPr>
                <w:kern w:val="0"/>
                <w:sz w:val="20"/>
                <w:szCs w:val="20"/>
              </w:rPr>
            </w:pPr>
            <w:r>
              <w:rPr>
                <w:kern w:val="0"/>
                <w:sz w:val="20"/>
                <w:szCs w:val="20"/>
              </w:rPr>
              <w:t>300≤X＜1000</w:t>
            </w:r>
          </w:p>
        </w:tc>
        <w:tc>
          <w:tcPr>
            <w:tcW w:w="1588" w:type="dxa"/>
            <w:tcBorders>
              <w:top w:val="nil"/>
              <w:left w:val="nil"/>
              <w:bottom w:val="nil"/>
              <w:right w:val="single" w:color="auto" w:sz="4" w:space="0"/>
            </w:tcBorders>
            <w:noWrap/>
            <w:vAlign w:val="center"/>
          </w:tcPr>
          <w:p w14:paraId="0F1CA685">
            <w:pPr>
              <w:widowControl/>
              <w:jc w:val="center"/>
              <w:rPr>
                <w:kern w:val="0"/>
                <w:sz w:val="20"/>
                <w:szCs w:val="20"/>
              </w:rPr>
            </w:pPr>
            <w:r>
              <w:rPr>
                <w:kern w:val="0"/>
                <w:sz w:val="20"/>
                <w:szCs w:val="20"/>
              </w:rPr>
              <w:t xml:space="preserve"> 20≤X＜300</w:t>
            </w:r>
          </w:p>
        </w:tc>
        <w:tc>
          <w:tcPr>
            <w:tcW w:w="1122" w:type="dxa"/>
            <w:tcBorders>
              <w:top w:val="nil"/>
              <w:left w:val="nil"/>
              <w:bottom w:val="nil"/>
              <w:right w:val="nil"/>
            </w:tcBorders>
            <w:noWrap/>
            <w:vAlign w:val="center"/>
          </w:tcPr>
          <w:p w14:paraId="6D596541">
            <w:pPr>
              <w:widowControl/>
              <w:jc w:val="center"/>
              <w:rPr>
                <w:kern w:val="0"/>
                <w:sz w:val="20"/>
                <w:szCs w:val="20"/>
              </w:rPr>
            </w:pPr>
            <w:r>
              <w:rPr>
                <w:kern w:val="0"/>
                <w:sz w:val="20"/>
                <w:szCs w:val="20"/>
              </w:rPr>
              <w:t>X＜20</w:t>
            </w:r>
          </w:p>
        </w:tc>
      </w:tr>
      <w:tr w14:paraId="4785CBA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1968933">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7D7F4ABD">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66540AA">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0AC99E2C">
            <w:pPr>
              <w:widowControl/>
              <w:jc w:val="center"/>
              <w:rPr>
                <w:kern w:val="0"/>
                <w:sz w:val="20"/>
                <w:szCs w:val="20"/>
              </w:rPr>
            </w:pPr>
            <w:r>
              <w:rPr>
                <w:kern w:val="0"/>
                <w:sz w:val="20"/>
                <w:szCs w:val="20"/>
              </w:rPr>
              <w:t>Y≥30000</w:t>
            </w:r>
          </w:p>
        </w:tc>
        <w:tc>
          <w:tcPr>
            <w:tcW w:w="1828" w:type="dxa"/>
            <w:tcBorders>
              <w:top w:val="nil"/>
              <w:left w:val="nil"/>
              <w:bottom w:val="single" w:color="auto" w:sz="4" w:space="0"/>
              <w:right w:val="single" w:color="auto" w:sz="4" w:space="0"/>
            </w:tcBorders>
            <w:noWrap/>
            <w:vAlign w:val="center"/>
          </w:tcPr>
          <w:p w14:paraId="2E496763">
            <w:pPr>
              <w:widowControl/>
              <w:jc w:val="center"/>
              <w:rPr>
                <w:kern w:val="0"/>
                <w:sz w:val="20"/>
                <w:szCs w:val="20"/>
              </w:rPr>
            </w:pPr>
            <w:r>
              <w:rPr>
                <w:kern w:val="0"/>
                <w:sz w:val="20"/>
                <w:szCs w:val="20"/>
              </w:rPr>
              <w:t>3000≤Y＜30000</w:t>
            </w:r>
          </w:p>
        </w:tc>
        <w:tc>
          <w:tcPr>
            <w:tcW w:w="1588" w:type="dxa"/>
            <w:tcBorders>
              <w:top w:val="nil"/>
              <w:left w:val="nil"/>
              <w:bottom w:val="single" w:color="auto" w:sz="4" w:space="0"/>
              <w:right w:val="single" w:color="auto" w:sz="4" w:space="0"/>
            </w:tcBorders>
            <w:noWrap/>
            <w:vAlign w:val="center"/>
          </w:tcPr>
          <w:p w14:paraId="6AF8219B">
            <w:pPr>
              <w:widowControl/>
              <w:jc w:val="center"/>
              <w:rPr>
                <w:kern w:val="0"/>
                <w:sz w:val="20"/>
                <w:szCs w:val="20"/>
              </w:rPr>
            </w:pPr>
            <w:r>
              <w:rPr>
                <w:kern w:val="0"/>
                <w:sz w:val="20"/>
                <w:szCs w:val="20"/>
              </w:rPr>
              <w:t xml:space="preserve"> 200≤Y＜3000</w:t>
            </w:r>
          </w:p>
        </w:tc>
        <w:tc>
          <w:tcPr>
            <w:tcW w:w="1122" w:type="dxa"/>
            <w:tcBorders>
              <w:top w:val="nil"/>
              <w:left w:val="nil"/>
              <w:bottom w:val="single" w:color="auto" w:sz="4" w:space="0"/>
              <w:right w:val="nil"/>
            </w:tcBorders>
            <w:noWrap/>
            <w:vAlign w:val="center"/>
          </w:tcPr>
          <w:p w14:paraId="20DCF396">
            <w:pPr>
              <w:widowControl/>
              <w:jc w:val="center"/>
              <w:rPr>
                <w:kern w:val="0"/>
                <w:sz w:val="20"/>
                <w:szCs w:val="20"/>
              </w:rPr>
            </w:pPr>
            <w:r>
              <w:rPr>
                <w:kern w:val="0"/>
                <w:sz w:val="20"/>
                <w:szCs w:val="20"/>
              </w:rPr>
              <w:t>Y＜200</w:t>
            </w:r>
          </w:p>
        </w:tc>
      </w:tr>
      <w:tr w14:paraId="53D176E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28179B2">
            <w:pPr>
              <w:widowControl/>
              <w:spacing w:line="240" w:lineRule="exact"/>
              <w:jc w:val="left"/>
              <w:rPr>
                <w:kern w:val="0"/>
                <w:sz w:val="20"/>
                <w:szCs w:val="20"/>
              </w:rPr>
            </w:pPr>
            <w:r>
              <w:rPr>
                <w:kern w:val="0"/>
                <w:sz w:val="20"/>
                <w:szCs w:val="20"/>
              </w:rPr>
              <w:t>仓储业*</w:t>
            </w:r>
          </w:p>
        </w:tc>
        <w:tc>
          <w:tcPr>
            <w:tcW w:w="1369" w:type="dxa"/>
            <w:tcBorders>
              <w:top w:val="nil"/>
              <w:left w:val="nil"/>
              <w:bottom w:val="nil"/>
              <w:right w:val="single" w:color="auto" w:sz="4" w:space="0"/>
            </w:tcBorders>
            <w:noWrap/>
            <w:vAlign w:val="center"/>
          </w:tcPr>
          <w:p w14:paraId="000BBAC2">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00C115BC">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3AC993E1">
            <w:pPr>
              <w:widowControl/>
              <w:jc w:val="center"/>
              <w:rPr>
                <w:kern w:val="0"/>
                <w:sz w:val="20"/>
                <w:szCs w:val="20"/>
              </w:rPr>
            </w:pPr>
            <w:r>
              <w:rPr>
                <w:kern w:val="0"/>
                <w:sz w:val="20"/>
                <w:szCs w:val="20"/>
              </w:rPr>
              <w:t>X≥200</w:t>
            </w:r>
          </w:p>
        </w:tc>
        <w:tc>
          <w:tcPr>
            <w:tcW w:w="1828" w:type="dxa"/>
            <w:tcBorders>
              <w:top w:val="nil"/>
              <w:left w:val="nil"/>
              <w:bottom w:val="nil"/>
              <w:right w:val="single" w:color="auto" w:sz="4" w:space="0"/>
            </w:tcBorders>
            <w:noWrap/>
            <w:vAlign w:val="center"/>
          </w:tcPr>
          <w:p w14:paraId="62BC1302">
            <w:pPr>
              <w:widowControl/>
              <w:ind w:left="13" w:leftChars="-51" w:hanging="120" w:hangingChars="60"/>
              <w:jc w:val="center"/>
              <w:rPr>
                <w:kern w:val="0"/>
                <w:sz w:val="20"/>
                <w:szCs w:val="20"/>
              </w:rPr>
            </w:pPr>
            <w:r>
              <w:rPr>
                <w:kern w:val="0"/>
                <w:sz w:val="20"/>
                <w:szCs w:val="20"/>
              </w:rPr>
              <w:t>100≤X＜200</w:t>
            </w:r>
          </w:p>
        </w:tc>
        <w:tc>
          <w:tcPr>
            <w:tcW w:w="1588" w:type="dxa"/>
            <w:tcBorders>
              <w:top w:val="nil"/>
              <w:left w:val="nil"/>
              <w:bottom w:val="nil"/>
              <w:right w:val="single" w:color="auto" w:sz="4" w:space="0"/>
            </w:tcBorders>
            <w:noWrap/>
            <w:vAlign w:val="center"/>
          </w:tcPr>
          <w:p w14:paraId="48F7AA1B">
            <w:pPr>
              <w:widowControl/>
              <w:jc w:val="center"/>
              <w:rPr>
                <w:kern w:val="0"/>
                <w:sz w:val="20"/>
                <w:szCs w:val="20"/>
              </w:rPr>
            </w:pPr>
            <w:r>
              <w:rPr>
                <w:kern w:val="0"/>
                <w:sz w:val="20"/>
                <w:szCs w:val="20"/>
              </w:rPr>
              <w:t xml:space="preserve"> 20≤X＜100</w:t>
            </w:r>
          </w:p>
        </w:tc>
        <w:tc>
          <w:tcPr>
            <w:tcW w:w="1122" w:type="dxa"/>
            <w:tcBorders>
              <w:top w:val="nil"/>
              <w:left w:val="nil"/>
              <w:bottom w:val="nil"/>
              <w:right w:val="nil"/>
            </w:tcBorders>
            <w:noWrap/>
            <w:vAlign w:val="center"/>
          </w:tcPr>
          <w:p w14:paraId="5003525B">
            <w:pPr>
              <w:widowControl/>
              <w:jc w:val="center"/>
              <w:rPr>
                <w:kern w:val="0"/>
                <w:sz w:val="20"/>
                <w:szCs w:val="20"/>
              </w:rPr>
            </w:pPr>
            <w:r>
              <w:rPr>
                <w:kern w:val="0"/>
                <w:sz w:val="20"/>
                <w:szCs w:val="20"/>
              </w:rPr>
              <w:t>X＜20</w:t>
            </w:r>
          </w:p>
        </w:tc>
      </w:tr>
      <w:tr w14:paraId="5CA3BBF4">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98FDBBA">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71C075D7">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5860332C">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0C41DAE8">
            <w:pPr>
              <w:widowControl/>
              <w:jc w:val="center"/>
              <w:rPr>
                <w:kern w:val="0"/>
                <w:sz w:val="20"/>
                <w:szCs w:val="20"/>
              </w:rPr>
            </w:pPr>
            <w:r>
              <w:rPr>
                <w:kern w:val="0"/>
                <w:sz w:val="20"/>
                <w:szCs w:val="20"/>
              </w:rPr>
              <w:t>Y≥30000</w:t>
            </w:r>
          </w:p>
        </w:tc>
        <w:tc>
          <w:tcPr>
            <w:tcW w:w="1828" w:type="dxa"/>
            <w:tcBorders>
              <w:top w:val="nil"/>
              <w:left w:val="nil"/>
              <w:bottom w:val="single" w:color="auto" w:sz="4" w:space="0"/>
              <w:right w:val="single" w:color="auto" w:sz="4" w:space="0"/>
            </w:tcBorders>
            <w:noWrap/>
            <w:vAlign w:val="center"/>
          </w:tcPr>
          <w:p w14:paraId="4A590A84">
            <w:pPr>
              <w:widowControl/>
              <w:jc w:val="center"/>
              <w:rPr>
                <w:kern w:val="0"/>
                <w:sz w:val="20"/>
                <w:szCs w:val="20"/>
              </w:rPr>
            </w:pPr>
            <w:r>
              <w:rPr>
                <w:kern w:val="0"/>
                <w:sz w:val="20"/>
                <w:szCs w:val="20"/>
              </w:rPr>
              <w:t>1000≤Y＜30000</w:t>
            </w:r>
          </w:p>
        </w:tc>
        <w:tc>
          <w:tcPr>
            <w:tcW w:w="1588" w:type="dxa"/>
            <w:tcBorders>
              <w:top w:val="nil"/>
              <w:left w:val="nil"/>
              <w:bottom w:val="single" w:color="auto" w:sz="4" w:space="0"/>
              <w:right w:val="single" w:color="auto" w:sz="4" w:space="0"/>
            </w:tcBorders>
            <w:noWrap/>
            <w:vAlign w:val="center"/>
          </w:tcPr>
          <w:p w14:paraId="6CA50E22">
            <w:pPr>
              <w:widowControl/>
              <w:jc w:val="center"/>
              <w:rPr>
                <w:kern w:val="0"/>
                <w:sz w:val="20"/>
                <w:szCs w:val="20"/>
              </w:rPr>
            </w:pPr>
            <w:r>
              <w:rPr>
                <w:kern w:val="0"/>
                <w:sz w:val="20"/>
                <w:szCs w:val="20"/>
              </w:rPr>
              <w:t xml:space="preserve"> 100≤Y＜1000</w:t>
            </w:r>
          </w:p>
        </w:tc>
        <w:tc>
          <w:tcPr>
            <w:tcW w:w="1122" w:type="dxa"/>
            <w:tcBorders>
              <w:top w:val="nil"/>
              <w:left w:val="nil"/>
              <w:bottom w:val="single" w:color="auto" w:sz="4" w:space="0"/>
              <w:right w:val="nil"/>
            </w:tcBorders>
            <w:noWrap/>
            <w:vAlign w:val="center"/>
          </w:tcPr>
          <w:p w14:paraId="52B40FB7">
            <w:pPr>
              <w:widowControl/>
              <w:jc w:val="center"/>
              <w:rPr>
                <w:kern w:val="0"/>
                <w:sz w:val="20"/>
                <w:szCs w:val="20"/>
              </w:rPr>
            </w:pPr>
            <w:r>
              <w:rPr>
                <w:kern w:val="0"/>
                <w:sz w:val="20"/>
                <w:szCs w:val="20"/>
              </w:rPr>
              <w:t>Y＜100</w:t>
            </w:r>
          </w:p>
        </w:tc>
      </w:tr>
      <w:tr w14:paraId="6CC0AA52">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14F2300">
            <w:pPr>
              <w:widowControl/>
              <w:spacing w:line="240" w:lineRule="exact"/>
              <w:jc w:val="left"/>
              <w:rPr>
                <w:kern w:val="0"/>
                <w:sz w:val="20"/>
                <w:szCs w:val="20"/>
              </w:rPr>
            </w:pPr>
            <w:r>
              <w:rPr>
                <w:kern w:val="0"/>
                <w:sz w:val="20"/>
                <w:szCs w:val="20"/>
              </w:rPr>
              <w:t>邮政业</w:t>
            </w:r>
          </w:p>
        </w:tc>
        <w:tc>
          <w:tcPr>
            <w:tcW w:w="1369" w:type="dxa"/>
            <w:tcBorders>
              <w:top w:val="nil"/>
              <w:left w:val="nil"/>
              <w:bottom w:val="nil"/>
              <w:right w:val="single" w:color="auto" w:sz="4" w:space="0"/>
            </w:tcBorders>
            <w:noWrap/>
            <w:vAlign w:val="center"/>
          </w:tcPr>
          <w:p w14:paraId="6F36CC2D">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2536FA82">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067B26B4">
            <w:pPr>
              <w:widowControl/>
              <w:jc w:val="center"/>
              <w:rPr>
                <w:kern w:val="0"/>
                <w:sz w:val="20"/>
                <w:szCs w:val="20"/>
              </w:rPr>
            </w:pPr>
            <w:r>
              <w:rPr>
                <w:kern w:val="0"/>
                <w:sz w:val="20"/>
                <w:szCs w:val="20"/>
              </w:rPr>
              <w:t>X≥1000</w:t>
            </w:r>
          </w:p>
        </w:tc>
        <w:tc>
          <w:tcPr>
            <w:tcW w:w="1828" w:type="dxa"/>
            <w:tcBorders>
              <w:top w:val="nil"/>
              <w:left w:val="nil"/>
              <w:bottom w:val="nil"/>
              <w:right w:val="single" w:color="auto" w:sz="4" w:space="0"/>
            </w:tcBorders>
            <w:noWrap/>
            <w:vAlign w:val="center"/>
          </w:tcPr>
          <w:p w14:paraId="1EF4732E">
            <w:pPr>
              <w:widowControl/>
              <w:jc w:val="center"/>
              <w:rPr>
                <w:kern w:val="0"/>
                <w:sz w:val="20"/>
                <w:szCs w:val="20"/>
              </w:rPr>
            </w:pPr>
            <w:r>
              <w:rPr>
                <w:kern w:val="0"/>
                <w:sz w:val="20"/>
                <w:szCs w:val="20"/>
              </w:rPr>
              <w:t>300≤X＜1000</w:t>
            </w:r>
          </w:p>
        </w:tc>
        <w:tc>
          <w:tcPr>
            <w:tcW w:w="1588" w:type="dxa"/>
            <w:tcBorders>
              <w:top w:val="nil"/>
              <w:left w:val="nil"/>
              <w:bottom w:val="nil"/>
              <w:right w:val="single" w:color="auto" w:sz="4" w:space="0"/>
            </w:tcBorders>
            <w:noWrap/>
            <w:vAlign w:val="center"/>
          </w:tcPr>
          <w:p w14:paraId="759ADC0D">
            <w:pPr>
              <w:widowControl/>
              <w:jc w:val="center"/>
              <w:rPr>
                <w:kern w:val="0"/>
                <w:sz w:val="20"/>
                <w:szCs w:val="20"/>
              </w:rPr>
            </w:pPr>
            <w:r>
              <w:rPr>
                <w:kern w:val="0"/>
                <w:sz w:val="20"/>
                <w:szCs w:val="20"/>
              </w:rPr>
              <w:t xml:space="preserve"> 20≤X＜300</w:t>
            </w:r>
          </w:p>
        </w:tc>
        <w:tc>
          <w:tcPr>
            <w:tcW w:w="1122" w:type="dxa"/>
            <w:tcBorders>
              <w:top w:val="nil"/>
              <w:left w:val="nil"/>
              <w:bottom w:val="nil"/>
              <w:right w:val="nil"/>
            </w:tcBorders>
            <w:noWrap/>
            <w:vAlign w:val="center"/>
          </w:tcPr>
          <w:p w14:paraId="7588B2AF">
            <w:pPr>
              <w:widowControl/>
              <w:jc w:val="center"/>
              <w:rPr>
                <w:kern w:val="0"/>
                <w:sz w:val="20"/>
                <w:szCs w:val="20"/>
              </w:rPr>
            </w:pPr>
            <w:r>
              <w:rPr>
                <w:kern w:val="0"/>
                <w:sz w:val="20"/>
                <w:szCs w:val="20"/>
              </w:rPr>
              <w:t>X＜20</w:t>
            </w:r>
          </w:p>
        </w:tc>
      </w:tr>
      <w:tr w14:paraId="7C385E02">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CB55FCC">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6ED52DEC">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2A722E1">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3C282170">
            <w:pPr>
              <w:widowControl/>
              <w:jc w:val="center"/>
              <w:rPr>
                <w:kern w:val="0"/>
                <w:sz w:val="20"/>
                <w:szCs w:val="20"/>
              </w:rPr>
            </w:pPr>
            <w:r>
              <w:rPr>
                <w:kern w:val="0"/>
                <w:sz w:val="20"/>
                <w:szCs w:val="20"/>
              </w:rPr>
              <w:t>Y≥30000</w:t>
            </w:r>
          </w:p>
        </w:tc>
        <w:tc>
          <w:tcPr>
            <w:tcW w:w="1828" w:type="dxa"/>
            <w:tcBorders>
              <w:top w:val="nil"/>
              <w:left w:val="nil"/>
              <w:bottom w:val="single" w:color="auto" w:sz="4" w:space="0"/>
              <w:right w:val="single" w:color="auto" w:sz="4" w:space="0"/>
            </w:tcBorders>
            <w:noWrap/>
            <w:vAlign w:val="center"/>
          </w:tcPr>
          <w:p w14:paraId="4A8E4E6F">
            <w:pPr>
              <w:widowControl/>
              <w:jc w:val="center"/>
              <w:rPr>
                <w:kern w:val="0"/>
                <w:sz w:val="20"/>
                <w:szCs w:val="20"/>
              </w:rPr>
            </w:pPr>
            <w:r>
              <w:rPr>
                <w:kern w:val="0"/>
                <w:sz w:val="20"/>
                <w:szCs w:val="20"/>
              </w:rPr>
              <w:t>2000≤Y＜30000</w:t>
            </w:r>
          </w:p>
        </w:tc>
        <w:tc>
          <w:tcPr>
            <w:tcW w:w="1588" w:type="dxa"/>
            <w:tcBorders>
              <w:top w:val="nil"/>
              <w:left w:val="nil"/>
              <w:bottom w:val="single" w:color="auto" w:sz="4" w:space="0"/>
              <w:right w:val="single" w:color="auto" w:sz="4" w:space="0"/>
            </w:tcBorders>
            <w:noWrap/>
            <w:vAlign w:val="center"/>
          </w:tcPr>
          <w:p w14:paraId="0E9111DE">
            <w:pPr>
              <w:widowControl/>
              <w:jc w:val="center"/>
              <w:rPr>
                <w:kern w:val="0"/>
                <w:sz w:val="20"/>
                <w:szCs w:val="20"/>
              </w:rPr>
            </w:pPr>
            <w:r>
              <w:rPr>
                <w:kern w:val="0"/>
                <w:sz w:val="20"/>
                <w:szCs w:val="20"/>
              </w:rPr>
              <w:t xml:space="preserve"> 100≤Y＜2000</w:t>
            </w:r>
          </w:p>
        </w:tc>
        <w:tc>
          <w:tcPr>
            <w:tcW w:w="1122" w:type="dxa"/>
            <w:tcBorders>
              <w:top w:val="nil"/>
              <w:left w:val="nil"/>
              <w:bottom w:val="single" w:color="auto" w:sz="4" w:space="0"/>
              <w:right w:val="nil"/>
            </w:tcBorders>
            <w:noWrap/>
            <w:vAlign w:val="center"/>
          </w:tcPr>
          <w:p w14:paraId="63A32D26">
            <w:pPr>
              <w:widowControl/>
              <w:jc w:val="center"/>
              <w:rPr>
                <w:kern w:val="0"/>
                <w:sz w:val="20"/>
                <w:szCs w:val="20"/>
              </w:rPr>
            </w:pPr>
            <w:r>
              <w:rPr>
                <w:kern w:val="0"/>
                <w:sz w:val="20"/>
                <w:szCs w:val="20"/>
              </w:rPr>
              <w:t>Y＜100</w:t>
            </w:r>
          </w:p>
        </w:tc>
      </w:tr>
      <w:tr w14:paraId="624E626A">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88EB009">
            <w:pPr>
              <w:widowControl/>
              <w:spacing w:line="240" w:lineRule="exact"/>
              <w:jc w:val="left"/>
              <w:rPr>
                <w:kern w:val="0"/>
                <w:sz w:val="20"/>
                <w:szCs w:val="20"/>
              </w:rPr>
            </w:pPr>
            <w:r>
              <w:rPr>
                <w:kern w:val="0"/>
                <w:sz w:val="20"/>
                <w:szCs w:val="20"/>
              </w:rPr>
              <w:t>住宿业</w:t>
            </w:r>
          </w:p>
        </w:tc>
        <w:tc>
          <w:tcPr>
            <w:tcW w:w="1369" w:type="dxa"/>
            <w:tcBorders>
              <w:top w:val="nil"/>
              <w:left w:val="nil"/>
              <w:bottom w:val="nil"/>
              <w:right w:val="single" w:color="auto" w:sz="4" w:space="0"/>
            </w:tcBorders>
            <w:noWrap/>
            <w:vAlign w:val="center"/>
          </w:tcPr>
          <w:p w14:paraId="09929C45">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0F877C5E">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6E6CB32A">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30DD8991">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nil"/>
              <w:right w:val="single" w:color="auto" w:sz="4" w:space="0"/>
            </w:tcBorders>
            <w:noWrap/>
            <w:vAlign w:val="center"/>
          </w:tcPr>
          <w:p w14:paraId="32BF0D6F">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64A8CA3E">
            <w:pPr>
              <w:widowControl/>
              <w:jc w:val="center"/>
              <w:rPr>
                <w:kern w:val="0"/>
                <w:sz w:val="20"/>
                <w:szCs w:val="20"/>
              </w:rPr>
            </w:pPr>
            <w:r>
              <w:rPr>
                <w:kern w:val="0"/>
                <w:sz w:val="20"/>
                <w:szCs w:val="20"/>
              </w:rPr>
              <w:t>X＜10</w:t>
            </w:r>
          </w:p>
        </w:tc>
      </w:tr>
      <w:tr w14:paraId="17449F22">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AD14C31">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57AEB0D4">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7524218">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553F5D5A">
            <w:pPr>
              <w:widowControl/>
              <w:jc w:val="center"/>
              <w:rPr>
                <w:kern w:val="0"/>
                <w:sz w:val="20"/>
                <w:szCs w:val="20"/>
              </w:rPr>
            </w:pPr>
            <w:r>
              <w:rPr>
                <w:kern w:val="0"/>
                <w:sz w:val="20"/>
                <w:szCs w:val="20"/>
              </w:rPr>
              <w:t>Y≥10000</w:t>
            </w:r>
          </w:p>
        </w:tc>
        <w:tc>
          <w:tcPr>
            <w:tcW w:w="1828" w:type="dxa"/>
            <w:tcBorders>
              <w:top w:val="nil"/>
              <w:left w:val="nil"/>
              <w:bottom w:val="single" w:color="auto" w:sz="4" w:space="0"/>
              <w:right w:val="single" w:color="auto" w:sz="4" w:space="0"/>
            </w:tcBorders>
            <w:noWrap/>
            <w:vAlign w:val="center"/>
          </w:tcPr>
          <w:p w14:paraId="7729221F">
            <w:pPr>
              <w:widowControl/>
              <w:jc w:val="center"/>
              <w:rPr>
                <w:kern w:val="0"/>
                <w:sz w:val="20"/>
                <w:szCs w:val="20"/>
              </w:rPr>
            </w:pPr>
            <w:r>
              <w:rPr>
                <w:kern w:val="0"/>
                <w:sz w:val="20"/>
                <w:szCs w:val="20"/>
              </w:rPr>
              <w:t>2000≤Y＜10000</w:t>
            </w:r>
          </w:p>
        </w:tc>
        <w:tc>
          <w:tcPr>
            <w:tcW w:w="1588" w:type="dxa"/>
            <w:tcBorders>
              <w:top w:val="nil"/>
              <w:left w:val="nil"/>
              <w:bottom w:val="single" w:color="auto" w:sz="4" w:space="0"/>
              <w:right w:val="single" w:color="auto" w:sz="4" w:space="0"/>
            </w:tcBorders>
            <w:noWrap/>
            <w:vAlign w:val="center"/>
          </w:tcPr>
          <w:p w14:paraId="6181DA34">
            <w:pPr>
              <w:widowControl/>
              <w:jc w:val="center"/>
              <w:rPr>
                <w:kern w:val="0"/>
                <w:sz w:val="20"/>
                <w:szCs w:val="20"/>
              </w:rPr>
            </w:pPr>
            <w:r>
              <w:rPr>
                <w:kern w:val="0"/>
                <w:sz w:val="20"/>
                <w:szCs w:val="20"/>
              </w:rPr>
              <w:t xml:space="preserve"> 100≤Y＜2000</w:t>
            </w:r>
          </w:p>
        </w:tc>
        <w:tc>
          <w:tcPr>
            <w:tcW w:w="1122" w:type="dxa"/>
            <w:tcBorders>
              <w:top w:val="nil"/>
              <w:left w:val="nil"/>
              <w:bottom w:val="single" w:color="auto" w:sz="4" w:space="0"/>
              <w:right w:val="nil"/>
            </w:tcBorders>
            <w:noWrap/>
            <w:vAlign w:val="center"/>
          </w:tcPr>
          <w:p w14:paraId="2B69356B">
            <w:pPr>
              <w:widowControl/>
              <w:jc w:val="center"/>
              <w:rPr>
                <w:kern w:val="0"/>
                <w:sz w:val="20"/>
                <w:szCs w:val="20"/>
              </w:rPr>
            </w:pPr>
            <w:r>
              <w:rPr>
                <w:kern w:val="0"/>
                <w:sz w:val="20"/>
                <w:szCs w:val="20"/>
              </w:rPr>
              <w:t>Y＜100</w:t>
            </w:r>
          </w:p>
        </w:tc>
      </w:tr>
      <w:tr w14:paraId="12FAF6B2">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67B27DF3">
            <w:pPr>
              <w:widowControl/>
              <w:spacing w:line="240" w:lineRule="exact"/>
              <w:jc w:val="left"/>
              <w:rPr>
                <w:kern w:val="0"/>
                <w:sz w:val="20"/>
                <w:szCs w:val="20"/>
              </w:rPr>
            </w:pPr>
            <w:r>
              <w:rPr>
                <w:kern w:val="0"/>
                <w:sz w:val="20"/>
                <w:szCs w:val="20"/>
              </w:rPr>
              <w:t>餐饮业</w:t>
            </w:r>
          </w:p>
        </w:tc>
        <w:tc>
          <w:tcPr>
            <w:tcW w:w="1369" w:type="dxa"/>
            <w:tcBorders>
              <w:top w:val="nil"/>
              <w:left w:val="nil"/>
              <w:bottom w:val="nil"/>
              <w:right w:val="single" w:color="auto" w:sz="4" w:space="0"/>
            </w:tcBorders>
            <w:noWrap/>
            <w:vAlign w:val="center"/>
          </w:tcPr>
          <w:p w14:paraId="6CDC9F86">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08D2CABB">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26501F2F">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17C83BA2">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nil"/>
              <w:right w:val="single" w:color="auto" w:sz="4" w:space="0"/>
            </w:tcBorders>
            <w:noWrap/>
            <w:vAlign w:val="center"/>
          </w:tcPr>
          <w:p w14:paraId="1A8BD5EC">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46E244FF">
            <w:pPr>
              <w:widowControl/>
              <w:jc w:val="center"/>
              <w:rPr>
                <w:kern w:val="0"/>
                <w:sz w:val="20"/>
                <w:szCs w:val="20"/>
              </w:rPr>
            </w:pPr>
            <w:r>
              <w:rPr>
                <w:kern w:val="0"/>
                <w:sz w:val="20"/>
                <w:szCs w:val="20"/>
              </w:rPr>
              <w:t>X＜10</w:t>
            </w:r>
          </w:p>
        </w:tc>
      </w:tr>
      <w:tr w14:paraId="7B90236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3439426">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314CEE5A">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30F815B">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1A9A8977">
            <w:pPr>
              <w:widowControl/>
              <w:jc w:val="center"/>
              <w:rPr>
                <w:kern w:val="0"/>
                <w:sz w:val="20"/>
                <w:szCs w:val="20"/>
              </w:rPr>
            </w:pPr>
            <w:r>
              <w:rPr>
                <w:kern w:val="0"/>
                <w:sz w:val="20"/>
                <w:szCs w:val="20"/>
              </w:rPr>
              <w:t>Y≥10000</w:t>
            </w:r>
          </w:p>
        </w:tc>
        <w:tc>
          <w:tcPr>
            <w:tcW w:w="1828" w:type="dxa"/>
            <w:tcBorders>
              <w:top w:val="nil"/>
              <w:left w:val="nil"/>
              <w:bottom w:val="single" w:color="auto" w:sz="4" w:space="0"/>
              <w:right w:val="single" w:color="auto" w:sz="4" w:space="0"/>
            </w:tcBorders>
            <w:noWrap/>
            <w:vAlign w:val="center"/>
          </w:tcPr>
          <w:p w14:paraId="1E3F37B3">
            <w:pPr>
              <w:widowControl/>
              <w:jc w:val="center"/>
              <w:rPr>
                <w:kern w:val="0"/>
                <w:sz w:val="20"/>
                <w:szCs w:val="20"/>
              </w:rPr>
            </w:pPr>
            <w:r>
              <w:rPr>
                <w:kern w:val="0"/>
                <w:sz w:val="20"/>
                <w:szCs w:val="20"/>
              </w:rPr>
              <w:t>2000≤Y＜10000</w:t>
            </w:r>
          </w:p>
        </w:tc>
        <w:tc>
          <w:tcPr>
            <w:tcW w:w="1588" w:type="dxa"/>
            <w:tcBorders>
              <w:top w:val="nil"/>
              <w:left w:val="nil"/>
              <w:bottom w:val="single" w:color="auto" w:sz="4" w:space="0"/>
              <w:right w:val="single" w:color="auto" w:sz="4" w:space="0"/>
            </w:tcBorders>
            <w:noWrap/>
            <w:vAlign w:val="center"/>
          </w:tcPr>
          <w:p w14:paraId="6ABF8534">
            <w:pPr>
              <w:widowControl/>
              <w:jc w:val="center"/>
              <w:rPr>
                <w:kern w:val="0"/>
                <w:sz w:val="20"/>
                <w:szCs w:val="20"/>
              </w:rPr>
            </w:pPr>
            <w:r>
              <w:rPr>
                <w:kern w:val="0"/>
                <w:sz w:val="20"/>
                <w:szCs w:val="20"/>
              </w:rPr>
              <w:t xml:space="preserve"> 100≤Y＜2000</w:t>
            </w:r>
          </w:p>
        </w:tc>
        <w:tc>
          <w:tcPr>
            <w:tcW w:w="1122" w:type="dxa"/>
            <w:tcBorders>
              <w:top w:val="nil"/>
              <w:left w:val="nil"/>
              <w:bottom w:val="single" w:color="auto" w:sz="4" w:space="0"/>
              <w:right w:val="nil"/>
            </w:tcBorders>
            <w:noWrap/>
            <w:vAlign w:val="center"/>
          </w:tcPr>
          <w:p w14:paraId="5DE7CC4D">
            <w:pPr>
              <w:widowControl/>
              <w:jc w:val="center"/>
              <w:rPr>
                <w:kern w:val="0"/>
                <w:sz w:val="20"/>
                <w:szCs w:val="20"/>
              </w:rPr>
            </w:pPr>
            <w:r>
              <w:rPr>
                <w:kern w:val="0"/>
                <w:sz w:val="20"/>
                <w:szCs w:val="20"/>
              </w:rPr>
              <w:t>Y＜100</w:t>
            </w:r>
          </w:p>
        </w:tc>
      </w:tr>
      <w:tr w14:paraId="19D48215">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0510122">
            <w:pPr>
              <w:widowControl/>
              <w:spacing w:line="240" w:lineRule="exact"/>
              <w:jc w:val="left"/>
              <w:rPr>
                <w:kern w:val="0"/>
                <w:sz w:val="20"/>
                <w:szCs w:val="20"/>
              </w:rPr>
            </w:pPr>
            <w:r>
              <w:rPr>
                <w:kern w:val="0"/>
                <w:sz w:val="20"/>
                <w:szCs w:val="20"/>
              </w:rPr>
              <w:t>信息传输业 *</w:t>
            </w:r>
          </w:p>
        </w:tc>
        <w:tc>
          <w:tcPr>
            <w:tcW w:w="1369" w:type="dxa"/>
            <w:tcBorders>
              <w:top w:val="nil"/>
              <w:left w:val="nil"/>
              <w:bottom w:val="nil"/>
              <w:right w:val="single" w:color="auto" w:sz="4" w:space="0"/>
            </w:tcBorders>
            <w:noWrap/>
            <w:vAlign w:val="center"/>
          </w:tcPr>
          <w:p w14:paraId="45763C81">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3770092A">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10640041">
            <w:pPr>
              <w:widowControl/>
              <w:jc w:val="center"/>
              <w:rPr>
                <w:kern w:val="0"/>
                <w:sz w:val="20"/>
                <w:szCs w:val="20"/>
              </w:rPr>
            </w:pPr>
            <w:r>
              <w:rPr>
                <w:kern w:val="0"/>
                <w:sz w:val="20"/>
                <w:szCs w:val="20"/>
              </w:rPr>
              <w:t>X≥2000</w:t>
            </w:r>
          </w:p>
        </w:tc>
        <w:tc>
          <w:tcPr>
            <w:tcW w:w="1828" w:type="dxa"/>
            <w:tcBorders>
              <w:top w:val="nil"/>
              <w:left w:val="nil"/>
              <w:bottom w:val="nil"/>
              <w:right w:val="single" w:color="auto" w:sz="4" w:space="0"/>
            </w:tcBorders>
            <w:noWrap/>
            <w:vAlign w:val="center"/>
          </w:tcPr>
          <w:p w14:paraId="6DA5E466">
            <w:pPr>
              <w:widowControl/>
              <w:jc w:val="center"/>
              <w:rPr>
                <w:kern w:val="0"/>
                <w:sz w:val="20"/>
                <w:szCs w:val="20"/>
              </w:rPr>
            </w:pPr>
            <w:r>
              <w:rPr>
                <w:kern w:val="0"/>
                <w:sz w:val="20"/>
                <w:szCs w:val="20"/>
              </w:rPr>
              <w:t>100≤X＜2000</w:t>
            </w:r>
          </w:p>
        </w:tc>
        <w:tc>
          <w:tcPr>
            <w:tcW w:w="1588" w:type="dxa"/>
            <w:tcBorders>
              <w:top w:val="nil"/>
              <w:left w:val="nil"/>
              <w:bottom w:val="nil"/>
              <w:right w:val="single" w:color="auto" w:sz="4" w:space="0"/>
            </w:tcBorders>
            <w:noWrap/>
            <w:vAlign w:val="center"/>
          </w:tcPr>
          <w:p w14:paraId="7C2D53F9">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12F1DAE4">
            <w:pPr>
              <w:widowControl/>
              <w:jc w:val="center"/>
              <w:rPr>
                <w:kern w:val="0"/>
                <w:sz w:val="20"/>
                <w:szCs w:val="20"/>
              </w:rPr>
            </w:pPr>
            <w:r>
              <w:rPr>
                <w:kern w:val="0"/>
                <w:sz w:val="20"/>
                <w:szCs w:val="20"/>
              </w:rPr>
              <w:t>X＜10</w:t>
            </w:r>
          </w:p>
        </w:tc>
      </w:tr>
      <w:tr w14:paraId="7A3489C4">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76912FFA">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66D94B58">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F7FC5E0">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7E6ED1DA">
            <w:pPr>
              <w:widowControl/>
              <w:jc w:val="center"/>
              <w:rPr>
                <w:kern w:val="0"/>
                <w:sz w:val="20"/>
                <w:szCs w:val="20"/>
              </w:rPr>
            </w:pPr>
            <w:r>
              <w:rPr>
                <w:kern w:val="0"/>
                <w:sz w:val="20"/>
                <w:szCs w:val="20"/>
              </w:rPr>
              <w:t>Y≥100000</w:t>
            </w:r>
          </w:p>
        </w:tc>
        <w:tc>
          <w:tcPr>
            <w:tcW w:w="1828" w:type="dxa"/>
            <w:tcBorders>
              <w:top w:val="nil"/>
              <w:left w:val="nil"/>
              <w:bottom w:val="single" w:color="auto" w:sz="4" w:space="0"/>
              <w:right w:val="single" w:color="auto" w:sz="4" w:space="0"/>
            </w:tcBorders>
            <w:noWrap/>
            <w:vAlign w:val="center"/>
          </w:tcPr>
          <w:p w14:paraId="6C6210B0">
            <w:pPr>
              <w:widowControl/>
              <w:jc w:val="center"/>
              <w:rPr>
                <w:kern w:val="0"/>
                <w:sz w:val="20"/>
                <w:szCs w:val="20"/>
              </w:rPr>
            </w:pPr>
            <w:r>
              <w:rPr>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14:paraId="4516FFAF">
            <w:pPr>
              <w:widowControl/>
              <w:jc w:val="center"/>
              <w:rPr>
                <w:kern w:val="0"/>
                <w:sz w:val="20"/>
                <w:szCs w:val="20"/>
              </w:rPr>
            </w:pPr>
            <w:r>
              <w:rPr>
                <w:kern w:val="0"/>
                <w:sz w:val="20"/>
                <w:szCs w:val="20"/>
              </w:rPr>
              <w:t xml:space="preserve"> 100≤Y＜1000</w:t>
            </w:r>
          </w:p>
        </w:tc>
        <w:tc>
          <w:tcPr>
            <w:tcW w:w="1122" w:type="dxa"/>
            <w:tcBorders>
              <w:top w:val="nil"/>
              <w:left w:val="nil"/>
              <w:bottom w:val="single" w:color="auto" w:sz="4" w:space="0"/>
              <w:right w:val="nil"/>
            </w:tcBorders>
            <w:noWrap/>
            <w:vAlign w:val="center"/>
          </w:tcPr>
          <w:p w14:paraId="140BEB4E">
            <w:pPr>
              <w:widowControl/>
              <w:jc w:val="center"/>
              <w:rPr>
                <w:kern w:val="0"/>
                <w:sz w:val="20"/>
                <w:szCs w:val="20"/>
              </w:rPr>
            </w:pPr>
            <w:r>
              <w:rPr>
                <w:kern w:val="0"/>
                <w:sz w:val="20"/>
                <w:szCs w:val="20"/>
              </w:rPr>
              <w:t>Y＜100</w:t>
            </w:r>
          </w:p>
        </w:tc>
      </w:tr>
      <w:tr w14:paraId="45C11CB3">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3FA3C597">
            <w:pPr>
              <w:widowControl/>
              <w:spacing w:line="240" w:lineRule="exact"/>
              <w:jc w:val="left"/>
              <w:rPr>
                <w:spacing w:val="-12"/>
                <w:kern w:val="0"/>
                <w:sz w:val="20"/>
                <w:szCs w:val="20"/>
              </w:rPr>
            </w:pPr>
            <w:r>
              <w:rPr>
                <w:spacing w:val="-12"/>
                <w:kern w:val="0"/>
                <w:sz w:val="20"/>
                <w:szCs w:val="20"/>
              </w:rPr>
              <w:t>软件和信息技术服</w:t>
            </w:r>
            <w:r>
              <w:rPr>
                <w:kern w:val="0"/>
                <w:sz w:val="20"/>
                <w:szCs w:val="20"/>
              </w:rPr>
              <w:t>务业</w:t>
            </w:r>
          </w:p>
        </w:tc>
        <w:tc>
          <w:tcPr>
            <w:tcW w:w="1369" w:type="dxa"/>
            <w:tcBorders>
              <w:top w:val="nil"/>
              <w:left w:val="nil"/>
              <w:bottom w:val="nil"/>
              <w:right w:val="single" w:color="auto" w:sz="4" w:space="0"/>
            </w:tcBorders>
            <w:noWrap/>
            <w:vAlign w:val="center"/>
          </w:tcPr>
          <w:p w14:paraId="2C4E3C90">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5D480985">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7D2D41EC">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76AD9EF1">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nil"/>
              <w:right w:val="single" w:color="auto" w:sz="4" w:space="0"/>
            </w:tcBorders>
            <w:noWrap/>
            <w:vAlign w:val="center"/>
          </w:tcPr>
          <w:p w14:paraId="46E6FEEC">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55465CCF">
            <w:pPr>
              <w:widowControl/>
              <w:jc w:val="center"/>
              <w:rPr>
                <w:kern w:val="0"/>
                <w:sz w:val="20"/>
                <w:szCs w:val="20"/>
              </w:rPr>
            </w:pPr>
            <w:r>
              <w:rPr>
                <w:kern w:val="0"/>
                <w:sz w:val="20"/>
                <w:szCs w:val="20"/>
              </w:rPr>
              <w:t>X＜10</w:t>
            </w:r>
          </w:p>
        </w:tc>
      </w:tr>
      <w:tr w14:paraId="227ACD28">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067E8D85">
            <w:pPr>
              <w:widowControl/>
              <w:jc w:val="left"/>
              <w:rPr>
                <w:spacing w:val="-12"/>
                <w:kern w:val="0"/>
                <w:sz w:val="20"/>
                <w:szCs w:val="20"/>
              </w:rPr>
            </w:pPr>
          </w:p>
        </w:tc>
        <w:tc>
          <w:tcPr>
            <w:tcW w:w="1369" w:type="dxa"/>
            <w:tcBorders>
              <w:top w:val="nil"/>
              <w:left w:val="nil"/>
              <w:bottom w:val="single" w:color="auto" w:sz="4" w:space="0"/>
              <w:right w:val="single" w:color="auto" w:sz="4" w:space="0"/>
            </w:tcBorders>
            <w:noWrap/>
            <w:vAlign w:val="center"/>
          </w:tcPr>
          <w:p w14:paraId="057AF5C4">
            <w:pPr>
              <w:widowControl/>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2E7A499">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1E3DD7A6">
            <w:pPr>
              <w:widowControl/>
              <w:jc w:val="center"/>
              <w:rPr>
                <w:kern w:val="0"/>
                <w:sz w:val="20"/>
                <w:szCs w:val="20"/>
              </w:rPr>
            </w:pPr>
            <w:r>
              <w:rPr>
                <w:kern w:val="0"/>
                <w:sz w:val="20"/>
                <w:szCs w:val="20"/>
              </w:rPr>
              <w:t>Y≥10000</w:t>
            </w:r>
          </w:p>
        </w:tc>
        <w:tc>
          <w:tcPr>
            <w:tcW w:w="1828" w:type="dxa"/>
            <w:tcBorders>
              <w:top w:val="nil"/>
              <w:left w:val="nil"/>
              <w:bottom w:val="single" w:color="auto" w:sz="4" w:space="0"/>
              <w:right w:val="single" w:color="auto" w:sz="4" w:space="0"/>
            </w:tcBorders>
            <w:noWrap/>
            <w:vAlign w:val="center"/>
          </w:tcPr>
          <w:p w14:paraId="4556DF58">
            <w:pPr>
              <w:widowControl/>
              <w:jc w:val="center"/>
              <w:rPr>
                <w:kern w:val="0"/>
                <w:sz w:val="20"/>
                <w:szCs w:val="20"/>
              </w:rPr>
            </w:pPr>
            <w:r>
              <w:rPr>
                <w:kern w:val="0"/>
                <w:sz w:val="20"/>
                <w:szCs w:val="20"/>
              </w:rPr>
              <w:t>1000≤Y＜10000</w:t>
            </w:r>
          </w:p>
        </w:tc>
        <w:tc>
          <w:tcPr>
            <w:tcW w:w="1588" w:type="dxa"/>
            <w:tcBorders>
              <w:top w:val="nil"/>
              <w:left w:val="nil"/>
              <w:bottom w:val="single" w:color="auto" w:sz="4" w:space="0"/>
              <w:right w:val="single" w:color="auto" w:sz="4" w:space="0"/>
            </w:tcBorders>
            <w:noWrap/>
            <w:vAlign w:val="center"/>
          </w:tcPr>
          <w:p w14:paraId="4BA21A65">
            <w:pPr>
              <w:widowControl/>
              <w:jc w:val="center"/>
              <w:rPr>
                <w:kern w:val="0"/>
                <w:sz w:val="20"/>
                <w:szCs w:val="20"/>
              </w:rPr>
            </w:pPr>
            <w:r>
              <w:rPr>
                <w:kern w:val="0"/>
                <w:sz w:val="20"/>
                <w:szCs w:val="20"/>
              </w:rPr>
              <w:t xml:space="preserve">  50≤Y＜1000</w:t>
            </w:r>
          </w:p>
        </w:tc>
        <w:tc>
          <w:tcPr>
            <w:tcW w:w="1122" w:type="dxa"/>
            <w:tcBorders>
              <w:top w:val="nil"/>
              <w:left w:val="nil"/>
              <w:bottom w:val="single" w:color="auto" w:sz="4" w:space="0"/>
              <w:right w:val="nil"/>
            </w:tcBorders>
            <w:noWrap/>
            <w:vAlign w:val="center"/>
          </w:tcPr>
          <w:p w14:paraId="6FE26423">
            <w:pPr>
              <w:widowControl/>
              <w:jc w:val="center"/>
              <w:rPr>
                <w:kern w:val="0"/>
                <w:sz w:val="20"/>
                <w:szCs w:val="20"/>
              </w:rPr>
            </w:pPr>
            <w:r>
              <w:rPr>
                <w:kern w:val="0"/>
                <w:sz w:val="20"/>
                <w:szCs w:val="20"/>
              </w:rPr>
              <w:t>Y＜50</w:t>
            </w:r>
          </w:p>
        </w:tc>
      </w:tr>
      <w:tr w14:paraId="61DE8343">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6B17C2DF">
            <w:pPr>
              <w:widowControl/>
              <w:spacing w:line="240" w:lineRule="exact"/>
              <w:jc w:val="left"/>
              <w:rPr>
                <w:kern w:val="0"/>
                <w:sz w:val="20"/>
                <w:szCs w:val="20"/>
              </w:rPr>
            </w:pPr>
            <w:r>
              <w:rPr>
                <w:kern w:val="0"/>
                <w:sz w:val="20"/>
                <w:szCs w:val="20"/>
              </w:rPr>
              <w:t>房地产开发经营</w:t>
            </w:r>
          </w:p>
        </w:tc>
        <w:tc>
          <w:tcPr>
            <w:tcW w:w="1369" w:type="dxa"/>
            <w:tcBorders>
              <w:top w:val="nil"/>
              <w:left w:val="nil"/>
              <w:bottom w:val="nil"/>
              <w:right w:val="single" w:color="auto" w:sz="4" w:space="0"/>
            </w:tcBorders>
            <w:noWrap/>
            <w:vAlign w:val="center"/>
          </w:tcPr>
          <w:p w14:paraId="3B21C5AF">
            <w:pPr>
              <w:widowControl/>
              <w:jc w:val="center"/>
              <w:rPr>
                <w:kern w:val="0"/>
                <w:sz w:val="20"/>
                <w:szCs w:val="20"/>
              </w:rPr>
            </w:pPr>
            <w:r>
              <w:rPr>
                <w:kern w:val="0"/>
                <w:sz w:val="20"/>
                <w:szCs w:val="20"/>
              </w:rPr>
              <w:t>营业收入(Y)</w:t>
            </w:r>
          </w:p>
        </w:tc>
        <w:tc>
          <w:tcPr>
            <w:tcW w:w="709" w:type="dxa"/>
            <w:tcBorders>
              <w:top w:val="nil"/>
              <w:left w:val="nil"/>
              <w:bottom w:val="nil"/>
              <w:right w:val="single" w:color="auto" w:sz="4" w:space="0"/>
            </w:tcBorders>
            <w:noWrap/>
            <w:vAlign w:val="center"/>
          </w:tcPr>
          <w:p w14:paraId="3CCF8E41">
            <w:pPr>
              <w:widowControl/>
              <w:jc w:val="center"/>
              <w:rPr>
                <w:kern w:val="0"/>
                <w:sz w:val="20"/>
                <w:szCs w:val="20"/>
              </w:rPr>
            </w:pPr>
            <w:r>
              <w:rPr>
                <w:kern w:val="0"/>
                <w:sz w:val="20"/>
                <w:szCs w:val="20"/>
              </w:rPr>
              <w:t>万元</w:t>
            </w:r>
          </w:p>
        </w:tc>
        <w:tc>
          <w:tcPr>
            <w:tcW w:w="1125" w:type="dxa"/>
            <w:tcBorders>
              <w:top w:val="nil"/>
              <w:left w:val="nil"/>
              <w:bottom w:val="nil"/>
              <w:right w:val="single" w:color="auto" w:sz="4" w:space="0"/>
            </w:tcBorders>
            <w:noWrap/>
            <w:vAlign w:val="center"/>
          </w:tcPr>
          <w:p w14:paraId="69435482">
            <w:pPr>
              <w:widowControl/>
              <w:jc w:val="center"/>
              <w:rPr>
                <w:kern w:val="0"/>
                <w:sz w:val="20"/>
                <w:szCs w:val="20"/>
              </w:rPr>
            </w:pPr>
            <w:r>
              <w:rPr>
                <w:kern w:val="0"/>
                <w:sz w:val="20"/>
                <w:szCs w:val="20"/>
              </w:rPr>
              <w:t>Y≥200000</w:t>
            </w:r>
          </w:p>
        </w:tc>
        <w:tc>
          <w:tcPr>
            <w:tcW w:w="1828" w:type="dxa"/>
            <w:tcBorders>
              <w:top w:val="nil"/>
              <w:left w:val="nil"/>
              <w:bottom w:val="nil"/>
              <w:right w:val="single" w:color="auto" w:sz="4" w:space="0"/>
            </w:tcBorders>
            <w:noWrap/>
            <w:vAlign w:val="center"/>
          </w:tcPr>
          <w:p w14:paraId="4C04592A">
            <w:pPr>
              <w:widowControl/>
              <w:jc w:val="center"/>
              <w:rPr>
                <w:kern w:val="0"/>
                <w:sz w:val="20"/>
                <w:szCs w:val="20"/>
              </w:rPr>
            </w:pPr>
            <w:r>
              <w:rPr>
                <w:kern w:val="0"/>
                <w:sz w:val="20"/>
                <w:szCs w:val="20"/>
              </w:rPr>
              <w:t xml:space="preserve"> 1000≤Y＜200000</w:t>
            </w:r>
          </w:p>
        </w:tc>
        <w:tc>
          <w:tcPr>
            <w:tcW w:w="1588" w:type="dxa"/>
            <w:tcBorders>
              <w:top w:val="nil"/>
              <w:left w:val="nil"/>
              <w:bottom w:val="nil"/>
              <w:right w:val="single" w:color="auto" w:sz="4" w:space="0"/>
            </w:tcBorders>
            <w:noWrap/>
            <w:vAlign w:val="center"/>
          </w:tcPr>
          <w:p w14:paraId="18BE6802">
            <w:pPr>
              <w:widowControl/>
              <w:jc w:val="center"/>
              <w:rPr>
                <w:kern w:val="0"/>
                <w:sz w:val="20"/>
                <w:szCs w:val="20"/>
              </w:rPr>
            </w:pPr>
            <w:r>
              <w:rPr>
                <w:kern w:val="0"/>
                <w:sz w:val="20"/>
                <w:szCs w:val="20"/>
              </w:rPr>
              <w:t xml:space="preserve"> 100≤Y＜1000</w:t>
            </w:r>
          </w:p>
        </w:tc>
        <w:tc>
          <w:tcPr>
            <w:tcW w:w="1122" w:type="dxa"/>
            <w:tcBorders>
              <w:top w:val="nil"/>
              <w:left w:val="nil"/>
              <w:bottom w:val="nil"/>
              <w:right w:val="nil"/>
            </w:tcBorders>
            <w:noWrap/>
            <w:vAlign w:val="center"/>
          </w:tcPr>
          <w:p w14:paraId="24FDC084">
            <w:pPr>
              <w:widowControl/>
              <w:jc w:val="center"/>
              <w:rPr>
                <w:kern w:val="0"/>
                <w:sz w:val="20"/>
                <w:szCs w:val="20"/>
              </w:rPr>
            </w:pPr>
            <w:r>
              <w:rPr>
                <w:kern w:val="0"/>
                <w:sz w:val="20"/>
                <w:szCs w:val="20"/>
              </w:rPr>
              <w:t>Y＜100</w:t>
            </w:r>
          </w:p>
        </w:tc>
      </w:tr>
      <w:tr w14:paraId="31897CFC">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16F8621D">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0CCBD1C2">
            <w:pPr>
              <w:widowControl/>
              <w:spacing w:line="240" w:lineRule="exact"/>
              <w:jc w:val="center"/>
              <w:rPr>
                <w:kern w:val="0"/>
                <w:sz w:val="20"/>
                <w:szCs w:val="20"/>
              </w:rPr>
            </w:pPr>
            <w:r>
              <w:rPr>
                <w:kern w:val="0"/>
                <w:sz w:val="20"/>
                <w:szCs w:val="20"/>
              </w:rPr>
              <w:t>资产总额(Z)</w:t>
            </w:r>
          </w:p>
        </w:tc>
        <w:tc>
          <w:tcPr>
            <w:tcW w:w="709" w:type="dxa"/>
            <w:tcBorders>
              <w:top w:val="nil"/>
              <w:left w:val="nil"/>
              <w:bottom w:val="single" w:color="auto" w:sz="4" w:space="0"/>
              <w:right w:val="single" w:color="auto" w:sz="4" w:space="0"/>
            </w:tcBorders>
            <w:noWrap/>
            <w:vAlign w:val="center"/>
          </w:tcPr>
          <w:p w14:paraId="64F0A595">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48828AA5">
            <w:pPr>
              <w:widowControl/>
              <w:jc w:val="center"/>
              <w:rPr>
                <w:kern w:val="0"/>
                <w:sz w:val="20"/>
                <w:szCs w:val="20"/>
              </w:rPr>
            </w:pPr>
            <w:r>
              <w:rPr>
                <w:kern w:val="0"/>
                <w:sz w:val="20"/>
                <w:szCs w:val="20"/>
              </w:rPr>
              <w:t>Z≥10000</w:t>
            </w:r>
          </w:p>
        </w:tc>
        <w:tc>
          <w:tcPr>
            <w:tcW w:w="1828" w:type="dxa"/>
            <w:tcBorders>
              <w:top w:val="nil"/>
              <w:left w:val="nil"/>
              <w:bottom w:val="single" w:color="auto" w:sz="4" w:space="0"/>
              <w:right w:val="single" w:color="auto" w:sz="4" w:space="0"/>
            </w:tcBorders>
            <w:noWrap/>
            <w:vAlign w:val="center"/>
          </w:tcPr>
          <w:p w14:paraId="6E3DA5A5">
            <w:pPr>
              <w:widowControl/>
              <w:jc w:val="center"/>
              <w:rPr>
                <w:kern w:val="0"/>
                <w:sz w:val="20"/>
                <w:szCs w:val="20"/>
              </w:rPr>
            </w:pPr>
            <w:r>
              <w:rPr>
                <w:kern w:val="0"/>
                <w:sz w:val="20"/>
                <w:szCs w:val="20"/>
              </w:rPr>
              <w:t>5000≤Z＜10000</w:t>
            </w:r>
          </w:p>
        </w:tc>
        <w:tc>
          <w:tcPr>
            <w:tcW w:w="1588" w:type="dxa"/>
            <w:tcBorders>
              <w:top w:val="nil"/>
              <w:left w:val="nil"/>
              <w:bottom w:val="single" w:color="auto" w:sz="4" w:space="0"/>
              <w:right w:val="single" w:color="auto" w:sz="4" w:space="0"/>
            </w:tcBorders>
            <w:noWrap/>
            <w:vAlign w:val="center"/>
          </w:tcPr>
          <w:p w14:paraId="2743EEFB">
            <w:pPr>
              <w:widowControl/>
              <w:jc w:val="center"/>
              <w:rPr>
                <w:kern w:val="0"/>
                <w:sz w:val="20"/>
                <w:szCs w:val="20"/>
              </w:rPr>
            </w:pPr>
            <w:r>
              <w:rPr>
                <w:kern w:val="0"/>
                <w:sz w:val="20"/>
                <w:szCs w:val="20"/>
              </w:rPr>
              <w:t xml:space="preserve">2000≤Z＜5000   </w:t>
            </w:r>
          </w:p>
        </w:tc>
        <w:tc>
          <w:tcPr>
            <w:tcW w:w="1122" w:type="dxa"/>
            <w:tcBorders>
              <w:top w:val="nil"/>
              <w:left w:val="nil"/>
              <w:bottom w:val="single" w:color="auto" w:sz="4" w:space="0"/>
              <w:right w:val="nil"/>
            </w:tcBorders>
            <w:noWrap/>
            <w:vAlign w:val="center"/>
          </w:tcPr>
          <w:p w14:paraId="73A335E7">
            <w:pPr>
              <w:widowControl/>
              <w:jc w:val="center"/>
              <w:rPr>
                <w:kern w:val="0"/>
                <w:sz w:val="20"/>
                <w:szCs w:val="20"/>
              </w:rPr>
            </w:pPr>
            <w:r>
              <w:rPr>
                <w:kern w:val="0"/>
                <w:sz w:val="20"/>
                <w:szCs w:val="20"/>
              </w:rPr>
              <w:t>Z＜2000</w:t>
            </w:r>
          </w:p>
        </w:tc>
      </w:tr>
      <w:tr w14:paraId="03B1AA86">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458B845">
            <w:pPr>
              <w:widowControl/>
              <w:spacing w:line="240" w:lineRule="exact"/>
              <w:jc w:val="left"/>
              <w:rPr>
                <w:kern w:val="0"/>
                <w:sz w:val="20"/>
                <w:szCs w:val="20"/>
              </w:rPr>
            </w:pPr>
            <w:r>
              <w:rPr>
                <w:kern w:val="0"/>
                <w:sz w:val="20"/>
                <w:szCs w:val="20"/>
              </w:rPr>
              <w:t>物业管理</w:t>
            </w:r>
          </w:p>
        </w:tc>
        <w:tc>
          <w:tcPr>
            <w:tcW w:w="1369" w:type="dxa"/>
            <w:tcBorders>
              <w:top w:val="nil"/>
              <w:left w:val="nil"/>
              <w:bottom w:val="nil"/>
              <w:right w:val="single" w:color="auto" w:sz="4" w:space="0"/>
            </w:tcBorders>
            <w:noWrap/>
            <w:vAlign w:val="center"/>
          </w:tcPr>
          <w:p w14:paraId="36140651">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46317618">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77E38823">
            <w:pPr>
              <w:widowControl/>
              <w:jc w:val="center"/>
              <w:rPr>
                <w:kern w:val="0"/>
                <w:sz w:val="20"/>
                <w:szCs w:val="20"/>
              </w:rPr>
            </w:pPr>
            <w:r>
              <w:rPr>
                <w:kern w:val="0"/>
                <w:sz w:val="20"/>
                <w:szCs w:val="20"/>
              </w:rPr>
              <w:t>X≥1000</w:t>
            </w:r>
          </w:p>
        </w:tc>
        <w:tc>
          <w:tcPr>
            <w:tcW w:w="1828" w:type="dxa"/>
            <w:tcBorders>
              <w:top w:val="nil"/>
              <w:left w:val="nil"/>
              <w:bottom w:val="nil"/>
              <w:right w:val="single" w:color="auto" w:sz="4" w:space="0"/>
            </w:tcBorders>
            <w:noWrap/>
            <w:vAlign w:val="center"/>
          </w:tcPr>
          <w:p w14:paraId="6DC2CF32">
            <w:pPr>
              <w:widowControl/>
              <w:jc w:val="center"/>
              <w:rPr>
                <w:kern w:val="0"/>
                <w:sz w:val="20"/>
                <w:szCs w:val="20"/>
              </w:rPr>
            </w:pPr>
            <w:r>
              <w:rPr>
                <w:kern w:val="0"/>
                <w:sz w:val="20"/>
                <w:szCs w:val="20"/>
              </w:rPr>
              <w:t>300≤X＜1000</w:t>
            </w:r>
          </w:p>
        </w:tc>
        <w:tc>
          <w:tcPr>
            <w:tcW w:w="1588" w:type="dxa"/>
            <w:tcBorders>
              <w:top w:val="nil"/>
              <w:left w:val="nil"/>
              <w:bottom w:val="nil"/>
              <w:right w:val="single" w:color="auto" w:sz="4" w:space="0"/>
            </w:tcBorders>
            <w:noWrap/>
            <w:vAlign w:val="center"/>
          </w:tcPr>
          <w:p w14:paraId="7F9D085D">
            <w:pPr>
              <w:widowControl/>
              <w:jc w:val="center"/>
              <w:rPr>
                <w:kern w:val="0"/>
                <w:sz w:val="20"/>
                <w:szCs w:val="20"/>
              </w:rPr>
            </w:pPr>
            <w:r>
              <w:rPr>
                <w:kern w:val="0"/>
                <w:sz w:val="20"/>
                <w:szCs w:val="20"/>
              </w:rPr>
              <w:t xml:space="preserve">100≤X＜300 </w:t>
            </w:r>
          </w:p>
        </w:tc>
        <w:tc>
          <w:tcPr>
            <w:tcW w:w="1122" w:type="dxa"/>
            <w:tcBorders>
              <w:top w:val="nil"/>
              <w:left w:val="nil"/>
              <w:bottom w:val="nil"/>
              <w:right w:val="nil"/>
            </w:tcBorders>
            <w:noWrap/>
            <w:vAlign w:val="center"/>
          </w:tcPr>
          <w:p w14:paraId="5C922D91">
            <w:pPr>
              <w:widowControl/>
              <w:jc w:val="center"/>
              <w:rPr>
                <w:kern w:val="0"/>
                <w:sz w:val="20"/>
                <w:szCs w:val="20"/>
              </w:rPr>
            </w:pPr>
            <w:r>
              <w:rPr>
                <w:kern w:val="0"/>
                <w:sz w:val="20"/>
                <w:szCs w:val="20"/>
              </w:rPr>
              <w:t>X＜100</w:t>
            </w:r>
          </w:p>
        </w:tc>
      </w:tr>
      <w:tr w14:paraId="5B6F3B45">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366EF748">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53F849BA">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DCAA405">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55BDC9AD">
            <w:pPr>
              <w:widowControl/>
              <w:jc w:val="center"/>
              <w:rPr>
                <w:kern w:val="0"/>
                <w:sz w:val="20"/>
                <w:szCs w:val="20"/>
              </w:rPr>
            </w:pPr>
            <w:r>
              <w:rPr>
                <w:kern w:val="0"/>
                <w:sz w:val="20"/>
                <w:szCs w:val="20"/>
              </w:rPr>
              <w:t>Y≥5000</w:t>
            </w:r>
          </w:p>
        </w:tc>
        <w:tc>
          <w:tcPr>
            <w:tcW w:w="1828" w:type="dxa"/>
            <w:tcBorders>
              <w:top w:val="nil"/>
              <w:left w:val="nil"/>
              <w:bottom w:val="single" w:color="auto" w:sz="4" w:space="0"/>
              <w:right w:val="single" w:color="auto" w:sz="4" w:space="0"/>
            </w:tcBorders>
            <w:noWrap/>
            <w:vAlign w:val="center"/>
          </w:tcPr>
          <w:p w14:paraId="2A918815">
            <w:pPr>
              <w:widowControl/>
              <w:ind w:left="13" w:leftChars="-51" w:hanging="120" w:hangingChars="60"/>
              <w:jc w:val="center"/>
              <w:rPr>
                <w:kern w:val="0"/>
                <w:sz w:val="20"/>
                <w:szCs w:val="20"/>
              </w:rPr>
            </w:pPr>
            <w:r>
              <w:rPr>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14:paraId="030947C3">
            <w:pPr>
              <w:widowControl/>
              <w:jc w:val="center"/>
              <w:rPr>
                <w:kern w:val="0"/>
                <w:sz w:val="20"/>
                <w:szCs w:val="20"/>
              </w:rPr>
            </w:pPr>
            <w:r>
              <w:rPr>
                <w:kern w:val="0"/>
                <w:sz w:val="20"/>
                <w:szCs w:val="20"/>
              </w:rPr>
              <w:t xml:space="preserve"> 500≤Y＜1000</w:t>
            </w:r>
          </w:p>
        </w:tc>
        <w:tc>
          <w:tcPr>
            <w:tcW w:w="1122" w:type="dxa"/>
            <w:tcBorders>
              <w:top w:val="nil"/>
              <w:left w:val="nil"/>
              <w:bottom w:val="single" w:color="auto" w:sz="4" w:space="0"/>
              <w:right w:val="nil"/>
            </w:tcBorders>
            <w:noWrap/>
            <w:vAlign w:val="center"/>
          </w:tcPr>
          <w:p w14:paraId="3EA0D60A">
            <w:pPr>
              <w:widowControl/>
              <w:jc w:val="center"/>
              <w:rPr>
                <w:kern w:val="0"/>
                <w:sz w:val="20"/>
                <w:szCs w:val="20"/>
              </w:rPr>
            </w:pPr>
            <w:r>
              <w:rPr>
                <w:kern w:val="0"/>
                <w:sz w:val="20"/>
                <w:szCs w:val="20"/>
              </w:rPr>
              <w:t>Y＜500</w:t>
            </w:r>
          </w:p>
        </w:tc>
      </w:tr>
      <w:tr w14:paraId="6A7666E8">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93B5BA5">
            <w:pPr>
              <w:widowControl/>
              <w:spacing w:line="240" w:lineRule="exact"/>
              <w:jc w:val="left"/>
              <w:rPr>
                <w:kern w:val="0"/>
                <w:sz w:val="20"/>
                <w:szCs w:val="20"/>
              </w:rPr>
            </w:pPr>
            <w:r>
              <w:rPr>
                <w:kern w:val="0"/>
                <w:sz w:val="20"/>
                <w:szCs w:val="20"/>
              </w:rPr>
              <w:t>租赁和商务服务业</w:t>
            </w:r>
          </w:p>
        </w:tc>
        <w:tc>
          <w:tcPr>
            <w:tcW w:w="1369" w:type="dxa"/>
            <w:tcBorders>
              <w:top w:val="nil"/>
              <w:left w:val="nil"/>
              <w:bottom w:val="nil"/>
              <w:right w:val="single" w:color="auto" w:sz="4" w:space="0"/>
            </w:tcBorders>
            <w:noWrap/>
            <w:vAlign w:val="center"/>
          </w:tcPr>
          <w:p w14:paraId="004BC59B">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3AF3E1FE">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2DCC1642">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04ACBD82">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nil"/>
              <w:right w:val="single" w:color="auto" w:sz="4" w:space="0"/>
            </w:tcBorders>
            <w:noWrap/>
            <w:vAlign w:val="center"/>
          </w:tcPr>
          <w:p w14:paraId="6C0421E3">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4D9FFE0D">
            <w:pPr>
              <w:widowControl/>
              <w:jc w:val="center"/>
              <w:rPr>
                <w:kern w:val="0"/>
                <w:sz w:val="20"/>
                <w:szCs w:val="20"/>
              </w:rPr>
            </w:pPr>
            <w:r>
              <w:rPr>
                <w:kern w:val="0"/>
                <w:sz w:val="20"/>
                <w:szCs w:val="20"/>
              </w:rPr>
              <w:t>X＜10</w:t>
            </w:r>
          </w:p>
        </w:tc>
      </w:tr>
      <w:tr w14:paraId="43FA434F">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131B8214">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6A5A85A6">
            <w:pPr>
              <w:widowControl/>
              <w:spacing w:line="240" w:lineRule="exact"/>
              <w:jc w:val="center"/>
              <w:rPr>
                <w:kern w:val="0"/>
                <w:sz w:val="20"/>
                <w:szCs w:val="20"/>
              </w:rPr>
            </w:pPr>
            <w:r>
              <w:rPr>
                <w:kern w:val="0"/>
                <w:sz w:val="20"/>
                <w:szCs w:val="20"/>
              </w:rPr>
              <w:t>资产总额(Z)</w:t>
            </w:r>
          </w:p>
        </w:tc>
        <w:tc>
          <w:tcPr>
            <w:tcW w:w="709" w:type="dxa"/>
            <w:tcBorders>
              <w:top w:val="nil"/>
              <w:left w:val="nil"/>
              <w:bottom w:val="single" w:color="auto" w:sz="4" w:space="0"/>
              <w:right w:val="single" w:color="auto" w:sz="4" w:space="0"/>
            </w:tcBorders>
            <w:noWrap/>
            <w:vAlign w:val="center"/>
          </w:tcPr>
          <w:p w14:paraId="492DB606">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09ECFF42">
            <w:pPr>
              <w:widowControl/>
              <w:jc w:val="center"/>
              <w:rPr>
                <w:kern w:val="0"/>
                <w:sz w:val="20"/>
                <w:szCs w:val="20"/>
              </w:rPr>
            </w:pPr>
            <w:r>
              <w:rPr>
                <w:kern w:val="0"/>
                <w:sz w:val="20"/>
                <w:szCs w:val="20"/>
              </w:rPr>
              <w:t>Z≥120000</w:t>
            </w:r>
          </w:p>
        </w:tc>
        <w:tc>
          <w:tcPr>
            <w:tcW w:w="1828" w:type="dxa"/>
            <w:tcBorders>
              <w:top w:val="nil"/>
              <w:left w:val="nil"/>
              <w:bottom w:val="single" w:color="auto" w:sz="4" w:space="0"/>
              <w:right w:val="single" w:color="auto" w:sz="4" w:space="0"/>
            </w:tcBorders>
            <w:noWrap/>
            <w:vAlign w:val="center"/>
          </w:tcPr>
          <w:p w14:paraId="4509CFBA">
            <w:pPr>
              <w:widowControl/>
              <w:jc w:val="center"/>
              <w:rPr>
                <w:kern w:val="0"/>
                <w:sz w:val="20"/>
                <w:szCs w:val="20"/>
              </w:rPr>
            </w:pPr>
            <w:r>
              <w:rPr>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14:paraId="42202529">
            <w:pPr>
              <w:widowControl/>
              <w:jc w:val="center"/>
              <w:rPr>
                <w:kern w:val="0"/>
                <w:sz w:val="20"/>
                <w:szCs w:val="20"/>
              </w:rPr>
            </w:pPr>
            <w:r>
              <w:rPr>
                <w:kern w:val="0"/>
                <w:sz w:val="20"/>
                <w:szCs w:val="20"/>
              </w:rPr>
              <w:t xml:space="preserve"> 100≤Z＜8000</w:t>
            </w:r>
          </w:p>
        </w:tc>
        <w:tc>
          <w:tcPr>
            <w:tcW w:w="1122" w:type="dxa"/>
            <w:tcBorders>
              <w:top w:val="nil"/>
              <w:left w:val="nil"/>
              <w:bottom w:val="single" w:color="auto" w:sz="4" w:space="0"/>
              <w:right w:val="nil"/>
            </w:tcBorders>
            <w:noWrap/>
            <w:vAlign w:val="center"/>
          </w:tcPr>
          <w:p w14:paraId="14E77479">
            <w:pPr>
              <w:widowControl/>
              <w:jc w:val="center"/>
              <w:rPr>
                <w:kern w:val="0"/>
                <w:sz w:val="20"/>
                <w:szCs w:val="20"/>
              </w:rPr>
            </w:pPr>
            <w:r>
              <w:rPr>
                <w:kern w:val="0"/>
                <w:sz w:val="20"/>
                <w:szCs w:val="20"/>
              </w:rPr>
              <w:t>Z＜100</w:t>
            </w:r>
          </w:p>
        </w:tc>
      </w:tr>
      <w:tr w14:paraId="2ED96A45">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6E59137A">
            <w:pPr>
              <w:widowControl/>
              <w:spacing w:line="240" w:lineRule="exact"/>
              <w:jc w:val="left"/>
              <w:rPr>
                <w:kern w:val="0"/>
                <w:sz w:val="20"/>
                <w:szCs w:val="20"/>
              </w:rPr>
            </w:pPr>
            <w:r>
              <w:rPr>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14:paraId="23B86412">
            <w:pPr>
              <w:widowControl/>
              <w:jc w:val="center"/>
              <w:rPr>
                <w:kern w:val="0"/>
                <w:sz w:val="20"/>
                <w:szCs w:val="20"/>
              </w:rPr>
            </w:pPr>
            <w:r>
              <w:rPr>
                <w:kern w:val="0"/>
                <w:sz w:val="20"/>
                <w:szCs w:val="20"/>
              </w:rPr>
              <w:t>从业人员(X)</w:t>
            </w:r>
          </w:p>
        </w:tc>
        <w:tc>
          <w:tcPr>
            <w:tcW w:w="709" w:type="dxa"/>
            <w:tcBorders>
              <w:top w:val="nil"/>
              <w:left w:val="nil"/>
              <w:bottom w:val="single" w:color="auto" w:sz="4" w:space="0"/>
              <w:right w:val="single" w:color="auto" w:sz="4" w:space="0"/>
            </w:tcBorders>
            <w:noWrap/>
            <w:vAlign w:val="center"/>
          </w:tcPr>
          <w:p w14:paraId="297E10DD">
            <w:pPr>
              <w:widowControl/>
              <w:jc w:val="center"/>
              <w:rPr>
                <w:kern w:val="0"/>
                <w:sz w:val="20"/>
                <w:szCs w:val="20"/>
              </w:rPr>
            </w:pPr>
            <w:r>
              <w:rPr>
                <w:kern w:val="0"/>
                <w:sz w:val="20"/>
                <w:szCs w:val="20"/>
              </w:rPr>
              <w:t>人</w:t>
            </w:r>
          </w:p>
        </w:tc>
        <w:tc>
          <w:tcPr>
            <w:tcW w:w="1125" w:type="dxa"/>
            <w:tcBorders>
              <w:top w:val="nil"/>
              <w:left w:val="nil"/>
              <w:bottom w:val="single" w:color="auto" w:sz="4" w:space="0"/>
              <w:right w:val="single" w:color="auto" w:sz="4" w:space="0"/>
            </w:tcBorders>
            <w:noWrap/>
            <w:vAlign w:val="center"/>
          </w:tcPr>
          <w:p w14:paraId="641CD0E9">
            <w:pPr>
              <w:widowControl/>
              <w:jc w:val="center"/>
              <w:rPr>
                <w:kern w:val="0"/>
                <w:sz w:val="20"/>
                <w:szCs w:val="20"/>
              </w:rPr>
            </w:pPr>
            <w:r>
              <w:rPr>
                <w:kern w:val="0"/>
                <w:sz w:val="20"/>
                <w:szCs w:val="20"/>
              </w:rPr>
              <w:t>X≥300</w:t>
            </w:r>
          </w:p>
        </w:tc>
        <w:tc>
          <w:tcPr>
            <w:tcW w:w="1828" w:type="dxa"/>
            <w:tcBorders>
              <w:top w:val="nil"/>
              <w:left w:val="nil"/>
              <w:bottom w:val="single" w:color="auto" w:sz="4" w:space="0"/>
              <w:right w:val="single" w:color="auto" w:sz="4" w:space="0"/>
            </w:tcBorders>
            <w:noWrap/>
            <w:vAlign w:val="center"/>
          </w:tcPr>
          <w:p w14:paraId="68DACE61">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14:paraId="755BF454">
            <w:pPr>
              <w:widowControl/>
              <w:jc w:val="center"/>
              <w:rPr>
                <w:kern w:val="0"/>
                <w:sz w:val="20"/>
                <w:szCs w:val="20"/>
              </w:rPr>
            </w:pPr>
            <w:r>
              <w:rPr>
                <w:kern w:val="0"/>
                <w:sz w:val="20"/>
                <w:szCs w:val="20"/>
              </w:rPr>
              <w:t xml:space="preserve"> 10≤X＜100</w:t>
            </w:r>
          </w:p>
        </w:tc>
        <w:tc>
          <w:tcPr>
            <w:tcW w:w="1122" w:type="dxa"/>
            <w:tcBorders>
              <w:top w:val="nil"/>
              <w:left w:val="nil"/>
              <w:bottom w:val="single" w:color="auto" w:sz="4" w:space="0"/>
              <w:right w:val="nil"/>
            </w:tcBorders>
            <w:noWrap/>
            <w:vAlign w:val="center"/>
          </w:tcPr>
          <w:p w14:paraId="0BC0C557">
            <w:pPr>
              <w:widowControl/>
              <w:jc w:val="center"/>
              <w:rPr>
                <w:kern w:val="0"/>
                <w:sz w:val="20"/>
                <w:szCs w:val="20"/>
              </w:rPr>
            </w:pPr>
            <w:r>
              <w:rPr>
                <w:kern w:val="0"/>
                <w:sz w:val="20"/>
                <w:szCs w:val="20"/>
              </w:rPr>
              <w:t>X＜10</w:t>
            </w:r>
          </w:p>
        </w:tc>
      </w:tr>
    </w:tbl>
    <w:p w14:paraId="74D11CD3">
      <w:pPr>
        <w:pStyle w:val="84"/>
        <w:rPr>
          <w:b/>
          <w:sz w:val="32"/>
        </w:rPr>
      </w:pPr>
      <w:r>
        <w:br w:type="page"/>
      </w:r>
      <w:r>
        <w:rPr>
          <w:rFonts w:hint="eastAsia"/>
          <w:b/>
          <w:sz w:val="32"/>
        </w:rPr>
        <w:t>三、价格响应文件</w:t>
      </w:r>
      <w:bookmarkEnd w:id="120"/>
    </w:p>
    <w:p w14:paraId="226F6929">
      <w:pPr>
        <w:pStyle w:val="85"/>
        <w:rPr>
          <w:rFonts w:ascii="宋体" w:hAnsi="宋体" w:eastAsia="宋体" w:cs="宋体"/>
        </w:rPr>
        <w:sectPr>
          <w:pgSz w:w="11906" w:h="16838"/>
          <w:pgMar w:top="1440" w:right="1531" w:bottom="1440" w:left="1531" w:header="851" w:footer="992" w:gutter="0"/>
          <w:cols w:space="720" w:num="1"/>
          <w:docGrid w:type="lines" w:linePitch="312" w:charSpace="0"/>
        </w:sectPr>
      </w:pPr>
    </w:p>
    <w:p w14:paraId="7EC3A4F2">
      <w:pPr>
        <w:pStyle w:val="86"/>
        <w:outlineLvl w:val="1"/>
        <w:rPr>
          <w:rFonts w:ascii="宋体" w:hAnsi="宋体" w:eastAsia="宋体" w:cs="宋体"/>
          <w:bCs/>
          <w:sz w:val="28"/>
          <w:szCs w:val="28"/>
        </w:rPr>
      </w:pPr>
      <w:bookmarkStart w:id="129" w:name="_Toc108609133"/>
      <w:bookmarkStart w:id="130" w:name="_Toc106276292"/>
      <w:bookmarkStart w:id="131" w:name="_Toc8324"/>
      <w:r>
        <w:rPr>
          <w:rFonts w:hint="eastAsia" w:ascii="宋体" w:hAnsi="宋体" w:eastAsia="宋体" w:cs="宋体"/>
          <w:bCs/>
          <w:sz w:val="28"/>
          <w:szCs w:val="28"/>
        </w:rPr>
        <w:t>（一）开标一览表</w:t>
      </w:r>
      <w:bookmarkEnd w:id="129"/>
      <w:bookmarkEnd w:id="130"/>
      <w:bookmarkEnd w:id="131"/>
    </w:p>
    <w:p w14:paraId="175ABD0A">
      <w:pPr>
        <w:pStyle w:val="87"/>
        <w:ind w:firstLine="0" w:firstLineChars="0"/>
        <w:rPr>
          <w:sz w:val="24"/>
          <w:szCs w:val="24"/>
        </w:rPr>
      </w:pPr>
      <w:r>
        <w:rPr>
          <w:rFonts w:hint="eastAsia"/>
          <w:sz w:val="24"/>
          <w:szCs w:val="24"/>
        </w:rPr>
        <w:t>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72C6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24AF16A7">
            <w:pPr>
              <w:pStyle w:val="90"/>
              <w:spacing w:line="360" w:lineRule="auto"/>
              <w:jc w:val="center"/>
              <w:rPr>
                <w:rFonts w:ascii="宋体" w:hAnsi="宋体"/>
                <w:sz w:val="24"/>
                <w:szCs w:val="24"/>
              </w:rPr>
            </w:pPr>
            <w:r>
              <w:rPr>
                <w:rFonts w:hint="eastAsia" w:ascii="宋体" w:hAnsi="宋体"/>
                <w:sz w:val="24"/>
                <w:szCs w:val="24"/>
              </w:rPr>
              <w:t>项目名称</w:t>
            </w:r>
          </w:p>
        </w:tc>
        <w:tc>
          <w:tcPr>
            <w:tcW w:w="6770" w:type="dxa"/>
            <w:tcBorders>
              <w:top w:val="single" w:color="auto" w:sz="4" w:space="0"/>
              <w:left w:val="nil"/>
              <w:bottom w:val="single" w:color="auto" w:sz="4" w:space="0"/>
              <w:right w:val="single" w:color="auto" w:sz="4" w:space="0"/>
            </w:tcBorders>
            <w:noWrap/>
            <w:vAlign w:val="center"/>
          </w:tcPr>
          <w:p w14:paraId="7E7AF581">
            <w:pPr>
              <w:pStyle w:val="90"/>
              <w:spacing w:line="360" w:lineRule="auto"/>
              <w:jc w:val="center"/>
              <w:rPr>
                <w:rFonts w:ascii="宋体" w:hAnsi="宋体"/>
                <w:sz w:val="24"/>
                <w:szCs w:val="24"/>
              </w:rPr>
            </w:pPr>
          </w:p>
        </w:tc>
      </w:tr>
      <w:tr w14:paraId="7460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2410" w:type="dxa"/>
            <w:tcBorders>
              <w:top w:val="nil"/>
              <w:left w:val="single" w:color="auto" w:sz="4" w:space="0"/>
              <w:right w:val="single" w:color="auto" w:sz="4" w:space="0"/>
            </w:tcBorders>
            <w:noWrap/>
            <w:vAlign w:val="center"/>
          </w:tcPr>
          <w:p w14:paraId="0667D70C">
            <w:pPr>
              <w:pStyle w:val="90"/>
              <w:spacing w:line="360" w:lineRule="auto"/>
              <w:jc w:val="center"/>
              <w:rPr>
                <w:rFonts w:ascii="宋体" w:hAnsi="宋体"/>
                <w:sz w:val="24"/>
                <w:szCs w:val="24"/>
              </w:rPr>
            </w:pPr>
            <w:r>
              <w:rPr>
                <w:rFonts w:hint="eastAsia" w:ascii="宋体" w:hAnsi="宋体"/>
                <w:sz w:val="24"/>
                <w:szCs w:val="24"/>
              </w:rPr>
              <w:t>投标报价</w:t>
            </w:r>
          </w:p>
        </w:tc>
        <w:tc>
          <w:tcPr>
            <w:tcW w:w="6770" w:type="dxa"/>
            <w:tcBorders>
              <w:top w:val="single" w:color="auto" w:sz="4" w:space="0"/>
              <w:left w:val="nil"/>
              <w:right w:val="single" w:color="auto" w:sz="4" w:space="0"/>
            </w:tcBorders>
            <w:noWrap/>
            <w:vAlign w:val="center"/>
          </w:tcPr>
          <w:p w14:paraId="7340E89D">
            <w:pPr>
              <w:pStyle w:val="90"/>
              <w:spacing w:line="360" w:lineRule="auto"/>
              <w:jc w:val="left"/>
              <w:rPr>
                <w:rFonts w:ascii="宋体" w:hAnsi="宋体"/>
                <w:sz w:val="24"/>
                <w:szCs w:val="24"/>
                <w:u w:val="single"/>
              </w:rPr>
            </w:pPr>
            <w:r>
              <w:rPr>
                <w:rFonts w:hint="eastAsia" w:ascii="宋体" w:hAnsi="宋体"/>
                <w:sz w:val="24"/>
                <w:szCs w:val="24"/>
              </w:rPr>
              <w:t>小写：</w:t>
            </w:r>
          </w:p>
          <w:p w14:paraId="4992D8CC">
            <w:pPr>
              <w:pStyle w:val="90"/>
              <w:spacing w:line="360" w:lineRule="auto"/>
              <w:jc w:val="left"/>
              <w:rPr>
                <w:rFonts w:ascii="宋体" w:hAnsi="宋体"/>
                <w:sz w:val="24"/>
                <w:szCs w:val="24"/>
              </w:rPr>
            </w:pPr>
            <w:r>
              <w:rPr>
                <w:rFonts w:hint="eastAsia" w:ascii="宋体" w:hAnsi="宋体"/>
                <w:sz w:val="24"/>
                <w:szCs w:val="24"/>
              </w:rPr>
              <w:t>大写：</w:t>
            </w:r>
          </w:p>
        </w:tc>
      </w:tr>
      <w:tr w14:paraId="2C52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3CAACC9B">
            <w:pPr>
              <w:pStyle w:val="90"/>
              <w:spacing w:line="360" w:lineRule="auto"/>
              <w:jc w:val="center"/>
              <w:rPr>
                <w:rFonts w:ascii="宋体" w:hAnsi="宋体"/>
                <w:sz w:val="24"/>
                <w:szCs w:val="24"/>
              </w:rPr>
            </w:pPr>
            <w:r>
              <w:rPr>
                <w:rFonts w:hint="eastAsia" w:ascii="宋体" w:hAnsi="宋体"/>
                <w:sz w:val="24"/>
                <w:szCs w:val="24"/>
              </w:rPr>
              <w:t>项目负责人</w:t>
            </w:r>
          </w:p>
        </w:tc>
        <w:tc>
          <w:tcPr>
            <w:tcW w:w="6770" w:type="dxa"/>
            <w:tcBorders>
              <w:top w:val="single" w:color="auto" w:sz="4" w:space="0"/>
              <w:left w:val="nil"/>
              <w:bottom w:val="single" w:color="auto" w:sz="4" w:space="0"/>
              <w:right w:val="single" w:color="auto" w:sz="4" w:space="0"/>
            </w:tcBorders>
            <w:noWrap/>
          </w:tcPr>
          <w:p w14:paraId="0050E4F6">
            <w:pPr>
              <w:pStyle w:val="90"/>
              <w:spacing w:line="360" w:lineRule="auto"/>
              <w:rPr>
                <w:rFonts w:ascii="宋体" w:hAnsi="宋体"/>
                <w:sz w:val="24"/>
                <w:szCs w:val="24"/>
              </w:rPr>
            </w:pPr>
          </w:p>
        </w:tc>
      </w:tr>
      <w:tr w14:paraId="4301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3AB69BE5">
            <w:pPr>
              <w:pStyle w:val="90"/>
              <w:spacing w:line="360" w:lineRule="auto"/>
              <w:jc w:val="center"/>
              <w:rPr>
                <w:rFonts w:ascii="宋体" w:hAnsi="宋体"/>
                <w:sz w:val="24"/>
                <w:szCs w:val="24"/>
              </w:rPr>
            </w:pPr>
            <w:r>
              <w:rPr>
                <w:rFonts w:hint="eastAsia" w:ascii="宋体" w:hAnsi="宋体"/>
                <w:sz w:val="24"/>
                <w:szCs w:val="24"/>
              </w:rPr>
              <w:t>供货期</w:t>
            </w:r>
          </w:p>
        </w:tc>
        <w:tc>
          <w:tcPr>
            <w:tcW w:w="6770" w:type="dxa"/>
            <w:tcBorders>
              <w:top w:val="single" w:color="auto" w:sz="4" w:space="0"/>
              <w:left w:val="nil"/>
              <w:bottom w:val="single" w:color="auto" w:sz="4" w:space="0"/>
              <w:right w:val="single" w:color="auto" w:sz="4" w:space="0"/>
            </w:tcBorders>
            <w:noWrap/>
          </w:tcPr>
          <w:p w14:paraId="13429A82">
            <w:pPr>
              <w:pStyle w:val="90"/>
              <w:spacing w:line="360" w:lineRule="auto"/>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天</w:t>
            </w:r>
          </w:p>
        </w:tc>
      </w:tr>
      <w:tr w14:paraId="3821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23DDF88A">
            <w:pPr>
              <w:pStyle w:val="90"/>
              <w:spacing w:line="360" w:lineRule="auto"/>
              <w:jc w:val="center"/>
              <w:rPr>
                <w:rFonts w:ascii="宋体" w:hAnsi="宋体"/>
                <w:sz w:val="24"/>
                <w:szCs w:val="24"/>
              </w:rPr>
            </w:pPr>
            <w:r>
              <w:rPr>
                <w:rFonts w:hint="eastAsia" w:ascii="宋体" w:hAnsi="宋体"/>
                <w:sz w:val="24"/>
                <w:szCs w:val="24"/>
              </w:rPr>
              <w:t>质量要求</w:t>
            </w:r>
          </w:p>
        </w:tc>
        <w:tc>
          <w:tcPr>
            <w:tcW w:w="6770" w:type="dxa"/>
            <w:tcBorders>
              <w:top w:val="single" w:color="auto" w:sz="4" w:space="0"/>
              <w:left w:val="nil"/>
              <w:bottom w:val="single" w:color="auto" w:sz="4" w:space="0"/>
              <w:right w:val="single" w:color="auto" w:sz="4" w:space="0"/>
            </w:tcBorders>
            <w:noWrap/>
          </w:tcPr>
          <w:p w14:paraId="0C84FD93">
            <w:pPr>
              <w:pStyle w:val="90"/>
              <w:spacing w:line="360" w:lineRule="auto"/>
              <w:rPr>
                <w:rFonts w:ascii="宋体" w:hAnsi="宋体"/>
                <w:sz w:val="24"/>
                <w:szCs w:val="24"/>
              </w:rPr>
            </w:pPr>
          </w:p>
        </w:tc>
      </w:tr>
      <w:tr w14:paraId="62CC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tcPr>
          <w:p w14:paraId="6B276D45">
            <w:pPr>
              <w:pStyle w:val="90"/>
              <w:spacing w:line="360" w:lineRule="auto"/>
              <w:rPr>
                <w:rFonts w:ascii="宋体" w:hAnsi="宋体"/>
                <w:sz w:val="24"/>
                <w:szCs w:val="24"/>
              </w:rPr>
            </w:pPr>
            <w:r>
              <w:rPr>
                <w:rFonts w:hint="eastAsia" w:ascii="宋体" w:hAnsi="宋体"/>
                <w:sz w:val="24"/>
                <w:szCs w:val="24"/>
              </w:rPr>
              <w:t>备注：</w:t>
            </w:r>
          </w:p>
        </w:tc>
      </w:tr>
    </w:tbl>
    <w:p w14:paraId="6F1FB467">
      <w:pPr>
        <w:pStyle w:val="88"/>
        <w:spacing w:line="360" w:lineRule="auto"/>
        <w:rPr>
          <w:rFonts w:ascii="宋体" w:hAnsi="宋体"/>
          <w:sz w:val="24"/>
        </w:rPr>
      </w:pPr>
      <w:r>
        <w:rPr>
          <w:rFonts w:hint="eastAsia" w:ascii="宋体" w:hAnsi="宋体"/>
          <w:sz w:val="24"/>
        </w:rPr>
        <w:t>说明：1、供应商严格按照规定的格式填写。投标报价为优惠后报价，并作为评审及定标的依据。</w:t>
      </w:r>
    </w:p>
    <w:p w14:paraId="5E5CBEB2">
      <w:pPr>
        <w:pStyle w:val="88"/>
        <w:spacing w:line="360" w:lineRule="auto"/>
        <w:rPr>
          <w:rFonts w:ascii="宋体" w:hAnsi="宋体"/>
          <w:sz w:val="24"/>
        </w:rPr>
      </w:pPr>
      <w:r>
        <w:rPr>
          <w:rFonts w:hint="eastAsia" w:ascii="宋体" w:hAnsi="宋体"/>
          <w:sz w:val="24"/>
        </w:rPr>
        <w:t xml:space="preserve">      2、任何有选择或有条件的投标报价或表中某一包填写多个报价，均将导致投标被拒绝。</w:t>
      </w:r>
    </w:p>
    <w:p w14:paraId="2AC3A8D9">
      <w:pPr>
        <w:pStyle w:val="88"/>
        <w:spacing w:line="360" w:lineRule="auto"/>
        <w:ind w:firstLine="480" w:firstLineChars="200"/>
        <w:rPr>
          <w:rFonts w:ascii="宋体" w:hAnsi="宋体"/>
          <w:sz w:val="24"/>
        </w:rPr>
      </w:pPr>
    </w:p>
    <w:p w14:paraId="4F575762">
      <w:pPr>
        <w:pStyle w:val="88"/>
        <w:spacing w:line="360" w:lineRule="auto"/>
        <w:ind w:firstLine="480" w:firstLineChars="200"/>
        <w:rPr>
          <w:rFonts w:ascii="宋体" w:hAnsi="宋体"/>
          <w:sz w:val="24"/>
          <w:u w:val="single"/>
        </w:rPr>
      </w:pPr>
    </w:p>
    <w:p w14:paraId="199A5663">
      <w:pPr>
        <w:pStyle w:val="76"/>
        <w:adjustRightInd w:val="0"/>
        <w:snapToGrid w:val="0"/>
        <w:spacing w:line="500" w:lineRule="exact"/>
        <w:ind w:firstLine="480" w:firstLineChars="200"/>
        <w:rPr>
          <w:rFonts w:ascii="宋体" w:hAnsi="宋体"/>
          <w:sz w:val="24"/>
          <w:szCs w:val="24"/>
          <w:u w:val="single"/>
        </w:rPr>
      </w:pPr>
      <w:r>
        <w:rPr>
          <w:rFonts w:hint="eastAsia" w:ascii="宋体" w:hAnsi="宋体"/>
          <w:sz w:val="24"/>
          <w:szCs w:val="24"/>
        </w:rPr>
        <w:t>供应商名称（盖章）：</w:t>
      </w:r>
      <w:r>
        <w:rPr>
          <w:rFonts w:hint="eastAsia" w:ascii="宋体" w:hAnsi="宋体"/>
          <w:sz w:val="24"/>
          <w:szCs w:val="24"/>
          <w:u w:val="single"/>
        </w:rPr>
        <w:t xml:space="preserve">                       </w:t>
      </w:r>
    </w:p>
    <w:p w14:paraId="4542FBD6">
      <w:pPr>
        <w:pStyle w:val="88"/>
        <w:spacing w:line="360" w:lineRule="auto"/>
        <w:ind w:firstLine="480" w:firstLineChars="200"/>
        <w:rPr>
          <w:rFonts w:ascii="宋体" w:hAnsi="宋体"/>
          <w:sz w:val="24"/>
        </w:rPr>
      </w:pPr>
    </w:p>
    <w:p w14:paraId="4ED4A9E1">
      <w:pPr>
        <w:pStyle w:val="91"/>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D0AF5">
      <w:pPr>
        <w:pStyle w:val="92"/>
        <w:rPr>
          <w:rFonts w:ascii="宋体" w:hAnsi="宋体" w:eastAsia="宋体" w:cs="宋体"/>
          <w:sz w:val="30"/>
          <w:szCs w:val="30"/>
        </w:rPr>
        <w:sectPr>
          <w:pgSz w:w="11906" w:h="16838"/>
          <w:pgMar w:top="1440" w:right="1531" w:bottom="1440" w:left="1531" w:header="851" w:footer="992" w:gutter="0"/>
          <w:cols w:space="720" w:num="1"/>
          <w:docGrid w:type="lines" w:linePitch="312" w:charSpace="0"/>
        </w:sectPr>
      </w:pPr>
    </w:p>
    <w:bookmarkEnd w:id="93"/>
    <w:bookmarkEnd w:id="94"/>
    <w:p w14:paraId="5E105E2F">
      <w:pPr>
        <w:autoSpaceDE w:val="0"/>
        <w:autoSpaceDN w:val="0"/>
        <w:adjustRightInd w:val="0"/>
        <w:spacing w:line="360" w:lineRule="auto"/>
        <w:jc w:val="center"/>
        <w:rPr>
          <w:rFonts w:hint="eastAsia" w:ascii="宋体" w:hAnsi="宋体" w:eastAsia="宋体" w:cs="宋体"/>
          <w:b/>
          <w:bCs/>
          <w:kern w:val="0"/>
          <w:sz w:val="28"/>
          <w:szCs w:val="28"/>
          <w:lang w:val="en-US" w:eastAsia="zh-CN" w:bidi="ar-SA"/>
        </w:rPr>
      </w:pPr>
      <w:bookmarkStart w:id="132" w:name="_Toc106276294"/>
      <w:bookmarkStart w:id="133" w:name="_Toc108609135"/>
    </w:p>
    <w:p w14:paraId="161B7A56">
      <w:pPr>
        <w:autoSpaceDE w:val="0"/>
        <w:autoSpaceDN w:val="0"/>
        <w:adjustRightInd w:val="0"/>
        <w:spacing w:line="360" w:lineRule="auto"/>
        <w:jc w:val="center"/>
        <w:rPr>
          <w:rFonts w:ascii="宋体" w:hAnsi="宋体" w:cs="宋体"/>
          <w:kern w:val="0"/>
          <w:sz w:val="24"/>
          <w:szCs w:val="24"/>
        </w:rPr>
      </w:pPr>
      <w:r>
        <w:rPr>
          <w:rFonts w:hint="eastAsia" w:ascii="宋体" w:hAnsi="宋体" w:eastAsia="宋体" w:cs="宋体"/>
          <w:b/>
          <w:bCs/>
          <w:kern w:val="0"/>
          <w:sz w:val="28"/>
          <w:szCs w:val="28"/>
          <w:lang w:val="en-US" w:eastAsia="zh-CN" w:bidi="ar-SA"/>
        </w:rPr>
        <w:t>报价明细表</w:t>
      </w:r>
    </w:p>
    <w:p w14:paraId="7F081B4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项目名称</w:t>
      </w:r>
      <w:r>
        <w:rPr>
          <w:rFonts w:hint="eastAsia" w:ascii="宋体" w:hAnsi="宋体" w:eastAsia="宋体" w:cs="宋体"/>
          <w:kern w:val="0"/>
          <w:sz w:val="24"/>
          <w:szCs w:val="24"/>
        </w:rPr>
        <w:t>：                                                    单位：元</w:t>
      </w:r>
    </w:p>
    <w:tbl>
      <w:tblPr>
        <w:tblStyle w:val="31"/>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2128"/>
        <w:gridCol w:w="1037"/>
        <w:gridCol w:w="1093"/>
        <w:gridCol w:w="1202"/>
        <w:gridCol w:w="1213"/>
        <w:gridCol w:w="1134"/>
        <w:gridCol w:w="1067"/>
      </w:tblGrid>
      <w:tr w14:paraId="2255E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08AD817F">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28" w:type="dxa"/>
            <w:tcBorders>
              <w:top w:val="single" w:color="000000" w:sz="4" w:space="0"/>
              <w:left w:val="nil"/>
              <w:bottom w:val="single" w:color="000000" w:sz="4" w:space="0"/>
              <w:right w:val="single" w:color="000000" w:sz="4" w:space="0"/>
            </w:tcBorders>
            <w:vAlign w:val="center"/>
          </w:tcPr>
          <w:p w14:paraId="0D7A8BA0">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037" w:type="dxa"/>
            <w:tcBorders>
              <w:top w:val="single" w:color="000000" w:sz="4" w:space="0"/>
              <w:left w:val="nil"/>
              <w:bottom w:val="single" w:color="000000" w:sz="4" w:space="0"/>
              <w:right w:val="single" w:color="000000" w:sz="4" w:space="0"/>
            </w:tcBorders>
            <w:vAlign w:val="center"/>
          </w:tcPr>
          <w:p w14:paraId="28E80735">
            <w:pPr>
              <w:jc w:val="center"/>
              <w:rPr>
                <w:rFonts w:hint="eastAsia" w:ascii="宋体" w:hAnsi="宋体" w:eastAsia="宋体" w:cs="宋体"/>
                <w:sz w:val="24"/>
                <w:szCs w:val="24"/>
              </w:rPr>
            </w:pPr>
            <w:r>
              <w:rPr>
                <w:rFonts w:hint="eastAsia" w:ascii="宋体" w:hAnsi="宋体" w:eastAsia="宋体" w:cs="宋体"/>
                <w:sz w:val="24"/>
                <w:szCs w:val="24"/>
              </w:rPr>
              <w:t>生产厂家</w:t>
            </w:r>
          </w:p>
        </w:tc>
        <w:tc>
          <w:tcPr>
            <w:tcW w:w="1093" w:type="dxa"/>
            <w:tcBorders>
              <w:top w:val="single" w:color="000000" w:sz="4" w:space="0"/>
              <w:left w:val="nil"/>
              <w:bottom w:val="single" w:color="000000" w:sz="4" w:space="0"/>
              <w:right w:val="single" w:color="000000" w:sz="4" w:space="0"/>
            </w:tcBorders>
            <w:vAlign w:val="center"/>
          </w:tcPr>
          <w:p w14:paraId="3B9FEFEC">
            <w:pPr>
              <w:jc w:val="center"/>
              <w:rPr>
                <w:rFonts w:hint="eastAsia" w:ascii="宋体" w:hAnsi="宋体" w:eastAsia="宋体" w:cs="宋体"/>
                <w:sz w:val="24"/>
                <w:szCs w:val="24"/>
              </w:rPr>
            </w:pPr>
            <w:r>
              <w:rPr>
                <w:rFonts w:hint="eastAsia" w:ascii="宋体" w:hAnsi="宋体" w:eastAsia="宋体" w:cs="宋体"/>
                <w:sz w:val="24"/>
                <w:szCs w:val="24"/>
              </w:rPr>
              <w:t>品牌</w:t>
            </w:r>
          </w:p>
        </w:tc>
        <w:tc>
          <w:tcPr>
            <w:tcW w:w="1202" w:type="dxa"/>
            <w:tcBorders>
              <w:top w:val="single" w:color="000000" w:sz="4" w:space="0"/>
              <w:left w:val="nil"/>
              <w:bottom w:val="single" w:color="000000" w:sz="4" w:space="0"/>
              <w:right w:val="single" w:color="000000" w:sz="4" w:space="0"/>
            </w:tcBorders>
            <w:vAlign w:val="center"/>
          </w:tcPr>
          <w:p w14:paraId="786ED5D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规格</w:t>
            </w:r>
          </w:p>
        </w:tc>
        <w:tc>
          <w:tcPr>
            <w:tcW w:w="1213" w:type="dxa"/>
            <w:tcBorders>
              <w:top w:val="single" w:color="000000" w:sz="4" w:space="0"/>
              <w:left w:val="nil"/>
              <w:bottom w:val="single" w:color="000000" w:sz="4" w:space="0"/>
              <w:right w:val="single" w:color="000000" w:sz="4" w:space="0"/>
            </w:tcBorders>
            <w:vAlign w:val="center"/>
          </w:tcPr>
          <w:p w14:paraId="28D2C2AC">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1134" w:type="dxa"/>
            <w:tcBorders>
              <w:top w:val="single" w:color="000000" w:sz="4" w:space="0"/>
              <w:left w:val="nil"/>
              <w:bottom w:val="single" w:color="000000" w:sz="4" w:space="0"/>
              <w:right w:val="single" w:color="000000" w:sz="4" w:space="0"/>
            </w:tcBorders>
            <w:vAlign w:val="center"/>
          </w:tcPr>
          <w:p w14:paraId="0E79CA81">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67" w:type="dxa"/>
            <w:tcBorders>
              <w:top w:val="single" w:color="000000" w:sz="4" w:space="0"/>
              <w:left w:val="nil"/>
              <w:bottom w:val="single" w:color="000000" w:sz="4" w:space="0"/>
              <w:right w:val="single" w:color="000000" w:sz="4" w:space="0"/>
            </w:tcBorders>
            <w:vAlign w:val="center"/>
          </w:tcPr>
          <w:p w14:paraId="11644671">
            <w:pPr>
              <w:jc w:val="center"/>
              <w:rPr>
                <w:rFonts w:hint="eastAsia" w:ascii="宋体" w:hAnsi="宋体" w:eastAsia="宋体" w:cs="宋体"/>
                <w:sz w:val="24"/>
                <w:szCs w:val="24"/>
              </w:rPr>
            </w:pPr>
            <w:r>
              <w:rPr>
                <w:rFonts w:hint="eastAsia" w:ascii="宋体" w:hAnsi="宋体" w:eastAsia="宋体" w:cs="宋体"/>
                <w:sz w:val="24"/>
                <w:szCs w:val="24"/>
              </w:rPr>
              <w:t>合计</w:t>
            </w:r>
          </w:p>
        </w:tc>
      </w:tr>
      <w:tr w14:paraId="75B8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5405319D">
            <w:pPr>
              <w:jc w:val="center"/>
              <w:rPr>
                <w:rFonts w:hint="eastAsia" w:ascii="宋体" w:hAnsi="宋体" w:eastAsia="宋体" w:cs="宋体"/>
                <w:sz w:val="24"/>
                <w:szCs w:val="24"/>
              </w:rPr>
            </w:pPr>
            <w:r>
              <w:rPr>
                <w:rFonts w:hint="eastAsia" w:ascii="宋体" w:hAnsi="宋体" w:eastAsia="宋体" w:cs="宋体"/>
                <w:sz w:val="24"/>
                <w:szCs w:val="24"/>
              </w:rPr>
              <w:t>1</w:t>
            </w:r>
          </w:p>
        </w:tc>
        <w:tc>
          <w:tcPr>
            <w:tcW w:w="2128" w:type="dxa"/>
            <w:tcBorders>
              <w:top w:val="single" w:color="000000" w:sz="4" w:space="0"/>
              <w:left w:val="nil"/>
              <w:bottom w:val="single" w:color="000000" w:sz="4" w:space="0"/>
              <w:right w:val="single" w:color="000000" w:sz="4" w:space="0"/>
            </w:tcBorders>
            <w:vAlign w:val="center"/>
          </w:tcPr>
          <w:p w14:paraId="5A97643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大米</w:t>
            </w:r>
          </w:p>
        </w:tc>
        <w:tc>
          <w:tcPr>
            <w:tcW w:w="1037" w:type="dxa"/>
            <w:tcBorders>
              <w:top w:val="single" w:color="000000" w:sz="4" w:space="0"/>
              <w:left w:val="nil"/>
              <w:bottom w:val="single" w:color="000000" w:sz="4" w:space="0"/>
              <w:right w:val="single" w:color="000000" w:sz="4" w:space="0"/>
            </w:tcBorders>
            <w:vAlign w:val="center"/>
          </w:tcPr>
          <w:p w14:paraId="623A8516">
            <w:pPr>
              <w:jc w:val="center"/>
              <w:rPr>
                <w:rFonts w:hint="eastAsia" w:ascii="宋体" w:hAnsi="宋体" w:eastAsia="宋体" w:cs="宋体"/>
                <w:sz w:val="24"/>
                <w:szCs w:val="24"/>
              </w:rPr>
            </w:pPr>
          </w:p>
        </w:tc>
        <w:tc>
          <w:tcPr>
            <w:tcW w:w="1093" w:type="dxa"/>
            <w:tcBorders>
              <w:top w:val="single" w:color="000000" w:sz="4" w:space="0"/>
              <w:left w:val="nil"/>
              <w:bottom w:val="single" w:color="000000" w:sz="4" w:space="0"/>
              <w:right w:val="single" w:color="000000" w:sz="4" w:space="0"/>
            </w:tcBorders>
            <w:vAlign w:val="center"/>
          </w:tcPr>
          <w:p w14:paraId="33A62FEF">
            <w:pPr>
              <w:jc w:val="center"/>
              <w:rPr>
                <w:rFonts w:hint="eastAsia" w:ascii="宋体" w:hAnsi="宋体" w:eastAsia="宋体" w:cs="宋体"/>
                <w:sz w:val="24"/>
                <w:szCs w:val="24"/>
              </w:rPr>
            </w:pPr>
          </w:p>
        </w:tc>
        <w:tc>
          <w:tcPr>
            <w:tcW w:w="1202" w:type="dxa"/>
            <w:tcBorders>
              <w:top w:val="single" w:color="000000" w:sz="4" w:space="0"/>
              <w:left w:val="nil"/>
              <w:bottom w:val="single" w:color="000000" w:sz="4" w:space="0"/>
              <w:right w:val="single" w:color="000000" w:sz="4" w:space="0"/>
            </w:tcBorders>
            <w:vAlign w:val="center"/>
          </w:tcPr>
          <w:p w14:paraId="41ECF6D1">
            <w:pPr>
              <w:jc w:val="center"/>
              <w:rPr>
                <w:rFonts w:hint="eastAsia" w:ascii="宋体" w:hAnsi="宋体" w:eastAsia="宋体" w:cs="宋体"/>
                <w:sz w:val="24"/>
                <w:szCs w:val="24"/>
              </w:rPr>
            </w:pPr>
          </w:p>
        </w:tc>
        <w:tc>
          <w:tcPr>
            <w:tcW w:w="1213" w:type="dxa"/>
            <w:tcBorders>
              <w:top w:val="single" w:color="000000" w:sz="4" w:space="0"/>
              <w:left w:val="nil"/>
              <w:bottom w:val="single" w:color="000000" w:sz="4" w:space="0"/>
              <w:right w:val="single" w:color="000000" w:sz="4" w:space="0"/>
            </w:tcBorders>
            <w:vAlign w:val="center"/>
          </w:tcPr>
          <w:p w14:paraId="343503A5">
            <w:pPr>
              <w:pStyle w:val="97"/>
              <w:autoSpaceDE w:val="0"/>
              <w:autoSpaceDN w:val="0"/>
              <w:jc w:val="center"/>
              <w:rPr>
                <w:rFonts w:hint="eastAsia" w:ascii="宋体" w:hAnsi="宋体" w:eastAsia="宋体" w:cs="宋体"/>
                <w:sz w:val="24"/>
                <w:szCs w:val="24"/>
              </w:rPr>
            </w:pPr>
          </w:p>
        </w:tc>
        <w:tc>
          <w:tcPr>
            <w:tcW w:w="1134" w:type="dxa"/>
            <w:tcBorders>
              <w:top w:val="single" w:color="000000" w:sz="4" w:space="0"/>
              <w:left w:val="nil"/>
              <w:bottom w:val="single" w:color="000000" w:sz="4" w:space="0"/>
              <w:right w:val="single" w:color="000000" w:sz="4" w:space="0"/>
            </w:tcBorders>
            <w:vAlign w:val="center"/>
          </w:tcPr>
          <w:p w14:paraId="56F557A3">
            <w:pPr>
              <w:pStyle w:val="97"/>
              <w:autoSpaceDE w:val="0"/>
              <w:autoSpaceDN w:val="0"/>
              <w:jc w:val="center"/>
              <w:rPr>
                <w:rFonts w:hint="eastAsia" w:ascii="宋体" w:hAnsi="宋体" w:eastAsia="宋体" w:cs="宋体"/>
                <w:sz w:val="24"/>
                <w:szCs w:val="24"/>
                <w:lang w:val="en-US" w:eastAsia="zh-CN"/>
              </w:rPr>
            </w:pPr>
          </w:p>
        </w:tc>
        <w:tc>
          <w:tcPr>
            <w:tcW w:w="1067" w:type="dxa"/>
            <w:tcBorders>
              <w:top w:val="single" w:color="000000" w:sz="4" w:space="0"/>
              <w:left w:val="nil"/>
              <w:bottom w:val="single" w:color="000000" w:sz="4" w:space="0"/>
              <w:right w:val="single" w:color="000000" w:sz="4" w:space="0"/>
            </w:tcBorders>
            <w:vAlign w:val="center"/>
          </w:tcPr>
          <w:p w14:paraId="2A189299">
            <w:pPr>
              <w:pStyle w:val="97"/>
              <w:autoSpaceDE w:val="0"/>
              <w:autoSpaceDN w:val="0"/>
              <w:jc w:val="center"/>
              <w:rPr>
                <w:rFonts w:hint="eastAsia" w:ascii="宋体" w:hAnsi="宋体" w:eastAsia="宋体" w:cs="宋体"/>
                <w:sz w:val="24"/>
                <w:szCs w:val="24"/>
              </w:rPr>
            </w:pPr>
          </w:p>
        </w:tc>
      </w:tr>
      <w:tr w14:paraId="4375C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38F8D2D7">
            <w:pPr>
              <w:jc w:val="center"/>
              <w:rPr>
                <w:rFonts w:hint="eastAsia" w:ascii="宋体" w:hAnsi="宋体" w:eastAsia="宋体" w:cs="宋体"/>
                <w:sz w:val="24"/>
                <w:szCs w:val="24"/>
              </w:rPr>
            </w:pPr>
            <w:r>
              <w:rPr>
                <w:rFonts w:hint="eastAsia" w:ascii="宋体" w:hAnsi="宋体" w:eastAsia="宋体" w:cs="宋体"/>
                <w:sz w:val="24"/>
                <w:szCs w:val="24"/>
              </w:rPr>
              <w:t>2</w:t>
            </w:r>
          </w:p>
        </w:tc>
        <w:tc>
          <w:tcPr>
            <w:tcW w:w="2128" w:type="dxa"/>
            <w:tcBorders>
              <w:top w:val="single" w:color="000000" w:sz="4" w:space="0"/>
              <w:left w:val="nil"/>
              <w:bottom w:val="single" w:color="000000" w:sz="4" w:space="0"/>
              <w:right w:val="single" w:color="000000" w:sz="4" w:space="0"/>
            </w:tcBorders>
            <w:vAlign w:val="center"/>
          </w:tcPr>
          <w:p w14:paraId="3CC7C0E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清油</w:t>
            </w:r>
          </w:p>
        </w:tc>
        <w:tc>
          <w:tcPr>
            <w:tcW w:w="1037" w:type="dxa"/>
            <w:tcBorders>
              <w:top w:val="single" w:color="000000" w:sz="4" w:space="0"/>
              <w:left w:val="nil"/>
              <w:bottom w:val="single" w:color="000000" w:sz="4" w:space="0"/>
              <w:right w:val="single" w:color="000000" w:sz="4" w:space="0"/>
            </w:tcBorders>
            <w:vAlign w:val="center"/>
          </w:tcPr>
          <w:p w14:paraId="0164886B">
            <w:pPr>
              <w:jc w:val="center"/>
              <w:rPr>
                <w:rFonts w:hint="eastAsia" w:ascii="宋体" w:hAnsi="宋体" w:eastAsia="宋体" w:cs="宋体"/>
                <w:sz w:val="24"/>
                <w:szCs w:val="24"/>
              </w:rPr>
            </w:pPr>
          </w:p>
        </w:tc>
        <w:tc>
          <w:tcPr>
            <w:tcW w:w="1093" w:type="dxa"/>
            <w:tcBorders>
              <w:top w:val="single" w:color="000000" w:sz="4" w:space="0"/>
              <w:left w:val="nil"/>
              <w:bottom w:val="single" w:color="000000" w:sz="4" w:space="0"/>
              <w:right w:val="single" w:color="000000" w:sz="4" w:space="0"/>
            </w:tcBorders>
            <w:vAlign w:val="center"/>
          </w:tcPr>
          <w:p w14:paraId="29F63771">
            <w:pPr>
              <w:jc w:val="center"/>
              <w:rPr>
                <w:rFonts w:hint="eastAsia" w:ascii="宋体" w:hAnsi="宋体" w:eastAsia="宋体" w:cs="宋体"/>
                <w:sz w:val="24"/>
                <w:szCs w:val="24"/>
              </w:rPr>
            </w:pPr>
          </w:p>
        </w:tc>
        <w:tc>
          <w:tcPr>
            <w:tcW w:w="1202" w:type="dxa"/>
            <w:tcBorders>
              <w:top w:val="single" w:color="000000" w:sz="4" w:space="0"/>
              <w:left w:val="nil"/>
              <w:bottom w:val="single" w:color="000000" w:sz="4" w:space="0"/>
              <w:right w:val="single" w:color="000000" w:sz="4" w:space="0"/>
            </w:tcBorders>
            <w:vAlign w:val="center"/>
          </w:tcPr>
          <w:p w14:paraId="7EA7B450">
            <w:pPr>
              <w:jc w:val="center"/>
              <w:rPr>
                <w:rFonts w:hint="eastAsia" w:ascii="宋体" w:hAnsi="宋体" w:eastAsia="宋体" w:cs="宋体"/>
                <w:sz w:val="24"/>
                <w:szCs w:val="24"/>
              </w:rPr>
            </w:pPr>
          </w:p>
        </w:tc>
        <w:tc>
          <w:tcPr>
            <w:tcW w:w="1213" w:type="dxa"/>
            <w:tcBorders>
              <w:top w:val="single" w:color="000000" w:sz="4" w:space="0"/>
              <w:left w:val="nil"/>
              <w:bottom w:val="single" w:color="000000" w:sz="4" w:space="0"/>
              <w:right w:val="single" w:color="000000" w:sz="4" w:space="0"/>
            </w:tcBorders>
            <w:vAlign w:val="center"/>
          </w:tcPr>
          <w:p w14:paraId="09CD8979">
            <w:pPr>
              <w:pStyle w:val="97"/>
              <w:autoSpaceDE w:val="0"/>
              <w:autoSpaceDN w:val="0"/>
              <w:jc w:val="center"/>
              <w:rPr>
                <w:rFonts w:hint="eastAsia" w:ascii="宋体" w:hAnsi="宋体" w:eastAsia="宋体" w:cs="宋体"/>
                <w:sz w:val="24"/>
                <w:szCs w:val="24"/>
              </w:rPr>
            </w:pPr>
          </w:p>
        </w:tc>
        <w:tc>
          <w:tcPr>
            <w:tcW w:w="1134" w:type="dxa"/>
            <w:tcBorders>
              <w:top w:val="single" w:color="000000" w:sz="4" w:space="0"/>
              <w:left w:val="nil"/>
              <w:bottom w:val="single" w:color="000000" w:sz="4" w:space="0"/>
              <w:right w:val="single" w:color="000000" w:sz="4" w:space="0"/>
            </w:tcBorders>
            <w:vAlign w:val="center"/>
          </w:tcPr>
          <w:p w14:paraId="14A608CC">
            <w:pPr>
              <w:pStyle w:val="97"/>
              <w:autoSpaceDE w:val="0"/>
              <w:autoSpaceDN w:val="0"/>
              <w:jc w:val="center"/>
              <w:rPr>
                <w:rFonts w:hint="eastAsia" w:ascii="宋体" w:hAnsi="宋体" w:eastAsia="宋体" w:cs="宋体"/>
                <w:sz w:val="24"/>
                <w:szCs w:val="24"/>
              </w:rPr>
            </w:pPr>
          </w:p>
        </w:tc>
        <w:tc>
          <w:tcPr>
            <w:tcW w:w="1067" w:type="dxa"/>
            <w:tcBorders>
              <w:top w:val="single" w:color="000000" w:sz="4" w:space="0"/>
              <w:left w:val="nil"/>
              <w:bottom w:val="single" w:color="000000" w:sz="4" w:space="0"/>
              <w:right w:val="single" w:color="000000" w:sz="4" w:space="0"/>
            </w:tcBorders>
            <w:vAlign w:val="center"/>
          </w:tcPr>
          <w:p w14:paraId="0BC39D04">
            <w:pPr>
              <w:pStyle w:val="97"/>
              <w:autoSpaceDE w:val="0"/>
              <w:autoSpaceDN w:val="0"/>
              <w:jc w:val="center"/>
              <w:rPr>
                <w:rFonts w:hint="eastAsia" w:ascii="宋体" w:hAnsi="宋体" w:eastAsia="宋体" w:cs="宋体"/>
                <w:sz w:val="24"/>
                <w:szCs w:val="24"/>
              </w:rPr>
            </w:pPr>
          </w:p>
        </w:tc>
      </w:tr>
      <w:tr w14:paraId="451A3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28A32E3F">
            <w:pPr>
              <w:jc w:val="center"/>
              <w:rPr>
                <w:rFonts w:hint="eastAsia" w:ascii="宋体" w:hAnsi="宋体" w:eastAsia="宋体" w:cs="宋体"/>
                <w:sz w:val="24"/>
                <w:szCs w:val="24"/>
              </w:rPr>
            </w:pPr>
            <w:r>
              <w:rPr>
                <w:rFonts w:hint="eastAsia" w:ascii="宋体" w:hAnsi="宋体" w:eastAsia="宋体" w:cs="宋体"/>
                <w:sz w:val="24"/>
                <w:szCs w:val="24"/>
              </w:rPr>
              <w:t>3</w:t>
            </w:r>
          </w:p>
        </w:tc>
        <w:tc>
          <w:tcPr>
            <w:tcW w:w="2128" w:type="dxa"/>
            <w:tcBorders>
              <w:top w:val="single" w:color="000000" w:sz="4" w:space="0"/>
              <w:left w:val="nil"/>
              <w:bottom w:val="single" w:color="000000" w:sz="4" w:space="0"/>
              <w:right w:val="single" w:color="000000" w:sz="4" w:space="0"/>
            </w:tcBorders>
            <w:vAlign w:val="center"/>
          </w:tcPr>
          <w:p w14:paraId="211C62B9">
            <w:pPr>
              <w:jc w:val="center"/>
              <w:rPr>
                <w:rFonts w:hint="eastAsia" w:ascii="宋体" w:hAnsi="宋体" w:eastAsia="宋体" w:cs="宋体"/>
                <w:sz w:val="24"/>
                <w:szCs w:val="24"/>
              </w:rPr>
            </w:pPr>
          </w:p>
        </w:tc>
        <w:tc>
          <w:tcPr>
            <w:tcW w:w="1037" w:type="dxa"/>
            <w:tcBorders>
              <w:top w:val="single" w:color="000000" w:sz="4" w:space="0"/>
              <w:left w:val="nil"/>
              <w:bottom w:val="single" w:color="000000" w:sz="4" w:space="0"/>
              <w:right w:val="single" w:color="000000" w:sz="4" w:space="0"/>
            </w:tcBorders>
            <w:vAlign w:val="center"/>
          </w:tcPr>
          <w:p w14:paraId="02A6E023">
            <w:pPr>
              <w:jc w:val="center"/>
              <w:rPr>
                <w:rFonts w:hint="eastAsia" w:ascii="宋体" w:hAnsi="宋体" w:eastAsia="宋体" w:cs="宋体"/>
                <w:sz w:val="24"/>
                <w:szCs w:val="24"/>
              </w:rPr>
            </w:pPr>
          </w:p>
        </w:tc>
        <w:tc>
          <w:tcPr>
            <w:tcW w:w="1093" w:type="dxa"/>
            <w:tcBorders>
              <w:top w:val="single" w:color="000000" w:sz="4" w:space="0"/>
              <w:left w:val="nil"/>
              <w:bottom w:val="single" w:color="000000" w:sz="4" w:space="0"/>
              <w:right w:val="single" w:color="000000" w:sz="4" w:space="0"/>
            </w:tcBorders>
            <w:vAlign w:val="center"/>
          </w:tcPr>
          <w:p w14:paraId="45B90D3D">
            <w:pPr>
              <w:jc w:val="center"/>
              <w:rPr>
                <w:rFonts w:hint="eastAsia" w:ascii="宋体" w:hAnsi="宋体" w:eastAsia="宋体" w:cs="宋体"/>
                <w:sz w:val="24"/>
                <w:szCs w:val="24"/>
              </w:rPr>
            </w:pPr>
          </w:p>
        </w:tc>
        <w:tc>
          <w:tcPr>
            <w:tcW w:w="1202" w:type="dxa"/>
            <w:tcBorders>
              <w:top w:val="single" w:color="000000" w:sz="4" w:space="0"/>
              <w:left w:val="nil"/>
              <w:bottom w:val="single" w:color="000000" w:sz="4" w:space="0"/>
              <w:right w:val="single" w:color="000000" w:sz="4" w:space="0"/>
            </w:tcBorders>
            <w:vAlign w:val="center"/>
          </w:tcPr>
          <w:p w14:paraId="3048B41B">
            <w:pPr>
              <w:jc w:val="center"/>
              <w:rPr>
                <w:rFonts w:hint="eastAsia" w:ascii="宋体" w:hAnsi="宋体" w:eastAsia="宋体" w:cs="宋体"/>
                <w:sz w:val="24"/>
                <w:szCs w:val="24"/>
              </w:rPr>
            </w:pPr>
          </w:p>
        </w:tc>
        <w:tc>
          <w:tcPr>
            <w:tcW w:w="1213" w:type="dxa"/>
            <w:tcBorders>
              <w:top w:val="single" w:color="000000" w:sz="4" w:space="0"/>
              <w:left w:val="nil"/>
              <w:bottom w:val="single" w:color="000000" w:sz="4" w:space="0"/>
              <w:right w:val="single" w:color="000000" w:sz="4" w:space="0"/>
            </w:tcBorders>
            <w:vAlign w:val="center"/>
          </w:tcPr>
          <w:p w14:paraId="18E8732A">
            <w:pPr>
              <w:pStyle w:val="97"/>
              <w:autoSpaceDE w:val="0"/>
              <w:autoSpaceDN w:val="0"/>
              <w:jc w:val="center"/>
              <w:rPr>
                <w:rFonts w:hint="eastAsia" w:ascii="宋体" w:hAnsi="宋体" w:eastAsia="宋体" w:cs="宋体"/>
                <w:sz w:val="24"/>
                <w:szCs w:val="24"/>
              </w:rPr>
            </w:pPr>
          </w:p>
        </w:tc>
        <w:tc>
          <w:tcPr>
            <w:tcW w:w="1134" w:type="dxa"/>
            <w:tcBorders>
              <w:top w:val="single" w:color="000000" w:sz="4" w:space="0"/>
              <w:left w:val="nil"/>
              <w:bottom w:val="single" w:color="000000" w:sz="4" w:space="0"/>
              <w:right w:val="single" w:color="000000" w:sz="4" w:space="0"/>
            </w:tcBorders>
            <w:vAlign w:val="center"/>
          </w:tcPr>
          <w:p w14:paraId="3D3B4B05">
            <w:pPr>
              <w:pStyle w:val="97"/>
              <w:autoSpaceDE w:val="0"/>
              <w:autoSpaceDN w:val="0"/>
              <w:jc w:val="center"/>
              <w:rPr>
                <w:rFonts w:hint="eastAsia" w:ascii="宋体" w:hAnsi="宋体" w:eastAsia="宋体" w:cs="宋体"/>
                <w:sz w:val="24"/>
                <w:szCs w:val="24"/>
              </w:rPr>
            </w:pPr>
          </w:p>
        </w:tc>
        <w:tc>
          <w:tcPr>
            <w:tcW w:w="1067" w:type="dxa"/>
            <w:tcBorders>
              <w:top w:val="single" w:color="000000" w:sz="4" w:space="0"/>
              <w:left w:val="nil"/>
              <w:bottom w:val="single" w:color="000000" w:sz="4" w:space="0"/>
              <w:right w:val="single" w:color="000000" w:sz="4" w:space="0"/>
            </w:tcBorders>
            <w:vAlign w:val="center"/>
          </w:tcPr>
          <w:p w14:paraId="47C82993">
            <w:pPr>
              <w:pStyle w:val="97"/>
              <w:autoSpaceDE w:val="0"/>
              <w:autoSpaceDN w:val="0"/>
              <w:jc w:val="center"/>
              <w:rPr>
                <w:rFonts w:hint="eastAsia" w:ascii="宋体" w:hAnsi="宋体" w:eastAsia="宋体" w:cs="宋体"/>
                <w:sz w:val="24"/>
                <w:szCs w:val="24"/>
              </w:rPr>
            </w:pPr>
          </w:p>
        </w:tc>
      </w:tr>
      <w:tr w14:paraId="11931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D372305">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6746" w:type="dxa"/>
            <w:gridSpan w:val="6"/>
            <w:tcBorders>
              <w:top w:val="single" w:color="000000" w:sz="4" w:space="0"/>
              <w:left w:val="nil"/>
              <w:bottom w:val="single" w:color="000000" w:sz="4" w:space="0"/>
              <w:right w:val="single" w:color="000000" w:sz="4" w:space="0"/>
            </w:tcBorders>
            <w:vAlign w:val="center"/>
          </w:tcPr>
          <w:p w14:paraId="2270F701">
            <w:pPr>
              <w:jc w:val="center"/>
              <w:rPr>
                <w:rFonts w:hint="eastAsia" w:ascii="宋体" w:hAnsi="宋体" w:eastAsia="宋体" w:cs="宋体"/>
                <w:sz w:val="24"/>
                <w:szCs w:val="24"/>
              </w:rPr>
            </w:pP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12DB6765">
            <w:pPr>
              <w:jc w:val="center"/>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bl>
    <w:p w14:paraId="281938E3">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kern w:val="0"/>
          <w:sz w:val="24"/>
          <w:szCs w:val="24"/>
          <w:lang w:val="en-US" w:eastAsia="zh-CN"/>
        </w:rPr>
        <w:t>注：</w:t>
      </w:r>
      <w:r>
        <w:rPr>
          <w:rFonts w:hint="eastAsia" w:ascii="宋体" w:hAnsi="宋体" w:cs="宋体"/>
          <w:kern w:val="0"/>
          <w:sz w:val="24"/>
          <w:szCs w:val="24"/>
        </w:rPr>
        <w:t>此表中的投标总报价必须与“开标一览表”中的“投标报价”一致。</w:t>
      </w:r>
    </w:p>
    <w:p w14:paraId="6046B727">
      <w:pPr>
        <w:pStyle w:val="76"/>
        <w:adjustRightInd w:val="0"/>
        <w:snapToGrid w:val="0"/>
        <w:spacing w:line="500" w:lineRule="exact"/>
        <w:ind w:firstLine="480" w:firstLineChars="200"/>
        <w:rPr>
          <w:rFonts w:hint="eastAsia" w:ascii="宋体" w:hAnsi="宋体"/>
          <w:sz w:val="24"/>
          <w:szCs w:val="24"/>
        </w:rPr>
      </w:pPr>
    </w:p>
    <w:p w14:paraId="2FDB9BDC">
      <w:pPr>
        <w:pStyle w:val="76"/>
        <w:adjustRightInd w:val="0"/>
        <w:snapToGrid w:val="0"/>
        <w:spacing w:line="500" w:lineRule="exact"/>
        <w:ind w:firstLine="480" w:firstLineChars="200"/>
        <w:rPr>
          <w:rFonts w:hint="eastAsia" w:ascii="宋体" w:hAnsi="宋体"/>
          <w:sz w:val="24"/>
          <w:szCs w:val="24"/>
        </w:rPr>
      </w:pPr>
    </w:p>
    <w:p w14:paraId="56212501">
      <w:pPr>
        <w:pStyle w:val="76"/>
        <w:adjustRightInd w:val="0"/>
        <w:snapToGrid w:val="0"/>
        <w:spacing w:line="500" w:lineRule="exact"/>
        <w:ind w:firstLine="480" w:firstLineChars="200"/>
        <w:rPr>
          <w:rFonts w:hint="eastAsia" w:ascii="宋体" w:hAnsi="宋体"/>
          <w:sz w:val="24"/>
          <w:szCs w:val="24"/>
        </w:rPr>
      </w:pPr>
    </w:p>
    <w:p w14:paraId="1AD9DDDA">
      <w:pPr>
        <w:pStyle w:val="76"/>
        <w:adjustRightInd w:val="0"/>
        <w:snapToGrid w:val="0"/>
        <w:spacing w:line="500" w:lineRule="exact"/>
        <w:ind w:firstLine="480" w:firstLineChars="200"/>
        <w:rPr>
          <w:rFonts w:hint="eastAsia" w:ascii="宋体" w:hAnsi="宋体"/>
          <w:sz w:val="24"/>
          <w:szCs w:val="24"/>
        </w:rPr>
      </w:pPr>
    </w:p>
    <w:p w14:paraId="6204A36A">
      <w:pPr>
        <w:pStyle w:val="76"/>
        <w:adjustRightInd w:val="0"/>
        <w:snapToGrid w:val="0"/>
        <w:spacing w:line="500" w:lineRule="exact"/>
        <w:ind w:firstLine="480" w:firstLineChars="200"/>
        <w:rPr>
          <w:rFonts w:hint="eastAsia" w:ascii="宋体" w:hAnsi="宋体"/>
          <w:sz w:val="24"/>
          <w:szCs w:val="24"/>
        </w:rPr>
      </w:pPr>
    </w:p>
    <w:p w14:paraId="7AB0BB33">
      <w:pPr>
        <w:pStyle w:val="76"/>
        <w:adjustRightInd w:val="0"/>
        <w:snapToGrid w:val="0"/>
        <w:spacing w:line="500" w:lineRule="exact"/>
        <w:ind w:firstLine="480" w:firstLineChars="200"/>
        <w:rPr>
          <w:rFonts w:hint="eastAsia" w:ascii="宋体" w:hAnsi="宋体"/>
          <w:sz w:val="24"/>
          <w:szCs w:val="24"/>
        </w:rPr>
      </w:pPr>
    </w:p>
    <w:p w14:paraId="65A72EFC">
      <w:pPr>
        <w:pStyle w:val="76"/>
        <w:adjustRightInd w:val="0"/>
        <w:snapToGrid w:val="0"/>
        <w:spacing w:line="500" w:lineRule="exact"/>
        <w:ind w:firstLine="480" w:firstLineChars="200"/>
        <w:rPr>
          <w:rFonts w:hint="eastAsia" w:ascii="宋体" w:hAnsi="宋体"/>
          <w:sz w:val="24"/>
          <w:szCs w:val="24"/>
        </w:rPr>
      </w:pPr>
    </w:p>
    <w:p w14:paraId="419214A9">
      <w:pPr>
        <w:pStyle w:val="76"/>
        <w:adjustRightInd w:val="0"/>
        <w:snapToGrid w:val="0"/>
        <w:spacing w:line="500" w:lineRule="exact"/>
        <w:ind w:firstLine="480" w:firstLineChars="200"/>
        <w:rPr>
          <w:rFonts w:hint="eastAsia" w:ascii="宋体" w:hAnsi="宋体"/>
          <w:sz w:val="24"/>
          <w:szCs w:val="24"/>
        </w:rPr>
      </w:pPr>
    </w:p>
    <w:p w14:paraId="2E3B5D5B">
      <w:pPr>
        <w:pStyle w:val="76"/>
        <w:adjustRightInd w:val="0"/>
        <w:snapToGrid w:val="0"/>
        <w:spacing w:line="500" w:lineRule="exact"/>
        <w:ind w:firstLine="480" w:firstLineChars="200"/>
        <w:rPr>
          <w:rFonts w:hint="eastAsia" w:ascii="宋体" w:hAnsi="宋体"/>
          <w:sz w:val="24"/>
          <w:szCs w:val="24"/>
        </w:rPr>
      </w:pPr>
    </w:p>
    <w:p w14:paraId="725542AF">
      <w:pPr>
        <w:pStyle w:val="76"/>
        <w:adjustRightInd w:val="0"/>
        <w:snapToGrid w:val="0"/>
        <w:spacing w:line="500" w:lineRule="exact"/>
        <w:ind w:firstLine="480" w:firstLineChars="200"/>
        <w:rPr>
          <w:rFonts w:hint="eastAsia" w:ascii="宋体" w:hAnsi="宋体"/>
          <w:sz w:val="24"/>
          <w:szCs w:val="24"/>
        </w:rPr>
      </w:pPr>
    </w:p>
    <w:p w14:paraId="1B8FB266">
      <w:pPr>
        <w:pStyle w:val="76"/>
        <w:adjustRightInd w:val="0"/>
        <w:snapToGrid w:val="0"/>
        <w:spacing w:line="500" w:lineRule="exact"/>
        <w:ind w:firstLine="480" w:firstLineChars="200"/>
        <w:rPr>
          <w:rFonts w:ascii="宋体" w:hAnsi="宋体"/>
          <w:sz w:val="24"/>
          <w:szCs w:val="24"/>
          <w:u w:val="single"/>
        </w:rPr>
      </w:pPr>
      <w:r>
        <w:rPr>
          <w:rFonts w:hint="eastAsia" w:ascii="宋体" w:hAnsi="宋体"/>
          <w:sz w:val="24"/>
          <w:szCs w:val="24"/>
        </w:rPr>
        <w:t>供应商名称（盖章）：</w:t>
      </w:r>
      <w:r>
        <w:rPr>
          <w:rFonts w:hint="eastAsia" w:ascii="宋体" w:hAnsi="宋体"/>
          <w:sz w:val="24"/>
          <w:szCs w:val="24"/>
          <w:u w:val="single"/>
        </w:rPr>
        <w:t xml:space="preserve">                       </w:t>
      </w:r>
    </w:p>
    <w:p w14:paraId="0240EF1B">
      <w:pPr>
        <w:pStyle w:val="88"/>
        <w:spacing w:line="360" w:lineRule="auto"/>
        <w:ind w:firstLine="480" w:firstLineChars="200"/>
        <w:rPr>
          <w:rFonts w:ascii="宋体" w:hAnsi="宋体"/>
          <w:sz w:val="24"/>
        </w:rPr>
      </w:pPr>
    </w:p>
    <w:p w14:paraId="36717976">
      <w:pPr>
        <w:pStyle w:val="91"/>
        <w:spacing w:line="360" w:lineRule="auto"/>
        <w:ind w:firstLine="480" w:firstLineChars="200"/>
        <w:rPr>
          <w:rFonts w:ascii="宋体" w:hAnsi="宋体" w:eastAsia="宋体" w:cs="宋体"/>
          <w:sz w:val="30"/>
          <w:szCs w:val="30"/>
        </w:rPr>
        <w:sectPr>
          <w:pgSz w:w="11906" w:h="16838"/>
          <w:pgMar w:top="1440" w:right="1531" w:bottom="1440" w:left="1531" w:header="851" w:footer="992" w:gutter="0"/>
          <w:cols w:space="720" w:num="1"/>
          <w:docGrid w:type="lines" w:linePitch="312" w:charSpace="0"/>
        </w:sect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B66810B">
      <w:pPr>
        <w:pStyle w:val="85"/>
        <w:outlineLvl w:val="0"/>
        <w:rPr>
          <w:rFonts w:ascii="宋体" w:hAnsi="宋体" w:eastAsia="宋体" w:cs="宋体"/>
        </w:rPr>
        <w:sectPr>
          <w:pgSz w:w="11906" w:h="16838"/>
          <w:pgMar w:top="1440" w:right="1531" w:bottom="1440" w:left="1531" w:header="851" w:footer="992" w:gutter="0"/>
          <w:cols w:space="720" w:num="1"/>
          <w:docGrid w:type="lines" w:linePitch="312" w:charSpace="0"/>
        </w:sectPr>
      </w:pPr>
      <w:r>
        <w:rPr>
          <w:rFonts w:hint="eastAsia" w:ascii="宋体" w:hAnsi="宋体" w:eastAsia="宋体" w:cs="宋体"/>
        </w:rPr>
        <w:t>四、商务、技术响应文件</w:t>
      </w:r>
      <w:bookmarkEnd w:id="132"/>
      <w:bookmarkEnd w:id="133"/>
    </w:p>
    <w:p w14:paraId="69D85C45">
      <w:pPr>
        <w:pStyle w:val="85"/>
        <w:jc w:val="center"/>
        <w:outlineLvl w:val="1"/>
        <w:rPr>
          <w:rFonts w:ascii="宋体" w:hAnsi="宋体" w:eastAsia="宋体" w:cs="宋体"/>
          <w:sz w:val="30"/>
          <w:szCs w:val="30"/>
        </w:rPr>
      </w:pPr>
      <w:bookmarkStart w:id="134" w:name="_Toc108609136"/>
      <w:bookmarkStart w:id="135" w:name="_Toc2827"/>
      <w:bookmarkStart w:id="136" w:name="_Toc106276295"/>
      <w:r>
        <w:rPr>
          <w:rFonts w:hint="eastAsia" w:ascii="宋体" w:hAnsi="宋体" w:eastAsia="宋体" w:cs="宋体"/>
          <w:sz w:val="30"/>
          <w:szCs w:val="30"/>
        </w:rPr>
        <w:t>一、</w:t>
      </w:r>
      <w:r>
        <w:rPr>
          <w:rFonts w:hint="eastAsia" w:ascii="宋体" w:hAnsi="宋体" w:eastAsia="宋体" w:cs="宋体"/>
          <w:sz w:val="30"/>
          <w:szCs w:val="30"/>
          <w:lang w:val="en-US" w:eastAsia="zh-CN"/>
        </w:rPr>
        <w:t>投标</w:t>
      </w:r>
      <w:r>
        <w:rPr>
          <w:rFonts w:hint="eastAsia" w:ascii="宋体" w:hAnsi="宋体" w:eastAsia="宋体" w:cs="宋体"/>
          <w:sz w:val="30"/>
          <w:szCs w:val="30"/>
        </w:rPr>
        <w:t>申请</w:t>
      </w:r>
      <w:bookmarkEnd w:id="134"/>
      <w:bookmarkEnd w:id="135"/>
      <w:bookmarkEnd w:id="136"/>
    </w:p>
    <w:p w14:paraId="4054223C">
      <w:pPr>
        <w:pStyle w:val="85"/>
        <w:jc w:val="center"/>
        <w:outlineLvl w:val="1"/>
        <w:rPr>
          <w:rFonts w:ascii="宋体" w:hAnsi="宋体" w:eastAsia="宋体" w:cs="宋体"/>
          <w:sz w:val="30"/>
          <w:szCs w:val="30"/>
        </w:rPr>
      </w:pPr>
    </w:p>
    <w:p w14:paraId="218B51D4">
      <w:pPr>
        <w:pStyle w:val="93"/>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u w:val="single"/>
          <w:lang w:val="zh-CN"/>
        </w:rPr>
        <w:t xml:space="preserve">                         </w:t>
      </w:r>
      <w:r>
        <w:rPr>
          <w:rFonts w:hint="eastAsia" w:ascii="宋体" w:hAnsi="宋体" w:cs="宋体"/>
          <w:sz w:val="24"/>
          <w:szCs w:val="24"/>
          <w:lang w:val="zh-CN"/>
        </w:rPr>
        <w:t>（采购单位）</w:t>
      </w:r>
    </w:p>
    <w:p w14:paraId="1122159E">
      <w:pPr>
        <w:pStyle w:val="94"/>
        <w:autoSpaceDE w:val="0"/>
        <w:autoSpaceDN w:val="0"/>
        <w:adjustRightInd w:val="0"/>
        <w:spacing w:beforeLines="50" w:line="360" w:lineRule="auto"/>
        <w:ind w:firstLine="480" w:firstLineChars="200"/>
        <w:rPr>
          <w:rFonts w:ascii="宋体" w:hAnsi="宋体"/>
          <w:sz w:val="24"/>
          <w:szCs w:val="24"/>
        </w:rPr>
      </w:pPr>
      <w:r>
        <w:rPr>
          <w:rFonts w:hint="eastAsia" w:ascii="宋体" w:hAnsi="宋体"/>
          <w:sz w:val="24"/>
          <w:szCs w:val="24"/>
          <w:lang w:val="zh-CN"/>
        </w:rPr>
        <w:t>根据贵方项目编号</w:t>
      </w:r>
      <w:r>
        <w:rPr>
          <w:rFonts w:hint="eastAsia" w:ascii="宋体" w:hAnsi="宋体"/>
          <w:sz w:val="24"/>
          <w:szCs w:val="24"/>
          <w:u w:val="single"/>
          <w:lang w:val="zh-CN"/>
        </w:rPr>
        <w:t xml:space="preserve">           </w:t>
      </w:r>
      <w:r>
        <w:rPr>
          <w:rFonts w:hint="eastAsia" w:ascii="宋体" w:hAnsi="宋体"/>
          <w:sz w:val="24"/>
          <w:szCs w:val="24"/>
          <w:lang w:val="zh-CN"/>
        </w:rPr>
        <w:t>的</w:t>
      </w:r>
      <w:r>
        <w:rPr>
          <w:rFonts w:hint="eastAsia" w:ascii="宋体" w:hAnsi="宋体"/>
          <w:sz w:val="24"/>
          <w:szCs w:val="24"/>
          <w:lang w:val="en-US" w:eastAsia="zh-CN"/>
        </w:rPr>
        <w:t>招标</w:t>
      </w:r>
      <w:r>
        <w:rPr>
          <w:rFonts w:hint="eastAsia" w:ascii="宋体" w:hAnsi="宋体"/>
          <w:sz w:val="24"/>
          <w:szCs w:val="24"/>
          <w:lang w:val="zh-CN"/>
        </w:rPr>
        <w:t>文件，</w:t>
      </w:r>
      <w:r>
        <w:rPr>
          <w:rFonts w:hint="eastAsia" w:ascii="宋体" w:hAnsi="宋体"/>
          <w:sz w:val="24"/>
          <w:szCs w:val="24"/>
        </w:rPr>
        <w:t>我方正式提交在政采云平台上传电子</w:t>
      </w:r>
      <w:r>
        <w:rPr>
          <w:rFonts w:hint="eastAsia" w:ascii="宋体" w:hAnsi="宋体"/>
          <w:sz w:val="24"/>
          <w:szCs w:val="24"/>
          <w:lang w:val="en-US" w:eastAsia="zh-CN"/>
        </w:rPr>
        <w:t>投标</w:t>
      </w:r>
      <w:r>
        <w:rPr>
          <w:rFonts w:hint="eastAsia" w:ascii="宋体" w:hAnsi="宋体"/>
          <w:sz w:val="24"/>
          <w:szCs w:val="24"/>
        </w:rPr>
        <w:t>文件一份。</w:t>
      </w:r>
    </w:p>
    <w:p w14:paraId="66AB7467">
      <w:pPr>
        <w:pStyle w:val="93"/>
        <w:autoSpaceDE w:val="0"/>
        <w:autoSpaceDN w:val="0"/>
        <w:adjustRightInd w:val="0"/>
        <w:spacing w:beforeLines="50" w:line="360" w:lineRule="auto"/>
        <w:ind w:firstLine="480" w:firstLineChars="200"/>
        <w:rPr>
          <w:rFonts w:ascii="宋体" w:hAnsi="宋体" w:cs="宋体"/>
          <w:sz w:val="24"/>
          <w:szCs w:val="24"/>
        </w:rPr>
      </w:pPr>
      <w:r>
        <w:rPr>
          <w:rFonts w:hint="eastAsia" w:ascii="宋体" w:hAnsi="宋体" w:cs="宋体"/>
          <w:sz w:val="24"/>
          <w:szCs w:val="24"/>
        </w:rPr>
        <w:t>据此函，签字人兹同意如下：</w:t>
      </w:r>
    </w:p>
    <w:p w14:paraId="6DF7EB1D">
      <w:pPr>
        <w:pStyle w:val="93"/>
        <w:spacing w:line="360" w:lineRule="auto"/>
        <w:ind w:firstLine="480" w:firstLineChars="200"/>
        <w:rPr>
          <w:rFonts w:ascii="宋体" w:hAnsi="宋体" w:cs="宋体"/>
          <w:sz w:val="24"/>
          <w:szCs w:val="24"/>
        </w:rPr>
      </w:pPr>
      <w:r>
        <w:rPr>
          <w:rFonts w:hint="eastAsia" w:ascii="宋体" w:hAnsi="宋体" w:cs="宋体"/>
          <w:sz w:val="24"/>
          <w:szCs w:val="24"/>
        </w:rPr>
        <w:t>1、总报价为（大写）</w:t>
      </w:r>
      <w:r>
        <w:rPr>
          <w:rFonts w:hint="eastAsia" w:ascii="宋体" w:hAnsi="宋体" w:cs="宋体"/>
          <w:b/>
          <w:sz w:val="24"/>
          <w:szCs w:val="24"/>
          <w:u w:val="single"/>
        </w:rPr>
        <w:t xml:space="preserve">             </w:t>
      </w:r>
      <w:r>
        <w:rPr>
          <w:rFonts w:hint="eastAsia" w:ascii="宋体" w:hAnsi="宋体" w:cs="宋体"/>
          <w:sz w:val="24"/>
          <w:szCs w:val="24"/>
        </w:rPr>
        <w:t>元人民币，</w:t>
      </w:r>
      <w:r>
        <w:rPr>
          <w:rFonts w:hint="eastAsia" w:ascii="宋体" w:hAnsi="宋体" w:cs="宋体"/>
          <w:sz w:val="24"/>
          <w:szCs w:val="24"/>
          <w:lang w:val="en-US" w:eastAsia="zh-CN"/>
        </w:rPr>
        <w:t>供货</w:t>
      </w:r>
      <w:r>
        <w:rPr>
          <w:rFonts w:hint="eastAsia" w:ascii="宋体" w:hAnsi="宋体" w:cs="宋体"/>
          <w:sz w:val="24"/>
          <w:szCs w:val="24"/>
        </w:rPr>
        <w:t>期：</w:t>
      </w:r>
      <w:r>
        <w:rPr>
          <w:rFonts w:hint="eastAsia" w:ascii="宋体" w:hAnsi="宋体" w:cs="宋体"/>
          <w:color w:val="000000"/>
          <w:sz w:val="24"/>
          <w:szCs w:val="24"/>
          <w:u w:val="single"/>
        </w:rPr>
        <w:t xml:space="preserve">   </w:t>
      </w:r>
      <w:r>
        <w:rPr>
          <w:rFonts w:hint="eastAsia" w:ascii="宋体" w:hAnsi="宋体" w:cs="宋体"/>
          <w:color w:val="000000"/>
          <w:sz w:val="24"/>
          <w:szCs w:val="24"/>
        </w:rPr>
        <w:t>天。</w:t>
      </w:r>
    </w:p>
    <w:p w14:paraId="0EA181CB">
      <w:pPr>
        <w:pStyle w:val="93"/>
        <w:spacing w:line="360" w:lineRule="auto"/>
        <w:ind w:firstLine="480" w:firstLineChars="200"/>
        <w:rPr>
          <w:rFonts w:ascii="宋体" w:hAnsi="宋体" w:cs="宋体"/>
          <w:sz w:val="24"/>
          <w:szCs w:val="24"/>
        </w:rPr>
      </w:pPr>
      <w:r>
        <w:rPr>
          <w:rFonts w:hint="eastAsia" w:ascii="宋体" w:hAnsi="宋体" w:cs="宋体"/>
          <w:sz w:val="24"/>
          <w:szCs w:val="24"/>
        </w:rPr>
        <w:t>2、我们同意提供贵方可能要求的与本次</w:t>
      </w:r>
      <w:r>
        <w:rPr>
          <w:rFonts w:hint="eastAsia" w:ascii="宋体" w:hAnsi="宋体" w:cs="宋体"/>
          <w:sz w:val="24"/>
          <w:szCs w:val="24"/>
          <w:lang w:val="en-US" w:eastAsia="zh-CN"/>
        </w:rPr>
        <w:t>招标</w:t>
      </w:r>
      <w:r>
        <w:rPr>
          <w:rFonts w:hint="eastAsia" w:ascii="宋体" w:hAnsi="宋体" w:cs="宋体"/>
          <w:sz w:val="24"/>
          <w:szCs w:val="24"/>
        </w:rPr>
        <w:t>有关的任何证据或资料。</w:t>
      </w:r>
    </w:p>
    <w:p w14:paraId="1689E77B">
      <w:pPr>
        <w:pStyle w:val="93"/>
        <w:spacing w:line="360" w:lineRule="auto"/>
        <w:ind w:firstLine="480" w:firstLineChars="200"/>
        <w:rPr>
          <w:rFonts w:ascii="宋体" w:hAnsi="宋体" w:cs="宋体"/>
          <w:sz w:val="24"/>
          <w:szCs w:val="24"/>
        </w:rPr>
      </w:pPr>
      <w:r>
        <w:rPr>
          <w:rFonts w:hint="eastAsia" w:ascii="宋体" w:hAnsi="宋体" w:cs="宋体"/>
          <w:sz w:val="24"/>
          <w:szCs w:val="24"/>
        </w:rPr>
        <w:t>3、一旦我方成交，我方承诺将根据</w:t>
      </w:r>
      <w:r>
        <w:rPr>
          <w:rFonts w:hint="eastAsia" w:ascii="宋体" w:hAnsi="宋体" w:cs="宋体"/>
          <w:sz w:val="24"/>
          <w:szCs w:val="24"/>
          <w:lang w:val="en-US" w:eastAsia="zh-CN"/>
        </w:rPr>
        <w:t>招标</w:t>
      </w:r>
      <w:r>
        <w:rPr>
          <w:rFonts w:hint="eastAsia" w:ascii="宋体" w:hAnsi="宋体" w:cs="宋体"/>
          <w:sz w:val="24"/>
          <w:szCs w:val="24"/>
        </w:rPr>
        <w:t>文件与贵方签订书面合同，并严格履行合同义务。</w:t>
      </w:r>
    </w:p>
    <w:p w14:paraId="01BB064A">
      <w:pPr>
        <w:pStyle w:val="93"/>
        <w:spacing w:line="360" w:lineRule="auto"/>
        <w:ind w:firstLine="480" w:firstLineChars="200"/>
        <w:rPr>
          <w:rFonts w:ascii="宋体" w:hAnsi="宋体" w:cs="宋体"/>
          <w:sz w:val="24"/>
          <w:szCs w:val="24"/>
        </w:rPr>
      </w:pPr>
      <w:r>
        <w:rPr>
          <w:rFonts w:hint="eastAsia" w:ascii="宋体" w:hAnsi="宋体" w:cs="宋体"/>
          <w:sz w:val="24"/>
          <w:szCs w:val="24"/>
        </w:rPr>
        <w:t>4、我方决不提供虚假材料谋取成交，决不采取不正当手段诋毁、排挤其他供应商，决不与采购人、其它供应商恶意串通，决不向采购人及</w:t>
      </w:r>
      <w:r>
        <w:rPr>
          <w:rFonts w:hint="eastAsia" w:ascii="宋体" w:hAnsi="宋体" w:cs="宋体"/>
          <w:sz w:val="24"/>
          <w:szCs w:val="24"/>
          <w:lang w:val="en-US" w:eastAsia="zh-CN"/>
        </w:rPr>
        <w:t>评审</w:t>
      </w:r>
      <w:r>
        <w:rPr>
          <w:rFonts w:hint="eastAsia" w:ascii="宋体" w:hAnsi="宋体" w:cs="宋体"/>
          <w:sz w:val="24"/>
          <w:szCs w:val="24"/>
        </w:rPr>
        <w:t>小组进行商业贿赂。如有违反，愿无条件接受贵方及相关管理部门的处罚。</w:t>
      </w:r>
    </w:p>
    <w:p w14:paraId="06437CFB">
      <w:pPr>
        <w:pStyle w:val="93"/>
        <w:spacing w:line="360" w:lineRule="auto"/>
        <w:ind w:firstLine="480" w:firstLineChars="200"/>
        <w:rPr>
          <w:rFonts w:ascii="宋体" w:hAnsi="宋体" w:cs="宋体"/>
          <w:sz w:val="24"/>
          <w:szCs w:val="24"/>
        </w:rPr>
      </w:pPr>
      <w:r>
        <w:rPr>
          <w:rFonts w:hint="eastAsia" w:ascii="宋体" w:hAnsi="宋体" w:cs="宋体"/>
          <w:sz w:val="24"/>
          <w:szCs w:val="24"/>
        </w:rPr>
        <w:t>5、随本申请递交的</w:t>
      </w:r>
      <w:r>
        <w:rPr>
          <w:rFonts w:hint="eastAsia" w:ascii="宋体" w:hAnsi="宋体" w:cs="宋体"/>
          <w:sz w:val="24"/>
          <w:szCs w:val="24"/>
          <w:lang w:val="en-US" w:eastAsia="zh-CN"/>
        </w:rPr>
        <w:t>投标</w:t>
      </w:r>
      <w:r>
        <w:rPr>
          <w:rFonts w:hint="eastAsia" w:ascii="宋体" w:hAnsi="宋体" w:cs="宋体"/>
          <w:sz w:val="24"/>
          <w:szCs w:val="24"/>
        </w:rPr>
        <w:t>申请附录是本申请的组成部分，对我方构成约束力。</w:t>
      </w:r>
    </w:p>
    <w:p w14:paraId="364CF25E">
      <w:pPr>
        <w:pStyle w:val="93"/>
        <w:spacing w:line="360" w:lineRule="auto"/>
        <w:ind w:firstLine="480" w:firstLineChars="200"/>
        <w:rPr>
          <w:rFonts w:ascii="宋体" w:hAnsi="宋体" w:cs="宋体"/>
          <w:sz w:val="24"/>
          <w:szCs w:val="24"/>
        </w:rPr>
      </w:pPr>
      <w:r>
        <w:rPr>
          <w:rFonts w:hint="eastAsia" w:ascii="宋体" w:hAnsi="宋体" w:cs="宋体"/>
          <w:sz w:val="24"/>
          <w:szCs w:val="24"/>
        </w:rPr>
        <w:t>6、与本申请有关的正式通讯地址为：</w:t>
      </w:r>
    </w:p>
    <w:p w14:paraId="1A53A287">
      <w:pPr>
        <w:pStyle w:val="93"/>
        <w:spacing w:line="360" w:lineRule="auto"/>
        <w:ind w:firstLine="480" w:firstLineChars="200"/>
        <w:rPr>
          <w:rFonts w:ascii="宋体" w:hAnsi="宋体" w:cs="宋体"/>
          <w:sz w:val="24"/>
          <w:szCs w:val="24"/>
          <w:u w:val="single"/>
        </w:rPr>
      </w:pPr>
      <w:r>
        <w:rPr>
          <w:rFonts w:hint="eastAsia" w:ascii="宋体" w:hAnsi="宋体" w:cs="宋体"/>
          <w:sz w:val="24"/>
          <w:szCs w:val="24"/>
        </w:rPr>
        <w:t>地   址：</w:t>
      </w:r>
    </w:p>
    <w:p w14:paraId="2A750912">
      <w:pPr>
        <w:pStyle w:val="93"/>
        <w:spacing w:line="360" w:lineRule="auto"/>
        <w:ind w:firstLine="480" w:firstLineChars="200"/>
        <w:rPr>
          <w:rFonts w:ascii="宋体" w:hAnsi="宋体" w:cs="宋体"/>
          <w:sz w:val="24"/>
          <w:szCs w:val="24"/>
          <w:u w:val="single"/>
        </w:rPr>
      </w:pPr>
      <w:r>
        <w:rPr>
          <w:rFonts w:hint="eastAsia" w:ascii="宋体" w:hAnsi="宋体" w:cs="宋体"/>
          <w:sz w:val="24"/>
          <w:szCs w:val="24"/>
        </w:rPr>
        <w:t>电   话：</w:t>
      </w:r>
    </w:p>
    <w:p w14:paraId="5A08FEE2">
      <w:pPr>
        <w:pStyle w:val="93"/>
        <w:spacing w:line="360" w:lineRule="auto"/>
        <w:ind w:firstLine="480" w:firstLineChars="200"/>
        <w:rPr>
          <w:rFonts w:ascii="宋体" w:hAnsi="宋体" w:cs="宋体"/>
          <w:sz w:val="24"/>
          <w:szCs w:val="24"/>
          <w:u w:val="single"/>
        </w:rPr>
      </w:pPr>
      <w:r>
        <w:rPr>
          <w:rFonts w:hint="eastAsia" w:ascii="宋体" w:hAnsi="宋体" w:cs="宋体"/>
          <w:sz w:val="24"/>
          <w:szCs w:val="24"/>
        </w:rPr>
        <w:t>传   真：</w:t>
      </w:r>
    </w:p>
    <w:p w14:paraId="06261D7A">
      <w:pPr>
        <w:pStyle w:val="93"/>
        <w:spacing w:line="360" w:lineRule="auto"/>
        <w:ind w:firstLine="480" w:firstLineChars="200"/>
        <w:rPr>
          <w:rFonts w:ascii="宋体" w:hAnsi="宋体" w:cs="宋体"/>
          <w:sz w:val="24"/>
          <w:szCs w:val="24"/>
        </w:rPr>
      </w:pPr>
    </w:p>
    <w:p w14:paraId="1927D87D">
      <w:pPr>
        <w:pStyle w:val="93"/>
        <w:spacing w:before="50" w:afterLines="50" w:line="360" w:lineRule="auto"/>
        <w:ind w:firstLine="480" w:firstLineChars="200"/>
        <w:rPr>
          <w:rFonts w:ascii="宋体" w:hAnsi="宋体" w:cs="宋体"/>
          <w:sz w:val="24"/>
          <w:szCs w:val="24"/>
        </w:rPr>
      </w:pPr>
      <w:r>
        <w:rPr>
          <w:rFonts w:hint="eastAsia" w:ascii="宋体" w:hAnsi="宋体" w:cs="宋体"/>
          <w:sz w:val="24"/>
          <w:szCs w:val="24"/>
        </w:rPr>
        <w:t>法定代表人或其授权代表（签字或盖章）：</w:t>
      </w:r>
      <w:r>
        <w:rPr>
          <w:rFonts w:hint="eastAsia" w:ascii="宋体" w:hAnsi="宋体" w:cs="宋体"/>
          <w:sz w:val="24"/>
          <w:szCs w:val="24"/>
          <w:u w:val="single"/>
        </w:rPr>
        <w:t xml:space="preserve">         </w:t>
      </w:r>
    </w:p>
    <w:p w14:paraId="576EDE96">
      <w:pPr>
        <w:pStyle w:val="93"/>
        <w:spacing w:line="360" w:lineRule="auto"/>
        <w:ind w:firstLine="480" w:firstLineChars="200"/>
        <w:rPr>
          <w:rFonts w:ascii="宋体" w:hAnsi="宋体" w:cs="宋体"/>
          <w:sz w:val="24"/>
          <w:szCs w:val="24"/>
        </w:rPr>
      </w:pPr>
      <w:r>
        <w:rPr>
          <w:rFonts w:hint="eastAsia" w:ascii="宋体" w:hAnsi="宋体" w:cs="宋体"/>
          <w:sz w:val="24"/>
          <w:szCs w:val="24"/>
        </w:rPr>
        <w:t>供应商名称（盖章）：</w:t>
      </w:r>
      <w:r>
        <w:rPr>
          <w:rFonts w:hint="eastAsia" w:ascii="宋体" w:hAnsi="宋体" w:cs="宋体"/>
          <w:sz w:val="24"/>
          <w:szCs w:val="24"/>
          <w:u w:val="single"/>
        </w:rPr>
        <w:t xml:space="preserve">                 </w:t>
      </w:r>
    </w:p>
    <w:p w14:paraId="7BDD7F07">
      <w:pPr>
        <w:pStyle w:val="93"/>
        <w:spacing w:line="360" w:lineRule="auto"/>
        <w:ind w:firstLine="480" w:firstLineChars="2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6C8C45B">
      <w:pPr>
        <w:pStyle w:val="81"/>
        <w:outlineLvl w:val="1"/>
        <w:rPr>
          <w:rFonts w:ascii="宋体" w:hAnsi="宋体" w:cs="宋体"/>
          <w:sz w:val="24"/>
        </w:rPr>
      </w:pPr>
    </w:p>
    <w:p w14:paraId="452A9CF8">
      <w:pPr>
        <w:spacing w:line="520" w:lineRule="exact"/>
        <w:ind w:firstLine="602" w:firstLineChars="200"/>
        <w:jc w:val="center"/>
        <w:rPr>
          <w:rFonts w:ascii="仿宋" w:hAnsi="仿宋" w:eastAsia="仿宋" w:cs="仿宋_GB2312"/>
          <w:b/>
          <w:sz w:val="30"/>
          <w:szCs w:val="30"/>
        </w:rPr>
      </w:pPr>
    </w:p>
    <w:p w14:paraId="1EED50C6">
      <w:pPr>
        <w:spacing w:line="520" w:lineRule="exact"/>
        <w:ind w:firstLine="602" w:firstLineChars="200"/>
        <w:jc w:val="center"/>
        <w:rPr>
          <w:rFonts w:ascii="仿宋" w:hAnsi="仿宋" w:eastAsia="仿宋" w:cs="仿宋_GB2312"/>
          <w:b/>
          <w:sz w:val="30"/>
          <w:szCs w:val="30"/>
        </w:rPr>
      </w:pPr>
    </w:p>
    <w:p w14:paraId="08D76562">
      <w:pPr>
        <w:spacing w:line="520" w:lineRule="exact"/>
        <w:ind w:firstLine="602" w:firstLineChars="200"/>
        <w:jc w:val="center"/>
        <w:rPr>
          <w:rFonts w:ascii="仿宋" w:hAnsi="仿宋" w:eastAsia="仿宋" w:cs="仿宋_GB2312"/>
          <w:b/>
          <w:sz w:val="30"/>
          <w:szCs w:val="30"/>
        </w:rPr>
      </w:pPr>
    </w:p>
    <w:p w14:paraId="1FB35214">
      <w:pPr>
        <w:spacing w:line="520" w:lineRule="exact"/>
        <w:ind w:firstLine="602" w:firstLineChars="200"/>
        <w:jc w:val="center"/>
        <w:rPr>
          <w:rFonts w:ascii="仿宋" w:hAnsi="仿宋" w:eastAsia="仿宋" w:cs="仿宋_GB2312"/>
          <w:b/>
          <w:sz w:val="30"/>
          <w:szCs w:val="30"/>
        </w:rPr>
      </w:pPr>
    </w:p>
    <w:p w14:paraId="2FF4B16D">
      <w:pPr>
        <w:spacing w:line="520" w:lineRule="exact"/>
        <w:ind w:firstLine="602" w:firstLineChars="200"/>
        <w:jc w:val="center"/>
        <w:rPr>
          <w:rFonts w:ascii="仿宋" w:hAnsi="仿宋" w:eastAsia="仿宋" w:cs="仿宋_GB2312"/>
          <w:b/>
          <w:sz w:val="30"/>
          <w:szCs w:val="30"/>
        </w:rPr>
      </w:pPr>
    </w:p>
    <w:p w14:paraId="16380E06">
      <w:pPr>
        <w:spacing w:line="520" w:lineRule="exact"/>
        <w:ind w:firstLine="602" w:firstLineChars="200"/>
        <w:jc w:val="center"/>
        <w:rPr>
          <w:rFonts w:ascii="仿宋" w:hAnsi="仿宋" w:eastAsia="仿宋" w:cs="仿宋_GB2312"/>
          <w:b/>
          <w:sz w:val="30"/>
          <w:szCs w:val="30"/>
        </w:rPr>
      </w:pPr>
    </w:p>
    <w:p w14:paraId="24DA01D7">
      <w:pPr>
        <w:spacing w:line="520" w:lineRule="exact"/>
        <w:ind w:firstLine="602" w:firstLineChars="200"/>
        <w:jc w:val="center"/>
        <w:rPr>
          <w:rFonts w:ascii="仿宋" w:hAnsi="仿宋" w:eastAsia="仿宋" w:cs="仿宋_GB2312"/>
          <w:b/>
          <w:sz w:val="30"/>
          <w:szCs w:val="30"/>
        </w:rPr>
      </w:pPr>
    </w:p>
    <w:p w14:paraId="24E659D5">
      <w:pPr>
        <w:spacing w:line="520" w:lineRule="exact"/>
        <w:ind w:firstLine="602" w:firstLineChars="200"/>
        <w:jc w:val="center"/>
        <w:rPr>
          <w:rFonts w:ascii="仿宋" w:hAnsi="仿宋" w:eastAsia="仿宋" w:cs="仿宋_GB2312"/>
          <w:b/>
          <w:sz w:val="32"/>
          <w:szCs w:val="32"/>
        </w:rPr>
      </w:pPr>
      <w:r>
        <w:rPr>
          <w:rFonts w:hint="eastAsia" w:ascii="仿宋" w:hAnsi="仿宋" w:eastAsia="仿宋" w:cs="仿宋_GB2312"/>
          <w:b/>
          <w:sz w:val="30"/>
          <w:szCs w:val="30"/>
        </w:rPr>
        <w:t>二、商务条款偏</w:t>
      </w:r>
      <w:r>
        <w:rPr>
          <w:rFonts w:hint="eastAsia" w:ascii="宋体" w:hAnsi="宋体" w:cs="宋体"/>
          <w:b/>
          <w:sz w:val="30"/>
          <w:szCs w:val="30"/>
        </w:rPr>
        <w:t>离</w:t>
      </w:r>
      <w:r>
        <w:rPr>
          <w:rFonts w:hint="eastAsia" w:ascii="仿宋" w:hAnsi="仿宋" w:eastAsia="仿宋" w:cs="仿宋_GB2312"/>
          <w:b/>
          <w:sz w:val="30"/>
          <w:szCs w:val="30"/>
        </w:rPr>
        <w:t>表</w:t>
      </w:r>
    </w:p>
    <w:p w14:paraId="0CEF1885">
      <w:pPr>
        <w:spacing w:line="520" w:lineRule="exact"/>
        <w:rPr>
          <w:rFonts w:ascii="仿宋_GB2312" w:hAnsi="仿宋_GB2312" w:eastAsia="仿宋_GB2312" w:cs="仿宋_GB2312"/>
          <w:sz w:val="32"/>
          <w:szCs w:val="32"/>
        </w:rPr>
      </w:pPr>
    </w:p>
    <w:p w14:paraId="47851DEE">
      <w:pPr>
        <w:pStyle w:val="16"/>
        <w:spacing w:line="240" w:lineRule="atLeast"/>
        <w:rPr>
          <w:rFonts w:hAnsi="宋体" w:cs="宋体"/>
          <w:kern w:val="2"/>
          <w:sz w:val="21"/>
          <w:szCs w:val="22"/>
        </w:rPr>
      </w:pPr>
      <w:r>
        <w:rPr>
          <w:rFonts w:hint="eastAsia" w:hAnsi="宋体" w:cs="仿宋_GB2312"/>
          <w:sz w:val="24"/>
          <w:szCs w:val="24"/>
        </w:rPr>
        <w:t xml:space="preserve">项目名称:                      招标编号:        </w:t>
      </w:r>
    </w:p>
    <w:p w14:paraId="349731A6">
      <w:pPr>
        <w:pStyle w:val="16"/>
        <w:spacing w:line="240" w:lineRule="atLeast"/>
        <w:ind w:left="1080" w:leftChars="257" w:hanging="540"/>
        <w:rPr>
          <w:rFonts w:hAnsi="宋体" w:cs="宋体"/>
          <w:kern w:val="2"/>
          <w:sz w:val="21"/>
          <w:szCs w:val="22"/>
        </w:rPr>
      </w:pPr>
    </w:p>
    <w:tbl>
      <w:tblPr>
        <w:tblStyle w:val="31"/>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115"/>
        <w:gridCol w:w="2613"/>
        <w:gridCol w:w="2613"/>
        <w:gridCol w:w="933"/>
      </w:tblGrid>
      <w:tr w14:paraId="4A4D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79A0CFF6">
            <w:pPr>
              <w:pStyle w:val="16"/>
              <w:spacing w:line="240" w:lineRule="atLeast"/>
              <w:rPr>
                <w:rFonts w:hAnsi="宋体" w:cs="仿宋_GB2312"/>
                <w:sz w:val="24"/>
                <w:szCs w:val="24"/>
              </w:rPr>
            </w:pPr>
            <w:r>
              <w:rPr>
                <w:rFonts w:hint="eastAsia" w:hAnsi="宋体" w:cs="仿宋_GB2312"/>
                <w:sz w:val="24"/>
                <w:szCs w:val="24"/>
              </w:rPr>
              <w:t>序号</w:t>
            </w:r>
          </w:p>
        </w:tc>
        <w:tc>
          <w:tcPr>
            <w:tcW w:w="2115" w:type="dxa"/>
            <w:noWrap/>
          </w:tcPr>
          <w:p w14:paraId="30E282DB">
            <w:pPr>
              <w:pStyle w:val="16"/>
              <w:spacing w:line="240" w:lineRule="atLeast"/>
              <w:rPr>
                <w:rFonts w:hAnsi="宋体" w:cs="仿宋_GB2312"/>
                <w:sz w:val="24"/>
                <w:szCs w:val="24"/>
              </w:rPr>
            </w:pPr>
            <w:r>
              <w:rPr>
                <w:rFonts w:hint="eastAsia" w:hAnsi="宋体" w:cs="仿宋_GB2312"/>
                <w:sz w:val="24"/>
                <w:szCs w:val="24"/>
              </w:rPr>
              <w:t>招标文件条款号</w:t>
            </w:r>
          </w:p>
        </w:tc>
        <w:tc>
          <w:tcPr>
            <w:tcW w:w="2613" w:type="dxa"/>
            <w:noWrap/>
          </w:tcPr>
          <w:p w14:paraId="56F7443B">
            <w:pPr>
              <w:pStyle w:val="16"/>
              <w:spacing w:line="240" w:lineRule="atLeast"/>
              <w:rPr>
                <w:rFonts w:hAnsi="宋体" w:cs="仿宋_GB2312"/>
                <w:sz w:val="24"/>
                <w:szCs w:val="24"/>
              </w:rPr>
            </w:pPr>
            <w:r>
              <w:rPr>
                <w:rFonts w:hint="eastAsia" w:hAnsi="宋体" w:cs="仿宋_GB2312"/>
                <w:sz w:val="24"/>
                <w:szCs w:val="24"/>
              </w:rPr>
              <w:t>招标文件的商务条款</w:t>
            </w:r>
          </w:p>
        </w:tc>
        <w:tc>
          <w:tcPr>
            <w:tcW w:w="2613" w:type="dxa"/>
            <w:noWrap/>
          </w:tcPr>
          <w:p w14:paraId="4102A822">
            <w:pPr>
              <w:pStyle w:val="16"/>
              <w:spacing w:line="240" w:lineRule="atLeast"/>
              <w:rPr>
                <w:rFonts w:hAnsi="宋体" w:cs="仿宋_GB2312"/>
                <w:sz w:val="24"/>
                <w:szCs w:val="24"/>
              </w:rPr>
            </w:pPr>
            <w:r>
              <w:rPr>
                <w:rFonts w:hint="eastAsia" w:hAnsi="宋体" w:cs="仿宋_GB2312"/>
                <w:sz w:val="24"/>
                <w:szCs w:val="24"/>
              </w:rPr>
              <w:t>投标文件的商务条款</w:t>
            </w:r>
          </w:p>
        </w:tc>
        <w:tc>
          <w:tcPr>
            <w:tcW w:w="933" w:type="dxa"/>
            <w:noWrap/>
          </w:tcPr>
          <w:p w14:paraId="1103560C">
            <w:pPr>
              <w:pStyle w:val="16"/>
              <w:spacing w:line="240" w:lineRule="atLeast"/>
              <w:rPr>
                <w:rFonts w:hAnsi="宋体" w:cs="仿宋_GB2312"/>
                <w:sz w:val="24"/>
                <w:szCs w:val="24"/>
              </w:rPr>
            </w:pPr>
            <w:r>
              <w:rPr>
                <w:rFonts w:hint="eastAsia" w:hAnsi="宋体" w:cs="仿宋_GB2312"/>
                <w:sz w:val="24"/>
                <w:szCs w:val="24"/>
              </w:rPr>
              <w:t>说明</w:t>
            </w:r>
          </w:p>
        </w:tc>
      </w:tr>
      <w:tr w14:paraId="03A1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23C9B746">
            <w:pPr>
              <w:pStyle w:val="16"/>
              <w:spacing w:line="240" w:lineRule="atLeast"/>
              <w:ind w:left="1080" w:leftChars="257" w:hanging="540"/>
              <w:rPr>
                <w:rFonts w:ascii="仿宋_GB2312" w:eastAsia="仿宋_GB2312"/>
                <w:sz w:val="24"/>
              </w:rPr>
            </w:pPr>
          </w:p>
        </w:tc>
        <w:tc>
          <w:tcPr>
            <w:tcW w:w="2115" w:type="dxa"/>
            <w:noWrap/>
          </w:tcPr>
          <w:p w14:paraId="4F040222">
            <w:pPr>
              <w:pStyle w:val="16"/>
              <w:spacing w:line="240" w:lineRule="atLeast"/>
              <w:ind w:left="1080" w:leftChars="257" w:hanging="540"/>
              <w:rPr>
                <w:rFonts w:ascii="仿宋_GB2312" w:eastAsia="仿宋_GB2312"/>
                <w:sz w:val="24"/>
              </w:rPr>
            </w:pPr>
          </w:p>
        </w:tc>
        <w:tc>
          <w:tcPr>
            <w:tcW w:w="2613" w:type="dxa"/>
            <w:noWrap/>
          </w:tcPr>
          <w:p w14:paraId="69BE7071">
            <w:pPr>
              <w:pStyle w:val="16"/>
              <w:spacing w:line="240" w:lineRule="atLeast"/>
              <w:ind w:left="1080" w:leftChars="257" w:hanging="540"/>
              <w:jc w:val="center"/>
              <w:rPr>
                <w:rFonts w:ascii="仿宋_GB2312" w:eastAsia="仿宋_GB2312"/>
                <w:sz w:val="24"/>
              </w:rPr>
            </w:pPr>
          </w:p>
        </w:tc>
        <w:tc>
          <w:tcPr>
            <w:tcW w:w="2613" w:type="dxa"/>
            <w:noWrap/>
          </w:tcPr>
          <w:p w14:paraId="76C87D04">
            <w:pPr>
              <w:pStyle w:val="16"/>
              <w:spacing w:line="240" w:lineRule="atLeast"/>
              <w:ind w:left="1080" w:leftChars="257" w:hanging="540"/>
              <w:jc w:val="center"/>
              <w:rPr>
                <w:rFonts w:ascii="仿宋_GB2312" w:eastAsia="仿宋_GB2312"/>
                <w:sz w:val="24"/>
              </w:rPr>
            </w:pPr>
          </w:p>
        </w:tc>
        <w:tc>
          <w:tcPr>
            <w:tcW w:w="933" w:type="dxa"/>
            <w:noWrap/>
          </w:tcPr>
          <w:p w14:paraId="4BC0F3E5">
            <w:pPr>
              <w:pStyle w:val="16"/>
              <w:spacing w:line="240" w:lineRule="atLeast"/>
              <w:rPr>
                <w:rFonts w:hAnsi="宋体" w:cs="仿宋_GB2312"/>
                <w:sz w:val="24"/>
                <w:szCs w:val="24"/>
              </w:rPr>
            </w:pPr>
          </w:p>
        </w:tc>
      </w:tr>
      <w:tr w14:paraId="596B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0F3C0FB8">
            <w:pPr>
              <w:pStyle w:val="16"/>
              <w:spacing w:line="240" w:lineRule="atLeast"/>
              <w:ind w:left="1080" w:leftChars="257" w:hanging="540"/>
              <w:rPr>
                <w:rFonts w:ascii="仿宋_GB2312" w:eastAsia="仿宋_GB2312"/>
                <w:sz w:val="24"/>
              </w:rPr>
            </w:pPr>
          </w:p>
        </w:tc>
        <w:tc>
          <w:tcPr>
            <w:tcW w:w="2115" w:type="dxa"/>
            <w:noWrap/>
          </w:tcPr>
          <w:p w14:paraId="69F44873">
            <w:pPr>
              <w:pStyle w:val="16"/>
              <w:spacing w:line="240" w:lineRule="atLeast"/>
              <w:ind w:left="1080" w:leftChars="257" w:hanging="540"/>
              <w:rPr>
                <w:rFonts w:ascii="仿宋_GB2312" w:eastAsia="仿宋_GB2312"/>
                <w:sz w:val="24"/>
              </w:rPr>
            </w:pPr>
          </w:p>
        </w:tc>
        <w:tc>
          <w:tcPr>
            <w:tcW w:w="2613" w:type="dxa"/>
            <w:noWrap/>
          </w:tcPr>
          <w:p w14:paraId="0FF4436F">
            <w:pPr>
              <w:pStyle w:val="16"/>
              <w:spacing w:line="240" w:lineRule="atLeast"/>
              <w:ind w:left="1080" w:leftChars="257" w:hanging="540"/>
              <w:rPr>
                <w:rFonts w:ascii="仿宋_GB2312" w:eastAsia="仿宋_GB2312"/>
                <w:sz w:val="24"/>
              </w:rPr>
            </w:pPr>
          </w:p>
        </w:tc>
        <w:tc>
          <w:tcPr>
            <w:tcW w:w="2613" w:type="dxa"/>
            <w:noWrap/>
          </w:tcPr>
          <w:p w14:paraId="480A2372">
            <w:pPr>
              <w:pStyle w:val="16"/>
              <w:spacing w:line="240" w:lineRule="atLeast"/>
              <w:ind w:left="1080" w:leftChars="257" w:hanging="540"/>
              <w:rPr>
                <w:rFonts w:ascii="仿宋_GB2312" w:eastAsia="仿宋_GB2312"/>
                <w:sz w:val="24"/>
              </w:rPr>
            </w:pPr>
          </w:p>
        </w:tc>
        <w:tc>
          <w:tcPr>
            <w:tcW w:w="933" w:type="dxa"/>
            <w:noWrap/>
          </w:tcPr>
          <w:p w14:paraId="3F546A50">
            <w:pPr>
              <w:pStyle w:val="16"/>
              <w:spacing w:line="240" w:lineRule="atLeast"/>
              <w:rPr>
                <w:rFonts w:hAnsi="宋体" w:cs="仿宋_GB2312"/>
                <w:sz w:val="24"/>
                <w:szCs w:val="24"/>
              </w:rPr>
            </w:pPr>
          </w:p>
        </w:tc>
      </w:tr>
      <w:tr w14:paraId="2F7B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20A1FDB4">
            <w:pPr>
              <w:pStyle w:val="16"/>
              <w:spacing w:line="240" w:lineRule="atLeast"/>
              <w:ind w:left="1080" w:leftChars="257" w:hanging="540"/>
              <w:rPr>
                <w:rFonts w:ascii="仿宋_GB2312" w:eastAsia="仿宋_GB2312"/>
                <w:sz w:val="24"/>
              </w:rPr>
            </w:pPr>
          </w:p>
        </w:tc>
        <w:tc>
          <w:tcPr>
            <w:tcW w:w="2115" w:type="dxa"/>
            <w:noWrap/>
          </w:tcPr>
          <w:p w14:paraId="70EC286D">
            <w:pPr>
              <w:pStyle w:val="16"/>
              <w:spacing w:line="240" w:lineRule="atLeast"/>
              <w:ind w:left="1080" w:leftChars="257" w:hanging="540"/>
              <w:rPr>
                <w:rFonts w:ascii="仿宋_GB2312" w:eastAsia="仿宋_GB2312"/>
                <w:sz w:val="24"/>
              </w:rPr>
            </w:pPr>
          </w:p>
        </w:tc>
        <w:tc>
          <w:tcPr>
            <w:tcW w:w="2613" w:type="dxa"/>
            <w:noWrap/>
          </w:tcPr>
          <w:p w14:paraId="4E11D291">
            <w:pPr>
              <w:pStyle w:val="16"/>
              <w:spacing w:line="240" w:lineRule="atLeast"/>
              <w:ind w:left="1080" w:leftChars="257" w:hanging="540"/>
              <w:rPr>
                <w:rFonts w:ascii="仿宋_GB2312" w:eastAsia="仿宋_GB2312"/>
                <w:sz w:val="24"/>
              </w:rPr>
            </w:pPr>
          </w:p>
        </w:tc>
        <w:tc>
          <w:tcPr>
            <w:tcW w:w="2613" w:type="dxa"/>
            <w:noWrap/>
          </w:tcPr>
          <w:p w14:paraId="6BB4B2A3">
            <w:pPr>
              <w:pStyle w:val="16"/>
              <w:spacing w:line="240" w:lineRule="atLeast"/>
              <w:ind w:left="1080" w:leftChars="257" w:hanging="540"/>
              <w:rPr>
                <w:rFonts w:ascii="仿宋_GB2312" w:eastAsia="仿宋_GB2312"/>
                <w:sz w:val="24"/>
              </w:rPr>
            </w:pPr>
          </w:p>
        </w:tc>
        <w:tc>
          <w:tcPr>
            <w:tcW w:w="933" w:type="dxa"/>
            <w:noWrap/>
          </w:tcPr>
          <w:p w14:paraId="5518C4B1">
            <w:pPr>
              <w:pStyle w:val="16"/>
              <w:spacing w:line="240" w:lineRule="atLeast"/>
              <w:rPr>
                <w:rFonts w:hAnsi="宋体" w:cs="仿宋_GB2312"/>
                <w:sz w:val="24"/>
                <w:szCs w:val="24"/>
              </w:rPr>
            </w:pPr>
          </w:p>
        </w:tc>
      </w:tr>
      <w:tr w14:paraId="6368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19B26193">
            <w:pPr>
              <w:pStyle w:val="16"/>
              <w:spacing w:line="240" w:lineRule="atLeast"/>
              <w:ind w:left="1080" w:leftChars="257" w:hanging="540"/>
              <w:rPr>
                <w:rFonts w:ascii="仿宋_GB2312" w:eastAsia="仿宋_GB2312"/>
                <w:sz w:val="24"/>
              </w:rPr>
            </w:pPr>
          </w:p>
        </w:tc>
        <w:tc>
          <w:tcPr>
            <w:tcW w:w="2115" w:type="dxa"/>
            <w:noWrap/>
          </w:tcPr>
          <w:p w14:paraId="53290BFC">
            <w:pPr>
              <w:pStyle w:val="16"/>
              <w:spacing w:line="240" w:lineRule="atLeast"/>
              <w:ind w:left="1080" w:leftChars="257" w:hanging="540"/>
              <w:rPr>
                <w:rFonts w:ascii="仿宋_GB2312" w:eastAsia="仿宋_GB2312"/>
                <w:sz w:val="24"/>
              </w:rPr>
            </w:pPr>
          </w:p>
        </w:tc>
        <w:tc>
          <w:tcPr>
            <w:tcW w:w="2613" w:type="dxa"/>
            <w:noWrap/>
          </w:tcPr>
          <w:p w14:paraId="76BAD624">
            <w:pPr>
              <w:pStyle w:val="16"/>
              <w:spacing w:line="240" w:lineRule="atLeast"/>
              <w:ind w:left="1080" w:leftChars="257" w:hanging="540"/>
              <w:rPr>
                <w:rFonts w:ascii="仿宋_GB2312" w:eastAsia="仿宋_GB2312"/>
                <w:sz w:val="24"/>
              </w:rPr>
            </w:pPr>
          </w:p>
        </w:tc>
        <w:tc>
          <w:tcPr>
            <w:tcW w:w="2613" w:type="dxa"/>
            <w:noWrap/>
          </w:tcPr>
          <w:p w14:paraId="4DCB275C">
            <w:pPr>
              <w:pStyle w:val="16"/>
              <w:spacing w:line="240" w:lineRule="atLeast"/>
              <w:ind w:left="1080" w:leftChars="257" w:hanging="540"/>
              <w:rPr>
                <w:rFonts w:ascii="仿宋_GB2312" w:eastAsia="仿宋_GB2312"/>
                <w:sz w:val="24"/>
              </w:rPr>
            </w:pPr>
          </w:p>
        </w:tc>
        <w:tc>
          <w:tcPr>
            <w:tcW w:w="933" w:type="dxa"/>
            <w:noWrap/>
          </w:tcPr>
          <w:p w14:paraId="02B2B7C6">
            <w:pPr>
              <w:pStyle w:val="16"/>
              <w:spacing w:line="240" w:lineRule="atLeast"/>
              <w:rPr>
                <w:rFonts w:hAnsi="宋体" w:cs="仿宋_GB2312"/>
                <w:sz w:val="24"/>
                <w:szCs w:val="24"/>
              </w:rPr>
            </w:pPr>
          </w:p>
        </w:tc>
      </w:tr>
      <w:tr w14:paraId="144F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0013231E">
            <w:pPr>
              <w:pStyle w:val="16"/>
              <w:spacing w:line="240" w:lineRule="atLeast"/>
              <w:ind w:left="1080" w:leftChars="257" w:hanging="540"/>
              <w:rPr>
                <w:rFonts w:ascii="仿宋_GB2312" w:eastAsia="仿宋_GB2312"/>
                <w:sz w:val="24"/>
              </w:rPr>
            </w:pPr>
          </w:p>
        </w:tc>
        <w:tc>
          <w:tcPr>
            <w:tcW w:w="2115" w:type="dxa"/>
            <w:noWrap/>
          </w:tcPr>
          <w:p w14:paraId="6FE702F8">
            <w:pPr>
              <w:pStyle w:val="16"/>
              <w:spacing w:line="240" w:lineRule="atLeast"/>
              <w:ind w:left="1080" w:leftChars="257" w:hanging="540"/>
              <w:rPr>
                <w:rFonts w:ascii="仿宋_GB2312" w:eastAsia="仿宋_GB2312"/>
                <w:sz w:val="24"/>
              </w:rPr>
            </w:pPr>
          </w:p>
        </w:tc>
        <w:tc>
          <w:tcPr>
            <w:tcW w:w="2613" w:type="dxa"/>
            <w:noWrap/>
          </w:tcPr>
          <w:p w14:paraId="161ADCB3">
            <w:pPr>
              <w:pStyle w:val="16"/>
              <w:spacing w:line="240" w:lineRule="atLeast"/>
              <w:ind w:left="1080" w:leftChars="257" w:hanging="540"/>
              <w:rPr>
                <w:rFonts w:ascii="仿宋_GB2312" w:eastAsia="仿宋_GB2312"/>
                <w:sz w:val="24"/>
              </w:rPr>
            </w:pPr>
          </w:p>
        </w:tc>
        <w:tc>
          <w:tcPr>
            <w:tcW w:w="2613" w:type="dxa"/>
            <w:noWrap/>
          </w:tcPr>
          <w:p w14:paraId="78552CD5">
            <w:pPr>
              <w:pStyle w:val="16"/>
              <w:spacing w:line="240" w:lineRule="atLeast"/>
              <w:ind w:left="1080" w:leftChars="257" w:hanging="540"/>
              <w:rPr>
                <w:rFonts w:ascii="仿宋_GB2312" w:eastAsia="仿宋_GB2312"/>
                <w:sz w:val="24"/>
              </w:rPr>
            </w:pPr>
          </w:p>
        </w:tc>
        <w:tc>
          <w:tcPr>
            <w:tcW w:w="933" w:type="dxa"/>
            <w:noWrap/>
          </w:tcPr>
          <w:p w14:paraId="37C7A299">
            <w:pPr>
              <w:pStyle w:val="16"/>
              <w:spacing w:line="240" w:lineRule="atLeast"/>
              <w:rPr>
                <w:rFonts w:hAnsi="宋体" w:cs="仿宋_GB2312"/>
                <w:sz w:val="24"/>
                <w:szCs w:val="24"/>
              </w:rPr>
            </w:pPr>
          </w:p>
        </w:tc>
      </w:tr>
      <w:tr w14:paraId="4E26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55891A0F">
            <w:pPr>
              <w:pStyle w:val="16"/>
              <w:spacing w:line="240" w:lineRule="atLeast"/>
              <w:ind w:left="1080" w:leftChars="257" w:hanging="540"/>
              <w:rPr>
                <w:rFonts w:ascii="仿宋_GB2312" w:eastAsia="仿宋_GB2312"/>
                <w:sz w:val="24"/>
              </w:rPr>
            </w:pPr>
          </w:p>
        </w:tc>
        <w:tc>
          <w:tcPr>
            <w:tcW w:w="2115" w:type="dxa"/>
            <w:noWrap/>
          </w:tcPr>
          <w:p w14:paraId="74AD8763">
            <w:pPr>
              <w:pStyle w:val="16"/>
              <w:spacing w:line="240" w:lineRule="atLeast"/>
              <w:ind w:left="1080" w:leftChars="257" w:hanging="540"/>
              <w:rPr>
                <w:rFonts w:ascii="仿宋_GB2312" w:eastAsia="仿宋_GB2312"/>
                <w:sz w:val="24"/>
              </w:rPr>
            </w:pPr>
          </w:p>
        </w:tc>
        <w:tc>
          <w:tcPr>
            <w:tcW w:w="2613" w:type="dxa"/>
            <w:noWrap/>
          </w:tcPr>
          <w:p w14:paraId="475595C1">
            <w:pPr>
              <w:pStyle w:val="16"/>
              <w:spacing w:line="240" w:lineRule="atLeast"/>
              <w:ind w:left="1080" w:leftChars="257" w:hanging="540"/>
              <w:rPr>
                <w:rFonts w:ascii="仿宋_GB2312" w:eastAsia="仿宋_GB2312"/>
                <w:sz w:val="24"/>
              </w:rPr>
            </w:pPr>
          </w:p>
        </w:tc>
        <w:tc>
          <w:tcPr>
            <w:tcW w:w="2613" w:type="dxa"/>
            <w:noWrap/>
          </w:tcPr>
          <w:p w14:paraId="6628CAEE">
            <w:pPr>
              <w:pStyle w:val="16"/>
              <w:spacing w:line="240" w:lineRule="atLeast"/>
              <w:ind w:left="1080" w:leftChars="257" w:hanging="540"/>
              <w:rPr>
                <w:rFonts w:ascii="仿宋_GB2312" w:eastAsia="仿宋_GB2312"/>
                <w:sz w:val="24"/>
              </w:rPr>
            </w:pPr>
          </w:p>
        </w:tc>
        <w:tc>
          <w:tcPr>
            <w:tcW w:w="933" w:type="dxa"/>
            <w:noWrap/>
          </w:tcPr>
          <w:p w14:paraId="57D036CC">
            <w:pPr>
              <w:pStyle w:val="16"/>
              <w:spacing w:line="240" w:lineRule="atLeast"/>
              <w:rPr>
                <w:rFonts w:hAnsi="宋体" w:cs="仿宋_GB2312"/>
                <w:sz w:val="24"/>
                <w:szCs w:val="24"/>
              </w:rPr>
            </w:pPr>
          </w:p>
        </w:tc>
      </w:tr>
      <w:tr w14:paraId="7FBF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64D7AD3C">
            <w:pPr>
              <w:pStyle w:val="16"/>
              <w:spacing w:line="240" w:lineRule="atLeast"/>
              <w:ind w:left="1080" w:leftChars="257" w:hanging="540"/>
              <w:rPr>
                <w:rFonts w:ascii="仿宋_GB2312" w:eastAsia="仿宋_GB2312"/>
                <w:sz w:val="24"/>
              </w:rPr>
            </w:pPr>
          </w:p>
        </w:tc>
        <w:tc>
          <w:tcPr>
            <w:tcW w:w="2115" w:type="dxa"/>
            <w:noWrap/>
          </w:tcPr>
          <w:p w14:paraId="0D31A777">
            <w:pPr>
              <w:pStyle w:val="16"/>
              <w:spacing w:line="240" w:lineRule="atLeast"/>
              <w:ind w:left="1080" w:leftChars="257" w:hanging="540"/>
              <w:rPr>
                <w:rFonts w:ascii="仿宋_GB2312" w:eastAsia="仿宋_GB2312"/>
                <w:sz w:val="24"/>
              </w:rPr>
            </w:pPr>
          </w:p>
        </w:tc>
        <w:tc>
          <w:tcPr>
            <w:tcW w:w="2613" w:type="dxa"/>
            <w:noWrap/>
          </w:tcPr>
          <w:p w14:paraId="50F3DBAC">
            <w:pPr>
              <w:pStyle w:val="16"/>
              <w:spacing w:line="240" w:lineRule="atLeast"/>
              <w:ind w:left="1080" w:leftChars="257" w:hanging="540"/>
              <w:rPr>
                <w:rFonts w:ascii="仿宋_GB2312" w:eastAsia="仿宋_GB2312"/>
                <w:sz w:val="24"/>
              </w:rPr>
            </w:pPr>
          </w:p>
        </w:tc>
        <w:tc>
          <w:tcPr>
            <w:tcW w:w="2613" w:type="dxa"/>
            <w:noWrap/>
          </w:tcPr>
          <w:p w14:paraId="4AB66575">
            <w:pPr>
              <w:pStyle w:val="16"/>
              <w:spacing w:line="240" w:lineRule="atLeast"/>
              <w:ind w:left="1080" w:leftChars="257" w:hanging="540"/>
              <w:rPr>
                <w:rFonts w:ascii="仿宋_GB2312" w:eastAsia="仿宋_GB2312"/>
                <w:sz w:val="24"/>
              </w:rPr>
            </w:pPr>
          </w:p>
        </w:tc>
        <w:tc>
          <w:tcPr>
            <w:tcW w:w="933" w:type="dxa"/>
            <w:noWrap/>
          </w:tcPr>
          <w:p w14:paraId="74E9658A">
            <w:pPr>
              <w:pStyle w:val="16"/>
              <w:spacing w:line="240" w:lineRule="atLeast"/>
              <w:rPr>
                <w:rFonts w:hAnsi="宋体" w:cs="仿宋_GB2312"/>
                <w:sz w:val="24"/>
                <w:szCs w:val="24"/>
              </w:rPr>
            </w:pPr>
          </w:p>
        </w:tc>
      </w:tr>
      <w:tr w14:paraId="0BAB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602F8217">
            <w:pPr>
              <w:pStyle w:val="16"/>
              <w:spacing w:line="240" w:lineRule="atLeast"/>
              <w:ind w:left="1080" w:leftChars="257" w:hanging="540"/>
              <w:rPr>
                <w:rFonts w:ascii="仿宋_GB2312" w:eastAsia="仿宋_GB2312"/>
                <w:sz w:val="24"/>
              </w:rPr>
            </w:pPr>
          </w:p>
        </w:tc>
        <w:tc>
          <w:tcPr>
            <w:tcW w:w="2115" w:type="dxa"/>
            <w:noWrap/>
          </w:tcPr>
          <w:p w14:paraId="1BA53B62">
            <w:pPr>
              <w:pStyle w:val="16"/>
              <w:spacing w:line="240" w:lineRule="atLeast"/>
              <w:ind w:left="1080" w:leftChars="257" w:hanging="540"/>
              <w:rPr>
                <w:rFonts w:ascii="仿宋_GB2312" w:eastAsia="仿宋_GB2312"/>
                <w:sz w:val="24"/>
              </w:rPr>
            </w:pPr>
          </w:p>
        </w:tc>
        <w:tc>
          <w:tcPr>
            <w:tcW w:w="2613" w:type="dxa"/>
            <w:noWrap/>
          </w:tcPr>
          <w:p w14:paraId="08839ADE">
            <w:pPr>
              <w:pStyle w:val="16"/>
              <w:spacing w:line="240" w:lineRule="atLeast"/>
              <w:ind w:left="1080" w:leftChars="257" w:hanging="540"/>
              <w:rPr>
                <w:rFonts w:ascii="仿宋_GB2312" w:eastAsia="仿宋_GB2312"/>
                <w:sz w:val="24"/>
              </w:rPr>
            </w:pPr>
          </w:p>
        </w:tc>
        <w:tc>
          <w:tcPr>
            <w:tcW w:w="2613" w:type="dxa"/>
            <w:noWrap/>
          </w:tcPr>
          <w:p w14:paraId="26EEFD3C">
            <w:pPr>
              <w:pStyle w:val="16"/>
              <w:spacing w:line="240" w:lineRule="atLeast"/>
              <w:ind w:left="1080" w:leftChars="257" w:hanging="540"/>
              <w:rPr>
                <w:rFonts w:ascii="仿宋_GB2312" w:eastAsia="仿宋_GB2312"/>
                <w:sz w:val="24"/>
              </w:rPr>
            </w:pPr>
          </w:p>
        </w:tc>
        <w:tc>
          <w:tcPr>
            <w:tcW w:w="933" w:type="dxa"/>
            <w:noWrap/>
          </w:tcPr>
          <w:p w14:paraId="3E807A27">
            <w:pPr>
              <w:pStyle w:val="16"/>
              <w:spacing w:line="240" w:lineRule="atLeast"/>
              <w:rPr>
                <w:rFonts w:hAnsi="宋体" w:cs="仿宋_GB2312"/>
                <w:sz w:val="24"/>
                <w:szCs w:val="24"/>
              </w:rPr>
            </w:pPr>
          </w:p>
        </w:tc>
      </w:tr>
      <w:tr w14:paraId="6494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582BF17B">
            <w:pPr>
              <w:pStyle w:val="16"/>
              <w:spacing w:line="240" w:lineRule="atLeast"/>
              <w:ind w:left="1080" w:leftChars="257" w:hanging="540"/>
              <w:rPr>
                <w:rFonts w:ascii="仿宋_GB2312" w:eastAsia="仿宋_GB2312"/>
                <w:sz w:val="24"/>
              </w:rPr>
            </w:pPr>
          </w:p>
        </w:tc>
        <w:tc>
          <w:tcPr>
            <w:tcW w:w="2115" w:type="dxa"/>
            <w:noWrap/>
          </w:tcPr>
          <w:p w14:paraId="51C65921">
            <w:pPr>
              <w:pStyle w:val="16"/>
              <w:spacing w:line="240" w:lineRule="atLeast"/>
              <w:ind w:left="1080" w:leftChars="257" w:hanging="540"/>
              <w:rPr>
                <w:rFonts w:ascii="仿宋_GB2312" w:eastAsia="仿宋_GB2312"/>
                <w:sz w:val="24"/>
              </w:rPr>
            </w:pPr>
          </w:p>
        </w:tc>
        <w:tc>
          <w:tcPr>
            <w:tcW w:w="2613" w:type="dxa"/>
            <w:noWrap/>
          </w:tcPr>
          <w:p w14:paraId="5ED57F2F">
            <w:pPr>
              <w:pStyle w:val="16"/>
              <w:spacing w:line="240" w:lineRule="atLeast"/>
              <w:ind w:left="1080" w:leftChars="257" w:hanging="540"/>
              <w:rPr>
                <w:rFonts w:ascii="仿宋_GB2312" w:eastAsia="仿宋_GB2312"/>
                <w:sz w:val="24"/>
              </w:rPr>
            </w:pPr>
          </w:p>
        </w:tc>
        <w:tc>
          <w:tcPr>
            <w:tcW w:w="2613" w:type="dxa"/>
            <w:noWrap/>
          </w:tcPr>
          <w:p w14:paraId="6208048C">
            <w:pPr>
              <w:pStyle w:val="16"/>
              <w:spacing w:line="240" w:lineRule="atLeast"/>
              <w:ind w:left="1080" w:leftChars="257" w:hanging="540"/>
              <w:rPr>
                <w:rFonts w:ascii="仿宋_GB2312" w:eastAsia="仿宋_GB2312"/>
                <w:sz w:val="24"/>
              </w:rPr>
            </w:pPr>
          </w:p>
        </w:tc>
        <w:tc>
          <w:tcPr>
            <w:tcW w:w="933" w:type="dxa"/>
            <w:noWrap/>
          </w:tcPr>
          <w:p w14:paraId="4386FEA7">
            <w:pPr>
              <w:pStyle w:val="16"/>
              <w:spacing w:line="240" w:lineRule="atLeast"/>
              <w:rPr>
                <w:rFonts w:hAnsi="宋体" w:cs="仿宋_GB2312"/>
                <w:sz w:val="24"/>
                <w:szCs w:val="24"/>
              </w:rPr>
            </w:pPr>
          </w:p>
        </w:tc>
      </w:tr>
      <w:tr w14:paraId="371F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6457E84B">
            <w:pPr>
              <w:pStyle w:val="16"/>
              <w:spacing w:line="240" w:lineRule="atLeast"/>
              <w:ind w:left="1080" w:leftChars="257" w:hanging="540"/>
              <w:rPr>
                <w:rFonts w:ascii="仿宋_GB2312" w:eastAsia="仿宋_GB2312"/>
                <w:sz w:val="24"/>
              </w:rPr>
            </w:pPr>
          </w:p>
        </w:tc>
        <w:tc>
          <w:tcPr>
            <w:tcW w:w="2115" w:type="dxa"/>
            <w:noWrap/>
          </w:tcPr>
          <w:p w14:paraId="0EF18CFB">
            <w:pPr>
              <w:pStyle w:val="16"/>
              <w:spacing w:line="240" w:lineRule="atLeast"/>
              <w:ind w:left="1080" w:leftChars="257" w:hanging="540"/>
              <w:rPr>
                <w:rFonts w:ascii="仿宋_GB2312" w:eastAsia="仿宋_GB2312"/>
                <w:sz w:val="24"/>
              </w:rPr>
            </w:pPr>
          </w:p>
        </w:tc>
        <w:tc>
          <w:tcPr>
            <w:tcW w:w="2613" w:type="dxa"/>
            <w:noWrap/>
          </w:tcPr>
          <w:p w14:paraId="6C402905">
            <w:pPr>
              <w:pStyle w:val="16"/>
              <w:spacing w:line="240" w:lineRule="atLeast"/>
              <w:ind w:left="1080" w:leftChars="257" w:hanging="540"/>
              <w:rPr>
                <w:rFonts w:ascii="仿宋_GB2312" w:eastAsia="仿宋_GB2312"/>
                <w:sz w:val="24"/>
              </w:rPr>
            </w:pPr>
          </w:p>
        </w:tc>
        <w:tc>
          <w:tcPr>
            <w:tcW w:w="2613" w:type="dxa"/>
            <w:noWrap/>
          </w:tcPr>
          <w:p w14:paraId="27BF7DB5">
            <w:pPr>
              <w:pStyle w:val="16"/>
              <w:spacing w:line="240" w:lineRule="atLeast"/>
              <w:ind w:left="1080" w:leftChars="257" w:hanging="540"/>
              <w:rPr>
                <w:rFonts w:ascii="仿宋_GB2312" w:eastAsia="仿宋_GB2312"/>
                <w:sz w:val="24"/>
              </w:rPr>
            </w:pPr>
          </w:p>
        </w:tc>
        <w:tc>
          <w:tcPr>
            <w:tcW w:w="933" w:type="dxa"/>
            <w:noWrap/>
          </w:tcPr>
          <w:p w14:paraId="51691360">
            <w:pPr>
              <w:pStyle w:val="16"/>
              <w:spacing w:line="240" w:lineRule="atLeast"/>
              <w:rPr>
                <w:rFonts w:hAnsi="宋体" w:cs="仿宋_GB2312"/>
                <w:sz w:val="24"/>
                <w:szCs w:val="24"/>
              </w:rPr>
            </w:pPr>
          </w:p>
        </w:tc>
      </w:tr>
      <w:tr w14:paraId="33F8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50338978">
            <w:pPr>
              <w:pStyle w:val="16"/>
              <w:spacing w:line="240" w:lineRule="atLeast"/>
              <w:ind w:left="1080" w:leftChars="257" w:hanging="540"/>
              <w:rPr>
                <w:rFonts w:ascii="仿宋_GB2312" w:eastAsia="仿宋_GB2312"/>
                <w:sz w:val="24"/>
              </w:rPr>
            </w:pPr>
          </w:p>
        </w:tc>
        <w:tc>
          <w:tcPr>
            <w:tcW w:w="2115" w:type="dxa"/>
            <w:noWrap/>
          </w:tcPr>
          <w:p w14:paraId="6C8536DA">
            <w:pPr>
              <w:pStyle w:val="16"/>
              <w:spacing w:line="240" w:lineRule="atLeast"/>
              <w:ind w:left="1080" w:leftChars="257" w:hanging="540"/>
              <w:rPr>
                <w:rFonts w:ascii="仿宋_GB2312" w:eastAsia="仿宋_GB2312"/>
                <w:sz w:val="24"/>
              </w:rPr>
            </w:pPr>
          </w:p>
        </w:tc>
        <w:tc>
          <w:tcPr>
            <w:tcW w:w="2613" w:type="dxa"/>
            <w:noWrap/>
          </w:tcPr>
          <w:p w14:paraId="66AEA1A2">
            <w:pPr>
              <w:pStyle w:val="16"/>
              <w:spacing w:line="240" w:lineRule="atLeast"/>
              <w:ind w:left="1080" w:leftChars="257" w:hanging="540"/>
              <w:rPr>
                <w:rFonts w:ascii="仿宋_GB2312" w:eastAsia="仿宋_GB2312"/>
                <w:sz w:val="24"/>
              </w:rPr>
            </w:pPr>
          </w:p>
        </w:tc>
        <w:tc>
          <w:tcPr>
            <w:tcW w:w="2613" w:type="dxa"/>
            <w:noWrap/>
          </w:tcPr>
          <w:p w14:paraId="7F2A4833">
            <w:pPr>
              <w:pStyle w:val="16"/>
              <w:spacing w:line="240" w:lineRule="atLeast"/>
              <w:ind w:left="1080" w:leftChars="257" w:hanging="540"/>
              <w:rPr>
                <w:rFonts w:ascii="仿宋_GB2312" w:eastAsia="仿宋_GB2312"/>
                <w:sz w:val="24"/>
              </w:rPr>
            </w:pPr>
          </w:p>
        </w:tc>
        <w:tc>
          <w:tcPr>
            <w:tcW w:w="933" w:type="dxa"/>
            <w:noWrap/>
          </w:tcPr>
          <w:p w14:paraId="02D08B91">
            <w:pPr>
              <w:pStyle w:val="16"/>
              <w:spacing w:line="240" w:lineRule="atLeast"/>
              <w:rPr>
                <w:rFonts w:hAnsi="宋体" w:cs="仿宋_GB2312"/>
                <w:sz w:val="24"/>
                <w:szCs w:val="24"/>
              </w:rPr>
            </w:pPr>
          </w:p>
        </w:tc>
      </w:tr>
      <w:tr w14:paraId="699F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209F3FB2">
            <w:pPr>
              <w:pStyle w:val="16"/>
              <w:spacing w:line="240" w:lineRule="atLeast"/>
              <w:ind w:left="1080" w:leftChars="257" w:hanging="540"/>
              <w:rPr>
                <w:rFonts w:ascii="仿宋_GB2312" w:eastAsia="仿宋_GB2312"/>
                <w:sz w:val="24"/>
              </w:rPr>
            </w:pPr>
          </w:p>
        </w:tc>
        <w:tc>
          <w:tcPr>
            <w:tcW w:w="2115" w:type="dxa"/>
            <w:noWrap/>
          </w:tcPr>
          <w:p w14:paraId="1F871130">
            <w:pPr>
              <w:pStyle w:val="16"/>
              <w:spacing w:line="240" w:lineRule="atLeast"/>
              <w:ind w:left="1080" w:leftChars="257" w:hanging="540"/>
              <w:rPr>
                <w:rFonts w:ascii="仿宋_GB2312" w:eastAsia="仿宋_GB2312"/>
                <w:sz w:val="24"/>
              </w:rPr>
            </w:pPr>
          </w:p>
        </w:tc>
        <w:tc>
          <w:tcPr>
            <w:tcW w:w="2613" w:type="dxa"/>
            <w:noWrap/>
          </w:tcPr>
          <w:p w14:paraId="7EC5316B">
            <w:pPr>
              <w:pStyle w:val="16"/>
              <w:spacing w:line="240" w:lineRule="atLeast"/>
              <w:ind w:left="1080" w:leftChars="257" w:hanging="540"/>
              <w:rPr>
                <w:rFonts w:ascii="仿宋_GB2312" w:eastAsia="仿宋_GB2312"/>
                <w:sz w:val="24"/>
              </w:rPr>
            </w:pPr>
          </w:p>
        </w:tc>
        <w:tc>
          <w:tcPr>
            <w:tcW w:w="2613" w:type="dxa"/>
            <w:noWrap/>
          </w:tcPr>
          <w:p w14:paraId="196D9FD0">
            <w:pPr>
              <w:pStyle w:val="16"/>
              <w:spacing w:line="240" w:lineRule="atLeast"/>
              <w:ind w:left="1080" w:leftChars="257" w:hanging="540"/>
              <w:rPr>
                <w:rFonts w:ascii="仿宋_GB2312" w:eastAsia="仿宋_GB2312"/>
                <w:sz w:val="24"/>
              </w:rPr>
            </w:pPr>
          </w:p>
        </w:tc>
        <w:tc>
          <w:tcPr>
            <w:tcW w:w="933" w:type="dxa"/>
            <w:noWrap/>
          </w:tcPr>
          <w:p w14:paraId="39DE71E4">
            <w:pPr>
              <w:pStyle w:val="16"/>
              <w:spacing w:line="240" w:lineRule="atLeast"/>
              <w:rPr>
                <w:rFonts w:hAnsi="宋体" w:cs="仿宋_GB2312"/>
                <w:sz w:val="24"/>
                <w:szCs w:val="24"/>
              </w:rPr>
            </w:pPr>
          </w:p>
        </w:tc>
      </w:tr>
    </w:tbl>
    <w:p w14:paraId="373C700C">
      <w:pPr>
        <w:pStyle w:val="16"/>
        <w:spacing w:line="240" w:lineRule="atLeast"/>
        <w:ind w:left="1080" w:leftChars="257" w:hanging="540"/>
        <w:rPr>
          <w:rFonts w:ascii="仿宋_GB2312" w:eastAsia="仿宋_GB2312"/>
          <w:sz w:val="24"/>
        </w:rPr>
      </w:pPr>
    </w:p>
    <w:p w14:paraId="35076D45">
      <w:pPr>
        <w:pStyle w:val="10"/>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2.供应商应根据自身的承诺，对照</w:t>
      </w:r>
      <w:r>
        <w:rPr>
          <w:rFonts w:hint="eastAsia" w:ascii="宋体" w:hAnsi="宋体" w:eastAsia="宋体" w:cs="仿宋_GB2312"/>
          <w:sz w:val="24"/>
          <w:szCs w:val="24"/>
          <w:lang w:val="en-US" w:eastAsia="zh-CN"/>
        </w:rPr>
        <w:t>招标</w:t>
      </w:r>
      <w:r>
        <w:rPr>
          <w:rFonts w:hint="eastAsia" w:ascii="宋体" w:hAnsi="宋体" w:eastAsia="宋体" w:cs="仿宋_GB2312"/>
          <w:sz w:val="24"/>
          <w:szCs w:val="24"/>
        </w:rPr>
        <w:t>文件要求，在“偏离说明”中注明“正偏离”、“负偏离”或者“无偏离”。既不属于“正偏离”也不属于“负偏离”即为“无偏离”。当响应文件的商务内容低于</w:t>
      </w:r>
      <w:r>
        <w:rPr>
          <w:rFonts w:hint="eastAsia" w:ascii="宋体" w:hAnsi="宋体" w:eastAsia="宋体" w:cs="仿宋_GB2312"/>
          <w:sz w:val="24"/>
          <w:szCs w:val="24"/>
          <w:lang w:val="en-US" w:eastAsia="zh-CN"/>
        </w:rPr>
        <w:t>招标</w:t>
      </w:r>
      <w:r>
        <w:rPr>
          <w:rFonts w:hint="eastAsia" w:ascii="宋体" w:hAnsi="宋体" w:eastAsia="宋体" w:cs="仿宋_GB2312"/>
          <w:sz w:val="24"/>
          <w:szCs w:val="24"/>
        </w:rPr>
        <w:t>文件要求时，竞标人应当如实写明“负偏离”，否则视为虚假应标</w:t>
      </w:r>
    </w:p>
    <w:p w14:paraId="2023DEE2">
      <w:pPr>
        <w:spacing w:line="360" w:lineRule="auto"/>
        <w:ind w:firstLine="3840" w:firstLineChars="1600"/>
        <w:rPr>
          <w:rFonts w:ascii="仿宋_GB2312" w:hAnsi="仿宋" w:eastAsia="仿宋_GB2312" w:cs="仿宋_GB2312"/>
          <w:kern w:val="0"/>
          <w:sz w:val="24"/>
        </w:rPr>
      </w:pPr>
    </w:p>
    <w:p w14:paraId="668026BC">
      <w:pPr>
        <w:spacing w:line="360" w:lineRule="auto"/>
        <w:ind w:left="540" w:firstLine="4320" w:firstLineChars="1800"/>
        <w:contextualSpacing/>
        <w:rPr>
          <w:rFonts w:ascii="宋体" w:hAnsi="宋体" w:cs="仿宋_GB2312"/>
          <w:sz w:val="24"/>
        </w:rPr>
      </w:pPr>
    </w:p>
    <w:p w14:paraId="47B4EF6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6CA5D099">
      <w:pPr>
        <w:widowControl/>
        <w:ind w:firstLine="3840" w:firstLineChars="1600"/>
        <w:jc w:val="left"/>
        <w:rPr>
          <w:rFonts w:ascii="宋体" w:hAnsi="宋体" w:cs="宋体"/>
          <w:kern w:val="0"/>
          <w:sz w:val="24"/>
        </w:rPr>
      </w:pPr>
      <w:r>
        <w:rPr>
          <w:rFonts w:hint="eastAsia" w:ascii="宋体" w:hAnsi="宋体" w:cs="宋体"/>
          <w:color w:val="000000"/>
          <w:kern w:val="0"/>
          <w:sz w:val="24"/>
        </w:rPr>
        <w:t>法定代表人（或其授权代表）（签字或盖章）：</w:t>
      </w:r>
    </w:p>
    <w:p w14:paraId="75DE3E75">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0BEC9DB6">
      <w:pPr>
        <w:snapToGrid w:val="0"/>
        <w:spacing w:line="360" w:lineRule="auto"/>
        <w:ind w:firstLine="602" w:firstLineChars="200"/>
        <w:rPr>
          <w:rFonts w:ascii="仿宋" w:hAnsi="仿宋" w:eastAsia="仿宋" w:cs="仿宋_GB2312"/>
          <w:b/>
          <w:sz w:val="30"/>
          <w:szCs w:val="30"/>
        </w:rPr>
      </w:pPr>
    </w:p>
    <w:p w14:paraId="07FB9B74">
      <w:pPr>
        <w:snapToGrid w:val="0"/>
        <w:spacing w:line="360" w:lineRule="auto"/>
        <w:ind w:firstLine="602" w:firstLineChars="200"/>
        <w:rPr>
          <w:rFonts w:ascii="仿宋" w:hAnsi="仿宋" w:eastAsia="仿宋" w:cs="仿宋_GB2312"/>
          <w:b/>
          <w:sz w:val="30"/>
          <w:szCs w:val="30"/>
        </w:rPr>
      </w:pPr>
    </w:p>
    <w:p w14:paraId="6B972AC6">
      <w:pPr>
        <w:pStyle w:val="13"/>
        <w:ind w:firstLine="602"/>
        <w:rPr>
          <w:rFonts w:ascii="仿宋" w:hAnsi="仿宋" w:eastAsia="仿宋" w:cs="仿宋_GB2312"/>
          <w:b/>
          <w:sz w:val="30"/>
          <w:szCs w:val="30"/>
        </w:rPr>
      </w:pPr>
    </w:p>
    <w:p w14:paraId="5F3D613C">
      <w:pPr>
        <w:pStyle w:val="13"/>
        <w:ind w:left="0" w:leftChars="0" w:firstLine="0" w:firstLineChars="0"/>
        <w:rPr>
          <w:rFonts w:ascii="仿宋" w:hAnsi="仿宋" w:eastAsia="仿宋" w:cs="仿宋_GB2312"/>
          <w:b/>
          <w:sz w:val="30"/>
          <w:szCs w:val="30"/>
        </w:rPr>
      </w:pPr>
    </w:p>
    <w:p w14:paraId="29438C9E"/>
    <w:p w14:paraId="5A043B8B">
      <w:pPr>
        <w:snapToGrid w:val="0"/>
        <w:spacing w:line="360" w:lineRule="auto"/>
        <w:jc w:val="center"/>
        <w:rPr>
          <w:rFonts w:ascii="仿宋" w:hAnsi="仿宋" w:eastAsia="仿宋" w:cs="仿宋_GB2312"/>
          <w:b/>
          <w:sz w:val="30"/>
          <w:szCs w:val="30"/>
        </w:rPr>
      </w:pPr>
      <w:r>
        <w:rPr>
          <w:rFonts w:hint="eastAsia" w:ascii="仿宋" w:hAnsi="仿宋" w:eastAsia="仿宋" w:cs="仿宋_GB2312"/>
          <w:b/>
          <w:sz w:val="30"/>
          <w:szCs w:val="30"/>
        </w:rPr>
        <w:t>三、投标人情况介绍</w:t>
      </w:r>
    </w:p>
    <w:p w14:paraId="35285708">
      <w:pPr>
        <w:pStyle w:val="9"/>
        <w:kinsoku w:val="0"/>
        <w:overflowPunct w:val="0"/>
        <w:spacing w:before="5"/>
        <w:ind w:firstLine="120"/>
        <w:rPr>
          <w:rFonts w:ascii="宋体" w:hAnsi="宋体"/>
          <w:b/>
          <w:bCs/>
          <w:color w:val="000000"/>
          <w:sz w:val="6"/>
          <w:szCs w:val="6"/>
        </w:rPr>
      </w:pPr>
    </w:p>
    <w:tbl>
      <w:tblPr>
        <w:tblStyle w:val="31"/>
        <w:tblW w:w="9519" w:type="dxa"/>
        <w:jc w:val="center"/>
        <w:tblLayout w:type="fixed"/>
        <w:tblCellMar>
          <w:top w:w="0" w:type="dxa"/>
          <w:left w:w="0" w:type="dxa"/>
          <w:bottom w:w="0" w:type="dxa"/>
          <w:right w:w="0" w:type="dxa"/>
        </w:tblCellMar>
      </w:tblPr>
      <w:tblGrid>
        <w:gridCol w:w="1356"/>
        <w:gridCol w:w="1578"/>
        <w:gridCol w:w="927"/>
        <w:gridCol w:w="538"/>
        <w:gridCol w:w="716"/>
        <w:gridCol w:w="752"/>
        <w:gridCol w:w="499"/>
        <w:gridCol w:w="402"/>
        <w:gridCol w:w="603"/>
        <w:gridCol w:w="2148"/>
      </w:tblGrid>
      <w:tr w14:paraId="65F895A1">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6D5C0D33">
            <w:pPr>
              <w:pStyle w:val="4"/>
              <w:ind w:firstLine="0"/>
              <w:rPr>
                <w:rFonts w:ascii="宋体" w:hAnsi="宋体"/>
                <w:sz w:val="24"/>
                <w:szCs w:val="24"/>
              </w:rPr>
            </w:pPr>
            <w:r>
              <w:rPr>
                <w:rFonts w:hint="eastAsia" w:ascii="宋体" w:hAnsi="宋体"/>
                <w:sz w:val="24"/>
                <w:szCs w:val="24"/>
              </w:rPr>
              <w:t>单位名称</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22A9AD2B">
            <w:pPr>
              <w:pStyle w:val="4"/>
              <w:rPr>
                <w:rFonts w:ascii="宋体" w:hAnsi="宋体"/>
                <w:sz w:val="24"/>
                <w:szCs w:val="24"/>
              </w:rPr>
            </w:pPr>
          </w:p>
        </w:tc>
      </w:tr>
      <w:tr w14:paraId="4CB5F77E">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45557BA5">
            <w:pPr>
              <w:pStyle w:val="4"/>
              <w:ind w:firstLine="0"/>
              <w:rPr>
                <w:rFonts w:ascii="宋体" w:hAnsi="宋体"/>
                <w:sz w:val="24"/>
                <w:szCs w:val="24"/>
              </w:rPr>
            </w:pPr>
            <w:r>
              <w:rPr>
                <w:rFonts w:hint="eastAsia" w:ascii="宋体" w:hAnsi="宋体"/>
                <w:sz w:val="24"/>
                <w:szCs w:val="24"/>
              </w:rPr>
              <w:t>单位地址</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78733209">
            <w:pPr>
              <w:pStyle w:val="4"/>
              <w:rPr>
                <w:rFonts w:ascii="宋体" w:hAnsi="宋体"/>
                <w:sz w:val="24"/>
                <w:szCs w:val="24"/>
              </w:rPr>
            </w:pPr>
          </w:p>
        </w:tc>
      </w:tr>
      <w:tr w14:paraId="23BA4D72">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324A4920">
            <w:pPr>
              <w:pStyle w:val="4"/>
              <w:ind w:firstLine="0"/>
              <w:rPr>
                <w:rFonts w:ascii="宋体" w:hAnsi="宋体"/>
                <w:sz w:val="24"/>
                <w:szCs w:val="24"/>
              </w:rPr>
            </w:pPr>
            <w:r>
              <w:rPr>
                <w:rFonts w:hint="eastAsia" w:ascii="宋体" w:hAnsi="宋体"/>
                <w:sz w:val="24"/>
                <w:szCs w:val="24"/>
              </w:rPr>
              <w:t>主管部门</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1A6B7D09">
            <w:pPr>
              <w:pStyle w:val="4"/>
              <w:rPr>
                <w:rFonts w:ascii="宋体" w:hAnsi="宋体"/>
                <w:sz w:val="24"/>
                <w:szCs w:val="24"/>
              </w:rPr>
            </w:pPr>
          </w:p>
        </w:tc>
      </w:tr>
      <w:tr w14:paraId="5977F877">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0068EC63">
            <w:pPr>
              <w:pStyle w:val="4"/>
              <w:ind w:firstLine="0"/>
              <w:rPr>
                <w:rFonts w:ascii="宋体" w:hAnsi="宋体"/>
                <w:sz w:val="24"/>
                <w:szCs w:val="24"/>
              </w:rPr>
            </w:pPr>
            <w:r>
              <w:rPr>
                <w:rFonts w:hint="eastAsia" w:ascii="宋体" w:hAnsi="宋体"/>
                <w:sz w:val="24"/>
                <w:szCs w:val="24"/>
              </w:rPr>
              <w:t>成立时间</w:t>
            </w:r>
          </w:p>
        </w:tc>
        <w:tc>
          <w:tcPr>
            <w:tcW w:w="2505" w:type="dxa"/>
            <w:gridSpan w:val="2"/>
            <w:tcBorders>
              <w:top w:val="single" w:color="000000" w:sz="4" w:space="0"/>
              <w:left w:val="single" w:color="000000" w:sz="4" w:space="0"/>
              <w:bottom w:val="single" w:color="000000" w:sz="4" w:space="0"/>
              <w:right w:val="single" w:color="000000" w:sz="4" w:space="0"/>
            </w:tcBorders>
            <w:noWrap/>
          </w:tcPr>
          <w:p w14:paraId="2E81D0BB">
            <w:pPr>
              <w:pStyle w:val="4"/>
              <w:rPr>
                <w:rFonts w:ascii="宋体" w:hAnsi="宋体"/>
                <w:sz w:val="24"/>
                <w:szCs w:val="24"/>
              </w:rPr>
            </w:pPr>
          </w:p>
        </w:tc>
        <w:tc>
          <w:tcPr>
            <w:tcW w:w="2505" w:type="dxa"/>
            <w:gridSpan w:val="4"/>
            <w:tcBorders>
              <w:top w:val="single" w:color="000000" w:sz="4" w:space="0"/>
              <w:left w:val="single" w:color="000000" w:sz="4" w:space="0"/>
              <w:bottom w:val="single" w:color="000000" w:sz="4" w:space="0"/>
              <w:right w:val="single" w:color="000000" w:sz="4" w:space="0"/>
            </w:tcBorders>
            <w:noWrap/>
          </w:tcPr>
          <w:p w14:paraId="4AA5AF7F">
            <w:pPr>
              <w:pStyle w:val="4"/>
              <w:rPr>
                <w:rFonts w:ascii="宋体" w:hAnsi="宋体"/>
                <w:sz w:val="24"/>
                <w:szCs w:val="24"/>
              </w:rPr>
            </w:pPr>
            <w:r>
              <w:rPr>
                <w:rFonts w:hint="eastAsia" w:ascii="宋体" w:hAnsi="宋体"/>
                <w:sz w:val="24"/>
                <w:szCs w:val="24"/>
              </w:rPr>
              <w:t>注册资金（万元）</w:t>
            </w:r>
          </w:p>
        </w:tc>
        <w:tc>
          <w:tcPr>
            <w:tcW w:w="3153" w:type="dxa"/>
            <w:gridSpan w:val="3"/>
            <w:tcBorders>
              <w:top w:val="single" w:color="000000" w:sz="4" w:space="0"/>
              <w:left w:val="single" w:color="000000" w:sz="4" w:space="0"/>
              <w:bottom w:val="single" w:color="000000" w:sz="4" w:space="0"/>
              <w:right w:val="single" w:color="000000" w:sz="4" w:space="0"/>
            </w:tcBorders>
            <w:noWrap/>
          </w:tcPr>
          <w:p w14:paraId="74ABCF06">
            <w:pPr>
              <w:pStyle w:val="4"/>
              <w:rPr>
                <w:rFonts w:ascii="宋体" w:hAnsi="宋体"/>
                <w:sz w:val="24"/>
                <w:szCs w:val="24"/>
              </w:rPr>
            </w:pPr>
          </w:p>
        </w:tc>
      </w:tr>
      <w:tr w14:paraId="5850612C">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438E74D6">
            <w:pPr>
              <w:pStyle w:val="4"/>
              <w:ind w:firstLine="0"/>
              <w:rPr>
                <w:rFonts w:ascii="宋体" w:hAnsi="宋体"/>
                <w:sz w:val="24"/>
                <w:szCs w:val="24"/>
              </w:rPr>
            </w:pPr>
            <w:r>
              <w:rPr>
                <w:rFonts w:hint="eastAsia" w:ascii="宋体" w:hAnsi="宋体"/>
                <w:sz w:val="24"/>
                <w:szCs w:val="24"/>
              </w:rPr>
              <w:t>单位性质</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77449C91">
            <w:pPr>
              <w:pStyle w:val="4"/>
              <w:rPr>
                <w:rFonts w:ascii="宋体" w:hAnsi="宋体"/>
                <w:sz w:val="24"/>
                <w:szCs w:val="24"/>
              </w:rPr>
            </w:pPr>
          </w:p>
        </w:tc>
      </w:tr>
      <w:tr w14:paraId="56013CBA">
        <w:tblPrEx>
          <w:tblCellMar>
            <w:top w:w="0" w:type="dxa"/>
            <w:left w:w="0" w:type="dxa"/>
            <w:bottom w:w="0" w:type="dxa"/>
            <w:right w:w="0" w:type="dxa"/>
          </w:tblCellMar>
        </w:tblPrEx>
        <w:trPr>
          <w:trHeight w:val="826"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783272E7">
            <w:pPr>
              <w:pStyle w:val="4"/>
              <w:ind w:firstLine="0"/>
              <w:jc w:val="center"/>
              <w:rPr>
                <w:rFonts w:ascii="宋体" w:hAnsi="宋体"/>
                <w:sz w:val="24"/>
                <w:szCs w:val="24"/>
              </w:rPr>
            </w:pPr>
            <w:r>
              <w:rPr>
                <w:rFonts w:hint="eastAsia" w:ascii="宋体" w:hAnsi="宋体"/>
                <w:sz w:val="24"/>
                <w:szCs w:val="24"/>
              </w:rPr>
              <w:t>投标期间</w:t>
            </w:r>
          </w:p>
          <w:p w14:paraId="42257F5B">
            <w:pPr>
              <w:pStyle w:val="4"/>
              <w:ind w:firstLine="0"/>
              <w:jc w:val="center"/>
              <w:rPr>
                <w:rFonts w:ascii="宋体" w:hAnsi="宋体"/>
                <w:sz w:val="24"/>
                <w:szCs w:val="24"/>
              </w:rPr>
            </w:pPr>
            <w:r>
              <w:rPr>
                <w:rFonts w:hint="eastAsia" w:ascii="宋体" w:hAnsi="宋体"/>
                <w:sz w:val="24"/>
                <w:szCs w:val="24"/>
              </w:rPr>
              <w:t>联系人</w:t>
            </w: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0441F75D">
            <w:pPr>
              <w:pStyle w:val="4"/>
              <w:jc w:val="center"/>
              <w:rPr>
                <w:rFonts w:ascii="宋体" w:hAnsi="宋体"/>
                <w:sz w:val="24"/>
                <w:szCs w:val="24"/>
              </w:rPr>
            </w:pPr>
          </w:p>
        </w:tc>
        <w:tc>
          <w:tcPr>
            <w:tcW w:w="1465" w:type="dxa"/>
            <w:gridSpan w:val="2"/>
            <w:tcBorders>
              <w:top w:val="single" w:color="000000" w:sz="4" w:space="0"/>
              <w:left w:val="single" w:color="000000" w:sz="4" w:space="0"/>
              <w:bottom w:val="single" w:color="000000" w:sz="4" w:space="0"/>
              <w:right w:val="single" w:color="000000" w:sz="4" w:space="0"/>
            </w:tcBorders>
            <w:noWrap/>
            <w:vAlign w:val="center"/>
          </w:tcPr>
          <w:p w14:paraId="32E75777">
            <w:pPr>
              <w:pStyle w:val="4"/>
              <w:jc w:val="center"/>
              <w:rPr>
                <w:rFonts w:ascii="宋体" w:hAnsi="宋体"/>
                <w:sz w:val="24"/>
                <w:szCs w:val="24"/>
              </w:rPr>
            </w:pPr>
            <w:r>
              <w:rPr>
                <w:rFonts w:hint="eastAsia" w:ascii="宋体" w:hAnsi="宋体"/>
                <w:sz w:val="24"/>
                <w:szCs w:val="24"/>
              </w:rPr>
              <w:t>电话</w:t>
            </w:r>
          </w:p>
        </w:tc>
        <w:tc>
          <w:tcPr>
            <w:tcW w:w="1468" w:type="dxa"/>
            <w:gridSpan w:val="2"/>
            <w:tcBorders>
              <w:top w:val="single" w:color="000000" w:sz="4" w:space="0"/>
              <w:left w:val="single" w:color="000000" w:sz="4" w:space="0"/>
              <w:bottom w:val="single" w:color="000000" w:sz="4" w:space="0"/>
              <w:right w:val="single" w:color="000000" w:sz="4" w:space="0"/>
            </w:tcBorders>
            <w:noWrap/>
            <w:vAlign w:val="center"/>
          </w:tcPr>
          <w:p w14:paraId="09077CC8">
            <w:pPr>
              <w:pStyle w:val="4"/>
              <w:jc w:val="center"/>
              <w:rPr>
                <w:rFonts w:ascii="宋体" w:hAnsi="宋体"/>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noWrap/>
            <w:vAlign w:val="center"/>
          </w:tcPr>
          <w:p w14:paraId="3E474E84">
            <w:pPr>
              <w:pStyle w:val="4"/>
              <w:jc w:val="center"/>
              <w:rPr>
                <w:rFonts w:ascii="宋体" w:hAnsi="宋体"/>
                <w:b/>
                <w:bCs/>
                <w:sz w:val="24"/>
                <w:szCs w:val="24"/>
              </w:rPr>
            </w:pPr>
          </w:p>
          <w:p w14:paraId="0D700684">
            <w:pPr>
              <w:pStyle w:val="4"/>
              <w:jc w:val="center"/>
              <w:rPr>
                <w:rFonts w:ascii="宋体" w:hAnsi="宋体"/>
                <w:sz w:val="24"/>
                <w:szCs w:val="24"/>
              </w:rPr>
            </w:pPr>
            <w:r>
              <w:rPr>
                <w:rFonts w:hint="eastAsia" w:ascii="宋体" w:hAnsi="宋体"/>
                <w:sz w:val="24"/>
                <w:szCs w:val="24"/>
              </w:rPr>
              <w:t>传真</w:t>
            </w:r>
          </w:p>
        </w:tc>
        <w:tc>
          <w:tcPr>
            <w:tcW w:w="2148" w:type="dxa"/>
            <w:tcBorders>
              <w:top w:val="single" w:color="000000" w:sz="4" w:space="0"/>
              <w:left w:val="single" w:color="000000" w:sz="4" w:space="0"/>
              <w:bottom w:val="single" w:color="000000" w:sz="4" w:space="0"/>
              <w:right w:val="single" w:color="000000" w:sz="4" w:space="0"/>
            </w:tcBorders>
            <w:noWrap/>
            <w:vAlign w:val="center"/>
          </w:tcPr>
          <w:p w14:paraId="035CFDF3">
            <w:pPr>
              <w:pStyle w:val="4"/>
              <w:jc w:val="center"/>
              <w:rPr>
                <w:rFonts w:ascii="宋体" w:hAnsi="宋体"/>
                <w:sz w:val="24"/>
                <w:szCs w:val="24"/>
              </w:rPr>
            </w:pPr>
          </w:p>
        </w:tc>
      </w:tr>
      <w:tr w14:paraId="68F4F2C3">
        <w:tblPrEx>
          <w:tblCellMar>
            <w:top w:w="0" w:type="dxa"/>
            <w:left w:w="0" w:type="dxa"/>
            <w:bottom w:w="0" w:type="dxa"/>
            <w:right w:w="0" w:type="dxa"/>
          </w:tblCellMar>
        </w:tblPrEx>
        <w:trPr>
          <w:trHeight w:val="612" w:hRule="exact"/>
          <w:jc w:val="center"/>
        </w:trPr>
        <w:tc>
          <w:tcPr>
            <w:tcW w:w="1356" w:type="dxa"/>
            <w:vMerge w:val="restart"/>
            <w:tcBorders>
              <w:top w:val="single" w:color="000000" w:sz="4" w:space="0"/>
              <w:left w:val="single" w:color="000000" w:sz="4" w:space="0"/>
              <w:bottom w:val="single" w:color="000000" w:sz="4" w:space="0"/>
              <w:right w:val="single" w:color="000000" w:sz="4" w:space="0"/>
            </w:tcBorders>
            <w:noWrap/>
          </w:tcPr>
          <w:p w14:paraId="6F8FD7BC">
            <w:pPr>
              <w:pStyle w:val="4"/>
              <w:rPr>
                <w:rFonts w:ascii="宋体" w:hAnsi="宋体"/>
                <w:b/>
                <w:bCs/>
                <w:sz w:val="24"/>
                <w:szCs w:val="24"/>
              </w:rPr>
            </w:pPr>
          </w:p>
          <w:p w14:paraId="20B7EC32">
            <w:pPr>
              <w:pStyle w:val="4"/>
              <w:rPr>
                <w:rFonts w:ascii="宋体" w:hAnsi="宋体"/>
                <w:b/>
                <w:bCs/>
                <w:sz w:val="24"/>
                <w:szCs w:val="24"/>
              </w:rPr>
            </w:pPr>
          </w:p>
          <w:p w14:paraId="2FA5FAB6">
            <w:pPr>
              <w:pStyle w:val="4"/>
              <w:rPr>
                <w:rFonts w:ascii="宋体" w:hAnsi="宋体"/>
                <w:b/>
                <w:bCs/>
                <w:sz w:val="24"/>
                <w:szCs w:val="24"/>
              </w:rPr>
            </w:pPr>
          </w:p>
          <w:p w14:paraId="249239B1">
            <w:pPr>
              <w:pStyle w:val="4"/>
              <w:ind w:firstLine="0"/>
              <w:rPr>
                <w:rFonts w:ascii="宋体" w:hAnsi="宋体"/>
                <w:sz w:val="24"/>
                <w:szCs w:val="24"/>
              </w:rPr>
            </w:pPr>
            <w:r>
              <w:rPr>
                <w:rFonts w:hint="eastAsia" w:ascii="宋体" w:hAnsi="宋体"/>
                <w:sz w:val="24"/>
                <w:szCs w:val="24"/>
              </w:rPr>
              <w:t>职工概况</w:t>
            </w: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25BE30DD">
            <w:pPr>
              <w:pStyle w:val="4"/>
              <w:jc w:val="center"/>
              <w:rPr>
                <w:rFonts w:ascii="宋体" w:hAnsi="宋体"/>
                <w:sz w:val="24"/>
                <w:szCs w:val="24"/>
              </w:rPr>
            </w:pPr>
            <w:r>
              <w:rPr>
                <w:rFonts w:hint="eastAsia" w:ascii="宋体" w:hAnsi="宋体"/>
                <w:sz w:val="24"/>
                <w:szCs w:val="24"/>
              </w:rPr>
              <w:t>职工总数</w:t>
            </w:r>
          </w:p>
        </w:tc>
        <w:tc>
          <w:tcPr>
            <w:tcW w:w="6585" w:type="dxa"/>
            <w:gridSpan w:val="8"/>
            <w:tcBorders>
              <w:top w:val="single" w:color="000000" w:sz="4" w:space="0"/>
              <w:left w:val="single" w:color="000000" w:sz="4" w:space="0"/>
              <w:bottom w:val="single" w:color="000000" w:sz="4" w:space="0"/>
              <w:right w:val="single" w:color="000000" w:sz="4" w:space="0"/>
            </w:tcBorders>
            <w:noWrap/>
            <w:vAlign w:val="center"/>
          </w:tcPr>
          <w:p w14:paraId="6A41FB91">
            <w:pPr>
              <w:pStyle w:val="4"/>
              <w:jc w:val="center"/>
              <w:rPr>
                <w:rFonts w:ascii="宋体" w:hAnsi="宋体"/>
                <w:sz w:val="24"/>
                <w:szCs w:val="24"/>
              </w:rPr>
            </w:pPr>
          </w:p>
        </w:tc>
      </w:tr>
      <w:tr w14:paraId="14E92935">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7658F9A0">
            <w:pPr>
              <w:pStyle w:val="4"/>
              <w:rPr>
                <w:rFonts w:ascii="宋体" w:hAnsi="宋体"/>
                <w:sz w:val="24"/>
                <w:szCs w:val="24"/>
              </w:rPr>
            </w:pPr>
          </w:p>
        </w:tc>
        <w:tc>
          <w:tcPr>
            <w:tcW w:w="8163" w:type="dxa"/>
            <w:gridSpan w:val="9"/>
            <w:tcBorders>
              <w:top w:val="single" w:color="000000" w:sz="4" w:space="0"/>
              <w:left w:val="single" w:color="000000" w:sz="4" w:space="0"/>
              <w:bottom w:val="single" w:color="000000" w:sz="4" w:space="0"/>
              <w:right w:val="single" w:color="000000" w:sz="4" w:space="0"/>
            </w:tcBorders>
            <w:noWrap/>
            <w:vAlign w:val="center"/>
          </w:tcPr>
          <w:p w14:paraId="091CC94D">
            <w:pPr>
              <w:pStyle w:val="4"/>
              <w:jc w:val="center"/>
              <w:rPr>
                <w:rFonts w:ascii="宋体" w:hAnsi="宋体"/>
                <w:sz w:val="24"/>
                <w:szCs w:val="24"/>
              </w:rPr>
            </w:pPr>
            <w:r>
              <w:rPr>
                <w:rFonts w:hint="eastAsia" w:ascii="宋体" w:hAnsi="宋体"/>
                <w:sz w:val="24"/>
                <w:szCs w:val="24"/>
              </w:rPr>
              <w:t>单位行政和负责人</w:t>
            </w:r>
          </w:p>
        </w:tc>
      </w:tr>
      <w:tr w14:paraId="69598E2F">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32031D1B">
            <w:pPr>
              <w:pStyle w:val="4"/>
              <w:rPr>
                <w:rFonts w:ascii="宋体"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30C0BF4B">
            <w:pPr>
              <w:pStyle w:val="4"/>
              <w:jc w:val="center"/>
              <w:rPr>
                <w:rFonts w:ascii="宋体" w:hAnsi="宋体"/>
                <w:sz w:val="24"/>
                <w:szCs w:val="24"/>
              </w:rPr>
            </w:pPr>
            <w:r>
              <w:rPr>
                <w:rFonts w:hint="eastAsia" w:ascii="宋体" w:hAnsi="宋体"/>
                <w:sz w:val="24"/>
                <w:szCs w:val="24"/>
              </w:rPr>
              <w:t>姓名</w:t>
            </w:r>
          </w:p>
        </w:tc>
        <w:tc>
          <w:tcPr>
            <w:tcW w:w="2181" w:type="dxa"/>
            <w:gridSpan w:val="3"/>
            <w:tcBorders>
              <w:top w:val="single" w:color="000000" w:sz="4" w:space="0"/>
              <w:left w:val="single" w:color="000000" w:sz="4" w:space="0"/>
              <w:bottom w:val="single" w:color="000000" w:sz="4" w:space="0"/>
              <w:right w:val="single" w:color="000000" w:sz="4" w:space="0"/>
            </w:tcBorders>
            <w:noWrap/>
            <w:vAlign w:val="center"/>
          </w:tcPr>
          <w:p w14:paraId="025D08A1">
            <w:pPr>
              <w:pStyle w:val="4"/>
              <w:jc w:val="center"/>
              <w:rPr>
                <w:rFonts w:ascii="宋体" w:hAnsi="宋体"/>
                <w:sz w:val="24"/>
                <w:szCs w:val="24"/>
              </w:rPr>
            </w:pPr>
            <w:r>
              <w:rPr>
                <w:rFonts w:hint="eastAsia" w:ascii="宋体" w:hAnsi="宋体"/>
                <w:sz w:val="24"/>
                <w:szCs w:val="24"/>
              </w:rPr>
              <w:t>职务</w:t>
            </w:r>
            <w:r>
              <w:rPr>
                <w:rFonts w:ascii="宋体" w:hAnsi="宋体"/>
                <w:sz w:val="24"/>
                <w:szCs w:val="24"/>
              </w:rPr>
              <w:t>/</w:t>
            </w:r>
            <w:r>
              <w:rPr>
                <w:rFonts w:hint="eastAsia" w:ascii="宋体" w:hAnsi="宋体"/>
                <w:sz w:val="24"/>
                <w:szCs w:val="24"/>
              </w:rPr>
              <w:t>职称</w:t>
            </w:r>
          </w:p>
        </w:tc>
        <w:tc>
          <w:tcPr>
            <w:tcW w:w="1653" w:type="dxa"/>
            <w:gridSpan w:val="3"/>
            <w:tcBorders>
              <w:top w:val="single" w:color="000000" w:sz="4" w:space="0"/>
              <w:left w:val="single" w:color="000000" w:sz="4" w:space="0"/>
              <w:bottom w:val="single" w:color="000000" w:sz="4" w:space="0"/>
              <w:right w:val="single" w:color="000000" w:sz="4" w:space="0"/>
            </w:tcBorders>
            <w:noWrap/>
            <w:vAlign w:val="center"/>
          </w:tcPr>
          <w:p w14:paraId="28467BCF">
            <w:pPr>
              <w:pStyle w:val="4"/>
              <w:jc w:val="center"/>
              <w:rPr>
                <w:rFonts w:ascii="宋体" w:hAnsi="宋体"/>
                <w:sz w:val="24"/>
                <w:szCs w:val="24"/>
              </w:rPr>
            </w:pPr>
            <w:r>
              <w:rPr>
                <w:rFonts w:hint="eastAsia" w:ascii="宋体" w:hAnsi="宋体"/>
                <w:sz w:val="24"/>
                <w:szCs w:val="24"/>
              </w:rPr>
              <w:t>年龄</w:t>
            </w:r>
          </w:p>
        </w:tc>
        <w:tc>
          <w:tcPr>
            <w:tcW w:w="2751" w:type="dxa"/>
            <w:gridSpan w:val="2"/>
            <w:tcBorders>
              <w:top w:val="single" w:color="000000" w:sz="4" w:space="0"/>
              <w:left w:val="single" w:color="000000" w:sz="4" w:space="0"/>
              <w:bottom w:val="single" w:color="000000" w:sz="4" w:space="0"/>
              <w:right w:val="single" w:color="000000" w:sz="4" w:space="0"/>
            </w:tcBorders>
            <w:noWrap/>
            <w:vAlign w:val="center"/>
          </w:tcPr>
          <w:p w14:paraId="05C6B046">
            <w:pPr>
              <w:pStyle w:val="4"/>
              <w:jc w:val="center"/>
              <w:rPr>
                <w:rFonts w:ascii="宋体" w:hAnsi="宋体"/>
                <w:sz w:val="24"/>
                <w:szCs w:val="24"/>
              </w:rPr>
            </w:pPr>
            <w:r>
              <w:rPr>
                <w:rFonts w:hint="eastAsia" w:ascii="宋体" w:hAnsi="宋体"/>
                <w:sz w:val="24"/>
                <w:szCs w:val="24"/>
              </w:rPr>
              <w:t>专</w:t>
            </w:r>
            <w:r>
              <w:rPr>
                <w:rFonts w:ascii="宋体" w:hAnsi="宋体"/>
                <w:sz w:val="24"/>
                <w:szCs w:val="24"/>
              </w:rPr>
              <w:tab/>
            </w:r>
            <w:r>
              <w:rPr>
                <w:rFonts w:hint="eastAsia" w:ascii="宋体" w:hAnsi="宋体"/>
                <w:sz w:val="24"/>
                <w:szCs w:val="24"/>
              </w:rPr>
              <w:t>业</w:t>
            </w:r>
          </w:p>
        </w:tc>
      </w:tr>
      <w:tr w14:paraId="0D5C6AD6">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6AC512D5">
            <w:pPr>
              <w:pStyle w:val="4"/>
              <w:rPr>
                <w:rFonts w:ascii="宋体"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noWrap/>
          </w:tcPr>
          <w:p w14:paraId="57F1E846">
            <w:pPr>
              <w:pStyle w:val="4"/>
              <w:rPr>
                <w:rFonts w:ascii="宋体" w:hAnsi="宋体"/>
                <w:sz w:val="24"/>
                <w:szCs w:val="24"/>
              </w:rPr>
            </w:pPr>
          </w:p>
        </w:tc>
        <w:tc>
          <w:tcPr>
            <w:tcW w:w="2181" w:type="dxa"/>
            <w:gridSpan w:val="3"/>
            <w:tcBorders>
              <w:top w:val="single" w:color="000000" w:sz="4" w:space="0"/>
              <w:left w:val="single" w:color="000000" w:sz="4" w:space="0"/>
              <w:bottom w:val="single" w:color="000000" w:sz="4" w:space="0"/>
              <w:right w:val="single" w:color="000000" w:sz="4" w:space="0"/>
            </w:tcBorders>
            <w:noWrap/>
          </w:tcPr>
          <w:p w14:paraId="05B60EC5">
            <w:pPr>
              <w:pStyle w:val="4"/>
              <w:rPr>
                <w:rFonts w:ascii="宋体" w:hAnsi="宋体"/>
                <w:sz w:val="24"/>
                <w:szCs w:val="24"/>
              </w:rPr>
            </w:pPr>
          </w:p>
        </w:tc>
        <w:tc>
          <w:tcPr>
            <w:tcW w:w="1653" w:type="dxa"/>
            <w:gridSpan w:val="3"/>
            <w:tcBorders>
              <w:top w:val="single" w:color="000000" w:sz="4" w:space="0"/>
              <w:left w:val="single" w:color="000000" w:sz="4" w:space="0"/>
              <w:bottom w:val="single" w:color="000000" w:sz="4" w:space="0"/>
              <w:right w:val="single" w:color="000000" w:sz="4" w:space="0"/>
            </w:tcBorders>
            <w:noWrap/>
          </w:tcPr>
          <w:p w14:paraId="5D58BAF8">
            <w:pPr>
              <w:pStyle w:val="4"/>
              <w:rPr>
                <w:rFonts w:ascii="宋体" w:hAnsi="宋体"/>
                <w:sz w:val="24"/>
                <w:szCs w:val="24"/>
              </w:rPr>
            </w:pPr>
          </w:p>
        </w:tc>
        <w:tc>
          <w:tcPr>
            <w:tcW w:w="2751" w:type="dxa"/>
            <w:gridSpan w:val="2"/>
            <w:tcBorders>
              <w:top w:val="single" w:color="000000" w:sz="4" w:space="0"/>
              <w:left w:val="single" w:color="000000" w:sz="4" w:space="0"/>
              <w:bottom w:val="single" w:color="000000" w:sz="4" w:space="0"/>
              <w:right w:val="single" w:color="000000" w:sz="4" w:space="0"/>
            </w:tcBorders>
            <w:noWrap/>
          </w:tcPr>
          <w:p w14:paraId="6EB83857">
            <w:pPr>
              <w:pStyle w:val="4"/>
              <w:rPr>
                <w:rFonts w:ascii="宋体" w:hAnsi="宋体"/>
                <w:sz w:val="24"/>
                <w:szCs w:val="24"/>
              </w:rPr>
            </w:pPr>
          </w:p>
        </w:tc>
      </w:tr>
      <w:tr w14:paraId="14B3A7FE">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1BC90193">
            <w:pPr>
              <w:pStyle w:val="4"/>
              <w:rPr>
                <w:rFonts w:ascii="宋体"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noWrap/>
          </w:tcPr>
          <w:p w14:paraId="13B54DD0">
            <w:pPr>
              <w:pStyle w:val="4"/>
              <w:rPr>
                <w:rFonts w:ascii="宋体" w:hAnsi="宋体"/>
                <w:sz w:val="24"/>
                <w:szCs w:val="24"/>
              </w:rPr>
            </w:pPr>
          </w:p>
        </w:tc>
        <w:tc>
          <w:tcPr>
            <w:tcW w:w="2181" w:type="dxa"/>
            <w:gridSpan w:val="3"/>
            <w:tcBorders>
              <w:top w:val="single" w:color="000000" w:sz="4" w:space="0"/>
              <w:left w:val="single" w:color="000000" w:sz="4" w:space="0"/>
              <w:bottom w:val="single" w:color="000000" w:sz="4" w:space="0"/>
              <w:right w:val="single" w:color="000000" w:sz="4" w:space="0"/>
            </w:tcBorders>
            <w:noWrap/>
          </w:tcPr>
          <w:p w14:paraId="29C0F93F">
            <w:pPr>
              <w:pStyle w:val="4"/>
              <w:rPr>
                <w:rFonts w:ascii="宋体" w:hAnsi="宋体"/>
                <w:sz w:val="24"/>
                <w:szCs w:val="24"/>
              </w:rPr>
            </w:pPr>
          </w:p>
        </w:tc>
        <w:tc>
          <w:tcPr>
            <w:tcW w:w="1653" w:type="dxa"/>
            <w:gridSpan w:val="3"/>
            <w:tcBorders>
              <w:top w:val="single" w:color="000000" w:sz="4" w:space="0"/>
              <w:left w:val="single" w:color="000000" w:sz="4" w:space="0"/>
              <w:bottom w:val="single" w:color="000000" w:sz="4" w:space="0"/>
              <w:right w:val="single" w:color="000000" w:sz="4" w:space="0"/>
            </w:tcBorders>
            <w:noWrap/>
          </w:tcPr>
          <w:p w14:paraId="69676840">
            <w:pPr>
              <w:pStyle w:val="4"/>
              <w:rPr>
                <w:rFonts w:ascii="宋体" w:hAnsi="宋体"/>
                <w:sz w:val="24"/>
                <w:szCs w:val="24"/>
              </w:rPr>
            </w:pPr>
          </w:p>
        </w:tc>
        <w:tc>
          <w:tcPr>
            <w:tcW w:w="2751" w:type="dxa"/>
            <w:gridSpan w:val="2"/>
            <w:tcBorders>
              <w:top w:val="single" w:color="000000" w:sz="4" w:space="0"/>
              <w:left w:val="single" w:color="000000" w:sz="4" w:space="0"/>
              <w:bottom w:val="single" w:color="000000" w:sz="4" w:space="0"/>
              <w:right w:val="single" w:color="000000" w:sz="4" w:space="0"/>
            </w:tcBorders>
            <w:noWrap/>
          </w:tcPr>
          <w:p w14:paraId="10561A22">
            <w:pPr>
              <w:pStyle w:val="4"/>
              <w:rPr>
                <w:rFonts w:ascii="宋体" w:hAnsi="宋体"/>
                <w:sz w:val="24"/>
                <w:szCs w:val="24"/>
              </w:rPr>
            </w:pPr>
          </w:p>
        </w:tc>
      </w:tr>
      <w:tr w14:paraId="4E476C8C">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775CE5B5">
            <w:pPr>
              <w:pStyle w:val="4"/>
              <w:rPr>
                <w:rFonts w:ascii="宋体"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noWrap/>
          </w:tcPr>
          <w:p w14:paraId="06137A85">
            <w:pPr>
              <w:pStyle w:val="4"/>
              <w:rPr>
                <w:rFonts w:ascii="宋体" w:hAnsi="宋体"/>
                <w:sz w:val="24"/>
                <w:szCs w:val="24"/>
              </w:rPr>
            </w:pPr>
          </w:p>
        </w:tc>
        <w:tc>
          <w:tcPr>
            <w:tcW w:w="2181" w:type="dxa"/>
            <w:gridSpan w:val="3"/>
            <w:tcBorders>
              <w:top w:val="single" w:color="000000" w:sz="4" w:space="0"/>
              <w:left w:val="single" w:color="000000" w:sz="4" w:space="0"/>
              <w:bottom w:val="single" w:color="000000" w:sz="4" w:space="0"/>
              <w:right w:val="single" w:color="000000" w:sz="4" w:space="0"/>
            </w:tcBorders>
            <w:noWrap/>
          </w:tcPr>
          <w:p w14:paraId="5CE1D19C">
            <w:pPr>
              <w:pStyle w:val="4"/>
              <w:rPr>
                <w:rFonts w:ascii="宋体" w:hAnsi="宋体"/>
                <w:sz w:val="24"/>
                <w:szCs w:val="24"/>
              </w:rPr>
            </w:pPr>
          </w:p>
        </w:tc>
        <w:tc>
          <w:tcPr>
            <w:tcW w:w="1653" w:type="dxa"/>
            <w:gridSpan w:val="3"/>
            <w:tcBorders>
              <w:top w:val="single" w:color="000000" w:sz="4" w:space="0"/>
              <w:left w:val="single" w:color="000000" w:sz="4" w:space="0"/>
              <w:bottom w:val="single" w:color="000000" w:sz="4" w:space="0"/>
              <w:right w:val="single" w:color="000000" w:sz="4" w:space="0"/>
            </w:tcBorders>
            <w:noWrap/>
          </w:tcPr>
          <w:p w14:paraId="1311027C">
            <w:pPr>
              <w:pStyle w:val="4"/>
              <w:rPr>
                <w:rFonts w:ascii="宋体" w:hAnsi="宋体"/>
                <w:sz w:val="24"/>
                <w:szCs w:val="24"/>
              </w:rPr>
            </w:pPr>
          </w:p>
        </w:tc>
        <w:tc>
          <w:tcPr>
            <w:tcW w:w="2751" w:type="dxa"/>
            <w:gridSpan w:val="2"/>
            <w:tcBorders>
              <w:top w:val="single" w:color="000000" w:sz="4" w:space="0"/>
              <w:left w:val="single" w:color="000000" w:sz="4" w:space="0"/>
              <w:bottom w:val="single" w:color="000000" w:sz="4" w:space="0"/>
              <w:right w:val="single" w:color="000000" w:sz="4" w:space="0"/>
            </w:tcBorders>
            <w:noWrap/>
          </w:tcPr>
          <w:p w14:paraId="2F597B58">
            <w:pPr>
              <w:pStyle w:val="4"/>
              <w:rPr>
                <w:rFonts w:ascii="宋体" w:hAnsi="宋体"/>
                <w:sz w:val="24"/>
                <w:szCs w:val="24"/>
              </w:rPr>
            </w:pPr>
          </w:p>
        </w:tc>
      </w:tr>
      <w:tr w14:paraId="3DC442B8">
        <w:tblPrEx>
          <w:tblCellMar>
            <w:top w:w="0" w:type="dxa"/>
            <w:left w:w="0" w:type="dxa"/>
            <w:bottom w:w="0" w:type="dxa"/>
            <w:right w:w="0" w:type="dxa"/>
          </w:tblCellMar>
        </w:tblPrEx>
        <w:trPr>
          <w:trHeight w:val="2277" w:hRule="exact"/>
          <w:jc w:val="center"/>
        </w:trPr>
        <w:tc>
          <w:tcPr>
            <w:tcW w:w="1356" w:type="dxa"/>
            <w:tcBorders>
              <w:top w:val="single" w:color="000000" w:sz="4" w:space="0"/>
              <w:left w:val="single" w:color="000000" w:sz="4" w:space="0"/>
              <w:bottom w:val="single" w:color="000000" w:sz="4" w:space="0"/>
              <w:right w:val="single" w:color="000000" w:sz="4" w:space="0"/>
            </w:tcBorders>
            <w:noWrap/>
          </w:tcPr>
          <w:p w14:paraId="0D7319A9">
            <w:pPr>
              <w:pStyle w:val="4"/>
              <w:rPr>
                <w:rFonts w:ascii="宋体" w:hAnsi="宋体"/>
                <w:b/>
                <w:bCs/>
                <w:sz w:val="24"/>
                <w:szCs w:val="24"/>
              </w:rPr>
            </w:pPr>
          </w:p>
          <w:p w14:paraId="448C4B2F">
            <w:pPr>
              <w:pStyle w:val="4"/>
              <w:rPr>
                <w:rFonts w:ascii="宋体" w:hAnsi="宋体"/>
                <w:b/>
                <w:bCs/>
                <w:sz w:val="24"/>
                <w:szCs w:val="24"/>
              </w:rPr>
            </w:pPr>
          </w:p>
          <w:p w14:paraId="0F745264">
            <w:pPr>
              <w:pStyle w:val="4"/>
              <w:ind w:firstLine="0"/>
              <w:rPr>
                <w:rFonts w:ascii="宋体" w:hAnsi="宋体"/>
                <w:sz w:val="24"/>
                <w:szCs w:val="24"/>
              </w:rPr>
            </w:pPr>
            <w:r>
              <w:rPr>
                <w:rFonts w:hint="eastAsia" w:ascii="宋体" w:hAnsi="宋体"/>
                <w:sz w:val="24"/>
                <w:szCs w:val="24"/>
              </w:rPr>
              <w:t>单位概况</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5A15CECA">
            <w:pPr>
              <w:pStyle w:val="4"/>
              <w:rPr>
                <w:rFonts w:ascii="宋体" w:hAnsi="宋体"/>
                <w:sz w:val="24"/>
                <w:szCs w:val="24"/>
              </w:rPr>
            </w:pPr>
          </w:p>
        </w:tc>
      </w:tr>
    </w:tbl>
    <w:p w14:paraId="1C998298">
      <w:pPr>
        <w:pStyle w:val="9"/>
        <w:kinsoku w:val="0"/>
        <w:overflowPunct w:val="0"/>
        <w:spacing w:before="26" w:line="320" w:lineRule="auto"/>
        <w:ind w:left="1772" w:firstLine="613"/>
        <w:rPr>
          <w:rFonts w:ascii="宋体" w:hAnsi="宋体"/>
          <w:b/>
          <w:bCs/>
          <w:color w:val="000000"/>
          <w:w w:val="95"/>
        </w:rPr>
      </w:pPr>
    </w:p>
    <w:p w14:paraId="1CC81DE8">
      <w:pPr>
        <w:pStyle w:val="13"/>
        <w:ind w:left="840" w:leftChars="400" w:firstLine="0" w:firstLineChars="0"/>
      </w:pPr>
    </w:p>
    <w:p w14:paraId="475098E2">
      <w:pPr>
        <w:snapToGrid w:val="0"/>
        <w:spacing w:line="360" w:lineRule="auto"/>
        <w:ind w:firstLine="602" w:firstLineChars="200"/>
        <w:rPr>
          <w:rFonts w:ascii="仿宋" w:hAnsi="仿宋" w:eastAsia="仿宋" w:cs="仿宋_GB2312"/>
          <w:b/>
          <w:sz w:val="30"/>
          <w:szCs w:val="30"/>
        </w:rPr>
      </w:pPr>
    </w:p>
    <w:p w14:paraId="6E0455C6">
      <w:pPr>
        <w:spacing w:line="360" w:lineRule="auto"/>
        <w:ind w:left="540" w:firstLine="4320" w:firstLineChars="1800"/>
        <w:contextualSpacing/>
        <w:rPr>
          <w:rFonts w:ascii="宋体" w:hAnsi="宋体" w:cs="仿宋_GB2312"/>
          <w:sz w:val="24"/>
        </w:rPr>
      </w:pPr>
    </w:p>
    <w:p w14:paraId="2B85E53C">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7BEBC9F6">
      <w:pPr>
        <w:widowControl/>
        <w:ind w:firstLine="3840" w:firstLineChars="1600"/>
        <w:jc w:val="left"/>
        <w:rPr>
          <w:rFonts w:ascii="宋体" w:hAnsi="宋体" w:cs="宋体"/>
          <w:kern w:val="0"/>
          <w:sz w:val="24"/>
        </w:rPr>
      </w:pPr>
      <w:r>
        <w:rPr>
          <w:rFonts w:hint="eastAsia" w:ascii="宋体" w:hAnsi="宋体" w:cs="宋体"/>
          <w:color w:val="000000"/>
          <w:kern w:val="0"/>
          <w:sz w:val="24"/>
        </w:rPr>
        <w:t>法定代表人（或其授权代表）（签字或盖章）：</w:t>
      </w:r>
    </w:p>
    <w:p w14:paraId="01976B9C">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6DF26D18"/>
    <w:p w14:paraId="027E0855">
      <w:pPr>
        <w:pStyle w:val="4"/>
      </w:pPr>
    </w:p>
    <w:p w14:paraId="32AD89E4">
      <w:pPr>
        <w:snapToGrid w:val="0"/>
        <w:spacing w:beforeLines="50" w:after="50"/>
        <w:rPr>
          <w:rFonts w:ascii="仿宋" w:hAnsi="仿宋" w:eastAsia="仿宋" w:cs="仿宋_GB2312"/>
          <w:b/>
          <w:sz w:val="30"/>
          <w:szCs w:val="30"/>
        </w:rPr>
      </w:pPr>
    </w:p>
    <w:p w14:paraId="4AFE626B">
      <w:pPr>
        <w:snapToGrid w:val="0"/>
        <w:spacing w:beforeLines="50" w:after="50"/>
        <w:ind w:firstLine="602" w:firstLineChars="200"/>
        <w:jc w:val="center"/>
        <w:rPr>
          <w:rFonts w:ascii="宋体" w:hAnsi="宋体"/>
          <w:color w:val="000000"/>
          <w:sz w:val="24"/>
        </w:rPr>
      </w:pPr>
      <w:r>
        <w:rPr>
          <w:rFonts w:hint="eastAsia" w:ascii="仿宋" w:hAnsi="仿宋" w:eastAsia="仿宋" w:cs="仿宋_GB2312"/>
          <w:b/>
          <w:sz w:val="30"/>
          <w:szCs w:val="30"/>
        </w:rPr>
        <w:t>四、供应商类似的业绩证明文件</w:t>
      </w:r>
    </w:p>
    <w:p w14:paraId="328B7E91">
      <w:pPr>
        <w:pStyle w:val="20"/>
        <w:snapToGrid w:val="0"/>
        <w:ind w:left="480" w:hanging="480"/>
        <w:rPr>
          <w:rFonts w:ascii="宋体" w:hAnsi="宋体"/>
          <w:color w:val="000000"/>
          <w:sz w:val="24"/>
        </w:rPr>
      </w:pPr>
    </w:p>
    <w:p w14:paraId="31BF326C">
      <w:pPr>
        <w:pStyle w:val="9"/>
        <w:kinsoku w:val="0"/>
        <w:overflowPunct w:val="0"/>
        <w:ind w:firstLine="402"/>
        <w:rPr>
          <w:rFonts w:ascii="宋体" w:hAnsi="宋体"/>
          <w:b/>
          <w:bCs/>
          <w:color w:val="000000"/>
          <w:sz w:val="20"/>
          <w:szCs w:val="20"/>
        </w:rPr>
      </w:pPr>
    </w:p>
    <w:tbl>
      <w:tblPr>
        <w:tblStyle w:val="31"/>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26"/>
        <w:gridCol w:w="3335"/>
        <w:gridCol w:w="1632"/>
        <w:gridCol w:w="1622"/>
      </w:tblGrid>
      <w:tr w14:paraId="1964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028D0367">
            <w:pPr>
              <w:pStyle w:val="4"/>
              <w:ind w:firstLine="0"/>
              <w:rPr>
                <w:rFonts w:ascii="宋体" w:hAnsi="宋体"/>
              </w:rPr>
            </w:pPr>
            <w:r>
              <w:rPr>
                <w:rFonts w:hint="eastAsia" w:ascii="宋体" w:hAnsi="宋体"/>
              </w:rPr>
              <w:t>序号</w:t>
            </w:r>
          </w:p>
        </w:tc>
        <w:tc>
          <w:tcPr>
            <w:tcW w:w="2626" w:type="dxa"/>
            <w:noWrap/>
            <w:vAlign w:val="center"/>
          </w:tcPr>
          <w:p w14:paraId="0CA7127B">
            <w:pPr>
              <w:pStyle w:val="4"/>
              <w:rPr>
                <w:rFonts w:ascii="宋体" w:hAnsi="宋体"/>
              </w:rPr>
            </w:pPr>
            <w:r>
              <w:rPr>
                <w:rFonts w:hint="eastAsia" w:ascii="宋体" w:hAnsi="宋体"/>
              </w:rPr>
              <w:t>项目名称</w:t>
            </w:r>
          </w:p>
        </w:tc>
        <w:tc>
          <w:tcPr>
            <w:tcW w:w="3335" w:type="dxa"/>
            <w:noWrap/>
            <w:vAlign w:val="center"/>
          </w:tcPr>
          <w:p w14:paraId="32FA859D">
            <w:pPr>
              <w:pStyle w:val="4"/>
              <w:rPr>
                <w:rFonts w:ascii="宋体" w:hAnsi="宋体"/>
              </w:rPr>
            </w:pPr>
            <w:r>
              <w:rPr>
                <w:rFonts w:hint="eastAsia" w:ascii="宋体" w:hAnsi="宋体"/>
              </w:rPr>
              <w:t>合同金额（万元）</w:t>
            </w:r>
          </w:p>
        </w:tc>
        <w:tc>
          <w:tcPr>
            <w:tcW w:w="1632" w:type="dxa"/>
            <w:noWrap/>
            <w:vAlign w:val="center"/>
          </w:tcPr>
          <w:p w14:paraId="1D72DB30">
            <w:pPr>
              <w:pStyle w:val="4"/>
              <w:ind w:firstLine="0"/>
              <w:rPr>
                <w:rFonts w:ascii="宋体" w:hAnsi="宋体"/>
              </w:rPr>
            </w:pPr>
            <w:r>
              <w:rPr>
                <w:rFonts w:hint="eastAsia" w:ascii="宋体" w:hAnsi="宋体"/>
              </w:rPr>
              <w:t>合同签订时间</w:t>
            </w:r>
          </w:p>
        </w:tc>
        <w:tc>
          <w:tcPr>
            <w:tcW w:w="1622" w:type="dxa"/>
            <w:noWrap/>
            <w:vAlign w:val="center"/>
          </w:tcPr>
          <w:p w14:paraId="3C578FD1">
            <w:pPr>
              <w:pStyle w:val="4"/>
              <w:ind w:firstLine="0"/>
              <w:rPr>
                <w:rFonts w:ascii="宋体" w:hAnsi="宋体"/>
              </w:rPr>
            </w:pPr>
            <w:r>
              <w:rPr>
                <w:rFonts w:hint="eastAsia" w:ascii="宋体" w:hAnsi="宋体"/>
              </w:rPr>
              <w:t>联系人及电话</w:t>
            </w:r>
          </w:p>
        </w:tc>
      </w:tr>
      <w:tr w14:paraId="7C6E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1CA436E6">
            <w:pPr>
              <w:pStyle w:val="4"/>
              <w:rPr>
                <w:rFonts w:ascii="宋体" w:hAnsi="宋体"/>
              </w:rPr>
            </w:pPr>
            <w:r>
              <w:rPr>
                <w:rFonts w:hint="eastAsia" w:ascii="宋体" w:hAnsi="宋体"/>
              </w:rPr>
              <w:t>1</w:t>
            </w:r>
          </w:p>
        </w:tc>
        <w:tc>
          <w:tcPr>
            <w:tcW w:w="2626" w:type="dxa"/>
            <w:noWrap/>
            <w:vAlign w:val="center"/>
          </w:tcPr>
          <w:p w14:paraId="7BAE3368">
            <w:pPr>
              <w:pStyle w:val="4"/>
              <w:rPr>
                <w:rFonts w:ascii="宋体" w:hAnsi="宋体"/>
              </w:rPr>
            </w:pPr>
          </w:p>
        </w:tc>
        <w:tc>
          <w:tcPr>
            <w:tcW w:w="3335" w:type="dxa"/>
            <w:noWrap/>
            <w:vAlign w:val="center"/>
          </w:tcPr>
          <w:p w14:paraId="697848F0">
            <w:pPr>
              <w:pStyle w:val="4"/>
              <w:rPr>
                <w:rFonts w:ascii="宋体" w:hAnsi="宋体"/>
              </w:rPr>
            </w:pPr>
          </w:p>
        </w:tc>
        <w:tc>
          <w:tcPr>
            <w:tcW w:w="1632" w:type="dxa"/>
            <w:noWrap/>
            <w:vAlign w:val="center"/>
          </w:tcPr>
          <w:p w14:paraId="472A3268">
            <w:pPr>
              <w:pStyle w:val="4"/>
              <w:rPr>
                <w:rFonts w:ascii="宋体" w:hAnsi="宋体"/>
              </w:rPr>
            </w:pPr>
          </w:p>
        </w:tc>
        <w:tc>
          <w:tcPr>
            <w:tcW w:w="1622" w:type="dxa"/>
            <w:noWrap/>
            <w:vAlign w:val="center"/>
          </w:tcPr>
          <w:p w14:paraId="399FA6D4">
            <w:pPr>
              <w:pStyle w:val="4"/>
              <w:rPr>
                <w:rFonts w:ascii="宋体" w:hAnsi="宋体"/>
              </w:rPr>
            </w:pPr>
          </w:p>
        </w:tc>
      </w:tr>
      <w:tr w14:paraId="4D1B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2233556E">
            <w:pPr>
              <w:pStyle w:val="4"/>
              <w:rPr>
                <w:rFonts w:ascii="宋体" w:hAnsi="宋体"/>
              </w:rPr>
            </w:pPr>
            <w:r>
              <w:rPr>
                <w:rFonts w:hint="eastAsia" w:ascii="宋体" w:hAnsi="宋体"/>
              </w:rPr>
              <w:t>2</w:t>
            </w:r>
          </w:p>
        </w:tc>
        <w:tc>
          <w:tcPr>
            <w:tcW w:w="2626" w:type="dxa"/>
            <w:noWrap/>
            <w:vAlign w:val="center"/>
          </w:tcPr>
          <w:p w14:paraId="7B7AC951">
            <w:pPr>
              <w:pStyle w:val="4"/>
              <w:rPr>
                <w:rFonts w:ascii="宋体" w:hAnsi="宋体"/>
              </w:rPr>
            </w:pPr>
          </w:p>
        </w:tc>
        <w:tc>
          <w:tcPr>
            <w:tcW w:w="3335" w:type="dxa"/>
            <w:noWrap/>
            <w:vAlign w:val="center"/>
          </w:tcPr>
          <w:p w14:paraId="46676052">
            <w:pPr>
              <w:pStyle w:val="4"/>
              <w:rPr>
                <w:rFonts w:ascii="宋体" w:hAnsi="宋体"/>
              </w:rPr>
            </w:pPr>
          </w:p>
        </w:tc>
        <w:tc>
          <w:tcPr>
            <w:tcW w:w="1632" w:type="dxa"/>
            <w:noWrap/>
            <w:vAlign w:val="center"/>
          </w:tcPr>
          <w:p w14:paraId="58E3AF01">
            <w:pPr>
              <w:pStyle w:val="4"/>
              <w:rPr>
                <w:rFonts w:ascii="宋体" w:hAnsi="宋体"/>
              </w:rPr>
            </w:pPr>
          </w:p>
        </w:tc>
        <w:tc>
          <w:tcPr>
            <w:tcW w:w="1622" w:type="dxa"/>
            <w:noWrap/>
            <w:vAlign w:val="center"/>
          </w:tcPr>
          <w:p w14:paraId="341052CD">
            <w:pPr>
              <w:pStyle w:val="4"/>
              <w:rPr>
                <w:rFonts w:ascii="宋体" w:hAnsi="宋体"/>
              </w:rPr>
            </w:pPr>
          </w:p>
        </w:tc>
      </w:tr>
      <w:tr w14:paraId="12F9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351F4A13">
            <w:pPr>
              <w:pStyle w:val="4"/>
              <w:rPr>
                <w:rFonts w:ascii="宋体" w:hAnsi="宋体"/>
              </w:rPr>
            </w:pPr>
            <w:r>
              <w:rPr>
                <w:rFonts w:hint="eastAsia" w:ascii="宋体" w:hAnsi="宋体"/>
              </w:rPr>
              <w:t>3</w:t>
            </w:r>
          </w:p>
        </w:tc>
        <w:tc>
          <w:tcPr>
            <w:tcW w:w="2626" w:type="dxa"/>
            <w:noWrap/>
            <w:vAlign w:val="center"/>
          </w:tcPr>
          <w:p w14:paraId="7E7475E4">
            <w:pPr>
              <w:pStyle w:val="4"/>
              <w:rPr>
                <w:rFonts w:ascii="宋体" w:hAnsi="宋体"/>
              </w:rPr>
            </w:pPr>
          </w:p>
        </w:tc>
        <w:tc>
          <w:tcPr>
            <w:tcW w:w="3335" w:type="dxa"/>
            <w:noWrap/>
            <w:vAlign w:val="center"/>
          </w:tcPr>
          <w:p w14:paraId="418246DD">
            <w:pPr>
              <w:pStyle w:val="4"/>
              <w:rPr>
                <w:rFonts w:ascii="宋体" w:hAnsi="宋体"/>
              </w:rPr>
            </w:pPr>
          </w:p>
        </w:tc>
        <w:tc>
          <w:tcPr>
            <w:tcW w:w="1632" w:type="dxa"/>
            <w:noWrap/>
            <w:vAlign w:val="center"/>
          </w:tcPr>
          <w:p w14:paraId="3471B427">
            <w:pPr>
              <w:pStyle w:val="4"/>
              <w:rPr>
                <w:rFonts w:ascii="宋体" w:hAnsi="宋体"/>
              </w:rPr>
            </w:pPr>
          </w:p>
        </w:tc>
        <w:tc>
          <w:tcPr>
            <w:tcW w:w="1622" w:type="dxa"/>
            <w:noWrap/>
            <w:vAlign w:val="center"/>
          </w:tcPr>
          <w:p w14:paraId="5C36DD40">
            <w:pPr>
              <w:pStyle w:val="4"/>
              <w:rPr>
                <w:rFonts w:ascii="宋体" w:hAnsi="宋体"/>
              </w:rPr>
            </w:pPr>
          </w:p>
        </w:tc>
      </w:tr>
      <w:tr w14:paraId="78D9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27332775">
            <w:pPr>
              <w:pStyle w:val="4"/>
              <w:rPr>
                <w:rFonts w:ascii="宋体" w:hAnsi="宋体"/>
              </w:rPr>
            </w:pPr>
            <w:r>
              <w:rPr>
                <w:rFonts w:hint="eastAsia" w:ascii="宋体" w:hAnsi="宋体"/>
              </w:rPr>
              <w:t>…</w:t>
            </w:r>
          </w:p>
        </w:tc>
        <w:tc>
          <w:tcPr>
            <w:tcW w:w="2626" w:type="dxa"/>
            <w:noWrap/>
            <w:vAlign w:val="center"/>
          </w:tcPr>
          <w:p w14:paraId="4E3E2147">
            <w:pPr>
              <w:pStyle w:val="4"/>
              <w:rPr>
                <w:rFonts w:ascii="宋体" w:hAnsi="宋体"/>
              </w:rPr>
            </w:pPr>
          </w:p>
        </w:tc>
        <w:tc>
          <w:tcPr>
            <w:tcW w:w="3335" w:type="dxa"/>
            <w:noWrap/>
            <w:vAlign w:val="center"/>
          </w:tcPr>
          <w:p w14:paraId="5F11C8AD">
            <w:pPr>
              <w:pStyle w:val="4"/>
              <w:rPr>
                <w:rFonts w:ascii="宋体" w:hAnsi="宋体"/>
              </w:rPr>
            </w:pPr>
          </w:p>
        </w:tc>
        <w:tc>
          <w:tcPr>
            <w:tcW w:w="1632" w:type="dxa"/>
            <w:noWrap/>
            <w:vAlign w:val="center"/>
          </w:tcPr>
          <w:p w14:paraId="6B903261">
            <w:pPr>
              <w:pStyle w:val="4"/>
              <w:rPr>
                <w:rFonts w:ascii="宋体" w:hAnsi="宋体"/>
              </w:rPr>
            </w:pPr>
          </w:p>
        </w:tc>
        <w:tc>
          <w:tcPr>
            <w:tcW w:w="1622" w:type="dxa"/>
            <w:noWrap/>
            <w:vAlign w:val="center"/>
          </w:tcPr>
          <w:p w14:paraId="497D3A6F">
            <w:pPr>
              <w:pStyle w:val="4"/>
              <w:rPr>
                <w:rFonts w:ascii="宋体" w:hAnsi="宋体"/>
              </w:rPr>
            </w:pPr>
          </w:p>
        </w:tc>
      </w:tr>
    </w:tbl>
    <w:p w14:paraId="3D8F5792">
      <w:pPr>
        <w:pStyle w:val="20"/>
        <w:snapToGrid w:val="0"/>
        <w:ind w:left="480" w:hanging="480"/>
        <w:rPr>
          <w:rFonts w:ascii="宋体" w:hAnsi="宋体"/>
          <w:color w:val="000000"/>
          <w:sz w:val="24"/>
        </w:rPr>
      </w:pPr>
    </w:p>
    <w:p w14:paraId="24B5D7D2">
      <w:pPr>
        <w:widowControl/>
        <w:spacing w:line="360" w:lineRule="auto"/>
        <w:jc w:val="left"/>
        <w:rPr>
          <w:rFonts w:ascii="宋体" w:hAnsi="宋体"/>
          <w:color w:val="000000"/>
          <w:sz w:val="24"/>
        </w:rPr>
      </w:pPr>
      <w:r>
        <w:rPr>
          <w:rFonts w:hint="eastAsia" w:ascii="仿宋_GB2312" w:hAnsi="仿宋" w:eastAsia="仿宋_GB2312" w:cs="仿宋_GB2312"/>
          <w:b/>
          <w:sz w:val="24"/>
        </w:rPr>
        <w:t>附表 :业绩证明文件（</w:t>
      </w:r>
      <w:r>
        <w:rPr>
          <w:rFonts w:hint="eastAsia" w:ascii="宋体" w:hAnsi="宋体" w:cs="宋体"/>
          <w:color w:val="000000"/>
          <w:kern w:val="0"/>
          <w:sz w:val="24"/>
        </w:rPr>
        <w:t>提供 2022 年 1 月 1 日（以合同签订日期或中标通知书上的日期为准）至投标截止日类似项目业绩，需提供中标通知书或成交通知书、合同、交接单或结算单、发票。</w:t>
      </w:r>
      <w:r>
        <w:rPr>
          <w:rFonts w:hint="eastAsia" w:ascii="仿宋_GB2312" w:hAnsi="仿宋" w:eastAsia="仿宋_GB2312" w:cs="仿宋_GB2312"/>
          <w:b/>
          <w:sz w:val="24"/>
        </w:rPr>
        <w:t>）</w:t>
      </w:r>
    </w:p>
    <w:p w14:paraId="567EBF4D">
      <w:pPr>
        <w:snapToGrid w:val="0"/>
        <w:spacing w:line="360" w:lineRule="auto"/>
        <w:ind w:firstLine="4935" w:firstLineChars="2350"/>
        <w:rPr>
          <w:rFonts w:hAnsi="宋体"/>
          <w:color w:val="000000"/>
          <w:szCs w:val="21"/>
        </w:rPr>
      </w:pPr>
    </w:p>
    <w:p w14:paraId="1CE7C907">
      <w:pPr>
        <w:snapToGrid w:val="0"/>
        <w:spacing w:line="360" w:lineRule="auto"/>
        <w:ind w:left="4410" w:leftChars="2100" w:firstLine="5670" w:firstLineChars="2700"/>
        <w:rPr>
          <w:rFonts w:hAnsi="宋体"/>
          <w:color w:val="000000"/>
          <w:szCs w:val="21"/>
        </w:rPr>
      </w:pPr>
    </w:p>
    <w:p w14:paraId="20AB6CD5">
      <w:pPr>
        <w:snapToGrid w:val="0"/>
        <w:spacing w:line="360" w:lineRule="auto"/>
        <w:ind w:left="4410" w:leftChars="2100" w:firstLine="5670" w:firstLineChars="2700"/>
        <w:rPr>
          <w:rFonts w:hAnsi="宋体"/>
          <w:color w:val="000000"/>
          <w:szCs w:val="21"/>
        </w:rPr>
      </w:pPr>
    </w:p>
    <w:p w14:paraId="43D5279B">
      <w:pPr>
        <w:autoSpaceDE w:val="0"/>
        <w:autoSpaceDN w:val="0"/>
        <w:spacing w:line="360" w:lineRule="auto"/>
        <w:ind w:left="4365" w:leftChars="1850" w:hanging="480" w:hangingChars="200"/>
        <w:rPr>
          <w:rFonts w:ascii="宋体" w:hAnsi="宋体" w:cs="宋体"/>
          <w:kern w:val="0"/>
          <w:sz w:val="24"/>
        </w:rPr>
      </w:pPr>
    </w:p>
    <w:p w14:paraId="256FA17F">
      <w:pPr>
        <w:autoSpaceDE w:val="0"/>
        <w:autoSpaceDN w:val="0"/>
        <w:spacing w:line="360" w:lineRule="auto"/>
        <w:ind w:left="4365" w:leftChars="1850" w:hanging="480" w:hangingChars="200"/>
        <w:rPr>
          <w:rFonts w:ascii="宋体" w:hAnsi="宋体" w:cs="宋体"/>
          <w:kern w:val="0"/>
          <w:sz w:val="24"/>
        </w:rPr>
      </w:pPr>
    </w:p>
    <w:p w14:paraId="0056BE0D">
      <w:pPr>
        <w:autoSpaceDE w:val="0"/>
        <w:autoSpaceDN w:val="0"/>
        <w:spacing w:line="360" w:lineRule="auto"/>
        <w:ind w:left="4365" w:leftChars="1850" w:hanging="480" w:hangingChars="200"/>
        <w:rPr>
          <w:rFonts w:ascii="宋体" w:hAnsi="宋体" w:cs="宋体"/>
          <w:kern w:val="0"/>
          <w:sz w:val="24"/>
        </w:rPr>
      </w:pPr>
    </w:p>
    <w:p w14:paraId="66963FB1">
      <w:pPr>
        <w:autoSpaceDE w:val="0"/>
        <w:autoSpaceDN w:val="0"/>
        <w:spacing w:line="360" w:lineRule="auto"/>
        <w:ind w:left="4365" w:leftChars="1850" w:hanging="480" w:hangingChars="200"/>
        <w:rPr>
          <w:rFonts w:ascii="宋体" w:hAnsi="宋体" w:cs="宋体"/>
          <w:kern w:val="0"/>
          <w:sz w:val="24"/>
        </w:rPr>
      </w:pPr>
    </w:p>
    <w:p w14:paraId="76DBB48F">
      <w:pPr>
        <w:autoSpaceDE w:val="0"/>
        <w:autoSpaceDN w:val="0"/>
        <w:spacing w:line="360" w:lineRule="auto"/>
        <w:ind w:left="4365" w:leftChars="1850" w:hanging="480" w:hangingChars="200"/>
        <w:rPr>
          <w:rFonts w:ascii="宋体" w:hAnsi="宋体" w:cs="宋体"/>
          <w:kern w:val="0"/>
          <w:sz w:val="24"/>
        </w:rPr>
      </w:pPr>
    </w:p>
    <w:p w14:paraId="30BF781E">
      <w:pPr>
        <w:autoSpaceDE w:val="0"/>
        <w:autoSpaceDN w:val="0"/>
        <w:spacing w:line="360" w:lineRule="auto"/>
        <w:ind w:left="4365" w:leftChars="1850" w:hanging="480" w:hangingChars="200"/>
        <w:rPr>
          <w:rFonts w:ascii="宋体" w:hAnsi="宋体" w:cs="宋体"/>
          <w:kern w:val="0"/>
          <w:sz w:val="24"/>
        </w:rPr>
      </w:pPr>
    </w:p>
    <w:p w14:paraId="0D48E4DE">
      <w:pPr>
        <w:autoSpaceDE w:val="0"/>
        <w:autoSpaceDN w:val="0"/>
        <w:spacing w:line="360" w:lineRule="auto"/>
        <w:ind w:left="4365" w:leftChars="1850" w:hanging="480" w:hangingChars="200"/>
        <w:rPr>
          <w:rFonts w:ascii="宋体" w:hAnsi="宋体" w:cs="宋体"/>
          <w:kern w:val="0"/>
          <w:sz w:val="24"/>
        </w:rPr>
      </w:pPr>
    </w:p>
    <w:p w14:paraId="54E2763A">
      <w:pPr>
        <w:autoSpaceDE w:val="0"/>
        <w:autoSpaceDN w:val="0"/>
        <w:spacing w:line="360" w:lineRule="auto"/>
        <w:ind w:left="4365" w:leftChars="1850" w:hanging="480" w:hangingChars="200"/>
        <w:rPr>
          <w:rFonts w:ascii="宋体" w:hAnsi="宋体" w:cs="宋体"/>
          <w:kern w:val="0"/>
          <w:sz w:val="24"/>
        </w:rPr>
      </w:pPr>
    </w:p>
    <w:p w14:paraId="3BDC4E16">
      <w:pPr>
        <w:autoSpaceDE w:val="0"/>
        <w:autoSpaceDN w:val="0"/>
        <w:spacing w:line="360" w:lineRule="auto"/>
        <w:ind w:left="4365" w:leftChars="1850" w:hanging="480" w:hangingChars="200"/>
        <w:rPr>
          <w:rFonts w:ascii="宋体" w:hAnsi="宋体" w:cs="宋体"/>
          <w:kern w:val="0"/>
          <w:sz w:val="24"/>
        </w:rPr>
      </w:pPr>
    </w:p>
    <w:p w14:paraId="33666979">
      <w:pPr>
        <w:autoSpaceDE w:val="0"/>
        <w:autoSpaceDN w:val="0"/>
        <w:spacing w:line="360" w:lineRule="auto"/>
        <w:ind w:left="4365" w:leftChars="1850" w:hanging="480" w:hangingChars="200"/>
        <w:rPr>
          <w:rFonts w:ascii="宋体" w:hAnsi="宋体" w:cs="宋体"/>
          <w:kern w:val="0"/>
          <w:sz w:val="24"/>
        </w:rPr>
      </w:pPr>
    </w:p>
    <w:p w14:paraId="41916CA6">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34A2D325">
      <w:pPr>
        <w:widowControl/>
        <w:ind w:firstLine="3840" w:firstLineChars="1600"/>
        <w:jc w:val="left"/>
        <w:rPr>
          <w:rFonts w:ascii="宋体" w:hAnsi="宋体" w:cs="宋体"/>
          <w:kern w:val="0"/>
          <w:sz w:val="24"/>
        </w:rPr>
      </w:pPr>
      <w:r>
        <w:rPr>
          <w:rFonts w:hint="eastAsia" w:ascii="宋体" w:hAnsi="宋体" w:cs="宋体"/>
          <w:color w:val="000000"/>
          <w:kern w:val="0"/>
          <w:sz w:val="24"/>
        </w:rPr>
        <w:t>法定代表人（或其授权代表）（签字或盖章）：</w:t>
      </w:r>
    </w:p>
    <w:p w14:paraId="42625A10">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3A84EAA4">
      <w:pPr>
        <w:pStyle w:val="37"/>
      </w:pPr>
    </w:p>
    <w:p w14:paraId="3FF70571">
      <w:pPr>
        <w:pStyle w:val="9"/>
      </w:pPr>
    </w:p>
    <w:p w14:paraId="60591C02">
      <w:pPr>
        <w:pStyle w:val="13"/>
      </w:pPr>
    </w:p>
    <w:p w14:paraId="4C56854D">
      <w:pPr>
        <w:snapToGrid w:val="0"/>
        <w:spacing w:beforeLines="50" w:after="50"/>
        <w:ind w:firstLine="602" w:firstLineChars="200"/>
        <w:jc w:val="center"/>
        <w:rPr>
          <w:rFonts w:ascii="仿宋" w:hAnsi="仿宋" w:eastAsia="仿宋" w:cs="仿宋_GB2312"/>
          <w:b/>
          <w:sz w:val="30"/>
          <w:szCs w:val="30"/>
        </w:rPr>
      </w:pPr>
      <w:r>
        <w:rPr>
          <w:rFonts w:hint="eastAsia" w:ascii="仿宋" w:hAnsi="仿宋" w:eastAsia="仿宋" w:cs="仿宋_GB2312"/>
          <w:b/>
          <w:sz w:val="30"/>
          <w:szCs w:val="30"/>
        </w:rPr>
        <w:t>五、人员配置（格式自拟）</w:t>
      </w:r>
    </w:p>
    <w:p w14:paraId="2EE1B6AA">
      <w:pPr>
        <w:pStyle w:val="4"/>
      </w:pPr>
    </w:p>
    <w:p w14:paraId="5D54FC4B"/>
    <w:p w14:paraId="3DDB43E8">
      <w:pPr>
        <w:pStyle w:val="4"/>
      </w:pPr>
    </w:p>
    <w:p w14:paraId="18B376F5"/>
    <w:p w14:paraId="3663D5ED"/>
    <w:p w14:paraId="6B6DC659">
      <w:pPr>
        <w:pStyle w:val="4"/>
      </w:pPr>
    </w:p>
    <w:p w14:paraId="7AA51477"/>
    <w:p w14:paraId="4D0011F3">
      <w:pPr>
        <w:pStyle w:val="4"/>
      </w:pPr>
    </w:p>
    <w:p w14:paraId="74F2FBB6">
      <w:pPr>
        <w:pStyle w:val="40"/>
        <w:spacing w:line="360" w:lineRule="auto"/>
        <w:ind w:firstLine="602"/>
        <w:jc w:val="center"/>
        <w:rPr>
          <w:rFonts w:ascii="仿宋" w:eastAsia="仿宋" w:cs="仿宋_GB2312"/>
          <w:b/>
          <w:sz w:val="30"/>
          <w:szCs w:val="30"/>
        </w:rPr>
      </w:pPr>
    </w:p>
    <w:p w14:paraId="71645DB0">
      <w:pPr>
        <w:pStyle w:val="40"/>
        <w:spacing w:line="360" w:lineRule="auto"/>
        <w:ind w:firstLine="602"/>
        <w:jc w:val="center"/>
        <w:rPr>
          <w:rFonts w:ascii="仿宋" w:eastAsia="仿宋" w:cs="仿宋_GB2312"/>
          <w:b/>
          <w:sz w:val="30"/>
          <w:szCs w:val="30"/>
        </w:rPr>
      </w:pPr>
    </w:p>
    <w:p w14:paraId="68FCB844">
      <w:pPr>
        <w:pStyle w:val="40"/>
        <w:spacing w:line="360" w:lineRule="auto"/>
        <w:ind w:firstLine="602"/>
        <w:jc w:val="center"/>
        <w:rPr>
          <w:rFonts w:ascii="仿宋" w:eastAsia="仿宋" w:cs="仿宋_GB2312"/>
          <w:b/>
          <w:sz w:val="30"/>
          <w:szCs w:val="30"/>
        </w:rPr>
      </w:pPr>
    </w:p>
    <w:p w14:paraId="2DB7F368">
      <w:pPr>
        <w:pStyle w:val="40"/>
        <w:spacing w:line="360" w:lineRule="auto"/>
        <w:ind w:firstLine="602"/>
        <w:jc w:val="center"/>
        <w:rPr>
          <w:rFonts w:ascii="仿宋" w:eastAsia="仿宋" w:cs="仿宋_GB2312"/>
          <w:b/>
          <w:sz w:val="30"/>
          <w:szCs w:val="30"/>
        </w:rPr>
      </w:pPr>
    </w:p>
    <w:p w14:paraId="792BCDE0">
      <w:pPr>
        <w:pStyle w:val="40"/>
        <w:spacing w:line="360" w:lineRule="auto"/>
        <w:ind w:firstLine="602"/>
        <w:jc w:val="center"/>
        <w:rPr>
          <w:rFonts w:ascii="仿宋" w:eastAsia="仿宋" w:cs="仿宋_GB2312"/>
          <w:b/>
          <w:sz w:val="30"/>
          <w:szCs w:val="30"/>
        </w:rPr>
      </w:pPr>
    </w:p>
    <w:p w14:paraId="2D38A97A">
      <w:pPr>
        <w:pStyle w:val="40"/>
        <w:spacing w:line="360" w:lineRule="auto"/>
        <w:ind w:firstLine="602"/>
        <w:jc w:val="center"/>
        <w:rPr>
          <w:rFonts w:ascii="仿宋" w:eastAsia="仿宋" w:cs="仿宋_GB2312"/>
          <w:b/>
          <w:sz w:val="30"/>
          <w:szCs w:val="30"/>
        </w:rPr>
      </w:pPr>
    </w:p>
    <w:p w14:paraId="32F33CC1">
      <w:pPr>
        <w:pStyle w:val="40"/>
        <w:spacing w:line="360" w:lineRule="auto"/>
        <w:ind w:firstLine="602"/>
        <w:jc w:val="center"/>
        <w:rPr>
          <w:rFonts w:ascii="仿宋" w:eastAsia="仿宋" w:cs="仿宋_GB2312"/>
          <w:b/>
          <w:sz w:val="30"/>
          <w:szCs w:val="30"/>
        </w:rPr>
      </w:pPr>
    </w:p>
    <w:p w14:paraId="51E154C7">
      <w:pPr>
        <w:pStyle w:val="40"/>
        <w:spacing w:line="360" w:lineRule="auto"/>
        <w:ind w:firstLine="602"/>
        <w:jc w:val="center"/>
        <w:rPr>
          <w:rFonts w:ascii="仿宋" w:eastAsia="仿宋" w:cs="仿宋_GB2312"/>
          <w:b/>
          <w:sz w:val="30"/>
          <w:szCs w:val="30"/>
        </w:rPr>
      </w:pPr>
    </w:p>
    <w:p w14:paraId="62920D70">
      <w:pPr>
        <w:pStyle w:val="40"/>
        <w:spacing w:line="360" w:lineRule="auto"/>
        <w:ind w:firstLine="602"/>
        <w:jc w:val="center"/>
        <w:rPr>
          <w:rFonts w:ascii="仿宋" w:eastAsia="仿宋" w:cs="仿宋_GB2312"/>
          <w:b/>
          <w:sz w:val="30"/>
          <w:szCs w:val="30"/>
        </w:rPr>
      </w:pPr>
    </w:p>
    <w:p w14:paraId="45921117">
      <w:pPr>
        <w:pStyle w:val="40"/>
        <w:spacing w:line="360" w:lineRule="auto"/>
        <w:ind w:firstLine="602"/>
        <w:jc w:val="center"/>
        <w:rPr>
          <w:rFonts w:ascii="仿宋" w:eastAsia="仿宋" w:cs="仿宋_GB2312"/>
          <w:b/>
          <w:sz w:val="30"/>
          <w:szCs w:val="30"/>
        </w:rPr>
      </w:pPr>
    </w:p>
    <w:p w14:paraId="2B20C87D">
      <w:pPr>
        <w:pStyle w:val="40"/>
        <w:spacing w:line="360" w:lineRule="auto"/>
        <w:ind w:firstLine="602"/>
        <w:jc w:val="center"/>
        <w:rPr>
          <w:rFonts w:ascii="仿宋" w:eastAsia="仿宋" w:cs="仿宋_GB2312"/>
          <w:b/>
          <w:sz w:val="30"/>
          <w:szCs w:val="30"/>
        </w:rPr>
      </w:pPr>
    </w:p>
    <w:p w14:paraId="1767C715">
      <w:pPr>
        <w:pStyle w:val="40"/>
        <w:spacing w:line="360" w:lineRule="auto"/>
        <w:ind w:firstLine="602"/>
        <w:jc w:val="center"/>
        <w:rPr>
          <w:rFonts w:ascii="仿宋" w:eastAsia="仿宋" w:cs="仿宋_GB2312"/>
          <w:b/>
          <w:sz w:val="30"/>
          <w:szCs w:val="30"/>
        </w:rPr>
      </w:pPr>
    </w:p>
    <w:p w14:paraId="68BADE88">
      <w:pPr>
        <w:pStyle w:val="40"/>
        <w:spacing w:line="360" w:lineRule="auto"/>
        <w:ind w:firstLine="602"/>
        <w:jc w:val="center"/>
        <w:rPr>
          <w:rFonts w:ascii="仿宋" w:eastAsia="仿宋" w:cs="仿宋_GB2312"/>
          <w:b/>
          <w:sz w:val="30"/>
          <w:szCs w:val="30"/>
        </w:rPr>
      </w:pPr>
    </w:p>
    <w:p w14:paraId="2CCDCCCB">
      <w:pPr>
        <w:pStyle w:val="40"/>
        <w:spacing w:line="360" w:lineRule="auto"/>
        <w:ind w:firstLine="602"/>
        <w:jc w:val="center"/>
        <w:rPr>
          <w:rFonts w:ascii="仿宋" w:eastAsia="仿宋" w:cs="仿宋_GB2312"/>
          <w:b/>
          <w:sz w:val="30"/>
          <w:szCs w:val="30"/>
        </w:rPr>
      </w:pPr>
    </w:p>
    <w:p w14:paraId="259BD47D">
      <w:pPr>
        <w:pStyle w:val="40"/>
        <w:spacing w:line="360" w:lineRule="auto"/>
        <w:ind w:firstLine="602"/>
        <w:jc w:val="center"/>
        <w:rPr>
          <w:rFonts w:ascii="仿宋" w:eastAsia="仿宋" w:cs="仿宋_GB2312"/>
          <w:b/>
          <w:sz w:val="30"/>
          <w:szCs w:val="30"/>
        </w:rPr>
      </w:pPr>
    </w:p>
    <w:p w14:paraId="24C471CD">
      <w:pPr>
        <w:pStyle w:val="40"/>
        <w:spacing w:line="360" w:lineRule="auto"/>
        <w:ind w:firstLine="602"/>
        <w:jc w:val="center"/>
        <w:rPr>
          <w:rFonts w:ascii="仿宋" w:eastAsia="仿宋" w:cs="仿宋_GB2312"/>
          <w:b/>
          <w:sz w:val="30"/>
          <w:szCs w:val="30"/>
        </w:rPr>
      </w:pPr>
    </w:p>
    <w:p w14:paraId="412D313F">
      <w:pPr>
        <w:pStyle w:val="40"/>
        <w:spacing w:line="360" w:lineRule="auto"/>
        <w:ind w:firstLine="602"/>
        <w:jc w:val="center"/>
        <w:rPr>
          <w:rFonts w:ascii="仿宋" w:eastAsia="仿宋" w:cs="仿宋_GB2312"/>
          <w:b/>
          <w:sz w:val="30"/>
          <w:szCs w:val="30"/>
        </w:rPr>
      </w:pPr>
    </w:p>
    <w:p w14:paraId="2922A737">
      <w:pPr>
        <w:pStyle w:val="40"/>
        <w:spacing w:line="360" w:lineRule="auto"/>
        <w:ind w:firstLine="602"/>
        <w:jc w:val="center"/>
        <w:rPr>
          <w:rFonts w:ascii="仿宋" w:eastAsia="仿宋" w:cs="仿宋_GB2312"/>
          <w:b/>
          <w:sz w:val="30"/>
          <w:szCs w:val="30"/>
        </w:rPr>
      </w:pPr>
    </w:p>
    <w:p w14:paraId="02F5FBEE">
      <w:pPr>
        <w:pStyle w:val="40"/>
        <w:spacing w:line="360" w:lineRule="auto"/>
        <w:ind w:firstLine="602"/>
        <w:jc w:val="center"/>
        <w:rPr>
          <w:rFonts w:ascii="仿宋" w:eastAsia="仿宋" w:cs="仿宋_GB2312"/>
          <w:b/>
          <w:sz w:val="30"/>
          <w:szCs w:val="30"/>
        </w:rPr>
      </w:pPr>
    </w:p>
    <w:p w14:paraId="1722F4DF">
      <w:pPr>
        <w:pStyle w:val="40"/>
        <w:spacing w:line="360" w:lineRule="auto"/>
        <w:ind w:firstLine="602"/>
        <w:jc w:val="center"/>
        <w:rPr>
          <w:rFonts w:ascii="仿宋" w:eastAsia="仿宋" w:cs="仿宋_GB2312"/>
          <w:b/>
          <w:sz w:val="30"/>
          <w:szCs w:val="30"/>
        </w:rPr>
      </w:pPr>
    </w:p>
    <w:p w14:paraId="234AF0B3">
      <w:pPr>
        <w:pStyle w:val="40"/>
        <w:spacing w:line="360" w:lineRule="auto"/>
        <w:ind w:firstLine="602"/>
        <w:jc w:val="center"/>
        <w:rPr>
          <w:rFonts w:ascii="仿宋" w:eastAsia="仿宋" w:cs="仿宋_GB2312"/>
          <w:b/>
          <w:sz w:val="30"/>
          <w:szCs w:val="30"/>
        </w:rPr>
      </w:pPr>
    </w:p>
    <w:p w14:paraId="3C39B5B7">
      <w:pPr>
        <w:pStyle w:val="40"/>
        <w:spacing w:line="360" w:lineRule="auto"/>
        <w:ind w:firstLine="602"/>
        <w:jc w:val="center"/>
        <w:sectPr>
          <w:headerReference r:id="rId7" w:type="default"/>
          <w:footerReference r:id="rId8" w:type="default"/>
          <w:pgSz w:w="11910" w:h="16840"/>
          <w:pgMar w:top="1340" w:right="1500" w:bottom="280" w:left="1680" w:header="720" w:footer="720" w:gutter="0"/>
          <w:cols w:space="720" w:num="1"/>
        </w:sectPr>
      </w:pPr>
      <w:r>
        <w:rPr>
          <w:rFonts w:hint="eastAsia" w:ascii="仿宋" w:eastAsia="仿宋" w:cs="仿宋_GB2312"/>
          <w:b/>
          <w:sz w:val="30"/>
          <w:szCs w:val="30"/>
        </w:rPr>
        <w:t>六、供应商认为需要提供的其他有关资料</w:t>
      </w:r>
    </w:p>
    <w:p w14:paraId="7EB92CFF">
      <w:pPr>
        <w:pStyle w:val="40"/>
        <w:spacing w:line="360" w:lineRule="auto"/>
        <w:ind w:firstLine="602"/>
        <w:jc w:val="center"/>
        <w:rPr>
          <w:rFonts w:ascii="仿宋" w:eastAsia="仿宋" w:cs="仿宋_GB2312"/>
          <w:b/>
          <w:sz w:val="36"/>
          <w:szCs w:val="20"/>
        </w:rPr>
      </w:pPr>
      <w:bookmarkStart w:id="137" w:name="_Toc18567"/>
      <w:r>
        <w:rPr>
          <w:rFonts w:hint="eastAsia" w:ascii="仿宋" w:eastAsia="仿宋" w:cs="仿宋_GB2312"/>
          <w:b/>
          <w:sz w:val="30"/>
          <w:szCs w:val="30"/>
        </w:rPr>
        <w:t>七、 技术文件格式</w:t>
      </w:r>
      <w:bookmarkEnd w:id="137"/>
      <w:r>
        <w:rPr>
          <w:rFonts w:hint="eastAsia" w:ascii="仿宋" w:eastAsia="仿宋" w:cs="仿宋_GB2312"/>
          <w:b/>
          <w:sz w:val="30"/>
          <w:szCs w:val="30"/>
        </w:rPr>
        <w:t>（格式自拟）</w:t>
      </w:r>
      <w:bookmarkStart w:id="138" w:name="_Toc31723070"/>
      <w:bookmarkEnd w:id="138"/>
      <w:bookmarkStart w:id="139" w:name="_Toc44229899"/>
      <w:bookmarkEnd w:id="139"/>
      <w:bookmarkStart w:id="140" w:name="_Toc31728084"/>
      <w:bookmarkEnd w:id="140"/>
      <w:bookmarkStart w:id="141" w:name="_Toc35611516"/>
      <w:bookmarkEnd w:id="141"/>
      <w:bookmarkStart w:id="142" w:name="_Toc35611438"/>
      <w:bookmarkEnd w:id="142"/>
    </w:p>
    <w:sectPr>
      <w:footerReference r:id="rId10" w:type="first"/>
      <w:footerReference r:id="rId9"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2CBDDDC-46DD-409C-BBD5-322778455CC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9E83D8DE-965C-4361-B688-4183ADD843F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DFAB620-2FCD-45CC-85C1-A211B4B0610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F51063DF-D172-4676-937F-92EEFFF9B193}"/>
  </w:font>
  <w:font w:name="仿宋">
    <w:panose1 w:val="02010609060101010101"/>
    <w:charset w:val="86"/>
    <w:family w:val="modern"/>
    <w:pitch w:val="default"/>
    <w:sig w:usb0="800002BF" w:usb1="38CF7CFA" w:usb2="00000016" w:usb3="00000000" w:csb0="00040001" w:csb1="00000000"/>
    <w:embedRegular r:id="rId5" w:fontKey="{758BA963-30B7-46B1-9366-796E54021A6F}"/>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6" w:fontKey="{A7E0F368-B0E2-4AD1-A762-314F25C01AD4}"/>
  </w:font>
  <w:font w:name="新宋体">
    <w:panose1 w:val="02010609030101010101"/>
    <w:charset w:val="86"/>
    <w:family w:val="modern"/>
    <w:pitch w:val="default"/>
    <w:sig w:usb0="00000203" w:usb1="288F0000" w:usb2="00000006" w:usb3="00000000" w:csb0="00040001" w:csb1="00000000"/>
    <w:embedRegular r:id="rId7" w:fontKey="{651E74A9-1040-4785-B4C3-49B4AE24388F}"/>
  </w:font>
  <w:font w:name="金山云技术体">
    <w:panose1 w:val="00000000000000000000"/>
    <w:charset w:val="86"/>
    <w:family w:val="auto"/>
    <w:pitch w:val="default"/>
    <w:sig w:usb0="00000003" w:usb1="08010000" w:usb2="00000000" w:usb3="00000000" w:csb0="00040001" w:csb1="00000000"/>
    <w:embedRegular r:id="rId8" w:fontKey="{AE626D59-9820-477B-8502-74D25B4620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BF16">
    <w:pPr>
      <w:pStyle w:val="17"/>
      <w:tabs>
        <w:tab w:val="left" w:pos="386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903B3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3F903B3B">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FF86">
    <w:pPr>
      <w:pStyle w:val="17"/>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0C7BB5">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190C7BB5">
                    <w:pPr>
                      <w:pStyle w:val="1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4ABF">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A7A791">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06A7A791">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ABA4">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D71BBE">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1BD71BBE">
                    <w:pPr>
                      <w:pStyle w:val="1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69E4C">
    <w:pPr>
      <w:pStyle w:val="1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7469D0">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5D7469D0">
                    <w:pPr>
                      <w:pStyle w:val="17"/>
                    </w:pPr>
                    <w:r>
                      <w:fldChar w:fldCharType="begin"/>
                    </w:r>
                    <w:r>
                      <w:instrText xml:space="preserve"> PAGE  \* MERGEFORMAT </w:instrText>
                    </w:r>
                    <w:r>
                      <w:fldChar w:fldCharType="separate"/>
                    </w:r>
                    <w:r>
                      <w:t>51</w:t>
                    </w:r>
                    <w:r>
                      <w:fldChar w:fldCharType="end"/>
                    </w:r>
                  </w:p>
                </w:txbxContent>
              </v:textbox>
            </v:shape>
          </w:pict>
        </mc:Fallback>
      </mc:AlternateContent>
    </w:r>
  </w:p>
  <w:p w14:paraId="22CB63EB">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1D16">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8C1B83F">
                          <w:pPr>
                            <w:pStyle w:val="17"/>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14:paraId="18C1B83F">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7B97F">
    <w:pPr>
      <w:spacing w:line="20"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FD3E">
    <w:pPr>
      <w:spacing w:line="20"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7D468"/>
    <w:multiLevelType w:val="singleLevel"/>
    <w:tmpl w:val="DD97D468"/>
    <w:lvl w:ilvl="0" w:tentative="0">
      <w:start w:val="1"/>
      <w:numFmt w:val="decimal"/>
      <w:pStyle w:val="7"/>
      <w:lvlText w:val="%1."/>
      <w:lvlJc w:val="left"/>
      <w:pPr>
        <w:tabs>
          <w:tab w:val="left" w:pos="360"/>
        </w:tabs>
        <w:ind w:left="360" w:hanging="360"/>
      </w:pPr>
    </w:lvl>
  </w:abstractNum>
  <w:abstractNum w:abstractNumId="1">
    <w:nsid w:val="05C505B4"/>
    <w:multiLevelType w:val="multilevel"/>
    <w:tmpl w:val="05C505B4"/>
    <w:lvl w:ilvl="0" w:tentative="0">
      <w:start w:val="1"/>
      <w:numFmt w:val="decimal"/>
      <w:lvlText w:val="%1)"/>
      <w:lvlJc w:val="left"/>
      <w:pPr>
        <w:tabs>
          <w:tab w:val="left" w:pos="1680"/>
        </w:tabs>
        <w:ind w:left="168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5911397"/>
    <w:multiLevelType w:val="multilevel"/>
    <w:tmpl w:val="75911397"/>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zZlM2M5ZTEyMmFhOTkxMzljOTljNjk0MGVhODgifQ=="/>
  </w:docVars>
  <w:rsids>
    <w:rsidRoot w:val="2534657B"/>
    <w:rsid w:val="00006425"/>
    <w:rsid w:val="000E1535"/>
    <w:rsid w:val="00104488"/>
    <w:rsid w:val="00187FAD"/>
    <w:rsid w:val="002D50AB"/>
    <w:rsid w:val="002E1CE1"/>
    <w:rsid w:val="00344D34"/>
    <w:rsid w:val="003C2668"/>
    <w:rsid w:val="003E55F3"/>
    <w:rsid w:val="003F5AA0"/>
    <w:rsid w:val="004221EC"/>
    <w:rsid w:val="00581512"/>
    <w:rsid w:val="005B7B16"/>
    <w:rsid w:val="006E2C23"/>
    <w:rsid w:val="007675A7"/>
    <w:rsid w:val="00896B2F"/>
    <w:rsid w:val="00956B54"/>
    <w:rsid w:val="009E7E44"/>
    <w:rsid w:val="00AB3728"/>
    <w:rsid w:val="00BB75C0"/>
    <w:rsid w:val="00BD24BE"/>
    <w:rsid w:val="00CA613C"/>
    <w:rsid w:val="00DB30E9"/>
    <w:rsid w:val="00E52D20"/>
    <w:rsid w:val="00EB022C"/>
    <w:rsid w:val="00F02F4F"/>
    <w:rsid w:val="00F7709E"/>
    <w:rsid w:val="00FF2053"/>
    <w:rsid w:val="00FF2A0A"/>
    <w:rsid w:val="013435B5"/>
    <w:rsid w:val="01883901"/>
    <w:rsid w:val="020F44C1"/>
    <w:rsid w:val="02A4476B"/>
    <w:rsid w:val="031D77AF"/>
    <w:rsid w:val="03215DBB"/>
    <w:rsid w:val="03597303"/>
    <w:rsid w:val="035B751F"/>
    <w:rsid w:val="04123E86"/>
    <w:rsid w:val="049A4077"/>
    <w:rsid w:val="04EF66A6"/>
    <w:rsid w:val="057448C8"/>
    <w:rsid w:val="062A4F87"/>
    <w:rsid w:val="06D51397"/>
    <w:rsid w:val="07462294"/>
    <w:rsid w:val="07703521"/>
    <w:rsid w:val="07852DBD"/>
    <w:rsid w:val="07D16002"/>
    <w:rsid w:val="07E55609"/>
    <w:rsid w:val="0802440D"/>
    <w:rsid w:val="087B4F29"/>
    <w:rsid w:val="096E7880"/>
    <w:rsid w:val="097E6876"/>
    <w:rsid w:val="09A6701A"/>
    <w:rsid w:val="0A0F1013"/>
    <w:rsid w:val="0B05511E"/>
    <w:rsid w:val="0B9F5091"/>
    <w:rsid w:val="0C104906"/>
    <w:rsid w:val="0C405504"/>
    <w:rsid w:val="0C6E319F"/>
    <w:rsid w:val="0C8E2713"/>
    <w:rsid w:val="0CBE467B"/>
    <w:rsid w:val="0D026C5D"/>
    <w:rsid w:val="0D6738EC"/>
    <w:rsid w:val="0DFA4ADA"/>
    <w:rsid w:val="0F476BAA"/>
    <w:rsid w:val="0F933B9D"/>
    <w:rsid w:val="0F9A2CF0"/>
    <w:rsid w:val="0FCE2E27"/>
    <w:rsid w:val="10BB7EE8"/>
    <w:rsid w:val="10D26947"/>
    <w:rsid w:val="1131366D"/>
    <w:rsid w:val="115B2DE0"/>
    <w:rsid w:val="11C9430E"/>
    <w:rsid w:val="12BE1B38"/>
    <w:rsid w:val="12FB03D7"/>
    <w:rsid w:val="13713219"/>
    <w:rsid w:val="13943AE0"/>
    <w:rsid w:val="13F07810"/>
    <w:rsid w:val="14D949AB"/>
    <w:rsid w:val="14DA401C"/>
    <w:rsid w:val="14DB04C0"/>
    <w:rsid w:val="15400323"/>
    <w:rsid w:val="15845AB5"/>
    <w:rsid w:val="15FC6940"/>
    <w:rsid w:val="165F32D3"/>
    <w:rsid w:val="16BC60CF"/>
    <w:rsid w:val="16E0306A"/>
    <w:rsid w:val="16E66CA8"/>
    <w:rsid w:val="17712A16"/>
    <w:rsid w:val="17911483"/>
    <w:rsid w:val="18491BE4"/>
    <w:rsid w:val="1881498A"/>
    <w:rsid w:val="188872B9"/>
    <w:rsid w:val="18891FE1"/>
    <w:rsid w:val="188F19CC"/>
    <w:rsid w:val="19573A0C"/>
    <w:rsid w:val="1A0F6516"/>
    <w:rsid w:val="1AD0039B"/>
    <w:rsid w:val="1B0D0CA7"/>
    <w:rsid w:val="1BB76E65"/>
    <w:rsid w:val="1BBA2E73"/>
    <w:rsid w:val="1BD16179"/>
    <w:rsid w:val="1BD46DDD"/>
    <w:rsid w:val="1C255FA0"/>
    <w:rsid w:val="1D5F2BB6"/>
    <w:rsid w:val="1DAB47A7"/>
    <w:rsid w:val="1DF61EC7"/>
    <w:rsid w:val="1F026649"/>
    <w:rsid w:val="1F1D1971"/>
    <w:rsid w:val="1F3F095A"/>
    <w:rsid w:val="1FFE5062"/>
    <w:rsid w:val="21067A69"/>
    <w:rsid w:val="21AB746C"/>
    <w:rsid w:val="22B8599C"/>
    <w:rsid w:val="22B91715"/>
    <w:rsid w:val="22E97477"/>
    <w:rsid w:val="234C07DB"/>
    <w:rsid w:val="23737B15"/>
    <w:rsid w:val="24543D44"/>
    <w:rsid w:val="24BE5A3C"/>
    <w:rsid w:val="2534657B"/>
    <w:rsid w:val="25387269"/>
    <w:rsid w:val="254A0EA7"/>
    <w:rsid w:val="25916979"/>
    <w:rsid w:val="25CB59E7"/>
    <w:rsid w:val="26C756E5"/>
    <w:rsid w:val="26DE13F6"/>
    <w:rsid w:val="271E5FEA"/>
    <w:rsid w:val="274A5031"/>
    <w:rsid w:val="2764572C"/>
    <w:rsid w:val="28033B5E"/>
    <w:rsid w:val="282C4737"/>
    <w:rsid w:val="28D21782"/>
    <w:rsid w:val="29B11398"/>
    <w:rsid w:val="2A4C1771"/>
    <w:rsid w:val="2A97058D"/>
    <w:rsid w:val="2AB033FD"/>
    <w:rsid w:val="2ACB0237"/>
    <w:rsid w:val="2B4E33B0"/>
    <w:rsid w:val="2C89683B"/>
    <w:rsid w:val="2CE01D5F"/>
    <w:rsid w:val="2D2325AC"/>
    <w:rsid w:val="2D8D7A26"/>
    <w:rsid w:val="2DBF5C8E"/>
    <w:rsid w:val="2E3C1B78"/>
    <w:rsid w:val="2E5A4F43"/>
    <w:rsid w:val="2E862DF3"/>
    <w:rsid w:val="2EB217B6"/>
    <w:rsid w:val="2ECD7EAC"/>
    <w:rsid w:val="2FCD4A51"/>
    <w:rsid w:val="2FDB2CCA"/>
    <w:rsid w:val="302A5A00"/>
    <w:rsid w:val="30550CCF"/>
    <w:rsid w:val="3071362F"/>
    <w:rsid w:val="317C04DD"/>
    <w:rsid w:val="31DE4CF4"/>
    <w:rsid w:val="31E06CBE"/>
    <w:rsid w:val="31FA2C13"/>
    <w:rsid w:val="3220530C"/>
    <w:rsid w:val="329F4483"/>
    <w:rsid w:val="345C1D2D"/>
    <w:rsid w:val="350D601C"/>
    <w:rsid w:val="35C25E61"/>
    <w:rsid w:val="35D02BA5"/>
    <w:rsid w:val="35E84393"/>
    <w:rsid w:val="36343134"/>
    <w:rsid w:val="36966D50"/>
    <w:rsid w:val="36E10357"/>
    <w:rsid w:val="38402264"/>
    <w:rsid w:val="391977E3"/>
    <w:rsid w:val="39BD4AE8"/>
    <w:rsid w:val="3B32436D"/>
    <w:rsid w:val="3B4A631A"/>
    <w:rsid w:val="3B532BCB"/>
    <w:rsid w:val="3B6205DA"/>
    <w:rsid w:val="3B691AD2"/>
    <w:rsid w:val="3B9B5A04"/>
    <w:rsid w:val="3C461E13"/>
    <w:rsid w:val="3C503226"/>
    <w:rsid w:val="3C8B7826"/>
    <w:rsid w:val="3D193951"/>
    <w:rsid w:val="3D274603"/>
    <w:rsid w:val="3D6562C9"/>
    <w:rsid w:val="3D7D1865"/>
    <w:rsid w:val="3E09134A"/>
    <w:rsid w:val="3EAD617A"/>
    <w:rsid w:val="3FC45529"/>
    <w:rsid w:val="3FE756BB"/>
    <w:rsid w:val="3FF73B50"/>
    <w:rsid w:val="401F09B1"/>
    <w:rsid w:val="40DC2D46"/>
    <w:rsid w:val="40F0178D"/>
    <w:rsid w:val="41AA074E"/>
    <w:rsid w:val="41DA7286"/>
    <w:rsid w:val="41FF6CEC"/>
    <w:rsid w:val="425A2175"/>
    <w:rsid w:val="429F2D3C"/>
    <w:rsid w:val="42B37AD7"/>
    <w:rsid w:val="42D42037"/>
    <w:rsid w:val="439C29B6"/>
    <w:rsid w:val="43E20674"/>
    <w:rsid w:val="444E06A1"/>
    <w:rsid w:val="44E4666D"/>
    <w:rsid w:val="4508235C"/>
    <w:rsid w:val="45CB3BEA"/>
    <w:rsid w:val="45CF69D6"/>
    <w:rsid w:val="45ED50AE"/>
    <w:rsid w:val="46873754"/>
    <w:rsid w:val="47213261"/>
    <w:rsid w:val="474D674C"/>
    <w:rsid w:val="47507FEA"/>
    <w:rsid w:val="483671E0"/>
    <w:rsid w:val="49423962"/>
    <w:rsid w:val="494B6CBB"/>
    <w:rsid w:val="495711BC"/>
    <w:rsid w:val="497D145D"/>
    <w:rsid w:val="4A11580F"/>
    <w:rsid w:val="4A8561FD"/>
    <w:rsid w:val="4A965D14"/>
    <w:rsid w:val="4AB32D6A"/>
    <w:rsid w:val="4AD27D28"/>
    <w:rsid w:val="4ADF76BB"/>
    <w:rsid w:val="4BB24DCF"/>
    <w:rsid w:val="4BC6087B"/>
    <w:rsid w:val="4C126117"/>
    <w:rsid w:val="4C241E79"/>
    <w:rsid w:val="4C435E96"/>
    <w:rsid w:val="4C72455F"/>
    <w:rsid w:val="4C7A236C"/>
    <w:rsid w:val="4C9B5863"/>
    <w:rsid w:val="4C9E7102"/>
    <w:rsid w:val="4CA706AC"/>
    <w:rsid w:val="4CFE5DF2"/>
    <w:rsid w:val="4D1019B7"/>
    <w:rsid w:val="4D2917DE"/>
    <w:rsid w:val="4D517D09"/>
    <w:rsid w:val="4DDF478D"/>
    <w:rsid w:val="4DEB6377"/>
    <w:rsid w:val="4E9A792E"/>
    <w:rsid w:val="4F4E52A1"/>
    <w:rsid w:val="502142D2"/>
    <w:rsid w:val="506A3ECB"/>
    <w:rsid w:val="50956BDB"/>
    <w:rsid w:val="50B909AE"/>
    <w:rsid w:val="50F9524E"/>
    <w:rsid w:val="51271DBC"/>
    <w:rsid w:val="516E1798"/>
    <w:rsid w:val="518E3BE9"/>
    <w:rsid w:val="51AD6065"/>
    <w:rsid w:val="53242D01"/>
    <w:rsid w:val="53650979"/>
    <w:rsid w:val="53654E1D"/>
    <w:rsid w:val="5426635A"/>
    <w:rsid w:val="542A60DB"/>
    <w:rsid w:val="54351E34"/>
    <w:rsid w:val="544E765F"/>
    <w:rsid w:val="54C8675F"/>
    <w:rsid w:val="54CD2C7A"/>
    <w:rsid w:val="54CD4A28"/>
    <w:rsid w:val="555772F1"/>
    <w:rsid w:val="564364BE"/>
    <w:rsid w:val="56694C24"/>
    <w:rsid w:val="56A31EE4"/>
    <w:rsid w:val="56F20531"/>
    <w:rsid w:val="578C2978"/>
    <w:rsid w:val="58490869"/>
    <w:rsid w:val="589E05E9"/>
    <w:rsid w:val="59411F5F"/>
    <w:rsid w:val="598606E2"/>
    <w:rsid w:val="59D81EA5"/>
    <w:rsid w:val="5A0B0C2F"/>
    <w:rsid w:val="5A2A6479"/>
    <w:rsid w:val="5A37379F"/>
    <w:rsid w:val="5B195D28"/>
    <w:rsid w:val="5BCC567A"/>
    <w:rsid w:val="5C2018E1"/>
    <w:rsid w:val="5C423F4D"/>
    <w:rsid w:val="5C7F3888"/>
    <w:rsid w:val="5CDA4186"/>
    <w:rsid w:val="5D8F31C2"/>
    <w:rsid w:val="5DD101E9"/>
    <w:rsid w:val="5E2C27BF"/>
    <w:rsid w:val="5E40270F"/>
    <w:rsid w:val="5E4E6BDA"/>
    <w:rsid w:val="5E543AC4"/>
    <w:rsid w:val="5E5D4572"/>
    <w:rsid w:val="5E5E5C71"/>
    <w:rsid w:val="5F296CFF"/>
    <w:rsid w:val="5FD56E87"/>
    <w:rsid w:val="60315930"/>
    <w:rsid w:val="60C06BEA"/>
    <w:rsid w:val="61645671"/>
    <w:rsid w:val="61671D60"/>
    <w:rsid w:val="61797BA2"/>
    <w:rsid w:val="61B8419C"/>
    <w:rsid w:val="61DF7D72"/>
    <w:rsid w:val="620D0B5A"/>
    <w:rsid w:val="62854B94"/>
    <w:rsid w:val="62CC4571"/>
    <w:rsid w:val="62E418BB"/>
    <w:rsid w:val="632B573B"/>
    <w:rsid w:val="63D062E3"/>
    <w:rsid w:val="63DE7CE0"/>
    <w:rsid w:val="63F7386F"/>
    <w:rsid w:val="643028DD"/>
    <w:rsid w:val="64D67929"/>
    <w:rsid w:val="66303069"/>
    <w:rsid w:val="6635242D"/>
    <w:rsid w:val="66630D48"/>
    <w:rsid w:val="66BB6DD6"/>
    <w:rsid w:val="66BE636A"/>
    <w:rsid w:val="67087B42"/>
    <w:rsid w:val="673D5A3D"/>
    <w:rsid w:val="675E7762"/>
    <w:rsid w:val="67FB3202"/>
    <w:rsid w:val="68546FDC"/>
    <w:rsid w:val="68E01973"/>
    <w:rsid w:val="69157FB5"/>
    <w:rsid w:val="69286279"/>
    <w:rsid w:val="6A9529FD"/>
    <w:rsid w:val="6B6326F6"/>
    <w:rsid w:val="6B673089"/>
    <w:rsid w:val="6B714433"/>
    <w:rsid w:val="6CA9147F"/>
    <w:rsid w:val="6CFB656C"/>
    <w:rsid w:val="6CFE17CB"/>
    <w:rsid w:val="6DB70DD5"/>
    <w:rsid w:val="6DBA37B4"/>
    <w:rsid w:val="6E3A0F28"/>
    <w:rsid w:val="6E414065"/>
    <w:rsid w:val="6E430412"/>
    <w:rsid w:val="6E7C32EF"/>
    <w:rsid w:val="6E9D166C"/>
    <w:rsid w:val="6EA36ACE"/>
    <w:rsid w:val="6FEA5B3C"/>
    <w:rsid w:val="70102CC4"/>
    <w:rsid w:val="70B623BC"/>
    <w:rsid w:val="70E21403"/>
    <w:rsid w:val="71155950"/>
    <w:rsid w:val="721970A7"/>
    <w:rsid w:val="72377F2E"/>
    <w:rsid w:val="72B552CB"/>
    <w:rsid w:val="72C25048"/>
    <w:rsid w:val="7303354E"/>
    <w:rsid w:val="73221F8B"/>
    <w:rsid w:val="7352461E"/>
    <w:rsid w:val="760A7663"/>
    <w:rsid w:val="76B37ACA"/>
    <w:rsid w:val="76CF41D8"/>
    <w:rsid w:val="77E43CB3"/>
    <w:rsid w:val="77F71C38"/>
    <w:rsid w:val="77FA7151"/>
    <w:rsid w:val="78334226"/>
    <w:rsid w:val="787768D5"/>
    <w:rsid w:val="78AF2513"/>
    <w:rsid w:val="795C61F7"/>
    <w:rsid w:val="79664F44"/>
    <w:rsid w:val="7A8F6158"/>
    <w:rsid w:val="7A9419C0"/>
    <w:rsid w:val="7AC676A0"/>
    <w:rsid w:val="7B6A02AD"/>
    <w:rsid w:val="7BB03195"/>
    <w:rsid w:val="7BD227A0"/>
    <w:rsid w:val="7C66655B"/>
    <w:rsid w:val="7CC23C27"/>
    <w:rsid w:val="7D376633"/>
    <w:rsid w:val="7D9D048A"/>
    <w:rsid w:val="7D9D4AB6"/>
    <w:rsid w:val="7EEF71C5"/>
    <w:rsid w:val="7EF70770"/>
    <w:rsid w:val="7F8A5BBB"/>
    <w:rsid w:val="7FB0148C"/>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5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jc w:val="center"/>
      <w:outlineLvl w:val="3"/>
    </w:pPr>
    <w:rPr>
      <w:rFonts w:ascii="Arial" w:hAnsi="Arial" w:eastAsia="黑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pPr>
    <w:rPr>
      <w:szCs w:val="20"/>
    </w:rPr>
  </w:style>
  <w:style w:type="paragraph" w:styleId="7">
    <w:name w:val="List Number"/>
    <w:basedOn w:val="1"/>
    <w:qFormat/>
    <w:uiPriority w:val="0"/>
    <w:pPr>
      <w:numPr>
        <w:ilvl w:val="0"/>
        <w:numId w:val="1"/>
      </w:numPr>
    </w:pPr>
  </w:style>
  <w:style w:type="paragraph" w:styleId="8">
    <w:name w:val="annotation text"/>
    <w:basedOn w:val="1"/>
    <w:qFormat/>
    <w:uiPriority w:val="99"/>
    <w:pPr>
      <w:jc w:val="left"/>
    </w:pPr>
  </w:style>
  <w:style w:type="paragraph" w:styleId="9">
    <w:name w:val="Body Text"/>
    <w:basedOn w:val="1"/>
    <w:unhideWhenUsed/>
    <w:qFormat/>
    <w:uiPriority w:val="99"/>
    <w:pPr>
      <w:spacing w:after="120"/>
    </w:pPr>
  </w:style>
  <w:style w:type="paragraph" w:styleId="10">
    <w:name w:val="Body Text Indent"/>
    <w:basedOn w:val="1"/>
    <w:next w:val="11"/>
    <w:qFormat/>
    <w:uiPriority w:val="99"/>
    <w:pPr>
      <w:ind w:firstLine="830" w:firstLineChars="352"/>
    </w:pPr>
    <w:rPr>
      <w:rFonts w:ascii="仿宋_GB2312" w:eastAsia="仿宋_GB2312"/>
      <w:kern w:val="0"/>
      <w:sz w:val="32"/>
      <w:szCs w:val="20"/>
    </w:rPr>
  </w:style>
  <w:style w:type="paragraph" w:customStyle="1" w:styleId="11">
    <w:name w:val="Default"/>
    <w:next w:val="12"/>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2">
    <w:name w:val="大标题"/>
    <w:basedOn w:val="1"/>
    <w:next w:val="13"/>
    <w:qFormat/>
    <w:uiPriority w:val="0"/>
    <w:pPr>
      <w:jc w:val="center"/>
    </w:pPr>
    <w:rPr>
      <w:rFonts w:ascii="Arial" w:hAnsi="Arial"/>
      <w:b/>
      <w:sz w:val="28"/>
    </w:rPr>
  </w:style>
  <w:style w:type="paragraph" w:styleId="13">
    <w:name w:val="Body Text First Indent 2"/>
    <w:basedOn w:val="10"/>
    <w:next w:val="1"/>
    <w:unhideWhenUsed/>
    <w:qFormat/>
    <w:uiPriority w:val="99"/>
    <w:pPr>
      <w:spacing w:after="120"/>
      <w:ind w:left="420" w:leftChars="200" w:firstLine="420" w:firstLineChars="200"/>
    </w:pPr>
    <w:rPr>
      <w:rFonts w:ascii="Times New Roman" w:eastAsia="宋体"/>
      <w:kern w:val="2"/>
      <w:sz w:val="21"/>
      <w:szCs w:val="24"/>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qFormat/>
    <w:uiPriority w:val="0"/>
    <w:rPr>
      <w:rFonts w:ascii="宋体" w:hAnsi="Courier New"/>
      <w:kern w:val="0"/>
      <w:sz w:val="20"/>
      <w:szCs w:val="21"/>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style>
  <w:style w:type="paragraph" w:styleId="20">
    <w:name w:val="List"/>
    <w:basedOn w:val="1"/>
    <w:unhideWhenUsed/>
    <w:qFormat/>
    <w:uiPriority w:val="99"/>
    <w:pPr>
      <w:ind w:left="200" w:hanging="200" w:hangingChars="200"/>
      <w:contextualSpacing/>
    </w:p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qFormat/>
    <w:uiPriority w:val="0"/>
  </w:style>
  <w:style w:type="paragraph" w:styleId="23">
    <w:name w:val="Body Text First Indent"/>
    <w:basedOn w:val="24"/>
    <w:qFormat/>
    <w:uiPriority w:val="0"/>
    <w:pPr>
      <w:ind w:firstLine="420" w:firstLineChars="100"/>
    </w:pPr>
  </w:style>
  <w:style w:type="paragraph" w:customStyle="1" w:styleId="24">
    <w:name w:val="正文文本_0"/>
    <w:basedOn w:val="25"/>
    <w:semiHidden/>
    <w:qFormat/>
    <w:uiPriority w:val="0"/>
    <w:pPr>
      <w:spacing w:before="100" w:beforeAutospacing="1" w:after="120"/>
    </w:pPr>
    <w:rPr>
      <w:szCs w:val="21"/>
    </w:rPr>
  </w:style>
  <w:style w:type="paragraph" w:customStyle="1" w:styleId="25">
    <w:name w:val="正文_1_0"/>
    <w:basedOn w:val="26"/>
    <w:next w:val="28"/>
    <w:qFormat/>
    <w:uiPriority w:val="0"/>
    <w:rPr>
      <w:rFonts w:ascii="Calibri" w:hAnsi="Calibri"/>
      <w:szCs w:val="22"/>
    </w:rPr>
  </w:style>
  <w:style w:type="paragraph" w:customStyle="1" w:styleId="26">
    <w:name w:val="正文_2"/>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文本_1"/>
    <w:basedOn w:val="25"/>
    <w:qFormat/>
    <w:uiPriority w:val="0"/>
    <w:pPr>
      <w:adjustRightInd w:val="0"/>
      <w:spacing w:after="60" w:line="360" w:lineRule="atLeast"/>
      <w:ind w:left="72" w:leftChars="30" w:right="30" w:rightChars="30"/>
      <w:jc w:val="center"/>
      <w:textAlignment w:val="baseline"/>
    </w:pPr>
  </w:style>
  <w:style w:type="paragraph" w:customStyle="1" w:styleId="28">
    <w:name w:val="正文首行缩进1"/>
    <w:basedOn w:val="29"/>
    <w:unhideWhenUsed/>
    <w:qFormat/>
    <w:uiPriority w:val="99"/>
    <w:pPr>
      <w:ind w:firstLine="420" w:firstLineChars="100"/>
    </w:pPr>
  </w:style>
  <w:style w:type="paragraph" w:customStyle="1" w:styleId="29">
    <w:name w:val="正文文本_0_0"/>
    <w:basedOn w:val="30"/>
    <w:qFormat/>
    <w:uiPriority w:val="0"/>
    <w:pPr>
      <w:spacing w:after="120"/>
    </w:pPr>
    <w:rPr>
      <w:kern w:val="0"/>
      <w:sz w:val="20"/>
    </w:rPr>
  </w:style>
  <w:style w:type="paragraph" w:customStyle="1" w:styleId="30">
    <w:name w:val="正文_1_3"/>
    <w:qFormat/>
    <w:uiPriority w:val="0"/>
    <w:pPr>
      <w:widowControl w:val="0"/>
      <w:jc w:val="both"/>
    </w:pPr>
    <w:rPr>
      <w:rFonts w:ascii="Calibri" w:hAnsi="Calibri" w:eastAsia="宋体" w:cs="Times New Roman"/>
      <w:kern w:val="2"/>
      <w:sz w:val="21"/>
      <w:szCs w:val="22"/>
      <w:lang w:val="en-US" w:eastAsia="zh-CN" w:bidi="ar-SA"/>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99"/>
    <w:rPr>
      <w:rFonts w:cs="Times New Roman"/>
    </w:rPr>
  </w:style>
  <w:style w:type="character" w:styleId="36">
    <w:name w:val="Hyperlink"/>
    <w:basedOn w:val="33"/>
    <w:unhideWhenUsed/>
    <w:qFormat/>
    <w:uiPriority w:val="99"/>
    <w:rPr>
      <w:color w:val="0000FF"/>
      <w:u w:val="single"/>
    </w:rPr>
  </w:style>
  <w:style w:type="paragraph" w:customStyle="1" w:styleId="37">
    <w:name w:val="表格文字"/>
    <w:basedOn w:val="1"/>
    <w:next w:val="9"/>
    <w:qFormat/>
    <w:uiPriority w:val="0"/>
    <w:pPr>
      <w:adjustRightInd w:val="0"/>
      <w:spacing w:line="420" w:lineRule="atLeast"/>
      <w:jc w:val="left"/>
      <w:textAlignment w:val="baseline"/>
    </w:pPr>
    <w:rPr>
      <w:kern w:val="0"/>
    </w:rPr>
  </w:style>
  <w:style w:type="paragraph" w:customStyle="1" w:styleId="38">
    <w:name w:val="正文2"/>
    <w:basedOn w:val="1"/>
    <w:qFormat/>
    <w:uiPriority w:val="0"/>
    <w:pPr>
      <w:adjustRightInd w:val="0"/>
      <w:spacing w:before="156" w:line="360" w:lineRule="auto"/>
      <w:ind w:firstLine="510" w:firstLineChars="200"/>
    </w:pPr>
    <w:rPr>
      <w:rFonts w:ascii="Calibri" w:hAnsi="Calibri"/>
      <w:sz w:val="24"/>
      <w:szCs w:val="22"/>
    </w:rPr>
  </w:style>
  <w:style w:type="paragraph" w:customStyle="1" w:styleId="39">
    <w:name w:val="Normal_0"/>
    <w:qFormat/>
    <w:uiPriority w:val="0"/>
    <w:rPr>
      <w:rFonts w:ascii="Times New Roman" w:hAnsi="Times New Roman" w:eastAsia="Times New Roman" w:cs="Times New Roman"/>
      <w:sz w:val="24"/>
      <w:szCs w:val="24"/>
      <w:lang w:val="en-US" w:eastAsia="zh-CN" w:bidi="ar-SA"/>
    </w:rPr>
  </w:style>
  <w:style w:type="paragraph" w:customStyle="1" w:styleId="4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41">
    <w:name w:val="正文_3"/>
    <w:basedOn w:val="26"/>
    <w:next w:val="23"/>
    <w:qFormat/>
    <w:uiPriority w:val="0"/>
  </w:style>
  <w:style w:type="paragraph" w:customStyle="1" w:styleId="42">
    <w:name w:val="正文_1_1"/>
    <w:basedOn w:val="25"/>
    <w:next w:val="43"/>
    <w:qFormat/>
    <w:uiPriority w:val="0"/>
    <w:rPr>
      <w:rFonts w:ascii="Times New Roman" w:hAnsi="Times New Roman"/>
      <w:szCs w:val="24"/>
    </w:rPr>
  </w:style>
  <w:style w:type="paragraph" w:customStyle="1" w:styleId="43">
    <w:name w:val="正文首行缩进_0"/>
    <w:basedOn w:val="44"/>
    <w:unhideWhenUsed/>
    <w:qFormat/>
    <w:uiPriority w:val="99"/>
    <w:pPr>
      <w:ind w:firstLine="420" w:firstLineChars="100"/>
    </w:pPr>
    <w:rPr>
      <w:szCs w:val="22"/>
    </w:rPr>
  </w:style>
  <w:style w:type="paragraph" w:customStyle="1" w:styleId="44">
    <w:name w:val="正文文本_0_1"/>
    <w:basedOn w:val="45"/>
    <w:qFormat/>
    <w:uiPriority w:val="0"/>
    <w:pPr>
      <w:adjustRightInd w:val="0"/>
      <w:spacing w:after="60" w:line="360" w:lineRule="atLeast"/>
      <w:ind w:left="72" w:leftChars="30" w:right="30" w:rightChars="30"/>
      <w:jc w:val="center"/>
      <w:textAlignment w:val="baseline"/>
    </w:pPr>
    <w:rPr>
      <w:rFonts w:ascii="Calibri" w:hAnsi="Calibri"/>
    </w:rPr>
  </w:style>
  <w:style w:type="paragraph" w:customStyle="1" w:styleId="45">
    <w:name w:val="正文_1_0_2"/>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Body Text First Indent_1"/>
    <w:basedOn w:val="47"/>
    <w:unhideWhenUsed/>
    <w:qFormat/>
    <w:uiPriority w:val="99"/>
    <w:pPr>
      <w:ind w:firstLine="420" w:firstLineChars="100"/>
    </w:pPr>
    <w:rPr>
      <w:szCs w:val="22"/>
    </w:rPr>
  </w:style>
  <w:style w:type="paragraph" w:customStyle="1" w:styleId="47">
    <w:name w:val="正文文本_0_0_1"/>
    <w:basedOn w:val="48"/>
    <w:qFormat/>
    <w:uiPriority w:val="0"/>
    <w:pPr>
      <w:spacing w:after="120"/>
    </w:pPr>
  </w:style>
  <w:style w:type="paragraph" w:customStyle="1" w:styleId="48">
    <w:name w:val="正文_12_0_1"/>
    <w:basedOn w:val="49"/>
    <w:qFormat/>
    <w:uiPriority w:val="0"/>
    <w:rPr>
      <w:rFonts w:cs="Calibri"/>
      <w:szCs w:val="21"/>
    </w:rPr>
  </w:style>
  <w:style w:type="paragraph" w:customStyle="1" w:styleId="49">
    <w:name w:val="正文_1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4"/>
    <w:basedOn w:val="51"/>
    <w:qFormat/>
    <w:uiPriority w:val="0"/>
    <w:rPr>
      <w:szCs w:val="24"/>
    </w:rPr>
  </w:style>
  <w:style w:type="paragraph" w:customStyle="1" w:styleId="51">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样式 首行缩进:  2 字符"/>
    <w:basedOn w:val="1"/>
    <w:qFormat/>
    <w:uiPriority w:val="99"/>
    <w:pPr>
      <w:spacing w:beforeLines="50" w:afterLines="50"/>
      <w:ind w:firstLine="200" w:firstLineChars="200"/>
    </w:pPr>
    <w:rPr>
      <w:rFonts w:eastAsia="仿宋" w:cs="宋体"/>
      <w:sz w:val="24"/>
      <w:szCs w:val="20"/>
    </w:rPr>
  </w:style>
  <w:style w:type="character" w:customStyle="1" w:styleId="53">
    <w:name w:val="标题 1 Char"/>
    <w:link w:val="2"/>
    <w:qFormat/>
    <w:uiPriority w:val="0"/>
    <w:rPr>
      <w:b/>
      <w:bCs/>
      <w:kern w:val="44"/>
      <w:sz w:val="44"/>
      <w:szCs w:val="44"/>
    </w:rPr>
  </w:style>
  <w:style w:type="character" w:customStyle="1" w:styleId="54">
    <w:name w:val="标题 2 Char"/>
    <w:link w:val="3"/>
    <w:qFormat/>
    <w:uiPriority w:val="9"/>
    <w:rPr>
      <w:rFonts w:ascii="Cambria" w:hAnsi="Cambria"/>
      <w:b/>
      <w:bCs/>
      <w:sz w:val="32"/>
      <w:szCs w:val="32"/>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styleId="56">
    <w:name w:val="List Paragraph"/>
    <w:basedOn w:val="1"/>
    <w:qFormat/>
    <w:uiPriority w:val="99"/>
    <w:pPr>
      <w:ind w:firstLine="420" w:firstLineChars="200"/>
    </w:pPr>
  </w:style>
  <w:style w:type="paragraph" w:styleId="57">
    <w:name w:val="No Spacing"/>
    <w:qFormat/>
    <w:uiPriority w:val="0"/>
    <w:rPr>
      <w:rFonts w:ascii="Calibri" w:hAnsi="Calibri" w:eastAsia="宋体" w:cs="Times New Roman"/>
      <w:sz w:val="22"/>
      <w:szCs w:val="22"/>
      <w:lang w:val="en-US" w:eastAsia="zh-CN" w:bidi="ar-SA"/>
    </w:rPr>
  </w:style>
  <w:style w:type="paragraph" w:customStyle="1" w:styleId="58">
    <w:name w:val="默认段落字体 Para Char Char Char Char Char Char Char Char Char1 Char Char Char Char"/>
    <w:basedOn w:val="1"/>
    <w:qFormat/>
    <w:uiPriority w:val="99"/>
    <w:rPr>
      <w:rFonts w:ascii="Tahoma" w:hAnsi="Tahoma"/>
      <w:sz w:val="24"/>
      <w:szCs w:val="20"/>
    </w:rPr>
  </w:style>
  <w:style w:type="paragraph" w:customStyle="1" w:styleId="59">
    <w:name w:val="正文1"/>
    <w:basedOn w:val="60"/>
    <w:qFormat/>
    <w:uiPriority w:val="0"/>
  </w:style>
  <w:style w:type="paragraph" w:customStyle="1" w:styleId="60">
    <w:name w:val="正文_0"/>
    <w:basedOn w:val="61"/>
    <w:next w:val="20"/>
    <w:qFormat/>
    <w:uiPriority w:val="0"/>
    <w:rPr>
      <w:rFonts w:ascii="Times New Roman" w:hAnsi="Times New Roman"/>
      <w:szCs w:val="21"/>
    </w:rPr>
  </w:style>
  <w:style w:type="paragraph" w:customStyle="1" w:styleId="6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5"/>
    <w:basedOn w:val="63"/>
    <w:qFormat/>
    <w:uiPriority w:val="0"/>
    <w:rPr>
      <w:szCs w:val="21"/>
    </w:rPr>
  </w:style>
  <w:style w:type="paragraph" w:customStyle="1" w:styleId="63">
    <w:name w:val="正文_6"/>
    <w:next w:val="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列表_1"/>
    <w:basedOn w:val="63"/>
    <w:semiHidden/>
    <w:qFormat/>
    <w:locked/>
    <w:uiPriority w:val="0"/>
    <w:pPr>
      <w:ind w:left="200" w:hanging="200" w:hangingChars="200"/>
    </w:pPr>
  </w:style>
  <w:style w:type="paragraph" w:customStyle="1" w:styleId="65">
    <w:name w:val="正文_4_0"/>
    <w:basedOn w:val="41"/>
    <w:qFormat/>
    <w:uiPriority w:val="0"/>
    <w:rPr>
      <w:rFonts w:ascii="Calibri" w:hAnsi="Calibri"/>
      <w:szCs w:val="21"/>
    </w:rPr>
  </w:style>
  <w:style w:type="paragraph" w:customStyle="1" w:styleId="66">
    <w:name w:val="正文文本缩进_0"/>
    <w:basedOn w:val="41"/>
    <w:qFormat/>
    <w:uiPriority w:val="0"/>
    <w:pPr>
      <w:spacing w:after="120"/>
      <w:ind w:left="420" w:leftChars="200"/>
    </w:pPr>
    <w:rPr>
      <w:rFonts w:ascii="Calibri" w:hAnsi="Calibri"/>
      <w:kern w:val="0"/>
      <w:sz w:val="20"/>
    </w:rPr>
  </w:style>
  <w:style w:type="paragraph" w:customStyle="1" w:styleId="67">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No Spacing_0"/>
    <w:basedOn w:val="62"/>
    <w:qFormat/>
    <w:uiPriority w:val="1"/>
    <w:rPr>
      <w:rFonts w:ascii="Times New Roman" w:hAnsi="Times New Roman"/>
      <w:szCs w:val="24"/>
    </w:rPr>
  </w:style>
  <w:style w:type="paragraph" w:customStyle="1" w:styleId="69">
    <w:name w:val="Normal_12"/>
    <w:qFormat/>
    <w:uiPriority w:val="0"/>
    <w:rPr>
      <w:rFonts w:ascii="Times New Roman" w:hAnsi="Times New Roman" w:eastAsia="Times New Roman" w:cs="Times New Roman"/>
      <w:sz w:val="24"/>
      <w:szCs w:val="24"/>
      <w:lang w:val="en-US" w:eastAsia="zh-CN" w:bidi="ar-SA"/>
    </w:rPr>
  </w:style>
  <w:style w:type="paragraph" w:customStyle="1" w:styleId="70">
    <w:name w:val="Normal_1_0"/>
    <w:qFormat/>
    <w:uiPriority w:val="0"/>
    <w:rPr>
      <w:rFonts w:ascii="黑体" w:hAnsi="黑体" w:eastAsia="黑体" w:cs="Times New Roman"/>
      <w:b/>
      <w:sz w:val="32"/>
      <w:szCs w:val="24"/>
      <w:lang w:val="en-US" w:eastAsia="zh-CN" w:bidi="ar-SA"/>
    </w:rPr>
  </w:style>
  <w:style w:type="paragraph" w:customStyle="1" w:styleId="71">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Normal_2"/>
    <w:qFormat/>
    <w:uiPriority w:val="0"/>
    <w:rPr>
      <w:rFonts w:ascii="黑体" w:hAnsi="黑体" w:eastAsia="黑体" w:cs="Times New Roman"/>
      <w:b/>
      <w:sz w:val="32"/>
      <w:szCs w:val="24"/>
      <w:lang w:val="en-US" w:eastAsia="zh-CN" w:bidi="ar-SA"/>
    </w:rPr>
  </w:style>
  <w:style w:type="paragraph" w:customStyle="1" w:styleId="7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纯文本_1"/>
    <w:basedOn w:val="73"/>
    <w:link w:val="95"/>
    <w:qFormat/>
    <w:uiPriority w:val="0"/>
    <w:rPr>
      <w:rFonts w:ascii="宋体" w:hAnsi="Courier New" w:cs="Courier New"/>
      <w:szCs w:val="21"/>
    </w:rPr>
  </w:style>
  <w:style w:type="paragraph" w:customStyle="1" w:styleId="75">
    <w:name w:val="Normal_3"/>
    <w:qFormat/>
    <w:uiPriority w:val="0"/>
    <w:rPr>
      <w:rFonts w:ascii="黑体" w:hAnsi="黑体" w:eastAsia="黑体" w:cs="Times New Roman"/>
      <w:b/>
      <w:sz w:val="32"/>
      <w:szCs w:val="24"/>
      <w:lang w:val="en-US" w:eastAsia="zh-CN" w:bidi="ar-SA"/>
    </w:rPr>
  </w:style>
  <w:style w:type="paragraph" w:customStyle="1" w:styleId="76">
    <w:name w:val="正文_0_0_0_0"/>
    <w:basedOn w:val="42"/>
    <w:qFormat/>
    <w:uiPriority w:val="0"/>
    <w:rPr>
      <w:rFonts w:ascii="Calibri" w:hAnsi="Calibri" w:cs="宋体"/>
      <w:sz w:val="28"/>
      <w:szCs w:val="28"/>
    </w:rPr>
  </w:style>
  <w:style w:type="paragraph" w:customStyle="1" w:styleId="77">
    <w:name w:val="Normal_4"/>
    <w:qFormat/>
    <w:uiPriority w:val="0"/>
    <w:rPr>
      <w:rFonts w:ascii="黑体" w:hAnsi="黑体" w:eastAsia="黑体" w:cs="Times New Roman"/>
      <w:b/>
      <w:sz w:val="32"/>
      <w:szCs w:val="24"/>
      <w:lang w:val="en-US" w:eastAsia="zh-CN" w:bidi="ar-SA"/>
    </w:rPr>
  </w:style>
  <w:style w:type="paragraph" w:customStyle="1" w:styleId="78">
    <w:name w:val="正文_3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5"/>
    <w:qFormat/>
    <w:uiPriority w:val="0"/>
    <w:rPr>
      <w:rFonts w:ascii="黑体" w:hAnsi="黑体" w:eastAsia="黑体" w:cs="Times New Roman"/>
      <w:b/>
      <w:sz w:val="32"/>
      <w:szCs w:val="24"/>
      <w:lang w:val="en-US" w:eastAsia="zh-CN" w:bidi="ar-SA"/>
    </w:rPr>
  </w:style>
  <w:style w:type="paragraph" w:customStyle="1" w:styleId="80">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Normal_7"/>
    <w:qFormat/>
    <w:uiPriority w:val="0"/>
    <w:rPr>
      <w:rFonts w:ascii="黑体" w:hAnsi="黑体" w:eastAsia="黑体" w:cs="Times New Roman"/>
      <w:b/>
      <w:sz w:val="32"/>
      <w:szCs w:val="24"/>
      <w:lang w:val="en-US" w:eastAsia="zh-CN" w:bidi="ar-SA"/>
    </w:rPr>
  </w:style>
  <w:style w:type="paragraph" w:customStyle="1" w:styleId="82">
    <w:name w:val="正文_6_2_1"/>
    <w:basedOn w:val="83"/>
    <w:qFormat/>
    <w:uiPriority w:val="0"/>
    <w:rPr>
      <w:rFonts w:cs="宋体"/>
      <w:szCs w:val="21"/>
    </w:rPr>
  </w:style>
  <w:style w:type="paragraph" w:customStyle="1" w:styleId="83">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标准正文-lp"/>
    <w:basedOn w:val="1"/>
    <w:qFormat/>
    <w:uiPriority w:val="0"/>
    <w:pPr>
      <w:ind w:firstLine="480"/>
    </w:pPr>
    <w:rPr>
      <w:rFonts w:ascii="Calibri" w:hAnsi="Calibri" w:eastAsia="仿宋_GB2312"/>
      <w:kern w:val="0"/>
      <w:szCs w:val="20"/>
    </w:rPr>
  </w:style>
  <w:style w:type="paragraph" w:customStyle="1" w:styleId="85">
    <w:name w:val="Normal_6"/>
    <w:qFormat/>
    <w:uiPriority w:val="0"/>
    <w:rPr>
      <w:rFonts w:ascii="黑体" w:hAnsi="黑体" w:eastAsia="黑体" w:cs="Times New Roman"/>
      <w:b/>
      <w:sz w:val="32"/>
      <w:szCs w:val="24"/>
      <w:lang w:val="en-US" w:eastAsia="zh-CN" w:bidi="ar-SA"/>
    </w:rPr>
  </w:style>
  <w:style w:type="paragraph" w:customStyle="1" w:styleId="86">
    <w:name w:val="Normal_11"/>
    <w:qFormat/>
    <w:uiPriority w:val="0"/>
    <w:rPr>
      <w:rFonts w:ascii="黑体" w:hAnsi="黑体" w:eastAsia="黑体" w:cs="Times New Roman"/>
      <w:b/>
      <w:sz w:val="32"/>
      <w:szCs w:val="24"/>
      <w:lang w:val="en-US" w:eastAsia="zh-CN" w:bidi="ar-SA"/>
    </w:rPr>
  </w:style>
  <w:style w:type="paragraph" w:customStyle="1" w:styleId="87">
    <w:name w:val="正文文本缩进_1_0"/>
    <w:basedOn w:val="88"/>
    <w:qFormat/>
    <w:uiPriority w:val="0"/>
    <w:pPr>
      <w:spacing w:before="240" w:line="360" w:lineRule="auto"/>
      <w:ind w:firstLine="552" w:firstLineChars="263"/>
    </w:pPr>
    <w:rPr>
      <w:rFonts w:ascii="宋体" w:hAnsi="宋体"/>
      <w:szCs w:val="20"/>
    </w:rPr>
  </w:style>
  <w:style w:type="paragraph" w:customStyle="1" w:styleId="88">
    <w:name w:val="正文_7_1_0"/>
    <w:basedOn w:val="89"/>
    <w:qFormat/>
    <w:uiPriority w:val="0"/>
    <w:rPr>
      <w:rFonts w:cs="宋体"/>
      <w:szCs w:val="21"/>
    </w:rPr>
  </w:style>
  <w:style w:type="paragraph" w:customStyle="1" w:styleId="89">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6_1_0"/>
    <w:basedOn w:val="88"/>
    <w:qFormat/>
    <w:uiPriority w:val="0"/>
  </w:style>
  <w:style w:type="paragraph" w:customStyle="1" w:styleId="91">
    <w:name w:val="正文_7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Normal_8"/>
    <w:qFormat/>
    <w:uiPriority w:val="0"/>
    <w:rPr>
      <w:rFonts w:ascii="黑体" w:hAnsi="黑体" w:eastAsia="黑体" w:cs="Times New Roman"/>
      <w:b/>
      <w:sz w:val="32"/>
      <w:szCs w:val="24"/>
      <w:lang w:val="en-US" w:eastAsia="zh-CN" w:bidi="ar-SA"/>
    </w:rPr>
  </w:style>
  <w:style w:type="paragraph" w:customStyle="1" w:styleId="93">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4_1_0"/>
    <w:basedOn w:val="93"/>
    <w:qFormat/>
    <w:uiPriority w:val="0"/>
    <w:rPr>
      <w:rFonts w:cs="宋体"/>
      <w:szCs w:val="21"/>
    </w:rPr>
  </w:style>
  <w:style w:type="character" w:customStyle="1" w:styleId="95">
    <w:name w:val="Char Char_0"/>
    <w:link w:val="74"/>
    <w:qFormat/>
    <w:uiPriority w:val="0"/>
    <w:rPr>
      <w:rFonts w:ascii="宋体" w:hAnsi="Courier New" w:cs="Courier New"/>
      <w:kern w:val="2"/>
      <w:sz w:val="21"/>
      <w:szCs w:val="21"/>
    </w:rPr>
  </w:style>
  <w:style w:type="paragraph" w:customStyle="1" w:styleId="96">
    <w:name w:val="列出段落1"/>
    <w:basedOn w:val="1"/>
    <w:autoRedefine/>
    <w:qFormat/>
    <w:uiPriority w:val="99"/>
    <w:pPr>
      <w:spacing w:line="360" w:lineRule="auto"/>
      <w:ind w:firstLine="420" w:firstLineChars="200"/>
    </w:pPr>
    <w:rPr>
      <w:rFonts w:ascii="Calibri" w:hAnsi="Calibri"/>
    </w:rPr>
  </w:style>
  <w:style w:type="paragraph" w:customStyle="1" w:styleId="97">
    <w:name w:val="Table Paragraph"/>
    <w:basedOn w:val="1"/>
    <w:qFormat/>
    <w:uiPriority w:val="1"/>
    <w:pPr>
      <w:jc w:val="left"/>
    </w:pPr>
    <w:rPr>
      <w:rFonts w:ascii="宋体" w:hAnsi="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53</Pages>
  <Words>22439</Words>
  <Characters>24606</Characters>
  <Lines>234</Lines>
  <Paragraphs>66</Paragraphs>
  <TotalTime>13</TotalTime>
  <ScaleCrop>false</ScaleCrop>
  <LinksUpToDate>false</LinksUpToDate>
  <CharactersWithSpaces>25991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2025-04-27T16:00:00Z</dcterms:created>
  <dc:creator>Administrator</dc:creator>
  <cp:lastModifiedBy>Administrator</cp:lastModifiedBy>
  <dcterms:modified xsi:type="dcterms:W3CDTF">2025-05-20T09:52:18Z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1E803C7E50094411B1525028E42E1D0F_13</vt:lpwstr>
  </property>
  <property fmtid="{D5CDD505-2E9C-101B-9397-08002B2CF9AE}" pid="4" name="KSOTemplateDocerSaveRecord">
    <vt:lpwstr>eyJoZGlkIjoiZjk0MGZmNTAzMzNmN2U1MjA5NTUxNjczNDFlNTE3YjciLCJ1c2VySWQiOiIxMjMyMDg5OTMwIn0=</vt:lpwstr>
  </property>
</Properties>
</file>