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05D7F5">
      <w:pPr>
        <w:widowControl/>
        <w:shd w:val="clear" w:color="auto" w:fill="auto"/>
        <w:autoSpaceDE w:val="0"/>
        <w:autoSpaceDN w:val="0"/>
        <w:ind w:right="-26"/>
        <w:jc w:val="both"/>
        <w:textAlignment w:val="bottom"/>
        <w:rPr>
          <w:rFonts w:hint="eastAsia" w:ascii="宋体" w:hAnsi="宋体" w:eastAsia="宋体" w:cs="宋体"/>
          <w:b/>
          <w:color w:val="000000" w:themeColor="text1"/>
          <w:kern w:val="0"/>
          <w:sz w:val="52"/>
          <w:szCs w:val="52"/>
          <w:highlight w:val="none"/>
          <w14:textFill>
            <w14:solidFill>
              <w14:schemeClr w14:val="tx1"/>
            </w14:solidFill>
          </w14:textFill>
        </w:rPr>
      </w:pPr>
    </w:p>
    <w:p w14:paraId="3F7BF98A">
      <w:pPr>
        <w:pStyle w:val="13"/>
        <w:shd w:val="clear" w:color="auto" w:fill="auto"/>
        <w:ind w:left="0" w:leftChars="0" w:firstLine="0" w:firstLineChars="0"/>
        <w:jc w:val="center"/>
        <w:outlineLvl w:val="0"/>
        <w:rPr>
          <w:rFonts w:hint="eastAsia" w:ascii="宋体" w:hAnsi="宋体" w:eastAsia="宋体" w:cs="宋体"/>
          <w:color w:val="000000" w:themeColor="text1"/>
          <w:sz w:val="20"/>
          <w:szCs w:val="18"/>
          <w:highlight w:val="none"/>
          <w:lang w:eastAsia="zh-CN"/>
          <w14:textFill>
            <w14:solidFill>
              <w14:schemeClr w14:val="tx1"/>
            </w14:solidFill>
          </w14:textFill>
        </w:rPr>
      </w:pPr>
      <w:bookmarkStart w:id="0" w:name="_Toc21127"/>
      <w:r>
        <w:rPr>
          <w:rFonts w:hint="eastAsia" w:ascii="宋体" w:hAnsi="宋体" w:eastAsia="宋体" w:cs="宋体"/>
          <w:b/>
          <w:color w:val="000000" w:themeColor="text1"/>
          <w:kern w:val="0"/>
          <w:sz w:val="40"/>
          <w:szCs w:val="40"/>
          <w:highlight w:val="none"/>
          <w:lang w:eastAsia="zh-CN"/>
          <w14:textFill>
            <w14:solidFill>
              <w14:schemeClr w14:val="tx1"/>
            </w14:solidFill>
          </w14:textFill>
        </w:rPr>
        <w:t>克州疾病预防控制中心致病菌、新冠基因测序等监测试剂耗材采购项目（一包）</w:t>
      </w:r>
      <w:r>
        <w:rPr>
          <w:rFonts w:hint="eastAsia" w:ascii="宋体" w:hAnsi="宋体" w:cs="宋体"/>
          <w:b/>
          <w:color w:val="000000" w:themeColor="text1"/>
          <w:kern w:val="0"/>
          <w:sz w:val="40"/>
          <w:szCs w:val="40"/>
          <w:highlight w:val="none"/>
          <w:lang w:eastAsia="zh-CN"/>
          <w14:textFill>
            <w14:solidFill>
              <w14:schemeClr w14:val="tx1"/>
            </w14:solidFill>
          </w14:textFill>
        </w:rPr>
        <w:t>（二次）</w:t>
      </w:r>
      <w:bookmarkEnd w:id="0"/>
    </w:p>
    <w:p w14:paraId="6158CBF9">
      <w:pPr>
        <w:pStyle w:val="13"/>
        <w:shd w:val="clear" w:color="auto" w:fill="auto"/>
        <w:jc w:val="center"/>
        <w:rPr>
          <w:rFonts w:hint="eastAsia" w:ascii="宋体" w:hAnsi="宋体" w:eastAsia="宋体" w:cs="宋体"/>
          <w:b/>
          <w:color w:val="000000" w:themeColor="text1"/>
          <w:kern w:val="0"/>
          <w:sz w:val="40"/>
          <w:szCs w:val="40"/>
          <w:highlight w:val="none"/>
          <w:lang w:val="en-US" w:eastAsia="zh-CN" w:bidi="ar-SA"/>
          <w14:textFill>
            <w14:solidFill>
              <w14:schemeClr w14:val="tx1"/>
            </w14:solidFill>
          </w14:textFill>
        </w:rPr>
      </w:pPr>
    </w:p>
    <w:p w14:paraId="0CA14E07">
      <w:pPr>
        <w:pStyle w:val="13"/>
        <w:shd w:val="clear" w:color="auto" w:fill="auto"/>
        <w:jc w:val="center"/>
        <w:rPr>
          <w:rFonts w:hint="default" w:ascii="宋体" w:hAnsi="宋体" w:eastAsia="宋体" w:cs="宋体"/>
          <w:b/>
          <w:color w:val="000000" w:themeColor="text1"/>
          <w:kern w:val="0"/>
          <w:sz w:val="36"/>
          <w:szCs w:val="36"/>
          <w:highlight w:val="none"/>
          <w:lang w:val="en-US" w:eastAsia="zh-CN" w:bidi="ar-SA"/>
          <w14:textFill>
            <w14:solidFill>
              <w14:schemeClr w14:val="tx1"/>
            </w14:solidFill>
          </w14:textFill>
        </w:rPr>
      </w:pPr>
      <w:r>
        <w:rPr>
          <w:rFonts w:hint="eastAsia" w:ascii="宋体" w:hAnsi="宋体" w:eastAsia="宋体" w:cs="宋体"/>
          <w:b/>
          <w:color w:val="000000" w:themeColor="text1"/>
          <w:kern w:val="0"/>
          <w:sz w:val="36"/>
          <w:szCs w:val="36"/>
          <w:highlight w:val="none"/>
          <w:lang w:val="en-US" w:eastAsia="zh-CN" w:bidi="ar-SA"/>
          <w14:textFill>
            <w14:solidFill>
              <w14:schemeClr w14:val="tx1"/>
            </w14:solidFill>
          </w14:textFill>
        </w:rPr>
        <w:t>项目编号：KZZB-2025103</w:t>
      </w:r>
      <w:r>
        <w:rPr>
          <w:rFonts w:hint="eastAsia" w:ascii="宋体" w:hAnsi="宋体" w:cs="宋体"/>
          <w:b/>
          <w:color w:val="000000" w:themeColor="text1"/>
          <w:kern w:val="0"/>
          <w:sz w:val="36"/>
          <w:szCs w:val="36"/>
          <w:highlight w:val="none"/>
          <w:lang w:val="en-US" w:eastAsia="zh-CN" w:bidi="ar-SA"/>
          <w14:textFill>
            <w14:solidFill>
              <w14:schemeClr w14:val="tx1"/>
            </w14:solidFill>
          </w14:textFill>
        </w:rPr>
        <w:t>-1</w:t>
      </w:r>
    </w:p>
    <w:p w14:paraId="2437451F">
      <w:pPr>
        <w:widowControl/>
        <w:shd w:val="clear" w:color="auto" w:fill="auto"/>
        <w:autoSpaceDE w:val="0"/>
        <w:autoSpaceDN w:val="0"/>
        <w:ind w:right="-26"/>
        <w:jc w:val="center"/>
        <w:textAlignment w:val="bottom"/>
        <w:rPr>
          <w:rFonts w:hint="eastAsia" w:ascii="宋体" w:hAnsi="宋体" w:eastAsia="宋体" w:cs="宋体"/>
          <w:b/>
          <w:color w:val="000000" w:themeColor="text1"/>
          <w:sz w:val="72"/>
          <w:szCs w:val="72"/>
          <w:highlight w:val="none"/>
          <w14:textFill>
            <w14:solidFill>
              <w14:schemeClr w14:val="tx1"/>
            </w14:solidFill>
          </w14:textFill>
        </w:rPr>
      </w:pPr>
    </w:p>
    <w:p w14:paraId="3C6AB1D1">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14:textFill>
            <w14:solidFill>
              <w14:schemeClr w14:val="tx1"/>
            </w14:solidFill>
          </w14:textFill>
        </w:rPr>
      </w:pPr>
      <w:bookmarkStart w:id="1" w:name="_Toc28148"/>
      <w:r>
        <w:rPr>
          <w:rFonts w:hint="eastAsia" w:ascii="宋体" w:hAnsi="宋体" w:eastAsia="宋体" w:cs="宋体"/>
          <w:b/>
          <w:color w:val="000000" w:themeColor="text1"/>
          <w:sz w:val="52"/>
          <w:szCs w:val="52"/>
          <w:highlight w:val="none"/>
          <w14:textFill>
            <w14:solidFill>
              <w14:schemeClr w14:val="tx1"/>
            </w14:solidFill>
          </w14:textFill>
        </w:rPr>
        <w:t>竞</w:t>
      </w:r>
      <w:bookmarkEnd w:id="1"/>
    </w:p>
    <w:p w14:paraId="44D32447">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14:textFill>
            <w14:solidFill>
              <w14:schemeClr w14:val="tx1"/>
            </w14:solidFill>
          </w14:textFill>
        </w:rPr>
      </w:pPr>
      <w:bookmarkStart w:id="2" w:name="_Toc12799"/>
      <w:r>
        <w:rPr>
          <w:rFonts w:hint="eastAsia" w:ascii="宋体" w:hAnsi="宋体" w:eastAsia="宋体" w:cs="宋体"/>
          <w:b/>
          <w:color w:val="000000" w:themeColor="text1"/>
          <w:sz w:val="52"/>
          <w:szCs w:val="52"/>
          <w:highlight w:val="none"/>
          <w14:textFill>
            <w14:solidFill>
              <w14:schemeClr w14:val="tx1"/>
            </w14:solidFill>
          </w14:textFill>
        </w:rPr>
        <w:t>争</w:t>
      </w:r>
      <w:bookmarkEnd w:id="2"/>
    </w:p>
    <w:p w14:paraId="262CC575">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14:textFill>
            <w14:solidFill>
              <w14:schemeClr w14:val="tx1"/>
            </w14:solidFill>
          </w14:textFill>
        </w:rPr>
      </w:pPr>
      <w:bookmarkStart w:id="3" w:name="_Toc5977"/>
      <w:r>
        <w:rPr>
          <w:rFonts w:hint="eastAsia" w:ascii="宋体" w:hAnsi="宋体" w:eastAsia="宋体" w:cs="宋体"/>
          <w:b/>
          <w:color w:val="000000" w:themeColor="text1"/>
          <w:sz w:val="52"/>
          <w:szCs w:val="52"/>
          <w:highlight w:val="none"/>
          <w14:textFill>
            <w14:solidFill>
              <w14:schemeClr w14:val="tx1"/>
            </w14:solidFill>
          </w14:textFill>
        </w:rPr>
        <w:t>性</w:t>
      </w:r>
      <w:bookmarkEnd w:id="3"/>
    </w:p>
    <w:p w14:paraId="2E4CD9C0">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lang w:val="en-US" w:eastAsia="zh-CN"/>
          <w14:textFill>
            <w14:solidFill>
              <w14:schemeClr w14:val="tx1"/>
            </w14:solidFill>
          </w14:textFill>
        </w:rPr>
      </w:pPr>
      <w:bookmarkStart w:id="4" w:name="_Toc13712"/>
      <w:r>
        <w:rPr>
          <w:rFonts w:hint="eastAsia" w:ascii="宋体" w:hAnsi="宋体" w:eastAsia="宋体" w:cs="宋体"/>
          <w:b/>
          <w:color w:val="000000" w:themeColor="text1"/>
          <w:sz w:val="52"/>
          <w:szCs w:val="52"/>
          <w:highlight w:val="none"/>
          <w:lang w:val="en-US" w:eastAsia="zh-CN"/>
          <w14:textFill>
            <w14:solidFill>
              <w14:schemeClr w14:val="tx1"/>
            </w14:solidFill>
          </w14:textFill>
        </w:rPr>
        <w:t>谈</w:t>
      </w:r>
      <w:bookmarkEnd w:id="4"/>
    </w:p>
    <w:p w14:paraId="5BF399E5">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lang w:eastAsia="zh-CN"/>
          <w14:textFill>
            <w14:solidFill>
              <w14:schemeClr w14:val="tx1"/>
            </w14:solidFill>
          </w14:textFill>
        </w:rPr>
      </w:pPr>
      <w:bookmarkStart w:id="5" w:name="_Toc2058"/>
      <w:r>
        <w:rPr>
          <w:rFonts w:hint="eastAsia" w:ascii="宋体" w:hAnsi="宋体" w:eastAsia="宋体" w:cs="宋体"/>
          <w:b/>
          <w:color w:val="000000" w:themeColor="text1"/>
          <w:sz w:val="52"/>
          <w:szCs w:val="52"/>
          <w:highlight w:val="none"/>
          <w:lang w:val="en-US" w:eastAsia="zh-CN"/>
          <w14:textFill>
            <w14:solidFill>
              <w14:schemeClr w14:val="tx1"/>
            </w14:solidFill>
          </w14:textFill>
        </w:rPr>
        <w:t>判</w:t>
      </w:r>
      <w:bookmarkEnd w:id="5"/>
    </w:p>
    <w:p w14:paraId="25240776">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52"/>
          <w:szCs w:val="52"/>
          <w:highlight w:val="none"/>
          <w14:textFill>
            <w14:solidFill>
              <w14:schemeClr w14:val="tx1"/>
            </w14:solidFill>
          </w14:textFill>
        </w:rPr>
      </w:pPr>
      <w:bookmarkStart w:id="6" w:name="_Toc362"/>
      <w:r>
        <w:rPr>
          <w:rFonts w:hint="eastAsia" w:ascii="宋体" w:hAnsi="宋体" w:eastAsia="宋体" w:cs="宋体"/>
          <w:b/>
          <w:color w:val="000000" w:themeColor="text1"/>
          <w:sz w:val="52"/>
          <w:szCs w:val="52"/>
          <w:highlight w:val="none"/>
          <w14:textFill>
            <w14:solidFill>
              <w14:schemeClr w14:val="tx1"/>
            </w14:solidFill>
          </w14:textFill>
        </w:rPr>
        <w:t>文</w:t>
      </w:r>
      <w:bookmarkEnd w:id="6"/>
    </w:p>
    <w:p w14:paraId="477C5712">
      <w:pPr>
        <w:widowControl/>
        <w:shd w:val="clear" w:color="auto" w:fill="auto"/>
        <w:autoSpaceDE w:val="0"/>
        <w:autoSpaceDN w:val="0"/>
        <w:ind w:right="-26"/>
        <w:jc w:val="center"/>
        <w:textAlignment w:val="bottom"/>
        <w:outlineLvl w:val="0"/>
        <w:rPr>
          <w:rFonts w:hint="eastAsia" w:ascii="宋体" w:hAnsi="宋体" w:eastAsia="宋体" w:cs="宋体"/>
          <w:b/>
          <w:color w:val="000000" w:themeColor="text1"/>
          <w:sz w:val="22"/>
          <w:szCs w:val="20"/>
          <w:highlight w:val="none"/>
          <w14:textFill>
            <w14:solidFill>
              <w14:schemeClr w14:val="tx1"/>
            </w14:solidFill>
          </w14:textFill>
        </w:rPr>
      </w:pPr>
      <w:bookmarkStart w:id="7" w:name="_Toc6733"/>
      <w:r>
        <w:rPr>
          <w:rFonts w:hint="eastAsia" w:ascii="宋体" w:hAnsi="宋体" w:eastAsia="宋体" w:cs="宋体"/>
          <w:b/>
          <w:color w:val="000000" w:themeColor="text1"/>
          <w:sz w:val="52"/>
          <w:szCs w:val="52"/>
          <w:highlight w:val="none"/>
          <w14:textFill>
            <w14:solidFill>
              <w14:schemeClr w14:val="tx1"/>
            </w14:solidFill>
          </w14:textFill>
        </w:rPr>
        <w:t>件</w:t>
      </w:r>
      <w:bookmarkEnd w:id="7"/>
    </w:p>
    <w:p w14:paraId="2AC7DD6F">
      <w:pPr>
        <w:widowControl/>
        <w:shd w:val="clear" w:color="auto" w:fill="auto"/>
        <w:autoSpaceDE w:val="0"/>
        <w:autoSpaceDN w:val="0"/>
        <w:ind w:right="-26"/>
        <w:textAlignment w:val="bottom"/>
        <w:rPr>
          <w:rFonts w:hint="eastAsia" w:ascii="宋体" w:hAnsi="宋体" w:eastAsia="宋体" w:cs="宋体"/>
          <w:b/>
          <w:color w:val="000000" w:themeColor="text1"/>
          <w:sz w:val="32"/>
          <w:highlight w:val="none"/>
          <w14:textFill>
            <w14:solidFill>
              <w14:schemeClr w14:val="tx1"/>
            </w14:solidFill>
          </w14:textFill>
        </w:rPr>
      </w:pPr>
    </w:p>
    <w:p w14:paraId="593AE966">
      <w:pPr>
        <w:widowControl/>
        <w:shd w:val="clear" w:color="auto" w:fill="auto"/>
        <w:autoSpaceDE w:val="0"/>
        <w:autoSpaceDN w:val="0"/>
        <w:ind w:right="-26"/>
        <w:textAlignment w:val="bottom"/>
        <w:rPr>
          <w:rFonts w:hint="eastAsia" w:ascii="宋体" w:hAnsi="宋体" w:eastAsia="宋体" w:cs="宋体"/>
          <w:b/>
          <w:color w:val="000000" w:themeColor="text1"/>
          <w:sz w:val="32"/>
          <w:highlight w:val="none"/>
          <w14:textFill>
            <w14:solidFill>
              <w14:schemeClr w14:val="tx1"/>
            </w14:solidFill>
          </w14:textFill>
        </w:rPr>
      </w:pPr>
    </w:p>
    <w:p w14:paraId="53722439">
      <w:pPr>
        <w:widowControl/>
        <w:shd w:val="clear" w:color="auto" w:fill="auto"/>
        <w:autoSpaceDE w:val="0"/>
        <w:autoSpaceDN w:val="0"/>
        <w:ind w:right="-26" w:firstLine="630" w:firstLineChars="196"/>
        <w:textAlignment w:val="bottom"/>
        <w:rPr>
          <w:rFonts w:hint="eastAsia" w:ascii="宋体" w:hAnsi="宋体" w:eastAsia="宋体" w:cs="宋体"/>
          <w:b/>
          <w:color w:val="000000" w:themeColor="text1"/>
          <w:sz w:val="32"/>
          <w:highlight w:val="none"/>
          <w14:textFill>
            <w14:solidFill>
              <w14:schemeClr w14:val="tx1"/>
            </w14:solidFill>
          </w14:textFill>
        </w:rPr>
      </w:pPr>
    </w:p>
    <w:p w14:paraId="6487F885">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28"/>
          <w:szCs w:val="22"/>
          <w:highlight w:val="none"/>
          <w:lang w:val="en-US" w:eastAsia="zh-CN"/>
          <w14:textFill>
            <w14:solidFill>
              <w14:schemeClr w14:val="tx1"/>
            </w14:solidFill>
          </w14:textFill>
        </w:rPr>
      </w:pPr>
      <w:r>
        <w:rPr>
          <w:rFonts w:hint="eastAsia" w:ascii="宋体" w:hAnsi="宋体" w:eastAsia="宋体" w:cs="宋体"/>
          <w:b/>
          <w:color w:val="000000" w:themeColor="text1"/>
          <w:sz w:val="32"/>
          <w:szCs w:val="24"/>
          <w:highlight w:val="none"/>
          <w:lang w:eastAsia="zh-CN"/>
          <w14:textFill>
            <w14:solidFill>
              <w14:schemeClr w14:val="tx1"/>
            </w14:solidFill>
          </w14:textFill>
        </w:rPr>
        <w:t>招 标 人：</w:t>
      </w:r>
      <w:r>
        <w:rPr>
          <w:rFonts w:hint="eastAsia" w:ascii="宋体" w:hAnsi="宋体" w:eastAsia="宋体" w:cs="宋体"/>
          <w:b/>
          <w:color w:val="000000" w:themeColor="text1"/>
          <w:sz w:val="28"/>
          <w:szCs w:val="22"/>
          <w:highlight w:val="none"/>
          <w:lang w:eastAsia="zh-CN"/>
          <w14:textFill>
            <w14:solidFill>
              <w14:schemeClr w14:val="tx1"/>
            </w14:solidFill>
          </w14:textFill>
        </w:rPr>
        <w:t>克孜勒苏柯尔克孜自治州疾病预防控制中心（盖章）</w:t>
      </w:r>
      <w:r>
        <w:rPr>
          <w:rFonts w:hint="eastAsia" w:ascii="宋体" w:hAnsi="宋体" w:eastAsia="宋体" w:cs="宋体"/>
          <w:b/>
          <w:color w:val="000000" w:themeColor="text1"/>
          <w:sz w:val="28"/>
          <w:szCs w:val="22"/>
          <w:highlight w:val="none"/>
          <w:lang w:val="en-US" w:eastAsia="zh-CN"/>
          <w14:textFill>
            <w14:solidFill>
              <w14:schemeClr w14:val="tx1"/>
            </w14:solidFill>
          </w14:textFill>
        </w:rPr>
        <w:t xml:space="preserve"> </w:t>
      </w:r>
    </w:p>
    <w:p w14:paraId="607420C4">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szCs w:val="24"/>
          <w:highlight w:val="none"/>
          <w:lang w:val="en-US" w:eastAsia="zh-CN"/>
          <w14:textFill>
            <w14:solidFill>
              <w14:schemeClr w14:val="tx1"/>
            </w14:solidFill>
          </w14:textFill>
        </w:rPr>
      </w:pPr>
    </w:p>
    <w:p w14:paraId="67CE9EE2">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szCs w:val="24"/>
          <w:highlight w:val="none"/>
          <w:lang w:val="en-US" w:eastAsia="zh-CN"/>
          <w14:textFill>
            <w14:solidFill>
              <w14:schemeClr w14:val="tx1"/>
            </w14:solidFill>
          </w14:textFill>
        </w:rPr>
      </w:pPr>
      <w:r>
        <w:rPr>
          <w:rFonts w:hint="eastAsia" w:ascii="宋体" w:hAnsi="宋体" w:eastAsia="宋体" w:cs="宋体"/>
          <w:b/>
          <w:color w:val="000000" w:themeColor="text1"/>
          <w:sz w:val="32"/>
          <w:szCs w:val="24"/>
          <w:highlight w:val="none"/>
          <w:lang w:val="en-US" w:eastAsia="zh-CN"/>
          <w14:textFill>
            <w14:solidFill>
              <w14:schemeClr w14:val="tx1"/>
            </w14:solidFill>
          </w14:textFill>
        </w:rPr>
        <w:t>联 系 人：艾先生</w:t>
      </w:r>
      <w:r>
        <w:rPr>
          <w:rFonts w:hint="eastAsia" w:ascii="宋体" w:hAnsi="宋体" w:eastAsia="宋体" w:cs="宋体"/>
          <w:b/>
          <w:color w:val="000000" w:themeColor="text1"/>
          <w:sz w:val="32"/>
          <w:szCs w:val="24"/>
          <w:highlight w:val="none"/>
          <w:lang w:eastAsia="zh-CN"/>
          <w14:textFill>
            <w14:solidFill>
              <w14:schemeClr w14:val="tx1"/>
            </w14:solidFill>
          </w14:textFill>
        </w:rPr>
        <w:t xml:space="preserve"> </w:t>
      </w:r>
      <w:r>
        <w:rPr>
          <w:rFonts w:hint="eastAsia" w:ascii="宋体" w:hAnsi="宋体" w:eastAsia="宋体" w:cs="宋体"/>
          <w:b/>
          <w:color w:val="000000" w:themeColor="text1"/>
          <w:sz w:val="32"/>
          <w:szCs w:val="24"/>
          <w:highlight w:val="none"/>
          <w:lang w:val="en-US" w:eastAsia="zh-CN"/>
          <w14:textFill>
            <w14:solidFill>
              <w14:schemeClr w14:val="tx1"/>
            </w14:solidFill>
          </w14:textFill>
        </w:rPr>
        <w:t xml:space="preserve">    联系电话：18997696567</w:t>
      </w:r>
    </w:p>
    <w:p w14:paraId="1F712010">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szCs w:val="24"/>
          <w:highlight w:val="none"/>
          <w:lang w:eastAsia="zh-CN"/>
          <w14:textFill>
            <w14:solidFill>
              <w14:schemeClr w14:val="tx1"/>
            </w14:solidFill>
          </w14:textFill>
        </w:rPr>
      </w:pPr>
    </w:p>
    <w:p w14:paraId="7167E877">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szCs w:val="24"/>
          <w:highlight w:val="none"/>
          <w:lang w:eastAsia="zh-CN"/>
          <w14:textFill>
            <w14:solidFill>
              <w14:schemeClr w14:val="tx1"/>
            </w14:solidFill>
          </w14:textFill>
        </w:rPr>
      </w:pPr>
      <w:r>
        <w:rPr>
          <w:rFonts w:hint="eastAsia" w:ascii="宋体" w:hAnsi="宋体" w:eastAsia="宋体" w:cs="宋体"/>
          <w:b/>
          <w:color w:val="000000" w:themeColor="text1"/>
          <w:sz w:val="32"/>
          <w:szCs w:val="24"/>
          <w:highlight w:val="none"/>
          <w:lang w:eastAsia="zh-CN"/>
          <w14:textFill>
            <w14:solidFill>
              <w14:schemeClr w14:val="tx1"/>
            </w14:solidFill>
          </w14:textFill>
        </w:rPr>
        <w:t>代理机构：新疆泽远工程项目管理有限公司</w:t>
      </w:r>
      <w:r>
        <w:rPr>
          <w:rFonts w:hint="eastAsia" w:ascii="宋体" w:hAnsi="宋体" w:eastAsia="宋体" w:cs="宋体"/>
          <w:b/>
          <w:color w:val="000000" w:themeColor="text1"/>
          <w:sz w:val="32"/>
          <w:szCs w:val="24"/>
          <w:highlight w:val="none"/>
          <w:lang w:val="zh-CN" w:eastAsia="zh-CN"/>
          <w14:textFill>
            <w14:solidFill>
              <w14:schemeClr w14:val="tx1"/>
            </w14:solidFill>
          </w14:textFill>
        </w:rPr>
        <w:t>（盖章）</w:t>
      </w:r>
    </w:p>
    <w:p w14:paraId="1A79D5E5">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szCs w:val="24"/>
          <w:highlight w:val="none"/>
          <w:lang w:eastAsia="zh-CN"/>
          <w14:textFill>
            <w14:solidFill>
              <w14:schemeClr w14:val="tx1"/>
            </w14:solidFill>
          </w14:textFill>
        </w:rPr>
      </w:pPr>
    </w:p>
    <w:p w14:paraId="31FCEBD1">
      <w:pPr>
        <w:widowControl/>
        <w:shd w:val="clear" w:color="auto" w:fill="auto"/>
        <w:autoSpaceDE w:val="0"/>
        <w:autoSpaceDN w:val="0"/>
        <w:ind w:right="-26" w:firstLine="321" w:firstLineChars="100"/>
        <w:textAlignment w:val="bottom"/>
        <w:rPr>
          <w:rFonts w:hint="eastAsia" w:ascii="宋体" w:hAnsi="宋体" w:eastAsia="宋体" w:cs="宋体"/>
          <w:b/>
          <w:color w:val="000000" w:themeColor="text1"/>
          <w:sz w:val="32"/>
          <w:highlight w:val="none"/>
          <w:u w:val="singl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080" w:bottom="1440" w:left="1080" w:header="1007" w:footer="737" w:gutter="0"/>
          <w:pgBorders w:offsetFrom="page">
            <w:top w:val="none" w:sz="0" w:space="0"/>
            <w:left w:val="none" w:sz="0" w:space="0"/>
            <w:bottom w:val="none" w:sz="0" w:space="0"/>
            <w:right w:val="none" w:sz="0" w:space="0"/>
          </w:pgBorders>
          <w:pgNumType w:fmt="decimal" w:start="1"/>
          <w:cols w:space="720" w:num="1"/>
          <w:titlePg/>
          <w:docGrid w:linePitch="312" w:charSpace="0"/>
        </w:sectPr>
      </w:pPr>
      <w:r>
        <w:rPr>
          <w:rFonts w:hint="eastAsia" w:ascii="宋体" w:hAnsi="宋体" w:eastAsia="宋体" w:cs="宋体"/>
          <w:b/>
          <w:color w:val="000000" w:themeColor="text1"/>
          <w:sz w:val="32"/>
          <w:szCs w:val="24"/>
          <w:highlight w:val="none"/>
          <w:lang w:eastAsia="zh-CN"/>
          <w14:textFill>
            <w14:solidFill>
              <w14:schemeClr w14:val="tx1"/>
            </w14:solidFill>
          </w14:textFill>
        </w:rPr>
        <w:t>联 系 人：张女士</w:t>
      </w:r>
      <w:r>
        <w:rPr>
          <w:rFonts w:hint="eastAsia" w:ascii="宋体" w:hAnsi="宋体" w:eastAsia="宋体" w:cs="宋体"/>
          <w:b/>
          <w:color w:val="000000" w:themeColor="text1"/>
          <w:sz w:val="32"/>
          <w:szCs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32"/>
          <w:szCs w:val="24"/>
          <w:highlight w:val="none"/>
          <w:lang w:eastAsia="zh-CN"/>
          <w14:textFill>
            <w14:solidFill>
              <w14:schemeClr w14:val="tx1"/>
            </w14:solidFill>
          </w14:textFill>
        </w:rPr>
        <w:t xml:space="preserve">联系电话: </w:t>
      </w:r>
      <w:r>
        <w:rPr>
          <w:rFonts w:hint="eastAsia" w:ascii="宋体" w:hAnsi="宋体" w:eastAsia="宋体" w:cs="宋体"/>
          <w:b/>
          <w:color w:val="000000" w:themeColor="text1"/>
          <w:sz w:val="32"/>
          <w:szCs w:val="24"/>
          <w:highlight w:val="none"/>
          <w:lang w:val="en-US" w:eastAsia="zh-CN"/>
          <w14:textFill>
            <w14:solidFill>
              <w14:schemeClr w14:val="tx1"/>
            </w14:solidFill>
          </w14:textFill>
        </w:rPr>
        <w:t>13179869852</w:t>
      </w:r>
      <w:r>
        <w:rPr>
          <w:rFonts w:hint="eastAsia" w:ascii="宋体" w:hAnsi="宋体" w:eastAsia="宋体" w:cs="宋体"/>
          <w:b/>
          <w:color w:val="000000" w:themeColor="text1"/>
          <w:sz w:val="32"/>
          <w:szCs w:val="24"/>
          <w:highlight w:val="none"/>
          <w:lang w:eastAsia="zh-CN"/>
          <w14:textFill>
            <w14:solidFill>
              <w14:schemeClr w14:val="tx1"/>
            </w14:solidFill>
          </w14:textFill>
        </w:rPr>
        <w:t xml:space="preserve">     </w:t>
      </w:r>
      <w:r>
        <w:rPr>
          <w:rFonts w:hint="eastAsia" w:ascii="宋体" w:hAnsi="宋体" w:eastAsia="宋体" w:cs="宋体"/>
          <w:b/>
          <w:color w:val="000000" w:themeColor="text1"/>
          <w:sz w:val="48"/>
          <w:szCs w:val="48"/>
          <w:highlight w:val="none"/>
          <w14:textFill>
            <w14:solidFill>
              <w14:schemeClr w14:val="tx1"/>
            </w14:solidFill>
          </w14:textFill>
        </w:rPr>
        <w:t xml:space="preserve">  </w:t>
      </w:r>
      <w:r>
        <w:rPr>
          <w:rFonts w:hint="eastAsia" w:ascii="宋体" w:hAnsi="宋体" w:eastAsia="宋体" w:cs="宋体"/>
          <w:b/>
          <w:color w:val="000000" w:themeColor="text1"/>
          <w:sz w:val="44"/>
          <w:szCs w:val="44"/>
          <w:highlight w:val="none"/>
          <w14:textFill>
            <w14:solidFill>
              <w14:schemeClr w14:val="tx1"/>
            </w14:solidFill>
          </w14:textFill>
        </w:rPr>
        <w:t xml:space="preserve">            </w:t>
      </w:r>
    </w:p>
    <w:p w14:paraId="53E07EE9">
      <w:pPr>
        <w:shd w:val="clear" w:color="auto" w:fill="auto"/>
        <w:jc w:val="center"/>
        <w:outlineLvl w:val="0"/>
        <w:rPr>
          <w:rFonts w:hint="eastAsia" w:ascii="宋体" w:hAnsi="宋体" w:eastAsia="宋体" w:cs="宋体"/>
          <w:b/>
          <w:color w:val="000000" w:themeColor="text1"/>
          <w:sz w:val="36"/>
          <w:szCs w:val="36"/>
          <w:highlight w:val="none"/>
          <w14:textFill>
            <w14:solidFill>
              <w14:schemeClr w14:val="tx1"/>
            </w14:solidFill>
          </w14:textFill>
        </w:rPr>
      </w:pPr>
      <w:bookmarkStart w:id="8" w:name="_Toc31310"/>
      <w:r>
        <w:rPr>
          <w:rFonts w:hint="eastAsia" w:ascii="宋体" w:hAnsi="宋体" w:eastAsia="宋体" w:cs="宋体"/>
          <w:b/>
          <w:color w:val="000000" w:themeColor="text1"/>
          <w:sz w:val="36"/>
          <w:szCs w:val="36"/>
          <w:highlight w:val="none"/>
          <w14:textFill>
            <w14:solidFill>
              <w14:schemeClr w14:val="tx1"/>
            </w14:solidFill>
          </w14:textFill>
        </w:rPr>
        <w:t>招投标监督管理机构备案登记栏</w:t>
      </w:r>
      <w:bookmarkEnd w:id="8"/>
      <w:bookmarkStart w:id="9" w:name="_Hlt10523642"/>
      <w:bookmarkEnd w:id="9"/>
      <w:bookmarkStart w:id="10" w:name="_Hlt10519329"/>
      <w:bookmarkEnd w:id="10"/>
      <w:bookmarkStart w:id="11" w:name="_Hlt10462525"/>
      <w:bookmarkEnd w:id="11"/>
      <w:bookmarkStart w:id="12" w:name="_Hlt10567911"/>
      <w:bookmarkEnd w:id="12"/>
      <w:bookmarkStart w:id="13" w:name="_Hlt42956379"/>
      <w:bookmarkEnd w:id="13"/>
      <w:bookmarkStart w:id="14" w:name="_Hlt10529670"/>
      <w:bookmarkEnd w:id="14"/>
      <w:bookmarkStart w:id="15" w:name="_Hlt42956360"/>
      <w:bookmarkEnd w:id="15"/>
      <w:bookmarkStart w:id="16" w:name="_Hlt10524018"/>
      <w:bookmarkEnd w:id="16"/>
      <w:bookmarkStart w:id="17" w:name="_Hlt10524010"/>
      <w:bookmarkEnd w:id="17"/>
      <w:bookmarkStart w:id="18" w:name="_Hlt10524029"/>
      <w:bookmarkEnd w:id="18"/>
    </w:p>
    <w:tbl>
      <w:tblPr>
        <w:tblStyle w:val="50"/>
        <w:tblpPr w:leftFromText="180" w:rightFromText="180" w:vertAnchor="text" w:horzAnchor="page" w:tblpXSpec="center" w:tblpY="1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14:paraId="409C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0" w:hRule="atLeast"/>
          <w:jc w:val="center"/>
        </w:trPr>
        <w:tc>
          <w:tcPr>
            <w:tcW w:w="9080" w:type="dxa"/>
            <w:noWrap w:val="0"/>
            <w:vAlign w:val="top"/>
          </w:tcPr>
          <w:p w14:paraId="443F8DC1">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32"/>
                <w:szCs w:val="28"/>
                <w:highlight w:val="none"/>
                <w14:textFill>
                  <w14:solidFill>
                    <w14:schemeClr w14:val="tx1"/>
                  </w14:solidFill>
                </w14:textFill>
              </w:rPr>
            </w:pPr>
          </w:p>
          <w:p w14:paraId="5DE91EE0">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lang w:val="en-US" w:eastAsia="zh-CN"/>
                <w14:textFill>
                  <w14:solidFill>
                    <w14:schemeClr w14:val="tx1"/>
                  </w14:solidFill>
                </w14:textFill>
              </w:rPr>
            </w:pPr>
            <w:r>
              <w:rPr>
                <w:rFonts w:hint="eastAsia" w:ascii="宋体" w:hAnsi="宋体" w:eastAsia="宋体" w:cs="宋体"/>
                <w:color w:val="000000" w:themeColor="text1"/>
                <w:sz w:val="32"/>
                <w:szCs w:val="28"/>
                <w:highlight w:val="none"/>
                <w14:textFill>
                  <w14:solidFill>
                    <w14:schemeClr w14:val="tx1"/>
                  </w14:solidFill>
                </w14:textFill>
              </w:rPr>
              <w:t>采</w:t>
            </w:r>
            <w:r>
              <w:rPr>
                <w:rFonts w:hint="eastAsia" w:ascii="宋体" w:hAnsi="宋体" w:eastAsia="宋体" w:cs="宋体"/>
                <w:color w:val="000000" w:themeColor="text1"/>
                <w:sz w:val="28"/>
                <w:szCs w:val="24"/>
                <w:highlight w:val="none"/>
                <w14:textFill>
                  <w14:solidFill>
                    <w14:schemeClr w14:val="tx1"/>
                  </w14:solidFill>
                </w14:textFill>
              </w:rPr>
              <w:t>购单位：</w:t>
            </w:r>
            <w:r>
              <w:rPr>
                <w:rFonts w:hint="eastAsia" w:ascii="宋体" w:hAnsi="宋体" w:eastAsia="宋体" w:cs="宋体"/>
                <w:color w:val="000000" w:themeColor="text1"/>
                <w:sz w:val="28"/>
                <w:szCs w:val="24"/>
                <w:highlight w:val="none"/>
                <w:lang w:eastAsia="zh-CN"/>
                <w14:textFill>
                  <w14:solidFill>
                    <w14:schemeClr w14:val="tx1"/>
                  </w14:solidFill>
                </w14:textFill>
              </w:rPr>
              <w:t>克孜勒苏柯尔克孜自治州疾病预防控制中心</w:t>
            </w:r>
            <w:r>
              <w:rPr>
                <w:rFonts w:hint="eastAsia" w:ascii="宋体" w:hAnsi="宋体" w:eastAsia="宋体" w:cs="宋体"/>
                <w:color w:val="000000" w:themeColor="text1"/>
                <w:sz w:val="28"/>
                <w:szCs w:val="24"/>
                <w:highlight w:val="none"/>
                <w:lang w:val="en-US" w:eastAsia="zh-CN"/>
                <w14:textFill>
                  <w14:solidFill>
                    <w14:schemeClr w14:val="tx1"/>
                  </w14:solidFill>
                </w14:textFill>
              </w:rPr>
              <w:t>（盖章）</w:t>
            </w:r>
          </w:p>
          <w:p w14:paraId="7D6E05F3">
            <w:pPr>
              <w:keepNext w:val="0"/>
              <w:keepLines w:val="0"/>
              <w:suppressLineNumbers w:val="0"/>
              <w:shd w:val="clear" w:color="auto" w:fill="auto"/>
              <w:spacing w:before="0" w:beforeAutospacing="0" w:after="0" w:afterAutospacing="0" w:line="720" w:lineRule="auto"/>
              <w:ind w:left="0" w:right="0"/>
              <w:rPr>
                <w:rFonts w:hint="eastAsia" w:ascii="宋体" w:hAnsi="宋体" w:eastAsia="宋体" w:cs="宋体"/>
                <w:b/>
                <w:color w:val="000000" w:themeColor="text1"/>
                <w:kern w:val="0"/>
                <w:sz w:val="48"/>
                <w:szCs w:val="48"/>
                <w:highlight w:val="none"/>
                <w14:textFill>
                  <w14:solidFill>
                    <w14:schemeClr w14:val="tx1"/>
                  </w14:solidFill>
                </w14:textFill>
              </w:rPr>
            </w:pPr>
          </w:p>
          <w:p w14:paraId="7A4B52EC">
            <w:pPr>
              <w:pStyle w:val="38"/>
              <w:keepNext w:val="0"/>
              <w:keepLines w:val="0"/>
              <w:suppressLineNumbers w:val="0"/>
              <w:spacing w:before="0" w:beforeAutospacing="0" w:after="0" w:afterAutospacing="0"/>
              <w:ind w:right="0"/>
              <w:rPr>
                <w:rFonts w:hint="eastAsia" w:ascii="宋体" w:hAnsi="宋体" w:eastAsia="宋体" w:cs="宋体"/>
                <w:b/>
                <w:color w:val="000000" w:themeColor="text1"/>
                <w:kern w:val="0"/>
                <w:sz w:val="48"/>
                <w:szCs w:val="48"/>
                <w:highlight w:val="none"/>
                <w14:textFill>
                  <w14:solidFill>
                    <w14:schemeClr w14:val="tx1"/>
                  </w14:solidFill>
                </w14:textFill>
              </w:rPr>
            </w:pPr>
          </w:p>
          <w:p w14:paraId="3FE72105">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0"/>
                <w:szCs w:val="22"/>
                <w14:textFill>
                  <w14:solidFill>
                    <w14:schemeClr w14:val="tx1"/>
                  </w14:solidFill>
                </w14:textFill>
              </w:rPr>
            </w:pPr>
          </w:p>
          <w:p w14:paraId="2B18A3F7">
            <w:pPr>
              <w:keepNext w:val="0"/>
              <w:keepLines w:val="0"/>
              <w:suppressLineNumbers w:val="0"/>
              <w:shd w:val="clear" w:color="auto" w:fill="auto"/>
              <w:tabs>
                <w:tab w:val="left" w:pos="318"/>
                <w:tab w:val="center" w:pos="4745"/>
              </w:tabs>
              <w:autoSpaceDE w:val="0"/>
              <w:autoSpaceDN w:val="0"/>
              <w:spacing w:before="0" w:beforeAutospacing="0" w:after="0" w:afterAutospacing="0"/>
              <w:ind w:left="2240" w:right="0" w:hanging="1960" w:hangingChars="700"/>
              <w:rPr>
                <w:rFonts w:hint="eastAsia" w:ascii="宋体" w:hAnsi="宋体" w:eastAsia="宋体" w:cs="宋体"/>
                <w:color w:val="000000" w:themeColor="text1"/>
                <w:sz w:val="28"/>
                <w:szCs w:val="24"/>
                <w:highlight w:val="none"/>
                <w:lang w:eastAsia="zh-CN"/>
                <w14:textFill>
                  <w14:solidFill>
                    <w14:schemeClr w14:val="tx1"/>
                  </w14:solidFill>
                </w14:textFill>
              </w:rPr>
            </w:pPr>
            <w:r>
              <w:rPr>
                <w:rFonts w:hint="eastAsia" w:ascii="宋体" w:hAnsi="宋体" w:eastAsia="宋体" w:cs="宋体"/>
                <w:color w:val="000000" w:themeColor="text1"/>
                <w:sz w:val="28"/>
                <w:szCs w:val="24"/>
                <w:highlight w:val="none"/>
                <w14:textFill>
                  <w14:solidFill>
                    <w14:schemeClr w14:val="tx1"/>
                  </w14:solidFill>
                </w14:textFill>
              </w:rPr>
              <w:t>采购项目名称：</w:t>
            </w:r>
            <w:r>
              <w:rPr>
                <w:rFonts w:hint="eastAsia" w:ascii="宋体" w:hAnsi="宋体" w:eastAsia="宋体" w:cs="宋体"/>
                <w:color w:val="000000" w:themeColor="text1"/>
                <w:sz w:val="28"/>
                <w:szCs w:val="24"/>
                <w:highlight w:val="none"/>
                <w:lang w:eastAsia="zh-CN"/>
                <w14:textFill>
                  <w14:solidFill>
                    <w14:schemeClr w14:val="tx1"/>
                  </w14:solidFill>
                </w14:textFill>
              </w:rPr>
              <w:t>克州疾病预防控制中心致病菌、新冠基因测序等监测试剂耗材采购项目（一包）</w:t>
            </w:r>
            <w:r>
              <w:rPr>
                <w:rFonts w:hint="eastAsia" w:ascii="宋体" w:hAnsi="宋体" w:cs="宋体"/>
                <w:color w:val="000000" w:themeColor="text1"/>
                <w:sz w:val="28"/>
                <w:szCs w:val="24"/>
                <w:highlight w:val="none"/>
                <w:lang w:eastAsia="zh-CN"/>
                <w14:textFill>
                  <w14:solidFill>
                    <w14:schemeClr w14:val="tx1"/>
                  </w14:solidFill>
                </w14:textFill>
              </w:rPr>
              <w:t>（二次）</w:t>
            </w:r>
          </w:p>
          <w:p w14:paraId="36E4E231">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14:textFill>
                  <w14:solidFill>
                    <w14:schemeClr w14:val="tx1"/>
                  </w14:solidFill>
                </w14:textFill>
              </w:rPr>
            </w:pPr>
          </w:p>
          <w:p w14:paraId="681B166B">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14:textFill>
                  <w14:solidFill>
                    <w14:schemeClr w14:val="tx1"/>
                  </w14:solidFill>
                </w14:textFill>
              </w:rPr>
            </w:pPr>
          </w:p>
          <w:p w14:paraId="569B8A3C">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14:textFill>
                  <w14:solidFill>
                    <w14:schemeClr w14:val="tx1"/>
                  </w14:solidFill>
                </w14:textFill>
              </w:rPr>
            </w:pPr>
          </w:p>
          <w:p w14:paraId="129A402B">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14:textFill>
                  <w14:solidFill>
                    <w14:schemeClr w14:val="tx1"/>
                  </w14:solidFill>
                </w14:textFill>
              </w:rPr>
            </w:pPr>
          </w:p>
          <w:p w14:paraId="12D8B649">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14:textFill>
                  <w14:solidFill>
                    <w14:schemeClr w14:val="tx1"/>
                  </w14:solidFill>
                </w14:textFill>
              </w:rPr>
            </w:pPr>
          </w:p>
          <w:p w14:paraId="1C715347">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000000" w:themeColor="text1"/>
                <w:sz w:val="28"/>
                <w:szCs w:val="24"/>
                <w:highlight w:val="none"/>
                <w:lang w:eastAsia="zh-CN"/>
                <w14:textFill>
                  <w14:solidFill>
                    <w14:schemeClr w14:val="tx1"/>
                  </w14:solidFill>
                </w14:textFill>
              </w:rPr>
            </w:pPr>
            <w:r>
              <w:rPr>
                <w:rFonts w:hint="eastAsia" w:ascii="宋体" w:hAnsi="宋体" w:eastAsia="宋体" w:cs="宋体"/>
                <w:color w:val="000000" w:themeColor="text1"/>
                <w:sz w:val="28"/>
                <w:szCs w:val="24"/>
                <w:highlight w:val="none"/>
                <w14:textFill>
                  <w14:solidFill>
                    <w14:schemeClr w14:val="tx1"/>
                  </w14:solidFill>
                </w14:textFill>
              </w:rPr>
              <w:t>代理机构：</w:t>
            </w:r>
            <w:r>
              <w:rPr>
                <w:rFonts w:hint="eastAsia" w:ascii="宋体" w:hAnsi="宋体" w:eastAsia="宋体" w:cs="宋体"/>
                <w:color w:val="000000" w:themeColor="text1"/>
                <w:sz w:val="28"/>
                <w:szCs w:val="24"/>
                <w:highlight w:val="none"/>
                <w:lang w:eastAsia="zh-CN"/>
                <w14:textFill>
                  <w14:solidFill>
                    <w14:schemeClr w14:val="tx1"/>
                  </w14:solidFill>
                </w14:textFill>
              </w:rPr>
              <w:t>新疆泽远工程项目管理有限公司（盖章）</w:t>
            </w:r>
          </w:p>
          <w:p w14:paraId="549B0D45">
            <w:pPr>
              <w:keepNext w:val="0"/>
              <w:keepLines w:val="0"/>
              <w:suppressLineNumbers w:val="0"/>
              <w:shd w:val="clear" w:color="auto" w:fill="auto"/>
              <w:spacing w:before="0" w:beforeAutospacing="0" w:after="0" w:afterAutospacing="0" w:line="720" w:lineRule="auto"/>
              <w:ind w:left="0" w:right="0"/>
              <w:rPr>
                <w:rFonts w:hint="eastAsia" w:ascii="宋体" w:hAnsi="宋体" w:eastAsia="宋体" w:cs="宋体"/>
                <w:color w:val="000000" w:themeColor="text1"/>
                <w:sz w:val="32"/>
                <w:szCs w:val="28"/>
                <w:highlight w:val="none"/>
                <w14:textFill>
                  <w14:solidFill>
                    <w14:schemeClr w14:val="tx1"/>
                  </w14:solidFill>
                </w14:textFill>
              </w:rPr>
            </w:pPr>
          </w:p>
          <w:p w14:paraId="5B7720B4">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 xml:space="preserve">    </w:t>
            </w:r>
          </w:p>
          <w:p w14:paraId="4483A0E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 xml:space="preserve">    本采购招标文件已报备</w:t>
            </w:r>
          </w:p>
          <w:p w14:paraId="41B6CC4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b/>
                <w:color w:val="000000" w:themeColor="text1"/>
                <w:sz w:val="32"/>
                <w:szCs w:val="32"/>
                <w:highlight w:val="none"/>
                <w14:textFill>
                  <w14:solidFill>
                    <w14:schemeClr w14:val="tx1"/>
                  </w14:solidFill>
                </w14:textFill>
              </w:rPr>
            </w:pPr>
          </w:p>
          <w:p w14:paraId="7D1DDABE">
            <w:pPr>
              <w:keepNext w:val="0"/>
              <w:keepLines w:val="0"/>
              <w:suppressLineNumbers w:val="0"/>
              <w:shd w:val="clear" w:color="auto" w:fill="auto"/>
              <w:spacing w:before="0" w:beforeAutospacing="0" w:after="0" w:afterAutospacing="0"/>
              <w:ind w:left="0" w:right="0" w:firstLine="2240" w:firstLineChars="8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w:t>
            </w:r>
          </w:p>
          <w:p w14:paraId="26217B58">
            <w:pPr>
              <w:keepNext w:val="0"/>
              <w:keepLines w:val="0"/>
              <w:suppressLineNumbers w:val="0"/>
              <w:shd w:val="clear" w:color="auto" w:fill="auto"/>
              <w:spacing w:before="0" w:beforeAutospacing="0" w:after="0" w:afterAutospacing="0"/>
              <w:ind w:left="0" w:right="0" w:firstLine="2400" w:firstLineChars="750"/>
              <w:rPr>
                <w:rFonts w:hint="eastAsia" w:ascii="宋体" w:hAnsi="宋体" w:eastAsia="宋体" w:cs="宋体"/>
                <w:color w:val="000000" w:themeColor="text1"/>
                <w:sz w:val="32"/>
                <w:szCs w:val="32"/>
                <w:highlight w:val="none"/>
                <w14:textFill>
                  <w14:solidFill>
                    <w14:schemeClr w14:val="tx1"/>
                  </w14:solidFill>
                </w14:textFill>
              </w:rPr>
            </w:pPr>
          </w:p>
        </w:tc>
      </w:tr>
    </w:tbl>
    <w:p w14:paraId="5A77A3AB">
      <w:pPr>
        <w:shd w:val="clear" w:color="auto" w:fill="auto"/>
        <w:spacing w:line="340" w:lineRule="exact"/>
        <w:jc w:val="both"/>
        <w:rPr>
          <w:rFonts w:hint="eastAsia" w:ascii="宋体" w:hAnsi="宋体" w:eastAsia="宋体" w:cs="宋体"/>
          <w:b/>
          <w:color w:val="000000" w:themeColor="text1"/>
          <w:sz w:val="28"/>
          <w:szCs w:val="28"/>
          <w:highlight w:val="none"/>
          <w14:textFill>
            <w14:solidFill>
              <w14:schemeClr w14:val="tx1"/>
            </w14:solidFill>
          </w14:textFill>
        </w:rPr>
      </w:pPr>
    </w:p>
    <w:p w14:paraId="3185C585">
      <w:pPr>
        <w:shd w:val="clear" w:color="auto" w:fill="auto"/>
        <w:spacing w:line="340" w:lineRule="exact"/>
        <w:rPr>
          <w:rFonts w:hint="eastAsia" w:ascii="宋体" w:hAnsi="宋体" w:eastAsia="宋体" w:cs="宋体"/>
          <w:b/>
          <w:color w:val="000000" w:themeColor="text1"/>
          <w:sz w:val="30"/>
          <w:szCs w:val="30"/>
          <w:highlight w:val="none"/>
          <w14:textFill>
            <w14:solidFill>
              <w14:schemeClr w14:val="tx1"/>
            </w14:solidFill>
          </w14:textFill>
        </w:rPr>
      </w:pPr>
    </w:p>
    <w:p w14:paraId="414A56B5">
      <w:pPr>
        <w:shd w:val="clear" w:color="auto" w:fill="auto"/>
        <w:rPr>
          <w:rFonts w:hint="eastAsia" w:ascii="宋体" w:hAnsi="宋体" w:eastAsia="宋体" w:cs="宋体"/>
          <w:color w:val="000000" w:themeColor="text1"/>
          <w:highlight w:val="none"/>
          <w14:textFill>
            <w14:solidFill>
              <w14:schemeClr w14:val="tx1"/>
            </w14:solidFill>
          </w14:textFill>
        </w:rPr>
      </w:pPr>
    </w:p>
    <w:p w14:paraId="22A10F15">
      <w:pPr>
        <w:pStyle w:val="13"/>
        <w:shd w:val="clear" w:color="auto" w:fill="auto"/>
        <w:rPr>
          <w:rFonts w:hint="eastAsia" w:ascii="宋体" w:hAnsi="宋体" w:eastAsia="宋体" w:cs="宋体"/>
          <w:color w:val="000000" w:themeColor="text1"/>
          <w:highlight w:val="none"/>
          <w14:textFill>
            <w14:solidFill>
              <w14:schemeClr w14:val="tx1"/>
            </w14:solidFill>
          </w14:textFill>
        </w:rPr>
      </w:pPr>
    </w:p>
    <w:p w14:paraId="68C66914">
      <w:pPr>
        <w:shd w:val="clear" w:color="auto" w:fill="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目    录</w:t>
      </w:r>
    </w:p>
    <w:p w14:paraId="1EE5A0DE">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1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"1-3" \h \u </w:instrText>
      </w:r>
      <w:r>
        <w:rPr>
          <w:rFonts w:hint="eastAsia"/>
          <w:color w:val="000000" w:themeColor="text1"/>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_Toc27970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val="en-US" w:eastAsia="zh-CN"/>
          <w14:textFill>
            <w14:solidFill>
              <w14:schemeClr w14:val="tx1"/>
            </w14:solidFill>
          </w14:textFill>
        </w:rPr>
        <w:t>第一章 竞争性谈判公告</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_Toc27970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ACBED6A">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_Toc28469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第二章</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供应商须知</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_Toc28469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323D0B5">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_Toc1258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供应商</w:t>
      </w:r>
      <w:r>
        <w:rPr>
          <w:rFonts w:hint="eastAsia" w:ascii="宋体" w:hAnsi="宋体" w:eastAsia="宋体" w:cs="宋体"/>
          <w:color w:val="000000" w:themeColor="text1"/>
          <w:sz w:val="24"/>
          <w:szCs w:val="24"/>
          <w14:textFill>
            <w14:solidFill>
              <w14:schemeClr w14:val="tx1"/>
            </w14:solidFill>
          </w14:textFill>
        </w:rPr>
        <w:t>须知前附表</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_Toc1258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8B7C49B">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_Toc32495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第三章</w:t>
      </w:r>
      <w:r>
        <w:rPr>
          <w:rFonts w:hint="eastAsia" w:ascii="宋体" w:hAnsi="宋体" w:eastAsia="宋体" w:cs="宋体"/>
          <w:color w:val="000000" w:themeColor="text1"/>
          <w:sz w:val="24"/>
          <w:szCs w:val="24"/>
          <w:lang w:val="en-US" w:eastAsia="zh-CN"/>
          <w14:textFill>
            <w14:solidFill>
              <w14:schemeClr w14:val="tx1"/>
            </w14:solidFill>
          </w14:textFill>
        </w:rPr>
        <w:t xml:space="preserve"> 总则</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_Toc32495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12</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29A3275F">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_Toc12455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总  则</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_Toc12455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12</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8C09424">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_Toc31549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竞争性谈判</w:t>
      </w:r>
      <w:r>
        <w:rPr>
          <w:rFonts w:hint="eastAsia" w:ascii="宋体" w:hAnsi="宋体" w:eastAsia="宋体" w:cs="宋体"/>
          <w:color w:val="000000" w:themeColor="text1"/>
          <w:sz w:val="24"/>
          <w:szCs w:val="24"/>
          <w:lang w:eastAsia="zh-CN"/>
          <w14:textFill>
            <w14:solidFill>
              <w14:schemeClr w14:val="tx1"/>
            </w14:solidFill>
          </w14:textFill>
        </w:rPr>
        <w:t>谈判文件</w:t>
      </w:r>
      <w:r>
        <w:rPr>
          <w:rFonts w:hint="eastAsia" w:ascii="宋体" w:hAnsi="宋体" w:eastAsia="宋体" w:cs="宋体"/>
          <w:color w:val="000000" w:themeColor="text1"/>
          <w:sz w:val="24"/>
          <w:szCs w:val="24"/>
          <w14:textFill>
            <w14:solidFill>
              <w14:schemeClr w14:val="tx1"/>
            </w14:solidFill>
          </w14:textFill>
        </w:rPr>
        <w:t>（简称</w:t>
      </w:r>
      <w:r>
        <w:rPr>
          <w:rFonts w:hint="eastAsia" w:ascii="宋体" w:hAnsi="宋体" w:eastAsia="宋体" w:cs="宋体"/>
          <w:color w:val="000000" w:themeColor="text1"/>
          <w:sz w:val="24"/>
          <w:szCs w:val="24"/>
          <w:lang w:eastAsia="zh-CN"/>
          <w14:textFill>
            <w14:solidFill>
              <w14:schemeClr w14:val="tx1"/>
            </w14:solidFill>
          </w14:textFill>
        </w:rPr>
        <w:t>谈判文件</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_Toc31549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34AAD666">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_Toc10340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三</w:t>
      </w:r>
      <w:r>
        <w:rPr>
          <w:rFonts w:hint="eastAsia" w:ascii="宋体" w:hAnsi="宋体" w:eastAsia="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文件的编制</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_Toc10340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14</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1D7BCA1">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_Toc6730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四</w:t>
      </w:r>
      <w:r>
        <w:rPr>
          <w:rFonts w:hint="eastAsia" w:ascii="宋体" w:hAnsi="宋体" w:eastAsia="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文件的上传和递交</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_Toc6730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17</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9A9EF19">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_Toc20482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第四章</w:t>
      </w:r>
      <w:r>
        <w:rPr>
          <w:rFonts w:hint="eastAsia" w:ascii="宋体" w:hAnsi="宋体" w:eastAsia="宋体" w:cs="宋体"/>
          <w:color w:val="000000" w:themeColor="text1"/>
          <w:sz w:val="24"/>
          <w:szCs w:val="24"/>
          <w14:textFill>
            <w14:solidFill>
              <w14:schemeClr w14:val="tx1"/>
            </w14:solidFill>
          </w14:textFill>
        </w:rPr>
        <w:t xml:space="preserve">  开标</w:t>
      </w:r>
      <w:r>
        <w:rPr>
          <w:rFonts w:hint="eastAsia" w:ascii="宋体" w:hAnsi="宋体" w:eastAsia="宋体" w:cs="宋体"/>
          <w:color w:val="000000" w:themeColor="text1"/>
          <w:sz w:val="24"/>
          <w:szCs w:val="24"/>
          <w:lang w:eastAsia="zh-CN"/>
          <w14:textFill>
            <w14:solidFill>
              <w14:schemeClr w14:val="tx1"/>
            </w14:solidFill>
          </w14:textFill>
        </w:rPr>
        <w:t>、评标和定标</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_Toc20482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05D797F">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_Toc23365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开标程序</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_Toc23365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30A3EDC">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_Toc15226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二、谈判</w:t>
      </w:r>
      <w:r>
        <w:rPr>
          <w:rFonts w:hint="eastAsia" w:ascii="宋体" w:hAnsi="宋体" w:eastAsia="宋体" w:cs="宋体"/>
          <w:color w:val="000000" w:themeColor="text1"/>
          <w:sz w:val="24"/>
          <w:szCs w:val="24"/>
          <w14:textFill>
            <w14:solidFill>
              <w14:schemeClr w14:val="tx1"/>
            </w14:solidFill>
          </w14:textFill>
        </w:rPr>
        <w:t>报价方式</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_Toc15226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A14F861">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_Toc16015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、评标</w:t>
      </w:r>
      <w:r>
        <w:rPr>
          <w:rFonts w:hint="eastAsia" w:ascii="宋体" w:hAnsi="宋体" w:eastAsia="宋体" w:cs="宋体"/>
          <w:color w:val="000000" w:themeColor="text1"/>
          <w:sz w:val="24"/>
          <w:szCs w:val="24"/>
          <w:lang w:eastAsia="zh-CN"/>
          <w14:textFill>
            <w14:solidFill>
              <w14:schemeClr w14:val="tx1"/>
            </w14:solidFill>
          </w14:textFill>
        </w:rPr>
        <w:t>程序</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_Toc16015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36E7478">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_Toc20570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、成交及合同签订</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_Toc20570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A4FFD7D">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_Toc7624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五</w:t>
      </w:r>
      <w:r>
        <w:rPr>
          <w:rFonts w:hint="eastAsia" w:ascii="宋体" w:hAnsi="宋体" w:eastAsia="宋体" w:cs="宋体"/>
          <w:color w:val="000000" w:themeColor="text1"/>
          <w:sz w:val="24"/>
          <w:szCs w:val="24"/>
          <w:highlight w:val="none"/>
          <w14:textFill>
            <w14:solidFill>
              <w14:schemeClr w14:val="tx1"/>
            </w14:solidFill>
          </w14:textFill>
        </w:rPr>
        <w:t>、法律责任</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_Toc7624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13E4941">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_Toc21899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六</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质疑与投诉</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_Toc21899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27</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084C008">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_Toc10417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val="en-US" w:eastAsia="zh-CN"/>
          <w14:textFill>
            <w14:solidFill>
              <w14:schemeClr w14:val="tx1"/>
            </w14:solidFill>
          </w14:textFill>
        </w:rPr>
        <w:t>第五章 技术规格、数量及质量要求</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_Toc10417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32</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0097BE9">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_Toc3921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第六章</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合同条款及格式</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_Toc3921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49</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19D08CB">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_Toc25043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val="en-US" w:eastAsia="zh-CN"/>
          <w14:textFill>
            <w14:solidFill>
              <w14:schemeClr w14:val="tx1"/>
            </w14:solidFill>
          </w14:textFill>
        </w:rPr>
        <w:t xml:space="preserve">一 </w:t>
      </w:r>
      <w:r>
        <w:rPr>
          <w:rFonts w:hint="eastAsia" w:ascii="宋体" w:hAnsi="宋体" w:eastAsia="宋体" w:cs="宋体"/>
          <w:color w:val="000000" w:themeColor="text1"/>
          <w:sz w:val="24"/>
          <w:szCs w:val="24"/>
          <w14:textFill>
            <w14:solidFill>
              <w14:schemeClr w14:val="tx1"/>
            </w14:solidFill>
          </w14:textFill>
        </w:rPr>
        <w:t>合同协议书</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_Toc25043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49</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3075FA1F">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_Toc20824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合同条款</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_Toc20824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2D78355">
      <w:pPr>
        <w:pStyle w:val="32"/>
        <w:keepNext w:val="0"/>
        <w:keepLines w:val="0"/>
        <w:pageBreakBefore w:val="0"/>
        <w:widowControl w:val="0"/>
        <w:tabs>
          <w:tab w:val="right" w:leader="hyphen" w:pos="9745"/>
          <w:tab w:val="clear" w:pos="1260"/>
          <w:tab w:val="clear" w:pos="9060"/>
        </w:tabs>
        <w:kinsoku/>
        <w:wordWrap/>
        <w:overflowPunct/>
        <w:topLinePunct w:val="0"/>
        <w:autoSpaceDE/>
        <w:autoSpaceDN/>
        <w:bidi w:val="0"/>
        <w:adjustRightInd/>
        <w:snapToGrid/>
        <w:spacing w:before="0" w:beforeLines="0" w:after="0" w:afterLines="0" w:line="360" w:lineRule="auto"/>
        <w:ind w:left="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_Toc5793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第七章</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响应文件格式</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_Toc5793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55</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549E3CC">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_Toc10939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资格证明文件</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_Toc10939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56</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3363170E">
      <w:pPr>
        <w:pStyle w:val="39"/>
        <w:keepNext w:val="0"/>
        <w:keepLines w:val="0"/>
        <w:pageBreakBefore w:val="0"/>
        <w:widowControl w:val="0"/>
        <w:tabs>
          <w:tab w:val="right" w:leader="hyphen" w:pos="9745"/>
        </w:tabs>
        <w:kinsoku/>
        <w:wordWrap/>
        <w:overflowPunct/>
        <w:topLinePunct w:val="0"/>
        <w:autoSpaceDE/>
        <w:autoSpaceDN/>
        <w:bidi w:val="0"/>
        <w:adjustRightInd/>
        <w:snapToGrid/>
        <w:spacing w:line="360" w:lineRule="auto"/>
        <w:ind w:left="0" w:firstLine="240" w:firstLineChars="100"/>
        <w:textAlignment w:val="auto"/>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\l _Toc21100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lang w:eastAsia="zh-CN"/>
          <w14:textFill>
            <w14:solidFill>
              <w14:schemeClr w14:val="tx1"/>
            </w14:solidFill>
          </w14:textFill>
        </w:rPr>
        <w:t>商务及技术文件</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PAGEREF _Toc21100 \h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64</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5D9D696">
      <w:pPr>
        <w:pStyle w:val="23"/>
        <w:tabs>
          <w:tab w:val="right" w:leader="hyphen" w:pos="9745"/>
        </w:tabs>
        <w:rPr>
          <w:color w:val="000000" w:themeColor="text1"/>
          <w14:textFill>
            <w14:solidFill>
              <w14:schemeClr w14:val="tx1"/>
            </w14:solidFill>
          </w14:textFill>
        </w:rPr>
      </w:pPr>
    </w:p>
    <w:p w14:paraId="67D9AA43">
      <w:pPr>
        <w:rPr>
          <w:rFonts w:hint="eastAsia"/>
          <w:color w:val="000000" w:themeColor="text1"/>
          <w14:textFill>
            <w14:solidFill>
              <w14:schemeClr w14:val="tx1"/>
            </w14:solidFill>
          </w14:textFill>
        </w:rPr>
        <w:sectPr>
          <w:footerReference r:id="rId9" w:type="default"/>
          <w:pgSz w:w="11905" w:h="16838"/>
          <w:pgMar w:top="1440" w:right="1080" w:bottom="1440" w:left="1080" w:header="850" w:footer="992" w:gutter="0"/>
          <w:pgNumType w:fmt="decimal"/>
          <w:cols w:space="720" w:num="1"/>
          <w:rtlGutter w:val="0"/>
          <w:docGrid w:type="lines" w:linePitch="314" w:charSpace="0"/>
        </w:sectPr>
      </w:pPr>
      <w:r>
        <w:rPr>
          <w:rFonts w:hint="eastAsia"/>
          <w:color w:val="000000" w:themeColor="text1"/>
          <w14:textFill>
            <w14:solidFill>
              <w14:schemeClr w14:val="tx1"/>
            </w14:solidFill>
          </w14:textFill>
        </w:rPr>
        <w:fldChar w:fldCharType="end"/>
      </w:r>
    </w:p>
    <w:p w14:paraId="505E94EB">
      <w:pPr>
        <w:shd w:val="clear" w:color="auto" w:fill="auto"/>
        <w:jc w:val="center"/>
        <w:outlineLvl w:val="0"/>
        <w:rPr>
          <w:rFonts w:hint="eastAsia" w:ascii="宋体" w:hAnsi="宋体" w:eastAsia="宋体" w:cs="宋体"/>
          <w:b/>
          <w:color w:val="000000" w:themeColor="text1"/>
          <w:spacing w:val="40"/>
          <w:sz w:val="32"/>
          <w:szCs w:val="32"/>
          <w:highlight w:val="none"/>
          <w14:textFill>
            <w14:solidFill>
              <w14:schemeClr w14:val="tx1"/>
            </w14:solidFill>
          </w14:textFill>
        </w:rPr>
      </w:pPr>
      <w:bookmarkStart w:id="19" w:name="_Toc25597"/>
      <w:bookmarkStart w:id="20" w:name="_Toc14725"/>
      <w:r>
        <w:rPr>
          <w:rStyle w:val="59"/>
          <w:rFonts w:hint="eastAsia" w:ascii="宋体" w:hAnsi="宋体" w:eastAsia="宋体" w:cs="宋体"/>
          <w:color w:val="000000" w:themeColor="text1"/>
          <w:highlight w:val="none"/>
          <w:lang w:val="en-US" w:eastAsia="zh-CN"/>
          <w14:textFill>
            <w14:solidFill>
              <w14:schemeClr w14:val="tx1"/>
            </w14:solidFill>
          </w14:textFill>
        </w:rPr>
        <w:t xml:space="preserve"> </w:t>
      </w:r>
      <w:bookmarkStart w:id="21" w:name="_Toc27970"/>
      <w:r>
        <w:rPr>
          <w:rStyle w:val="59"/>
          <w:rFonts w:hint="eastAsia" w:ascii="宋体" w:hAnsi="宋体" w:eastAsia="宋体" w:cs="宋体"/>
          <w:color w:val="000000" w:themeColor="text1"/>
          <w:highlight w:val="none"/>
          <w:lang w:val="en-US" w:eastAsia="zh-CN"/>
          <w14:textFill>
            <w14:solidFill>
              <w14:schemeClr w14:val="tx1"/>
            </w14:solidFill>
          </w14:textFill>
        </w:rPr>
        <w:t>第一章 竞争性谈判公告</w:t>
      </w:r>
      <w:bookmarkEnd w:id="19"/>
      <w:bookmarkEnd w:id="20"/>
      <w:bookmarkEnd w:id="21"/>
      <w:r>
        <w:rPr>
          <w:rFonts w:hint="eastAsia" w:ascii="宋体" w:hAnsi="宋体" w:eastAsia="宋体" w:cs="宋体"/>
          <w:b/>
          <w:color w:val="000000" w:themeColor="text1"/>
          <w:spacing w:val="40"/>
          <w:sz w:val="32"/>
          <w:szCs w:val="32"/>
          <w:highlight w:val="none"/>
          <w14:textFill>
            <w14:solidFill>
              <w14:schemeClr w14:val="tx1"/>
            </w14:solidFill>
          </w14:textFill>
        </w:rPr>
        <w:t xml:space="preserve">  </w:t>
      </w:r>
    </w:p>
    <w:p w14:paraId="3D457072">
      <w:pPr>
        <w:widowControl/>
        <w:shd w:val="clear" w:color="auto" w:fill="auto"/>
        <w:spacing w:before="75" w:after="75" w:line="240" w:lineRule="auto"/>
        <w:jc w:val="center"/>
        <w:outlineLvl w:val="1"/>
        <w:rPr>
          <w:rFonts w:hint="eastAsia" w:ascii="宋体" w:hAnsi="宋体" w:cs="宋体"/>
          <w:b/>
          <w:bCs/>
          <w:color w:val="000000" w:themeColor="text1"/>
          <w:kern w:val="0"/>
          <w:sz w:val="28"/>
          <w:szCs w:val="28"/>
          <w:highlight w:val="none"/>
          <w:u w:val="none"/>
          <w:lang w:val="en-US" w:eastAsia="zh-CN"/>
          <w14:textFill>
            <w14:solidFill>
              <w14:schemeClr w14:val="tx1"/>
            </w14:solidFill>
          </w14:textFill>
        </w:rPr>
      </w:pPr>
      <w:bookmarkStart w:id="22" w:name="_Toc25262"/>
      <w:r>
        <w:rPr>
          <w:rFonts w:hint="eastAsia" w:ascii="宋体" w:hAnsi="宋体" w:cs="宋体"/>
          <w:b/>
          <w:bCs/>
          <w:color w:val="000000" w:themeColor="text1"/>
          <w:kern w:val="0"/>
          <w:sz w:val="28"/>
          <w:szCs w:val="28"/>
          <w:highlight w:val="none"/>
          <w:u w:val="none"/>
          <w:lang w:val="en-US" w:eastAsia="zh-CN"/>
          <w14:textFill>
            <w14:solidFill>
              <w14:schemeClr w14:val="tx1"/>
            </w14:solidFill>
          </w14:textFill>
        </w:rPr>
        <w:t>克州疾病预防控制中心致病菌、新冠基因测序等监测试剂耗材</w:t>
      </w:r>
      <w:bookmarkEnd w:id="22"/>
    </w:p>
    <w:p w14:paraId="0D39EE81">
      <w:pPr>
        <w:widowControl/>
        <w:shd w:val="clear" w:color="auto" w:fill="auto"/>
        <w:spacing w:before="75" w:after="75" w:line="240" w:lineRule="auto"/>
        <w:jc w:val="center"/>
        <w:rPr>
          <w:rFonts w:hint="eastAsia" w:ascii="宋体" w:hAnsi="宋体" w:eastAsia="宋体" w:cs="宋体"/>
          <w:b/>
          <w:bCs/>
          <w:color w:val="000000" w:themeColor="text1"/>
          <w:kern w:val="0"/>
          <w:sz w:val="28"/>
          <w:szCs w:val="28"/>
          <w:highlight w:val="none"/>
          <w:vertAlign w:val="baseline"/>
          <w14:textFill>
            <w14:solidFill>
              <w14:schemeClr w14:val="tx1"/>
            </w14:solidFill>
          </w14:textFill>
        </w:rPr>
      </w:pPr>
      <w:r>
        <w:rPr>
          <w:rFonts w:hint="eastAsia" w:ascii="宋体" w:hAnsi="宋体" w:cs="宋体"/>
          <w:b/>
          <w:bCs/>
          <w:color w:val="000000" w:themeColor="text1"/>
          <w:kern w:val="0"/>
          <w:sz w:val="28"/>
          <w:szCs w:val="28"/>
          <w:highlight w:val="none"/>
          <w:u w:val="none"/>
          <w:lang w:val="en-US" w:eastAsia="zh-CN"/>
          <w14:textFill>
            <w14:solidFill>
              <w14:schemeClr w14:val="tx1"/>
            </w14:solidFill>
          </w14:textFill>
        </w:rPr>
        <w:t>采购项目（二次）</w:t>
      </w:r>
      <w:r>
        <w:rPr>
          <w:rFonts w:hint="eastAsia" w:ascii="宋体" w:hAnsi="宋体" w:eastAsia="宋体" w:cs="宋体"/>
          <w:b/>
          <w:bCs/>
          <w:color w:val="000000" w:themeColor="text1"/>
          <w:kern w:val="0"/>
          <w:sz w:val="28"/>
          <w:szCs w:val="28"/>
          <w:highlight w:val="none"/>
          <w:u w:val="none"/>
          <w:lang w:val="en-US" w:eastAsia="zh-CN"/>
          <w14:textFill>
            <w14:solidFill>
              <w14:schemeClr w14:val="tx1"/>
            </w14:solidFill>
          </w14:textFill>
        </w:rPr>
        <w:t>竞争性谈判公告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5"/>
      </w:tblGrid>
      <w:tr w14:paraId="1D3B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9385" w:type="dxa"/>
            <w:noWrap w:val="0"/>
            <w:vAlign w:val="top"/>
          </w:tcPr>
          <w:p w14:paraId="3DBEDA2C">
            <w:pPr>
              <w:pStyle w:val="44"/>
              <w:keepNext w:val="0"/>
              <w:keepLines w:val="0"/>
              <w:pageBreakBefore w:val="0"/>
              <w:widowControl/>
              <w:suppressLineNumbers w:val="0"/>
              <w:shd w:val="clear" w:color="auto" w:fill="auto"/>
              <w:kinsoku/>
              <w:wordWrap/>
              <w:overflowPunct/>
              <w:topLinePunct w:val="0"/>
              <w:autoSpaceDE/>
              <w:autoSpaceDN/>
              <w:bidi w:val="0"/>
              <w:adjustRightInd/>
              <w:snapToGrid/>
              <w:spacing w:before="75" w:beforeAutospacing="0" w:after="75" w:afterAutospacing="0" w:line="240" w:lineRule="auto"/>
              <w:ind w:right="0"/>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 xml:space="preserve">项目概况 </w:t>
            </w:r>
          </w:p>
          <w:p w14:paraId="6BA5B353">
            <w:pPr>
              <w:pStyle w:val="44"/>
              <w:keepNext w:val="0"/>
              <w:keepLines w:val="0"/>
              <w:widowControl/>
              <w:suppressLineNumbers w:val="0"/>
              <w:shd w:val="clear" w:color="auto" w:fill="auto"/>
              <w:autoSpaceDE w:val="0"/>
              <w:autoSpaceDN/>
              <w:spacing w:before="75" w:beforeAutospacing="0" w:after="75" w:afterAutospacing="0" w:line="300" w:lineRule="exact"/>
              <w:ind w:left="0" w:right="0" w:firstLine="420" w:firstLineChars="200"/>
              <w:rPr>
                <w:rFonts w:hint="eastAsia" w:ascii="宋体" w:hAnsi="宋体" w:eastAsia="宋体" w:cs="宋体"/>
                <w:color w:val="000000" w:themeColor="text1"/>
                <w:sz w:val="28"/>
                <w:szCs w:val="28"/>
                <w:highlight w:val="none"/>
                <w:vertAlign w:val="baseline"/>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克州疾病预防控制中心致病菌、新冠基因测序等监测试剂耗材采购项目（二次）</w:t>
            </w:r>
            <w:r>
              <w:rPr>
                <w:rFonts w:hint="eastAsia" w:ascii="新宋体" w:hAnsi="新宋体" w:eastAsia="新宋体" w:cs="新宋体"/>
                <w:color w:val="000000" w:themeColor="text1"/>
                <w:sz w:val="21"/>
                <w:szCs w:val="21"/>
                <w:highlight w:val="none"/>
                <w14:textFill>
                  <w14:solidFill>
                    <w14:schemeClr w14:val="tx1"/>
                  </w14:solidFill>
                </w14:textFill>
              </w:rPr>
              <w:t>的潜在投标人应在政采云平台线上https://www.zcygov.cn/获取招标文件，并于</w:t>
            </w:r>
            <w:r>
              <w:rPr>
                <w:rFonts w:hint="eastAsia" w:ascii="新宋体" w:hAnsi="新宋体" w:eastAsia="新宋体" w:cs="新宋体"/>
                <w:color w:val="000000" w:themeColor="text1"/>
                <w:sz w:val="21"/>
                <w:szCs w:val="21"/>
                <w:highlight w:val="none"/>
                <w:lang w:eastAsia="zh-CN"/>
                <w14:textFill>
                  <w14:solidFill>
                    <w14:schemeClr w14:val="tx1"/>
                  </w14:solidFill>
                </w14:textFill>
              </w:rPr>
              <w:t>2025年07月24日 10:30</w:t>
            </w:r>
            <w:r>
              <w:rPr>
                <w:rFonts w:hint="eastAsia" w:ascii="新宋体" w:hAnsi="新宋体" w:eastAsia="新宋体" w:cs="新宋体"/>
                <w:color w:val="000000" w:themeColor="text1"/>
                <w:sz w:val="21"/>
                <w:szCs w:val="21"/>
                <w:highlight w:val="none"/>
                <w14:textFill>
                  <w14:solidFill>
                    <w14:schemeClr w14:val="tx1"/>
                  </w14:solidFill>
                </w14:textFill>
              </w:rPr>
              <w:t>（北京时间）前递交投标文件。</w:t>
            </w:r>
          </w:p>
        </w:tc>
      </w:tr>
    </w:tbl>
    <w:p w14:paraId="7B5EA8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t xml:space="preserve">一、项目基本情况 </w:t>
      </w: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 xml:space="preserve">                                           </w:t>
      </w:r>
    </w:p>
    <w:p w14:paraId="181D758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项目编号：</w:t>
      </w:r>
      <w:r>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t>KZZB-</w:t>
      </w: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2025103-1</w:t>
      </w:r>
    </w:p>
    <w:p w14:paraId="779404C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项目名称：克州疾病预防控制中心致病菌、新冠基因测序等监测试剂耗材采购项目（二次）</w:t>
      </w:r>
    </w:p>
    <w:p w14:paraId="4EA63AB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采购方式：竞争性谈判</w:t>
      </w:r>
    </w:p>
    <w:p w14:paraId="2A9D3B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预算金额（元）：1500000元</w:t>
      </w:r>
    </w:p>
    <w:p w14:paraId="53DED76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最高限价（元）：1060000元，440000元</w:t>
      </w:r>
    </w:p>
    <w:p w14:paraId="5A22F95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采购需求：</w:t>
      </w:r>
    </w:p>
    <w:p w14:paraId="49FE3A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标项一</w:t>
      </w:r>
    </w:p>
    <w:p w14:paraId="018068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标项名称：克州疾病预防控制中心致病菌、新冠基因测序等监测试剂耗材采购项目（一包）（二次）</w:t>
      </w:r>
    </w:p>
    <w:p w14:paraId="0D7F8BD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数量：1</w:t>
      </w:r>
    </w:p>
    <w:p w14:paraId="0899F1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 xml:space="preserve">预算金额（元）：1060000元    </w:t>
      </w:r>
    </w:p>
    <w:p w14:paraId="7A5C5C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单位：批</w:t>
      </w:r>
    </w:p>
    <w:p w14:paraId="79AADB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简要规格描述：致病菌、流感、手足口监测相关试剂、新冠基因测序试剂、新冠污水检测试剂</w:t>
      </w:r>
    </w:p>
    <w:p w14:paraId="3517DD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备注：具体详见参数附件或谈判文件</w:t>
      </w:r>
    </w:p>
    <w:p w14:paraId="0F34A0D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标项二</w:t>
      </w:r>
    </w:p>
    <w:p w14:paraId="47F778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标项名称：克州疾病预防控制中心致病菌、新冠基因测序等监测试剂耗材采购项目（二包）（二次）</w:t>
      </w:r>
    </w:p>
    <w:p w14:paraId="23250DF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数量：1</w:t>
      </w:r>
    </w:p>
    <w:p w14:paraId="1F690E6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 xml:space="preserve">预算金额（元）：440000元    </w:t>
      </w:r>
    </w:p>
    <w:p w14:paraId="2D1415D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单位：批</w:t>
      </w:r>
    </w:p>
    <w:p w14:paraId="611382F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简要规格描述：致病菌、流感、手足口监测相关试剂耗材、急救及应急检测耗材</w:t>
      </w:r>
    </w:p>
    <w:p w14:paraId="2C51CF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备注：具体详见参数附件或谈判文件</w:t>
      </w:r>
    </w:p>
    <w:p w14:paraId="71A3C2F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p>
    <w:p w14:paraId="2A4B35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合同履约期限：标项 1，标项 2，详见谈判文件。</w:t>
      </w:r>
    </w:p>
    <w:p w14:paraId="3497C60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本项目（否）接受联合体投标。</w:t>
      </w:r>
    </w:p>
    <w:p w14:paraId="3522135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outlineLvl w:val="1"/>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pPr>
      <w:bookmarkStart w:id="23" w:name="_Toc16898"/>
      <w:r>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t>二、申请人的资格要求：</w:t>
      </w:r>
      <w:bookmarkEnd w:id="23"/>
    </w:p>
    <w:p w14:paraId="3A9B252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2"/>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24" w:name="_Toc9710"/>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1.满足《中华人民共和国政府采购法》第二十二条规定；</w:t>
      </w:r>
      <w:bookmarkEnd w:id="24"/>
    </w:p>
    <w:p w14:paraId="4CF2F1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2.落实政府采购政策需满足的资格要求：标项 1，标项 2：</w:t>
      </w:r>
      <w:r>
        <w:rPr>
          <w:rFonts w:hint="eastAsia" w:ascii="仿宋" w:hAnsi="仿宋" w:eastAsia="仿宋" w:cs="仿宋"/>
          <w:color w:val="000000" w:themeColor="text1"/>
          <w:sz w:val="24"/>
          <w:szCs w:val="24"/>
          <w14:textFill>
            <w14:solidFill>
              <w14:schemeClr w14:val="tx1"/>
            </w14:solidFill>
          </w14:textFill>
        </w:rPr>
        <w:t>供应商为中小</w:t>
      </w:r>
      <w:bookmarkStart w:id="207" w:name="_GoBack"/>
      <w:bookmarkEnd w:id="207"/>
      <w:r>
        <w:rPr>
          <w:rFonts w:hint="eastAsia" w:ascii="仿宋" w:hAnsi="仿宋" w:eastAsia="仿宋" w:cs="仿宋"/>
          <w:color w:val="000000" w:themeColor="text1"/>
          <w:sz w:val="24"/>
          <w:szCs w:val="24"/>
          <w14:textFill>
            <w14:solidFill>
              <w14:schemeClr w14:val="tx1"/>
            </w14:solidFill>
          </w14:textFill>
        </w:rPr>
        <w:t>企业</w:t>
      </w:r>
    </w:p>
    <w:p w14:paraId="5C6C1C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2"/>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25" w:name="_Toc29285"/>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3.本项目的特定资格要求：标项1，标项2：</w:t>
      </w:r>
      <w:bookmarkEnd w:id="25"/>
    </w:p>
    <w:p w14:paraId="4CCD68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3"/>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1).具备三证合一营业执照；</w:t>
      </w:r>
    </w:p>
    <w:p w14:paraId="78AC75C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2).法定代表人投标需提供法定代表人资格证明书，委托代理人投标需提供法定代表人授权委托书；</w:t>
      </w:r>
    </w:p>
    <w:p w14:paraId="46D011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3).投标企业须提供投标人（被授权本单位在职人员）近 6 个月内任意 1 个月社保证明；</w:t>
      </w:r>
    </w:p>
    <w:p w14:paraId="6DBC20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4).未被“信用中国”（www.creditchina.gov.cn）、中国政府采购网（www.ccgp.gov.cn）列入失信被执行人、重大税收违法案件当事人名单、政府采购严重违法失信行为记录名单；</w:t>
      </w:r>
    </w:p>
    <w:p w14:paraId="547FCE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5).投标人具有有效的《二类医疗器械生产许可证》或《二类医疗器械经营许可证》。</w:t>
      </w:r>
    </w:p>
    <w:p w14:paraId="2AF42B5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23DE4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422" w:firstLineChars="200"/>
        <w:jc w:val="left"/>
        <w:textAlignment w:val="auto"/>
        <w:outlineLvl w:val="1"/>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pPr>
      <w:bookmarkStart w:id="26" w:name="_Toc27261"/>
      <w:r>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t>三、获取谈判文件</w:t>
      </w:r>
      <w:bookmarkEnd w:id="26"/>
      <w:r>
        <w:rPr>
          <w:rFonts w:hint="eastAsia" w:ascii="新宋体" w:hAnsi="新宋体" w:eastAsia="新宋体" w:cs="新宋体"/>
          <w:b/>
          <w:bCs/>
          <w:color w:val="000000" w:themeColor="text1"/>
          <w:kern w:val="0"/>
          <w:sz w:val="21"/>
          <w:szCs w:val="21"/>
          <w:highlight w:val="none"/>
          <w:lang w:val="en-US" w:eastAsia="zh-CN" w:bidi="ar"/>
          <w14:textFill>
            <w14:solidFill>
              <w14:schemeClr w14:val="tx1"/>
            </w14:solidFill>
          </w14:textFill>
        </w:rPr>
        <w:t xml:space="preserve"> </w:t>
      </w:r>
    </w:p>
    <w:p w14:paraId="5A77087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27" w:name="_Toc22317"/>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时间：2025年07月18日至2025年 07月23日，每天上午10:00至14:00，下午16:00至20:00（北京时间，法定节假日除外）</w:t>
      </w:r>
      <w:bookmarkEnd w:id="27"/>
    </w:p>
    <w:p w14:paraId="4B1F207C">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28" w:name="_Toc2527"/>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地点：政采云平台线上  </w:t>
      </w:r>
      <w:bookmarkEnd w:id="28"/>
    </w:p>
    <w:p w14:paraId="539AD882">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29" w:name="_Toc24693"/>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方式：供应商登录政采云平台https://www.zcygov.cn/在线申请获取采购文件（进入“项目采购”应用，在获取采购文件菜单中选择项目，申请获取采购文件）  </w:t>
      </w:r>
      <w:bookmarkEnd w:id="29"/>
    </w:p>
    <w:p w14:paraId="64B76401">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bookmarkStart w:id="30" w:name="_Toc17888"/>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售价（元）：0 </w:t>
      </w:r>
      <w:bookmarkEnd w:id="30"/>
    </w:p>
    <w:p w14:paraId="22B56504">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pPr>
      <w:bookmarkStart w:id="31" w:name="_Toc31369"/>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四、响应文件提交</w:t>
      </w:r>
      <w:bookmarkEnd w:id="31"/>
    </w:p>
    <w:p w14:paraId="3FC8AFB0">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pPr>
      <w:bookmarkStart w:id="32" w:name="_Toc3206"/>
      <w:r>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t>截止时间：2025年07月24日 10:30（北京时间）</w:t>
      </w:r>
      <w:bookmarkEnd w:id="32"/>
    </w:p>
    <w:p w14:paraId="73735031">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pPr>
      <w:bookmarkStart w:id="33" w:name="_Toc27284"/>
      <w:r>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t>地点：政府采购云平台（www.zcygov.cn）供应商应于递交投标文件截止时间之前将电子投标文件上传到“政采云”平台。  </w:t>
      </w:r>
      <w:bookmarkEnd w:id="33"/>
    </w:p>
    <w:p w14:paraId="261E279B">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pPr>
      <w:bookmarkStart w:id="34" w:name="_Toc26757"/>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五、响应文件开启 </w:t>
      </w:r>
      <w:bookmarkEnd w:id="34"/>
    </w:p>
    <w:p w14:paraId="63B3E8B6">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pPr>
      <w:bookmarkStart w:id="35" w:name="_Toc27091"/>
      <w:r>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t>开启时间：2025年07月24日 10:30（北京时间）</w:t>
      </w:r>
      <w:bookmarkEnd w:id="35"/>
    </w:p>
    <w:p w14:paraId="2BEF2457">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pPr>
      <w:bookmarkStart w:id="36" w:name="_Toc27188"/>
      <w:r>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t>地点：投标人登录政采云平台https://www.zcygov.cn/，进入“项目采购-开标评标-右边选择对应项目点击“进入项目”进入开标大厅。</w:t>
      </w:r>
      <w:bookmarkEnd w:id="36"/>
    </w:p>
    <w:p w14:paraId="4E50599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pPr>
      <w:bookmarkStart w:id="37" w:name="_Toc15138"/>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六、公告期限 </w:t>
      </w:r>
      <w:bookmarkEnd w:id="37"/>
    </w:p>
    <w:p w14:paraId="3D98A732">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pPr>
      <w:bookmarkStart w:id="38" w:name="_Toc30042"/>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新宋体" w:hAnsi="新宋体" w:eastAsia="新宋体" w:cs="新宋体"/>
          <w:b w:val="0"/>
          <w:bCs w:val="0"/>
          <w:color w:val="000000" w:themeColor="text1"/>
          <w:kern w:val="0"/>
          <w:sz w:val="21"/>
          <w:szCs w:val="21"/>
          <w:highlight w:val="none"/>
          <w:u w:val="none"/>
          <w:lang w:val="en-US" w:eastAsia="zh-CN" w:bidi="ar"/>
          <w14:textFill>
            <w14:solidFill>
              <w14:schemeClr w14:val="tx1"/>
            </w14:solidFill>
          </w14:textFill>
        </w:rPr>
        <w:t>自本公告发布之日起3个工作日。</w:t>
      </w:r>
      <w:bookmarkEnd w:id="38"/>
    </w:p>
    <w:p w14:paraId="0C33B474">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default"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pPr>
      <w:bookmarkStart w:id="39" w:name="_Toc5657"/>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七、其他补充事宜</w:t>
      </w:r>
      <w:bookmarkEnd w:id="39"/>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 xml:space="preserve"> </w:t>
      </w:r>
    </w:p>
    <w:p w14:paraId="1499A8C9">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1、本项目实行网上投标，采用电子投标文件。</w:t>
      </w:r>
    </w:p>
    <w:p w14:paraId="0414CE69">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    2、各供应商应在开标前确保成为正式注册入库供应商，并完成CA数字证书(符合国密标准)申领。因未注册入库、未办理CA数字证书等原因造成无法投标或投标失败等后果由供应商自行承担。如需咨询，请联系新疆-安信CA服务热线18399999326；翔晟CA服务热线025-66085508；新疆CA服务热线4000921999。</w:t>
      </w:r>
    </w:p>
    <w:p w14:paraId="1A6C5C5C">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    3、供应商将政采云电子交易客户端下载、安装完成后，可通过账号密码或CA登录客户端进行投标文件的制作。在使用政采云投标客户端时，建议使用WIN7及以上操作系统。</w:t>
      </w:r>
    </w:p>
    <w:p w14:paraId="71E7BB32">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    4、其他事项：/  </w:t>
      </w:r>
    </w:p>
    <w:p w14:paraId="072035D7">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1、采购限额标准以上，200万元以下的货物和服务采购项目、400万元以下的工程采购项目，适宜由中小企业提供的，采购人应当专门面向中小企业采购。</w:t>
      </w:r>
    </w:p>
    <w:p w14:paraId="6AFDCD86">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2、超过200万元的货物和服务采购项目、超过400万元的工程采购项目中适宜由中小企业提供的，预留该部分采购项目预算总额的30%以上专门面向中小企业采购，其中预留给小微企业的比例不低于60%。</w:t>
      </w:r>
    </w:p>
    <w:p w14:paraId="2DABA5BB">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5A8ABA1">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新宋体" w:hAnsi="新宋体" w:eastAsia="新宋体" w:cs="新宋体"/>
          <w:b/>
          <w:bCs/>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1"/>
          <w:szCs w:val="21"/>
          <w:highlight w:val="none"/>
          <w:lang w:val="en-US" w:eastAsia="zh-CN" w:bidi="ar"/>
          <w14:textFill>
            <w14:solidFill>
              <w14:schemeClr w14:val="tx1"/>
            </w14:solidFill>
          </w14:textFill>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2C87DE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right="0" w:firstLine="422" w:firstLineChars="200"/>
        <w:jc w:val="left"/>
        <w:textAlignment w:val="auto"/>
        <w:outlineLvl w:val="1"/>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bookmarkStart w:id="40" w:name="_Toc597"/>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八、对本次采购提出询问，请按以下方式联系</w:t>
      </w:r>
      <w:bookmarkEnd w:id="40"/>
      <w:r>
        <w:rPr>
          <w:rFonts w:hint="eastAsia" w:ascii="新宋体" w:hAnsi="新宋体" w:eastAsia="新宋体" w:cs="新宋体"/>
          <w:b/>
          <w:bCs/>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        </w:t>
      </w:r>
    </w:p>
    <w:p w14:paraId="41EF7759">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outlineLvl w:val="2"/>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bookmarkStart w:id="41" w:name="_Toc23590"/>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1.采购人信息</w:t>
      </w:r>
      <w:bookmarkEnd w:id="41"/>
    </w:p>
    <w:p w14:paraId="20D57459">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right="0" w:firstLine="420" w:firstLineChars="200"/>
        <w:jc w:val="left"/>
        <w:textAlignment w:val="auto"/>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名    称：</w:t>
      </w:r>
      <w:r>
        <w:rPr>
          <w:rFonts w:hint="eastAsia" w:cs="宋体"/>
          <w:color w:val="000000" w:themeColor="text1"/>
          <w:sz w:val="21"/>
          <w:szCs w:val="21"/>
          <w:highlight w:val="none"/>
          <w:lang w:val="en-US" w:eastAsia="zh-CN"/>
          <w14:textFill>
            <w14:solidFill>
              <w14:schemeClr w14:val="tx1"/>
            </w14:solidFill>
          </w14:textFill>
        </w:rPr>
        <w:t>克孜勒苏柯尔克孜自治州疾病预防控制中心</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         </w:t>
      </w:r>
    </w:p>
    <w:p w14:paraId="4CCF6EEE">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default"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地    址：新疆阿图什市站前路12号</w:t>
      </w:r>
    </w:p>
    <w:p w14:paraId="7C94756F">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项目联系人：艾先生            </w:t>
      </w:r>
    </w:p>
    <w:p w14:paraId="74695086">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项目联系方式：18997696567  </w:t>
      </w:r>
    </w:p>
    <w:p w14:paraId="63E4F4B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outlineLvl w:val="2"/>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bookmarkStart w:id="42" w:name="_Toc5467"/>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2.采购代理机构信息</w:t>
      </w:r>
      <w:bookmarkEnd w:id="42"/>
    </w:p>
    <w:p w14:paraId="73C0A9EF">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名    称：新疆泽远工程项目管理有限公司    </w:t>
      </w:r>
    </w:p>
    <w:p w14:paraId="24408214">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default"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地    址：阿图什市香港城西区8号楼2单元402室 </w:t>
      </w:r>
    </w:p>
    <w:p w14:paraId="114F479B">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联 系 人：张女士            </w:t>
      </w:r>
    </w:p>
    <w:p w14:paraId="4A1836B6">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i w:val="0"/>
          <w:caps w:val="0"/>
          <w:color w:val="000000" w:themeColor="text1"/>
          <w:spacing w:val="0"/>
          <w:kern w:val="0"/>
          <w:sz w:val="21"/>
          <w:szCs w:val="21"/>
          <w:highlight w:val="none"/>
          <w:lang w:val="en-US"/>
          <w14:textFill>
            <w14:solidFill>
              <w14:schemeClr w14:val="tx1"/>
            </w14:solidFill>
          </w14:textFill>
        </w:rPr>
      </w:pP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 xml:space="preserve">项目联系方式：13179869852 </w:t>
      </w:r>
    </w:p>
    <w:p w14:paraId="54B20480">
      <w:pPr>
        <w:pStyle w:val="44"/>
        <w:keepNext w:val="0"/>
        <w:keepLines w:val="0"/>
        <w:pageBreakBefore w:val="0"/>
        <w:widowControl w:val="0"/>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rPr>
          <w:rFonts w:hint="eastAsia" w:ascii="新宋体" w:hAnsi="新宋体" w:eastAsia="新宋体" w:cs="新宋体"/>
          <w:i w:val="0"/>
          <w:caps w:val="0"/>
          <w:color w:val="000000" w:themeColor="text1"/>
          <w:spacing w:val="0"/>
          <w:kern w:val="0"/>
          <w:sz w:val="21"/>
          <w:szCs w:val="21"/>
          <w:highlight w:val="none"/>
          <w:lang w:val="en-US" w:eastAsia="zh-CN"/>
          <w14:textFill>
            <w14:solidFill>
              <w14:schemeClr w14:val="tx1"/>
            </w14:solidFill>
          </w14:textFill>
        </w:rPr>
        <w:sectPr>
          <w:pgSz w:w="11905" w:h="16838"/>
          <w:pgMar w:top="1440" w:right="1080" w:bottom="1440" w:left="1080" w:header="850" w:footer="992" w:gutter="0"/>
          <w:pgNumType w:fmt="decimal"/>
          <w:cols w:space="720" w:num="1"/>
          <w:rtlGutter w:val="0"/>
          <w:docGrid w:type="lines" w:linePitch="314" w:charSpace="0"/>
        </w:sectPr>
      </w:pPr>
    </w:p>
    <w:p w14:paraId="0F12BA6A">
      <w:pPr>
        <w:pStyle w:val="2"/>
        <w:bidi w:val="0"/>
        <w:jc w:val="center"/>
        <w:rPr>
          <w:rFonts w:hint="eastAsia"/>
          <w:color w:val="000000" w:themeColor="text1"/>
          <w14:textFill>
            <w14:solidFill>
              <w14:schemeClr w14:val="tx1"/>
            </w14:solidFill>
          </w14:textFill>
        </w:rPr>
      </w:pPr>
      <w:bookmarkStart w:id="43" w:name="_Toc22535"/>
      <w:bookmarkStart w:id="44" w:name="_Toc28469"/>
      <w:bookmarkStart w:id="45" w:name="_Toc14579"/>
      <w:r>
        <w:rPr>
          <w:rFonts w:hint="eastAsia"/>
          <w:color w:val="000000" w:themeColor="text1"/>
          <w14:textFill>
            <w14:solidFill>
              <w14:schemeClr w14:val="tx1"/>
            </w14:solidFill>
          </w14:textFill>
        </w:rPr>
        <w:t>第二章  供应商须知</w:t>
      </w:r>
      <w:bookmarkEnd w:id="43"/>
      <w:bookmarkEnd w:id="44"/>
      <w:bookmarkEnd w:id="45"/>
    </w:p>
    <w:p w14:paraId="77052661">
      <w:pPr>
        <w:pStyle w:val="3"/>
        <w:bidi w:val="0"/>
        <w:jc w:val="center"/>
        <w:rPr>
          <w:rFonts w:hint="eastAsia"/>
          <w:color w:val="000000" w:themeColor="text1"/>
          <w14:textFill>
            <w14:solidFill>
              <w14:schemeClr w14:val="tx1"/>
            </w14:solidFill>
          </w14:textFill>
        </w:rPr>
      </w:pPr>
      <w:bookmarkStart w:id="46" w:name="_Toc1258"/>
      <w:bookmarkStart w:id="47" w:name="_Toc60"/>
      <w:bookmarkStart w:id="48" w:name="_Toc10557"/>
      <w:bookmarkStart w:id="49" w:name="_Toc4760_WPSOffice_Level1"/>
      <w:r>
        <w:rPr>
          <w:rFonts w:hint="eastAsia"/>
          <w:color w:val="000000" w:themeColor="text1"/>
          <w:lang w:eastAsia="zh-CN"/>
          <w14:textFill>
            <w14:solidFill>
              <w14:schemeClr w14:val="tx1"/>
            </w14:solidFill>
          </w14:textFill>
        </w:rPr>
        <w:t>供应商</w:t>
      </w:r>
      <w:r>
        <w:rPr>
          <w:rFonts w:hint="eastAsia"/>
          <w:color w:val="000000" w:themeColor="text1"/>
          <w14:textFill>
            <w14:solidFill>
              <w14:schemeClr w14:val="tx1"/>
            </w14:solidFill>
          </w14:textFill>
        </w:rPr>
        <w:t>须知前附表</w:t>
      </w:r>
      <w:bookmarkEnd w:id="46"/>
      <w:bookmarkEnd w:id="47"/>
      <w:bookmarkEnd w:id="48"/>
    </w:p>
    <w:tbl>
      <w:tblPr>
        <w:tblStyle w:val="50"/>
        <w:tblW w:w="98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12"/>
        <w:gridCol w:w="1536"/>
        <w:gridCol w:w="7288"/>
      </w:tblGrid>
      <w:tr w14:paraId="5ABBD3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012" w:type="dxa"/>
            <w:noWrap w:val="0"/>
            <w:vAlign w:val="center"/>
          </w:tcPr>
          <w:p w14:paraId="6EFA2F5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94" w:leftChars="-45" w:right="-82" w:rightChars="-39"/>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条款号</w:t>
            </w:r>
          </w:p>
        </w:tc>
        <w:tc>
          <w:tcPr>
            <w:tcW w:w="1536" w:type="dxa"/>
            <w:noWrap w:val="0"/>
            <w:vAlign w:val="center"/>
          </w:tcPr>
          <w:p w14:paraId="2B5FCC27">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内容</w:t>
            </w:r>
          </w:p>
        </w:tc>
        <w:tc>
          <w:tcPr>
            <w:tcW w:w="7288" w:type="dxa"/>
            <w:noWrap w:val="0"/>
            <w:vAlign w:val="center"/>
          </w:tcPr>
          <w:p w14:paraId="06EB4B6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firstLine="2100" w:firstLineChars="1000"/>
              <w:jc w:val="both"/>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说明与要求</w:t>
            </w:r>
          </w:p>
        </w:tc>
      </w:tr>
      <w:tr w14:paraId="61A254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9" w:hRule="atLeast"/>
          <w:jc w:val="center"/>
        </w:trPr>
        <w:tc>
          <w:tcPr>
            <w:tcW w:w="1012" w:type="dxa"/>
            <w:noWrap w:val="0"/>
            <w:vAlign w:val="center"/>
          </w:tcPr>
          <w:p w14:paraId="02FD593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w:t>
            </w:r>
          </w:p>
        </w:tc>
        <w:tc>
          <w:tcPr>
            <w:tcW w:w="1536" w:type="dxa"/>
            <w:noWrap w:val="0"/>
            <w:vAlign w:val="center"/>
          </w:tcPr>
          <w:p w14:paraId="3CD861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采购人</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信</w:t>
            </w:r>
            <w:r>
              <w:rPr>
                <w:rFonts w:hint="eastAsia" w:ascii="宋体" w:hAnsi="宋体" w:eastAsia="宋体" w:cs="宋体"/>
                <w:b/>
                <w:bCs w:val="0"/>
                <w:color w:val="000000" w:themeColor="text1"/>
                <w:sz w:val="21"/>
                <w:szCs w:val="21"/>
                <w:highlight w:val="none"/>
                <w14:textFill>
                  <w14:solidFill>
                    <w14:schemeClr w14:val="tx1"/>
                  </w14:solidFill>
                </w14:textFill>
              </w:rPr>
              <w:t>息</w:t>
            </w:r>
          </w:p>
        </w:tc>
        <w:tc>
          <w:tcPr>
            <w:tcW w:w="7288" w:type="dxa"/>
            <w:noWrap w:val="0"/>
            <w:vAlign w:val="center"/>
          </w:tcPr>
          <w:p w14:paraId="2EC0E5B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采购单位：</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克孜勒苏柯尔克孜自治州疾病预防控制中心</w:t>
            </w:r>
          </w:p>
          <w:p w14:paraId="2BAB15F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联 系 人：</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艾先生</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联系电话：</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18997696567</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w:t>
            </w:r>
          </w:p>
        </w:tc>
      </w:tr>
      <w:tr w14:paraId="3AF523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9" w:hRule="atLeast"/>
          <w:jc w:val="center"/>
        </w:trPr>
        <w:tc>
          <w:tcPr>
            <w:tcW w:w="1012" w:type="dxa"/>
            <w:noWrap w:val="0"/>
            <w:vAlign w:val="center"/>
          </w:tcPr>
          <w:p w14:paraId="0AE955F3">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default" w:cs="Times New Roman"/>
                <w:b/>
                <w:bCs w:val="0"/>
                <w:color w:val="000000" w:themeColor="text1"/>
                <w:sz w:val="21"/>
                <w:szCs w:val="21"/>
                <w:highlight w:val="none"/>
                <w:lang w:val="en-US" w:eastAsia="zh-CN"/>
                <w14:textFill>
                  <w14:solidFill>
                    <w14:schemeClr w14:val="tx1"/>
                  </w14:solidFill>
                </w14:textFill>
              </w:rPr>
              <w:t>2</w:t>
            </w:r>
          </w:p>
        </w:tc>
        <w:tc>
          <w:tcPr>
            <w:tcW w:w="1536" w:type="dxa"/>
            <w:noWrap w:val="0"/>
            <w:vAlign w:val="center"/>
          </w:tcPr>
          <w:p w14:paraId="2C4622C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采购代理机构</w:t>
            </w:r>
          </w:p>
        </w:tc>
        <w:tc>
          <w:tcPr>
            <w:tcW w:w="7288" w:type="dxa"/>
            <w:noWrap w:val="0"/>
            <w:vAlign w:val="center"/>
          </w:tcPr>
          <w:p w14:paraId="0C7BD1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名  称：</w:t>
            </w:r>
            <w:r>
              <w:rPr>
                <w:rFonts w:hint="eastAsia" w:ascii="宋体" w:hAnsi="宋体" w:cs="宋体"/>
                <w:color w:val="000000" w:themeColor="text1"/>
                <w:kern w:val="0"/>
                <w:sz w:val="21"/>
                <w:szCs w:val="21"/>
                <w:highlight w:val="none"/>
                <w:lang w:eastAsia="zh-CN"/>
                <w14:textFill>
                  <w14:solidFill>
                    <w14:schemeClr w14:val="tx1"/>
                  </w14:solidFill>
                </w14:textFill>
              </w:rPr>
              <w:t>新疆泽远工程项目管理有限公司</w:t>
            </w:r>
          </w:p>
          <w:p w14:paraId="76AADA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  址：</w:t>
            </w:r>
            <w:r>
              <w:rPr>
                <w:rFonts w:hint="eastAsia" w:ascii="宋体" w:hAnsi="宋体" w:cs="宋体"/>
                <w:color w:val="000000" w:themeColor="text1"/>
                <w:kern w:val="0"/>
                <w:sz w:val="21"/>
                <w:szCs w:val="21"/>
                <w:highlight w:val="none"/>
                <w:lang w:val="en-US" w:eastAsia="zh-CN"/>
                <w14:textFill>
                  <w14:solidFill>
                    <w14:schemeClr w14:val="tx1"/>
                  </w14:solidFill>
                </w14:textFill>
              </w:rPr>
              <w:t>阿图什市香港城西区8号楼2单元402室</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 xml:space="preserve"> </w:t>
            </w:r>
          </w:p>
          <w:p w14:paraId="7EC0216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联系人：</w:t>
            </w:r>
            <w:r>
              <w:rPr>
                <w:rFonts w:hint="eastAsia" w:ascii="宋体" w:hAnsi="宋体" w:cs="宋体"/>
                <w:color w:val="000000" w:themeColor="text1"/>
                <w:kern w:val="0"/>
                <w:sz w:val="21"/>
                <w:szCs w:val="21"/>
                <w:highlight w:val="none"/>
                <w:lang w:val="en-US" w:eastAsia="zh-CN"/>
                <w14:textFill>
                  <w14:solidFill>
                    <w14:schemeClr w14:val="tx1"/>
                  </w14:solidFill>
                </w14:textFill>
              </w:rPr>
              <w:t>张女士</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联系</w:t>
            </w:r>
            <w:r>
              <w:rPr>
                <w:rFonts w:hint="eastAsia" w:ascii="宋体" w:hAnsi="宋体" w:eastAsia="宋体" w:cs="宋体"/>
                <w:color w:val="000000" w:themeColor="text1"/>
                <w:kern w:val="0"/>
                <w:sz w:val="21"/>
                <w:szCs w:val="21"/>
                <w:highlight w:val="none"/>
                <w14:textFill>
                  <w14:solidFill>
                    <w14:schemeClr w14:val="tx1"/>
                  </w14:solidFill>
                </w14:textFill>
              </w:rPr>
              <w:t>电话：</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13179869852</w:t>
            </w:r>
          </w:p>
        </w:tc>
      </w:tr>
      <w:tr w14:paraId="376BDE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3F37F17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3</w:t>
            </w:r>
          </w:p>
        </w:tc>
        <w:tc>
          <w:tcPr>
            <w:tcW w:w="1536" w:type="dxa"/>
            <w:noWrap w:val="0"/>
            <w:vAlign w:val="center"/>
          </w:tcPr>
          <w:p w14:paraId="2E3F2A3D">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项目名称</w:t>
            </w:r>
          </w:p>
          <w:p w14:paraId="373F918B">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项目编号</w:t>
            </w:r>
          </w:p>
          <w:p w14:paraId="147939D5">
            <w:pPr>
              <w:pStyle w:val="44"/>
              <w:keepNext w:val="0"/>
              <w:keepLines w:val="0"/>
              <w:widowControl/>
              <w:suppressLineNumbers w:val="0"/>
              <w:shd w:val="clear" w:color="auto" w:fill="auto"/>
              <w:spacing w:before="0" w:beforeAutospacing="0" w:after="0" w:afterAutospacing="0" w:line="510" w:lineRule="atLeast"/>
              <w:ind w:right="0"/>
              <w:jc w:val="cente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采购内容</w:t>
            </w:r>
          </w:p>
        </w:tc>
        <w:tc>
          <w:tcPr>
            <w:tcW w:w="7288" w:type="dxa"/>
            <w:noWrap w:val="0"/>
            <w:vAlign w:val="center"/>
          </w:tcPr>
          <w:p w14:paraId="0A9D292E">
            <w:pPr>
              <w:pStyle w:val="44"/>
              <w:keepNext w:val="0"/>
              <w:keepLines w:val="0"/>
              <w:widowControl/>
              <w:suppressLineNumbers w:val="0"/>
              <w:shd w:val="clear" w:color="auto" w:fill="auto"/>
              <w:spacing w:before="0" w:beforeAutospacing="0" w:after="0" w:afterAutospacing="0" w:line="510" w:lineRule="atLeast"/>
              <w:ind w:right="0"/>
              <w:jc w:val="both"/>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项目名称</w:t>
            </w: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克州疾病预防控制中心致病菌、新冠基因测序等监测试剂耗材采购项目（一包）</w:t>
            </w: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（二次）</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 xml:space="preserve"> </w:t>
            </w:r>
          </w:p>
          <w:p w14:paraId="6D4DBA34">
            <w:pPr>
              <w:pStyle w:val="44"/>
              <w:keepNext w:val="0"/>
              <w:keepLines w:val="0"/>
              <w:widowControl/>
              <w:suppressLineNumbers w:val="0"/>
              <w:shd w:val="clear" w:color="auto" w:fill="auto"/>
              <w:spacing w:before="0" w:beforeAutospacing="0" w:after="0" w:afterAutospacing="0" w:line="510" w:lineRule="atLeast"/>
              <w:ind w:right="0"/>
              <w:jc w:val="both"/>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项目编号</w:t>
            </w: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KZZB-2025103-1</w:t>
            </w:r>
          </w:p>
          <w:p w14:paraId="0BD384B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采购内容：</w:t>
            </w: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致病菌、流感、手足口监测相关试剂、新冠基因测序试剂、新冠污水检测试剂</w:t>
            </w:r>
          </w:p>
        </w:tc>
      </w:tr>
      <w:tr w14:paraId="5A649F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3" w:hRule="atLeast"/>
          <w:jc w:val="center"/>
        </w:trPr>
        <w:tc>
          <w:tcPr>
            <w:tcW w:w="1012" w:type="dxa"/>
            <w:noWrap w:val="0"/>
            <w:vAlign w:val="center"/>
          </w:tcPr>
          <w:p w14:paraId="3F82167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4</w:t>
            </w:r>
          </w:p>
        </w:tc>
        <w:tc>
          <w:tcPr>
            <w:tcW w:w="1536" w:type="dxa"/>
            <w:noWrap w:val="0"/>
            <w:vAlign w:val="center"/>
          </w:tcPr>
          <w:p w14:paraId="70180887">
            <w:pPr>
              <w:pStyle w:val="44"/>
              <w:keepNext w:val="0"/>
              <w:keepLines w:val="0"/>
              <w:widowControl/>
              <w:suppressLineNumbers w:val="0"/>
              <w:shd w:val="clear" w:color="auto" w:fill="auto"/>
              <w:spacing w:before="0" w:beforeAutospacing="0" w:after="0" w:afterAutospacing="0" w:line="510" w:lineRule="atLeast"/>
              <w:ind w:right="0"/>
              <w:jc w:val="cente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采购预算</w:t>
            </w:r>
          </w:p>
          <w:p w14:paraId="3894D1D2">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最高投标限价</w:t>
            </w:r>
          </w:p>
        </w:tc>
        <w:tc>
          <w:tcPr>
            <w:tcW w:w="7288" w:type="dxa"/>
            <w:noWrap w:val="0"/>
            <w:vAlign w:val="center"/>
          </w:tcPr>
          <w:p w14:paraId="668E48F3">
            <w:pPr>
              <w:pStyle w:val="44"/>
              <w:keepNext w:val="0"/>
              <w:keepLines w:val="0"/>
              <w:widowControl/>
              <w:suppressLineNumbers w:val="0"/>
              <w:shd w:val="clear" w:color="auto" w:fill="auto"/>
              <w:spacing w:before="0" w:beforeAutospacing="0" w:after="0" w:afterAutospacing="0" w:line="510" w:lineRule="atLeast"/>
              <w:ind w:right="0"/>
              <w:jc w:val="left"/>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招标人设置投标报价最高上限：</w:t>
            </w:r>
            <w:r>
              <w:rPr>
                <w:rFonts w:hint="eastAsia" w:cs="宋体"/>
                <w:b/>
                <w:bCs/>
                <w:color w:val="000000" w:themeColor="text1"/>
                <w:sz w:val="21"/>
                <w:szCs w:val="21"/>
                <w:highlight w:val="none"/>
                <w:u w:val="single"/>
                <w:lang w:val="en-US" w:eastAsia="zh-CN"/>
                <w14:textFill>
                  <w14:solidFill>
                    <w14:schemeClr w14:val="tx1"/>
                  </w14:solidFill>
                </w14:textFill>
              </w:rPr>
              <w:t>1060000</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元</w:t>
            </w:r>
            <w:r>
              <w:rPr>
                <w:rFonts w:hint="eastAsia" w:ascii="宋体" w:hAnsi="宋体" w:cs="宋体"/>
                <w:b/>
                <w:bCs/>
                <w:color w:val="000000" w:themeColor="text1"/>
                <w:sz w:val="21"/>
                <w:szCs w:val="21"/>
                <w:highlight w:val="none"/>
                <w:u w:val="single"/>
                <w14:textFill>
                  <w14:solidFill>
                    <w14:schemeClr w14:val="tx1"/>
                  </w14:solidFill>
                </w14:textFill>
              </w:rPr>
              <w:t>，高于最高限价的，</w:t>
            </w:r>
            <w:r>
              <w:rPr>
                <w:rFonts w:hint="eastAsia" w:ascii="宋体" w:hAnsi="宋体" w:cs="宋体"/>
                <w:color w:val="000000" w:themeColor="text1"/>
                <w:sz w:val="21"/>
                <w:szCs w:val="21"/>
                <w:highlight w:val="none"/>
                <w14:textFill>
                  <w14:solidFill>
                    <w14:schemeClr w14:val="tx1"/>
                  </w14:solidFill>
                </w14:textFill>
              </w:rPr>
              <w:t>其</w:t>
            </w:r>
            <w:r>
              <w:rPr>
                <w:rFonts w:hint="eastAsia" w:ascii="宋体" w:hAnsi="宋体" w:cs="宋体"/>
                <w:color w:val="000000" w:themeColor="text1"/>
                <w:sz w:val="21"/>
                <w:szCs w:val="21"/>
                <w:highlight w:val="none"/>
                <w:lang w:eastAsia="zh-CN"/>
                <w14:textFill>
                  <w14:solidFill>
                    <w14:schemeClr w14:val="tx1"/>
                  </w14:solidFill>
                </w14:textFill>
              </w:rPr>
              <w:t>响应文件</w:t>
            </w:r>
            <w:r>
              <w:rPr>
                <w:rFonts w:hint="eastAsia" w:ascii="宋体" w:hAnsi="宋体" w:cs="宋体"/>
                <w:color w:val="000000" w:themeColor="text1"/>
                <w:sz w:val="21"/>
                <w:szCs w:val="21"/>
                <w:highlight w:val="none"/>
                <w14:textFill>
                  <w14:solidFill>
                    <w14:schemeClr w14:val="tx1"/>
                  </w14:solidFill>
                </w14:textFill>
              </w:rPr>
              <w:t>按无效投标处理。</w:t>
            </w:r>
          </w:p>
        </w:tc>
      </w:tr>
      <w:tr w14:paraId="58F159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3" w:hRule="atLeast"/>
          <w:jc w:val="center"/>
        </w:trPr>
        <w:tc>
          <w:tcPr>
            <w:tcW w:w="1012" w:type="dxa"/>
            <w:noWrap w:val="0"/>
            <w:vAlign w:val="center"/>
          </w:tcPr>
          <w:p w14:paraId="4B94728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5</w:t>
            </w:r>
          </w:p>
        </w:tc>
        <w:tc>
          <w:tcPr>
            <w:tcW w:w="1536" w:type="dxa"/>
            <w:noWrap w:val="0"/>
            <w:vAlign w:val="center"/>
          </w:tcPr>
          <w:p w14:paraId="0F3BEA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资金来源</w:t>
            </w:r>
          </w:p>
        </w:tc>
        <w:tc>
          <w:tcPr>
            <w:tcW w:w="7288" w:type="dxa"/>
            <w:noWrap w:val="0"/>
            <w:vAlign w:val="center"/>
          </w:tcPr>
          <w:p w14:paraId="02E815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color w:val="000000" w:themeColor="text1"/>
                <w:kern w:val="0"/>
                <w:sz w:val="21"/>
                <w:szCs w:val="21"/>
                <w:highlight w:val="none"/>
                <w:lang w:val="en-US" w:eastAsia="zh-CN"/>
                <w14:textFill>
                  <w14:solidFill>
                    <w14:schemeClr w14:val="tx1"/>
                  </w14:solidFill>
                </w14:textFill>
              </w:rPr>
            </w:pPr>
            <w:r>
              <w:rPr>
                <w:rFonts w:hint="eastAsia" w:ascii="宋体" w:hAnsi="宋体" w:cs="宋体"/>
                <w:b w:val="0"/>
                <w:bCs/>
                <w:color w:val="000000" w:themeColor="text1"/>
                <w:kern w:val="0"/>
                <w:sz w:val="21"/>
                <w:szCs w:val="21"/>
                <w:highlight w:val="none"/>
                <w:lang w:val="en-US" w:eastAsia="zh-CN"/>
                <w14:textFill>
                  <w14:solidFill>
                    <w14:schemeClr w14:val="tx1"/>
                  </w14:solidFill>
                </w14:textFill>
              </w:rPr>
              <w:t>重点传染病及健康危害因素检测资金</w:t>
            </w:r>
          </w:p>
        </w:tc>
      </w:tr>
      <w:tr w14:paraId="1D16D3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7" w:hRule="atLeast"/>
          <w:jc w:val="center"/>
        </w:trPr>
        <w:tc>
          <w:tcPr>
            <w:tcW w:w="1012" w:type="dxa"/>
            <w:noWrap w:val="0"/>
            <w:vAlign w:val="center"/>
          </w:tcPr>
          <w:p w14:paraId="75A097D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6</w:t>
            </w:r>
          </w:p>
        </w:tc>
        <w:tc>
          <w:tcPr>
            <w:tcW w:w="1536" w:type="dxa"/>
            <w:noWrap w:val="0"/>
            <w:vAlign w:val="center"/>
          </w:tcPr>
          <w:p w14:paraId="17C5C7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供货时间</w:t>
            </w:r>
          </w:p>
        </w:tc>
        <w:tc>
          <w:tcPr>
            <w:tcW w:w="7288" w:type="dxa"/>
            <w:noWrap w:val="0"/>
            <w:vAlign w:val="center"/>
          </w:tcPr>
          <w:p w14:paraId="1ECD1A67">
            <w:pPr>
              <w:pStyle w:val="44"/>
              <w:keepNext w:val="0"/>
              <w:keepLines w:val="0"/>
              <w:pageBreakBefore w:val="0"/>
              <w:widowControl/>
              <w:suppressLineNumbers w:val="0"/>
              <w:shd w:val="clear" w:color="auto" w:fill="auto"/>
              <w:kinsoku/>
              <w:wordWrap/>
              <w:overflowPunct/>
              <w:topLinePunct w:val="0"/>
              <w:autoSpaceDE/>
              <w:autoSpaceDN/>
              <w:bidi w:val="0"/>
              <w:adjustRightInd/>
              <w:snapToGrid/>
              <w:spacing w:before="256" w:beforeAutospacing="0" w:after="256" w:afterAutospacing="0" w:line="300" w:lineRule="exact"/>
              <w:ind w:left="0" w:leftChars="0" w:right="0" w:rightChars="0"/>
              <w:jc w:val="both"/>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送货时间由采购单位决定。</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（具体以甲乙双方签订采购合同为准，严格按照采购单位的时间及要求按时供货）</w:t>
            </w:r>
          </w:p>
        </w:tc>
      </w:tr>
      <w:tr w14:paraId="588086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7" w:hRule="atLeast"/>
          <w:jc w:val="center"/>
        </w:trPr>
        <w:tc>
          <w:tcPr>
            <w:tcW w:w="1012" w:type="dxa"/>
            <w:noWrap w:val="0"/>
            <w:vAlign w:val="center"/>
          </w:tcPr>
          <w:p w14:paraId="7148F73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7</w:t>
            </w:r>
          </w:p>
        </w:tc>
        <w:tc>
          <w:tcPr>
            <w:tcW w:w="1536" w:type="dxa"/>
            <w:noWrap w:val="0"/>
            <w:vAlign w:val="center"/>
          </w:tcPr>
          <w:p w14:paraId="2086286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供货</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地点</w:t>
            </w:r>
          </w:p>
        </w:tc>
        <w:tc>
          <w:tcPr>
            <w:tcW w:w="7288" w:type="dxa"/>
            <w:noWrap w:val="0"/>
            <w:vAlign w:val="center"/>
          </w:tcPr>
          <w:p w14:paraId="379480E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按照</w:t>
            </w:r>
            <w:r>
              <w:rPr>
                <w:rFonts w:hint="eastAsia" w:ascii="宋体" w:hAnsi="宋体" w:cs="宋体"/>
                <w:bCs/>
                <w:color w:val="000000" w:themeColor="text1"/>
                <w:szCs w:val="21"/>
                <w:highlight w:val="none"/>
                <w:lang w:eastAsia="zh-CN"/>
                <w14:textFill>
                  <w14:solidFill>
                    <w14:schemeClr w14:val="tx1"/>
                  </w14:solidFill>
                </w14:textFill>
              </w:rPr>
              <w:t>甲方</w:t>
            </w:r>
            <w:r>
              <w:rPr>
                <w:rFonts w:hint="eastAsia" w:ascii="宋体" w:hAnsi="宋体" w:cs="宋体"/>
                <w:bCs/>
                <w:color w:val="000000" w:themeColor="text1"/>
                <w:szCs w:val="21"/>
                <w:highlight w:val="none"/>
                <w14:textFill>
                  <w14:solidFill>
                    <w14:schemeClr w14:val="tx1"/>
                  </w14:solidFill>
                </w14:textFill>
              </w:rPr>
              <w:t>指定的任何地</w:t>
            </w:r>
            <w:r>
              <w:rPr>
                <w:rFonts w:hint="eastAsia" w:ascii="宋体" w:hAnsi="宋体" w:eastAsia="宋体" w:cs="宋体"/>
                <w:bCs/>
                <w:color w:val="000000" w:themeColor="text1"/>
                <w:szCs w:val="21"/>
                <w:highlight w:val="none"/>
                <w14:textFill>
                  <w14:solidFill>
                    <w14:schemeClr w14:val="tx1"/>
                  </w14:solidFill>
                </w14:textFill>
              </w:rPr>
              <w:t>点</w:t>
            </w:r>
            <w:r>
              <w:rPr>
                <w:rFonts w:hint="eastAsia" w:ascii="宋体" w:hAnsi="宋体" w:eastAsia="宋体" w:cs="宋体"/>
                <w:bCs/>
                <w:color w:val="000000" w:themeColor="text1"/>
                <w:szCs w:val="21"/>
                <w:highlight w:val="none"/>
                <w:lang w:val="en-US" w:eastAsia="zh-CN"/>
                <w14:textFill>
                  <w14:solidFill>
                    <w14:schemeClr w14:val="tx1"/>
                  </w14:solidFill>
                </w14:textFill>
              </w:rPr>
              <w:t xml:space="preserve">供货  </w:t>
            </w:r>
          </w:p>
        </w:tc>
      </w:tr>
      <w:tr w14:paraId="43B663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4" w:hRule="atLeast"/>
          <w:jc w:val="center"/>
        </w:trPr>
        <w:tc>
          <w:tcPr>
            <w:tcW w:w="1012" w:type="dxa"/>
            <w:noWrap w:val="0"/>
            <w:vAlign w:val="center"/>
          </w:tcPr>
          <w:p w14:paraId="2A06285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8</w:t>
            </w:r>
          </w:p>
        </w:tc>
        <w:tc>
          <w:tcPr>
            <w:tcW w:w="1536" w:type="dxa"/>
            <w:noWrap w:val="0"/>
            <w:vAlign w:val="center"/>
          </w:tcPr>
          <w:p w14:paraId="572C59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center"/>
              <w:textAlignment w:val="auto"/>
              <w:outlineLvl w:val="9"/>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质保期</w:t>
            </w:r>
          </w:p>
        </w:tc>
        <w:tc>
          <w:tcPr>
            <w:tcW w:w="7288" w:type="dxa"/>
            <w:noWrap w:val="0"/>
            <w:vAlign w:val="center"/>
          </w:tcPr>
          <w:p w14:paraId="4D87E40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left"/>
              <w:textAlignment w:val="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本项目的质保期</w:t>
            </w:r>
            <w:r>
              <w:rPr>
                <w:rFonts w:hint="eastAsia" w:ascii="宋体" w:hAnsi="宋体" w:cs="宋体"/>
                <w:color w:val="000000" w:themeColor="text1"/>
                <w:kern w:val="0"/>
                <w:szCs w:val="21"/>
                <w:highlight w:val="none"/>
                <w:lang w:val="en-US" w:eastAsia="zh-CN"/>
                <w14:textFill>
                  <w14:solidFill>
                    <w14:schemeClr w14:val="tx1"/>
                  </w14:solidFill>
                </w14:textFill>
              </w:rPr>
              <w:t>不少于1</w:t>
            </w:r>
            <w:r>
              <w:rPr>
                <w:rFonts w:hint="eastAsia" w:ascii="宋体" w:hAnsi="宋体" w:eastAsia="宋体" w:cs="宋体"/>
                <w:color w:val="000000" w:themeColor="text1"/>
                <w:kern w:val="0"/>
                <w:szCs w:val="21"/>
                <w:highlight w:val="none"/>
                <w:lang w:val="en-US" w:eastAsia="zh-CN"/>
                <w14:textFill>
                  <w14:solidFill>
                    <w14:schemeClr w14:val="tx1"/>
                  </w14:solidFill>
                </w14:textFill>
              </w:rPr>
              <w:t>年</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（具体以甲乙双方签订采购合同为准）</w:t>
            </w:r>
            <w:r>
              <w:rPr>
                <w:rFonts w:hint="eastAsia" w:ascii="宋体" w:hAnsi="宋体" w:eastAsia="宋体" w:cs="宋体"/>
                <w:color w:val="000000" w:themeColor="text1"/>
                <w:kern w:val="0"/>
                <w:szCs w:val="21"/>
                <w:highlight w:val="none"/>
                <w:lang w:val="en-US" w:eastAsia="zh-CN"/>
                <w14:textFill>
                  <w14:solidFill>
                    <w14:schemeClr w14:val="tx1"/>
                  </w14:solidFill>
                </w14:textFill>
              </w:rPr>
              <w:t>。</w:t>
            </w:r>
          </w:p>
          <w:p w14:paraId="6E664A3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460" w:lineRule="exact"/>
              <w:ind w:left="0" w:right="0"/>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质保期自货物最终验收合格之日起算，质保期内中标人对所提供的货物实行包换、包退且不收取任何费用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3EFB4C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25" w:hRule="atLeast"/>
          <w:jc w:val="center"/>
        </w:trPr>
        <w:tc>
          <w:tcPr>
            <w:tcW w:w="1012" w:type="dxa"/>
            <w:noWrap w:val="0"/>
            <w:vAlign w:val="center"/>
          </w:tcPr>
          <w:p w14:paraId="3E15F35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9</w:t>
            </w:r>
          </w:p>
        </w:tc>
        <w:tc>
          <w:tcPr>
            <w:tcW w:w="1536" w:type="dxa"/>
            <w:noWrap w:val="0"/>
            <w:vAlign w:val="center"/>
          </w:tcPr>
          <w:p w14:paraId="4449A2E7">
            <w:pPr>
              <w:keepNext w:val="0"/>
              <w:keepLines w:val="0"/>
              <w:pageBreakBefore w:val="0"/>
              <w:widowControl/>
              <w:suppressLineNumbers w:val="0"/>
              <w:shd w:val="clear" w:color="auto" w:fill="auto"/>
              <w:kinsoku/>
              <w:wordWrap/>
              <w:overflowPunct/>
              <w:topLinePunct w:val="0"/>
              <w:autoSpaceDE/>
              <w:autoSpaceDN/>
              <w:bidi w:val="0"/>
              <w:adjustRightInd/>
              <w:spacing w:before="0" w:beforeAutospacing="0" w:after="0" w:afterAutospacing="0" w:line="290" w:lineRule="exact"/>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付款方式</w:t>
            </w:r>
          </w:p>
        </w:tc>
        <w:tc>
          <w:tcPr>
            <w:tcW w:w="7288" w:type="dxa"/>
            <w:noWrap w:val="0"/>
            <w:vAlign w:val="center"/>
          </w:tcPr>
          <w:p w14:paraId="2A18E85B">
            <w:pPr>
              <w:pStyle w:val="19"/>
              <w:keepNext w:val="0"/>
              <w:keepLines w:val="0"/>
              <w:suppressLineNumbers w:val="0"/>
              <w:shd w:val="clear" w:color="auto" w:fill="auto"/>
              <w:spacing w:before="0" w:beforeAutospacing="0" w:after="0" w:afterAutospacing="0" w:line="360" w:lineRule="auto"/>
              <w:ind w:left="0" w:right="0"/>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供货方与采购人签订合同后支付合同价款70%预付款，货物到达采购人指定地点，验收合格后，支付合同价款的30%。</w:t>
            </w:r>
          </w:p>
        </w:tc>
      </w:tr>
      <w:tr w14:paraId="1D7B20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1012" w:type="dxa"/>
            <w:noWrap w:val="0"/>
            <w:vAlign w:val="center"/>
          </w:tcPr>
          <w:p w14:paraId="01D0FCC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10</w:t>
            </w:r>
          </w:p>
        </w:tc>
        <w:tc>
          <w:tcPr>
            <w:tcW w:w="1536" w:type="dxa"/>
            <w:noWrap w:val="0"/>
            <w:vAlign w:val="center"/>
          </w:tcPr>
          <w:p w14:paraId="2E9F8ED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招标方式</w:t>
            </w:r>
          </w:p>
        </w:tc>
        <w:tc>
          <w:tcPr>
            <w:tcW w:w="7288" w:type="dxa"/>
            <w:noWrap w:val="0"/>
            <w:vAlign w:val="center"/>
          </w:tcPr>
          <w:p w14:paraId="36BBA2E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color="000000"/>
                <w:lang w:val="en-US" w:eastAsia="zh-CN" w:bidi="en-US"/>
                <w14:textFill>
                  <w14:solidFill>
                    <w14:schemeClr w14:val="tx1"/>
                  </w14:solidFill>
                </w14:textFill>
              </w:rPr>
              <w:t xml:space="preserve">竞争性谈判(本项目采用网上电子招投标) </w:t>
            </w:r>
            <w:r>
              <w:rPr>
                <w:rFonts w:hint="eastAsia" w:cs="Times New Roman"/>
                <w:b w:val="0"/>
                <w:bCs/>
                <w:color w:val="000000" w:themeColor="text1"/>
                <w:sz w:val="21"/>
                <w:szCs w:val="21"/>
                <w:highlight w:val="none"/>
                <w:lang w:val="en-US" w:eastAsia="zh-CN"/>
                <w14:textFill>
                  <w14:solidFill>
                    <w14:schemeClr w14:val="tx1"/>
                  </w14:solidFill>
                </w14:textFill>
              </w:rPr>
              <w:t xml:space="preserve">            </w:t>
            </w:r>
          </w:p>
        </w:tc>
      </w:tr>
      <w:tr w14:paraId="6480B6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00C48A1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11</w:t>
            </w:r>
          </w:p>
        </w:tc>
        <w:tc>
          <w:tcPr>
            <w:tcW w:w="1536" w:type="dxa"/>
            <w:noWrap w:val="0"/>
            <w:vAlign w:val="center"/>
          </w:tcPr>
          <w:p w14:paraId="666FFBB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投标人资格条件及其他要求</w:t>
            </w:r>
          </w:p>
        </w:tc>
        <w:tc>
          <w:tcPr>
            <w:tcW w:w="7288" w:type="dxa"/>
            <w:noWrap w:val="0"/>
            <w:vAlign w:val="center"/>
          </w:tcPr>
          <w:p w14:paraId="3653490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1.满足《中华人民共和国政府采购法》第二十二条规定；</w:t>
            </w:r>
          </w:p>
          <w:p w14:paraId="6356810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2.落实政府采购政策需满足的资格要求：</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标项1：</w:t>
            </w:r>
            <w:r>
              <w:rPr>
                <w:rFonts w:hint="eastAsia" w:ascii="新宋体" w:hAnsi="新宋体" w:eastAsia="新宋体" w:cs="新宋体"/>
                <w:color w:val="000000" w:themeColor="text1"/>
                <w:sz w:val="21"/>
                <w:szCs w:val="21"/>
                <w:highlight w:val="none"/>
                <w:lang w:val="en-US" w:eastAsia="zh-CN" w:bidi="ar"/>
                <w14:textFill>
                  <w14:solidFill>
                    <w14:schemeClr w14:val="tx1"/>
                  </w14:solidFill>
                </w14:textFill>
              </w:rPr>
              <w:t>供应商为中小企业。</w:t>
            </w:r>
            <w:r>
              <w:rPr>
                <w:rFonts w:hint="eastAsia" w:cs="Times New Roman"/>
                <w:b w:val="0"/>
                <w:bCs/>
                <w:color w:val="000000" w:themeColor="text1"/>
                <w:sz w:val="21"/>
                <w:szCs w:val="21"/>
                <w:highlight w:val="none"/>
                <w:lang w:val="en-US" w:eastAsia="zh-CN"/>
                <w14:textFill>
                  <w14:solidFill>
                    <w14:schemeClr w14:val="tx1"/>
                  </w14:solidFill>
                </w14:textFill>
              </w:rPr>
              <w:t> </w:t>
            </w:r>
          </w:p>
          <w:p w14:paraId="0C4DF94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3.本项目的特定资格要求：标项1：</w:t>
            </w:r>
          </w:p>
          <w:p w14:paraId="2E641CB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1).具备三证合一营业执照；</w:t>
            </w:r>
          </w:p>
          <w:p w14:paraId="08AF950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2).法定代表人投标需提供法定代表人资格证明书，委托代理人投标需提供法定代表人授权委托书；</w:t>
            </w:r>
          </w:p>
          <w:p w14:paraId="374F7C5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3).投标企业须提供投标人（被授权本单位在职人员）近 6 个月内任意 1 个月社保证明；</w:t>
            </w:r>
          </w:p>
          <w:p w14:paraId="24A1457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4).未被“信用中国”（www.creditchina.gov.cn）、中国政府采购网（www.ccgp.gov.cn）列入失信被执行人、重大税收违法案件当事人名单、政府采购严重违法失信行为记录名单；</w:t>
            </w:r>
          </w:p>
          <w:p w14:paraId="280753FC">
            <w:pPr>
              <w:pStyle w:val="25"/>
              <w:keepNext w:val="0"/>
              <w:keepLines w:val="0"/>
              <w:suppressLineNumbers w:val="0"/>
              <w:shd w:val="clear" w:color="auto" w:fill="auto"/>
              <w:spacing w:before="0" w:beforeAutospacing="0" w:after="0" w:afterAutospacing="0"/>
              <w:ind w:left="0" w:leftChars="0" w:right="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投标人</w:t>
            </w:r>
            <w:r>
              <w:rPr>
                <w:rFonts w:hint="eastAsia" w:ascii="宋体" w:hAnsi="宋体" w:cs="宋体"/>
                <w:color w:val="000000" w:themeColor="text1"/>
                <w:kern w:val="0"/>
                <w:szCs w:val="21"/>
                <w:lang w:val="en-US" w:eastAsia="zh-CN"/>
                <w14:textFill>
                  <w14:solidFill>
                    <w14:schemeClr w14:val="tx1"/>
                  </w14:solidFill>
                </w14:textFill>
              </w:rPr>
              <w:t>具有有效的《二类医疗器械生产许可证》或《二类医疗器械经营许可证》</w:t>
            </w:r>
            <w:r>
              <w:rPr>
                <w:rFonts w:hint="eastAsia" w:ascii="宋体" w:hAnsi="宋体" w:cs="宋体"/>
                <w:color w:val="000000" w:themeColor="text1"/>
                <w:kern w:val="0"/>
                <w:szCs w:val="21"/>
                <w14:textFill>
                  <w14:solidFill>
                    <w14:schemeClr w14:val="tx1"/>
                  </w14:solidFill>
                </w14:textFill>
              </w:rPr>
              <w:t>。</w:t>
            </w:r>
          </w:p>
          <w:p w14:paraId="506110B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default" w:cs="Times New Roman"/>
                <w:b w:val="0"/>
                <w:bCs/>
                <w:color w:val="000000" w:themeColor="text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w:t>
            </w:r>
            <w:r>
              <w:rPr>
                <w:rFonts w:hint="eastAsia" w:hAnsi="Times New Roman" w:cs="Times New Roman"/>
                <w:b w:val="0"/>
                <w:bCs/>
                <w:color w:val="000000" w:themeColor="text1"/>
                <w:sz w:val="21"/>
                <w:szCs w:val="21"/>
                <w:highlight w:val="none"/>
                <w:lang w:val="en-US" w:eastAsia="zh-CN"/>
                <w14:textFill>
                  <w14:solidFill>
                    <w14:schemeClr w14:val="tx1"/>
                  </w14:solidFill>
                </w14:textFill>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07A8B1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47" w:hRule="atLeast"/>
          <w:jc w:val="center"/>
        </w:trPr>
        <w:tc>
          <w:tcPr>
            <w:tcW w:w="1012" w:type="dxa"/>
            <w:noWrap w:val="0"/>
            <w:vAlign w:val="center"/>
          </w:tcPr>
          <w:p w14:paraId="5D7C8DF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12</w:t>
            </w:r>
          </w:p>
        </w:tc>
        <w:tc>
          <w:tcPr>
            <w:tcW w:w="1536" w:type="dxa"/>
            <w:noWrap w:val="0"/>
            <w:vAlign w:val="center"/>
          </w:tcPr>
          <w:p w14:paraId="1F6E6E3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供应商信用</w:t>
            </w:r>
          </w:p>
          <w:p w14:paraId="0A29D2C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查询</w:t>
            </w:r>
          </w:p>
        </w:tc>
        <w:tc>
          <w:tcPr>
            <w:tcW w:w="7288" w:type="dxa"/>
            <w:noWrap w:val="0"/>
            <w:vAlign w:val="center"/>
          </w:tcPr>
          <w:p w14:paraId="067F342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1、查询渠道：信用中国（网址：http://www.creditchina.gov.cn）、中国政府采购网(网址：http://www.ccgp.gov.cn）。</w:t>
            </w:r>
          </w:p>
          <w:p w14:paraId="1CC9026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2、截止时点：开标后评标前。</w:t>
            </w:r>
          </w:p>
          <w:p w14:paraId="1AC2F8F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3、信用信息查询记录和证据留存的具体方式：由采购组织机构在规定查询时间内打印信用信息查询记录并归入项目档案。</w:t>
            </w:r>
          </w:p>
          <w:p w14:paraId="7F178E3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使用规则：对未提供不串通投标承诺书、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31E306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16" w:hRule="atLeast"/>
          <w:jc w:val="center"/>
        </w:trPr>
        <w:tc>
          <w:tcPr>
            <w:tcW w:w="1012" w:type="dxa"/>
            <w:noWrap w:val="0"/>
            <w:vAlign w:val="center"/>
          </w:tcPr>
          <w:p w14:paraId="65FF527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13</w:t>
            </w:r>
          </w:p>
        </w:tc>
        <w:tc>
          <w:tcPr>
            <w:tcW w:w="1536" w:type="dxa"/>
            <w:noWrap w:val="0"/>
            <w:vAlign w:val="center"/>
          </w:tcPr>
          <w:p w14:paraId="06216D1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踏勘现场</w:t>
            </w:r>
          </w:p>
        </w:tc>
        <w:tc>
          <w:tcPr>
            <w:tcW w:w="7288" w:type="dxa"/>
            <w:noWrap w:val="0"/>
            <w:vAlign w:val="center"/>
          </w:tcPr>
          <w:p w14:paraId="10C4A0A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不组织,投标人自行组织踏勘现场。</w:t>
            </w:r>
          </w:p>
        </w:tc>
      </w:tr>
      <w:tr w14:paraId="6ACC6C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1012" w:type="dxa"/>
            <w:noWrap w:val="0"/>
            <w:vAlign w:val="center"/>
          </w:tcPr>
          <w:p w14:paraId="6D30940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14</w:t>
            </w:r>
          </w:p>
        </w:tc>
        <w:tc>
          <w:tcPr>
            <w:tcW w:w="1536" w:type="dxa"/>
            <w:noWrap w:val="0"/>
            <w:vAlign w:val="center"/>
          </w:tcPr>
          <w:p w14:paraId="669FD82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投标预备会</w:t>
            </w:r>
          </w:p>
        </w:tc>
        <w:tc>
          <w:tcPr>
            <w:tcW w:w="7288" w:type="dxa"/>
            <w:noWrap w:val="0"/>
            <w:vAlign w:val="center"/>
          </w:tcPr>
          <w:p w14:paraId="782D1C6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不召开</w:t>
            </w:r>
          </w:p>
        </w:tc>
      </w:tr>
      <w:tr w14:paraId="12D415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82" w:hRule="atLeast"/>
          <w:jc w:val="center"/>
        </w:trPr>
        <w:tc>
          <w:tcPr>
            <w:tcW w:w="1012" w:type="dxa"/>
            <w:noWrap w:val="0"/>
            <w:vAlign w:val="center"/>
          </w:tcPr>
          <w:p w14:paraId="171BE5D7">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15</w:t>
            </w:r>
          </w:p>
        </w:tc>
        <w:tc>
          <w:tcPr>
            <w:tcW w:w="1536" w:type="dxa"/>
            <w:noWrap w:val="0"/>
            <w:vAlign w:val="center"/>
          </w:tcPr>
          <w:p w14:paraId="5C1AB2D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联合体投标</w:t>
            </w:r>
          </w:p>
        </w:tc>
        <w:tc>
          <w:tcPr>
            <w:tcW w:w="7288" w:type="dxa"/>
            <w:noWrap w:val="0"/>
            <w:vAlign w:val="center"/>
          </w:tcPr>
          <w:p w14:paraId="4EE0CADE">
            <w:pPr>
              <w:keepNext w:val="0"/>
              <w:keepLines w:val="0"/>
              <w:pageBreakBefore w:val="0"/>
              <w:suppressLineNumbers w:val="0"/>
              <w:shd w:val="clear" w:color="auto" w:fill="auto"/>
              <w:kinsoku/>
              <w:wordWrap/>
              <w:overflowPunct/>
              <w:topLinePunct w:val="0"/>
              <w:autoSpaceDE/>
              <w:autoSpaceDN/>
              <w:bidi w:val="0"/>
              <w:adjustRightInd/>
              <w:spacing w:before="0" w:beforeAutospacing="0" w:after="0" w:afterAutospacing="0" w:line="360" w:lineRule="auto"/>
              <w:ind w:left="0" w:right="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Times New Roman" w:hAnsi="宋体" w:eastAsia="宋体" w:cs="宋体"/>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14:textFill>
                  <w14:solidFill>
                    <w14:schemeClr w14:val="tx1"/>
                  </w14:solidFill>
                </w14:textFill>
              </w:rPr>
              <w:t>不接受</w:t>
            </w:r>
          </w:p>
          <w:p w14:paraId="3AF111F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14:textFill>
                  <w14:solidFill>
                    <w14:schemeClr w14:val="tx1"/>
                  </w14:solidFill>
                </w14:textFill>
              </w:rPr>
              <w:t>接受，联合体投标的须在</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响应文件</w:t>
            </w:r>
            <w:r>
              <w:rPr>
                <w:rFonts w:hint="eastAsia" w:ascii="宋体" w:hAnsi="宋体" w:eastAsia="宋体" w:cs="宋体"/>
                <w:b w:val="0"/>
                <w:bCs/>
                <w:color w:val="000000" w:themeColor="text1"/>
                <w:sz w:val="21"/>
                <w:szCs w:val="21"/>
                <w:highlight w:val="none"/>
                <w14:textFill>
                  <w14:solidFill>
                    <w14:schemeClr w14:val="tx1"/>
                  </w14:solidFill>
                </w14:textFill>
              </w:rPr>
              <w:t>中提供联合体协议书，联合体所有成员不得超过2家，联合体的任何一方均不得再与其他投标单位联合。</w:t>
            </w:r>
          </w:p>
        </w:tc>
      </w:tr>
      <w:tr w14:paraId="36B237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33" w:hRule="atLeast"/>
          <w:jc w:val="center"/>
        </w:trPr>
        <w:tc>
          <w:tcPr>
            <w:tcW w:w="1012" w:type="dxa"/>
            <w:noWrap w:val="0"/>
            <w:vAlign w:val="center"/>
          </w:tcPr>
          <w:p w14:paraId="2B10E767">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16</w:t>
            </w:r>
          </w:p>
        </w:tc>
        <w:tc>
          <w:tcPr>
            <w:tcW w:w="1536" w:type="dxa"/>
            <w:noWrap w:val="0"/>
            <w:vAlign w:val="center"/>
          </w:tcPr>
          <w:p w14:paraId="355A2ED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招标代理费</w:t>
            </w:r>
          </w:p>
        </w:tc>
        <w:tc>
          <w:tcPr>
            <w:tcW w:w="7288" w:type="dxa"/>
            <w:noWrap w:val="0"/>
            <w:vAlign w:val="center"/>
          </w:tcPr>
          <w:p w14:paraId="3050D94C">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Times New Roman"/>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kern w:val="2"/>
                <w:sz w:val="21"/>
                <w:szCs w:val="21"/>
                <w:highlight w:val="none"/>
                <w:u w:val="none" w:color="000000"/>
                <w:lang w:val="en-US" w:eastAsia="zh-CN" w:bidi="ar-SA"/>
                <w14:textFill>
                  <w14:solidFill>
                    <w14:schemeClr w14:val="tx1"/>
                  </w14:solidFill>
                </w14:textFill>
              </w:rPr>
              <w:t>中标（成交）人应按本招标文件的规定，在《中标（成交）通知书》核发时，向采购代理机构支付中标（成交）服务费。参照发改价格[2011]534号文计算的招标代理服务收费标准收费。按发改价格[2015]299号规定全面放开招标代理费，由实行政府指导价管理改为实行市场调节价，价格由双方协商确定。</w:t>
            </w:r>
          </w:p>
        </w:tc>
      </w:tr>
      <w:tr w14:paraId="0B24B4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 w:hRule="atLeast"/>
          <w:jc w:val="center"/>
        </w:trPr>
        <w:tc>
          <w:tcPr>
            <w:tcW w:w="1012" w:type="dxa"/>
            <w:noWrap w:val="0"/>
            <w:vAlign w:val="center"/>
          </w:tcPr>
          <w:p w14:paraId="78476B2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17</w:t>
            </w:r>
          </w:p>
        </w:tc>
        <w:tc>
          <w:tcPr>
            <w:tcW w:w="1536" w:type="dxa"/>
            <w:noWrap w:val="0"/>
            <w:vAlign w:val="center"/>
          </w:tcPr>
          <w:p w14:paraId="0D8C7D9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default" w:cs="Times New Roman"/>
                <w:b/>
                <w:bCs w:val="0"/>
                <w:color w:val="000000" w:themeColor="text1"/>
                <w:sz w:val="21"/>
                <w:szCs w:val="21"/>
                <w:highlight w:val="none"/>
                <w:lang w:val="en-US" w:eastAsia="zh-CN"/>
                <w14:textFill>
                  <w14:solidFill>
                    <w14:schemeClr w14:val="tx1"/>
                  </w14:solidFill>
                </w14:textFill>
              </w:rPr>
              <w:t>投标有效期</w:t>
            </w:r>
          </w:p>
        </w:tc>
        <w:tc>
          <w:tcPr>
            <w:tcW w:w="7288" w:type="dxa"/>
            <w:noWrap w:val="0"/>
            <w:vAlign w:val="center"/>
          </w:tcPr>
          <w:p w14:paraId="13C7704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投标有效期为</w:t>
            </w:r>
            <w:r>
              <w:rPr>
                <w:rFonts w:hint="eastAsia" w:ascii="宋体"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 xml:space="preserve"> 60 日历</w:t>
            </w:r>
            <w:r>
              <w:rPr>
                <w:rFonts w:hint="eastAsia" w:cs="Times New Roman"/>
                <w:b/>
                <w:bCs w:val="0"/>
                <w:color w:val="000000" w:themeColor="text1"/>
                <w:sz w:val="21"/>
                <w:szCs w:val="21"/>
                <w:highlight w:val="none"/>
                <w:lang w:val="en-US" w:eastAsia="zh-CN"/>
                <w14:textFill>
                  <w14:solidFill>
                    <w14:schemeClr w14:val="tx1"/>
                  </w14:solidFill>
                </w14:textFill>
              </w:rPr>
              <w:t>天（从投标截止之日算起）。在此期限内，凡符合本谈判文件要求的响应文件均保持有效。</w:t>
            </w:r>
          </w:p>
        </w:tc>
      </w:tr>
      <w:tr w14:paraId="202455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 w:hRule="atLeast"/>
          <w:jc w:val="center"/>
        </w:trPr>
        <w:tc>
          <w:tcPr>
            <w:tcW w:w="1012" w:type="dxa"/>
            <w:noWrap w:val="0"/>
            <w:vAlign w:val="center"/>
          </w:tcPr>
          <w:p w14:paraId="7225B1D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18</w:t>
            </w:r>
          </w:p>
        </w:tc>
        <w:tc>
          <w:tcPr>
            <w:tcW w:w="1536" w:type="dxa"/>
            <w:noWrap w:val="0"/>
            <w:vAlign w:val="center"/>
          </w:tcPr>
          <w:p w14:paraId="3ABC664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cs="Times New Roman"/>
                <w:b/>
                <w:bCs w:val="0"/>
                <w:color w:val="000000" w:themeColor="text1"/>
                <w:szCs w:val="21"/>
                <w:highlight w:val="none"/>
                <w14:textFill>
                  <w14:solidFill>
                    <w14:schemeClr w14:val="tx1"/>
                  </w14:solidFill>
                </w14:textFill>
              </w:rPr>
            </w:pPr>
            <w:r>
              <w:rPr>
                <w:rFonts w:hint="eastAsia" w:ascii="宋体" w:cs="Times New Roman"/>
                <w:b/>
                <w:bCs w:val="0"/>
                <w:color w:val="000000" w:themeColor="text1"/>
                <w:szCs w:val="21"/>
                <w:highlight w:val="none"/>
                <w14:textFill>
                  <w14:solidFill>
                    <w14:schemeClr w14:val="tx1"/>
                  </w14:solidFill>
                </w14:textFill>
              </w:rPr>
              <w:t>投标保证金</w:t>
            </w:r>
          </w:p>
        </w:tc>
        <w:tc>
          <w:tcPr>
            <w:tcW w:w="7288" w:type="dxa"/>
            <w:noWrap w:val="0"/>
            <w:vAlign w:val="center"/>
          </w:tcPr>
          <w:p w14:paraId="599A944E">
            <w:pPr>
              <w:keepNext w:val="0"/>
              <w:keepLines w:val="0"/>
              <w:suppressLineNumbers w:val="0"/>
              <w:shd w:val="clear" w:color="auto" w:fill="auto"/>
              <w:snapToGrid w:val="0"/>
              <w:spacing w:before="0" w:beforeAutospacing="0" w:after="0" w:afterAutospacing="0" w:line="290" w:lineRule="exact"/>
              <w:ind w:left="0" w:right="0"/>
              <w:rPr>
                <w:rFonts w:hint="eastAsia" w:ascii="宋体" w:hAnsi="宋体" w:cs="宋体-18030"/>
                <w:b w:val="0"/>
                <w:bCs/>
                <w:color w:val="000000" w:themeColor="text1"/>
                <w:szCs w:val="21"/>
                <w:highlight w:val="none"/>
                <w14:textFill>
                  <w14:solidFill>
                    <w14:schemeClr w14:val="tx1"/>
                  </w14:solidFill>
                </w14:textFill>
              </w:rPr>
            </w:pPr>
            <w:r>
              <w:rPr>
                <w:rFonts w:hint="eastAsia" w:ascii="宋体" w:hAnsi="宋体" w:cs="宋体-18030"/>
                <w:b w:val="0"/>
                <w:bCs/>
                <w:color w:val="000000" w:themeColor="text1"/>
                <w:szCs w:val="21"/>
                <w:highlight w:val="none"/>
                <w14:textFill>
                  <w14:solidFill>
                    <w14:schemeClr w14:val="tx1"/>
                  </w14:solidFill>
                </w14:textFill>
              </w:rPr>
              <w:t>投标保证金应当以支票、汇票、本票、网上银行支付或者金融机构、担保机构出具的保函等非现金形式缴纳。</w:t>
            </w:r>
          </w:p>
          <w:p w14:paraId="406E6AD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18030"/>
                <w:b w:val="0"/>
                <w:bCs/>
                <w:color w:val="000000" w:themeColor="text1"/>
                <w:szCs w:val="21"/>
                <w:highlight w:val="none"/>
                <w14:textFill>
                  <w14:solidFill>
                    <w14:schemeClr w14:val="tx1"/>
                  </w14:solidFill>
                </w14:textFill>
              </w:rPr>
            </w:pPr>
            <w:r>
              <w:rPr>
                <w:rFonts w:hint="eastAsia" w:ascii="宋体" w:hAnsi="宋体" w:cs="宋体-18030"/>
                <w:b/>
                <w:bCs w:val="0"/>
                <w:color w:val="000000" w:themeColor="text1"/>
                <w:szCs w:val="21"/>
                <w:highlight w:val="none"/>
                <w14:textFill>
                  <w14:solidFill>
                    <w14:schemeClr w14:val="tx1"/>
                  </w14:solidFill>
                </w14:textFill>
              </w:rPr>
              <w:t>投标保证金的金额：</w:t>
            </w:r>
            <w:r>
              <w:rPr>
                <w:rFonts w:hint="eastAsia" w:hAnsi="宋体" w:cs="宋体-18030"/>
                <w:b/>
                <w:bCs w:val="0"/>
                <w:color w:val="000000" w:themeColor="text1"/>
                <w:szCs w:val="21"/>
                <w:highlight w:val="none"/>
                <w:lang w:val="en-US" w:eastAsia="zh-CN"/>
                <w14:textFill>
                  <w14:solidFill>
                    <w14:schemeClr w14:val="tx1"/>
                  </w14:solidFill>
                </w14:textFill>
              </w:rPr>
              <w:t>20000.00</w:t>
            </w:r>
            <w:r>
              <w:rPr>
                <w:rFonts w:hint="eastAsia" w:ascii="宋体" w:hAnsi="宋体" w:cs="宋体-18030"/>
                <w:b/>
                <w:bCs w:val="0"/>
                <w:color w:val="000000" w:themeColor="text1"/>
                <w:szCs w:val="21"/>
                <w:highlight w:val="none"/>
                <w14:textFill>
                  <w14:solidFill>
                    <w14:schemeClr w14:val="tx1"/>
                  </w14:solidFill>
                </w14:textFill>
              </w:rPr>
              <w:t>元（</w:t>
            </w:r>
            <w:r>
              <w:rPr>
                <w:rFonts w:hint="eastAsia" w:hAnsi="宋体" w:cs="宋体-18030"/>
                <w:b/>
                <w:bCs w:val="0"/>
                <w:color w:val="000000" w:themeColor="text1"/>
                <w:szCs w:val="21"/>
                <w:highlight w:val="none"/>
                <w:lang w:eastAsia="zh-CN"/>
                <w14:textFill>
                  <w14:solidFill>
                    <w14:schemeClr w14:val="tx1"/>
                  </w14:solidFill>
                </w14:textFill>
              </w:rPr>
              <w:t>贰万元整</w:t>
            </w:r>
            <w:r>
              <w:rPr>
                <w:rFonts w:hint="eastAsia" w:ascii="宋体" w:hAnsi="宋体" w:cs="宋体-18030"/>
                <w:b/>
                <w:bCs w:val="0"/>
                <w:color w:val="000000" w:themeColor="text1"/>
                <w:szCs w:val="21"/>
                <w:highlight w:val="none"/>
                <w14:textFill>
                  <w14:solidFill>
                    <w14:schemeClr w14:val="tx1"/>
                  </w14:solidFill>
                </w14:textFill>
              </w:rPr>
              <w:t>）</w:t>
            </w:r>
          </w:p>
        </w:tc>
      </w:tr>
      <w:tr w14:paraId="26AAD2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012" w:type="dxa"/>
            <w:noWrap w:val="0"/>
            <w:vAlign w:val="center"/>
          </w:tcPr>
          <w:p w14:paraId="194FAD0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19</w:t>
            </w:r>
          </w:p>
        </w:tc>
        <w:tc>
          <w:tcPr>
            <w:tcW w:w="1536" w:type="dxa"/>
            <w:tcBorders>
              <w:bottom w:val="single" w:color="auto" w:sz="4" w:space="0"/>
            </w:tcBorders>
            <w:noWrap w:val="0"/>
            <w:vAlign w:val="center"/>
          </w:tcPr>
          <w:p w14:paraId="6F99538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宋体" w:cs="Times New Roman"/>
                <w:b/>
                <w:bCs w:val="0"/>
                <w:color w:val="000000" w:themeColor="text1"/>
                <w:sz w:val="21"/>
                <w:szCs w:val="21"/>
                <w:highlight w:val="none"/>
                <w:lang w:eastAsia="zh-CN"/>
                <w14:textFill>
                  <w14:solidFill>
                    <w14:schemeClr w14:val="tx1"/>
                  </w14:solidFill>
                </w14:textFill>
              </w:rPr>
              <w:t>投标保证金</w:t>
            </w:r>
          </w:p>
        </w:tc>
        <w:tc>
          <w:tcPr>
            <w:tcW w:w="7288" w:type="dxa"/>
            <w:tcBorders>
              <w:bottom w:val="single" w:color="auto" w:sz="4" w:space="0"/>
            </w:tcBorders>
            <w:noWrap w:val="0"/>
            <w:vAlign w:val="top"/>
          </w:tcPr>
          <w:p w14:paraId="634C5359">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投标保证金缴纳要求：</w:t>
            </w:r>
          </w:p>
          <w:p w14:paraId="7A81F27D">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1、投标保证金以电汇、网银形式提交的，应在投标截止前以公司法人的基本账户一次性汇入指定账户（以到账时间为准），不接受现金及任何个人汇款。汇款凭证或保函作为该项目投标保证金的缴纳依据。</w:t>
            </w:r>
          </w:p>
          <w:p w14:paraId="2CCB6406">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2、其他特殊情况处理：有效投标保证金成功交纳后，截止开标时间，供应商无正当理由不参加该项目投标且不递交弃标函，投标保证金不予退还。</w:t>
            </w:r>
          </w:p>
          <w:p w14:paraId="3418B0D8">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户名：克孜勒苏柯尔克孜自治州政务服务和公共资源交易中心</w:t>
            </w:r>
          </w:p>
          <w:p w14:paraId="527CDAFE">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账号：30456301040005069</w:t>
            </w:r>
          </w:p>
          <w:p w14:paraId="147D2A0C">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行名：农行阿图什市天山分理处</w:t>
            </w:r>
          </w:p>
          <w:p w14:paraId="71480CC2">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行号：103893045636</w:t>
            </w:r>
          </w:p>
          <w:p w14:paraId="7957621A">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联系人：孙先生</w:t>
            </w:r>
          </w:p>
          <w:p w14:paraId="190F889B">
            <w:pPr>
              <w:keepNext w:val="0"/>
              <w:keepLines w:val="0"/>
              <w:suppressLineNumbers w:val="0"/>
              <w:shd w:val="clear" w:color="auto" w:fill="auto"/>
              <w:spacing w:before="0" w:beforeAutospacing="0" w:after="0" w:afterAutospacing="0"/>
              <w:ind w:left="0" w:right="0"/>
              <w:rPr>
                <w:rFonts w:hint="default"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电话：0908-4220265  15155770782</w:t>
            </w:r>
          </w:p>
          <w:p w14:paraId="07C48FDA">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（备注：必须写清楚xx公司xx项目保证金）</w:t>
            </w:r>
          </w:p>
          <w:p w14:paraId="12AB3DA7">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二、申请退还投标保证金资料（招投标结束中标结果公示后）：</w:t>
            </w:r>
          </w:p>
          <w:p w14:paraId="44083C44">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1、投标企业：待开标完成后，未中标企业3-5个工作日内政资中心将收取的项目投标保证金按投标企业基本户退回。</w:t>
            </w:r>
          </w:p>
          <w:p w14:paraId="6B0FE65C">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2、中标企业：需提供已签订合同复印件一份，复印件每页需加盖企业鲜章（并携带合同原件，由中心工作人员核对后退还）。</w:t>
            </w:r>
          </w:p>
          <w:p w14:paraId="48925D48">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三、其他特殊情况处理：</w:t>
            </w:r>
          </w:p>
          <w:p w14:paraId="5E4FDF34">
            <w:pPr>
              <w:keepNext w:val="0"/>
              <w:keepLines w:val="0"/>
              <w:suppressLineNumbers w:val="0"/>
              <w:shd w:val="clear" w:color="auto" w:fill="auto"/>
              <w:spacing w:before="0" w:beforeAutospacing="0" w:after="0" w:afterAutospacing="0"/>
              <w:ind w:left="0" w:right="0"/>
              <w:rPr>
                <w:rFonts w:hint="eastAsia" w:ascii="宋体" w:hAnsi="宋体" w:cs="宋体-18030"/>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1、按照招标文件要求规定：投标企业无正当理由不参加该项目投标且在规定开标时间前不递交弃标函，投标保证金不予退还。</w:t>
            </w:r>
          </w:p>
        </w:tc>
      </w:tr>
      <w:tr w14:paraId="15F16A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012" w:type="dxa"/>
            <w:noWrap w:val="0"/>
            <w:vAlign w:val="center"/>
          </w:tcPr>
          <w:p w14:paraId="7D9C1481">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20</w:t>
            </w:r>
          </w:p>
        </w:tc>
        <w:tc>
          <w:tcPr>
            <w:tcW w:w="1536" w:type="dxa"/>
            <w:noWrap w:val="0"/>
            <w:vAlign w:val="center"/>
          </w:tcPr>
          <w:p w14:paraId="63808C1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响应文件形式</w:t>
            </w:r>
          </w:p>
        </w:tc>
        <w:tc>
          <w:tcPr>
            <w:tcW w:w="7288" w:type="dxa"/>
            <w:noWrap w:val="0"/>
            <w:vAlign w:val="center"/>
          </w:tcPr>
          <w:p w14:paraId="64138C4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电子响应文件包括“电子加密响应文件”和“备份响应文件”，在响应文件编制完成后同时生成。</w:t>
            </w:r>
          </w:p>
          <w:p w14:paraId="7F6508B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1、“电子加密响应文件”是指通过“政采云电子交易客户端”完成响应文件编制后生成并加密的数据电文形式的响应文件。</w:t>
            </w:r>
          </w:p>
          <w:p w14:paraId="5DBDC8B9">
            <w:pPr>
              <w:pStyle w:val="25"/>
              <w:keepNext w:val="0"/>
              <w:keepLines w:val="0"/>
              <w:suppressLineNumbers w:val="0"/>
              <w:shd w:val="clear" w:color="auto" w:fill="auto"/>
              <w:spacing w:before="0" w:beforeAutospacing="0" w:after="0" w:afterAutospacing="0"/>
              <w:ind w:left="0" w:leftChars="0" w:right="0" w:firstLine="0" w:firstLineChars="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2、“备份响应文件”是指与“电子加密响应文件”同时生成的数据电文形式的电子文件（备份标书，用于供应商标书解密异常时应急使用），其他方式编制的备份响应文件视为无效备份响应文件。</w:t>
            </w:r>
          </w:p>
        </w:tc>
      </w:tr>
      <w:tr w14:paraId="50CF9C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1012" w:type="dxa"/>
            <w:noWrap w:val="0"/>
            <w:vAlign w:val="center"/>
          </w:tcPr>
          <w:p w14:paraId="15CB9549">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21</w:t>
            </w:r>
          </w:p>
        </w:tc>
        <w:tc>
          <w:tcPr>
            <w:tcW w:w="1536" w:type="dxa"/>
            <w:noWrap w:val="0"/>
            <w:vAlign w:val="center"/>
          </w:tcPr>
          <w:p w14:paraId="39C2D5C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响应文件份数及要求</w:t>
            </w:r>
          </w:p>
        </w:tc>
        <w:tc>
          <w:tcPr>
            <w:tcW w:w="7288" w:type="dxa"/>
            <w:noWrap w:val="0"/>
            <w:vAlign w:val="center"/>
          </w:tcPr>
          <w:p w14:paraId="4805A42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default" w:cs="Times New Roman"/>
                <w:b w:val="0"/>
                <w:bCs/>
                <w:color w:val="000000" w:themeColor="text1"/>
                <w:sz w:val="21"/>
                <w:szCs w:val="21"/>
                <w:highlight w:val="none"/>
                <w:lang w:val="en-US" w:eastAsia="zh-CN"/>
                <w14:textFill>
                  <w14:solidFill>
                    <w14:schemeClr w14:val="tx1"/>
                  </w14:solidFill>
                </w14:textFill>
              </w:rPr>
              <w:t>1、一份电子加密标书（“.jmbs”格式），一份备份标书文件（“.bfbs”格式）。</w:t>
            </w:r>
          </w:p>
          <w:p w14:paraId="0B7A02E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default" w:cs="Times New Roman"/>
                <w:b w:val="0"/>
                <w:bCs/>
                <w:color w:val="000000" w:themeColor="text1"/>
                <w:sz w:val="21"/>
                <w:szCs w:val="21"/>
                <w:highlight w:val="none"/>
                <w:lang w:val="en-US" w:eastAsia="zh-CN"/>
                <w14:textFill>
                  <w14:solidFill>
                    <w14:schemeClr w14:val="tx1"/>
                  </w14:solidFill>
                </w14:textFill>
              </w:rPr>
              <w:t>2、每份电子</w:t>
            </w:r>
            <w:r>
              <w:rPr>
                <w:rFonts w:hint="eastAsia" w:cs="Times New Roman"/>
                <w:color w:val="000000" w:themeColor="text1"/>
                <w:sz w:val="21"/>
                <w:szCs w:val="21"/>
                <w:highlight w:val="none"/>
                <w:lang w:val="en-US" w:eastAsia="zh-CN"/>
                <w14:textFill>
                  <w14:solidFill>
                    <w14:schemeClr w14:val="tx1"/>
                  </w14:solidFill>
                </w14:textFill>
              </w:rPr>
              <w:t>响应</w:t>
            </w:r>
            <w:r>
              <w:rPr>
                <w:rFonts w:hint="default" w:cs="Times New Roman"/>
                <w:b w:val="0"/>
                <w:bCs/>
                <w:color w:val="000000" w:themeColor="text1"/>
                <w:sz w:val="21"/>
                <w:szCs w:val="21"/>
                <w:highlight w:val="none"/>
                <w:lang w:val="en-US" w:eastAsia="zh-CN"/>
                <w14:textFill>
                  <w14:solidFill>
                    <w14:schemeClr w14:val="tx1"/>
                  </w14:solidFill>
                </w14:textFill>
              </w:rPr>
              <w:t>文件应包括资格证明文件和商务及技术文件两部分。</w:t>
            </w:r>
          </w:p>
        </w:tc>
      </w:tr>
      <w:tr w14:paraId="7FC18B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90" w:hRule="atLeast"/>
          <w:jc w:val="center"/>
        </w:trPr>
        <w:tc>
          <w:tcPr>
            <w:tcW w:w="1012" w:type="dxa"/>
            <w:noWrap w:val="0"/>
            <w:vAlign w:val="center"/>
          </w:tcPr>
          <w:p w14:paraId="2FB7F37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22</w:t>
            </w:r>
          </w:p>
        </w:tc>
        <w:tc>
          <w:tcPr>
            <w:tcW w:w="1536" w:type="dxa"/>
            <w:noWrap w:val="0"/>
            <w:vAlign w:val="center"/>
          </w:tcPr>
          <w:p w14:paraId="698334D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lang w:bidi="zh-CN"/>
                <w14:textFill>
                  <w14:solidFill>
                    <w14:schemeClr w14:val="tx1"/>
                  </w14:solidFill>
                </w14:textFill>
              </w:rPr>
              <w:t>响应文件的上传和递交</w:t>
            </w:r>
          </w:p>
        </w:tc>
        <w:tc>
          <w:tcPr>
            <w:tcW w:w="7288" w:type="dxa"/>
            <w:noWrap w:val="0"/>
            <w:vAlign w:val="center"/>
          </w:tcPr>
          <w:p w14:paraId="12C3B017">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u w:val="single" w:color="auto"/>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1.电子加密响应文件：响应文件制作完成并生成加密标书，在投标截止时间前，供应商需将加密的</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文件上传至政采云平台，</w:t>
            </w:r>
            <w:r>
              <w:rPr>
                <w:rFonts w:hint="eastAsia" w:cs="Times New Roman"/>
                <w:b w:val="0"/>
                <w:bCs/>
                <w:color w:val="000000" w:themeColor="text1"/>
                <w:sz w:val="21"/>
                <w:szCs w:val="21"/>
                <w:highlight w:val="none"/>
                <w:u w:val="single" w:color="auto"/>
                <w:lang w:val="en-US" w:eastAsia="zh-CN"/>
                <w14:textFill>
                  <w14:solidFill>
                    <w14:schemeClr w14:val="tx1"/>
                  </w14:solidFill>
                </w14:textFill>
              </w:rPr>
              <w:t>在开标时间开始后，待采购组织机构发出解密通知后30分钟内解密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u w:val="single" w:color="auto"/>
                <w:lang w:val="en-US" w:eastAsia="zh-CN"/>
                <w14:textFill>
                  <w14:solidFill>
                    <w14:schemeClr w14:val="tx1"/>
                  </w14:solidFill>
                </w14:textFill>
              </w:rPr>
              <w:t>文件。</w:t>
            </w:r>
          </w:p>
          <w:p w14:paraId="560026F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a.供应商未能在投标截止时间前成功上传电子加密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文件的投标无效。</w:t>
            </w:r>
          </w:p>
          <w:p w14:paraId="3E97726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b.供应商成功上传电子加密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文件后，可自行打印</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文件接收回执。</w:t>
            </w:r>
          </w:p>
        </w:tc>
      </w:tr>
      <w:tr w14:paraId="64FAF7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7" w:hRule="atLeast"/>
          <w:jc w:val="center"/>
        </w:trPr>
        <w:tc>
          <w:tcPr>
            <w:tcW w:w="1012" w:type="dxa"/>
            <w:noWrap w:val="0"/>
            <w:vAlign w:val="center"/>
          </w:tcPr>
          <w:p w14:paraId="68EC43C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23</w:t>
            </w:r>
          </w:p>
        </w:tc>
        <w:tc>
          <w:tcPr>
            <w:tcW w:w="1536" w:type="dxa"/>
            <w:noWrap w:val="0"/>
            <w:vAlign w:val="center"/>
          </w:tcPr>
          <w:p w14:paraId="301EDB9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lang w:eastAsia="zh-CN"/>
                <w14:textFill>
                  <w14:solidFill>
                    <w14:schemeClr w14:val="tx1"/>
                  </w14:solidFill>
                </w14:textFill>
              </w:rPr>
              <w:t>投标截止</w:t>
            </w:r>
            <w:r>
              <w:rPr>
                <w:rFonts w:hint="eastAsia" w:ascii="宋体" w:hAnsi="Times New Roman" w:cs="Times New Roman"/>
                <w:b/>
                <w:bCs w:val="0"/>
                <w:color w:val="000000" w:themeColor="text1"/>
                <w:sz w:val="21"/>
                <w:szCs w:val="21"/>
                <w:highlight w:val="none"/>
                <w14:textFill>
                  <w14:solidFill>
                    <w14:schemeClr w14:val="tx1"/>
                  </w14:solidFill>
                </w14:textFill>
              </w:rPr>
              <w:t>时间及地点</w:t>
            </w:r>
          </w:p>
        </w:tc>
        <w:tc>
          <w:tcPr>
            <w:tcW w:w="7288" w:type="dxa"/>
            <w:noWrap w:val="0"/>
            <w:vAlign w:val="center"/>
          </w:tcPr>
          <w:p w14:paraId="4EA79AF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投标截止</w:t>
            </w:r>
            <w:r>
              <w:rPr>
                <w:rFonts w:hint="eastAsia" w:ascii="Times New Roman" w:hAnsi="Times New Roman" w:cs="Times New Roman"/>
                <w:b w:val="0"/>
                <w:bCs/>
                <w:color w:val="000000" w:themeColor="text1"/>
                <w:sz w:val="21"/>
                <w:szCs w:val="21"/>
                <w:highlight w:val="none"/>
                <w14:textFill>
                  <w14:solidFill>
                    <w14:schemeClr w14:val="tx1"/>
                  </w14:solidFill>
                </w14:textFill>
              </w:rPr>
              <w:t>时间：</w:t>
            </w:r>
            <w:r>
              <w:rPr>
                <w:rFonts w:hint="eastAsia" w:cs="Times New Roman"/>
                <w:b w:val="0"/>
                <w:bCs/>
                <w:color w:val="000000" w:themeColor="text1"/>
                <w:sz w:val="21"/>
                <w:szCs w:val="21"/>
                <w:highlight w:val="none"/>
                <w:lang w:val="en-US" w:eastAsia="zh-CN"/>
                <w14:textFill>
                  <w14:solidFill>
                    <w14:schemeClr w14:val="tx1"/>
                  </w14:solidFill>
                </w14:textFill>
              </w:rPr>
              <w:t xml:space="preserve">2025年07月24日 </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b w:val="0"/>
                <w:bCs/>
                <w:color w:val="000000" w:themeColor="text1"/>
                <w:sz w:val="21"/>
                <w:szCs w:val="21"/>
                <w:highlight w:val="none"/>
                <w14:textFill>
                  <w14:solidFill>
                    <w14:schemeClr w14:val="tx1"/>
                  </w14:solidFill>
                </w14:textFill>
              </w:rPr>
              <w:t>时</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30</w:t>
            </w:r>
            <w:r>
              <w:rPr>
                <w:rFonts w:hint="eastAsia" w:ascii="Times New Roman" w:hAnsi="Times New Roman" w:cs="Times New Roman"/>
                <w:b w:val="0"/>
                <w:bCs/>
                <w:color w:val="000000" w:themeColor="text1"/>
                <w:sz w:val="21"/>
                <w:szCs w:val="21"/>
                <w:highlight w:val="none"/>
                <w14:textFill>
                  <w14:solidFill>
                    <w14:schemeClr w14:val="tx1"/>
                  </w14:solidFill>
                </w14:textFill>
              </w:rPr>
              <w:t>分（北京时间）</w:t>
            </w:r>
          </w:p>
          <w:p w14:paraId="5B5C92CF">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投标</w:t>
            </w:r>
            <w:r>
              <w:rPr>
                <w:rFonts w:hint="eastAsia" w:ascii="Times New Roman" w:hAnsi="Times New Roman" w:cs="Times New Roman"/>
                <w:b w:val="0"/>
                <w:bCs/>
                <w:color w:val="000000" w:themeColor="text1"/>
                <w:sz w:val="21"/>
                <w:szCs w:val="21"/>
                <w:highlight w:val="none"/>
                <w14:textFill>
                  <w14:solidFill>
                    <w14:schemeClr w14:val="tx1"/>
                  </w14:solidFill>
                </w14:textFill>
              </w:rPr>
              <w:t>地点：</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新疆</w:t>
            </w:r>
            <w:r>
              <w:rPr>
                <w:rFonts w:hint="eastAsia" w:ascii="Times New Roman" w:hAnsi="Times New Roman" w:cs="Times New Roman"/>
                <w:b w:val="0"/>
                <w:bCs/>
                <w:color w:val="000000" w:themeColor="text1"/>
                <w:sz w:val="21"/>
                <w:szCs w:val="21"/>
                <w:highlight w:val="none"/>
                <w14:textFill>
                  <w14:solidFill>
                    <w14:schemeClr w14:val="tx1"/>
                  </w14:solidFill>
                </w14:textFill>
              </w:rPr>
              <w:t>政府采购云平台（www.zcygov.cn）</w:t>
            </w:r>
          </w:p>
        </w:tc>
      </w:tr>
      <w:tr w14:paraId="3DE225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012" w:type="dxa"/>
            <w:noWrap w:val="0"/>
            <w:vAlign w:val="center"/>
          </w:tcPr>
          <w:p w14:paraId="08C4007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eastAsia="宋体" w:cs="宋体"/>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24</w:t>
            </w:r>
          </w:p>
        </w:tc>
        <w:tc>
          <w:tcPr>
            <w:tcW w:w="1536" w:type="dxa"/>
            <w:noWrap w:val="0"/>
            <w:vAlign w:val="center"/>
          </w:tcPr>
          <w:p w14:paraId="597A489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开标时间及地点</w:t>
            </w:r>
          </w:p>
        </w:tc>
        <w:tc>
          <w:tcPr>
            <w:tcW w:w="7288" w:type="dxa"/>
            <w:noWrap w:val="0"/>
            <w:vAlign w:val="center"/>
          </w:tcPr>
          <w:p w14:paraId="6E7F9CF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14:textFill>
                  <w14:solidFill>
                    <w14:schemeClr w14:val="tx1"/>
                  </w14:solidFill>
                </w14:textFill>
              </w:rPr>
              <w:t>开标时间：</w:t>
            </w:r>
            <w:r>
              <w:rPr>
                <w:rFonts w:hint="eastAsia" w:cs="Times New Roman"/>
                <w:b w:val="0"/>
                <w:bCs/>
                <w:color w:val="000000" w:themeColor="text1"/>
                <w:sz w:val="21"/>
                <w:szCs w:val="21"/>
                <w:highlight w:val="none"/>
                <w:lang w:val="en-US" w:eastAsia="zh-CN"/>
                <w14:textFill>
                  <w14:solidFill>
                    <w14:schemeClr w14:val="tx1"/>
                  </w14:solidFill>
                </w14:textFill>
              </w:rPr>
              <w:t xml:space="preserve">2025年07月24日 </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b w:val="0"/>
                <w:bCs/>
                <w:color w:val="000000" w:themeColor="text1"/>
                <w:sz w:val="21"/>
                <w:szCs w:val="21"/>
                <w:highlight w:val="none"/>
                <w14:textFill>
                  <w14:solidFill>
                    <w14:schemeClr w14:val="tx1"/>
                  </w14:solidFill>
                </w14:textFill>
              </w:rPr>
              <w:t>时</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30</w:t>
            </w:r>
            <w:r>
              <w:rPr>
                <w:rFonts w:hint="eastAsia" w:ascii="Times New Roman" w:hAnsi="Times New Roman" w:cs="Times New Roman"/>
                <w:b w:val="0"/>
                <w:bCs/>
                <w:color w:val="000000" w:themeColor="text1"/>
                <w:sz w:val="21"/>
                <w:szCs w:val="21"/>
                <w:highlight w:val="none"/>
                <w14:textFill>
                  <w14:solidFill>
                    <w14:schemeClr w14:val="tx1"/>
                  </w14:solidFill>
                </w14:textFill>
              </w:rPr>
              <w:t>分（北京时间）</w:t>
            </w:r>
          </w:p>
          <w:p w14:paraId="2025633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14:textFill>
                  <w14:solidFill>
                    <w14:schemeClr w14:val="tx1"/>
                  </w14:solidFill>
                </w14:textFill>
              </w:rPr>
              <w:t>开标地点：在</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新疆</w:t>
            </w:r>
            <w:r>
              <w:rPr>
                <w:rFonts w:hint="eastAsia" w:ascii="Times New Roman" w:hAnsi="Times New Roman" w:cs="Times New Roman"/>
                <w:b w:val="0"/>
                <w:bCs/>
                <w:color w:val="000000" w:themeColor="text1"/>
                <w:sz w:val="21"/>
                <w:szCs w:val="21"/>
                <w:highlight w:val="none"/>
                <w14:textFill>
                  <w14:solidFill>
                    <w14:schemeClr w14:val="tx1"/>
                  </w14:solidFill>
                </w14:textFill>
              </w:rPr>
              <w:t>政府采购云平台（www.zcygov.cn）上开启</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响应文件</w:t>
            </w:r>
          </w:p>
        </w:tc>
      </w:tr>
      <w:tr w14:paraId="357EF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02" w:hRule="atLeast"/>
          <w:jc w:val="center"/>
        </w:trPr>
        <w:tc>
          <w:tcPr>
            <w:tcW w:w="1012" w:type="dxa"/>
            <w:noWrap w:val="0"/>
            <w:vAlign w:val="center"/>
          </w:tcPr>
          <w:p w14:paraId="7150F69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25</w:t>
            </w:r>
          </w:p>
        </w:tc>
        <w:tc>
          <w:tcPr>
            <w:tcW w:w="1536" w:type="dxa"/>
            <w:noWrap w:val="0"/>
            <w:vAlign w:val="center"/>
          </w:tcPr>
          <w:p w14:paraId="31C34F7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评标委员会的组建</w:t>
            </w:r>
          </w:p>
        </w:tc>
        <w:tc>
          <w:tcPr>
            <w:tcW w:w="7288" w:type="dxa"/>
            <w:noWrap w:val="0"/>
            <w:vAlign w:val="top"/>
          </w:tcPr>
          <w:p w14:paraId="577E965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评标委员会由招标人依法组建；采购人代表1人，评审专家2人，共3人。</w:t>
            </w:r>
          </w:p>
          <w:p w14:paraId="77FCD4D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评标专家确定方式：专家评委由招标人在开标前48小时内从政采云专家库中随机抽取。</w:t>
            </w:r>
          </w:p>
        </w:tc>
      </w:tr>
      <w:tr w14:paraId="07B5E6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1012" w:type="dxa"/>
            <w:noWrap w:val="0"/>
            <w:vAlign w:val="center"/>
          </w:tcPr>
          <w:p w14:paraId="3512DEC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26</w:t>
            </w:r>
          </w:p>
        </w:tc>
        <w:tc>
          <w:tcPr>
            <w:tcW w:w="1536" w:type="dxa"/>
            <w:noWrap w:val="0"/>
            <w:vAlign w:val="center"/>
          </w:tcPr>
          <w:p w14:paraId="64A5501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是否授权评标委员会确定中标候选人</w:t>
            </w:r>
          </w:p>
        </w:tc>
        <w:tc>
          <w:tcPr>
            <w:tcW w:w="7288" w:type="dxa"/>
            <w:noWrap w:val="0"/>
            <w:vAlign w:val="center"/>
          </w:tcPr>
          <w:p w14:paraId="24F0BE2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hAnsi="宋体" w:cs="Times New Roman"/>
                <w:b w:val="0"/>
                <w:bCs/>
                <w:color w:val="000000" w:themeColor="text1"/>
                <w:sz w:val="21"/>
                <w:szCs w:val="21"/>
                <w:highlight w:val="none"/>
                <w:lang w:val="en-US" w:eastAsia="zh-CN"/>
                <w14:textFill>
                  <w14:solidFill>
                    <w14:schemeClr w14:val="tx1"/>
                  </w14:solidFill>
                </w14:textFill>
              </w:rPr>
              <w:t>是。</w:t>
            </w:r>
          </w:p>
        </w:tc>
      </w:tr>
      <w:tr w14:paraId="51AE16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1012" w:type="dxa"/>
            <w:noWrap w:val="0"/>
            <w:vAlign w:val="center"/>
          </w:tcPr>
          <w:p w14:paraId="0C9AA8A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27</w:t>
            </w:r>
          </w:p>
        </w:tc>
        <w:tc>
          <w:tcPr>
            <w:tcW w:w="1536" w:type="dxa"/>
            <w:noWrap w:val="0"/>
            <w:vAlign w:val="center"/>
          </w:tcPr>
          <w:p w14:paraId="5389D3A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中标候选人公示媒介</w:t>
            </w:r>
          </w:p>
        </w:tc>
        <w:tc>
          <w:tcPr>
            <w:tcW w:w="7288" w:type="dxa"/>
            <w:noWrap w:val="0"/>
            <w:vAlign w:val="center"/>
          </w:tcPr>
          <w:p w14:paraId="0E16942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both"/>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新疆政府采购网</w:t>
            </w:r>
            <w:r>
              <w:rPr>
                <w:rFonts w:hint="eastAsia" w:ascii="Times New Roman" w:hAnsi="Times New Roman" w:cs="Times New Roman"/>
                <w:b w:val="0"/>
                <w:bCs/>
                <w:color w:val="000000" w:themeColor="text1"/>
                <w:kern w:val="2"/>
                <w:sz w:val="21"/>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克州公共资源交易网，公示期为一个工作日。</w:t>
            </w:r>
          </w:p>
        </w:tc>
      </w:tr>
      <w:tr w14:paraId="25F915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2B00C3E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28</w:t>
            </w:r>
          </w:p>
        </w:tc>
        <w:tc>
          <w:tcPr>
            <w:tcW w:w="1536" w:type="dxa"/>
            <w:noWrap w:val="0"/>
            <w:vAlign w:val="center"/>
          </w:tcPr>
          <w:p w14:paraId="5249016C">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履约担保</w:t>
            </w:r>
          </w:p>
        </w:tc>
        <w:tc>
          <w:tcPr>
            <w:tcW w:w="7288" w:type="dxa"/>
            <w:noWrap w:val="0"/>
            <w:vAlign w:val="top"/>
          </w:tcPr>
          <w:p w14:paraId="375D8D13">
            <w:pPr>
              <w:keepNext w:val="0"/>
              <w:keepLines w:val="0"/>
              <w:pageBreakBefore w:val="0"/>
              <w:numPr>
                <w:ilvl w:val="0"/>
                <w:numId w:val="3"/>
              </w:numPr>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Times New Roman" w:cs="Times New Roman"/>
                <w:b w:val="0"/>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中标供应商在合同签订后5个工作日内向采购人交纳中标价5%的履约保证金（本项目履约保证金接收保函形式；若以电汇、银行转账方式提交的，必须转到采购人的指定账户），如果中标供应商在建设期内没有涉及采购人的应付而未付金额或违约行为，采购人在项目验收合格后或提前终止合同后全额无息退还履约保证金。</w:t>
            </w:r>
          </w:p>
          <w:p w14:paraId="7D02A61F">
            <w:pPr>
              <w:keepNext w:val="0"/>
              <w:keepLines w:val="0"/>
              <w:pageBreakBefore w:val="0"/>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Times New Roman" w:cs="Times New Roman"/>
                <w:b w:val="0"/>
                <w:bCs/>
                <w:color w:val="000000" w:themeColor="text1"/>
                <w:szCs w:val="21"/>
                <w:highlight w:val="none"/>
                <w:lang w:val="en-US" w:eastAsia="zh-CN"/>
                <w14:textFill>
                  <w14:solidFill>
                    <w14:schemeClr w14:val="tx1"/>
                  </w14:solidFill>
                </w14:textFill>
              </w:rPr>
            </w:pPr>
            <w:r>
              <w:rPr>
                <w:rFonts w:hint="eastAsia" w:ascii="宋体" w:hAnsi="Times New Roman" w:eastAsia="宋体" w:cs="宋体"/>
                <w:b w:val="0"/>
                <w:bCs/>
                <w:color w:val="000000" w:themeColor="text1"/>
                <w:kern w:val="0"/>
                <w:sz w:val="21"/>
                <w:szCs w:val="21"/>
                <w:highlight w:val="none"/>
                <w:u w:val="none" w:color="000000"/>
                <w:lang w:val="en-US" w:eastAsia="zh-CN" w:bidi="ar-SA"/>
                <w14:textFill>
                  <w14:solidFill>
                    <w14:schemeClr w14:val="tx1"/>
                  </w14:solidFill>
                </w14:textFill>
              </w:rPr>
              <w:t>2、</w:t>
            </w:r>
            <w:r>
              <w:rPr>
                <w:rFonts w:hint="eastAsia" w:ascii="宋体" w:hAnsi="Times New Roman" w:cs="Times New Roman"/>
                <w:b w:val="0"/>
                <w:bCs/>
                <w:color w:val="000000" w:themeColor="text1"/>
                <w:szCs w:val="21"/>
                <w:highlight w:val="none"/>
                <w:lang w:val="en-US" w:eastAsia="zh-CN"/>
                <w14:textFill>
                  <w14:solidFill>
                    <w14:schemeClr w14:val="tx1"/>
                  </w14:solidFill>
                </w14:textFill>
              </w:rPr>
              <w:t>签订合同后，如中标供应商不按合同约定履约的，履约保证金不予退还，履约保证金不足以赔偿损失的，按实际损失赔偿。</w:t>
            </w:r>
          </w:p>
          <w:p w14:paraId="514A4FD1">
            <w:pPr>
              <w:keepNext w:val="0"/>
              <w:keepLines w:val="0"/>
              <w:suppressLineNumbers w:val="0"/>
              <w:shd w:val="clear" w:color="auto" w:fill="auto"/>
              <w:spacing w:before="0" w:beforeAutospacing="0" w:after="0" w:afterAutospacing="0" w:line="440" w:lineRule="exact"/>
              <w:ind w:left="0" w:right="0"/>
              <w:jc w:val="left"/>
              <w:rPr>
                <w:rFonts w:hint="eastAsia"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宋体" w:hAnsi="Times New Roman" w:cs="Times New Roman"/>
                <w:b w:val="0"/>
                <w:bCs/>
                <w:color w:val="000000" w:themeColor="text1"/>
                <w:szCs w:val="21"/>
                <w:highlight w:val="none"/>
                <w:lang w:val="en-US" w:eastAsia="zh-CN"/>
                <w14:textFill>
                  <w14:solidFill>
                    <w14:schemeClr w14:val="tx1"/>
                  </w14:solidFill>
                </w14:textFill>
              </w:rPr>
              <w:t>3、如果中标供应商在供货期内没有涉及采购人的应付而未付金额或违约行为，采购人在项目验收合格后或提前终止合同后全额无息退还履约保证金。</w:t>
            </w:r>
          </w:p>
        </w:tc>
      </w:tr>
      <w:tr w14:paraId="614D4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1012" w:type="dxa"/>
            <w:noWrap w:val="0"/>
            <w:vAlign w:val="center"/>
          </w:tcPr>
          <w:p w14:paraId="7B01E898">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29</w:t>
            </w:r>
          </w:p>
        </w:tc>
        <w:tc>
          <w:tcPr>
            <w:tcW w:w="1536" w:type="dxa"/>
            <w:noWrap w:val="0"/>
            <w:vAlign w:val="center"/>
          </w:tcPr>
          <w:p w14:paraId="1E017B4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宋体"/>
                <w:b/>
                <w:bCs w:val="0"/>
                <w:color w:val="000000" w:themeColor="text1"/>
                <w:sz w:val="21"/>
                <w:szCs w:val="21"/>
                <w:highlight w:val="none"/>
                <w:lang w:eastAsia="zh-CN"/>
                <w14:textFill>
                  <w14:solidFill>
                    <w14:schemeClr w14:val="tx1"/>
                  </w14:solidFill>
                </w14:textFill>
              </w:rPr>
            </w:pPr>
            <w:r>
              <w:rPr>
                <w:rFonts w:hint="eastAsia" w:ascii="宋体" w:hAnsi="宋体" w:cs="宋体"/>
                <w:b/>
                <w:bCs w:val="0"/>
                <w:color w:val="000000" w:themeColor="text1"/>
                <w:sz w:val="21"/>
                <w:szCs w:val="21"/>
                <w:highlight w:val="none"/>
                <w:lang w:eastAsia="zh-CN"/>
                <w14:textFill>
                  <w14:solidFill>
                    <w14:schemeClr w14:val="tx1"/>
                  </w14:solidFill>
                </w14:textFill>
              </w:rPr>
              <w:t>谈判</w:t>
            </w:r>
            <w:r>
              <w:rPr>
                <w:rFonts w:hint="eastAsia" w:ascii="宋体" w:hAnsi="宋体" w:cs="宋体"/>
                <w:b/>
                <w:bCs w:val="0"/>
                <w:color w:val="000000" w:themeColor="text1"/>
                <w:sz w:val="21"/>
                <w:szCs w:val="21"/>
                <w:highlight w:val="none"/>
                <w14:textFill>
                  <w14:solidFill>
                    <w14:schemeClr w14:val="tx1"/>
                  </w14:solidFill>
                </w14:textFill>
              </w:rPr>
              <w:t>文件领取</w:t>
            </w:r>
          </w:p>
        </w:tc>
        <w:tc>
          <w:tcPr>
            <w:tcW w:w="7288" w:type="dxa"/>
            <w:noWrap w:val="0"/>
            <w:vAlign w:val="top"/>
          </w:tcPr>
          <w:p w14:paraId="0B0B19E4">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时间：2025年07月18日 至2025年07月23日，每天上午10:00至14:00，下午16:00至20：00（北京时间，法定节假日除外）</w:t>
            </w:r>
          </w:p>
          <w:p w14:paraId="49ECFA26">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地点：</w:t>
            </w:r>
            <w:r>
              <w:rPr>
                <w:rFonts w:hint="eastAsia" w:ascii="宋体" w:hAnsi="宋体" w:cs="宋体"/>
                <w:b w:val="0"/>
                <w:bCs/>
                <w:color w:val="000000" w:themeColor="text1"/>
                <w:sz w:val="21"/>
                <w:szCs w:val="21"/>
                <w:highlight w:val="none"/>
                <w:lang w:val="en-US" w:eastAsia="zh-CN"/>
                <w14:textFill>
                  <w14:solidFill>
                    <w14:schemeClr w14:val="tx1"/>
                  </w14:solidFill>
                </w14:textFill>
              </w:rPr>
              <w:t>供应商登陆政采云平台http://www.zcygov.cn/，在线申请获取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谈判</w:t>
            </w:r>
            <w:r>
              <w:rPr>
                <w:rFonts w:hint="eastAsia" w:ascii="宋体" w:hAnsi="宋体" w:cs="宋体"/>
                <w:b w:val="0"/>
                <w:bCs/>
                <w:color w:val="000000" w:themeColor="text1"/>
                <w:sz w:val="21"/>
                <w:szCs w:val="21"/>
                <w:highlight w:val="none"/>
                <w:lang w:val="en-US" w:eastAsia="zh-CN"/>
                <w14:textFill>
                  <w14:solidFill>
                    <w14:schemeClr w14:val="tx1"/>
                  </w14:solidFill>
                </w14:textFill>
              </w:rPr>
              <w:t>文件（登录政府采购云平台 → 项目采购 → 获取谈判文件，如有操作性问题，可与政采云在线客服进行咨询，咨询电话：95763）。</w:t>
            </w:r>
          </w:p>
          <w:p w14:paraId="4D75BAE8">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方式：</w:t>
            </w:r>
            <w:r>
              <w:rPr>
                <w:rFonts w:hint="eastAsia" w:ascii="宋体" w:hAnsi="宋体" w:cs="宋体"/>
                <w:b w:val="0"/>
                <w:bCs/>
                <w:color w:val="000000" w:themeColor="text1"/>
                <w:sz w:val="21"/>
                <w:szCs w:val="21"/>
                <w:highlight w:val="none"/>
                <w:lang w:val="en-US" w:eastAsia="zh-CN"/>
                <w14:textFill>
                  <w14:solidFill>
                    <w14:schemeClr w14:val="tx1"/>
                  </w14:solidFill>
                </w14:textFill>
              </w:rPr>
              <w:t>（1）线上获取（登录政府采购云平台 → 项目采购 → 获取谈判文件）。本次招标不提供纸质版谈判文件。</w:t>
            </w:r>
          </w:p>
          <w:p w14:paraId="530B2B24">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（2）供应商获取招标文件前应注册成为政府采购云平台正式供应商。</w:t>
            </w:r>
          </w:p>
        </w:tc>
      </w:tr>
      <w:tr w14:paraId="65F4C7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1" w:hRule="atLeast"/>
          <w:jc w:val="center"/>
        </w:trPr>
        <w:tc>
          <w:tcPr>
            <w:tcW w:w="1012" w:type="dxa"/>
            <w:noWrap w:val="0"/>
            <w:vAlign w:val="center"/>
          </w:tcPr>
          <w:p w14:paraId="556248F7">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30</w:t>
            </w:r>
          </w:p>
        </w:tc>
        <w:tc>
          <w:tcPr>
            <w:tcW w:w="1536" w:type="dxa"/>
            <w:noWrap w:val="0"/>
            <w:vAlign w:val="center"/>
          </w:tcPr>
          <w:p w14:paraId="60E5AC0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报价要求</w:t>
            </w:r>
          </w:p>
        </w:tc>
        <w:tc>
          <w:tcPr>
            <w:tcW w:w="7288" w:type="dxa"/>
            <w:noWrap w:val="0"/>
            <w:vAlign w:val="top"/>
          </w:tcPr>
          <w:p w14:paraId="50DF879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供应商报价低于采购预算75%或者低于其他有效供应商报价算术平均价 90%，有可能影响设备质量或者不能诚信履约的，应当要求其在评审现场合理的时间内提供书面说明，必要时提交相关证明材料（中标通知书及合同）;供应商不能证明其报价合理性的，评标小组应当将其响应文件作为无效处理。</w:t>
            </w:r>
          </w:p>
        </w:tc>
      </w:tr>
      <w:tr w14:paraId="3AB9FB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1012" w:type="dxa"/>
            <w:vMerge w:val="restart"/>
            <w:noWrap w:val="0"/>
            <w:vAlign w:val="center"/>
          </w:tcPr>
          <w:p w14:paraId="34B8AC7F">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Times New Roman"/>
                <w:b/>
                <w:bCs w:val="0"/>
                <w:color w:val="000000" w:themeColor="text1"/>
                <w:sz w:val="21"/>
                <w:szCs w:val="21"/>
                <w:highlight w:val="none"/>
                <w:lang w:val="en-US" w:eastAsia="zh-CN"/>
                <w14:textFill>
                  <w14:solidFill>
                    <w14:schemeClr w14:val="tx1"/>
                  </w14:solidFill>
                </w14:textFill>
              </w:rPr>
              <w:t>31</w:t>
            </w:r>
          </w:p>
        </w:tc>
        <w:tc>
          <w:tcPr>
            <w:tcW w:w="1536" w:type="dxa"/>
            <w:vMerge w:val="restart"/>
            <w:noWrap w:val="0"/>
            <w:vAlign w:val="center"/>
          </w:tcPr>
          <w:p w14:paraId="4781E0E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val="0"/>
                <w:color w:val="000000" w:themeColor="text1"/>
                <w:szCs w:val="21"/>
                <w:highlight w:val="none"/>
                <w14:textFill>
                  <w14:solidFill>
                    <w14:schemeClr w14:val="tx1"/>
                  </w14:solidFill>
                </w14:textFill>
              </w:rPr>
              <w:t>中小微企业政策文件</w:t>
            </w:r>
          </w:p>
        </w:tc>
        <w:tc>
          <w:tcPr>
            <w:tcW w:w="7288" w:type="dxa"/>
            <w:noWrap w:val="0"/>
            <w:vAlign w:val="top"/>
          </w:tcPr>
          <w:p w14:paraId="0983E1E4">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t>（1）根据财政部、工业和信息化部关于印发《政府采购促进中小企业发展管理办法》的通知（财库[2020]46号）和</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关于进一步加大政府采购支持中小企业力度的通知-</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财库[2022]19号，供应商提供的服务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宋体" w:hAnsi="宋体" w:cs="宋体"/>
                <w:b w:val="0"/>
                <w:bCs/>
                <w:color w:val="000000" w:themeColor="text1"/>
                <w:sz w:val="21"/>
                <w:szCs w:val="21"/>
                <w:highlight w:val="none"/>
                <w:lang w:val="en-US" w:eastAsia="zh-CN"/>
                <w14:textFill>
                  <w14:solidFill>
                    <w14:schemeClr w14:val="tx1"/>
                  </w14:solidFill>
                </w14:textFill>
              </w:rPr>
              <w:t>货物</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p>
        </w:tc>
      </w:tr>
      <w:tr w14:paraId="6D88D5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24" w:hRule="atLeast"/>
          <w:jc w:val="center"/>
        </w:trPr>
        <w:tc>
          <w:tcPr>
            <w:tcW w:w="1012" w:type="dxa"/>
            <w:vMerge w:val="continue"/>
            <w:noWrap w:val="0"/>
            <w:vAlign w:val="center"/>
          </w:tcPr>
          <w:p w14:paraId="4BAF2DA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1536" w:type="dxa"/>
            <w:vMerge w:val="continue"/>
            <w:noWrap w:val="0"/>
            <w:vAlign w:val="center"/>
          </w:tcPr>
          <w:p w14:paraId="4F951104">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7288" w:type="dxa"/>
            <w:noWrap w:val="0"/>
            <w:vAlign w:val="top"/>
          </w:tcPr>
          <w:p w14:paraId="7C90454C">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42EC9A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36" w:hRule="atLeast"/>
          <w:jc w:val="center"/>
        </w:trPr>
        <w:tc>
          <w:tcPr>
            <w:tcW w:w="1012" w:type="dxa"/>
            <w:vMerge w:val="continue"/>
            <w:noWrap w:val="0"/>
            <w:vAlign w:val="center"/>
          </w:tcPr>
          <w:p w14:paraId="7F017B5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1536" w:type="dxa"/>
            <w:vMerge w:val="continue"/>
            <w:noWrap w:val="0"/>
            <w:vAlign w:val="center"/>
          </w:tcPr>
          <w:p w14:paraId="2E77E3F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7288" w:type="dxa"/>
            <w:noWrap w:val="0"/>
            <w:vAlign w:val="top"/>
          </w:tcPr>
          <w:p w14:paraId="79416FF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3）根据财政部、民政部、中国残疾人联合会《关于促进残疾人就业政府采购政策的通知》（财库[2017]141号），在政府采购活动中，残疾人福利性单位视同小型、微型企业。投标人属于残疾人福利性单位的，按照招标文件格式提供残疾人福利性单位声明函。</w:t>
            </w:r>
          </w:p>
        </w:tc>
      </w:tr>
      <w:tr w14:paraId="2B4926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8" w:hRule="atLeast"/>
          <w:jc w:val="center"/>
        </w:trPr>
        <w:tc>
          <w:tcPr>
            <w:tcW w:w="1012" w:type="dxa"/>
            <w:noWrap w:val="0"/>
            <w:vAlign w:val="center"/>
          </w:tcPr>
          <w:p w14:paraId="445F8EC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Times New Roman"/>
                <w:b/>
                <w:bCs w:val="0"/>
                <w:color w:val="000000" w:themeColor="text1"/>
                <w:sz w:val="21"/>
                <w:szCs w:val="21"/>
                <w:highlight w:val="none"/>
                <w:lang w:val="en-US" w:eastAsia="zh-CN"/>
                <w14:textFill>
                  <w14:solidFill>
                    <w14:schemeClr w14:val="tx1"/>
                  </w14:solidFill>
                </w14:textFill>
              </w:rPr>
              <w:t>32</w:t>
            </w:r>
          </w:p>
        </w:tc>
        <w:tc>
          <w:tcPr>
            <w:tcW w:w="1536" w:type="dxa"/>
            <w:noWrap w:val="0"/>
            <w:vAlign w:val="center"/>
          </w:tcPr>
          <w:p w14:paraId="1E070348">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val="0"/>
                <w:color w:val="000000" w:themeColor="text1"/>
                <w:szCs w:val="21"/>
                <w:highlight w:val="none"/>
                <w:lang w:val="en-US" w:eastAsia="zh-CN"/>
                <w14:textFill>
                  <w14:solidFill>
                    <w14:schemeClr w14:val="tx1"/>
                  </w14:solidFill>
                </w14:textFill>
              </w:rPr>
              <w:t>中小微企业政策文件说明</w:t>
            </w:r>
          </w:p>
        </w:tc>
        <w:tc>
          <w:tcPr>
            <w:tcW w:w="7288" w:type="dxa"/>
            <w:noWrap w:val="0"/>
            <w:vAlign w:val="top"/>
          </w:tcPr>
          <w:p w14:paraId="2DF63FA9">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支持中小企业发展：给予小型和微型企业产品的价格10%-20%的扣除，用扣除后的价格参与评审，本项目具体扣除比例为10%。用扣除后的价格参与评审。残疾人福利性单位视同小型、微型企业，享受同等价格扣除，但同时属于残疾人福利性单位和小微企业的，不重复价格扣除。</w:t>
            </w:r>
          </w:p>
          <w:p w14:paraId="25BCB237">
            <w:pPr>
              <w:pStyle w:val="48"/>
              <w:keepNext w:val="0"/>
              <w:keepLines w:val="0"/>
              <w:suppressLineNumbers w:val="0"/>
              <w:shd w:val="clear" w:color="auto" w:fill="auto"/>
              <w:spacing w:before="0" w:beforeAutospacing="0" w:afterAutospacing="0"/>
              <w:ind w:left="0" w:leftChars="0" w:right="0" w:firstLine="0" w:firstLineChars="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（2）不符合上述适用情形的供应商无需提供上述声明函件。</w:t>
            </w:r>
          </w:p>
          <w:p w14:paraId="18798EE1">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Times New Roman" w:hAnsi="Times New Roman" w:cs="Times New Roman"/>
                <w:color w:val="000000" w:themeColor="text1"/>
                <w:highlight w:val="none"/>
                <w14:textFill>
                  <w14:solidFill>
                    <w14:schemeClr w14:val="tx1"/>
                  </w14:solidFill>
                </w14:textFill>
              </w:rPr>
            </w:pPr>
            <w:r>
              <w:rPr>
                <w:rFonts w:hint="eastAsia" w:ascii="宋体" w:hAnsi="宋体" w:cs="宋体"/>
                <w:b w:val="0"/>
                <w:bCs/>
                <w:color w:val="000000" w:themeColor="text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Cs w:val="21"/>
                <w:highlight w:val="none"/>
                <w:lang w:val="en-US" w:eastAsia="zh-CN"/>
                <w14:textFill>
                  <w14:solidFill>
                    <w14:schemeClr w14:val="tx1"/>
                  </w14:solidFill>
                </w14:textFill>
              </w:rPr>
              <w:t>本采购项目中小企业划分标准所属行业为：</w:t>
            </w:r>
            <w:r>
              <w:rPr>
                <w:rFonts w:hint="eastAsia" w:ascii="宋体" w:hAnsi="宋体" w:eastAsia="宋体" w:cs="宋体"/>
                <w:b w:val="0"/>
                <w:bCs/>
                <w:color w:val="000000" w:themeColor="text1"/>
                <w:szCs w:val="21"/>
                <w:highlight w:val="none"/>
                <w:shd w:val="clear" w:color="auto" w:fill="auto"/>
                <w:lang w:val="en-US" w:eastAsia="zh-CN"/>
                <w14:textFill>
                  <w14:solidFill>
                    <w14:schemeClr w14:val="tx1"/>
                  </w14:solidFill>
                </w14:textFill>
              </w:rPr>
              <w:t>工业</w:t>
            </w:r>
            <w:r>
              <w:rPr>
                <w:rFonts w:hint="eastAsia" w:ascii="宋体" w:hAnsi="宋体" w:cs="宋体"/>
                <w:b w:val="0"/>
                <w:bCs/>
                <w:color w:val="000000" w:themeColor="text1"/>
                <w:szCs w:val="21"/>
                <w:highlight w:val="none"/>
                <w:shd w:val="clear" w:color="auto" w:fill="auto"/>
                <w:lang w:val="en-US" w:eastAsia="zh-CN"/>
                <w14:textFill>
                  <w14:solidFill>
                    <w14:schemeClr w14:val="tx1"/>
                  </w14:solidFill>
                </w14:textFill>
              </w:rPr>
              <w:t>。</w:t>
            </w:r>
          </w:p>
        </w:tc>
      </w:tr>
      <w:tr w14:paraId="649863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1012" w:type="dxa"/>
            <w:noWrap w:val="0"/>
            <w:vAlign w:val="center"/>
          </w:tcPr>
          <w:p w14:paraId="5C513BA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备注</w:t>
            </w:r>
          </w:p>
        </w:tc>
        <w:tc>
          <w:tcPr>
            <w:tcW w:w="8824" w:type="dxa"/>
            <w:gridSpan w:val="2"/>
            <w:noWrap w:val="0"/>
            <w:vAlign w:val="center"/>
          </w:tcPr>
          <w:p w14:paraId="0CECE665">
            <w:pPr>
              <w:keepNext w:val="0"/>
              <w:keepLines w:val="0"/>
              <w:numPr>
                <w:ilvl w:val="0"/>
                <w:numId w:val="0"/>
              </w:numPr>
              <w:suppressLineNumbers w:val="0"/>
              <w:shd w:val="clear" w:color="auto" w:fill="auto"/>
              <w:spacing w:before="0" w:beforeAutospacing="0" w:after="0" w:afterAutospacing="0" w:line="400" w:lineRule="exact"/>
              <w:ind w:left="0" w:leftChars="0" w:right="0"/>
              <w:jc w:val="left"/>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投标人使用相同IP地址的，一经发现，</w:t>
            </w:r>
            <w:r>
              <w:rPr>
                <w:rFonts w:hint="eastAsia" w:ascii="Times New Roman" w:hAnsi="Times New Roman" w:cs="Times New Roman"/>
                <w:b/>
                <w:bCs w:val="0"/>
                <w:color w:val="000000" w:themeColor="text1"/>
                <w:sz w:val="21"/>
                <w:szCs w:val="21"/>
                <w:highlight w:val="none"/>
                <w:lang w:eastAsia="zh-CN"/>
                <w14:textFill>
                  <w14:solidFill>
                    <w14:schemeClr w14:val="tx1"/>
                  </w14:solidFill>
                </w14:textFill>
              </w:rPr>
              <w:t>相关</w:t>
            </w:r>
            <w:r>
              <w:rPr>
                <w:rFonts w:hint="eastAsia" w:ascii="Times New Roman" w:hAnsi="Times New Roman" w:cs="Times New Roman"/>
                <w:b/>
                <w:bCs w:val="0"/>
                <w:color w:val="000000" w:themeColor="text1"/>
                <w:sz w:val="21"/>
                <w:szCs w:val="21"/>
                <w:highlight w:val="none"/>
                <w14:textFill>
                  <w14:solidFill>
                    <w14:schemeClr w14:val="tx1"/>
                  </w14:solidFill>
                </w14:textFill>
              </w:rPr>
              <w:t>部门将进一步核实，查实后按串通投标处理</w:t>
            </w:r>
            <w:r>
              <w:rPr>
                <w:rFonts w:hint="eastAsia" w:ascii="Times New Roman" w:hAnsi="Times New Roman" w:cs="Times New Roman"/>
                <w:b/>
                <w:bCs w:val="0"/>
                <w:color w:val="000000" w:themeColor="text1"/>
                <w:sz w:val="21"/>
                <w:szCs w:val="21"/>
                <w:highlight w:val="none"/>
                <w:lang w:eastAsia="zh-CN"/>
                <w14:textFill>
                  <w14:solidFill>
                    <w14:schemeClr w14:val="tx1"/>
                  </w14:solidFill>
                </w14:textFill>
              </w:rPr>
              <w:t>。</w:t>
            </w:r>
          </w:p>
        </w:tc>
      </w:tr>
      <w:bookmarkEnd w:id="49"/>
    </w:tbl>
    <w:p w14:paraId="44EFE1A7">
      <w:pPr>
        <w:rPr>
          <w:rFonts w:hint="eastAsia"/>
          <w:color w:val="000000" w:themeColor="text1"/>
          <w14:textFill>
            <w14:solidFill>
              <w14:schemeClr w14:val="tx1"/>
            </w14:solidFill>
          </w14:textFill>
        </w:rPr>
      </w:pPr>
      <w:bookmarkStart w:id="50" w:name="_Toc12812_WPSOffice_Level2"/>
      <w:bookmarkStart w:id="51" w:name="_Toc9681"/>
      <w:bookmarkStart w:id="52" w:name="_Toc19037"/>
    </w:p>
    <w:p w14:paraId="69200C20">
      <w:pPr>
        <w:pStyle w:val="25"/>
        <w:rPr>
          <w:rFonts w:hint="eastAsia"/>
          <w:color w:val="000000" w:themeColor="text1"/>
          <w14:textFill>
            <w14:solidFill>
              <w14:schemeClr w14:val="tx1"/>
            </w14:solidFill>
          </w14:textFill>
        </w:rPr>
      </w:pPr>
    </w:p>
    <w:p w14:paraId="2126F89F">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1200776D">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6F29D747">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43586F66">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7E734CEC">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4C6C5808">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000000" w:themeColor="text1"/>
          <w:sz w:val="32"/>
          <w:szCs w:val="32"/>
          <w:highlight w:val="none"/>
          <w14:textFill>
            <w14:solidFill>
              <w14:schemeClr w14:val="tx1"/>
            </w14:solidFill>
          </w14:textFill>
        </w:rPr>
      </w:pPr>
    </w:p>
    <w:p w14:paraId="51FA5C75">
      <w:pPr>
        <w:pStyle w:val="2"/>
        <w:bidi w:val="0"/>
        <w:rPr>
          <w:rFonts w:hint="eastAsia"/>
          <w:color w:val="000000" w:themeColor="text1"/>
          <w:lang w:eastAsia="zh-CN"/>
          <w14:textFill>
            <w14:solidFill>
              <w14:schemeClr w14:val="tx1"/>
            </w14:solidFill>
          </w14:textFill>
        </w:rPr>
      </w:pPr>
      <w:bookmarkStart w:id="53" w:name="_Toc32495"/>
      <w:r>
        <w:rPr>
          <w:rFonts w:hint="eastAsia"/>
          <w:color w:val="000000" w:themeColor="text1"/>
          <w:lang w:eastAsia="zh-CN"/>
          <w14:textFill>
            <w14:solidFill>
              <w14:schemeClr w14:val="tx1"/>
            </w14:solidFill>
          </w14:textFill>
        </w:rPr>
        <w:t>第三章</w:t>
      </w:r>
      <w:r>
        <w:rPr>
          <w:rFonts w:hint="eastAsia"/>
          <w:color w:val="000000" w:themeColor="text1"/>
          <w:lang w:val="en-US" w:eastAsia="zh-CN"/>
          <w14:textFill>
            <w14:solidFill>
              <w14:schemeClr w14:val="tx1"/>
            </w14:solidFill>
          </w14:textFill>
        </w:rPr>
        <w:t xml:space="preserve">  总则</w:t>
      </w:r>
      <w:bookmarkEnd w:id="53"/>
    </w:p>
    <w:p w14:paraId="16ADA383">
      <w:pPr>
        <w:pStyle w:val="3"/>
        <w:bidi w:val="0"/>
        <w:rPr>
          <w:rFonts w:hint="eastAsia"/>
          <w:color w:val="000000" w:themeColor="text1"/>
          <w14:textFill>
            <w14:solidFill>
              <w14:schemeClr w14:val="tx1"/>
            </w14:solidFill>
          </w14:textFill>
        </w:rPr>
      </w:pPr>
      <w:bookmarkStart w:id="54" w:name="_Toc12455"/>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 xml:space="preserve">  总  则</w:t>
      </w:r>
      <w:bookmarkEnd w:id="50"/>
      <w:bookmarkEnd w:id="51"/>
      <w:bookmarkEnd w:id="52"/>
      <w:bookmarkEnd w:id="54"/>
    </w:p>
    <w:p w14:paraId="67A5631A">
      <w:pPr>
        <w:pStyle w:val="25"/>
        <w:rPr>
          <w:rFonts w:hint="eastAsia"/>
          <w:color w:val="000000" w:themeColor="text1"/>
          <w14:textFill>
            <w14:solidFill>
              <w14:schemeClr w14:val="tx1"/>
            </w14:solidFill>
          </w14:textFill>
        </w:rPr>
      </w:pPr>
    </w:p>
    <w:p w14:paraId="4F0E62B2">
      <w:pPr>
        <w:pStyle w:val="24"/>
        <w:numPr>
          <w:ilvl w:val="0"/>
          <w:numId w:val="0"/>
        </w:numPr>
        <w:shd w:val="clear" w:color="auto" w:fill="auto"/>
        <w:snapToGrid w:val="0"/>
        <w:spacing w:line="410" w:lineRule="exact"/>
        <w:ind w:leftChars="0" w:right="206" w:rightChars="98" w:firstLine="420" w:firstLineChars="200"/>
        <w:rPr>
          <w:rFonts w:hint="default"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1.</w:t>
      </w:r>
      <w:r>
        <w:rPr>
          <w:rFonts w:hint="eastAsia" w:ascii="宋体" w:hAnsi="宋体" w:eastAsia="宋体" w:cs="宋体"/>
          <w:color w:val="000000" w:themeColor="text1"/>
          <w:szCs w:val="24"/>
          <w:highlight w:val="none"/>
          <w:lang w:val="zh-CN"/>
          <w14:textFill>
            <w14:solidFill>
              <w14:schemeClr w14:val="tx1"/>
            </w14:solidFill>
          </w14:textFill>
        </w:rPr>
        <w:t>项目名称：</w:t>
      </w:r>
      <w:r>
        <w:rPr>
          <w:rFonts w:hint="eastAsia" w:ascii="宋体" w:hAnsi="宋体" w:eastAsia="宋体" w:cs="宋体"/>
          <w:color w:val="000000" w:themeColor="text1"/>
          <w:szCs w:val="24"/>
          <w:highlight w:val="none"/>
          <w:lang w:val="en-US" w:eastAsia="zh-CN"/>
          <w14:textFill>
            <w14:solidFill>
              <w14:schemeClr w14:val="tx1"/>
            </w14:solidFill>
          </w14:textFill>
        </w:rPr>
        <w:t>克州疾病预防控制中心致病菌、新冠基因测序等监测试剂耗材采购项目（一包）</w:t>
      </w:r>
      <w:r>
        <w:rPr>
          <w:rFonts w:hint="eastAsia" w:hAnsi="宋体" w:cs="宋体"/>
          <w:color w:val="000000" w:themeColor="text1"/>
          <w:szCs w:val="24"/>
          <w:highlight w:val="none"/>
          <w:lang w:val="en-US" w:eastAsia="zh-CN"/>
          <w14:textFill>
            <w14:solidFill>
              <w14:schemeClr w14:val="tx1"/>
            </w14:solidFill>
          </w14:textFill>
        </w:rPr>
        <w:t>（二次）</w:t>
      </w:r>
    </w:p>
    <w:p w14:paraId="1A1872EB">
      <w:pPr>
        <w:pStyle w:val="24"/>
        <w:numPr>
          <w:ilvl w:val="0"/>
          <w:numId w:val="0"/>
        </w:numPr>
        <w:shd w:val="clear" w:color="auto" w:fill="auto"/>
        <w:snapToGrid w:val="0"/>
        <w:spacing w:line="410" w:lineRule="exact"/>
        <w:ind w:leftChars="0" w:right="206" w:rightChars="98" w:firstLine="420" w:firstLineChars="20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2.</w:t>
      </w:r>
      <w:r>
        <w:rPr>
          <w:rFonts w:hint="eastAsia" w:ascii="宋体" w:hAnsi="宋体" w:eastAsia="宋体" w:cs="宋体"/>
          <w:color w:val="000000" w:themeColor="text1"/>
          <w:szCs w:val="24"/>
          <w:highlight w:val="none"/>
          <w:lang w:val="zh-CN"/>
          <w14:textFill>
            <w14:solidFill>
              <w14:schemeClr w14:val="tx1"/>
            </w14:solidFill>
          </w14:textFill>
        </w:rPr>
        <w:t>采购方式</w:t>
      </w:r>
      <w:r>
        <w:rPr>
          <w:rFonts w:hint="eastAsia" w:ascii="宋体" w:hAnsi="宋体" w:eastAsia="宋体" w:cs="宋体"/>
          <w:color w:val="000000" w:themeColor="text1"/>
          <w:szCs w:val="24"/>
          <w:highlight w:val="none"/>
          <w:lang w:val="zh-CN" w:eastAsia="zh-CN"/>
          <w14:textFill>
            <w14:solidFill>
              <w14:schemeClr w14:val="tx1"/>
            </w14:solidFill>
          </w14:textFill>
        </w:rPr>
        <w:t>：</w:t>
      </w:r>
      <w:r>
        <w:rPr>
          <w:rFonts w:hint="eastAsia" w:ascii="宋体" w:hAnsi="宋体" w:eastAsia="宋体" w:cs="宋体"/>
          <w:color w:val="000000" w:themeColor="text1"/>
          <w:szCs w:val="24"/>
          <w:highlight w:val="none"/>
          <w:lang w:val="zh-CN"/>
          <w14:textFill>
            <w14:solidFill>
              <w14:schemeClr w14:val="tx1"/>
            </w14:solidFill>
          </w14:textFill>
        </w:rPr>
        <w:t>本项目采取</w:t>
      </w:r>
      <w:r>
        <w:rPr>
          <w:rFonts w:hint="eastAsia" w:ascii="宋体" w:hAnsi="宋体" w:eastAsia="宋体" w:cs="宋体"/>
          <w:color w:val="000000" w:themeColor="text1"/>
          <w:szCs w:val="24"/>
          <w:highlight w:val="none"/>
          <w:lang w:val="zh-CN" w:eastAsia="zh-CN"/>
          <w14:textFill>
            <w14:solidFill>
              <w14:schemeClr w14:val="tx1"/>
            </w14:solidFill>
          </w14:textFill>
        </w:rPr>
        <w:t>竞争性谈判</w:t>
      </w:r>
      <w:r>
        <w:rPr>
          <w:rFonts w:hint="eastAsia" w:ascii="宋体" w:hAnsi="宋体" w:eastAsia="宋体" w:cs="宋体"/>
          <w:color w:val="000000" w:themeColor="text1"/>
          <w:szCs w:val="24"/>
          <w:highlight w:val="none"/>
          <w:lang w:val="zh-CN"/>
          <w14:textFill>
            <w14:solidFill>
              <w14:schemeClr w14:val="tx1"/>
            </w14:solidFill>
          </w14:textFill>
        </w:rPr>
        <w:t>方式采购。</w:t>
      </w:r>
    </w:p>
    <w:p w14:paraId="068EA513">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3.</w:t>
      </w:r>
      <w:r>
        <w:rPr>
          <w:rFonts w:hint="eastAsia" w:ascii="宋体" w:hAnsi="宋体" w:eastAsia="宋体" w:cs="宋体"/>
          <w:color w:val="000000" w:themeColor="text1"/>
          <w:szCs w:val="24"/>
          <w:highlight w:val="none"/>
          <w:lang w:val="zh-CN"/>
          <w14:textFill>
            <w14:solidFill>
              <w14:schemeClr w14:val="tx1"/>
            </w14:solidFill>
          </w14:textFill>
        </w:rPr>
        <w:t>适用法律</w:t>
      </w:r>
    </w:p>
    <w:p w14:paraId="21D850F9">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本次招标及由本次招标产生的合同受</w:t>
      </w:r>
      <w:r>
        <w:rPr>
          <w:rFonts w:hint="eastAsia" w:ascii="宋体" w:hAnsi="宋体" w:eastAsia="宋体" w:cs="宋体"/>
          <w:color w:val="000000" w:themeColor="text1"/>
          <w:szCs w:val="24"/>
          <w:highlight w:val="none"/>
          <w:lang w:val="zh-CN" w:eastAsia="zh-CN"/>
          <w14:textFill>
            <w14:solidFill>
              <w14:schemeClr w14:val="tx1"/>
            </w14:solidFill>
          </w14:textFill>
        </w:rPr>
        <w:t>《</w:t>
      </w:r>
      <w:r>
        <w:rPr>
          <w:rFonts w:hint="eastAsia" w:ascii="宋体" w:hAnsi="宋体" w:eastAsia="宋体" w:cs="宋体"/>
          <w:color w:val="000000" w:themeColor="text1"/>
          <w:szCs w:val="24"/>
          <w:highlight w:val="none"/>
          <w:lang w:val="zh-CN"/>
          <w14:textFill>
            <w14:solidFill>
              <w14:schemeClr w14:val="tx1"/>
            </w14:solidFill>
          </w14:textFill>
        </w:rPr>
        <w:t>中华人民共和国政府采购法》、《</w:t>
      </w:r>
      <w:r>
        <w:rPr>
          <w:rFonts w:hint="eastAsia" w:ascii="宋体" w:hAnsi="宋体" w:eastAsia="宋体" w:cs="宋体"/>
          <w:color w:val="000000" w:themeColor="text1"/>
          <w:szCs w:val="24"/>
          <w:highlight w:val="none"/>
          <w:lang w:val="zh-CN" w:eastAsia="zh-CN"/>
          <w14:textFill>
            <w14:solidFill>
              <w14:schemeClr w14:val="tx1"/>
            </w14:solidFill>
          </w14:textFill>
        </w:rPr>
        <w:t>政府采购非招标采购方式管理办法【74号】</w:t>
      </w:r>
      <w:r>
        <w:rPr>
          <w:rFonts w:hint="eastAsia" w:ascii="宋体" w:hAnsi="宋体" w:eastAsia="宋体" w:cs="宋体"/>
          <w:color w:val="000000" w:themeColor="text1"/>
          <w:szCs w:val="24"/>
          <w:highlight w:val="none"/>
          <w:lang w:val="zh-CN"/>
          <w14:textFill>
            <w14:solidFill>
              <w14:schemeClr w14:val="tx1"/>
            </w14:solidFill>
          </w14:textFill>
        </w:rPr>
        <w:t>》等相关法律、法规制约和保护。</w:t>
      </w:r>
    </w:p>
    <w:p w14:paraId="1D951F0D">
      <w:pPr>
        <w:pStyle w:val="24"/>
        <w:numPr>
          <w:ilvl w:val="1"/>
          <w:numId w:val="4"/>
        </w:numPr>
        <w:shd w:val="clear" w:color="auto" w:fill="auto"/>
        <w:snapToGrid w:val="0"/>
        <w:spacing w:line="410" w:lineRule="exact"/>
        <w:ind w:left="0" w:leftChars="0" w:right="206" w:rightChars="98" w:firstLine="0" w:firstLineChars="0"/>
        <w:outlineLvl w:val="1"/>
        <w:rPr>
          <w:rFonts w:hint="eastAsia" w:ascii="宋体" w:hAnsi="宋体" w:eastAsia="宋体" w:cs="宋体"/>
          <w:color w:val="000000" w:themeColor="text1"/>
          <w:szCs w:val="24"/>
          <w:highlight w:val="none"/>
          <w:lang w:val="zh-CN"/>
          <w14:textFill>
            <w14:solidFill>
              <w14:schemeClr w14:val="tx1"/>
            </w14:solidFill>
          </w14:textFill>
        </w:rPr>
      </w:pPr>
      <w:bookmarkStart w:id="55" w:name="_Toc2197"/>
      <w:r>
        <w:rPr>
          <w:rFonts w:hint="eastAsia" w:ascii="宋体" w:hAnsi="宋体" w:eastAsia="宋体" w:cs="宋体"/>
          <w:color w:val="000000" w:themeColor="text1"/>
          <w:szCs w:val="24"/>
          <w:highlight w:val="none"/>
          <w:lang w:val="en-US" w:eastAsia="zh-CN"/>
          <w14:textFill>
            <w14:solidFill>
              <w14:schemeClr w14:val="tx1"/>
            </w14:solidFill>
          </w14:textFill>
        </w:rPr>
        <w:t>4.</w:t>
      </w:r>
      <w:r>
        <w:rPr>
          <w:rFonts w:hint="eastAsia" w:ascii="宋体" w:hAnsi="宋体" w:eastAsia="宋体" w:cs="宋体"/>
          <w:color w:val="000000" w:themeColor="text1"/>
          <w:szCs w:val="24"/>
          <w:highlight w:val="none"/>
          <w:lang w:val="zh-CN"/>
          <w14:textFill>
            <w14:solidFill>
              <w14:schemeClr w14:val="tx1"/>
            </w14:solidFill>
          </w14:textFill>
        </w:rPr>
        <w:t>招标费用</w:t>
      </w:r>
      <w:bookmarkEnd w:id="55"/>
    </w:p>
    <w:p w14:paraId="70F1843D">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供应商应自行承担所有参加招标有关的费用。</w:t>
      </w:r>
    </w:p>
    <w:p w14:paraId="1BA308D1">
      <w:pPr>
        <w:pStyle w:val="24"/>
        <w:numPr>
          <w:ilvl w:val="1"/>
          <w:numId w:val="4"/>
        </w:numPr>
        <w:shd w:val="clear" w:color="auto" w:fill="auto"/>
        <w:snapToGrid w:val="0"/>
        <w:spacing w:line="410" w:lineRule="exact"/>
        <w:ind w:left="0" w:leftChars="0" w:right="206" w:rightChars="98" w:firstLine="0" w:firstLineChars="0"/>
        <w:outlineLvl w:val="1"/>
        <w:rPr>
          <w:rFonts w:hint="eastAsia" w:ascii="宋体" w:hAnsi="宋体" w:eastAsia="宋体" w:cs="宋体"/>
          <w:color w:val="000000" w:themeColor="text1"/>
          <w:szCs w:val="24"/>
          <w:highlight w:val="none"/>
          <w:lang w:val="zh-CN"/>
          <w14:textFill>
            <w14:solidFill>
              <w14:schemeClr w14:val="tx1"/>
            </w14:solidFill>
          </w14:textFill>
        </w:rPr>
      </w:pPr>
      <w:bookmarkStart w:id="56" w:name="_Toc5177"/>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lang w:val="zh-CN"/>
          <w14:textFill>
            <w14:solidFill>
              <w14:schemeClr w14:val="tx1"/>
            </w14:solidFill>
          </w14:textFill>
        </w:rPr>
        <w:t>.质疑</w:t>
      </w:r>
      <w:bookmarkEnd w:id="56"/>
    </w:p>
    <w:p w14:paraId="27DD143A">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hAnsi="宋体" w:eastAsia="宋体" w:cs="宋体"/>
          <w:color w:val="000000" w:themeColor="text1"/>
          <w:szCs w:val="24"/>
          <w:highlight w:val="none"/>
          <w:lang w:val="en-US" w:eastAsia="zh-CN"/>
          <w14:textFill>
            <w14:solidFill>
              <w14:schemeClr w14:val="tx1"/>
            </w14:solidFill>
          </w14:textFill>
        </w:rPr>
        <w:t>5.1</w:t>
      </w:r>
      <w:r>
        <w:rPr>
          <w:rFonts w:hint="eastAsia" w:ascii="宋体" w:hAnsi="宋体" w:eastAsia="宋体" w:cs="宋体"/>
          <w:color w:val="000000" w:themeColor="text1"/>
          <w:szCs w:val="24"/>
          <w:highlight w:val="none"/>
          <w:lang w:val="zh-CN"/>
          <w14:textFill>
            <w14:solidFill>
              <w14:schemeClr w14:val="tx1"/>
            </w14:solidFill>
          </w14:textFill>
        </w:rPr>
        <w:t>供应商对政府采购活动事项有疑问的，在公示期内可以向代理机构提出询问，代理机构应当及时作出答复，但答复的内容不得涉及商业秘密。供应商认为</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采购过程和成交、成交结果使自己的权益受到损害的，可以在公示期的三个工作日内，以书面形式向代理机构提出质疑。代理机构应当在收到供应商的书面质疑后七个工作日内作出答复，并以书面形式通知质疑供应商和其他有关供应商，但答复的内容不得涉及商业秘密。未在公示期内提出的质疑一概不予受理。</w:t>
      </w:r>
    </w:p>
    <w:p w14:paraId="3B26C05C">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hAnsi="宋体" w:eastAsia="宋体" w:cs="宋体"/>
          <w:color w:val="000000" w:themeColor="text1"/>
          <w:szCs w:val="24"/>
          <w:highlight w:val="none"/>
          <w:lang w:val="en-US" w:eastAsia="zh-CN"/>
          <w14:textFill>
            <w14:solidFill>
              <w14:schemeClr w14:val="tx1"/>
            </w14:solidFill>
          </w14:textFill>
        </w:rPr>
        <w:t>5.2</w:t>
      </w:r>
      <w:r>
        <w:rPr>
          <w:rFonts w:hint="eastAsia" w:ascii="宋体" w:hAnsi="宋体" w:eastAsia="宋体" w:cs="宋体"/>
          <w:color w:val="000000" w:themeColor="text1"/>
          <w:szCs w:val="24"/>
          <w:highlight w:val="none"/>
          <w:lang w:val="zh-CN"/>
          <w14:textFill>
            <w14:solidFill>
              <w14:schemeClr w14:val="tx1"/>
            </w14:solidFill>
          </w14:textFill>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434E58A5">
      <w:pPr>
        <w:pStyle w:val="24"/>
        <w:shd w:val="clear" w:color="auto" w:fill="auto"/>
        <w:snapToGrid w:val="0"/>
        <w:spacing w:line="410" w:lineRule="exact"/>
        <w:ind w:left="0" w:leftChars="0" w:right="206" w:rightChars="98" w:firstLine="0" w:firstLineChars="0"/>
        <w:outlineLvl w:val="1"/>
        <w:rPr>
          <w:rFonts w:hint="eastAsia" w:ascii="宋体" w:hAnsi="宋体" w:eastAsia="宋体" w:cs="宋体"/>
          <w:b/>
          <w:color w:val="000000" w:themeColor="text1"/>
          <w:highlight w:val="none"/>
          <w14:textFill>
            <w14:solidFill>
              <w14:schemeClr w14:val="tx1"/>
            </w14:solidFill>
          </w14:textFill>
        </w:rPr>
      </w:pPr>
      <w:bookmarkStart w:id="57" w:name="_Toc26363"/>
      <w:r>
        <w:rPr>
          <w:rFonts w:hint="eastAsia" w:ascii="宋体" w:hAnsi="宋体" w:eastAsia="宋体" w:cs="宋体"/>
          <w:b/>
          <w:color w:val="000000" w:themeColor="text1"/>
          <w:highlight w:val="none"/>
          <w14:textFill>
            <w14:solidFill>
              <w14:schemeClr w14:val="tx1"/>
            </w14:solidFill>
          </w14:textFill>
        </w:rPr>
        <w:t>6．投诉</w:t>
      </w:r>
      <w:bookmarkEnd w:id="57"/>
    </w:p>
    <w:p w14:paraId="63CD0CF1">
      <w:pPr>
        <w:pStyle w:val="24"/>
        <w:numPr>
          <w:ilvl w:val="1"/>
          <w:numId w:val="4"/>
        </w:numPr>
        <w:shd w:val="clear" w:color="auto" w:fill="auto"/>
        <w:snapToGrid w:val="0"/>
        <w:spacing w:line="410" w:lineRule="exact"/>
        <w:ind w:left="0" w:leftChars="0" w:right="206" w:rightChars="98" w:firstLine="0" w:firstLineChars="0"/>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18"/>
          <w:szCs w:val="18"/>
          <w:highlight w:val="none"/>
          <w:shd w:val="clear" w:color="auto" w:fill="FFFFFF"/>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579ACFF0">
      <w:pPr>
        <w:pStyle w:val="24"/>
        <w:shd w:val="clear" w:color="auto" w:fill="auto"/>
        <w:snapToGrid w:val="0"/>
        <w:spacing w:line="360" w:lineRule="exact"/>
        <w:outlineLvl w:val="1"/>
        <w:rPr>
          <w:rFonts w:hint="eastAsia" w:ascii="宋体" w:hAnsi="宋体" w:eastAsia="宋体" w:cs="宋体"/>
          <w:b/>
          <w:bCs/>
          <w:color w:val="000000" w:themeColor="text1"/>
          <w:highlight w:val="none"/>
          <w14:textFill>
            <w14:solidFill>
              <w14:schemeClr w14:val="tx1"/>
            </w14:solidFill>
          </w14:textFill>
        </w:rPr>
      </w:pPr>
      <w:bookmarkStart w:id="58" w:name="_Toc15834"/>
      <w:r>
        <w:rPr>
          <w:rFonts w:hint="eastAsia" w:ascii="宋体" w:hAnsi="宋体" w:eastAsia="宋体" w:cs="宋体"/>
          <w:b/>
          <w:bCs/>
          <w:color w:val="000000" w:themeColor="text1"/>
          <w:highlight w:val="none"/>
          <w14:textFill>
            <w14:solidFill>
              <w14:schemeClr w14:val="tx1"/>
            </w14:solidFill>
          </w14:textFill>
        </w:rPr>
        <w:t>7.投标人应注意的事项</w:t>
      </w:r>
      <w:bookmarkEnd w:id="58"/>
    </w:p>
    <w:p w14:paraId="42186179">
      <w:pPr>
        <w:shd w:val="clear" w:color="auto" w:fill="auto"/>
        <w:spacing w:line="440" w:lineRule="exact"/>
        <w:ind w:firstLine="420" w:firstLineChars="20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7.1投标人一旦按规定缴纳了投标保证金并参加投标，即被认为接受了本谈判文件中的所有条件和规定。投标人必须严格按谈判文件的要求编制</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宜编制页码和目录，以便评委审核。否则，由此产生的一切后果由投标人承担。</w:t>
      </w:r>
    </w:p>
    <w:p w14:paraId="2A2081DC">
      <w:pPr>
        <w:shd w:val="clear" w:color="auto" w:fill="auto"/>
        <w:spacing w:line="440" w:lineRule="exact"/>
        <w:ind w:firstLine="420" w:firstLineChars="20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7.2 投标人对采购内容中规定的技术参数、规格等要求必须完全响应或优于谈判文件中的要求。</w:t>
      </w:r>
    </w:p>
    <w:p w14:paraId="576CB14E">
      <w:pPr>
        <w:shd w:val="clear" w:color="auto" w:fill="auto"/>
        <w:spacing w:line="440" w:lineRule="exact"/>
        <w:ind w:firstLine="411" w:firstLineChars="196"/>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7.3所有投标人的投标保证金都应在谈判文件规定的投标保证金缴纳截止日期前缴纳。</w:t>
      </w:r>
    </w:p>
    <w:p w14:paraId="4BA83234">
      <w:pPr>
        <w:shd w:val="clear" w:color="auto" w:fill="auto"/>
        <w:spacing w:line="440" w:lineRule="exact"/>
        <w:ind w:firstLine="411" w:firstLineChars="196"/>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7.4单位负责人为同一人或者存在直接控股、管理关系的不同供应商，不得参加同一合同项下的政府采购活动。</w:t>
      </w:r>
      <w:r>
        <w:rPr>
          <w:rFonts w:hint="eastAsia" w:ascii="宋体" w:hAnsi="宋体" w:eastAsia="宋体" w:cs="宋体"/>
          <w:color w:val="000000" w:themeColor="text1"/>
          <w:szCs w:val="21"/>
          <w:highlight w:val="none"/>
          <w14:textFill>
            <w14:solidFill>
              <w14:schemeClr w14:val="tx1"/>
            </w14:solidFill>
          </w14:textFill>
        </w:rPr>
        <w:t>为采购项目提供整体设计、规范编制或者项目管理、监理、检测等服务的供应商，不得再参加该采购项目的其他采购活动。</w:t>
      </w:r>
    </w:p>
    <w:p w14:paraId="04A56E5E">
      <w:pPr>
        <w:shd w:val="clear" w:color="auto" w:fill="auto"/>
        <w:snapToGrid w:val="0"/>
        <w:spacing w:line="44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7.5本项目只接受</w:t>
      </w:r>
      <w:r>
        <w:rPr>
          <w:rFonts w:hint="eastAsia" w:ascii="宋体" w:hAnsi="宋体" w:eastAsia="宋体" w:cs="宋体"/>
          <w:color w:val="000000" w:themeColor="text1"/>
          <w:szCs w:val="21"/>
          <w:highlight w:val="none"/>
          <w14:textFill>
            <w14:solidFill>
              <w14:schemeClr w14:val="tx1"/>
            </w14:solidFill>
          </w14:textFill>
        </w:rPr>
        <w:t>成为新疆维吾尔自治区政府采购网正式注册入库并完成CA数字证书申领供应商参与投标。因未注册入库、未办理CA数字证书等原因造成无法投标或投标失败等后果由供应商自行承担。</w:t>
      </w:r>
    </w:p>
    <w:p w14:paraId="2634F70C">
      <w:pPr>
        <w:pStyle w:val="38"/>
        <w:rPr>
          <w:rFonts w:hint="eastAsia"/>
          <w:color w:val="000000" w:themeColor="text1"/>
          <w14:textFill>
            <w14:solidFill>
              <w14:schemeClr w14:val="tx1"/>
            </w14:solidFill>
          </w14:textFill>
        </w:rPr>
      </w:pPr>
    </w:p>
    <w:p w14:paraId="0E803FB9">
      <w:pPr>
        <w:pStyle w:val="3"/>
        <w:bidi w:val="0"/>
        <w:rPr>
          <w:rFonts w:hint="eastAsia"/>
          <w:color w:val="000000" w:themeColor="text1"/>
          <w14:textFill>
            <w14:solidFill>
              <w14:schemeClr w14:val="tx1"/>
            </w14:solidFill>
          </w14:textFill>
        </w:rPr>
      </w:pPr>
      <w:bookmarkStart w:id="59" w:name="_Toc16306_WPSOffice_Level2"/>
      <w:bookmarkStart w:id="60" w:name="_Toc31549"/>
      <w:bookmarkStart w:id="61" w:name="_Toc31213"/>
      <w:bookmarkStart w:id="62" w:name="_Toc14061"/>
      <w:r>
        <w:rPr>
          <w:rFonts w:hint="eastAsia"/>
          <w:color w:val="000000" w:themeColor="text1"/>
          <w14:textFill>
            <w14:solidFill>
              <w14:schemeClr w14:val="tx1"/>
            </w14:solidFill>
          </w14:textFill>
        </w:rPr>
        <w:t xml:space="preserve">二 </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 竞争性谈判</w:t>
      </w:r>
      <w:r>
        <w:rPr>
          <w:rFonts w:hint="eastAsia"/>
          <w:color w:val="000000" w:themeColor="text1"/>
          <w:lang w:eastAsia="zh-CN"/>
          <w14:textFill>
            <w14:solidFill>
              <w14:schemeClr w14:val="tx1"/>
            </w14:solidFill>
          </w14:textFill>
        </w:rPr>
        <w:t>谈判文件</w:t>
      </w:r>
      <w:r>
        <w:rPr>
          <w:rFonts w:hint="eastAsia"/>
          <w:color w:val="000000" w:themeColor="text1"/>
          <w14:textFill>
            <w14:solidFill>
              <w14:schemeClr w14:val="tx1"/>
            </w14:solidFill>
          </w14:textFill>
        </w:rPr>
        <w:t>（简称</w:t>
      </w:r>
      <w:r>
        <w:rPr>
          <w:rFonts w:hint="eastAsia"/>
          <w:color w:val="000000" w:themeColor="text1"/>
          <w:lang w:eastAsia="zh-CN"/>
          <w14:textFill>
            <w14:solidFill>
              <w14:schemeClr w14:val="tx1"/>
            </w14:solidFill>
          </w14:textFill>
        </w:rPr>
        <w:t>谈判文件</w:t>
      </w:r>
      <w:r>
        <w:rPr>
          <w:rFonts w:hint="eastAsia"/>
          <w:color w:val="000000" w:themeColor="text1"/>
          <w14:textFill>
            <w14:solidFill>
              <w14:schemeClr w14:val="tx1"/>
            </w14:solidFill>
          </w14:textFill>
        </w:rPr>
        <w:t>）</w:t>
      </w:r>
      <w:bookmarkEnd w:id="59"/>
      <w:bookmarkEnd w:id="60"/>
      <w:bookmarkEnd w:id="61"/>
      <w:bookmarkEnd w:id="62"/>
    </w:p>
    <w:p w14:paraId="31DD5138">
      <w:pPr>
        <w:pStyle w:val="25"/>
        <w:rPr>
          <w:rFonts w:hint="eastAsia"/>
          <w:color w:val="000000" w:themeColor="text1"/>
          <w14:textFill>
            <w14:solidFill>
              <w14:schemeClr w14:val="tx1"/>
            </w14:solidFill>
          </w14:textFill>
        </w:rPr>
      </w:pPr>
    </w:p>
    <w:p w14:paraId="1763F8B2">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color w:val="000000" w:themeColor="text1"/>
          <w:highlight w:val="none"/>
          <w14:textFill>
            <w14:solidFill>
              <w14:schemeClr w14:val="tx1"/>
            </w14:solidFill>
          </w14:textFill>
        </w:rPr>
      </w:pPr>
      <w:bookmarkStart w:id="63" w:name="_Toc11970"/>
      <w:r>
        <w:rPr>
          <w:rFonts w:hint="eastAsia" w:ascii="宋体" w:hAnsi="宋体" w:eastAsia="宋体" w:cs="宋体"/>
          <w:b/>
          <w:color w:val="000000" w:themeColor="text1"/>
          <w:highlight w:val="none"/>
          <w:lang w:val="en-US" w:eastAsia="zh-CN"/>
          <w14:textFill>
            <w14:solidFill>
              <w14:schemeClr w14:val="tx1"/>
            </w14:solidFill>
          </w14:textFill>
        </w:rPr>
        <w:t>8</w:t>
      </w:r>
      <w:r>
        <w:rPr>
          <w:rFonts w:hint="eastAsia" w:ascii="宋体" w:hAnsi="宋体" w:eastAsia="宋体" w:cs="宋体"/>
          <w:b/>
          <w:color w:val="000000" w:themeColor="text1"/>
          <w:highlight w:val="none"/>
          <w14:textFill>
            <w14:solidFill>
              <w14:schemeClr w14:val="tx1"/>
            </w14:solidFill>
          </w14:textFill>
        </w:rPr>
        <w:t>.</w:t>
      </w:r>
      <w:r>
        <w:rPr>
          <w:rFonts w:hint="eastAsia" w:hAnsi="宋体" w:eastAsia="宋体" w:cs="宋体"/>
          <w:b/>
          <w:color w:val="000000" w:themeColor="text1"/>
          <w:highlight w:val="none"/>
          <w:lang w:eastAsia="zh-CN"/>
          <w14:textFill>
            <w14:solidFill>
              <w14:schemeClr w14:val="tx1"/>
            </w14:solidFill>
          </w14:textFill>
        </w:rPr>
        <w:t>谈判文件</w:t>
      </w:r>
      <w:r>
        <w:rPr>
          <w:rFonts w:hint="eastAsia" w:ascii="宋体" w:hAnsi="宋体" w:eastAsia="宋体" w:cs="宋体"/>
          <w:b/>
          <w:color w:val="000000" w:themeColor="text1"/>
          <w:highlight w:val="none"/>
          <w14:textFill>
            <w14:solidFill>
              <w14:schemeClr w14:val="tx1"/>
            </w14:solidFill>
          </w14:textFill>
        </w:rPr>
        <w:t>构成</w:t>
      </w:r>
      <w:bookmarkEnd w:id="63"/>
    </w:p>
    <w:p w14:paraId="261A05E4">
      <w:pPr>
        <w:pStyle w:val="24"/>
        <w:numPr>
          <w:ilvl w:val="1"/>
          <w:numId w:val="4"/>
        </w:numPr>
        <w:shd w:val="clear" w:color="auto" w:fill="auto"/>
        <w:snapToGrid w:val="0"/>
        <w:spacing w:line="440" w:lineRule="exact"/>
        <w:ind w:left="0" w:leftChars="0" w:right="206" w:rightChars="98" w:firstLine="0" w:firstLineChars="0"/>
        <w:outlineLvl w:val="2"/>
        <w:rPr>
          <w:rFonts w:hint="eastAsia" w:ascii="宋体" w:hAnsi="宋体" w:eastAsia="宋体" w:cs="宋体"/>
          <w:color w:val="000000" w:themeColor="text1"/>
          <w:szCs w:val="24"/>
          <w:highlight w:val="none"/>
          <w:lang w:val="zh-CN"/>
          <w14:textFill>
            <w14:solidFill>
              <w14:schemeClr w14:val="tx1"/>
            </w14:solidFill>
          </w14:textFill>
        </w:rPr>
      </w:pPr>
      <w:bookmarkStart w:id="64" w:name="_Toc31767"/>
      <w:r>
        <w:rPr>
          <w:rFonts w:hint="eastAsia" w:ascii="宋体" w:hAnsi="宋体" w:eastAsia="宋体" w:cs="宋体"/>
          <w:color w:val="000000" w:themeColor="text1"/>
          <w:szCs w:val="24"/>
          <w:highlight w:val="none"/>
          <w:lang w:val="en-US" w:eastAsia="zh-CN"/>
          <w14:textFill>
            <w14:solidFill>
              <w14:schemeClr w14:val="tx1"/>
            </w14:solidFill>
          </w14:textFill>
        </w:rPr>
        <w:t>8</w:t>
      </w:r>
      <w:r>
        <w:rPr>
          <w:rFonts w:hint="eastAsia" w:ascii="宋体" w:hAnsi="宋体" w:eastAsia="宋体" w:cs="宋体"/>
          <w:color w:val="000000" w:themeColor="text1"/>
          <w:szCs w:val="24"/>
          <w:highlight w:val="none"/>
          <w:lang w:val="zh-CN"/>
          <w14:textFill>
            <w14:solidFill>
              <w14:schemeClr w14:val="tx1"/>
            </w14:solidFill>
          </w14:textFill>
        </w:rPr>
        <w:t>.1</w:t>
      </w:r>
      <w:r>
        <w:rPr>
          <w:rFonts w:hint="eastAsia" w:hAnsi="宋体" w:eastAsia="宋体" w:cs="宋体"/>
          <w:color w:val="000000" w:themeColor="text1"/>
          <w:szCs w:val="24"/>
          <w:highlight w:val="none"/>
          <w:lang w:val="zh-CN"/>
          <w14:textFill>
            <w14:solidFill>
              <w14:schemeClr w14:val="tx1"/>
            </w14:solidFill>
          </w14:textFill>
        </w:rPr>
        <w:t>谈判</w:t>
      </w:r>
      <w:r>
        <w:rPr>
          <w:rFonts w:hint="eastAsia" w:ascii="宋体" w:hAnsi="宋体" w:eastAsia="宋体" w:cs="宋体"/>
          <w:color w:val="000000" w:themeColor="text1"/>
          <w:szCs w:val="24"/>
          <w:highlight w:val="none"/>
          <w:lang w:val="zh-CN"/>
          <w14:textFill>
            <w14:solidFill>
              <w14:schemeClr w14:val="tx1"/>
            </w14:solidFill>
          </w14:textFill>
        </w:rPr>
        <w:t>文件由下列文件及采购过程的补充文件构成：</w:t>
      </w:r>
      <w:bookmarkEnd w:id="64"/>
    </w:p>
    <w:p w14:paraId="146E0AC2">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w:t>
      </w:r>
      <w:r>
        <w:rPr>
          <w:rFonts w:hint="eastAsia" w:hAnsi="宋体" w:eastAsia="宋体" w:cs="宋体"/>
          <w:color w:val="000000" w:themeColor="text1"/>
          <w:szCs w:val="24"/>
          <w:highlight w:val="none"/>
          <w:lang w:val="zh-CN"/>
          <w14:textFill>
            <w14:solidFill>
              <w14:schemeClr w14:val="tx1"/>
            </w14:solidFill>
          </w14:textFill>
        </w:rPr>
        <w:t>竞争性谈判</w:t>
      </w:r>
      <w:r>
        <w:rPr>
          <w:rFonts w:hint="eastAsia" w:ascii="宋体" w:hAnsi="宋体" w:eastAsia="宋体" w:cs="宋体"/>
          <w:color w:val="000000" w:themeColor="text1"/>
          <w:szCs w:val="24"/>
          <w:highlight w:val="none"/>
          <w:lang w:val="zh-CN"/>
          <w14:textFill>
            <w14:solidFill>
              <w14:schemeClr w14:val="tx1"/>
            </w14:solidFill>
          </w14:textFill>
        </w:rPr>
        <w:t>公告；</w:t>
      </w:r>
    </w:p>
    <w:p w14:paraId="5999CCD3">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（2）投标人须知及前附表；</w:t>
      </w:r>
    </w:p>
    <w:p w14:paraId="3188293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w:t>
      </w:r>
      <w:r>
        <w:rPr>
          <w:rFonts w:hint="eastAsia" w:ascii="宋体" w:hAnsi="宋体" w:eastAsia="宋体" w:cs="宋体"/>
          <w:color w:val="000000" w:themeColor="text1"/>
          <w:szCs w:val="24"/>
          <w:highlight w:val="none"/>
          <w:lang w:val="zh-CN" w:eastAsia="zh-CN"/>
          <w14:textFill>
            <w14:solidFill>
              <w14:schemeClr w14:val="tx1"/>
            </w14:solidFill>
          </w14:textFill>
        </w:rPr>
        <w:t>技术规格、数量及质量要求</w:t>
      </w:r>
      <w:r>
        <w:rPr>
          <w:rFonts w:hint="eastAsia" w:ascii="宋体" w:hAnsi="宋体" w:eastAsia="宋体" w:cs="宋体"/>
          <w:color w:val="000000" w:themeColor="text1"/>
          <w:szCs w:val="24"/>
          <w:highlight w:val="none"/>
          <w:lang w:val="zh-CN"/>
          <w14:textFill>
            <w14:solidFill>
              <w14:schemeClr w14:val="tx1"/>
            </w14:solidFill>
          </w14:textFill>
        </w:rPr>
        <w:t>；</w:t>
      </w:r>
    </w:p>
    <w:p w14:paraId="108EFF7B">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（4）合同基本条款；</w:t>
      </w:r>
    </w:p>
    <w:p w14:paraId="47B26B73">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（5）合同书；</w:t>
      </w:r>
    </w:p>
    <w:p w14:paraId="3068BA1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（6）投标相关文件；</w:t>
      </w:r>
    </w:p>
    <w:p w14:paraId="6685B19F">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（7）评定成交标准。</w:t>
      </w:r>
    </w:p>
    <w:p w14:paraId="0F03D9B7">
      <w:pPr>
        <w:pStyle w:val="24"/>
        <w:numPr>
          <w:ilvl w:val="1"/>
          <w:numId w:val="4"/>
        </w:numPr>
        <w:shd w:val="clear" w:color="auto" w:fill="auto"/>
        <w:snapToGrid w:val="0"/>
        <w:spacing w:line="440" w:lineRule="exact"/>
        <w:ind w:left="0" w:leftChars="0" w:right="206" w:rightChars="98" w:firstLine="0" w:firstLineChars="0"/>
        <w:outlineLvl w:val="2"/>
        <w:rPr>
          <w:rFonts w:hint="eastAsia" w:ascii="宋体" w:hAnsi="宋体" w:eastAsia="宋体" w:cs="宋体"/>
          <w:color w:val="000000" w:themeColor="text1"/>
          <w:szCs w:val="24"/>
          <w:highlight w:val="none"/>
          <w:lang w:val="zh-CN"/>
          <w14:textFill>
            <w14:solidFill>
              <w14:schemeClr w14:val="tx1"/>
            </w14:solidFill>
          </w14:textFill>
        </w:rPr>
      </w:pPr>
      <w:bookmarkStart w:id="65" w:name="_Toc7063"/>
      <w:r>
        <w:rPr>
          <w:rFonts w:hint="eastAsia" w:hAnsi="宋体" w:eastAsia="宋体" w:cs="宋体"/>
          <w:color w:val="000000" w:themeColor="text1"/>
          <w:szCs w:val="24"/>
          <w:highlight w:val="none"/>
          <w:lang w:val="en-US" w:eastAsia="zh-CN"/>
          <w14:textFill>
            <w14:solidFill>
              <w14:schemeClr w14:val="tx1"/>
            </w14:solidFill>
          </w14:textFill>
        </w:rPr>
        <w:t>8</w:t>
      </w:r>
      <w:r>
        <w:rPr>
          <w:rFonts w:hint="eastAsia" w:ascii="宋体" w:hAnsi="宋体" w:eastAsia="宋体" w:cs="宋体"/>
          <w:color w:val="000000" w:themeColor="text1"/>
          <w:szCs w:val="24"/>
          <w:highlight w:val="none"/>
          <w:lang w:val="zh-CN"/>
          <w14:textFill>
            <w14:solidFill>
              <w14:schemeClr w14:val="tx1"/>
            </w14:solidFill>
          </w14:textFill>
        </w:rPr>
        <w:t>.2本</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以纸质文件为准。</w:t>
      </w:r>
      <w:bookmarkEnd w:id="65"/>
    </w:p>
    <w:p w14:paraId="4143DEA3">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color w:val="000000" w:themeColor="text1"/>
          <w:highlight w:val="none"/>
          <w14:textFill>
            <w14:solidFill>
              <w14:schemeClr w14:val="tx1"/>
            </w14:solidFill>
          </w14:textFill>
        </w:rPr>
      </w:pPr>
      <w:bookmarkStart w:id="66" w:name="_Toc10510"/>
      <w:r>
        <w:rPr>
          <w:rFonts w:hint="eastAsia" w:ascii="宋体" w:hAnsi="宋体" w:eastAsia="宋体" w:cs="宋体"/>
          <w:b/>
          <w:color w:val="000000" w:themeColor="text1"/>
          <w:highlight w:val="none"/>
          <w:lang w:val="en-US" w:eastAsia="zh-CN"/>
          <w14:textFill>
            <w14:solidFill>
              <w14:schemeClr w14:val="tx1"/>
            </w14:solidFill>
          </w14:textFill>
        </w:rPr>
        <w:t>9</w:t>
      </w:r>
      <w:r>
        <w:rPr>
          <w:rFonts w:hint="eastAsia" w:ascii="宋体" w:hAnsi="宋体" w:eastAsia="宋体" w:cs="宋体"/>
          <w:b/>
          <w:color w:val="000000" w:themeColor="text1"/>
          <w:highlight w:val="none"/>
          <w14:textFill>
            <w14:solidFill>
              <w14:schemeClr w14:val="tx1"/>
            </w14:solidFill>
          </w14:textFill>
        </w:rPr>
        <w:t>.</w:t>
      </w:r>
      <w:r>
        <w:rPr>
          <w:rFonts w:hint="eastAsia" w:hAnsi="宋体" w:eastAsia="宋体" w:cs="宋体"/>
          <w:b/>
          <w:color w:val="000000" w:themeColor="text1"/>
          <w:highlight w:val="none"/>
          <w:lang w:eastAsia="zh-CN"/>
          <w14:textFill>
            <w14:solidFill>
              <w14:schemeClr w14:val="tx1"/>
            </w14:solidFill>
          </w14:textFill>
        </w:rPr>
        <w:t>谈判文件</w:t>
      </w:r>
      <w:r>
        <w:rPr>
          <w:rFonts w:hint="eastAsia" w:ascii="宋体" w:hAnsi="宋体" w:eastAsia="宋体" w:cs="宋体"/>
          <w:b/>
          <w:color w:val="000000" w:themeColor="text1"/>
          <w:highlight w:val="none"/>
          <w14:textFill>
            <w14:solidFill>
              <w14:schemeClr w14:val="tx1"/>
            </w14:solidFill>
          </w14:textFill>
        </w:rPr>
        <w:t>的澄清和修改</w:t>
      </w:r>
      <w:bookmarkEnd w:id="66"/>
    </w:p>
    <w:p w14:paraId="50F5BB28">
      <w:pPr>
        <w:pStyle w:val="24"/>
        <w:shd w:val="clear" w:color="auto" w:fill="auto"/>
        <w:snapToGrid w:val="0"/>
        <w:spacing w:line="440" w:lineRule="exact"/>
        <w:ind w:left="0" w:leftChars="0" w:right="206" w:rightChars="98" w:firstLine="420" w:firstLineChars="20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b w:val="0"/>
          <w:bCs/>
          <w:color w:val="000000" w:themeColor="text1"/>
          <w:highlight w:val="none"/>
          <w:lang w:val="en-US" w:eastAsia="zh-CN"/>
          <w14:textFill>
            <w14:solidFill>
              <w14:schemeClr w14:val="tx1"/>
            </w14:solidFill>
          </w14:textFill>
        </w:rPr>
        <w:t>9</w:t>
      </w:r>
      <w:r>
        <w:rPr>
          <w:rFonts w:hint="eastAsia" w:ascii="宋体" w:hAnsi="宋体" w:eastAsia="宋体" w:cs="宋体"/>
          <w:b w:val="0"/>
          <w:bCs/>
          <w:color w:val="000000" w:themeColor="text1"/>
          <w:highlight w:val="none"/>
          <w14:textFill>
            <w14:solidFill>
              <w14:schemeClr w14:val="tx1"/>
            </w14:solidFill>
          </w14:textFill>
        </w:rPr>
        <w:t>.1投标人要认真审核招标内容及技术要求中的技术参数、配置及要求，如发现表中技术参数、配置有误或存在倾向性或排他性的内容及要求不合理的，投标人必须在投标前要求澄清，否则，由此产生的后果由投标人负责。</w:t>
      </w:r>
    </w:p>
    <w:p w14:paraId="652F473F">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2任何要求澄清</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的投标人，均应在投标截止日期3天前以书面形式通知采购代理机构，同时认定其他澄清方式为无效。采购代理机构将以书面形式予以答复，过期则不予受理。</w:t>
      </w:r>
    </w:p>
    <w:p w14:paraId="5B03B77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3在投标截止日期前的任何时候，无论出于何种原因，采购代理机构可主动地或在解答投标人提出的澄清问题时对</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进行澄清或修改。该澄清或修改的内容为</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的组成部分。</w:t>
      </w:r>
    </w:p>
    <w:p w14:paraId="1745DDAF">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.4</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的澄清或修改将以书面形式通知所有购买</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的投标人，并对其具有约束力。</w:t>
      </w:r>
    </w:p>
    <w:p w14:paraId="2A59A239">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.5采购代理机构可视具体情况，延长投标截止日期，并将澄清或修改通知所有购买</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的投标人。</w:t>
      </w:r>
    </w:p>
    <w:p w14:paraId="52628E80">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.6请投标人接通知后到</w:t>
      </w:r>
      <w:r>
        <w:rPr>
          <w:rFonts w:hint="eastAsia" w:ascii="宋体" w:hAnsi="宋体" w:eastAsia="宋体" w:cs="宋体"/>
          <w:color w:val="000000" w:themeColor="text1"/>
          <w:szCs w:val="24"/>
          <w:highlight w:val="none"/>
          <w:lang w:val="en-US" w:eastAsia="zh-CN"/>
          <w14:textFill>
            <w14:solidFill>
              <w14:schemeClr w14:val="tx1"/>
            </w14:solidFill>
          </w14:textFill>
        </w:rPr>
        <w:t>新疆政府采购网</w:t>
      </w:r>
      <w:r>
        <w:rPr>
          <w:rFonts w:hint="eastAsia" w:ascii="宋体" w:hAnsi="宋体" w:eastAsia="宋体" w:cs="宋体"/>
          <w:color w:val="000000" w:themeColor="text1"/>
          <w:szCs w:val="24"/>
          <w:highlight w:val="none"/>
          <w:lang w:val="zh-CN"/>
          <w14:textFill>
            <w14:solidFill>
              <w14:schemeClr w14:val="tx1"/>
            </w14:solidFill>
          </w14:textFill>
        </w:rPr>
        <w:t>领取以上澄清答复（或补充、更改通知），或在网上查询，如在电话通知后24小时内不上门领取的，则视为已在网上查询收到；投标人在每一次收到澄清答复或补充通知后应立即以书面形式（含传真方式）通知采购代理机构，确认已收到该澄清答复（或补充、更改通知）；否则，由此造成的一切后果由投标人承担。</w:t>
      </w:r>
    </w:p>
    <w:p w14:paraId="0BE5A92B">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b/>
          <w:bCs/>
          <w:color w:val="000000" w:themeColor="text1"/>
          <w:highlight w:val="none"/>
          <w14:textFill>
            <w14:solidFill>
              <w14:schemeClr w14:val="tx1"/>
            </w14:solidFill>
          </w14:textFill>
        </w:rPr>
      </w:pPr>
      <w:bookmarkStart w:id="67" w:name="_Toc30070"/>
      <w:r>
        <w:rPr>
          <w:rFonts w:hint="eastAsia" w:ascii="宋体" w:hAnsi="宋体" w:eastAsia="宋体" w:cs="宋体"/>
          <w:b/>
          <w:bCs/>
          <w:color w:val="000000" w:themeColor="text1"/>
          <w:highlight w:val="none"/>
          <w:lang w:val="en-US" w:eastAsia="zh-CN"/>
          <w14:textFill>
            <w14:solidFill>
              <w14:schemeClr w14:val="tx1"/>
            </w14:solidFill>
          </w14:textFill>
        </w:rPr>
        <w:t>10</w:t>
      </w:r>
      <w:r>
        <w:rPr>
          <w:rFonts w:hint="eastAsia" w:ascii="宋体" w:hAnsi="宋体" w:eastAsia="宋体" w:cs="宋体"/>
          <w:b/>
          <w:bCs/>
          <w:color w:val="000000" w:themeColor="text1"/>
          <w:highlight w:val="none"/>
          <w14:textFill>
            <w14:solidFill>
              <w14:schemeClr w14:val="tx1"/>
            </w14:solidFill>
          </w14:textFill>
        </w:rPr>
        <w:t>、资料</w:t>
      </w:r>
      <w:bookmarkEnd w:id="67"/>
    </w:p>
    <w:p w14:paraId="730235AE">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10</w:t>
      </w:r>
      <w:r>
        <w:rPr>
          <w:rFonts w:hint="eastAsia" w:ascii="宋体" w:hAnsi="宋体" w:eastAsia="宋体" w:cs="宋体"/>
          <w:color w:val="000000" w:themeColor="text1"/>
          <w:szCs w:val="24"/>
          <w:highlight w:val="none"/>
          <w:lang w:val="zh-CN"/>
          <w14:textFill>
            <w14:solidFill>
              <w14:schemeClr w14:val="tx1"/>
            </w14:solidFill>
          </w14:textFill>
        </w:rPr>
        <w:t>.1</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中提供的资料和数据，是为使投标人能够充分正确地理解</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进行投标。投标人自行做出的推断、解释和结论，采购代理机构概不负责。</w:t>
      </w:r>
    </w:p>
    <w:p w14:paraId="03EAC03D">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10</w:t>
      </w:r>
      <w:r>
        <w:rPr>
          <w:rFonts w:hint="eastAsia" w:ascii="宋体" w:hAnsi="宋体" w:eastAsia="宋体" w:cs="宋体"/>
          <w:color w:val="000000" w:themeColor="text1"/>
          <w:szCs w:val="24"/>
          <w:highlight w:val="none"/>
          <w:lang w:val="zh-CN"/>
          <w14:textFill>
            <w14:solidFill>
              <w14:schemeClr w14:val="tx1"/>
            </w14:solidFill>
          </w14:textFill>
        </w:rPr>
        <w:t>.2投标人为编制</w:t>
      </w:r>
      <w:r>
        <w:rPr>
          <w:rFonts w:hint="eastAsia" w:hAnsi="宋体" w:eastAsia="宋体" w:cs="宋体"/>
          <w:color w:val="000000" w:themeColor="text1"/>
          <w:szCs w:val="24"/>
          <w:highlight w:val="none"/>
          <w:lang w:val="zh-CN"/>
          <w14:textFill>
            <w14:solidFill>
              <w14:schemeClr w14:val="tx1"/>
            </w14:solidFill>
          </w14:textFill>
        </w:rPr>
        <w:t>响应文件</w:t>
      </w:r>
      <w:r>
        <w:rPr>
          <w:rFonts w:hint="eastAsia" w:ascii="宋体" w:hAnsi="宋体" w:eastAsia="宋体" w:cs="宋体"/>
          <w:color w:val="000000" w:themeColor="text1"/>
          <w:szCs w:val="24"/>
          <w:highlight w:val="none"/>
          <w:lang w:val="zh-CN"/>
          <w14:textFill>
            <w14:solidFill>
              <w14:schemeClr w14:val="tx1"/>
            </w14:solidFill>
          </w14:textFill>
        </w:rPr>
        <w:t>，而获取</w:t>
      </w:r>
      <w:r>
        <w:rPr>
          <w:rFonts w:hint="eastAsia" w:hAnsi="宋体" w:eastAsia="宋体" w:cs="宋体"/>
          <w:color w:val="000000" w:themeColor="text1"/>
          <w:szCs w:val="24"/>
          <w:highlight w:val="none"/>
          <w:lang w:val="zh-CN"/>
          <w14:textFill>
            <w14:solidFill>
              <w14:schemeClr w14:val="tx1"/>
            </w14:solidFill>
          </w14:textFill>
        </w:rPr>
        <w:t>谈判文件</w:t>
      </w:r>
      <w:r>
        <w:rPr>
          <w:rFonts w:hint="eastAsia" w:ascii="宋体" w:hAnsi="宋体" w:eastAsia="宋体" w:cs="宋体"/>
          <w:color w:val="000000" w:themeColor="text1"/>
          <w:szCs w:val="24"/>
          <w:highlight w:val="none"/>
          <w:lang w:val="zh-CN"/>
          <w14:textFill>
            <w14:solidFill>
              <w14:schemeClr w14:val="tx1"/>
            </w14:solidFill>
          </w14:textFill>
        </w:rPr>
        <w:t>以外的其他资料，其费用和责任均由投标人承担。</w:t>
      </w:r>
    </w:p>
    <w:p w14:paraId="43B989C7">
      <w:pPr>
        <w:shd w:val="clear" w:color="auto" w:fill="auto"/>
        <w:spacing w:line="440" w:lineRule="exact"/>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谈判文件的修改、补充、解释</w:t>
      </w:r>
    </w:p>
    <w:p w14:paraId="2C49B769">
      <w:pPr>
        <w:shd w:val="clear" w:color="auto" w:fill="auto"/>
        <w:wordWrap w:val="0"/>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1谈判文件发出后，招标人在规定的投标截止时间前可对谈判文件进行必要的修改和补充，并以更正公告形式在政采云平台 “更正公告”栏目予以公告，请各位投标人注意查看有关澄清内容，如不及时查看造成后果由投标人自负。谈判文件的修改、补充等内容作为谈判文件的组成部分，具有约束作用。</w:t>
      </w:r>
    </w:p>
    <w:p w14:paraId="05E8C854">
      <w:pPr>
        <w:shd w:val="clear" w:color="auto" w:fill="auto"/>
        <w:wordWrap w:val="0"/>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 采购代理机构可视采购具体情况对已发出的谈判文件进行必要的澄清、修改或者补充。澄清、修改或者补充的内容可能影响</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编制的，应当在投标截止时间至少</w:t>
      </w:r>
      <w:r>
        <w:rPr>
          <w:rFonts w:hint="eastAsia" w:ascii="宋体" w:hAnsi="宋体" w:eastAsia="宋体" w:cs="宋体"/>
          <w:color w:val="000000" w:themeColor="text1"/>
          <w:szCs w:val="21"/>
          <w:highlight w:val="none"/>
          <w:lang w:val="en-US" w:eastAsia="zh-CN"/>
          <w14:textFill>
            <w14:solidFill>
              <w14:schemeClr w14:val="tx1"/>
            </w14:solidFill>
          </w14:textFill>
        </w:rPr>
        <w:t>3个工作日前</w:t>
      </w:r>
      <w:r>
        <w:rPr>
          <w:rFonts w:hint="eastAsia" w:ascii="宋体" w:hAnsi="宋体" w:eastAsia="宋体" w:cs="宋体"/>
          <w:color w:val="000000" w:themeColor="text1"/>
          <w:szCs w:val="21"/>
          <w:highlight w:val="none"/>
          <w14:textFill>
            <w14:solidFill>
              <w14:schemeClr w14:val="tx1"/>
            </w14:solidFill>
          </w14:textFill>
        </w:rPr>
        <w:t>，在原公告发布媒体上发布澄清公告，澄清或者修改的内容为谈判文件的组成部分；不足</w:t>
      </w:r>
      <w:r>
        <w:rPr>
          <w:rFonts w:hint="eastAsia" w:ascii="宋体" w:hAnsi="宋体" w:eastAsia="宋体" w:cs="宋体"/>
          <w:color w:val="000000" w:themeColor="text1"/>
          <w:szCs w:val="21"/>
          <w:highlight w:val="none"/>
          <w:lang w:val="en-US" w:eastAsia="zh-CN"/>
          <w14:textFill>
            <w14:solidFill>
              <w14:schemeClr w14:val="tx1"/>
            </w14:solidFill>
          </w14:textFill>
        </w:rPr>
        <w:t>3个工作日前</w:t>
      </w:r>
      <w:r>
        <w:rPr>
          <w:rFonts w:hint="eastAsia" w:ascii="宋体" w:hAnsi="宋体" w:eastAsia="宋体" w:cs="宋体"/>
          <w:color w:val="000000" w:themeColor="text1"/>
          <w:szCs w:val="21"/>
          <w:highlight w:val="none"/>
          <w14:textFill>
            <w14:solidFill>
              <w14:schemeClr w14:val="tx1"/>
            </w14:solidFill>
          </w14:textFill>
        </w:rPr>
        <w:t>，应当顺延提交</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的截止时间。</w:t>
      </w:r>
    </w:p>
    <w:p w14:paraId="3E45AD15">
      <w:pPr>
        <w:shd w:val="clear" w:color="auto" w:fill="auto"/>
        <w:wordWrap w:val="0"/>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 xml:space="preserve">3 </w:t>
      </w:r>
      <w:r>
        <w:rPr>
          <w:rFonts w:hint="eastAsia" w:ascii="宋体" w:hAnsi="宋体" w:eastAsia="宋体" w:cs="宋体"/>
          <w:color w:val="000000" w:themeColor="text1"/>
          <w:szCs w:val="21"/>
          <w:highlight w:val="none"/>
          <w14:textFill>
            <w14:solidFill>
              <w14:schemeClr w14:val="tx1"/>
            </w14:solidFill>
          </w14:textFill>
        </w:rPr>
        <w:t>供应商在规定的时间内未对谈判文件提出疑问、质疑或要求澄清的，将视其为无异议。</w:t>
      </w:r>
    </w:p>
    <w:p w14:paraId="1C0AC808">
      <w:pPr>
        <w:shd w:val="clear" w:color="auto" w:fill="auto"/>
        <w:spacing w:line="400" w:lineRule="exact"/>
        <w:ind w:firstLine="420" w:firstLineChars="200"/>
        <w:outlineLvl w:val="1"/>
        <w:rPr>
          <w:rFonts w:hint="eastAsia" w:ascii="宋体" w:hAnsi="宋体" w:eastAsia="宋体" w:cs="宋体"/>
          <w:bCs/>
          <w:color w:val="000000" w:themeColor="text1"/>
          <w:szCs w:val="21"/>
          <w:highlight w:val="none"/>
          <w14:textFill>
            <w14:solidFill>
              <w14:schemeClr w14:val="tx1"/>
            </w14:solidFill>
          </w14:textFill>
        </w:rPr>
      </w:pPr>
      <w:bookmarkStart w:id="68" w:name="_Toc18376"/>
      <w:r>
        <w:rPr>
          <w:rFonts w:hint="eastAsia" w:ascii="宋体" w:hAnsi="宋体" w:eastAsia="宋体" w:cs="宋体"/>
          <w:bCs/>
          <w:color w:val="000000" w:themeColor="text1"/>
          <w:szCs w:val="21"/>
          <w:highlight w:val="none"/>
          <w14:textFill>
            <w14:solidFill>
              <w14:schemeClr w14:val="tx1"/>
            </w14:solidFill>
          </w14:textFill>
        </w:rPr>
        <w:t>4 谈判文件的解释</w:t>
      </w:r>
      <w:bookmarkEnd w:id="68"/>
    </w:p>
    <w:p w14:paraId="1D895DC1">
      <w:pPr>
        <w:pStyle w:val="25"/>
        <w:shd w:val="clear" w:color="auto" w:fill="auto"/>
        <w:ind w:left="0" w:left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本谈判文件由招标人（或其委托的招标代理机构）负责解释。</w:t>
      </w:r>
    </w:p>
    <w:p w14:paraId="7797A2BB">
      <w:pPr>
        <w:pStyle w:val="25"/>
        <w:shd w:val="clear" w:color="auto" w:fill="auto"/>
        <w:ind w:left="0" w:leftChars="0" w:firstLine="0" w:firstLineChars="0"/>
        <w:rPr>
          <w:rFonts w:hint="eastAsia" w:ascii="宋体" w:hAnsi="宋体" w:eastAsia="宋体" w:cs="宋体"/>
          <w:color w:val="000000" w:themeColor="text1"/>
          <w:highlight w:val="none"/>
          <w:lang w:val="zh-CN"/>
          <w14:textFill>
            <w14:solidFill>
              <w14:schemeClr w14:val="tx1"/>
            </w14:solidFill>
          </w14:textFill>
        </w:rPr>
      </w:pPr>
    </w:p>
    <w:p w14:paraId="7924F1BF">
      <w:pPr>
        <w:pStyle w:val="25"/>
        <w:ind w:left="0" w:leftChars="0" w:firstLine="0" w:firstLineChars="0"/>
        <w:rPr>
          <w:rFonts w:hint="eastAsia"/>
          <w:color w:val="000000" w:themeColor="text1"/>
          <w14:textFill>
            <w14:solidFill>
              <w14:schemeClr w14:val="tx1"/>
            </w14:solidFill>
          </w14:textFill>
        </w:rPr>
      </w:pPr>
      <w:bookmarkStart w:id="69" w:name="_Toc24957"/>
      <w:bookmarkStart w:id="70" w:name="_Toc32475"/>
      <w:bookmarkStart w:id="71" w:name="_Toc11179_WPSOffice_Level2"/>
    </w:p>
    <w:p w14:paraId="291E0229">
      <w:pPr>
        <w:pStyle w:val="3"/>
        <w:bidi w:val="0"/>
        <w:rPr>
          <w:rFonts w:hint="eastAsia"/>
          <w:color w:val="000000" w:themeColor="text1"/>
          <w14:textFill>
            <w14:solidFill>
              <w14:schemeClr w14:val="tx1"/>
            </w14:solidFill>
          </w14:textFill>
        </w:rPr>
      </w:pPr>
      <w:bookmarkStart w:id="72" w:name="_Toc10340"/>
      <w:r>
        <w:rPr>
          <w:rFonts w:hint="eastAsia"/>
          <w:color w:val="000000" w:themeColor="text1"/>
          <w14:textFill>
            <w14:solidFill>
              <w14:schemeClr w14:val="tx1"/>
            </w14:solidFill>
          </w14:textFill>
        </w:rPr>
        <w:t>三</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响应</w:t>
      </w:r>
      <w:r>
        <w:rPr>
          <w:rFonts w:hint="eastAsia"/>
          <w:color w:val="000000" w:themeColor="text1"/>
          <w14:textFill>
            <w14:solidFill>
              <w14:schemeClr w14:val="tx1"/>
            </w14:solidFill>
          </w14:textFill>
        </w:rPr>
        <w:t>文件的编制</w:t>
      </w:r>
      <w:bookmarkEnd w:id="69"/>
      <w:bookmarkEnd w:id="70"/>
      <w:bookmarkEnd w:id="71"/>
      <w:bookmarkEnd w:id="72"/>
    </w:p>
    <w:p w14:paraId="05CC6277">
      <w:pPr>
        <w:pStyle w:val="24"/>
        <w:shd w:val="clear" w:color="auto" w:fill="auto"/>
        <w:snapToGrid w:val="0"/>
        <w:spacing w:line="360" w:lineRule="exact"/>
        <w:ind w:left="0" w:leftChars="0" w:right="206" w:rightChars="98" w:firstLine="0" w:firstLineChars="0"/>
        <w:jc w:val="center"/>
        <w:rPr>
          <w:rFonts w:hint="eastAsia" w:ascii="宋体" w:hAnsi="宋体" w:eastAsia="宋体" w:cs="宋体"/>
          <w:b/>
          <w:color w:val="000000" w:themeColor="text1"/>
          <w:sz w:val="32"/>
          <w:szCs w:val="32"/>
          <w:highlight w:val="none"/>
          <w14:textFill>
            <w14:solidFill>
              <w14:schemeClr w14:val="tx1"/>
            </w14:solidFill>
          </w14:textFill>
        </w:rPr>
      </w:pPr>
    </w:p>
    <w:p w14:paraId="73F430DF">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73" w:name="_Toc17736"/>
      <w:r>
        <w:rPr>
          <w:rFonts w:hint="eastAsia" w:ascii="宋体" w:hAnsi="宋体" w:eastAsia="宋体" w:cs="宋体"/>
          <w:b/>
          <w:color w:val="000000" w:themeColor="text1"/>
          <w:highlight w:val="none"/>
          <w14:textFill>
            <w14:solidFill>
              <w14:schemeClr w14:val="tx1"/>
            </w14:solidFill>
          </w14:textFill>
        </w:rPr>
        <w:t>11.</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编写注意事项</w:t>
      </w:r>
      <w:bookmarkEnd w:id="73"/>
    </w:p>
    <w:p w14:paraId="06FF08D0">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zh-CN"/>
          <w14:textFill>
            <w14:solidFill>
              <w14:schemeClr w14:val="tx1"/>
            </w14:solidFill>
          </w14:textFill>
        </w:rPr>
        <w:t>.1投标人应仔细阅读</w:t>
      </w:r>
      <w:r>
        <w:rPr>
          <w:rFonts w:hint="eastAsia" w:hAnsi="宋体" w:eastAsia="宋体" w:cs="宋体"/>
          <w:color w:val="000000" w:themeColor="text1"/>
          <w:highlight w:val="none"/>
          <w:lang w:val="zh-CN"/>
          <w14:textFill>
            <w14:solidFill>
              <w14:schemeClr w14:val="tx1"/>
            </w14:solidFill>
          </w14:textFill>
        </w:rPr>
        <w:t>谈判文件</w:t>
      </w:r>
      <w:r>
        <w:rPr>
          <w:rFonts w:hint="eastAsia" w:ascii="宋体" w:hAnsi="宋体" w:eastAsia="宋体" w:cs="宋体"/>
          <w:color w:val="000000" w:themeColor="text1"/>
          <w:highlight w:val="none"/>
          <w:lang w:val="zh-CN"/>
          <w14:textFill>
            <w14:solidFill>
              <w14:schemeClr w14:val="tx1"/>
            </w14:solidFill>
          </w14:textFill>
        </w:rPr>
        <w:t>，在完全了解</w:t>
      </w:r>
      <w:r>
        <w:rPr>
          <w:rFonts w:hint="eastAsia" w:hAnsi="宋体" w:eastAsia="宋体" w:cs="宋体"/>
          <w:color w:val="000000" w:themeColor="text1"/>
          <w:highlight w:val="none"/>
          <w:lang w:val="zh-CN"/>
          <w14:textFill>
            <w14:solidFill>
              <w14:schemeClr w14:val="tx1"/>
            </w14:solidFill>
          </w14:textFill>
        </w:rPr>
        <w:t>谈判文件</w:t>
      </w:r>
      <w:r>
        <w:rPr>
          <w:rFonts w:hint="eastAsia" w:ascii="宋体" w:hAnsi="宋体" w:eastAsia="宋体" w:cs="宋体"/>
          <w:color w:val="000000" w:themeColor="text1"/>
          <w:highlight w:val="none"/>
          <w:lang w:val="zh-CN"/>
          <w14:textFill>
            <w14:solidFill>
              <w14:schemeClr w14:val="tx1"/>
            </w14:solidFill>
          </w14:textFill>
        </w:rPr>
        <w:t>的内容、要求后，编写</w:t>
      </w:r>
      <w:r>
        <w:rPr>
          <w:rFonts w:hint="eastAsia" w:hAnsi="宋体" w:eastAsia="宋体" w:cs="宋体"/>
          <w:color w:val="000000" w:themeColor="text1"/>
          <w:highlight w:val="none"/>
          <w:lang w:val="zh-CN"/>
          <w14:textFill>
            <w14:solidFill>
              <w14:schemeClr w14:val="tx1"/>
            </w14:solidFill>
          </w14:textFill>
        </w:rPr>
        <w:t>响应文件</w:t>
      </w:r>
      <w:r>
        <w:rPr>
          <w:rFonts w:hint="eastAsia" w:ascii="宋体" w:hAnsi="宋体" w:eastAsia="宋体" w:cs="宋体"/>
          <w:color w:val="000000" w:themeColor="text1"/>
          <w:highlight w:val="none"/>
          <w:lang w:val="zh-CN"/>
          <w14:textFill>
            <w14:solidFill>
              <w14:schemeClr w14:val="tx1"/>
            </w14:solidFill>
          </w14:textFill>
        </w:rPr>
        <w:t>。</w:t>
      </w:r>
    </w:p>
    <w:p w14:paraId="6B052686">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zh-CN"/>
          <w14:textFill>
            <w14:solidFill>
              <w14:schemeClr w14:val="tx1"/>
            </w14:solidFill>
          </w14:textFill>
        </w:rPr>
        <w:t>.2对</w:t>
      </w:r>
      <w:r>
        <w:rPr>
          <w:rFonts w:hint="eastAsia" w:hAnsi="宋体" w:eastAsia="宋体" w:cs="宋体"/>
          <w:color w:val="000000" w:themeColor="text1"/>
          <w:highlight w:val="none"/>
          <w:lang w:val="zh-CN"/>
          <w14:textFill>
            <w14:solidFill>
              <w14:schemeClr w14:val="tx1"/>
            </w14:solidFill>
          </w14:textFill>
        </w:rPr>
        <w:t>谈判文件</w:t>
      </w:r>
      <w:r>
        <w:rPr>
          <w:rFonts w:hint="eastAsia" w:ascii="宋体" w:hAnsi="宋体" w:eastAsia="宋体" w:cs="宋体"/>
          <w:color w:val="000000" w:themeColor="text1"/>
          <w:highlight w:val="none"/>
          <w:lang w:val="zh-CN"/>
          <w14:textFill>
            <w14:solidFill>
              <w14:schemeClr w14:val="tx1"/>
            </w14:solidFill>
          </w14:textFill>
        </w:rPr>
        <w:t>提出的实质性要求和条件做出响应是指投标人必须对</w:t>
      </w:r>
      <w:r>
        <w:rPr>
          <w:rFonts w:hint="eastAsia" w:hAnsi="宋体" w:eastAsia="宋体" w:cs="宋体"/>
          <w:color w:val="000000" w:themeColor="text1"/>
          <w:highlight w:val="none"/>
          <w:lang w:val="zh-CN"/>
          <w14:textFill>
            <w14:solidFill>
              <w14:schemeClr w14:val="tx1"/>
            </w14:solidFill>
          </w14:textFill>
        </w:rPr>
        <w:t>响应</w:t>
      </w:r>
      <w:r>
        <w:rPr>
          <w:rFonts w:hint="eastAsia" w:ascii="宋体" w:hAnsi="宋体" w:eastAsia="宋体" w:cs="宋体"/>
          <w:color w:val="000000" w:themeColor="text1"/>
          <w:highlight w:val="none"/>
          <w:lang w:val="zh-CN"/>
          <w14:textFill>
            <w14:solidFill>
              <w14:schemeClr w14:val="tx1"/>
            </w14:solidFill>
          </w14:textFill>
        </w:rPr>
        <w:t>文件中投标人资格、投标项目所涉及的价格、技术参数及性能配置、数量、售后服务及其它要求、合同条款等内容做出响应。</w:t>
      </w:r>
    </w:p>
    <w:p w14:paraId="46ED2345">
      <w:pPr>
        <w:pStyle w:val="24"/>
        <w:shd w:val="clear" w:color="auto" w:fill="auto"/>
        <w:snapToGrid w:val="0"/>
        <w:spacing w:line="360" w:lineRule="exact"/>
        <w:outlineLvl w:val="1"/>
        <w:rPr>
          <w:rFonts w:hint="eastAsia" w:ascii="宋体" w:hAnsi="宋体" w:eastAsia="宋体" w:cs="宋体"/>
          <w:color w:val="000000" w:themeColor="text1"/>
          <w:highlight w:val="none"/>
          <w14:textFill>
            <w14:solidFill>
              <w14:schemeClr w14:val="tx1"/>
            </w14:solidFill>
          </w14:textFill>
        </w:rPr>
      </w:pPr>
      <w:bookmarkStart w:id="74" w:name="_Toc8740"/>
      <w:r>
        <w:rPr>
          <w:rFonts w:hint="eastAsia" w:ascii="宋体" w:hAnsi="宋体" w:eastAsia="宋体" w:cs="宋体"/>
          <w:b/>
          <w:color w:val="000000" w:themeColor="text1"/>
          <w:highlight w:val="none"/>
          <w14:textFill>
            <w14:solidFill>
              <w14:schemeClr w14:val="tx1"/>
            </w14:solidFill>
          </w14:textFill>
        </w:rPr>
        <w:t>12.</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的语言</w:t>
      </w:r>
      <w:bookmarkEnd w:id="74"/>
    </w:p>
    <w:p w14:paraId="6CFC6AD6">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.1投标人的</w:t>
      </w:r>
      <w:r>
        <w:rPr>
          <w:rFonts w:hint="eastAsia" w:hAnsi="宋体" w:eastAsia="宋体" w:cs="宋体"/>
          <w:color w:val="000000" w:themeColor="text1"/>
          <w:highlight w:val="none"/>
          <w:lang w:val="zh-CN"/>
          <w14:textFill>
            <w14:solidFill>
              <w14:schemeClr w14:val="tx1"/>
            </w14:solidFill>
          </w14:textFill>
        </w:rPr>
        <w:t>响应文件</w:t>
      </w:r>
      <w:r>
        <w:rPr>
          <w:rFonts w:hint="eastAsia" w:ascii="宋体" w:hAnsi="宋体" w:eastAsia="宋体" w:cs="宋体"/>
          <w:color w:val="000000" w:themeColor="text1"/>
          <w:highlight w:val="none"/>
          <w:lang w:val="zh-CN"/>
          <w14:textFill>
            <w14:solidFill>
              <w14:schemeClr w14:val="tx1"/>
            </w14:solidFill>
          </w14:textFill>
        </w:rPr>
        <w:t>以及投标人与采购代理机构所有来往函电统一使用中文(特别规定除外)。</w:t>
      </w:r>
    </w:p>
    <w:p w14:paraId="14A8BC0B">
      <w:pPr>
        <w:pStyle w:val="24"/>
        <w:shd w:val="clear" w:color="auto" w:fill="auto"/>
        <w:snapToGrid w:val="0"/>
        <w:spacing w:line="360" w:lineRule="exact"/>
        <w:outlineLvl w:val="1"/>
        <w:rPr>
          <w:rFonts w:hint="eastAsia" w:ascii="宋体" w:hAnsi="宋体" w:eastAsia="宋体" w:cs="宋体"/>
          <w:color w:val="000000" w:themeColor="text1"/>
          <w:highlight w:val="none"/>
          <w14:textFill>
            <w14:solidFill>
              <w14:schemeClr w14:val="tx1"/>
            </w14:solidFill>
          </w14:textFill>
        </w:rPr>
      </w:pPr>
      <w:bookmarkStart w:id="75" w:name="_Toc25066"/>
      <w:r>
        <w:rPr>
          <w:rFonts w:hint="eastAsia" w:ascii="宋体" w:hAnsi="宋体" w:eastAsia="宋体" w:cs="宋体"/>
          <w:b/>
          <w:color w:val="000000" w:themeColor="text1"/>
          <w:highlight w:val="none"/>
          <w14:textFill>
            <w14:solidFill>
              <w14:schemeClr w14:val="tx1"/>
            </w14:solidFill>
          </w14:textFill>
        </w:rPr>
        <w:t>13.</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的计量单位</w:t>
      </w:r>
      <w:bookmarkEnd w:id="75"/>
    </w:p>
    <w:p w14:paraId="4681A542">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zh-CN"/>
          <w14:textFill>
            <w14:solidFill>
              <w14:schemeClr w14:val="tx1"/>
            </w14:solidFill>
          </w14:textFill>
        </w:rPr>
        <w:t>.1</w:t>
      </w:r>
      <w:r>
        <w:rPr>
          <w:rFonts w:hint="eastAsia" w:hAnsi="宋体" w:eastAsia="宋体" w:cs="宋体"/>
          <w:color w:val="000000" w:themeColor="text1"/>
          <w:highlight w:val="none"/>
          <w:lang w:val="zh-CN"/>
          <w14:textFill>
            <w14:solidFill>
              <w14:schemeClr w14:val="tx1"/>
            </w14:solidFill>
          </w14:textFill>
        </w:rPr>
        <w:t>响应文件</w:t>
      </w:r>
      <w:r>
        <w:rPr>
          <w:rFonts w:hint="eastAsia" w:ascii="宋体" w:hAnsi="宋体" w:eastAsia="宋体" w:cs="宋体"/>
          <w:color w:val="000000" w:themeColor="text1"/>
          <w:highlight w:val="none"/>
          <w:lang w:val="zh-CN"/>
          <w14:textFill>
            <w14:solidFill>
              <w14:schemeClr w14:val="tx1"/>
            </w14:solidFill>
          </w14:textFill>
        </w:rPr>
        <w:t>中使用的计量单位除</w:t>
      </w:r>
      <w:r>
        <w:rPr>
          <w:rFonts w:hint="eastAsia" w:hAnsi="宋体" w:eastAsia="宋体" w:cs="宋体"/>
          <w:color w:val="000000" w:themeColor="text1"/>
          <w:highlight w:val="none"/>
          <w:lang w:val="zh-CN"/>
          <w14:textFill>
            <w14:solidFill>
              <w14:schemeClr w14:val="tx1"/>
            </w14:solidFill>
          </w14:textFill>
        </w:rPr>
        <w:t>谈判文件</w:t>
      </w:r>
      <w:r>
        <w:rPr>
          <w:rFonts w:hint="eastAsia" w:ascii="宋体" w:hAnsi="宋体" w:eastAsia="宋体" w:cs="宋体"/>
          <w:color w:val="000000" w:themeColor="text1"/>
          <w:highlight w:val="none"/>
          <w:lang w:val="zh-CN"/>
          <w14:textFill>
            <w14:solidFill>
              <w14:schemeClr w14:val="tx1"/>
            </w14:solidFill>
          </w14:textFill>
        </w:rPr>
        <w:t>中有特殊规定外，一律使用法定计量单位。</w:t>
      </w:r>
    </w:p>
    <w:p w14:paraId="54C75477">
      <w:pPr>
        <w:pStyle w:val="24"/>
        <w:shd w:val="clear" w:color="auto" w:fill="auto"/>
        <w:snapToGrid w:val="0"/>
        <w:spacing w:line="360" w:lineRule="exact"/>
        <w:outlineLvl w:val="1"/>
        <w:rPr>
          <w:rFonts w:hint="eastAsia" w:ascii="宋体" w:hAnsi="宋体" w:eastAsia="宋体" w:cs="宋体"/>
          <w:color w:val="000000" w:themeColor="text1"/>
          <w:highlight w:val="none"/>
          <w14:textFill>
            <w14:solidFill>
              <w14:schemeClr w14:val="tx1"/>
            </w14:solidFill>
          </w14:textFill>
        </w:rPr>
      </w:pPr>
      <w:bookmarkStart w:id="76" w:name="_Toc3259"/>
      <w:r>
        <w:rPr>
          <w:rFonts w:hint="eastAsia" w:ascii="宋体" w:hAnsi="宋体" w:eastAsia="宋体" w:cs="宋体"/>
          <w:b/>
          <w:color w:val="000000" w:themeColor="text1"/>
          <w:highlight w:val="none"/>
          <w14:textFill>
            <w14:solidFill>
              <w14:schemeClr w14:val="tx1"/>
            </w14:solidFill>
          </w14:textFill>
        </w:rPr>
        <w:t>14.</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构成</w:t>
      </w:r>
      <w:bookmarkEnd w:id="76"/>
    </w:p>
    <w:p w14:paraId="3D56710E">
      <w:pPr>
        <w:pStyle w:val="24"/>
        <w:shd w:val="clear" w:color="auto" w:fill="auto"/>
        <w:snapToGrid w:val="0"/>
        <w:spacing w:line="360" w:lineRule="exact"/>
        <w:ind w:firstLine="420" w:firstLineChars="200"/>
        <w:outlineLvl w:val="2"/>
        <w:rPr>
          <w:rFonts w:hint="eastAsia" w:ascii="宋体" w:hAnsi="宋体" w:eastAsia="宋体" w:cs="宋体"/>
          <w:color w:val="000000" w:themeColor="text1"/>
          <w:highlight w:val="none"/>
          <w14:textFill>
            <w14:solidFill>
              <w14:schemeClr w14:val="tx1"/>
            </w14:solidFill>
          </w14:textFill>
        </w:rPr>
      </w:pPr>
      <w:bookmarkStart w:id="77" w:name="_Toc17998"/>
      <w:r>
        <w:rPr>
          <w:rFonts w:hint="eastAsia" w:ascii="宋体" w:hAnsi="宋体" w:eastAsia="宋体" w:cs="宋体"/>
          <w:color w:val="000000" w:themeColor="text1"/>
          <w:highlight w:val="none"/>
          <w14:textFill>
            <w14:solidFill>
              <w14:schemeClr w14:val="tx1"/>
            </w14:solidFill>
          </w14:textFill>
        </w:rPr>
        <w:t>14</w:t>
      </w:r>
      <w:r>
        <w:rPr>
          <w:rFonts w:hint="eastAsia" w:ascii="宋体" w:hAnsi="宋体" w:eastAsia="宋体" w:cs="宋体"/>
          <w:color w:val="000000" w:themeColor="text1"/>
          <w:highlight w:val="none"/>
          <w:lang w:val="zh-CN"/>
          <w14:textFill>
            <w14:solidFill>
              <w14:schemeClr w14:val="tx1"/>
            </w14:solidFill>
          </w14:textFill>
        </w:rPr>
        <w:t>.1投标人编写的</w:t>
      </w:r>
      <w:r>
        <w:rPr>
          <w:rFonts w:hint="eastAsia" w:hAnsi="宋体" w:eastAsia="宋体" w:cs="宋体"/>
          <w:color w:val="000000" w:themeColor="text1"/>
          <w:highlight w:val="none"/>
          <w:lang w:val="zh-CN"/>
          <w14:textFill>
            <w14:solidFill>
              <w14:schemeClr w14:val="tx1"/>
            </w14:solidFill>
          </w14:textFill>
        </w:rPr>
        <w:t>响应文件</w:t>
      </w:r>
      <w:r>
        <w:rPr>
          <w:rFonts w:hint="eastAsia" w:ascii="宋体" w:hAnsi="宋体" w:eastAsia="宋体" w:cs="宋体"/>
          <w:color w:val="000000" w:themeColor="text1"/>
          <w:highlight w:val="none"/>
          <w:lang w:val="zh-CN"/>
          <w14:textFill>
            <w14:solidFill>
              <w14:schemeClr w14:val="tx1"/>
            </w14:solidFill>
          </w14:textFill>
        </w:rPr>
        <w:t>应包括下列内容</w:t>
      </w:r>
      <w:r>
        <w:rPr>
          <w:rFonts w:hint="eastAsia" w:hAnsi="宋体" w:eastAsia="宋体" w:cs="宋体"/>
          <w:color w:val="000000" w:themeColor="text1"/>
          <w:highlight w:val="none"/>
          <w:lang w:val="zh-CN"/>
          <w14:textFill>
            <w14:solidFill>
              <w14:schemeClr w14:val="tx1"/>
            </w14:solidFill>
          </w14:textFill>
        </w:rPr>
        <w:t>：</w:t>
      </w:r>
      <w:bookmarkEnd w:id="77"/>
    </w:p>
    <w:p w14:paraId="3AE05227">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1、</w:t>
      </w:r>
      <w:r>
        <w:rPr>
          <w:rFonts w:hint="eastAsia" w:ascii="宋体" w:hAnsi="宋体" w:eastAsia="宋体" w:cs="宋体"/>
          <w:b/>
          <w:bCs/>
          <w:color w:val="000000" w:themeColor="text1"/>
          <w:highlight w:val="none"/>
          <w14:textFill>
            <w14:solidFill>
              <w14:schemeClr w14:val="tx1"/>
            </w14:solidFill>
          </w14:textFill>
        </w:rPr>
        <w:t>投标函(格式)；</w:t>
      </w:r>
    </w:p>
    <w:p w14:paraId="1EC4C948">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2、开标一览表（格式）</w:t>
      </w:r>
    </w:p>
    <w:p w14:paraId="2974F22A">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3、</w:t>
      </w:r>
      <w:r>
        <w:rPr>
          <w:rFonts w:hint="eastAsia" w:ascii="宋体" w:hAnsi="宋体" w:eastAsia="宋体" w:cs="宋体"/>
          <w:b/>
          <w:bCs/>
          <w:color w:val="000000" w:themeColor="text1"/>
          <w:highlight w:val="none"/>
          <w14:textFill>
            <w14:solidFill>
              <w14:schemeClr w14:val="tx1"/>
            </w14:solidFill>
          </w14:textFill>
        </w:rPr>
        <w:t>分项报价明细表(格式)；</w:t>
      </w:r>
    </w:p>
    <w:p w14:paraId="4BACBB7A">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4、技术要求偏离表</w:t>
      </w:r>
      <w:r>
        <w:rPr>
          <w:rFonts w:hint="eastAsia" w:ascii="宋体" w:hAnsi="宋体" w:eastAsia="宋体" w:cs="宋体"/>
          <w:b/>
          <w:bCs/>
          <w:color w:val="000000" w:themeColor="text1"/>
          <w:highlight w:val="none"/>
          <w14:textFill>
            <w14:solidFill>
              <w14:schemeClr w14:val="tx1"/>
            </w14:solidFill>
          </w14:textFill>
        </w:rPr>
        <w:t>(格式)；</w:t>
      </w:r>
    </w:p>
    <w:p w14:paraId="0F651593">
      <w:pPr>
        <w:pStyle w:val="25"/>
        <w:ind w:left="0" w:leftChars="0" w:firstLine="0" w:firstLineChars="0"/>
        <w:rPr>
          <w:rFonts w:hint="default" w:ascii="宋体" w:hAnsi="宋体" w:eastAsia="宋体" w:cs="宋体"/>
          <w:b/>
          <w:bCs/>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kern w:val="2"/>
          <w:sz w:val="21"/>
          <w:szCs w:val="20"/>
          <w:highlight w:val="none"/>
          <w:lang w:val="en-US" w:eastAsia="zh-CN" w:bidi="ar-SA"/>
          <w14:textFill>
            <w14:solidFill>
              <w14:schemeClr w14:val="tx1"/>
            </w14:solidFill>
          </w14:textFill>
        </w:rPr>
        <w:t xml:space="preserve"> 5、商务要求偏离表</w:t>
      </w:r>
    </w:p>
    <w:p w14:paraId="56C65B72">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hAnsi="宋体" w:eastAsia="宋体" w:cs="宋体"/>
          <w:b/>
          <w:bCs/>
          <w:color w:val="000000" w:themeColor="text1"/>
          <w:highlight w:val="none"/>
          <w:lang w:val="en-US" w:eastAsia="zh-CN"/>
          <w14:textFill>
            <w14:solidFill>
              <w14:schemeClr w14:val="tx1"/>
            </w14:solidFill>
          </w14:textFill>
        </w:rPr>
        <w:t>6</w:t>
      </w:r>
      <w:r>
        <w:rPr>
          <w:rFonts w:hint="eastAsia" w:ascii="宋体" w:hAnsi="宋体" w:eastAsia="宋体" w:cs="宋体"/>
          <w:b/>
          <w:bCs/>
          <w:color w:val="000000" w:themeColor="text1"/>
          <w:highlight w:val="none"/>
          <w:lang w:val="en-US" w:eastAsia="zh-CN"/>
          <w14:textFill>
            <w14:solidFill>
              <w14:schemeClr w14:val="tx1"/>
            </w14:solidFill>
          </w14:textFill>
        </w:rPr>
        <w:t>、投标详细实施方案</w:t>
      </w:r>
      <w:r>
        <w:rPr>
          <w:rFonts w:hint="eastAsia" w:ascii="宋体" w:hAnsi="宋体" w:eastAsia="宋体" w:cs="宋体"/>
          <w:b/>
          <w:bCs/>
          <w:color w:val="000000" w:themeColor="text1"/>
          <w:highlight w:val="none"/>
          <w14:textFill>
            <w14:solidFill>
              <w14:schemeClr w14:val="tx1"/>
            </w14:solidFill>
          </w14:textFill>
        </w:rPr>
        <w:t>；</w:t>
      </w:r>
    </w:p>
    <w:p w14:paraId="653786F7">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hAnsi="宋体" w:eastAsia="宋体" w:cs="宋体"/>
          <w:b/>
          <w:bCs/>
          <w:color w:val="000000" w:themeColor="text1"/>
          <w:highlight w:val="none"/>
          <w:lang w:val="en-US" w:eastAsia="zh-CN"/>
          <w14:textFill>
            <w14:solidFill>
              <w14:schemeClr w14:val="tx1"/>
            </w14:solidFill>
          </w14:textFill>
        </w:rPr>
        <w:t>7</w:t>
      </w: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hAnsi="宋体" w:eastAsia="宋体" w:cs="宋体"/>
          <w:b/>
          <w:bCs/>
          <w:color w:val="000000" w:themeColor="text1"/>
          <w:highlight w:val="none"/>
          <w:lang w:val="en-US" w:eastAsia="zh-CN"/>
          <w14:textFill>
            <w14:solidFill>
              <w14:schemeClr w14:val="tx1"/>
            </w14:solidFill>
          </w14:textFill>
        </w:rPr>
        <w:t>售后</w:t>
      </w:r>
      <w:r>
        <w:rPr>
          <w:rFonts w:hint="eastAsia" w:ascii="宋体" w:hAnsi="宋体" w:eastAsia="宋体" w:cs="宋体"/>
          <w:b/>
          <w:bCs/>
          <w:color w:val="000000" w:themeColor="text1"/>
          <w:highlight w:val="none"/>
          <w14:textFill>
            <w14:solidFill>
              <w14:schemeClr w14:val="tx1"/>
            </w14:solidFill>
          </w14:textFill>
        </w:rPr>
        <w:t>服务承诺书；</w:t>
      </w:r>
    </w:p>
    <w:p w14:paraId="456BA5D4">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hAnsi="宋体" w:eastAsia="宋体" w:cs="宋体"/>
          <w:b/>
          <w:bCs/>
          <w:color w:val="000000" w:themeColor="text1"/>
          <w:highlight w:val="none"/>
          <w:lang w:val="en-US" w:eastAsia="zh-CN"/>
          <w14:textFill>
            <w14:solidFill>
              <w14:schemeClr w14:val="tx1"/>
            </w14:solidFill>
          </w14:textFill>
        </w:rPr>
        <w:t>8</w:t>
      </w: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法人授权委托书(格式)；</w:t>
      </w:r>
    </w:p>
    <w:p w14:paraId="2C47F7D4">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hAnsi="宋体" w:eastAsia="宋体" w:cs="宋体"/>
          <w:b/>
          <w:bCs/>
          <w:color w:val="000000" w:themeColor="text1"/>
          <w:highlight w:val="none"/>
          <w:lang w:val="en-US" w:eastAsia="zh-CN"/>
          <w14:textFill>
            <w14:solidFill>
              <w14:schemeClr w14:val="tx1"/>
            </w14:solidFill>
          </w14:textFill>
        </w:rPr>
        <w:t>9</w:t>
      </w: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投标保证金转款证明（按</w:t>
      </w:r>
      <w:r>
        <w:rPr>
          <w:rFonts w:hint="eastAsia" w:hAnsi="宋体" w:eastAsia="宋体" w:cs="宋体"/>
          <w:b/>
          <w:bCs/>
          <w:color w:val="000000" w:themeColor="text1"/>
          <w:highlight w:val="none"/>
          <w:lang w:eastAsia="zh-CN"/>
          <w14:textFill>
            <w14:solidFill>
              <w14:schemeClr w14:val="tx1"/>
            </w14:solidFill>
          </w14:textFill>
        </w:rPr>
        <w:t>响应文件</w:t>
      </w:r>
      <w:r>
        <w:rPr>
          <w:rFonts w:hint="eastAsia" w:ascii="宋体" w:hAnsi="宋体" w:eastAsia="宋体" w:cs="宋体"/>
          <w:b/>
          <w:bCs/>
          <w:color w:val="000000" w:themeColor="text1"/>
          <w:highlight w:val="none"/>
          <w14:textFill>
            <w14:solidFill>
              <w14:schemeClr w14:val="tx1"/>
            </w14:solidFill>
          </w14:textFill>
        </w:rPr>
        <w:t xml:space="preserve">加放）； </w:t>
      </w:r>
    </w:p>
    <w:p w14:paraId="7F6B31F3">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hAnsi="宋体" w:eastAsia="宋体" w:cs="宋体"/>
          <w:b/>
          <w:bCs/>
          <w:color w:val="000000" w:themeColor="text1"/>
          <w:highlight w:val="none"/>
          <w:lang w:val="en-US" w:eastAsia="zh-CN"/>
          <w14:textFill>
            <w14:solidFill>
              <w14:schemeClr w14:val="tx1"/>
            </w14:solidFill>
          </w14:textFill>
        </w:rPr>
        <w:t>10</w:t>
      </w: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资格证明文件（</w:t>
      </w:r>
      <w:r>
        <w:rPr>
          <w:rFonts w:hint="eastAsia" w:ascii="宋体" w:hAnsi="宋体" w:eastAsia="宋体" w:cs="宋体"/>
          <w:b/>
          <w:bCs/>
          <w:color w:val="000000" w:themeColor="text1"/>
          <w:highlight w:val="none"/>
          <w:lang w:val="en-US" w:eastAsia="zh-CN"/>
          <w14:textFill>
            <w14:solidFill>
              <w14:schemeClr w14:val="tx1"/>
            </w14:solidFill>
          </w14:textFill>
        </w:rPr>
        <w:t>按照投标人须知第十</w:t>
      </w:r>
      <w:r>
        <w:rPr>
          <w:rFonts w:hint="eastAsia" w:hAnsi="宋体" w:eastAsia="宋体" w:cs="宋体"/>
          <w:b/>
          <w:bCs/>
          <w:color w:val="000000" w:themeColor="text1"/>
          <w:highlight w:val="none"/>
          <w:lang w:val="en-US" w:eastAsia="zh-CN"/>
          <w14:textFill>
            <w14:solidFill>
              <w14:schemeClr w14:val="tx1"/>
            </w14:solidFill>
          </w14:textFill>
        </w:rPr>
        <w:t>一</w:t>
      </w:r>
      <w:r>
        <w:rPr>
          <w:rFonts w:hint="eastAsia" w:ascii="宋体" w:hAnsi="宋体" w:eastAsia="宋体" w:cs="宋体"/>
          <w:b/>
          <w:bCs/>
          <w:color w:val="000000" w:themeColor="text1"/>
          <w:highlight w:val="none"/>
          <w:lang w:val="en-US" w:eastAsia="zh-CN"/>
          <w14:textFill>
            <w14:solidFill>
              <w14:schemeClr w14:val="tx1"/>
            </w14:solidFill>
          </w14:textFill>
        </w:rPr>
        <w:t>条要求提供资格证明文件及人员证件和社保，并附详细名单</w:t>
      </w:r>
      <w:r>
        <w:rPr>
          <w:rFonts w:hint="eastAsia" w:ascii="宋体" w:hAnsi="宋体" w:eastAsia="宋体" w:cs="宋体"/>
          <w:b/>
          <w:bCs/>
          <w:color w:val="000000" w:themeColor="text1"/>
          <w:highlight w:val="none"/>
          <w14:textFill>
            <w14:solidFill>
              <w14:schemeClr w14:val="tx1"/>
            </w14:solidFill>
          </w14:textFill>
        </w:rPr>
        <w:t>）；</w:t>
      </w:r>
    </w:p>
    <w:p w14:paraId="4F10C251">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上有关材料须加盖投标人公章，否则视同投标无效。</w:t>
      </w:r>
    </w:p>
    <w:p w14:paraId="3B299952">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78" w:name="_Toc16948"/>
      <w:r>
        <w:rPr>
          <w:rFonts w:hint="eastAsia" w:ascii="宋体" w:hAnsi="宋体" w:eastAsia="宋体" w:cs="宋体"/>
          <w:b/>
          <w:bCs/>
          <w:color w:val="000000" w:themeColor="text1"/>
          <w:highlight w:val="none"/>
          <w14:textFill>
            <w14:solidFill>
              <w14:schemeClr w14:val="tx1"/>
            </w14:solidFill>
          </w14:textFill>
        </w:rPr>
        <w:t>15.</w:t>
      </w:r>
      <w:r>
        <w:rPr>
          <w:rFonts w:hint="eastAsia" w:hAnsi="宋体" w:eastAsia="宋体" w:cs="宋体"/>
          <w:b/>
          <w:bCs/>
          <w:color w:val="000000" w:themeColor="text1"/>
          <w:highlight w:val="none"/>
          <w:lang w:eastAsia="zh-CN"/>
          <w14:textFill>
            <w14:solidFill>
              <w14:schemeClr w14:val="tx1"/>
            </w14:solidFill>
          </w14:textFill>
        </w:rPr>
        <w:t>响应文件</w:t>
      </w:r>
      <w:r>
        <w:rPr>
          <w:rFonts w:hint="eastAsia" w:ascii="宋体" w:hAnsi="宋体" w:eastAsia="宋体" w:cs="宋体"/>
          <w:b/>
          <w:bCs/>
          <w:color w:val="000000" w:themeColor="text1"/>
          <w:highlight w:val="none"/>
          <w14:textFill>
            <w14:solidFill>
              <w14:schemeClr w14:val="tx1"/>
            </w14:solidFill>
          </w14:textFill>
        </w:rPr>
        <w:t>的</w:t>
      </w:r>
      <w:r>
        <w:rPr>
          <w:rFonts w:hint="eastAsia" w:ascii="宋体" w:hAnsi="宋体" w:eastAsia="宋体" w:cs="宋体"/>
          <w:b/>
          <w:color w:val="000000" w:themeColor="text1"/>
          <w:highlight w:val="none"/>
          <w14:textFill>
            <w14:solidFill>
              <w14:schemeClr w14:val="tx1"/>
            </w14:solidFill>
          </w14:textFill>
        </w:rPr>
        <w:t>编制要求</w:t>
      </w:r>
      <w:bookmarkEnd w:id="78"/>
    </w:p>
    <w:p w14:paraId="6EB50FC2">
      <w:pPr>
        <w:pStyle w:val="24"/>
        <w:shd w:val="clear" w:color="auto" w:fill="auto"/>
        <w:snapToGrid w:val="0"/>
        <w:spacing w:line="360" w:lineRule="exact"/>
        <w:ind w:firstLine="413" w:firstLineChars="196"/>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15.1投标人应按</w:t>
      </w:r>
      <w:r>
        <w:rPr>
          <w:rFonts w:hint="eastAsia" w:hAnsi="宋体" w:eastAsia="宋体" w:cs="宋体"/>
          <w:b/>
          <w:bCs/>
          <w:color w:val="000000" w:themeColor="text1"/>
          <w:highlight w:val="none"/>
          <w:lang w:eastAsia="zh-CN"/>
          <w14:textFill>
            <w14:solidFill>
              <w14:schemeClr w14:val="tx1"/>
            </w14:solidFill>
          </w14:textFill>
        </w:rPr>
        <w:t>谈判文件</w:t>
      </w:r>
      <w:r>
        <w:rPr>
          <w:rFonts w:hint="eastAsia" w:ascii="宋体" w:hAnsi="宋体" w:eastAsia="宋体" w:cs="宋体"/>
          <w:b/>
          <w:bCs/>
          <w:color w:val="000000" w:themeColor="text1"/>
          <w:highlight w:val="none"/>
          <w14:textFill>
            <w14:solidFill>
              <w14:schemeClr w14:val="tx1"/>
            </w14:solidFill>
          </w14:textFill>
        </w:rPr>
        <w:t>提供的投标函、投标报价表、技术规格偏离表等格式详细完整地填写各项内容，同时标明所提供的货物的名称、产地、生产厂家及数量等，否则，其投标将被拒绝。</w:t>
      </w:r>
    </w:p>
    <w:p w14:paraId="161E8961">
      <w:pPr>
        <w:pStyle w:val="24"/>
        <w:shd w:val="clear" w:color="auto" w:fill="auto"/>
        <w:snapToGrid w:val="0"/>
        <w:spacing w:line="360" w:lineRule="exact"/>
        <w:ind w:firstLine="413" w:firstLineChars="196"/>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15.2投标的项目有技术要求的，投标人均需提供完整的技术方案，且技术方案必须满足或高于原技术要求，否则，其投标将被拒绝。</w:t>
      </w:r>
    </w:p>
    <w:p w14:paraId="69B9B96A">
      <w:pPr>
        <w:pStyle w:val="24"/>
        <w:shd w:val="clear" w:color="auto" w:fill="auto"/>
        <w:snapToGrid w:val="0"/>
        <w:spacing w:line="360" w:lineRule="exact"/>
        <w:ind w:firstLine="413" w:firstLineChars="196"/>
        <w:rPr>
          <w:rFonts w:hint="eastAsia" w:ascii="宋体" w:hAnsi="宋体" w:eastAsia="宋体" w:cs="宋体"/>
          <w:b/>
          <w:bCs/>
          <w:color w:val="000000" w:themeColor="text1"/>
          <w:highlight w:val="none"/>
          <w:u w:val="single"/>
          <w14:textFill>
            <w14:solidFill>
              <w14:schemeClr w14:val="tx1"/>
            </w14:solidFill>
          </w14:textFill>
        </w:rPr>
      </w:pPr>
      <w:r>
        <w:rPr>
          <w:rFonts w:hint="eastAsia" w:ascii="宋体" w:hAnsi="宋体" w:eastAsia="宋体" w:cs="宋体"/>
          <w:b/>
          <w:bCs/>
          <w:color w:val="000000" w:themeColor="text1"/>
          <w:highlight w:val="none"/>
          <w:u w:val="single"/>
          <w14:textFill>
            <w14:solidFill>
              <w14:schemeClr w14:val="tx1"/>
            </w14:solidFill>
          </w14:textFill>
        </w:rPr>
        <w:t>15.3投标的货物必须相当于或者高于</w:t>
      </w:r>
      <w:r>
        <w:rPr>
          <w:rFonts w:hint="eastAsia" w:hAnsi="宋体" w:eastAsia="宋体" w:cs="宋体"/>
          <w:b/>
          <w:bCs/>
          <w:color w:val="000000" w:themeColor="text1"/>
          <w:highlight w:val="none"/>
          <w:u w:val="single"/>
          <w:lang w:eastAsia="zh-CN"/>
          <w14:textFill>
            <w14:solidFill>
              <w14:schemeClr w14:val="tx1"/>
            </w14:solidFill>
          </w14:textFill>
        </w:rPr>
        <w:t>响应文件</w:t>
      </w:r>
      <w:r>
        <w:rPr>
          <w:rFonts w:hint="eastAsia" w:ascii="宋体" w:hAnsi="宋体" w:eastAsia="宋体" w:cs="宋体"/>
          <w:b/>
          <w:bCs/>
          <w:color w:val="000000" w:themeColor="text1"/>
          <w:highlight w:val="none"/>
          <w:u w:val="single"/>
          <w14:textFill>
            <w14:solidFill>
              <w14:schemeClr w14:val="tx1"/>
            </w14:solidFill>
          </w14:textFill>
        </w:rPr>
        <w:t>公布的标注为实质性要求和条件的配置、技术要求和功能，否则，其投标将被拒绝。</w:t>
      </w:r>
    </w:p>
    <w:p w14:paraId="29C5B370">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（1）供应商应按照</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组成内容及项目招标需求和新疆政府采购云平台要求制作</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，不按</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和新疆政府采购云平台要求制作</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的将视情况处理（拒收等），由此产生的责任由供应商自行承担。</w:t>
      </w:r>
    </w:p>
    <w:p w14:paraId="7B0490B3">
      <w:pPr>
        <w:pStyle w:val="13"/>
        <w:shd w:val="clear" w:color="auto" w:fill="auto"/>
        <w:snapToGrid w:val="0"/>
        <w:spacing w:line="360" w:lineRule="auto"/>
        <w:ind w:firstLine="422" w:firstLineChars="200"/>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电子</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部分：供应商应根据“政采云供应商项目采购-电子招投标操作指南”及本</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规定的格式和顺序编制电子</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并进行关联定位。本文件《第五章  投标相关文件（格式）中有提供格式的，供应商应按照格式进行编制（格式中要求提供相关证明材料的还需后附相关证明材料），并按格式要求在指定位置根据要求进行签章，否则视为未提供；本文件《第六章</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格式》未提供格式的，请供应商自行拟定格式，并加盖单位公章，否则视为未提供。</w:t>
      </w:r>
    </w:p>
    <w:p w14:paraId="0E3292E6">
      <w:pPr>
        <w:pStyle w:val="13"/>
        <w:shd w:val="clear" w:color="auto" w:fill="auto"/>
        <w:snapToGrid w:val="0"/>
        <w:spacing w:line="360" w:lineRule="auto"/>
        <w:ind w:firstLine="422" w:firstLineChars="200"/>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备份电子</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：通过“政采云”平台电子投标工具制作</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所产生的备份文件。</w:t>
      </w:r>
    </w:p>
    <w:p w14:paraId="74EC6E1C">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（2）供应商应对所提供的全部资料的真实性、有效性承担法律责任，电子</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中所须加盖公章部分均采用CA签章。</w:t>
      </w:r>
    </w:p>
    <w:p w14:paraId="43851016">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（3）</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以及供应商与采购组织机构就有关投标事宜的所有来往函电，均应以中文汉语书写。除签字、盖章、专用名称等特殊情形外，以中文汉语以外的文字表述的</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视同未提供。</w:t>
      </w:r>
    </w:p>
    <w:p w14:paraId="56B61982">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（4）投标计量单位，</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已有明确规定的，使用</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规定的计量单位；</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没有规定的，应采用中华人民共和国法定计量单位（货币单位：人民币元）。</w:t>
      </w:r>
    </w:p>
    <w:p w14:paraId="6B7D5ED5">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（5）若供应商不按</w:t>
      </w:r>
      <w:r>
        <w:rPr>
          <w:rFonts w:hint="eastAsia" w:ascii="宋体" w:hAnsi="宋体" w:eastAsia="宋体" w:cs="宋体"/>
          <w:b/>
          <w:bCs/>
          <w:color w:val="000000" w:themeColor="text1"/>
          <w:kern w:val="2"/>
          <w:sz w:val="21"/>
          <w:highlight w:val="none"/>
          <w:lang w:eastAsia="zh-CN"/>
          <w14:textFill>
            <w14:solidFill>
              <w14:schemeClr w14:val="tx1"/>
            </w14:solidFill>
          </w14:textFill>
        </w:rPr>
        <w:t>谈判文件</w:t>
      </w:r>
      <w:r>
        <w:rPr>
          <w:rFonts w:hint="eastAsia" w:ascii="宋体" w:hAnsi="宋体" w:eastAsia="宋体" w:cs="宋体"/>
          <w:b/>
          <w:bCs/>
          <w:color w:val="000000" w:themeColor="text1"/>
          <w:kern w:val="2"/>
          <w:sz w:val="21"/>
          <w:highlight w:val="none"/>
          <w14:textFill>
            <w14:solidFill>
              <w14:schemeClr w14:val="tx1"/>
            </w14:solidFill>
          </w14:textFill>
        </w:rPr>
        <w:t>的要求提供资格审查材料，其风险由供应商自行承担。</w:t>
      </w:r>
    </w:p>
    <w:p w14:paraId="73A92E0C">
      <w:pPr>
        <w:pStyle w:val="13"/>
        <w:shd w:val="clear" w:color="auto" w:fill="auto"/>
        <w:snapToGrid w:val="0"/>
        <w:spacing w:line="360" w:lineRule="auto"/>
        <w:rPr>
          <w:rFonts w:hint="eastAsia" w:ascii="宋体" w:hAnsi="宋体" w:eastAsia="宋体" w:cs="宋体"/>
          <w:b/>
          <w:bCs/>
          <w:color w:val="000000" w:themeColor="text1"/>
          <w:kern w:val="2"/>
          <w:sz w:val="21"/>
          <w:highlight w:val="none"/>
          <w14:textFill>
            <w14:solidFill>
              <w14:schemeClr w14:val="tx1"/>
            </w14:solidFill>
          </w14:textFill>
        </w:rPr>
      </w:pPr>
      <w:r>
        <w:rPr>
          <w:rFonts w:hint="eastAsia" w:ascii="宋体" w:hAnsi="宋体" w:eastAsia="宋体" w:cs="宋体"/>
          <w:b/>
          <w:bCs/>
          <w:color w:val="000000" w:themeColor="text1"/>
          <w:kern w:val="2"/>
          <w:sz w:val="21"/>
          <w:highlight w:val="none"/>
          <w14:textFill>
            <w14:solidFill>
              <w14:schemeClr w14:val="tx1"/>
            </w14:solidFill>
          </w14:textFill>
        </w:rPr>
        <w:t>（6）与本次投标无关的内容请不要制作在内，确保</w:t>
      </w:r>
      <w:r>
        <w:rPr>
          <w:rFonts w:hint="eastAsia" w:ascii="宋体" w:hAnsi="宋体" w:eastAsia="宋体" w:cs="宋体"/>
          <w:b/>
          <w:bCs/>
          <w:color w:val="000000" w:themeColor="text1"/>
          <w:kern w:val="2"/>
          <w:sz w:val="21"/>
          <w:highlight w:val="none"/>
          <w:lang w:eastAsia="zh-CN"/>
          <w14:textFill>
            <w14:solidFill>
              <w14:schemeClr w14:val="tx1"/>
            </w14:solidFill>
          </w14:textFill>
        </w:rPr>
        <w:t>响应文件</w:t>
      </w:r>
      <w:r>
        <w:rPr>
          <w:rFonts w:hint="eastAsia" w:ascii="宋体" w:hAnsi="宋体" w:eastAsia="宋体" w:cs="宋体"/>
          <w:b/>
          <w:bCs/>
          <w:color w:val="000000" w:themeColor="text1"/>
          <w:kern w:val="2"/>
          <w:sz w:val="21"/>
          <w:highlight w:val="none"/>
          <w14:textFill>
            <w14:solidFill>
              <w14:schemeClr w14:val="tx1"/>
            </w14:solidFill>
          </w14:textFill>
        </w:rPr>
        <w:t>有针对性、简洁明了。</w:t>
      </w:r>
    </w:p>
    <w:p w14:paraId="48BD000E">
      <w:pPr>
        <w:pStyle w:val="13"/>
        <w:shd w:val="clear" w:color="auto" w:fill="auto"/>
        <w:snapToGrid w:val="0"/>
        <w:spacing w:line="360" w:lineRule="auto"/>
        <w:outlineLvl w:val="1"/>
        <w:rPr>
          <w:rFonts w:hint="eastAsia" w:ascii="宋体" w:hAnsi="宋体" w:eastAsia="宋体" w:cs="宋体"/>
          <w:b/>
          <w:color w:val="000000" w:themeColor="text1"/>
          <w:highlight w:val="none"/>
          <w14:textFill>
            <w14:solidFill>
              <w14:schemeClr w14:val="tx1"/>
            </w14:solidFill>
          </w14:textFill>
        </w:rPr>
      </w:pPr>
      <w:bookmarkStart w:id="79" w:name="_Toc4247"/>
      <w:r>
        <w:rPr>
          <w:rFonts w:hint="eastAsia" w:ascii="宋体" w:hAnsi="宋体" w:eastAsia="宋体" w:cs="宋体"/>
          <w:b/>
          <w:color w:val="000000" w:themeColor="text1"/>
          <w:highlight w:val="none"/>
          <w14:textFill>
            <w14:solidFill>
              <w14:schemeClr w14:val="tx1"/>
            </w14:solidFill>
          </w14:textFill>
        </w:rPr>
        <w:t>16.投标报价</w:t>
      </w:r>
      <w:bookmarkEnd w:id="79"/>
    </w:p>
    <w:p w14:paraId="20F5EE5C">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16.1投标人应在表上标明单价和总价。如单价和总价不符，以单价累计为准，小写与大写不符的，以大写为准。如果投标人不接受对其错误的更正，其投标将被拒绝。</w:t>
      </w:r>
    </w:p>
    <w:p w14:paraId="6C17896B">
      <w:pPr>
        <w:pStyle w:val="24"/>
        <w:shd w:val="clear" w:color="auto" w:fill="auto"/>
        <w:snapToGrid w:val="0"/>
        <w:spacing w:line="360" w:lineRule="exact"/>
        <w:ind w:firstLine="413" w:firstLineChars="196"/>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16.2投标报价：</w:t>
      </w:r>
      <w:r>
        <w:rPr>
          <w:rFonts w:hint="eastAsia" w:ascii="宋体" w:hAnsi="宋体" w:eastAsia="宋体" w:cs="宋体"/>
          <w:b/>
          <w:bCs/>
          <w:color w:val="000000" w:themeColor="text1"/>
          <w:szCs w:val="21"/>
          <w:highlight w:val="none"/>
          <w14:textFill>
            <w14:solidFill>
              <w14:schemeClr w14:val="tx1"/>
            </w14:solidFill>
          </w14:textFill>
        </w:rPr>
        <w:t>投标人必须就《投标货物需求一览表》中所有货物和服务内容分别作完整唯一报价，否则，其报价将被拒绝。</w:t>
      </w:r>
    </w:p>
    <w:p w14:paraId="2E1C3AE1">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16.3投标报价指货物、随配附件、备品备件、工具、运抵指定交货地点、验收的各种费用和税金及其他所有成本费用的总和。</w:t>
      </w:r>
    </w:p>
    <w:p w14:paraId="34845E95">
      <w:pPr>
        <w:pStyle w:val="24"/>
        <w:shd w:val="clear" w:color="auto" w:fill="auto"/>
        <w:snapToGrid w:val="0"/>
        <w:spacing w:line="360" w:lineRule="exact"/>
        <w:outlineLvl w:val="1"/>
        <w:rPr>
          <w:rFonts w:hint="eastAsia" w:ascii="宋体" w:hAnsi="宋体" w:eastAsia="宋体" w:cs="宋体"/>
          <w:color w:val="000000" w:themeColor="text1"/>
          <w:highlight w:val="none"/>
          <w14:textFill>
            <w14:solidFill>
              <w14:schemeClr w14:val="tx1"/>
            </w14:solidFill>
          </w14:textFill>
        </w:rPr>
      </w:pPr>
      <w:bookmarkStart w:id="80" w:name="_Toc27485"/>
      <w:r>
        <w:rPr>
          <w:rFonts w:hint="eastAsia" w:ascii="宋体" w:hAnsi="宋体" w:eastAsia="宋体" w:cs="宋体"/>
          <w:b/>
          <w:color w:val="000000" w:themeColor="text1"/>
          <w:highlight w:val="none"/>
          <w14:textFill>
            <w14:solidFill>
              <w14:schemeClr w14:val="tx1"/>
            </w14:solidFill>
          </w14:textFill>
        </w:rPr>
        <w:t>17. 投标货币</w:t>
      </w:r>
      <w:bookmarkEnd w:id="80"/>
    </w:p>
    <w:p w14:paraId="1E68C4A3">
      <w:pPr>
        <w:pStyle w:val="24"/>
        <w:shd w:val="clear" w:color="auto" w:fill="auto"/>
        <w:snapToGrid w:val="0"/>
        <w:spacing w:line="360" w:lineRule="exact"/>
        <w:ind w:firstLine="420" w:firstLineChars="200"/>
        <w:outlineLvl w:val="2"/>
        <w:rPr>
          <w:rFonts w:hint="eastAsia" w:ascii="宋体" w:hAnsi="宋体" w:eastAsia="宋体" w:cs="宋体"/>
          <w:color w:val="000000" w:themeColor="text1"/>
          <w:highlight w:val="none"/>
          <w14:textFill>
            <w14:solidFill>
              <w14:schemeClr w14:val="tx1"/>
            </w14:solidFill>
          </w14:textFill>
        </w:rPr>
      </w:pPr>
      <w:bookmarkStart w:id="81" w:name="_Toc9385"/>
      <w:r>
        <w:rPr>
          <w:rFonts w:hint="eastAsia" w:ascii="宋体" w:hAnsi="宋体" w:eastAsia="宋体" w:cs="宋体"/>
          <w:color w:val="000000" w:themeColor="text1"/>
          <w:highlight w:val="none"/>
          <w14:textFill>
            <w14:solidFill>
              <w14:schemeClr w14:val="tx1"/>
            </w14:solidFill>
          </w14:textFill>
        </w:rPr>
        <w:t>17.1投标应以人民币报价。</w:t>
      </w:r>
      <w:bookmarkEnd w:id="81"/>
    </w:p>
    <w:p w14:paraId="3336B2CE">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82" w:name="_Toc2455"/>
      <w:r>
        <w:rPr>
          <w:rFonts w:hint="eastAsia" w:ascii="宋体" w:hAnsi="宋体" w:eastAsia="宋体" w:cs="宋体"/>
          <w:b/>
          <w:color w:val="000000" w:themeColor="text1"/>
          <w:highlight w:val="none"/>
          <w14:textFill>
            <w14:solidFill>
              <w14:schemeClr w14:val="tx1"/>
            </w14:solidFill>
          </w14:textFill>
        </w:rPr>
        <w:t>18. 资格证明文件</w:t>
      </w:r>
      <w:bookmarkEnd w:id="82"/>
    </w:p>
    <w:p w14:paraId="15D8F62C">
      <w:pPr>
        <w:pStyle w:val="24"/>
        <w:shd w:val="clear" w:color="auto" w:fill="auto"/>
        <w:snapToGrid w:val="0"/>
        <w:spacing w:line="360" w:lineRule="exact"/>
        <w:ind w:firstLine="420" w:firstLineChars="20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b w:val="0"/>
          <w:bCs/>
          <w:color w:val="000000" w:themeColor="text1"/>
          <w:highlight w:val="none"/>
          <w14:textFill>
            <w14:solidFill>
              <w14:schemeClr w14:val="tx1"/>
            </w14:solidFill>
          </w14:textFill>
        </w:rPr>
        <w:t>18.1下述资格证明文件必须提交审查，如</w:t>
      </w:r>
      <w:r>
        <w:rPr>
          <w:rFonts w:hint="eastAsia" w:hAnsi="宋体" w:eastAsia="宋体" w:cs="宋体"/>
          <w:b w:val="0"/>
          <w:bCs/>
          <w:color w:val="000000" w:themeColor="text1"/>
          <w:highlight w:val="none"/>
          <w:lang w:eastAsia="zh-CN"/>
          <w14:textFill>
            <w14:solidFill>
              <w14:schemeClr w14:val="tx1"/>
            </w14:solidFill>
          </w14:textFill>
        </w:rPr>
        <w:t>响应文件</w:t>
      </w:r>
      <w:r>
        <w:rPr>
          <w:rFonts w:hint="eastAsia" w:ascii="宋体" w:hAnsi="宋体" w:eastAsia="宋体" w:cs="宋体"/>
          <w:b w:val="0"/>
          <w:bCs/>
          <w:color w:val="000000" w:themeColor="text1"/>
          <w:highlight w:val="none"/>
          <w14:textFill>
            <w14:solidFill>
              <w14:schemeClr w14:val="tx1"/>
            </w14:solidFill>
          </w14:textFill>
        </w:rPr>
        <w:t xml:space="preserve">内提供的材料不完备，将被当作资格审查不合格： </w:t>
      </w:r>
    </w:p>
    <w:p w14:paraId="325623AE">
      <w:pPr>
        <w:shd w:val="clear" w:color="auto" w:fill="auto"/>
        <w:spacing w:line="360" w:lineRule="exact"/>
        <w:ind w:firstLine="420" w:firstLineChars="200"/>
        <w:rPr>
          <w:rFonts w:hint="eastAsia" w:ascii="宋体" w:hAnsi="宋体" w:eastAsia="宋体" w:cs="宋体"/>
          <w:b w:val="0"/>
          <w:bCs/>
          <w:color w:val="000000" w:themeColor="text1"/>
          <w:szCs w:val="20"/>
          <w:highlight w:val="none"/>
          <w14:textFill>
            <w14:solidFill>
              <w14:schemeClr w14:val="tx1"/>
            </w14:solidFill>
          </w14:textFill>
        </w:rPr>
      </w:pPr>
      <w:r>
        <w:rPr>
          <w:rFonts w:hint="eastAsia" w:ascii="宋体" w:hAnsi="宋体" w:eastAsia="宋体" w:cs="宋体"/>
          <w:b w:val="0"/>
          <w:bCs/>
          <w:color w:val="000000" w:themeColor="text1"/>
          <w:szCs w:val="20"/>
          <w:highlight w:val="none"/>
          <w14:textFill>
            <w14:solidFill>
              <w14:schemeClr w14:val="tx1"/>
            </w14:solidFill>
          </w14:textFill>
        </w:rPr>
        <w:t>1.满足《中华人民共和国政府采购法》第二十二条规定；</w:t>
      </w:r>
    </w:p>
    <w:p w14:paraId="117B6D36">
      <w:pPr>
        <w:shd w:val="clear" w:color="auto" w:fill="auto"/>
        <w:spacing w:line="360" w:lineRule="exact"/>
        <w:ind w:firstLine="420" w:firstLineChars="200"/>
        <w:rPr>
          <w:rFonts w:hint="eastAsia" w:ascii="宋体" w:hAnsi="宋体" w:eastAsia="宋体" w:cs="宋体"/>
          <w:b w:val="0"/>
          <w:bCs/>
          <w:color w:val="000000" w:themeColor="text1"/>
          <w:szCs w:val="20"/>
          <w:highlight w:val="none"/>
          <w14:textFill>
            <w14:solidFill>
              <w14:schemeClr w14:val="tx1"/>
            </w14:solidFill>
          </w14:textFill>
        </w:rPr>
      </w:pPr>
      <w:r>
        <w:rPr>
          <w:rFonts w:hint="eastAsia" w:ascii="宋体" w:hAnsi="宋体" w:eastAsia="宋体" w:cs="宋体"/>
          <w:b w:val="0"/>
          <w:bCs/>
          <w:color w:val="000000" w:themeColor="text1"/>
          <w:szCs w:val="20"/>
          <w:highlight w:val="none"/>
          <w:lang w:val="en-US" w:eastAsia="zh-CN"/>
          <w14:textFill>
            <w14:solidFill>
              <w14:schemeClr w14:val="tx1"/>
            </w14:solidFill>
          </w14:textFill>
        </w:rPr>
        <w:t>2</w:t>
      </w:r>
      <w:r>
        <w:rPr>
          <w:rFonts w:hint="eastAsia" w:ascii="宋体" w:hAnsi="宋体" w:eastAsia="宋体" w:cs="宋体"/>
          <w:b w:val="0"/>
          <w:bCs/>
          <w:color w:val="000000" w:themeColor="text1"/>
          <w:szCs w:val="20"/>
          <w:highlight w:val="none"/>
          <w14:textFill>
            <w14:solidFill>
              <w14:schemeClr w14:val="tx1"/>
            </w14:solidFill>
          </w14:textFill>
        </w:rPr>
        <w:t>.本项目的特定资格要求：</w:t>
      </w:r>
    </w:p>
    <w:p w14:paraId="768512DA">
      <w:pPr>
        <w:pStyle w:val="24"/>
        <w:shd w:val="clear" w:color="auto" w:fill="auto"/>
        <w:snapToGrid w:val="0"/>
        <w:spacing w:line="360" w:lineRule="exact"/>
        <w:ind w:firstLine="420" w:firstLineChars="200"/>
        <w:outlineLvl w:val="2"/>
        <w:rPr>
          <w:rFonts w:hint="eastAsia" w:ascii="宋体" w:hAnsi="宋体" w:eastAsia="宋体" w:cs="宋体"/>
          <w:color w:val="000000" w:themeColor="text1"/>
          <w:highlight w:val="none"/>
          <w:lang w:val="en-US" w:eastAsia="zh-CN"/>
          <w14:textFill>
            <w14:solidFill>
              <w14:schemeClr w14:val="tx1"/>
            </w14:solidFill>
          </w14:textFill>
        </w:rPr>
      </w:pPr>
      <w:bookmarkStart w:id="83" w:name="_Toc8010"/>
      <w:r>
        <w:rPr>
          <w:rFonts w:hint="eastAsia" w:ascii="宋体" w:hAnsi="宋体" w:eastAsia="宋体" w:cs="宋体"/>
          <w:color w:val="000000" w:themeColor="text1"/>
          <w:highlight w:val="none"/>
          <w:lang w:val="en-US" w:eastAsia="zh-CN"/>
          <w14:textFill>
            <w14:solidFill>
              <w14:schemeClr w14:val="tx1"/>
            </w14:solidFill>
          </w14:textFill>
        </w:rPr>
        <w:t>1).具备三证合一营业执照；</w:t>
      </w:r>
      <w:bookmarkEnd w:id="83"/>
    </w:p>
    <w:p w14:paraId="4D51C374">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2).法定代表人投标需提供法定代表人资格证明书，委托代理人投标需提供法定代表人授权委托书；</w:t>
      </w:r>
    </w:p>
    <w:p w14:paraId="0E3AF8F6">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3).投标企业须提供投标人（被授权本单位在职人员）近 6 个月内任意 1 个月社保证明；</w:t>
      </w:r>
    </w:p>
    <w:p w14:paraId="0A3E179E">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4).未被“信用中国”（www.creditchina.gov.cn）、中国政府采购网（www.ccgp.gov.cn）列入失信被执行人、重大税收违法案件当事人名单、政府采购严重违法失信行为记录名单；</w:t>
      </w:r>
    </w:p>
    <w:p w14:paraId="6231A1D4">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5).投标人具有有效的《二类医疗器械生产许可证》或《二类医疗器械经营许可证》。</w:t>
      </w:r>
    </w:p>
    <w:p w14:paraId="453BD962">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8F1B87F">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18.2如投标人为联合体，则联合体应分别按要求提供资格文件原件（关于对联合体的要求遵循《中华人民共和国政府采购法》的有关条款），同时提供联合体协议书并注明牵头人，联合体协议书必须提供原件；并遵循以下规定：</w:t>
      </w:r>
    </w:p>
    <w:p w14:paraId="232A36F5">
      <w:pPr>
        <w:widowControl/>
        <w:shd w:val="clear" w:color="auto" w:fill="auto"/>
        <w:snapToGrid w:val="0"/>
        <w:spacing w:line="360" w:lineRule="exact"/>
        <w:ind w:firstLine="420" w:firstLineChars="200"/>
        <w:jc w:val="left"/>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（1）两个以上供应商可以组成一个投标联合体，以一个投标人的身份投标。</w:t>
      </w:r>
    </w:p>
    <w:p w14:paraId="2CFEF7C6">
      <w:pPr>
        <w:widowControl/>
        <w:shd w:val="clear" w:color="auto" w:fill="auto"/>
        <w:snapToGrid w:val="0"/>
        <w:spacing w:line="360" w:lineRule="exact"/>
        <w:ind w:firstLine="420" w:firstLineChars="200"/>
        <w:jc w:val="left"/>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（2）以联合体形式参加投标的，联合体各方均应当符合“具有独立承担民事责任的能力”的条件。本项目有特殊要求规定投标人特定条件的，联合体各方中至少应当有一方符合</w:t>
      </w:r>
      <w:r>
        <w:rPr>
          <w:rFonts w:hint="eastAsia" w:ascii="宋体" w:hAnsi="宋体" w:eastAsia="宋体" w:cs="宋体"/>
          <w:color w:val="000000" w:themeColor="text1"/>
          <w:szCs w:val="20"/>
          <w:highlight w:val="none"/>
          <w:lang w:eastAsia="zh-CN"/>
          <w14:textFill>
            <w14:solidFill>
              <w14:schemeClr w14:val="tx1"/>
            </w14:solidFill>
          </w14:textFill>
        </w:rPr>
        <w:t>谈判文件</w:t>
      </w:r>
      <w:r>
        <w:rPr>
          <w:rFonts w:hint="eastAsia" w:ascii="宋体" w:hAnsi="宋体" w:eastAsia="宋体" w:cs="宋体"/>
          <w:color w:val="000000" w:themeColor="text1"/>
          <w:szCs w:val="20"/>
          <w:highlight w:val="none"/>
          <w14:textFill>
            <w14:solidFill>
              <w14:schemeClr w14:val="tx1"/>
            </w14:solidFill>
          </w14:textFill>
        </w:rPr>
        <w:t>规定的特定条件。</w:t>
      </w:r>
    </w:p>
    <w:p w14:paraId="4737A064">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（3）联合体各方之间应当签订共同投标协议，明确约定联合体各方承担的工作和相应的责任，并将共同投标协议原件连同</w:t>
      </w:r>
      <w:r>
        <w:rPr>
          <w:rFonts w:hint="eastAsia"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一并提交。联合体各方签订共同投标协议后，不得再以自己名义单独在同一项目中投标，也不得组成新的联合体参加同一项目投标。</w:t>
      </w:r>
    </w:p>
    <w:p w14:paraId="31B7E1B4">
      <w:pPr>
        <w:pStyle w:val="24"/>
        <w:shd w:val="clear" w:color="auto" w:fill="auto"/>
        <w:snapToGrid w:val="0"/>
        <w:spacing w:line="360" w:lineRule="exact"/>
        <w:ind w:firstLine="42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（4）联合体投标的，可以由联合体中的一方或者共同提交投标保证金，以一方名义提交投标保证金的，对联合体各方均有约束力。</w:t>
      </w:r>
    </w:p>
    <w:p w14:paraId="1F66492F">
      <w:pPr>
        <w:shd w:val="clear" w:color="auto" w:fill="auto"/>
        <w:snapToGrid w:val="0"/>
        <w:spacing w:line="360" w:lineRule="exact"/>
        <w:ind w:firstLine="525" w:firstLineChars="25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0"/>
          <w:highlight w:val="none"/>
          <w14:textFill>
            <w14:solidFill>
              <w14:schemeClr w14:val="tx1"/>
            </w14:solidFill>
          </w14:textFill>
        </w:rPr>
        <w:t>8.3 投标人的证明文件可以是（</w:t>
      </w:r>
      <w:r>
        <w:rPr>
          <w:rFonts w:hint="eastAsia" w:ascii="宋体" w:hAnsi="宋体" w:eastAsia="宋体" w:cs="宋体"/>
          <w:color w:val="000000" w:themeColor="text1"/>
          <w:highlight w:val="none"/>
          <w14:textFill>
            <w14:solidFill>
              <w14:schemeClr w14:val="tx1"/>
            </w14:solidFill>
          </w14:textFill>
        </w:rPr>
        <w:t>若《投标货物需求一览表》要求提供的，必须提供）（如有）</w:t>
      </w:r>
      <w:r>
        <w:rPr>
          <w:rFonts w:hint="eastAsia" w:ascii="宋体" w:hAnsi="宋体" w:eastAsia="宋体" w:cs="宋体"/>
          <w:color w:val="000000" w:themeColor="text1"/>
          <w:szCs w:val="20"/>
          <w:highlight w:val="none"/>
          <w14:textFill>
            <w14:solidFill>
              <w14:schemeClr w14:val="tx1"/>
            </w14:solidFill>
          </w14:textFill>
        </w:rPr>
        <w:t>：</w:t>
      </w:r>
    </w:p>
    <w:p w14:paraId="0750BEA9">
      <w:pPr>
        <w:shd w:val="clear" w:color="auto" w:fill="auto"/>
        <w:snapToGrid w:val="0"/>
        <w:spacing w:line="360" w:lineRule="exact"/>
        <w:ind w:firstLine="525" w:firstLineChars="25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生产厂家的有关资格和生产许可证、产品强制标准认证证书、产品质量检验证复印件并加盖公章（</w:t>
      </w:r>
      <w:r>
        <w:rPr>
          <w:rFonts w:hint="eastAsia" w:ascii="宋体" w:hAnsi="宋体" w:eastAsia="宋体" w:cs="宋体"/>
          <w:color w:val="000000" w:themeColor="text1"/>
          <w:szCs w:val="20"/>
          <w:highlight w:val="none"/>
          <w14:textFill>
            <w14:solidFill>
              <w14:schemeClr w14:val="tx1"/>
            </w14:solidFill>
          </w14:textFill>
        </w:rPr>
        <w:t>凡国家实行生产或经营许可证制度的和强制标准认证的产品，投标人必须提供生产厂家相关许可证或相关认证复印件并加盖公章）。</w:t>
      </w:r>
    </w:p>
    <w:p w14:paraId="0A25D524">
      <w:pPr>
        <w:shd w:val="clear" w:color="auto" w:fill="auto"/>
        <w:snapToGrid w:val="0"/>
        <w:spacing w:line="360" w:lineRule="exact"/>
        <w:ind w:firstLine="525" w:firstLineChars="25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（2）投标人相关获奖证书、认证证书等。</w:t>
      </w:r>
    </w:p>
    <w:p w14:paraId="31E6CF10">
      <w:pPr>
        <w:shd w:val="clear" w:color="auto" w:fill="auto"/>
        <w:snapToGrid w:val="0"/>
        <w:spacing w:line="360" w:lineRule="exact"/>
        <w:ind w:firstLine="525" w:firstLineChars="25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（3）投标人认为必要提供的声明及文件资料。</w:t>
      </w:r>
    </w:p>
    <w:p w14:paraId="3348DE33">
      <w:pPr>
        <w:shd w:val="clear" w:color="auto" w:fill="auto"/>
        <w:snapToGrid w:val="0"/>
        <w:spacing w:line="360" w:lineRule="exact"/>
        <w:ind w:firstLine="420" w:firstLineChars="20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18.4证明货物的合格性和符合</w:t>
      </w:r>
      <w:r>
        <w:rPr>
          <w:rFonts w:hint="eastAsia" w:ascii="宋体" w:hAnsi="宋体" w:eastAsia="宋体" w:cs="宋体"/>
          <w:color w:val="000000" w:themeColor="text1"/>
          <w:szCs w:val="20"/>
          <w:highlight w:val="none"/>
          <w:lang w:eastAsia="zh-CN"/>
          <w14:textFill>
            <w14:solidFill>
              <w14:schemeClr w14:val="tx1"/>
            </w14:solidFill>
          </w14:textFill>
        </w:rPr>
        <w:t>谈判文件</w:t>
      </w:r>
      <w:r>
        <w:rPr>
          <w:rFonts w:hint="eastAsia" w:ascii="宋体" w:hAnsi="宋体" w:eastAsia="宋体" w:cs="宋体"/>
          <w:color w:val="000000" w:themeColor="text1"/>
          <w:szCs w:val="20"/>
          <w:highlight w:val="none"/>
          <w14:textFill>
            <w14:solidFill>
              <w14:schemeClr w14:val="tx1"/>
            </w14:solidFill>
          </w14:textFill>
        </w:rPr>
        <w:t>规定的证明文件可以是（</w:t>
      </w:r>
      <w:r>
        <w:rPr>
          <w:rFonts w:hint="eastAsia" w:ascii="宋体" w:hAnsi="宋体" w:eastAsia="宋体" w:cs="宋体"/>
          <w:color w:val="000000" w:themeColor="text1"/>
          <w:highlight w:val="none"/>
          <w14:textFill>
            <w14:solidFill>
              <w14:schemeClr w14:val="tx1"/>
            </w14:solidFill>
          </w14:textFill>
        </w:rPr>
        <w:t>若《投标货物需求一览表》中要求提供的，则必须提供）</w:t>
      </w:r>
      <w:r>
        <w:rPr>
          <w:rFonts w:hint="eastAsia" w:ascii="宋体" w:hAnsi="宋体" w:eastAsia="宋体" w:cs="宋体"/>
          <w:color w:val="000000" w:themeColor="text1"/>
          <w:szCs w:val="20"/>
          <w:highlight w:val="none"/>
          <w14:textFill>
            <w14:solidFill>
              <w14:schemeClr w14:val="tx1"/>
            </w14:solidFill>
          </w14:textFill>
        </w:rPr>
        <w:t>：</w:t>
      </w:r>
    </w:p>
    <w:p w14:paraId="6A1F85AD">
      <w:pPr>
        <w:shd w:val="clear" w:color="auto" w:fill="auto"/>
        <w:snapToGrid w:val="0"/>
        <w:spacing w:line="360" w:lineRule="exact"/>
        <w:ind w:firstLine="420" w:firstLineChars="20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（1）产品样本、使用说明书、图纸等技术资料及产品质量获奖证书（复印件）。</w:t>
      </w:r>
    </w:p>
    <w:p w14:paraId="10CD6FB2">
      <w:pPr>
        <w:shd w:val="clear" w:color="auto" w:fill="auto"/>
        <w:snapToGrid w:val="0"/>
        <w:spacing w:line="360" w:lineRule="exact"/>
        <w:ind w:firstLine="420" w:firstLineChars="200"/>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（2）产品保证供货有效证明</w:t>
      </w:r>
      <w:r>
        <w:rPr>
          <w:rFonts w:hint="eastAsia" w:ascii="宋体" w:hAnsi="宋体" w:eastAsia="宋体" w:cs="宋体"/>
          <w:color w:val="000000" w:themeColor="text1"/>
          <w:highlight w:val="none"/>
          <w14:textFill>
            <w14:solidFill>
              <w14:schemeClr w14:val="tx1"/>
            </w14:solidFill>
          </w14:textFill>
        </w:rPr>
        <w:t>（指由投标货物生产厂家针对本项目出具的保证按</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承诺的时间、数量、价格供应货物的证明）</w:t>
      </w:r>
      <w:r>
        <w:rPr>
          <w:rFonts w:hint="eastAsia" w:ascii="宋体" w:hAnsi="宋体" w:eastAsia="宋体" w:cs="宋体"/>
          <w:color w:val="000000" w:themeColor="text1"/>
          <w:szCs w:val="20"/>
          <w:highlight w:val="none"/>
          <w14:textFill>
            <w14:solidFill>
              <w14:schemeClr w14:val="tx1"/>
            </w14:solidFill>
          </w14:textFill>
        </w:rPr>
        <w:t>。</w:t>
      </w:r>
    </w:p>
    <w:p w14:paraId="259813BE">
      <w:pPr>
        <w:pStyle w:val="24"/>
        <w:shd w:val="clear" w:color="auto" w:fill="auto"/>
        <w:snapToGrid w:val="0"/>
        <w:spacing w:line="360" w:lineRule="exact"/>
        <w:ind w:firstLine="420" w:firstLineChars="200"/>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（3）产品销售授权书或代理证书（若有，请提供原件）。</w:t>
      </w:r>
    </w:p>
    <w:p w14:paraId="1B8087C3">
      <w:pPr>
        <w:shd w:val="clear" w:color="auto" w:fill="auto"/>
        <w:snapToGrid w:val="0"/>
        <w:spacing w:line="360" w:lineRule="exact"/>
        <w:ind w:firstLine="525" w:firstLineChars="249"/>
        <w:outlineLvl w:val="9"/>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以上第18条要求提供的所有证明文件应真实有效，否则投标无效。</w:t>
      </w:r>
    </w:p>
    <w:p w14:paraId="3D02660F">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84" w:name="_Toc27626"/>
      <w:r>
        <w:rPr>
          <w:rFonts w:hint="eastAsia" w:ascii="宋体" w:hAnsi="宋体" w:eastAsia="宋体" w:cs="宋体"/>
          <w:b/>
          <w:color w:val="000000" w:themeColor="text1"/>
          <w:highlight w:val="none"/>
          <w14:textFill>
            <w14:solidFill>
              <w14:schemeClr w14:val="tx1"/>
            </w14:solidFill>
          </w14:textFill>
        </w:rPr>
        <w:t>19.投标的有效期</w:t>
      </w:r>
      <w:bookmarkEnd w:id="84"/>
    </w:p>
    <w:p w14:paraId="13210401">
      <w:pPr>
        <w:shd w:val="clear" w:color="auto" w:fill="auto"/>
        <w:snapToGrid w:val="0"/>
        <w:spacing w:line="360" w:lineRule="exact"/>
        <w:ind w:firstLine="420" w:firstLineChars="200"/>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r>
        <w:rPr>
          <w:rFonts w:hint="eastAsia" w:ascii="宋体" w:hAnsi="宋体" w:eastAsia="宋体" w:cs="宋体"/>
          <w:color w:val="000000" w:themeColor="text1"/>
          <w:szCs w:val="21"/>
          <w:highlight w:val="none"/>
          <w:lang w:eastAsia="zh-CN"/>
          <w14:textFill>
            <w14:solidFill>
              <w14:schemeClr w14:val="tx1"/>
            </w14:solidFill>
          </w14:textFill>
        </w:rPr>
        <w:t>响应</w:t>
      </w:r>
      <w:r>
        <w:rPr>
          <w:rFonts w:hint="eastAsia" w:ascii="宋体" w:hAnsi="宋体" w:eastAsia="宋体" w:cs="宋体"/>
          <w:color w:val="000000" w:themeColor="text1"/>
          <w:szCs w:val="21"/>
          <w:highlight w:val="none"/>
          <w14:textFill>
            <w14:solidFill>
              <w14:schemeClr w14:val="tx1"/>
            </w14:solidFill>
          </w14:textFill>
        </w:rPr>
        <w:t>文件从投标截止之日起，投标有效期60天；当采购代理机构认为有必要时，有权向投标人提出延长投标有效期，但延长时间不得超过30天，并及时以书面形式或传真方式通知所有投标人。</w:t>
      </w:r>
    </w:p>
    <w:p w14:paraId="58C961FF">
      <w:pPr>
        <w:pStyle w:val="24"/>
        <w:shd w:val="clear" w:color="auto" w:fill="auto"/>
        <w:snapToGrid w:val="0"/>
        <w:spacing w:line="3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19.2</w:t>
      </w:r>
      <w:r>
        <w:rPr>
          <w:rFonts w:hint="eastAsia" w:ascii="宋体" w:hAnsi="宋体" w:eastAsia="宋体" w:cs="宋体"/>
          <w:color w:val="000000" w:themeColor="text1"/>
          <w:highlight w:val="none"/>
          <w14:textFill>
            <w14:solidFill>
              <w14:schemeClr w14:val="tx1"/>
            </w14:solidFill>
          </w14:textFill>
        </w:rPr>
        <w:t>在投标有效期内，不能要求对原</w:t>
      </w:r>
      <w:r>
        <w:rPr>
          <w:rFonts w:hint="eastAsia" w:ascii="宋体" w:hAnsi="宋体" w:eastAsia="宋体" w:cs="宋体"/>
          <w:color w:val="000000" w:themeColor="text1"/>
          <w:szCs w:val="21"/>
          <w:highlight w:val="none"/>
          <w:lang w:eastAsia="zh-CN"/>
          <w14:textFill>
            <w14:solidFill>
              <w14:schemeClr w14:val="tx1"/>
            </w14:solidFill>
          </w14:textFill>
        </w:rPr>
        <w:t>响应</w:t>
      </w:r>
      <w:r>
        <w:rPr>
          <w:rFonts w:hint="eastAsia" w:ascii="宋体" w:hAnsi="宋体" w:eastAsia="宋体" w:cs="宋体"/>
          <w:color w:val="000000" w:themeColor="text1"/>
          <w:highlight w:val="none"/>
          <w14:textFill>
            <w14:solidFill>
              <w14:schemeClr w14:val="tx1"/>
            </w14:solidFill>
          </w14:textFill>
        </w:rPr>
        <w:t>文件（经谈判小组确认有效且没有超出</w:t>
      </w:r>
      <w:r>
        <w:rPr>
          <w:rFonts w:hint="eastAsia" w:hAnsi="宋体" w:eastAsia="宋体" w:cs="宋体"/>
          <w:color w:val="000000" w:themeColor="text1"/>
          <w:highlight w:val="none"/>
          <w:lang w:eastAsia="zh-CN"/>
          <w14:textFill>
            <w14:solidFill>
              <w14:schemeClr w14:val="tx1"/>
            </w14:solidFill>
          </w14:textFill>
        </w:rPr>
        <w:t>谈判文件</w:t>
      </w:r>
      <w:r>
        <w:rPr>
          <w:rFonts w:hint="eastAsia" w:ascii="宋体" w:hAnsi="宋体" w:eastAsia="宋体" w:cs="宋体"/>
          <w:color w:val="000000" w:themeColor="text1"/>
          <w:highlight w:val="none"/>
          <w14:textFill>
            <w14:solidFill>
              <w14:schemeClr w14:val="tx1"/>
            </w14:solidFill>
          </w14:textFill>
        </w:rPr>
        <w:t>的范围或改变采购的实质内容的澄清或说明作为</w:t>
      </w:r>
      <w:r>
        <w:rPr>
          <w:rFonts w:hint="eastAsia" w:ascii="宋体" w:hAnsi="宋体" w:eastAsia="宋体" w:cs="宋体"/>
          <w:color w:val="000000" w:themeColor="text1"/>
          <w:szCs w:val="21"/>
          <w:highlight w:val="none"/>
          <w:lang w:eastAsia="zh-CN"/>
          <w14:textFill>
            <w14:solidFill>
              <w14:schemeClr w14:val="tx1"/>
            </w14:solidFill>
          </w14:textFill>
        </w:rPr>
        <w:t>响应</w:t>
      </w:r>
      <w:r>
        <w:rPr>
          <w:rFonts w:hint="eastAsia" w:ascii="宋体" w:hAnsi="宋体" w:eastAsia="宋体" w:cs="宋体"/>
          <w:color w:val="000000" w:themeColor="text1"/>
          <w:highlight w:val="none"/>
          <w14:textFill>
            <w14:solidFill>
              <w14:schemeClr w14:val="tx1"/>
            </w14:solidFill>
          </w14:textFill>
        </w:rPr>
        <w:t>文件的组成部分）作任何改变，</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后不得拖延或拒签合同。</w:t>
      </w:r>
    </w:p>
    <w:p w14:paraId="716C11FC">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85" w:name="_Toc2896"/>
      <w:r>
        <w:rPr>
          <w:rFonts w:hint="eastAsia" w:ascii="宋体" w:hAnsi="宋体" w:eastAsia="宋体" w:cs="宋体"/>
          <w:b/>
          <w:color w:val="000000" w:themeColor="text1"/>
          <w:highlight w:val="none"/>
          <w14:textFill>
            <w14:solidFill>
              <w14:schemeClr w14:val="tx1"/>
            </w14:solidFill>
          </w14:textFill>
        </w:rPr>
        <w:t>20.</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的形式</w:t>
      </w:r>
      <w:bookmarkEnd w:id="85"/>
    </w:p>
    <w:p w14:paraId="5685BA09">
      <w:pPr>
        <w:pStyle w:val="24"/>
        <w:shd w:val="clear" w:color="auto" w:fill="auto"/>
        <w:snapToGrid w:val="0"/>
        <w:spacing w:line="290" w:lineRule="exact"/>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电子</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包括“电子加密</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”和“备份</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”，在</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编制完成后同时生成。</w:t>
      </w:r>
    </w:p>
    <w:p w14:paraId="6A4D9C92">
      <w:pPr>
        <w:pStyle w:val="24"/>
        <w:shd w:val="clear" w:color="auto" w:fill="auto"/>
        <w:snapToGrid w:val="0"/>
        <w:spacing w:line="290" w:lineRule="exact"/>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1、“电子加密</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”是指通过“政采云电子交易客户端”完成</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编制后生成并加密的数据电文形式的</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w:t>
      </w:r>
    </w:p>
    <w:p w14:paraId="0B8D9B2B">
      <w:pPr>
        <w:pStyle w:val="25"/>
        <w:shd w:val="clear" w:color="auto" w:fill="auto"/>
        <w:ind w:left="0" w:leftChars="0" w:firstLine="422" w:firstLineChars="200"/>
        <w:jc w:val="left"/>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2、“备份</w:t>
      </w: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”是指与“电子加密</w:t>
      </w: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”同时生成的数据电文形式的电子文件（备份标书，用于供应商标书解密异常时应急使用），其他方式编制的备份</w:t>
      </w: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视为无效备份</w:t>
      </w: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w:t>
      </w:r>
    </w:p>
    <w:p w14:paraId="4EE1B4C7">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86" w:name="_Toc20990"/>
      <w:r>
        <w:rPr>
          <w:rFonts w:hint="eastAsia" w:ascii="宋体" w:hAnsi="宋体" w:eastAsia="宋体" w:cs="宋体"/>
          <w:b/>
          <w:color w:val="000000" w:themeColor="text1"/>
          <w:highlight w:val="none"/>
          <w14:textFill>
            <w14:solidFill>
              <w14:schemeClr w14:val="tx1"/>
            </w14:solidFill>
          </w14:textFill>
        </w:rPr>
        <w:t>21.</w:t>
      </w:r>
      <w:r>
        <w:rPr>
          <w:rFonts w:hint="eastAsia" w:hAnsi="宋体" w:eastAsia="宋体" w:cs="宋体"/>
          <w:b/>
          <w:color w:val="000000" w:themeColor="text1"/>
          <w:highlight w:val="none"/>
          <w:lang w:eastAsia="zh-CN"/>
          <w14:textFill>
            <w14:solidFill>
              <w14:schemeClr w14:val="tx1"/>
            </w14:solidFill>
          </w14:textFill>
        </w:rPr>
        <w:t>响应</w:t>
      </w:r>
      <w:r>
        <w:rPr>
          <w:rFonts w:hint="eastAsia" w:ascii="宋体" w:hAnsi="宋体" w:eastAsia="宋体" w:cs="宋体"/>
          <w:b/>
          <w:color w:val="000000" w:themeColor="text1"/>
          <w:highlight w:val="none"/>
          <w14:textFill>
            <w14:solidFill>
              <w14:schemeClr w14:val="tx1"/>
            </w14:solidFill>
          </w14:textFill>
        </w:rPr>
        <w:t>文件份数及要求</w:t>
      </w:r>
      <w:bookmarkEnd w:id="86"/>
    </w:p>
    <w:p w14:paraId="406CB195">
      <w:pPr>
        <w:pStyle w:val="24"/>
        <w:shd w:val="clear" w:color="auto" w:fill="auto"/>
        <w:snapToGrid w:val="0"/>
        <w:spacing w:line="290" w:lineRule="exact"/>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21.1</w:t>
      </w:r>
      <w:r>
        <w:rPr>
          <w:rFonts w:hint="eastAsia" w:ascii="宋体" w:hAnsi="宋体" w:eastAsia="宋体" w:cs="宋体"/>
          <w:b/>
          <w:bCs/>
          <w:color w:val="000000" w:themeColor="text1"/>
          <w:szCs w:val="21"/>
          <w:highlight w:val="none"/>
          <w14:textFill>
            <w14:solidFill>
              <w14:schemeClr w14:val="tx1"/>
            </w14:solidFill>
          </w14:textFill>
        </w:rPr>
        <w:t>、一份电子加密</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（“.jmbs”格式），一份备份标书文件（“.bfbs”格式）。</w:t>
      </w:r>
    </w:p>
    <w:p w14:paraId="240DBB34">
      <w:pPr>
        <w:pStyle w:val="24"/>
        <w:shd w:val="clear" w:color="auto" w:fill="auto"/>
        <w:snapToGrid w:val="0"/>
        <w:spacing w:line="290" w:lineRule="exact"/>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21.2、每份电子</w:t>
      </w:r>
      <w:r>
        <w:rPr>
          <w:rFonts w:hint="eastAsia"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应包括资格证明文件和商务及技术文件两部分。</w:t>
      </w:r>
    </w:p>
    <w:p w14:paraId="048A5FC9">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87" w:name="_Toc12612"/>
      <w:r>
        <w:rPr>
          <w:rFonts w:hint="eastAsia" w:ascii="宋体" w:hAnsi="宋体" w:eastAsia="宋体" w:cs="宋体"/>
          <w:b/>
          <w:color w:val="000000" w:themeColor="text1"/>
          <w:highlight w:val="none"/>
          <w14:textFill>
            <w14:solidFill>
              <w14:schemeClr w14:val="tx1"/>
            </w14:solidFill>
          </w14:textFill>
        </w:rPr>
        <w:t>22.投标保证金</w:t>
      </w:r>
      <w:bookmarkEnd w:id="87"/>
    </w:p>
    <w:p w14:paraId="5D5B0BB6">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22.1按投标须知前附表要求缴纳。</w:t>
      </w:r>
    </w:p>
    <w:p w14:paraId="2A2E210A">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22.2请务必一次性足额缴纳。</w:t>
      </w:r>
    </w:p>
    <w:p w14:paraId="496FA893">
      <w:pPr>
        <w:pStyle w:val="24"/>
        <w:shd w:val="clear" w:color="auto" w:fill="auto"/>
        <w:snapToGrid w:val="0"/>
        <w:spacing w:line="360" w:lineRule="exact"/>
        <w:ind w:firstLine="42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22.3对未提交投标保证金(足额) 的</w:t>
      </w:r>
      <w:r>
        <w:rPr>
          <w:rFonts w:hint="eastAsia" w:hAnsi="宋体" w:eastAsia="宋体" w:cs="宋体"/>
          <w:b/>
          <w:bCs/>
          <w:color w:val="000000" w:themeColor="text1"/>
          <w:highlight w:val="none"/>
          <w:lang w:eastAsia="zh-CN"/>
          <w14:textFill>
            <w14:solidFill>
              <w14:schemeClr w14:val="tx1"/>
            </w14:solidFill>
          </w14:textFill>
        </w:rPr>
        <w:t>响应文件</w:t>
      </w:r>
      <w:r>
        <w:rPr>
          <w:rFonts w:hint="eastAsia" w:ascii="宋体" w:hAnsi="宋体" w:eastAsia="宋体" w:cs="宋体"/>
          <w:b/>
          <w:bCs/>
          <w:color w:val="000000" w:themeColor="text1"/>
          <w:highlight w:val="none"/>
          <w14:textFill>
            <w14:solidFill>
              <w14:schemeClr w14:val="tx1"/>
            </w14:solidFill>
          </w14:textFill>
        </w:rPr>
        <w:t>由谈判小组现场核定该投标无效。若投标人被列入成交候选供应商名单，则取消其成交候选资格。</w:t>
      </w:r>
    </w:p>
    <w:p w14:paraId="42EA18E1">
      <w:pPr>
        <w:shd w:val="clear" w:color="auto" w:fill="auto"/>
        <w:snapToGrid w:val="0"/>
        <w:spacing w:line="360" w:lineRule="exact"/>
        <w:ind w:firstLine="422" w:firstLineChars="200"/>
        <w:outlineLvl w:val="2"/>
        <w:rPr>
          <w:rFonts w:hint="eastAsia" w:ascii="宋体" w:hAnsi="宋体" w:eastAsia="宋体" w:cs="宋体"/>
          <w:b/>
          <w:bCs/>
          <w:color w:val="000000" w:themeColor="text1"/>
          <w:szCs w:val="21"/>
          <w:highlight w:val="none"/>
          <w14:textFill>
            <w14:solidFill>
              <w14:schemeClr w14:val="tx1"/>
            </w14:solidFill>
          </w14:textFill>
        </w:rPr>
      </w:pPr>
      <w:bookmarkStart w:id="88" w:name="_Toc21423"/>
      <w:r>
        <w:rPr>
          <w:rFonts w:hint="eastAsia" w:ascii="宋体" w:hAnsi="宋体" w:eastAsia="宋体" w:cs="宋体"/>
          <w:b/>
          <w:bCs/>
          <w:color w:val="000000" w:themeColor="text1"/>
          <w:szCs w:val="21"/>
          <w:highlight w:val="none"/>
          <w14:textFill>
            <w14:solidFill>
              <w14:schemeClr w14:val="tx1"/>
            </w14:solidFill>
          </w14:textFill>
        </w:rPr>
        <w:t>22.4如发生下列任何事件，投标保证金将被没收：</w:t>
      </w:r>
      <w:bookmarkEnd w:id="88"/>
    </w:p>
    <w:p w14:paraId="4F653D27">
      <w:pPr>
        <w:shd w:val="clear" w:color="auto" w:fill="auto"/>
        <w:snapToGrid w:val="0"/>
        <w:spacing w:line="360" w:lineRule="exact"/>
        <w:ind w:firstLine="527" w:firstLineChars="250"/>
        <w:outlineLvl w:val="9"/>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(1)投标人在投标有效期内撤回其</w:t>
      </w: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w:t>
      </w:r>
    </w:p>
    <w:p w14:paraId="51564B8B">
      <w:pPr>
        <w:pStyle w:val="24"/>
        <w:shd w:val="clear" w:color="auto" w:fill="auto"/>
        <w:snapToGrid w:val="0"/>
        <w:spacing w:line="360" w:lineRule="exact"/>
        <w:ind w:firstLine="527" w:firstLineChars="25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(2)成交供应商在规定的期限内：</w:t>
      </w:r>
    </w:p>
    <w:p w14:paraId="78940DDD">
      <w:pPr>
        <w:pStyle w:val="24"/>
        <w:shd w:val="clear" w:color="auto" w:fill="auto"/>
        <w:snapToGrid w:val="0"/>
        <w:spacing w:line="360" w:lineRule="exact"/>
        <w:ind w:firstLine="632" w:firstLineChars="3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①未根据本须知规定签订合同；</w:t>
      </w:r>
    </w:p>
    <w:p w14:paraId="2D54C9A6">
      <w:pPr>
        <w:pStyle w:val="24"/>
        <w:shd w:val="clear" w:color="auto" w:fill="auto"/>
        <w:snapToGrid w:val="0"/>
        <w:spacing w:line="360" w:lineRule="exact"/>
        <w:ind w:firstLine="632" w:firstLineChars="300"/>
        <w:rPr>
          <w:rFonts w:hint="eastAsia"/>
          <w:color w:val="000000" w:themeColor="text1"/>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②未根据本须知规定提交履约保证金。</w:t>
      </w:r>
    </w:p>
    <w:p w14:paraId="5F8990E7">
      <w:pPr>
        <w:widowControl/>
        <w:shd w:val="clear" w:color="auto" w:fill="auto"/>
        <w:spacing w:line="440" w:lineRule="exact"/>
        <w:ind w:firstLine="480"/>
        <w:outlineLvl w:val="1"/>
        <w:rPr>
          <w:rFonts w:hint="eastAsia" w:ascii="宋体" w:hAnsi="宋体" w:eastAsia="宋体" w:cs="宋体"/>
          <w:b/>
          <w:bCs/>
          <w:color w:val="000000" w:themeColor="text1"/>
          <w:szCs w:val="21"/>
          <w:highlight w:val="none"/>
          <w14:textFill>
            <w14:solidFill>
              <w14:schemeClr w14:val="tx1"/>
            </w14:solidFill>
          </w14:textFill>
        </w:rPr>
      </w:pPr>
      <w:bookmarkStart w:id="89" w:name="_Toc23846"/>
      <w:r>
        <w:rPr>
          <w:rFonts w:hint="eastAsia" w:ascii="宋体" w:hAnsi="宋体" w:eastAsia="宋体" w:cs="宋体"/>
          <w:b/>
          <w:bCs/>
          <w:color w:val="000000" w:themeColor="text1"/>
          <w:szCs w:val="21"/>
          <w:highlight w:val="none"/>
          <w14:textFill>
            <w14:solidFill>
              <w14:schemeClr w14:val="tx1"/>
            </w14:solidFill>
          </w14:textFill>
        </w:rPr>
        <w:t>23、报价范围：</w:t>
      </w:r>
      <w:bookmarkEnd w:id="89"/>
    </w:p>
    <w:p w14:paraId="11E301D3">
      <w:pPr>
        <w:widowControl/>
        <w:shd w:val="clear" w:color="auto" w:fill="auto"/>
        <w:spacing w:line="440" w:lineRule="exact"/>
        <w:ind w:firstLine="48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项目报价采用人民币综合报价，投标供应商应严格按照“开标一览表”和“分项报价明细表”的格式认真填写。</w:t>
      </w:r>
    </w:p>
    <w:p w14:paraId="0049432D">
      <w:pPr>
        <w:widowControl/>
        <w:shd w:val="clear" w:color="auto" w:fill="auto"/>
        <w:spacing w:line="440" w:lineRule="exact"/>
        <w:ind w:firstLine="480"/>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报价应包括：货物本身价格、保险费用、包装费、运输费用、二次搬运费、损耗、技术指导、税金费用、随产品备品备件费、专用工具费、随产品资料费、技术服务费、技术考察费、培训费、安装费、调试费、自检费及验收合格前和质保期内发生的一切费用、应当提供的伴随服务/售后服务费用。</w:t>
      </w:r>
      <w:bookmarkStart w:id="90" w:name="_Toc15590"/>
      <w:bookmarkStart w:id="91" w:name="_Toc12501"/>
    </w:p>
    <w:p w14:paraId="10135AA4">
      <w:pPr>
        <w:pStyle w:val="3"/>
        <w:bidi w:val="0"/>
        <w:rPr>
          <w:rFonts w:hint="eastAsia"/>
          <w:color w:val="000000" w:themeColor="text1"/>
          <w14:textFill>
            <w14:solidFill>
              <w14:schemeClr w14:val="tx1"/>
            </w14:solidFill>
          </w14:textFill>
        </w:rPr>
      </w:pPr>
      <w:bookmarkStart w:id="92" w:name="_Toc6730"/>
      <w:r>
        <w:rPr>
          <w:rFonts w:hint="eastAsia"/>
          <w:color w:val="000000" w:themeColor="text1"/>
          <w14:textFill>
            <w14:solidFill>
              <w14:schemeClr w14:val="tx1"/>
            </w14:solidFill>
          </w14:textFill>
        </w:rPr>
        <w:t>四</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响应</w:t>
      </w:r>
      <w:r>
        <w:rPr>
          <w:rFonts w:hint="eastAsia"/>
          <w:color w:val="000000" w:themeColor="text1"/>
          <w14:textFill>
            <w14:solidFill>
              <w14:schemeClr w14:val="tx1"/>
            </w14:solidFill>
          </w14:textFill>
        </w:rPr>
        <w:t>文件的上传和递交</w:t>
      </w:r>
      <w:bookmarkEnd w:id="90"/>
      <w:bookmarkEnd w:id="91"/>
      <w:bookmarkEnd w:id="92"/>
    </w:p>
    <w:p w14:paraId="15CDB5DC">
      <w:pPr>
        <w:pStyle w:val="24"/>
        <w:shd w:val="clear" w:color="auto" w:fill="auto"/>
        <w:snapToGrid w:val="0"/>
        <w:spacing w:line="360" w:lineRule="exact"/>
        <w:outlineLvl w:val="1"/>
        <w:rPr>
          <w:rFonts w:hint="eastAsia" w:ascii="宋体" w:hAnsi="宋体" w:eastAsia="宋体" w:cs="宋体"/>
          <w:b/>
          <w:color w:val="000000" w:themeColor="text1"/>
          <w:highlight w:val="none"/>
          <w14:textFill>
            <w14:solidFill>
              <w14:schemeClr w14:val="tx1"/>
            </w14:solidFill>
          </w14:textFill>
        </w:rPr>
      </w:pPr>
      <w:bookmarkStart w:id="93" w:name="_Toc4911"/>
      <w:r>
        <w:rPr>
          <w:rFonts w:hint="eastAsia" w:ascii="宋体" w:hAnsi="宋体" w:eastAsia="宋体" w:cs="宋体"/>
          <w:b/>
          <w:color w:val="000000" w:themeColor="text1"/>
          <w:highlight w:val="none"/>
          <w14:textFill>
            <w14:solidFill>
              <w14:schemeClr w14:val="tx1"/>
            </w14:solidFill>
          </w14:textFill>
        </w:rPr>
        <w:t>24.</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的上传和递交</w:t>
      </w:r>
      <w:bookmarkEnd w:id="93"/>
    </w:p>
    <w:p w14:paraId="2561842F">
      <w:pPr>
        <w:pStyle w:val="24"/>
        <w:shd w:val="clear" w:color="auto" w:fill="auto"/>
        <w:snapToGrid w:val="0"/>
        <w:spacing w:line="340" w:lineRule="exact"/>
        <w:ind w:firstLine="420" w:firstLineChars="200"/>
        <w:rPr>
          <w:rFonts w:hint="eastAsia" w:ascii="宋体" w:hAnsi="宋体" w:eastAsia="宋体" w:cs="宋体"/>
          <w:b/>
          <w:bCs/>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24.1.</w:t>
      </w:r>
      <w:r>
        <w:rPr>
          <w:rFonts w:hint="eastAsia" w:ascii="宋体" w:hAnsi="宋体" w:eastAsia="宋体" w:cs="宋体"/>
          <w:b/>
          <w:bCs/>
          <w:color w:val="000000" w:themeColor="text1"/>
          <w:szCs w:val="21"/>
          <w:highlight w:val="none"/>
          <w:lang w:bidi="zh-CN"/>
          <w14:textFill>
            <w14:solidFill>
              <w14:schemeClr w14:val="tx1"/>
            </w14:solidFill>
          </w14:textFill>
        </w:rPr>
        <w:t>电子加密</w:t>
      </w:r>
      <w:r>
        <w:rPr>
          <w:rFonts w:hint="eastAsia" w:hAnsi="宋体" w:eastAsia="宋体" w:cs="宋体"/>
          <w:b/>
          <w:bCs/>
          <w:color w:val="000000" w:themeColor="text1"/>
          <w:szCs w:val="21"/>
          <w:highlight w:val="none"/>
          <w:lang w:bidi="zh-CN"/>
          <w14:textFill>
            <w14:solidFill>
              <w14:schemeClr w14:val="tx1"/>
            </w14:solidFill>
          </w14:textFill>
        </w:rPr>
        <w:t>响应文件</w:t>
      </w:r>
      <w:r>
        <w:rPr>
          <w:rFonts w:hint="eastAsia" w:ascii="宋体" w:hAnsi="宋体" w:eastAsia="宋体" w:cs="宋体"/>
          <w:b/>
          <w:bCs/>
          <w:color w:val="000000" w:themeColor="text1"/>
          <w:szCs w:val="21"/>
          <w:highlight w:val="none"/>
          <w:lang w:bidi="zh-CN"/>
          <w14:textFill>
            <w14:solidFill>
              <w14:schemeClr w14:val="tx1"/>
            </w14:solidFill>
          </w14:textFill>
        </w:rPr>
        <w:t>（“.jmbs”格式）</w:t>
      </w:r>
      <w:r>
        <w:rPr>
          <w:rFonts w:hint="eastAsia" w:ascii="宋体" w:hAnsi="宋体" w:eastAsia="宋体" w:cs="宋体"/>
          <w:color w:val="000000" w:themeColor="text1"/>
          <w:szCs w:val="21"/>
          <w:highlight w:val="none"/>
          <w14:textFill>
            <w14:solidFill>
              <w14:schemeClr w14:val="tx1"/>
            </w14:solidFill>
          </w14:textFill>
        </w:rPr>
        <w:t>，</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制作完成并生成加密标书，在投标截止时间前，供应商需将加密的</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上传至政采云平台，</w:t>
      </w:r>
      <w:r>
        <w:rPr>
          <w:rFonts w:hint="eastAsia" w:ascii="宋体" w:hAnsi="宋体" w:eastAsia="宋体" w:cs="宋体"/>
          <w:b/>
          <w:bCs/>
          <w:color w:val="000000" w:themeColor="text1"/>
          <w:szCs w:val="21"/>
          <w:highlight w:val="none"/>
          <w:u w:val="single"/>
          <w14:textFill>
            <w14:solidFill>
              <w14:schemeClr w14:val="tx1"/>
            </w14:solidFill>
          </w14:textFill>
        </w:rPr>
        <w:t>在开标时间开始后，待采购组织机构发出解密通知后30分钟内解密</w:t>
      </w:r>
      <w:r>
        <w:rPr>
          <w:rFonts w:hint="eastAsia" w:hAnsi="宋体" w:eastAsia="宋体" w:cs="宋体"/>
          <w:b/>
          <w:bCs/>
          <w:color w:val="000000" w:themeColor="text1"/>
          <w:szCs w:val="21"/>
          <w:highlight w:val="none"/>
          <w:u w:val="single"/>
          <w:lang w:eastAsia="zh-CN"/>
          <w14:textFill>
            <w14:solidFill>
              <w14:schemeClr w14:val="tx1"/>
            </w14:solidFill>
          </w14:textFill>
        </w:rPr>
        <w:t>响应文件</w:t>
      </w:r>
      <w:r>
        <w:rPr>
          <w:rFonts w:hint="eastAsia" w:ascii="宋体" w:hAnsi="宋体" w:eastAsia="宋体" w:cs="宋体"/>
          <w:b/>
          <w:bCs/>
          <w:color w:val="000000" w:themeColor="text1"/>
          <w:szCs w:val="21"/>
          <w:highlight w:val="none"/>
          <w:u w:val="single"/>
          <w14:textFill>
            <w14:solidFill>
              <w14:schemeClr w14:val="tx1"/>
            </w14:solidFill>
          </w14:textFill>
        </w:rPr>
        <w:t>。</w:t>
      </w:r>
    </w:p>
    <w:p w14:paraId="60D4FD92">
      <w:pPr>
        <w:pStyle w:val="24"/>
        <w:shd w:val="clear" w:color="auto" w:fill="auto"/>
        <w:snapToGrid w:val="0"/>
        <w:spacing w:line="34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a.供应商未能在投标截止时间前成功上传电子加密</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的投标无效。</w:t>
      </w:r>
    </w:p>
    <w:p w14:paraId="2DB046BF">
      <w:pPr>
        <w:pStyle w:val="25"/>
        <w:shd w:val="clear" w:color="auto" w:fill="auto"/>
        <w:spacing w:line="340" w:lineRule="exact"/>
        <w:ind w:left="0" w:leftChars="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b.供应商成功上传电子加密</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后，可自行打印</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接收回执。</w:t>
      </w:r>
    </w:p>
    <w:p w14:paraId="34135518">
      <w:pPr>
        <w:pStyle w:val="24"/>
        <w:shd w:val="clear" w:color="auto" w:fill="auto"/>
        <w:snapToGrid w:val="0"/>
        <w:spacing w:line="340" w:lineRule="exact"/>
        <w:ind w:firstLine="420" w:firstLineChars="200"/>
        <w:outlineLvl w:val="2"/>
        <w:rPr>
          <w:rFonts w:hint="eastAsia" w:ascii="宋体" w:hAnsi="宋体" w:eastAsia="宋体" w:cs="宋体"/>
          <w:b/>
          <w:bCs/>
          <w:color w:val="000000" w:themeColor="text1"/>
          <w:szCs w:val="21"/>
          <w:highlight w:val="none"/>
          <w:lang w:bidi="zh-CN"/>
          <w14:textFill>
            <w14:solidFill>
              <w14:schemeClr w14:val="tx1"/>
            </w14:solidFill>
          </w14:textFill>
        </w:rPr>
      </w:pPr>
      <w:bookmarkStart w:id="94" w:name="_Toc8383"/>
      <w:r>
        <w:rPr>
          <w:rFonts w:hint="eastAsia" w:ascii="宋体" w:hAnsi="宋体" w:eastAsia="宋体" w:cs="宋体"/>
          <w:color w:val="000000" w:themeColor="text1"/>
          <w:szCs w:val="21"/>
          <w:highlight w:val="none"/>
          <w14:textFill>
            <w14:solidFill>
              <w14:schemeClr w14:val="tx1"/>
            </w14:solidFill>
          </w14:textFill>
        </w:rPr>
        <w:t>24.2.</w:t>
      </w:r>
      <w:r>
        <w:rPr>
          <w:rFonts w:hint="eastAsia" w:ascii="宋体" w:hAnsi="宋体" w:eastAsia="宋体" w:cs="宋体"/>
          <w:b/>
          <w:bCs/>
          <w:color w:val="000000" w:themeColor="text1"/>
          <w:szCs w:val="21"/>
          <w:highlight w:val="none"/>
          <w:lang w:bidi="zh-CN"/>
          <w14:textFill>
            <w14:solidFill>
              <w14:schemeClr w14:val="tx1"/>
            </w14:solidFill>
          </w14:textFill>
        </w:rPr>
        <w:t>备份</w:t>
      </w:r>
      <w:r>
        <w:rPr>
          <w:rFonts w:hint="eastAsia" w:hAnsi="宋体" w:eastAsia="宋体" w:cs="宋体"/>
          <w:b/>
          <w:bCs/>
          <w:color w:val="000000" w:themeColor="text1"/>
          <w:szCs w:val="21"/>
          <w:highlight w:val="none"/>
          <w:lang w:bidi="zh-CN"/>
          <w14:textFill>
            <w14:solidFill>
              <w14:schemeClr w14:val="tx1"/>
            </w14:solidFill>
          </w14:textFill>
        </w:rPr>
        <w:t>响应文件</w:t>
      </w:r>
      <w:r>
        <w:rPr>
          <w:rFonts w:hint="eastAsia" w:ascii="宋体" w:hAnsi="宋体" w:eastAsia="宋体" w:cs="宋体"/>
          <w:b/>
          <w:bCs/>
          <w:color w:val="000000" w:themeColor="text1"/>
          <w:szCs w:val="21"/>
          <w:highlight w:val="none"/>
          <w:lang w:bidi="zh-CN"/>
          <w14:textFill>
            <w14:solidFill>
              <w14:schemeClr w14:val="tx1"/>
            </w14:solidFill>
          </w14:textFill>
        </w:rPr>
        <w:t>（“.bfbs”格式）：</w:t>
      </w:r>
      <w:bookmarkEnd w:id="94"/>
    </w:p>
    <w:p w14:paraId="59827F3B">
      <w:pPr>
        <w:pStyle w:val="24"/>
        <w:shd w:val="clear" w:color="auto" w:fill="auto"/>
        <w:snapToGrid w:val="0"/>
        <w:spacing w:line="340" w:lineRule="exact"/>
        <w:ind w:firstLine="420" w:firstLineChars="200"/>
        <w:rPr>
          <w:rFonts w:hint="eastAsia"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bCs/>
          <w:color w:val="000000" w:themeColor="text1"/>
          <w:szCs w:val="21"/>
          <w:highlight w:val="none"/>
          <w:lang w:bidi="zh-CN"/>
          <w14:textFill>
            <w14:solidFill>
              <w14:schemeClr w14:val="tx1"/>
            </w14:solidFill>
          </w14:textFill>
        </w:rPr>
        <w:t>a.供应商可以将备份</w:t>
      </w:r>
      <w:r>
        <w:rPr>
          <w:rFonts w:hint="eastAsia" w:hAnsi="宋体" w:eastAsia="宋体" w:cs="宋体"/>
          <w:bCs/>
          <w:color w:val="000000" w:themeColor="text1"/>
          <w:szCs w:val="21"/>
          <w:highlight w:val="none"/>
          <w:lang w:bidi="zh-CN"/>
          <w14:textFill>
            <w14:solidFill>
              <w14:schemeClr w14:val="tx1"/>
            </w14:solidFill>
          </w14:textFill>
        </w:rPr>
        <w:t>响应文件</w:t>
      </w:r>
      <w:r>
        <w:rPr>
          <w:rFonts w:hint="eastAsia" w:ascii="宋体" w:hAnsi="宋体" w:eastAsia="宋体" w:cs="宋体"/>
          <w:bCs/>
          <w:color w:val="000000" w:themeColor="text1"/>
          <w:szCs w:val="21"/>
          <w:highlight w:val="none"/>
          <w:lang w:bidi="zh-CN"/>
          <w14:textFill>
            <w14:solidFill>
              <w14:schemeClr w14:val="tx1"/>
            </w14:solidFill>
          </w14:textFill>
        </w:rPr>
        <w:t>打包压缩并加密，压缩包命名为“XX单位备份</w:t>
      </w:r>
      <w:r>
        <w:rPr>
          <w:rFonts w:hint="eastAsia" w:hAnsi="宋体" w:eastAsia="宋体" w:cs="宋体"/>
          <w:bCs/>
          <w:color w:val="000000" w:themeColor="text1"/>
          <w:szCs w:val="21"/>
          <w:highlight w:val="none"/>
          <w:lang w:bidi="zh-CN"/>
          <w14:textFill>
            <w14:solidFill>
              <w14:schemeClr w14:val="tx1"/>
            </w14:solidFill>
          </w14:textFill>
        </w:rPr>
        <w:t>响应文件</w:t>
      </w:r>
      <w:r>
        <w:rPr>
          <w:rFonts w:hint="eastAsia" w:ascii="宋体" w:hAnsi="宋体" w:eastAsia="宋体" w:cs="宋体"/>
          <w:bCs/>
          <w:color w:val="000000" w:themeColor="text1"/>
          <w:szCs w:val="21"/>
          <w:highlight w:val="none"/>
          <w:lang w:bidi="zh-CN"/>
          <w14:textFill>
            <w14:solidFill>
              <w14:schemeClr w14:val="tx1"/>
            </w14:solidFill>
          </w14:textFill>
        </w:rPr>
        <w:t>”，加密密码由供应商自行保管；送达时间以采购代理机构实际接收时间为准。</w:t>
      </w:r>
      <w:r>
        <w:rPr>
          <w:rFonts w:hint="eastAsia" w:ascii="宋体" w:hAnsi="宋体" w:eastAsia="宋体" w:cs="宋体"/>
          <w:color w:val="000000" w:themeColor="text1"/>
          <w:szCs w:val="21"/>
          <w:highlight w:val="none"/>
          <w:lang w:bidi="zh-CN"/>
          <w14:textFill>
            <w14:solidFill>
              <w14:schemeClr w14:val="tx1"/>
            </w14:solidFill>
          </w14:textFill>
        </w:rPr>
        <w:t>“备份</w:t>
      </w:r>
      <w:r>
        <w:rPr>
          <w:rFonts w:hint="eastAsia" w:hAnsi="宋体" w:eastAsia="宋体" w:cs="宋体"/>
          <w:color w:val="000000" w:themeColor="text1"/>
          <w:szCs w:val="21"/>
          <w:highlight w:val="none"/>
          <w:lang w:bidi="zh-CN"/>
          <w14:textFill>
            <w14:solidFill>
              <w14:schemeClr w14:val="tx1"/>
            </w14:solidFill>
          </w14:textFill>
        </w:rPr>
        <w:t>响应文件</w:t>
      </w:r>
      <w:r>
        <w:rPr>
          <w:rFonts w:hint="eastAsia" w:ascii="宋体" w:hAnsi="宋体" w:eastAsia="宋体" w:cs="宋体"/>
          <w:color w:val="000000" w:themeColor="text1"/>
          <w:szCs w:val="21"/>
          <w:highlight w:val="none"/>
          <w:lang w:bidi="zh-CN"/>
          <w14:textFill>
            <w14:solidFill>
              <w14:schemeClr w14:val="tx1"/>
            </w14:solidFill>
          </w14:textFill>
        </w:rPr>
        <w:t>”以投标截止时间前指定接收邮箱最终收到的文件为准，逾期或未按要求提供的视为未提供，建议供应商提前1日办理邮件提供事宜</w:t>
      </w:r>
      <w:r>
        <w:rPr>
          <w:rFonts w:hint="eastAsia" w:ascii="宋体" w:hAnsi="宋体" w:eastAsia="宋体" w:cs="宋体"/>
          <w:color w:val="000000" w:themeColor="text1"/>
          <w:szCs w:val="21"/>
          <w:highlight w:val="none"/>
          <w14:textFill>
            <w14:solidFill>
              <w14:schemeClr w14:val="tx1"/>
            </w14:solidFill>
          </w14:textFill>
        </w:rPr>
        <w:t>（接收人邮箱：</w:t>
      </w:r>
      <w:r>
        <w:rPr>
          <w:rFonts w:hint="eastAsia" w:hAnsi="宋体" w:eastAsia="宋体" w:cs="宋体"/>
          <w:color w:val="000000" w:themeColor="text1"/>
          <w:szCs w:val="21"/>
          <w:highlight w:val="none"/>
          <w:lang w:val="en-US" w:eastAsia="zh-CN"/>
          <w14:textFill>
            <w14:solidFill>
              <w14:schemeClr w14:val="tx1"/>
            </w14:solidFill>
          </w14:textFill>
        </w:rPr>
        <w:t>981638475@qq.com</w:t>
      </w:r>
      <w:r>
        <w:rPr>
          <w:rFonts w:hint="eastAsia" w:ascii="宋体" w:hAnsi="宋体" w:eastAsia="宋体" w:cs="宋体"/>
          <w:color w:val="000000" w:themeColor="text1"/>
          <w:szCs w:val="21"/>
          <w:highlight w:val="none"/>
          <w14:textFill>
            <w14:solidFill>
              <w14:schemeClr w14:val="tx1"/>
            </w14:solidFill>
          </w14:textFill>
        </w:rPr>
        <w:t>，接收人：</w:t>
      </w:r>
      <w:r>
        <w:rPr>
          <w:rFonts w:hint="eastAsia" w:hAnsi="宋体" w:eastAsia="宋体" w:cs="宋体"/>
          <w:color w:val="000000" w:themeColor="text1"/>
          <w:szCs w:val="21"/>
          <w:highlight w:val="none"/>
          <w:lang w:val="en-US" w:eastAsia="zh-CN"/>
          <w14:textFill>
            <w14:solidFill>
              <w14:schemeClr w14:val="tx1"/>
            </w14:solidFill>
          </w14:textFill>
        </w:rPr>
        <w:t>张女士</w:t>
      </w:r>
      <w:r>
        <w:rPr>
          <w:rFonts w:hint="eastAsia" w:ascii="宋体" w:hAnsi="宋体" w:eastAsia="宋体" w:cs="宋体"/>
          <w:color w:val="000000" w:themeColor="text1"/>
          <w:szCs w:val="21"/>
          <w:highlight w:val="none"/>
          <w14:textFill>
            <w14:solidFill>
              <w14:schemeClr w14:val="tx1"/>
            </w14:solidFill>
          </w14:textFill>
        </w:rPr>
        <w:t>，电话：</w:t>
      </w:r>
      <w:r>
        <w:rPr>
          <w:rFonts w:hint="eastAsia" w:hAnsi="宋体" w:eastAsia="宋体" w:cs="宋体"/>
          <w:color w:val="000000" w:themeColor="text1"/>
          <w:kern w:val="0"/>
          <w:szCs w:val="21"/>
          <w:highlight w:val="none"/>
          <w:lang w:val="en-US" w:eastAsia="zh-CN"/>
          <w14:textFill>
            <w14:solidFill>
              <w14:schemeClr w14:val="tx1"/>
            </w14:solidFill>
          </w14:textFill>
        </w:rPr>
        <w:t>13179869852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bidi="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“备份</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”由供应商自愿提供，</w:t>
      </w:r>
      <w:r>
        <w:rPr>
          <w:rFonts w:hint="eastAsia" w:hAnsi="宋体" w:eastAsia="宋体" w:cs="宋体"/>
          <w:color w:val="000000" w:themeColor="text1"/>
          <w:szCs w:val="21"/>
          <w:highlight w:val="none"/>
          <w:lang w:eastAsia="zh-CN"/>
          <w14:textFill>
            <w14:solidFill>
              <w14:schemeClr w14:val="tx1"/>
            </w14:solidFill>
          </w14:textFill>
        </w:rPr>
        <w:t>谈判文件</w:t>
      </w:r>
      <w:r>
        <w:rPr>
          <w:rFonts w:hint="eastAsia" w:ascii="宋体" w:hAnsi="宋体" w:eastAsia="宋体" w:cs="宋体"/>
          <w:color w:val="000000" w:themeColor="text1"/>
          <w:szCs w:val="21"/>
          <w:highlight w:val="none"/>
          <w14:textFill>
            <w14:solidFill>
              <w14:schemeClr w14:val="tx1"/>
            </w14:solidFill>
          </w14:textFill>
        </w:rPr>
        <w:t>不作强制性要求；如不提供或未按要求提供的，当电子</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无法解密时，将导致无备份</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而失去投标资格。</w:t>
      </w:r>
    </w:p>
    <w:p w14:paraId="431874FE">
      <w:pPr>
        <w:shd w:val="clear" w:color="auto" w:fill="auto"/>
        <w:spacing w:line="3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b.通过“政府采购云平台”成功上传递交的“电子加密</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”已按时解密的，“备份</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”自动失效。投标截止时间前，投标供应商仅提供了“备份</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”而未将“电子加密</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”成功上传至“政府采购云平台”的，投标无效。</w:t>
      </w:r>
    </w:p>
    <w:p w14:paraId="0C57BCD0">
      <w:pPr>
        <w:shd w:val="clear" w:color="auto" w:fill="auto"/>
        <w:snapToGrid w:val="0"/>
        <w:spacing w:line="360" w:lineRule="auto"/>
        <w:outlineLvl w:val="1"/>
        <w:rPr>
          <w:rFonts w:hint="eastAsia" w:ascii="宋体" w:hAnsi="宋体" w:eastAsia="宋体" w:cs="宋体"/>
          <w:b/>
          <w:color w:val="000000" w:themeColor="text1"/>
          <w:szCs w:val="21"/>
          <w:highlight w:val="none"/>
          <w14:textFill>
            <w14:solidFill>
              <w14:schemeClr w14:val="tx1"/>
            </w14:solidFill>
          </w14:textFill>
        </w:rPr>
      </w:pPr>
      <w:bookmarkStart w:id="95" w:name="_Toc13253"/>
      <w:r>
        <w:rPr>
          <w:rFonts w:hint="eastAsia" w:ascii="宋体" w:hAnsi="宋体" w:eastAsia="宋体" w:cs="宋体"/>
          <w:b/>
          <w:color w:val="000000" w:themeColor="text1"/>
          <w:szCs w:val="21"/>
          <w:highlight w:val="none"/>
          <w14:textFill>
            <w14:solidFill>
              <w14:schemeClr w14:val="tx1"/>
            </w14:solidFill>
          </w14:textFill>
        </w:rPr>
        <w:t>25.</w:t>
      </w:r>
      <w:r>
        <w:rPr>
          <w:rFonts w:hint="eastAsia" w:ascii="宋体" w:hAnsi="宋体" w:eastAsia="宋体" w:cs="宋体"/>
          <w:b/>
          <w:color w:val="000000" w:themeColor="text1"/>
          <w:szCs w:val="21"/>
          <w:highlight w:val="none"/>
          <w:lang w:eastAsia="zh-CN"/>
          <w14:textFill>
            <w14:solidFill>
              <w14:schemeClr w14:val="tx1"/>
            </w14:solidFill>
          </w14:textFill>
        </w:rPr>
        <w:t>响应文件</w:t>
      </w:r>
      <w:r>
        <w:rPr>
          <w:rFonts w:hint="eastAsia" w:ascii="宋体" w:hAnsi="宋体" w:eastAsia="宋体" w:cs="宋体"/>
          <w:b/>
          <w:color w:val="000000" w:themeColor="text1"/>
          <w:szCs w:val="21"/>
          <w:highlight w:val="none"/>
          <w14:textFill>
            <w14:solidFill>
              <w14:schemeClr w14:val="tx1"/>
            </w14:solidFill>
          </w14:textFill>
        </w:rPr>
        <w:t>的递交要求</w:t>
      </w:r>
      <w:bookmarkEnd w:id="95"/>
    </w:p>
    <w:p w14:paraId="136D0E0E">
      <w:pPr>
        <w:shd w:val="clear" w:color="auto" w:fill="auto"/>
        <w:snapToGrid w:val="0"/>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（1）供应商须按照</w:t>
      </w:r>
      <w:r>
        <w:rPr>
          <w:rFonts w:hint="eastAsia" w:ascii="宋体" w:hAnsi="宋体" w:eastAsia="宋体" w:cs="宋体"/>
          <w:color w:val="000000" w:themeColor="text1"/>
          <w:szCs w:val="21"/>
          <w:highlight w:val="none"/>
          <w:lang w:eastAsia="zh-CN"/>
          <w14:textFill>
            <w14:solidFill>
              <w14:schemeClr w14:val="tx1"/>
            </w14:solidFill>
          </w14:textFill>
        </w:rPr>
        <w:t>谈判文件</w:t>
      </w:r>
      <w:r>
        <w:rPr>
          <w:rFonts w:hint="eastAsia" w:ascii="宋体" w:hAnsi="宋体" w:eastAsia="宋体" w:cs="宋体"/>
          <w:color w:val="000000" w:themeColor="text1"/>
          <w:szCs w:val="21"/>
          <w:highlight w:val="none"/>
          <w14:textFill>
            <w14:solidFill>
              <w14:schemeClr w14:val="tx1"/>
            </w14:solidFill>
          </w14:textFill>
        </w:rPr>
        <w:t>和政采云平台的要求编制并加密</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。在</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递交截止时间以前完成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的传输递交，截止时间后递交的</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，将被拒收。</w:t>
      </w:r>
    </w:p>
    <w:p w14:paraId="50FDD70B">
      <w:pPr>
        <w:shd w:val="clear" w:color="auto" w:fill="auto"/>
        <w:tabs>
          <w:tab w:val="left" w:pos="1418"/>
        </w:tabs>
        <w:autoSpaceDE w:val="0"/>
        <w:autoSpaceDN w:val="0"/>
        <w:adjustRightInd w:val="0"/>
        <w:snapToGrid w:val="0"/>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（2）备份电子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必须在投标截止时间前送达指定的投标地点。备份电子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在截止时间后提交，采购组织机构将拒绝接收。</w:t>
      </w:r>
    </w:p>
    <w:p w14:paraId="0CBABF7E">
      <w:pPr>
        <w:shd w:val="clear" w:color="auto" w:fill="auto"/>
        <w:tabs>
          <w:tab w:val="left" w:pos="1418"/>
        </w:tabs>
        <w:autoSpaceDE w:val="0"/>
        <w:autoSpaceDN w:val="0"/>
        <w:adjustRightInd w:val="0"/>
        <w:snapToGrid w:val="0"/>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（3）如有特殊情况，采购组织机构延长截止时间和开标时间，采购组织机构和供应商的权利和义务将受到新的截止时间和开标时间的约束。</w:t>
      </w:r>
    </w:p>
    <w:p w14:paraId="3B2FE2EB">
      <w:pPr>
        <w:pStyle w:val="24"/>
        <w:shd w:val="clear" w:color="auto" w:fill="auto"/>
        <w:snapToGrid w:val="0"/>
        <w:spacing w:line="360" w:lineRule="exact"/>
        <w:outlineLvl w:val="1"/>
        <w:rPr>
          <w:rFonts w:hint="eastAsia" w:ascii="宋体" w:hAnsi="宋体" w:eastAsia="宋体" w:cs="宋体"/>
          <w:color w:val="000000" w:themeColor="text1"/>
          <w:highlight w:val="none"/>
          <w14:textFill>
            <w14:solidFill>
              <w14:schemeClr w14:val="tx1"/>
            </w14:solidFill>
          </w14:textFill>
        </w:rPr>
      </w:pPr>
      <w:bookmarkStart w:id="96" w:name="_Toc6724"/>
      <w:r>
        <w:rPr>
          <w:rFonts w:hint="eastAsia" w:ascii="宋体" w:hAnsi="宋体" w:eastAsia="宋体" w:cs="宋体"/>
          <w:b/>
          <w:color w:val="000000" w:themeColor="text1"/>
          <w:highlight w:val="none"/>
          <w14:textFill>
            <w14:solidFill>
              <w14:schemeClr w14:val="tx1"/>
            </w14:solidFill>
          </w14:textFill>
        </w:rPr>
        <w:t>26.</w:t>
      </w:r>
      <w:r>
        <w:rPr>
          <w:rFonts w:hint="eastAsia" w:hAnsi="宋体" w:eastAsia="宋体" w:cs="宋体"/>
          <w:b/>
          <w:color w:val="000000" w:themeColor="text1"/>
          <w:highlight w:val="none"/>
          <w:lang w:eastAsia="zh-CN"/>
          <w14:textFill>
            <w14:solidFill>
              <w14:schemeClr w14:val="tx1"/>
            </w14:solidFill>
          </w14:textFill>
        </w:rPr>
        <w:t>响应文件</w:t>
      </w:r>
      <w:r>
        <w:rPr>
          <w:rFonts w:hint="eastAsia" w:ascii="宋体" w:hAnsi="宋体" w:eastAsia="宋体" w:cs="宋体"/>
          <w:b/>
          <w:color w:val="000000" w:themeColor="text1"/>
          <w:highlight w:val="none"/>
          <w14:textFill>
            <w14:solidFill>
              <w14:schemeClr w14:val="tx1"/>
            </w14:solidFill>
          </w14:textFill>
        </w:rPr>
        <w:t>的修改及撤回</w:t>
      </w:r>
      <w:bookmarkEnd w:id="96"/>
    </w:p>
    <w:p w14:paraId="3A69A212">
      <w:pPr>
        <w:pStyle w:val="24"/>
        <w:shd w:val="clear" w:color="auto" w:fill="auto"/>
        <w:snapToGrid w:val="0"/>
        <w:spacing w:line="360" w:lineRule="exact"/>
        <w:ind w:firstLine="447" w:firstLineChars="213"/>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撤回。投标截止时间后传输递交的</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，“政府采购云平台”将予以拒收。投标截止时间后，供应商不得修改（补充）或撤回其</w:t>
      </w:r>
      <w:r>
        <w:rPr>
          <w:rFonts w:hint="eastAsia"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w:t>
      </w:r>
    </w:p>
    <w:p w14:paraId="2F317E55">
      <w:pPr>
        <w:pStyle w:val="25"/>
        <w:shd w:val="clear" w:color="auto" w:fill="auto"/>
        <w:ind w:left="2520"/>
        <w:rPr>
          <w:rFonts w:hint="eastAsia" w:ascii="宋体" w:hAnsi="宋体" w:eastAsia="宋体" w:cs="宋体"/>
          <w:color w:val="000000" w:themeColor="text1"/>
          <w:highlight w:val="none"/>
          <w14:textFill>
            <w14:solidFill>
              <w14:schemeClr w14:val="tx1"/>
            </w14:solidFill>
          </w14:textFill>
        </w:rPr>
      </w:pPr>
    </w:p>
    <w:p w14:paraId="3680345A">
      <w:pPr>
        <w:pStyle w:val="24"/>
        <w:shd w:val="clear" w:color="auto" w:fill="auto"/>
        <w:snapToGrid w:val="0"/>
        <w:spacing w:line="360" w:lineRule="exact"/>
        <w:ind w:firstLine="48" w:firstLineChars="15"/>
        <w:jc w:val="center"/>
        <w:outlineLvl w:val="9"/>
        <w:rPr>
          <w:rFonts w:hint="eastAsia" w:ascii="宋体" w:hAnsi="宋体" w:eastAsia="宋体" w:cs="宋体"/>
          <w:b/>
          <w:color w:val="000000" w:themeColor="text1"/>
          <w:sz w:val="32"/>
          <w:szCs w:val="28"/>
          <w:highlight w:val="none"/>
          <w14:textFill>
            <w14:solidFill>
              <w14:schemeClr w14:val="tx1"/>
            </w14:solidFill>
          </w14:textFill>
        </w:rPr>
      </w:pPr>
      <w:bookmarkStart w:id="97" w:name="_Toc23459"/>
      <w:bookmarkStart w:id="98" w:name="_Toc17714"/>
    </w:p>
    <w:p w14:paraId="74EF00C5">
      <w:pPr>
        <w:pStyle w:val="25"/>
        <w:rPr>
          <w:rFonts w:hint="eastAsia" w:ascii="宋体" w:hAnsi="宋体" w:eastAsia="宋体" w:cs="宋体"/>
          <w:b/>
          <w:color w:val="000000" w:themeColor="text1"/>
          <w:sz w:val="32"/>
          <w:szCs w:val="28"/>
          <w:highlight w:val="none"/>
          <w14:textFill>
            <w14:solidFill>
              <w14:schemeClr w14:val="tx1"/>
            </w14:solidFill>
          </w14:textFill>
        </w:rPr>
      </w:pPr>
    </w:p>
    <w:p w14:paraId="4D646DD5">
      <w:pPr>
        <w:pStyle w:val="25"/>
        <w:ind w:left="0" w:leftChars="0" w:firstLine="0" w:firstLineChars="0"/>
        <w:rPr>
          <w:rFonts w:hint="eastAsia"/>
          <w:color w:val="000000" w:themeColor="text1"/>
          <w14:textFill>
            <w14:solidFill>
              <w14:schemeClr w14:val="tx1"/>
            </w14:solidFill>
          </w14:textFill>
        </w:rPr>
      </w:pPr>
    </w:p>
    <w:p w14:paraId="752B1143">
      <w:pPr>
        <w:rPr>
          <w:rFonts w:hint="eastAsia"/>
          <w:color w:val="000000" w:themeColor="text1"/>
          <w14:textFill>
            <w14:solidFill>
              <w14:schemeClr w14:val="tx1"/>
            </w14:solidFill>
          </w14:textFill>
        </w:rPr>
      </w:pPr>
    </w:p>
    <w:p w14:paraId="7598E496">
      <w:pPr>
        <w:pStyle w:val="24"/>
        <w:shd w:val="clear" w:color="auto" w:fill="auto"/>
        <w:snapToGrid w:val="0"/>
        <w:spacing w:line="360" w:lineRule="exact"/>
        <w:jc w:val="both"/>
        <w:outlineLvl w:val="9"/>
        <w:rPr>
          <w:rFonts w:hint="eastAsia" w:ascii="宋体" w:hAnsi="宋体" w:eastAsia="宋体" w:cs="宋体"/>
          <w:b/>
          <w:color w:val="000000" w:themeColor="text1"/>
          <w:sz w:val="32"/>
          <w:szCs w:val="28"/>
          <w:highlight w:val="none"/>
          <w14:textFill>
            <w14:solidFill>
              <w14:schemeClr w14:val="tx1"/>
            </w14:solidFill>
          </w14:textFill>
        </w:rPr>
      </w:pPr>
    </w:p>
    <w:bookmarkEnd w:id="97"/>
    <w:bookmarkEnd w:id="98"/>
    <w:p w14:paraId="0B6758CF">
      <w:pPr>
        <w:pStyle w:val="2"/>
        <w:bidi w:val="0"/>
        <w:rPr>
          <w:rFonts w:hint="eastAsia"/>
          <w:color w:val="000000" w:themeColor="text1"/>
          <w:lang w:eastAsia="zh-CN"/>
          <w14:textFill>
            <w14:solidFill>
              <w14:schemeClr w14:val="tx1"/>
            </w14:solidFill>
          </w14:textFill>
        </w:rPr>
        <w:sectPr>
          <w:headerReference r:id="rId10" w:type="default"/>
          <w:footerReference r:id="rId11" w:type="default"/>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5922BE43">
      <w:pPr>
        <w:pStyle w:val="2"/>
        <w:bidi w:val="0"/>
        <w:rPr>
          <w:rFonts w:hint="eastAsia"/>
          <w:color w:val="000000" w:themeColor="text1"/>
          <w14:textFill>
            <w14:solidFill>
              <w14:schemeClr w14:val="tx1"/>
            </w14:solidFill>
          </w14:textFill>
        </w:rPr>
      </w:pPr>
      <w:bookmarkStart w:id="99" w:name="_Toc20482"/>
      <w:r>
        <w:rPr>
          <w:rFonts w:hint="eastAsia"/>
          <w:color w:val="000000" w:themeColor="text1"/>
          <w:lang w:eastAsia="zh-CN"/>
          <w14:textFill>
            <w14:solidFill>
              <w14:schemeClr w14:val="tx1"/>
            </w14:solidFill>
          </w14:textFill>
        </w:rPr>
        <w:t>第四章</w:t>
      </w:r>
      <w:r>
        <w:rPr>
          <w:rFonts w:hint="eastAsia"/>
          <w:color w:val="000000" w:themeColor="text1"/>
          <w14:textFill>
            <w14:solidFill>
              <w14:schemeClr w14:val="tx1"/>
            </w14:solidFill>
          </w14:textFill>
        </w:rPr>
        <w:t xml:space="preserve">  开标</w:t>
      </w:r>
      <w:r>
        <w:rPr>
          <w:rFonts w:hint="eastAsia"/>
          <w:color w:val="000000" w:themeColor="text1"/>
          <w:lang w:eastAsia="zh-CN"/>
          <w14:textFill>
            <w14:solidFill>
              <w14:schemeClr w14:val="tx1"/>
            </w14:solidFill>
          </w14:textFill>
        </w:rPr>
        <w:t>、评标和定标</w:t>
      </w:r>
      <w:bookmarkEnd w:id="99"/>
    </w:p>
    <w:p w14:paraId="728A2109">
      <w:pPr>
        <w:pStyle w:val="3"/>
        <w:bidi w:val="0"/>
        <w:jc w:val="center"/>
        <w:rPr>
          <w:rFonts w:hint="eastAsia"/>
          <w:color w:val="000000" w:themeColor="text1"/>
          <w14:textFill>
            <w14:solidFill>
              <w14:schemeClr w14:val="tx1"/>
            </w14:solidFill>
          </w14:textFill>
        </w:rPr>
      </w:pPr>
      <w:bookmarkStart w:id="100" w:name="_Toc23365"/>
      <w:bookmarkStart w:id="101" w:name="_Toc73975822"/>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开标程序</w:t>
      </w:r>
      <w:bookmarkEnd w:id="100"/>
    </w:p>
    <w:p w14:paraId="7FF57108">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开标时间到后，主持人宣布开标会议开始。</w:t>
      </w:r>
    </w:p>
    <w:p w14:paraId="4A6506D9">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（2）响应文件</w:t>
      </w:r>
      <w:r>
        <w:rPr>
          <w:rFonts w:hint="eastAsia" w:ascii="仿宋" w:hAnsi="仿宋" w:eastAsia="仿宋" w:cs="仿宋"/>
          <w:color w:val="000000" w:themeColor="text1"/>
          <w:sz w:val="24"/>
          <w:szCs w:val="24"/>
          <w:highlight w:val="none"/>
          <w14:textFill>
            <w14:solidFill>
              <w14:schemeClr w14:val="tx1"/>
            </w14:solidFill>
          </w14:textFill>
        </w:rPr>
        <w:t>解密（</w:t>
      </w:r>
      <w:r>
        <w:rPr>
          <w:rFonts w:hint="eastAsia" w:ascii="仿宋" w:hAnsi="仿宋" w:eastAsia="仿宋" w:cs="仿宋"/>
          <w:b/>
          <w:color w:val="000000" w:themeColor="text1"/>
          <w:sz w:val="24"/>
          <w:szCs w:val="24"/>
          <w:highlight w:val="none"/>
          <w14:textFill>
            <w14:solidFill>
              <w14:schemeClr w14:val="tx1"/>
            </w14:solidFill>
          </w14:textFill>
        </w:rPr>
        <w:t>解密规定见《供应商须知前附表》</w:t>
      </w:r>
      <w:r>
        <w:rPr>
          <w:rFonts w:hint="eastAsia" w:ascii="仿宋" w:hAnsi="仿宋" w:eastAsia="仿宋" w:cs="仿宋"/>
          <w:color w:val="000000" w:themeColor="text1"/>
          <w:sz w:val="24"/>
          <w:szCs w:val="24"/>
          <w:highlight w:val="none"/>
          <w14:textFill>
            <w14:solidFill>
              <w14:schemeClr w14:val="tx1"/>
            </w14:solidFill>
          </w14:textFill>
        </w:rPr>
        <w:t>）。</w:t>
      </w:r>
    </w:p>
    <w:p w14:paraId="54EA6BD3">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（3）响应文件</w:t>
      </w:r>
      <w:r>
        <w:rPr>
          <w:rFonts w:hint="eastAsia" w:ascii="仿宋" w:hAnsi="仿宋" w:eastAsia="仿宋" w:cs="仿宋"/>
          <w:color w:val="000000" w:themeColor="text1"/>
          <w:sz w:val="24"/>
          <w:szCs w:val="24"/>
          <w:highlight w:val="none"/>
          <w14:textFill>
            <w14:solidFill>
              <w14:schemeClr w14:val="tx1"/>
            </w14:solidFill>
          </w14:textFill>
        </w:rPr>
        <w:t>解密异常情况处理（</w:t>
      </w:r>
      <w:r>
        <w:rPr>
          <w:rFonts w:hint="eastAsia" w:ascii="仿宋" w:hAnsi="仿宋" w:eastAsia="仿宋" w:cs="仿宋"/>
          <w:b/>
          <w:color w:val="000000" w:themeColor="text1"/>
          <w:sz w:val="24"/>
          <w:szCs w:val="24"/>
          <w:highlight w:val="none"/>
          <w14:textFill>
            <w14:solidFill>
              <w14:schemeClr w14:val="tx1"/>
            </w14:solidFill>
          </w14:textFill>
        </w:rPr>
        <w:t>处理办法见《供应商须知前附表》</w:t>
      </w:r>
      <w:r>
        <w:rPr>
          <w:rFonts w:hint="eastAsia" w:ascii="仿宋" w:hAnsi="仿宋" w:eastAsia="仿宋" w:cs="仿宋"/>
          <w:color w:val="000000" w:themeColor="text1"/>
          <w:sz w:val="24"/>
          <w:szCs w:val="24"/>
          <w:highlight w:val="none"/>
          <w14:textFill>
            <w14:solidFill>
              <w14:schemeClr w14:val="tx1"/>
            </w14:solidFill>
          </w14:textFill>
        </w:rPr>
        <w:t>）。</w:t>
      </w:r>
    </w:p>
    <w:p w14:paraId="5D26D183">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公布</w:t>
      </w:r>
      <w:r>
        <w:rPr>
          <w:rFonts w:hint="eastAsia" w:ascii="仿宋" w:hAnsi="仿宋" w:eastAsia="仿宋" w:cs="仿宋"/>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解密情况（</w:t>
      </w:r>
      <w:r>
        <w:rPr>
          <w:rFonts w:hint="eastAsia" w:ascii="仿宋" w:hAnsi="仿宋" w:eastAsia="仿宋" w:cs="仿宋"/>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成功解密的供应商名单等信息），组织签署</w:t>
      </w:r>
      <w:r>
        <w:rPr>
          <w:rFonts w:hint="eastAsia" w:ascii="仿宋" w:hAnsi="仿宋" w:eastAsia="仿宋" w:cs="仿宋"/>
          <w:b/>
          <w:bCs/>
          <w:color w:val="000000" w:themeColor="text1"/>
          <w:sz w:val="24"/>
          <w:szCs w:val="24"/>
          <w:highlight w:val="none"/>
          <w14:textFill>
            <w14:solidFill>
              <w14:schemeClr w14:val="tx1"/>
            </w14:solidFill>
          </w14:textFill>
        </w:rPr>
        <w:t>《政府采购活动现场确认声明书》（疫情防控期间，将通过电子邮件形式组织签署），供应商应在20分钟内通过邮件形式将经签署的《政府采购活动现场确认声明书》发送至采购代理机构指定邮箱</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981638475</w:t>
      </w:r>
      <w:r>
        <w:rPr>
          <w:rFonts w:hint="eastAsia" w:ascii="仿宋" w:hAnsi="仿宋" w:eastAsia="仿宋" w:cs="仿宋"/>
          <w:b/>
          <w:bCs/>
          <w:color w:val="000000" w:themeColor="text1"/>
          <w:sz w:val="24"/>
          <w:szCs w:val="24"/>
          <w:highlight w:val="none"/>
          <w:lang w:eastAsia="zh-CN"/>
          <w14:textFill>
            <w14:solidFill>
              <w14:schemeClr w14:val="tx1"/>
            </w14:solidFill>
          </w14:textFill>
        </w:rPr>
        <w:t>@qq.com</w:t>
      </w:r>
      <w:r>
        <w:rPr>
          <w:rFonts w:hint="eastAsia" w:ascii="仿宋" w:hAnsi="仿宋" w:eastAsia="仿宋" w:cs="仿宋"/>
          <w:b/>
          <w:bCs/>
          <w:color w:val="000000" w:themeColor="text1"/>
          <w:sz w:val="24"/>
          <w:szCs w:val="24"/>
          <w:highlight w:val="none"/>
          <w14:textFill>
            <w14:solidFill>
              <w14:schemeClr w14:val="tx1"/>
            </w14:solidFill>
          </w14:textFill>
        </w:rPr>
        <w:t xml:space="preserve"> ，逾期发送或未发送的视为无异议</w:t>
      </w:r>
      <w:r>
        <w:rPr>
          <w:rFonts w:hint="eastAsia" w:ascii="仿宋" w:hAnsi="仿宋" w:eastAsia="仿宋" w:cs="仿宋"/>
          <w:color w:val="000000" w:themeColor="text1"/>
          <w:sz w:val="24"/>
          <w:szCs w:val="24"/>
          <w:highlight w:val="none"/>
          <w14:textFill>
            <w14:solidFill>
              <w14:schemeClr w14:val="tx1"/>
            </w14:solidFill>
          </w14:textFill>
        </w:rPr>
        <w:t>。</w:t>
      </w:r>
    </w:p>
    <w:p w14:paraId="691F06B7">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开启标书信息（资格</w:t>
      </w:r>
      <w:r>
        <w:rPr>
          <w:rFonts w:hint="eastAsia" w:ascii="仿宋" w:hAnsi="仿宋" w:eastAsia="仿宋" w:cs="仿宋"/>
          <w:color w:val="000000" w:themeColor="text1"/>
          <w:sz w:val="24"/>
          <w:szCs w:val="24"/>
          <w:highlight w:val="none"/>
          <w:lang w:eastAsia="zh-CN"/>
          <w14:textFill>
            <w14:solidFill>
              <w14:schemeClr w14:val="tx1"/>
            </w14:solidFill>
          </w14:textFill>
        </w:rPr>
        <w:t>证明</w:t>
      </w:r>
      <w:r>
        <w:rPr>
          <w:rFonts w:hint="eastAsia" w:ascii="仿宋" w:hAnsi="仿宋" w:eastAsia="仿宋" w:cs="仿宋"/>
          <w:color w:val="000000" w:themeColor="text1"/>
          <w:sz w:val="24"/>
          <w:szCs w:val="24"/>
          <w:highlight w:val="none"/>
          <w14:textFill>
            <w14:solidFill>
              <w14:schemeClr w14:val="tx1"/>
            </w14:solidFill>
          </w14:textFill>
        </w:rPr>
        <w:t>文件、商务技术文件）。标书信息开启后，首先由采购人或采购代理机构</w:t>
      </w:r>
      <w:r>
        <w:rPr>
          <w:rFonts w:hint="eastAsia" w:ascii="仿宋" w:hAnsi="仿宋" w:eastAsia="仿宋" w:cs="仿宋"/>
          <w:color w:val="000000" w:themeColor="text1"/>
          <w:sz w:val="24"/>
          <w:szCs w:val="24"/>
          <w:highlight w:val="none"/>
          <w:lang w:eastAsia="zh-CN"/>
          <w14:textFill>
            <w14:solidFill>
              <w14:schemeClr w14:val="tx1"/>
            </w14:solidFill>
          </w14:textFill>
        </w:rPr>
        <w:t>或评审小组</w:t>
      </w:r>
      <w:r>
        <w:rPr>
          <w:rFonts w:hint="eastAsia" w:ascii="仿宋" w:hAnsi="仿宋" w:eastAsia="仿宋" w:cs="仿宋"/>
          <w:color w:val="000000" w:themeColor="text1"/>
          <w:sz w:val="24"/>
          <w:szCs w:val="24"/>
          <w:highlight w:val="none"/>
          <w14:textFill>
            <w14:solidFill>
              <w14:schemeClr w14:val="tx1"/>
            </w14:solidFill>
          </w14:textFill>
        </w:rPr>
        <w:t>依法对投标供应商的资格</w:t>
      </w:r>
      <w:r>
        <w:rPr>
          <w:rFonts w:hint="eastAsia" w:ascii="仿宋" w:hAnsi="仿宋" w:eastAsia="仿宋" w:cs="仿宋"/>
          <w:color w:val="000000" w:themeColor="text1"/>
          <w:sz w:val="24"/>
          <w:szCs w:val="24"/>
          <w:highlight w:val="none"/>
          <w:lang w:eastAsia="zh-CN"/>
          <w14:textFill>
            <w14:solidFill>
              <w14:schemeClr w14:val="tx1"/>
            </w14:solidFill>
          </w14:textFill>
        </w:rPr>
        <w:t>证明</w:t>
      </w:r>
      <w:r>
        <w:rPr>
          <w:rFonts w:hint="eastAsia" w:ascii="仿宋" w:hAnsi="仿宋" w:eastAsia="仿宋" w:cs="仿宋"/>
          <w:color w:val="000000" w:themeColor="text1"/>
          <w:sz w:val="24"/>
          <w:szCs w:val="24"/>
          <w:highlight w:val="none"/>
          <w14:textFill>
            <w14:solidFill>
              <w14:schemeClr w14:val="tx1"/>
            </w14:solidFill>
          </w14:textFill>
        </w:rPr>
        <w:t>文件进行审查（具体见资格性检查）， 审查结束公布投标供应商的资格符合情况。资格审查未获通过的供应商，其商务技术文件及报价文件不再进入评审。</w:t>
      </w:r>
    </w:p>
    <w:p w14:paraId="698F4F11">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开启有效投标供应商的报价，公布开标一览表有关内容，</w:t>
      </w:r>
      <w:r>
        <w:rPr>
          <w:rFonts w:hint="eastAsia" w:ascii="仿宋" w:hAnsi="仿宋" w:eastAsia="仿宋" w:cs="仿宋"/>
          <w:color w:val="000000" w:themeColor="text1"/>
          <w:sz w:val="24"/>
          <w:szCs w:val="24"/>
          <w:highlight w:val="none"/>
          <w:lang w:bidi="zh-CN"/>
          <w14:textFill>
            <w14:solidFill>
              <w14:schemeClr w14:val="tx1"/>
            </w14:solidFill>
          </w14:textFill>
        </w:rPr>
        <w:t>并【开启签章时段】，供应商对开标记录进行在线签章确认（不予确认的应说明理由，否则视为无异议）</w:t>
      </w:r>
      <w:r>
        <w:rPr>
          <w:rFonts w:hint="eastAsia" w:ascii="仿宋" w:hAnsi="仿宋" w:eastAsia="仿宋" w:cs="仿宋"/>
          <w:color w:val="000000" w:themeColor="text1"/>
          <w:sz w:val="24"/>
          <w:szCs w:val="24"/>
          <w:highlight w:val="none"/>
          <w14:textFill>
            <w14:solidFill>
              <w14:schemeClr w14:val="tx1"/>
            </w14:solidFill>
          </w14:textFill>
        </w:rPr>
        <w:t>。开标结束后，由评标委员会对报价的合理性、准确性等进行审查核实。</w:t>
      </w:r>
    </w:p>
    <w:p w14:paraId="16B02149">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（7）商务技术评审结束后，主持人公布商务技术评审无效投标供应商名单和商务技术评审有效投标供应商名单。商务技术评审无效的供应商，其报价不再进入评审。</w:t>
      </w:r>
    </w:p>
    <w:p w14:paraId="0DE2F1C4">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评审结束后，采购代理机构在系统上公布评审结果。</w:t>
      </w:r>
    </w:p>
    <w:p w14:paraId="7DF03D76">
      <w:pPr>
        <w:snapToGrid w:val="0"/>
        <w:spacing w:line="360" w:lineRule="auto"/>
        <w:ind w:left="48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特别情况说明：</w:t>
      </w:r>
    </w:p>
    <w:p w14:paraId="3DA8215F">
      <w:pPr>
        <w:snapToGrid w:val="0"/>
        <w:spacing w:line="360" w:lineRule="auto"/>
        <w:ind w:firstLine="426" w:firstLineChars="177"/>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（1）本项目采用电子交易，如遇“</w:t>
      </w:r>
      <w:r>
        <w:rPr>
          <w:rFonts w:hint="eastAsia" w:ascii="仿宋" w:hAnsi="仿宋" w:eastAsia="仿宋" w:cs="仿宋"/>
          <w:b/>
          <w:color w:val="000000" w:themeColor="text1"/>
          <w:sz w:val="24"/>
          <w:szCs w:val="24"/>
          <w:highlight w:val="none"/>
          <w:lang w:eastAsia="zh-CN"/>
          <w14:textFill>
            <w14:solidFill>
              <w14:schemeClr w14:val="tx1"/>
            </w14:solidFill>
          </w14:textFill>
        </w:rPr>
        <w:t>新疆</w:t>
      </w:r>
      <w:r>
        <w:rPr>
          <w:rFonts w:hint="eastAsia" w:ascii="仿宋" w:hAnsi="仿宋" w:eastAsia="仿宋" w:cs="仿宋"/>
          <w:b/>
          <w:color w:val="000000" w:themeColor="text1"/>
          <w:sz w:val="24"/>
          <w:szCs w:val="24"/>
          <w:highlight w:val="none"/>
          <w14:textFill>
            <w14:solidFill>
              <w14:schemeClr w14:val="tx1"/>
            </w14:solidFill>
          </w14:textFill>
        </w:rPr>
        <w:t>政府采购云平台”电子化开标或评审程序调整的，按调整后程序执行。</w:t>
      </w:r>
    </w:p>
    <w:p w14:paraId="3E0696AD">
      <w:pPr>
        <w:snapToGrid w:val="0"/>
        <w:spacing w:line="360" w:lineRule="auto"/>
        <w:ind w:firstLine="426" w:firstLineChars="177"/>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（2）开标过程中需要相关当事人进行</w:t>
      </w:r>
      <w:r>
        <w:rPr>
          <w:rFonts w:hint="eastAsia" w:ascii="仿宋" w:hAnsi="仿宋" w:eastAsia="仿宋" w:cs="仿宋"/>
          <w:b/>
          <w:color w:val="000000" w:themeColor="text1"/>
          <w:sz w:val="24"/>
          <w:szCs w:val="24"/>
          <w:highlight w:val="none"/>
          <w:lang w:eastAsia="zh-CN"/>
          <w14:textFill>
            <w14:solidFill>
              <w14:schemeClr w14:val="tx1"/>
            </w14:solidFill>
          </w14:textFill>
        </w:rPr>
        <w:t>签章</w:t>
      </w:r>
      <w:r>
        <w:rPr>
          <w:rFonts w:hint="eastAsia" w:ascii="仿宋" w:hAnsi="仿宋" w:eastAsia="仿宋" w:cs="仿宋"/>
          <w:b/>
          <w:color w:val="000000" w:themeColor="text1"/>
          <w:sz w:val="24"/>
          <w:szCs w:val="24"/>
          <w:highlight w:val="none"/>
          <w14:textFill>
            <w14:solidFill>
              <w14:schemeClr w14:val="tx1"/>
            </w14:solidFill>
          </w14:textFill>
        </w:rPr>
        <w:t>或盖章确认的材料将通过“政府采购云平台”进行，若因“政府采购云平台”技术问题无法进行</w:t>
      </w:r>
      <w:r>
        <w:rPr>
          <w:rFonts w:hint="eastAsia" w:ascii="仿宋" w:hAnsi="仿宋" w:eastAsia="仿宋" w:cs="仿宋"/>
          <w:b/>
          <w:color w:val="000000" w:themeColor="text1"/>
          <w:sz w:val="24"/>
          <w:szCs w:val="24"/>
          <w:highlight w:val="none"/>
          <w:lang w:eastAsia="zh-CN"/>
          <w14:textFill>
            <w14:solidFill>
              <w14:schemeClr w14:val="tx1"/>
            </w14:solidFill>
          </w14:textFill>
        </w:rPr>
        <w:t>签章</w:t>
      </w:r>
      <w:r>
        <w:rPr>
          <w:rFonts w:hint="eastAsia" w:ascii="仿宋" w:hAnsi="仿宋" w:eastAsia="仿宋" w:cs="仿宋"/>
          <w:b/>
          <w:color w:val="000000" w:themeColor="text1"/>
          <w:sz w:val="24"/>
          <w:szCs w:val="24"/>
          <w:highlight w:val="none"/>
          <w14:textFill>
            <w14:solidFill>
              <w14:schemeClr w14:val="tx1"/>
            </w14:solidFill>
          </w14:textFill>
        </w:rPr>
        <w:t>或盖章确认的，采购组织机构将通过电子邮件等形式予以确认，</w:t>
      </w:r>
      <w:r>
        <w:rPr>
          <w:rFonts w:hint="eastAsia" w:ascii="仿宋" w:hAnsi="仿宋" w:eastAsia="仿宋" w:cs="仿宋"/>
          <w:b/>
          <w:color w:val="000000" w:themeColor="text1"/>
          <w:sz w:val="24"/>
          <w:szCs w:val="24"/>
          <w:highlight w:val="none"/>
          <w:u w:val="single"/>
          <w14:textFill>
            <w14:solidFill>
              <w14:schemeClr w14:val="tx1"/>
            </w14:solidFill>
          </w14:textFill>
        </w:rPr>
        <w:t>请供应商保证办理投标事宜人员电话畅通、网络在线，</w:t>
      </w:r>
      <w:r>
        <w:rPr>
          <w:rFonts w:hint="eastAsia" w:ascii="仿宋" w:hAnsi="仿宋" w:eastAsia="仿宋" w:cs="仿宋"/>
          <w:b/>
          <w:color w:val="000000" w:themeColor="text1"/>
          <w:sz w:val="24"/>
          <w:szCs w:val="24"/>
          <w:highlight w:val="none"/>
          <w:u w:val="single"/>
          <w:lang w:eastAsia="zh-CN"/>
          <w14:textFill>
            <w14:solidFill>
              <w14:schemeClr w14:val="tx1"/>
            </w14:solidFill>
          </w14:textFill>
        </w:rPr>
        <w:t>签章</w:t>
      </w:r>
      <w:r>
        <w:rPr>
          <w:rFonts w:hint="eastAsia" w:ascii="仿宋" w:hAnsi="仿宋" w:eastAsia="仿宋" w:cs="仿宋"/>
          <w:b/>
          <w:color w:val="000000" w:themeColor="text1"/>
          <w:sz w:val="24"/>
          <w:szCs w:val="24"/>
          <w:highlight w:val="none"/>
          <w:u w:val="single"/>
          <w14:textFill>
            <w14:solidFill>
              <w14:schemeClr w14:val="tx1"/>
            </w14:solidFill>
          </w14:textFill>
        </w:rPr>
        <w:t>或盖章确认的时间为20分钟。如未及时</w:t>
      </w:r>
      <w:r>
        <w:rPr>
          <w:rFonts w:hint="eastAsia" w:ascii="仿宋" w:hAnsi="仿宋" w:eastAsia="仿宋" w:cs="仿宋"/>
          <w:b/>
          <w:color w:val="000000" w:themeColor="text1"/>
          <w:sz w:val="24"/>
          <w:szCs w:val="24"/>
          <w:highlight w:val="none"/>
          <w:u w:val="single"/>
          <w:lang w:eastAsia="zh-CN"/>
          <w14:textFill>
            <w14:solidFill>
              <w14:schemeClr w14:val="tx1"/>
            </w14:solidFill>
          </w14:textFill>
        </w:rPr>
        <w:t>签章</w:t>
      </w:r>
      <w:r>
        <w:rPr>
          <w:rFonts w:hint="eastAsia" w:ascii="仿宋" w:hAnsi="仿宋" w:eastAsia="仿宋" w:cs="仿宋"/>
          <w:b/>
          <w:color w:val="000000" w:themeColor="text1"/>
          <w:sz w:val="24"/>
          <w:szCs w:val="24"/>
          <w:highlight w:val="none"/>
          <w:u w:val="single"/>
          <w14:textFill>
            <w14:solidFill>
              <w14:schemeClr w14:val="tx1"/>
            </w14:solidFill>
          </w14:textFill>
        </w:rPr>
        <w:t>或盖章确认的，视为无异议</w:t>
      </w:r>
      <w:r>
        <w:rPr>
          <w:rFonts w:hint="eastAsia" w:ascii="仿宋" w:hAnsi="仿宋" w:eastAsia="仿宋" w:cs="仿宋"/>
          <w:b/>
          <w:color w:val="000000" w:themeColor="text1"/>
          <w:sz w:val="24"/>
          <w:szCs w:val="24"/>
          <w:highlight w:val="none"/>
          <w14:textFill>
            <w14:solidFill>
              <w14:schemeClr w14:val="tx1"/>
            </w14:solidFill>
          </w14:textFill>
        </w:rPr>
        <w:t>。</w:t>
      </w:r>
    </w:p>
    <w:p w14:paraId="1F35877F">
      <w:pPr>
        <w:snapToGrid w:val="0"/>
        <w:spacing w:line="360" w:lineRule="auto"/>
        <w:ind w:firstLine="482" w:firstLineChars="20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3.</w:t>
      </w:r>
      <w:r>
        <w:rPr>
          <w:rFonts w:hint="eastAsia" w:ascii="仿宋" w:hAnsi="仿宋" w:eastAsia="仿宋" w:cs="仿宋"/>
          <w:b/>
          <w:color w:val="000000" w:themeColor="text1"/>
          <w:sz w:val="24"/>
          <w:szCs w:val="24"/>
          <w:highlight w:val="none"/>
          <w14:textFill>
            <w14:solidFill>
              <w14:schemeClr w14:val="tx1"/>
            </w14:solidFill>
          </w14:textFill>
        </w:rPr>
        <w:t>投标供应商资格审查：</w:t>
      </w:r>
    </w:p>
    <w:p w14:paraId="619CCD8D">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bCs/>
          <w:color w:val="000000" w:themeColor="text1"/>
          <w:sz w:val="24"/>
          <w:szCs w:val="24"/>
          <w:highlight w:val="none"/>
          <w14:textFill>
            <w14:solidFill>
              <w14:schemeClr w14:val="tx1"/>
            </w14:solidFill>
          </w14:textFill>
        </w:rPr>
        <w:t>开标（标书信息开启）后，采购人或采购代理机构</w:t>
      </w:r>
      <w:r>
        <w:rPr>
          <w:rFonts w:hint="eastAsia" w:ascii="仿宋" w:hAnsi="仿宋" w:eastAsia="仿宋" w:cs="仿宋"/>
          <w:bCs/>
          <w:color w:val="000000" w:themeColor="text1"/>
          <w:sz w:val="24"/>
          <w:szCs w:val="24"/>
          <w:highlight w:val="none"/>
          <w:lang w:eastAsia="zh-CN"/>
          <w14:textFill>
            <w14:solidFill>
              <w14:schemeClr w14:val="tx1"/>
            </w14:solidFill>
          </w14:textFill>
        </w:rPr>
        <w:t>或</w:t>
      </w:r>
      <w:r>
        <w:rPr>
          <w:rFonts w:hint="eastAsia" w:ascii="仿宋" w:hAnsi="仿宋" w:eastAsia="仿宋" w:cs="仿宋"/>
          <w:color w:val="000000" w:themeColor="text1"/>
          <w:sz w:val="24"/>
          <w:szCs w:val="24"/>
          <w:highlight w:val="none"/>
          <w:lang w:eastAsia="zh-CN"/>
          <w14:textFill>
            <w14:solidFill>
              <w14:schemeClr w14:val="tx1"/>
            </w14:solidFill>
          </w14:textFill>
        </w:rPr>
        <w:t>评审小组</w:t>
      </w:r>
      <w:r>
        <w:rPr>
          <w:rFonts w:hint="eastAsia" w:ascii="仿宋" w:hAnsi="仿宋" w:eastAsia="仿宋" w:cs="仿宋"/>
          <w:bCs/>
          <w:color w:val="000000" w:themeColor="text1"/>
          <w:sz w:val="24"/>
          <w:szCs w:val="24"/>
          <w:highlight w:val="none"/>
          <w14:textFill>
            <w14:solidFill>
              <w14:schemeClr w14:val="tx1"/>
            </w14:solidFill>
          </w14:textFill>
        </w:rPr>
        <w:t>首先依法对投标供应商的资格文件进行审查，审查各投标供应商的资格符合情况。</w:t>
      </w:r>
      <w:r>
        <w:rPr>
          <w:rFonts w:hint="eastAsia" w:ascii="仿宋" w:hAnsi="仿宋" w:eastAsia="仿宋" w:cs="仿宋"/>
          <w:color w:val="000000" w:themeColor="text1"/>
          <w:sz w:val="24"/>
          <w:szCs w:val="24"/>
          <w:highlight w:val="none"/>
          <w14:textFill>
            <w14:solidFill>
              <w14:schemeClr w14:val="tx1"/>
            </w14:solidFill>
          </w14:textFill>
        </w:rPr>
        <w:t>采购人或采购代理机构</w:t>
      </w:r>
      <w:r>
        <w:rPr>
          <w:rFonts w:hint="eastAsia" w:ascii="仿宋" w:hAnsi="仿宋" w:eastAsia="仿宋" w:cs="仿宋"/>
          <w:bCs/>
          <w:color w:val="000000" w:themeColor="text1"/>
          <w:sz w:val="24"/>
          <w:szCs w:val="24"/>
          <w:highlight w:val="none"/>
          <w:lang w:eastAsia="zh-CN"/>
          <w14:textFill>
            <w14:solidFill>
              <w14:schemeClr w14:val="tx1"/>
            </w14:solidFill>
          </w14:textFill>
        </w:rPr>
        <w:t>或</w:t>
      </w:r>
      <w:r>
        <w:rPr>
          <w:rFonts w:hint="eastAsia" w:ascii="仿宋" w:hAnsi="仿宋" w:eastAsia="仿宋" w:cs="仿宋"/>
          <w:color w:val="000000" w:themeColor="text1"/>
          <w:sz w:val="24"/>
          <w:szCs w:val="24"/>
          <w:highlight w:val="none"/>
          <w:lang w:eastAsia="zh-CN"/>
          <w14:textFill>
            <w14:solidFill>
              <w14:schemeClr w14:val="tx1"/>
            </w14:solidFill>
          </w14:textFill>
        </w:rPr>
        <w:t>评审小组</w:t>
      </w:r>
      <w:r>
        <w:rPr>
          <w:rFonts w:hint="eastAsia" w:ascii="仿宋" w:hAnsi="仿宋" w:eastAsia="仿宋" w:cs="仿宋"/>
          <w:color w:val="000000" w:themeColor="text1"/>
          <w:sz w:val="24"/>
          <w:szCs w:val="24"/>
          <w:highlight w:val="none"/>
          <w14:textFill>
            <w14:solidFill>
              <w14:schemeClr w14:val="tx1"/>
            </w14:solidFill>
          </w14:textFill>
        </w:rPr>
        <w:t>对投标供应商所提交的资格证明材料仅负审核的责任。如发现投标供应商所提交的资格证明材料不合法或与事实不符，采购人可取消其</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资格并追究投标供应商的法律责任。</w:t>
      </w:r>
    </w:p>
    <w:p w14:paraId="33FC9BE0">
      <w:pPr>
        <w:pStyle w:val="13"/>
        <w:keepNext w:val="0"/>
        <w:keepLines w:val="0"/>
        <w:pageBreakBefore w:val="0"/>
        <w:widowControl w:val="0"/>
        <w:kinsoku/>
        <w:wordWrap/>
        <w:overflowPunct/>
        <w:topLinePunct w:val="0"/>
        <w:bidi w:val="0"/>
        <w:snapToGrid w:val="0"/>
        <w:spacing w:line="324" w:lineRule="auto"/>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（2）投标供应商提交的资格证明材料无法证明其符合</w:t>
      </w:r>
      <w:r>
        <w:rPr>
          <w:rFonts w:hint="eastAsia" w:ascii="仿宋" w:hAnsi="仿宋" w:eastAsia="仿宋" w:cs="仿宋"/>
          <w:bCs/>
          <w:color w:val="000000" w:themeColor="text1"/>
          <w:sz w:val="24"/>
          <w:szCs w:val="24"/>
          <w:highlight w:val="none"/>
          <w:lang w:eastAsia="zh-CN"/>
          <w14:textFill>
            <w14:solidFill>
              <w14:schemeClr w14:val="tx1"/>
            </w14:solidFill>
          </w14:textFill>
        </w:rPr>
        <w:t xml:space="preserve">谈判文件 </w:t>
      </w:r>
      <w:r>
        <w:rPr>
          <w:rFonts w:hint="eastAsia" w:ascii="仿宋" w:hAnsi="仿宋" w:eastAsia="仿宋" w:cs="仿宋"/>
          <w:bCs/>
          <w:color w:val="000000" w:themeColor="text1"/>
          <w:sz w:val="24"/>
          <w:szCs w:val="24"/>
          <w:highlight w:val="none"/>
          <w14:textFill>
            <w14:solidFill>
              <w14:schemeClr w14:val="tx1"/>
            </w14:solidFill>
          </w14:textFill>
        </w:rPr>
        <w:t>规定的“投标供应商资格要求”的，采购人或采购代理机构将对其作“资格审查不合格”处理（无效投标），并不再将其投标提交评标委员会进行后续评审。</w:t>
      </w:r>
    </w:p>
    <w:p w14:paraId="39C1F046">
      <w:pPr>
        <w:pStyle w:val="13"/>
        <w:keepNext w:val="0"/>
        <w:keepLines w:val="0"/>
        <w:pageBreakBefore w:val="0"/>
        <w:widowControl w:val="0"/>
        <w:kinsoku/>
        <w:wordWrap/>
        <w:overflowPunct/>
        <w:topLinePunct w:val="0"/>
        <w:bidi w:val="0"/>
        <w:snapToGrid w:val="0"/>
        <w:spacing w:line="324" w:lineRule="auto"/>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（3）供应商信用记录查询与使用：见《供应商须知前附表》。</w:t>
      </w:r>
    </w:p>
    <w:p w14:paraId="230CC5D0">
      <w:pPr>
        <w:pStyle w:val="3"/>
        <w:bidi w:val="0"/>
        <w:jc w:val="center"/>
        <w:rPr>
          <w:color w:val="000000" w:themeColor="text1"/>
          <w14:textFill>
            <w14:solidFill>
              <w14:schemeClr w14:val="tx1"/>
            </w14:solidFill>
          </w14:textFill>
        </w:rPr>
      </w:pPr>
      <w:bookmarkStart w:id="102" w:name="_Toc15226"/>
      <w:r>
        <w:rPr>
          <w:rFonts w:hint="eastAsia"/>
          <w:color w:val="000000" w:themeColor="text1"/>
          <w:lang w:eastAsia="zh-CN"/>
          <w14:textFill>
            <w14:solidFill>
              <w14:schemeClr w14:val="tx1"/>
            </w14:solidFill>
          </w14:textFill>
        </w:rPr>
        <w:t>二、谈判</w:t>
      </w:r>
      <w:r>
        <w:rPr>
          <w:rFonts w:hint="eastAsia"/>
          <w:color w:val="000000" w:themeColor="text1"/>
          <w14:textFill>
            <w14:solidFill>
              <w14:schemeClr w14:val="tx1"/>
            </w14:solidFill>
          </w14:textFill>
        </w:rPr>
        <w:t>报价方式</w:t>
      </w:r>
      <w:bookmarkEnd w:id="102"/>
    </w:p>
    <w:p w14:paraId="36EF255C">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1、供应商提交的响应性文件中的报价，该报价只允许有一个报价，任何有选择性的报价将不予接受。</w:t>
      </w:r>
    </w:p>
    <w:p w14:paraId="22421A5C">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谈判小组</w:t>
      </w:r>
      <w:r>
        <w:rPr>
          <w:rFonts w:hint="eastAsia" w:ascii="仿宋" w:hAnsi="仿宋" w:eastAsia="仿宋" w:cs="仿宋"/>
          <w:color w:val="000000" w:themeColor="text1"/>
          <w:sz w:val="24"/>
          <w:szCs w:val="24"/>
          <w:highlight w:val="none"/>
          <w14:textFill>
            <w14:solidFill>
              <w14:schemeClr w14:val="tx1"/>
            </w14:solidFill>
          </w14:textFill>
        </w:rPr>
        <w:t>所有成员与供应商进行单独</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。在</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中，</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的任何一方不得透露与</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有关的其他供应商的技术资料、价格和其他信息。</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有实质性变动的，</w:t>
      </w:r>
      <w:r>
        <w:rPr>
          <w:rFonts w:hint="eastAsia" w:ascii="仿宋" w:hAnsi="仿宋" w:eastAsia="仿宋" w:cs="仿宋"/>
          <w:color w:val="000000" w:themeColor="text1"/>
          <w:sz w:val="24"/>
          <w:szCs w:val="24"/>
          <w:highlight w:val="none"/>
          <w:lang w:eastAsia="zh-CN"/>
          <w14:textFill>
            <w14:solidFill>
              <w14:schemeClr w14:val="tx1"/>
            </w14:solidFill>
          </w14:textFill>
        </w:rPr>
        <w:t>谈判小组</w:t>
      </w:r>
      <w:r>
        <w:rPr>
          <w:rFonts w:hint="eastAsia" w:ascii="仿宋" w:hAnsi="仿宋" w:eastAsia="仿宋" w:cs="仿宋"/>
          <w:color w:val="000000" w:themeColor="text1"/>
          <w:sz w:val="24"/>
          <w:szCs w:val="24"/>
          <w:highlight w:val="none"/>
          <w14:textFill>
            <w14:solidFill>
              <w14:schemeClr w14:val="tx1"/>
            </w14:solidFill>
          </w14:textFill>
        </w:rPr>
        <w:t>应以书面形式通知所有参加</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的供应商。</w:t>
      </w:r>
    </w:p>
    <w:p w14:paraId="54892F3E">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结束后，供应商可根据</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情况，进行第二次报价</w:t>
      </w:r>
      <w:r>
        <w:rPr>
          <w:rFonts w:hint="eastAsia" w:ascii="仿宋" w:hAnsi="仿宋" w:eastAsia="仿宋" w:cs="仿宋"/>
          <w:color w:val="000000" w:themeColor="text1"/>
          <w:sz w:val="24"/>
          <w:szCs w:val="24"/>
          <w:highlight w:val="none"/>
          <w:lang w:eastAsia="zh-CN"/>
          <w14:textFill>
            <w14:solidFill>
              <w14:schemeClr w14:val="tx1"/>
            </w14:solidFill>
          </w14:textFill>
        </w:rPr>
        <w:t>，采购人也可以根据谈判情况开启多轮报价，</w:t>
      </w:r>
      <w:r>
        <w:rPr>
          <w:rFonts w:hint="eastAsia" w:ascii="仿宋" w:hAnsi="仿宋" w:eastAsia="仿宋" w:cs="仿宋"/>
          <w:color w:val="000000" w:themeColor="text1"/>
          <w:sz w:val="24"/>
          <w:szCs w:val="24"/>
          <w:highlight w:val="none"/>
          <w14:textFill>
            <w14:solidFill>
              <w14:schemeClr w14:val="tx1"/>
            </w14:solidFill>
          </w14:textFill>
        </w:rPr>
        <w:t>该报价为</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的最终报价。</w:t>
      </w:r>
    </w:p>
    <w:p w14:paraId="69766F6B">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4、第二次报价</w:t>
      </w:r>
      <w:r>
        <w:rPr>
          <w:rFonts w:hint="eastAsia" w:ascii="仿宋" w:hAnsi="仿宋" w:eastAsia="仿宋" w:cs="仿宋"/>
          <w:color w:val="000000" w:themeColor="text1"/>
          <w:sz w:val="24"/>
          <w:szCs w:val="24"/>
          <w:highlight w:val="none"/>
          <w:lang w:eastAsia="zh-CN"/>
          <w14:textFill>
            <w14:solidFill>
              <w14:schemeClr w14:val="tx1"/>
            </w14:solidFill>
          </w14:textFill>
        </w:rPr>
        <w:t>在政采云不见面开评标系统</w:t>
      </w:r>
      <w:r>
        <w:rPr>
          <w:rFonts w:hint="eastAsia" w:ascii="仿宋" w:hAnsi="仿宋" w:eastAsia="仿宋" w:cs="仿宋"/>
          <w:color w:val="000000" w:themeColor="text1"/>
          <w:sz w:val="24"/>
          <w:szCs w:val="24"/>
          <w:highlight w:val="none"/>
          <w14:textFill>
            <w14:solidFill>
              <w14:schemeClr w14:val="tx1"/>
            </w14:solidFill>
          </w14:textFill>
        </w:rPr>
        <w:t>填写提交。所有供应商的二次报价收集齐全后，二次报价不进行公开唱标</w:t>
      </w:r>
      <w:r>
        <w:rPr>
          <w:rFonts w:hint="eastAsia" w:ascii="仿宋" w:hAnsi="仿宋" w:eastAsia="仿宋" w:cs="仿宋"/>
          <w:color w:val="000000" w:themeColor="text1"/>
          <w:sz w:val="24"/>
          <w:szCs w:val="24"/>
          <w:highlight w:val="none"/>
          <w:lang w:eastAsia="zh-CN"/>
          <w14:textFill>
            <w14:solidFill>
              <w14:schemeClr w14:val="tx1"/>
            </w14:solidFill>
          </w14:textFill>
        </w:rPr>
        <w:t>，依次类推。</w:t>
      </w:r>
    </w:p>
    <w:p w14:paraId="01AA71FC">
      <w:pPr>
        <w:keepNext w:val="0"/>
        <w:keepLines w:val="0"/>
        <w:pageBreakBefore w:val="0"/>
        <w:widowControl w:val="0"/>
        <w:kinsoku/>
        <w:wordWrap/>
        <w:overflowPunct/>
        <w:topLinePunct w:val="0"/>
        <w:bidi w:val="0"/>
        <w:snapToGrid w:val="0"/>
        <w:spacing w:line="324" w:lineRule="auto"/>
        <w:ind w:firstLine="352" w:firstLineChars="147"/>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修正错误的原则如下：大写金额与小写金额不一致的，以大写金额为准；总价金额与按单价汇总金额不一致的，以单价金额计算结果为准；单价金额小数点有明显错位的，以总价为准，并修改单价；对不同文字文本响应性文件的解释发生异议的，以中文文本为准。按上述原则调整后的价格为评标价，对供应商具有约束力。如果供应商不接受修正后的价格，则其报价将被拒绝。</w:t>
      </w:r>
    </w:p>
    <w:p w14:paraId="0AF2C4A3">
      <w:pPr>
        <w:pStyle w:val="3"/>
        <w:bidi w:val="0"/>
        <w:jc w:val="center"/>
        <w:rPr>
          <w:rFonts w:hint="eastAsia"/>
          <w:color w:val="000000" w:themeColor="text1"/>
          <w:lang w:eastAsia="zh-CN"/>
          <w14:textFill>
            <w14:solidFill>
              <w14:schemeClr w14:val="tx1"/>
            </w14:solidFill>
          </w14:textFill>
        </w:rPr>
      </w:pPr>
      <w:bookmarkStart w:id="103" w:name="_Toc16015"/>
      <w:r>
        <w:rPr>
          <w:rFonts w:hint="eastAsia"/>
          <w:color w:val="000000" w:themeColor="text1"/>
          <w:lang w:eastAsia="zh-CN"/>
          <w14:textFill>
            <w14:solidFill>
              <w14:schemeClr w14:val="tx1"/>
            </w14:solidFill>
          </w14:textFill>
        </w:rPr>
        <w:t>三</w:t>
      </w:r>
      <w:r>
        <w:rPr>
          <w:rFonts w:hint="eastAsia"/>
          <w:color w:val="000000" w:themeColor="text1"/>
          <w14:textFill>
            <w14:solidFill>
              <w14:schemeClr w14:val="tx1"/>
            </w14:solidFill>
          </w14:textFill>
        </w:rPr>
        <w:t>、评标</w:t>
      </w:r>
      <w:r>
        <w:rPr>
          <w:rFonts w:hint="eastAsia"/>
          <w:color w:val="000000" w:themeColor="text1"/>
          <w:lang w:eastAsia="zh-CN"/>
          <w14:textFill>
            <w14:solidFill>
              <w14:schemeClr w14:val="tx1"/>
            </w14:solidFill>
          </w14:textFill>
        </w:rPr>
        <w:t>程序</w:t>
      </w:r>
      <w:bookmarkEnd w:id="103"/>
    </w:p>
    <w:p w14:paraId="405FEF78">
      <w:pPr>
        <w:snapToGrid w:val="0"/>
        <w:spacing w:line="360" w:lineRule="auto"/>
        <w:ind w:firstLine="472" w:firstLineChars="196"/>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szCs w:val="24"/>
          <w:highlight w:val="none"/>
          <w14:textFill>
            <w14:solidFill>
              <w14:schemeClr w14:val="tx1"/>
            </w14:solidFill>
          </w14:textFill>
        </w:rPr>
        <w:t>）评标原则</w:t>
      </w:r>
    </w:p>
    <w:p w14:paraId="4B016816">
      <w:pPr>
        <w:adjustRightInd w:val="0"/>
        <w:snapToGrid w:val="0"/>
        <w:spacing w:line="360"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“公开、公平、公正、客观、择优”为评标的基本原则，</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小组将根据这一原则，公正、平等地对待各供应商。</w:t>
      </w:r>
    </w:p>
    <w:p w14:paraId="38AC85CB">
      <w:pPr>
        <w:adjustRightInd w:val="0"/>
        <w:snapToGrid w:val="0"/>
        <w:spacing w:line="360" w:lineRule="auto"/>
        <w:ind w:firstLine="354" w:firstLineChars="147"/>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eastAsia="zh-CN"/>
          <w14:textFill>
            <w14:solidFill>
              <w14:schemeClr w14:val="tx1"/>
            </w14:solidFill>
          </w14:textFill>
        </w:rPr>
        <w:t>谈判</w:t>
      </w:r>
      <w:r>
        <w:rPr>
          <w:rFonts w:hint="eastAsia" w:ascii="仿宋" w:hAnsi="仿宋" w:eastAsia="仿宋" w:cs="仿宋"/>
          <w:b/>
          <w:color w:val="000000" w:themeColor="text1"/>
          <w:sz w:val="24"/>
          <w:szCs w:val="24"/>
          <w:highlight w:val="none"/>
          <w14:textFill>
            <w14:solidFill>
              <w14:schemeClr w14:val="tx1"/>
            </w14:solidFill>
          </w14:textFill>
        </w:rPr>
        <w:t>小组</w:t>
      </w:r>
    </w:p>
    <w:p w14:paraId="22125716">
      <w:pPr>
        <w:snapToGrid w:val="0"/>
        <w:spacing w:line="360"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评标委员会成员由招标人的代表1名和随机抽取的有关方面的专家</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名组成，成员共为</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人，评标委员会的成员在评标过程中必须严格遵守政府采购的有关规定。专家从</w:t>
      </w:r>
      <w:r>
        <w:rPr>
          <w:rFonts w:hint="eastAsia" w:ascii="仿宋" w:hAnsi="仿宋" w:eastAsia="仿宋" w:cs="仿宋"/>
          <w:color w:val="000000" w:themeColor="text1"/>
          <w:sz w:val="24"/>
          <w:szCs w:val="24"/>
          <w:highlight w:val="none"/>
          <w:lang w:eastAsia="zh-CN"/>
          <w14:textFill>
            <w14:solidFill>
              <w14:schemeClr w14:val="tx1"/>
            </w14:solidFill>
          </w14:textFill>
        </w:rPr>
        <w:t>政采云</w:t>
      </w:r>
      <w:r>
        <w:rPr>
          <w:rFonts w:hint="eastAsia" w:ascii="仿宋" w:hAnsi="仿宋" w:eastAsia="仿宋" w:cs="仿宋"/>
          <w:color w:val="000000" w:themeColor="text1"/>
          <w:sz w:val="24"/>
          <w:szCs w:val="24"/>
          <w:highlight w:val="none"/>
          <w14:textFill>
            <w14:solidFill>
              <w14:schemeClr w14:val="tx1"/>
            </w14:solidFill>
          </w14:textFill>
        </w:rPr>
        <w:t>专家库中随机抽取产生，负责对响应文件进行审查、质询、评审、推选</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候选人。</w:t>
      </w:r>
    </w:p>
    <w:p w14:paraId="217246C9">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1、评标事务由</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小组负责，并独立履行下列职责：</w:t>
      </w:r>
    </w:p>
    <w:p w14:paraId="3A6E49CC">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（a）审查响应文件是否符合本文件要求，并做出评价；</w:t>
      </w:r>
    </w:p>
    <w:p w14:paraId="1D7615F8">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（b）要求供应商对响应文件有关事项做出澄清或答复；</w:t>
      </w:r>
    </w:p>
    <w:p w14:paraId="4CCF5625">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（c）推荐</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候选人名单，或者直接确定</w:t>
      </w: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w:t>
      </w:r>
    </w:p>
    <w:p w14:paraId="19B130D1">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（d）向招标采购单位或者有关部门报告非法干预评标工作的行为。</w:t>
      </w:r>
    </w:p>
    <w:p w14:paraId="3FDDDDC8">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谈判</w:t>
      </w:r>
      <w:r>
        <w:rPr>
          <w:rFonts w:hint="eastAsia" w:ascii="仿宋" w:hAnsi="仿宋" w:eastAsia="仿宋" w:cs="仿宋"/>
          <w:color w:val="000000" w:themeColor="text1"/>
          <w:sz w:val="24"/>
          <w:szCs w:val="24"/>
          <w:highlight w:val="none"/>
          <w14:textFill>
            <w14:solidFill>
              <w14:schemeClr w14:val="tx1"/>
            </w14:solidFill>
          </w14:textFill>
        </w:rPr>
        <w:t>小组成员的义务</w:t>
      </w:r>
    </w:p>
    <w:p w14:paraId="38F4EA55">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（a）遵纪守法，客观、公正、廉洁地履行职责；</w:t>
      </w:r>
    </w:p>
    <w:p w14:paraId="2523D2B3">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（b）按照</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规定的评标方法和标准进行评标，对评审意见承担个人责任；</w:t>
      </w:r>
    </w:p>
    <w:p w14:paraId="633F4ADE">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（c）对评标过程和结果，以及供应商的商业秘密保密；</w:t>
      </w:r>
    </w:p>
    <w:p w14:paraId="30CF14C0">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（d）参与评标报告的起草；</w:t>
      </w:r>
    </w:p>
    <w:p w14:paraId="3EF63136">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（e）配合财政部门的投诉处理工作；</w:t>
      </w:r>
    </w:p>
    <w:p w14:paraId="2A9EE8C2">
      <w:pPr>
        <w:keepNext w:val="0"/>
        <w:keepLines w:val="0"/>
        <w:pageBreakBefore w:val="0"/>
        <w:kinsoku/>
        <w:wordWrap/>
        <w:overflowPunct/>
        <w:topLinePunct w:val="0"/>
        <w:autoSpaceDE/>
        <w:autoSpaceDN/>
        <w:bidi w:val="0"/>
        <w:snapToGrid w:val="0"/>
        <w:spacing w:line="305" w:lineRule="auto"/>
        <w:ind w:firstLine="352" w:firstLineChars="14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（f）配合招标采购单位答复供应商提出的质疑。</w:t>
      </w:r>
    </w:p>
    <w:p w14:paraId="29FA5C8C">
      <w:pPr>
        <w:pStyle w:val="189"/>
        <w:keepNext w:val="0"/>
        <w:keepLines w:val="0"/>
        <w:pageBreakBefore w:val="0"/>
        <w:kinsoku/>
        <w:wordWrap/>
        <w:overflowPunct/>
        <w:topLinePunct w:val="0"/>
        <w:autoSpaceDE/>
        <w:autoSpaceDN/>
        <w:bidi w:val="0"/>
        <w:snapToGrid w:val="0"/>
        <w:spacing w:line="305" w:lineRule="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3.评标程序</w:t>
      </w:r>
    </w:p>
    <w:p w14:paraId="245CA0AE">
      <w:pPr>
        <w:pStyle w:val="189"/>
        <w:keepNext w:val="0"/>
        <w:keepLines w:val="0"/>
        <w:pageBreakBefore w:val="0"/>
        <w:kinsoku/>
        <w:wordWrap/>
        <w:overflowPunct/>
        <w:topLinePunct w:val="0"/>
        <w:autoSpaceDE/>
        <w:autoSpaceDN/>
        <w:bidi w:val="0"/>
        <w:snapToGrid w:val="0"/>
        <w:spacing w:line="305" w:lineRule="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本次评标首先由评标委员会对投标人的响应文件进行初审，对未能通过初审的响应文件作无效标处理；</w:t>
      </w:r>
    </w:p>
    <w:p w14:paraId="0EBED6F2">
      <w:pPr>
        <w:pStyle w:val="189"/>
        <w:keepNext w:val="0"/>
        <w:keepLines w:val="0"/>
        <w:pageBreakBefore w:val="0"/>
        <w:kinsoku/>
        <w:wordWrap/>
        <w:overflowPunct/>
        <w:topLinePunct w:val="0"/>
        <w:autoSpaceDE/>
        <w:autoSpaceDN/>
        <w:bidi w:val="0"/>
        <w:snapToGrid w:val="0"/>
        <w:spacing w:line="305" w:lineRule="auto"/>
        <w:rPr>
          <w:rFonts w:hint="eastAsia"/>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5对通过初审的投标人的响应文件进行详细的比较和评价。如需要，进行必要的澄清工作；</w:t>
      </w:r>
    </w:p>
    <w:p w14:paraId="6D8C0519">
      <w:pPr>
        <w:keepNext w:val="0"/>
        <w:keepLines w:val="0"/>
        <w:pageBreakBefore w:val="0"/>
        <w:widowControl w:val="0"/>
        <w:kinsoku/>
        <w:wordWrap/>
        <w:overflowPunct/>
        <w:topLinePunct w:val="0"/>
        <w:autoSpaceDE/>
        <w:autoSpaceDN/>
        <w:bidi w:val="0"/>
        <w:adjustRightInd/>
        <w:snapToGrid/>
        <w:spacing w:line="400" w:lineRule="exact"/>
        <w:ind w:firstLine="241" w:firstLineChars="100"/>
        <w:jc w:val="center"/>
        <w:textAlignment w:val="auto"/>
        <w:rPr>
          <w:rFonts w:hint="eastAsia" w:ascii="仿宋" w:hAnsi="仿宋" w:eastAsia="仿宋" w:cs="仿宋"/>
          <w:b/>
          <w:color w:val="000000" w:themeColor="text1"/>
          <w:sz w:val="24"/>
          <w:szCs w:val="24"/>
          <w:highlight w:val="none"/>
          <w:lang w:val="en-US" w:eastAsia="zh-CN"/>
          <w14:textFill>
            <w14:solidFill>
              <w14:schemeClr w14:val="tx1"/>
            </w14:solidFill>
          </w14:textFill>
        </w:rPr>
      </w:pPr>
    </w:p>
    <w:p w14:paraId="21FF11B9">
      <w:pPr>
        <w:rPr>
          <w:rFonts w:hint="eastAsia" w:eastAsia="仿宋"/>
          <w:color w:val="000000" w:themeColor="text1"/>
          <w:lang w:eastAsia="zh-CN"/>
          <w14:textFill>
            <w14:solidFill>
              <w14:schemeClr w14:val="tx1"/>
            </w14:solidFill>
          </w14:textFill>
        </w:rPr>
      </w:pPr>
    </w:p>
    <w:bookmarkEnd w:id="101"/>
    <w:p w14:paraId="353A3BE7">
      <w:pPr>
        <w:shd w:val="clear" w:color="auto" w:fill="auto"/>
        <w:tabs>
          <w:tab w:val="left" w:pos="900"/>
        </w:tabs>
        <w:ind w:left="0" w:leftChars="0" w:right="206" w:rightChars="98" w:firstLine="0" w:firstLineChars="0"/>
        <w:jc w:val="center"/>
        <w:outlineLvl w:val="9"/>
        <w:rPr>
          <w:rFonts w:hint="eastAsia" w:ascii="宋体" w:hAnsi="宋体" w:eastAsia="宋体" w:cs="宋体"/>
          <w:b/>
          <w:bCs/>
          <w:color w:val="000000" w:themeColor="text1"/>
          <w:sz w:val="28"/>
          <w:szCs w:val="28"/>
          <w:highlight w:val="none"/>
          <w14:textFill>
            <w14:solidFill>
              <w14:schemeClr w14:val="tx1"/>
            </w14:solidFill>
          </w14:textFill>
        </w:rPr>
      </w:pPr>
      <w:bookmarkStart w:id="104" w:name="_Toc7696"/>
      <w:bookmarkStart w:id="105" w:name="_Toc18431"/>
    </w:p>
    <w:p w14:paraId="710DBE4C">
      <w:pPr>
        <w:pStyle w:val="38"/>
        <w:rPr>
          <w:rFonts w:hint="eastAsia" w:ascii="宋体" w:hAnsi="宋体" w:eastAsia="宋体" w:cs="宋体"/>
          <w:b/>
          <w:bCs/>
          <w:color w:val="000000" w:themeColor="text1"/>
          <w:sz w:val="28"/>
          <w:szCs w:val="28"/>
          <w:highlight w:val="none"/>
          <w14:textFill>
            <w14:solidFill>
              <w14:schemeClr w14:val="tx1"/>
            </w14:solidFill>
          </w14:textFill>
        </w:rPr>
      </w:pPr>
    </w:p>
    <w:p w14:paraId="501A55FA">
      <w:pPr>
        <w:rPr>
          <w:rFonts w:hint="eastAsia" w:ascii="宋体" w:hAnsi="宋体" w:eastAsia="宋体" w:cs="宋体"/>
          <w:b/>
          <w:bCs/>
          <w:color w:val="000000" w:themeColor="text1"/>
          <w:sz w:val="28"/>
          <w:szCs w:val="28"/>
          <w:highlight w:val="none"/>
          <w14:textFill>
            <w14:solidFill>
              <w14:schemeClr w14:val="tx1"/>
            </w14:solidFill>
          </w14:textFill>
        </w:rPr>
      </w:pPr>
    </w:p>
    <w:p w14:paraId="4023188E">
      <w:pPr>
        <w:pStyle w:val="38"/>
        <w:rPr>
          <w:rFonts w:hint="eastAsia" w:ascii="宋体" w:hAnsi="宋体" w:eastAsia="宋体" w:cs="宋体"/>
          <w:b/>
          <w:bCs/>
          <w:color w:val="000000" w:themeColor="text1"/>
          <w:sz w:val="28"/>
          <w:szCs w:val="28"/>
          <w:highlight w:val="none"/>
          <w14:textFill>
            <w14:solidFill>
              <w14:schemeClr w14:val="tx1"/>
            </w14:solidFill>
          </w14:textFill>
        </w:rPr>
      </w:pPr>
    </w:p>
    <w:p w14:paraId="0170508F">
      <w:pPr>
        <w:rPr>
          <w:rFonts w:hint="eastAsia" w:ascii="宋体" w:hAnsi="宋体" w:eastAsia="宋体" w:cs="宋体"/>
          <w:b/>
          <w:bCs/>
          <w:color w:val="000000" w:themeColor="text1"/>
          <w:sz w:val="28"/>
          <w:szCs w:val="28"/>
          <w:highlight w:val="none"/>
          <w14:textFill>
            <w14:solidFill>
              <w14:schemeClr w14:val="tx1"/>
            </w14:solidFill>
          </w14:textFill>
        </w:rPr>
      </w:pPr>
    </w:p>
    <w:p w14:paraId="06BDEEFE">
      <w:pPr>
        <w:pStyle w:val="38"/>
        <w:rPr>
          <w:rFonts w:hint="eastAsia" w:ascii="宋体" w:hAnsi="宋体" w:eastAsia="宋体" w:cs="宋体"/>
          <w:b/>
          <w:bCs/>
          <w:color w:val="000000" w:themeColor="text1"/>
          <w:sz w:val="28"/>
          <w:szCs w:val="28"/>
          <w:highlight w:val="none"/>
          <w14:textFill>
            <w14:solidFill>
              <w14:schemeClr w14:val="tx1"/>
            </w14:solidFill>
          </w14:textFill>
        </w:rPr>
      </w:pPr>
    </w:p>
    <w:p w14:paraId="09B0924D">
      <w:pPr>
        <w:rPr>
          <w:rFonts w:hint="eastAsia" w:ascii="宋体" w:hAnsi="宋体" w:eastAsia="宋体" w:cs="宋体"/>
          <w:b/>
          <w:bCs/>
          <w:color w:val="000000" w:themeColor="text1"/>
          <w:sz w:val="28"/>
          <w:szCs w:val="28"/>
          <w:highlight w:val="none"/>
          <w14:textFill>
            <w14:solidFill>
              <w14:schemeClr w14:val="tx1"/>
            </w14:solidFill>
          </w14:textFill>
        </w:rPr>
      </w:pPr>
    </w:p>
    <w:p w14:paraId="75C58135">
      <w:pPr>
        <w:pStyle w:val="4"/>
        <w:rPr>
          <w:rFonts w:hint="eastAsia"/>
          <w:color w:val="000000" w:themeColor="text1"/>
          <w14:textFill>
            <w14:solidFill>
              <w14:schemeClr w14:val="tx1"/>
            </w14:solidFill>
          </w14:textFill>
        </w:rPr>
      </w:pPr>
    </w:p>
    <w:p w14:paraId="6FE35690">
      <w:pPr>
        <w:pStyle w:val="38"/>
        <w:rPr>
          <w:rFonts w:hint="eastAsia" w:ascii="宋体" w:hAnsi="宋体" w:eastAsia="宋体" w:cs="宋体"/>
          <w:b/>
          <w:bCs/>
          <w:color w:val="000000" w:themeColor="text1"/>
          <w:sz w:val="28"/>
          <w:szCs w:val="28"/>
          <w:highlight w:val="none"/>
          <w14:textFill>
            <w14:solidFill>
              <w14:schemeClr w14:val="tx1"/>
            </w14:solidFill>
          </w14:textFill>
        </w:rPr>
      </w:pPr>
    </w:p>
    <w:p w14:paraId="1E0A7C9B">
      <w:pPr>
        <w:rPr>
          <w:rFonts w:hint="eastAsia" w:ascii="宋体" w:hAnsi="宋体" w:eastAsia="宋体" w:cs="宋体"/>
          <w:b/>
          <w:bCs/>
          <w:color w:val="000000" w:themeColor="text1"/>
          <w:sz w:val="28"/>
          <w:szCs w:val="28"/>
          <w:highlight w:val="none"/>
          <w14:textFill>
            <w14:solidFill>
              <w14:schemeClr w14:val="tx1"/>
            </w14:solidFill>
          </w14:textFill>
        </w:rPr>
      </w:pPr>
    </w:p>
    <w:p w14:paraId="47C7F190">
      <w:pPr>
        <w:pStyle w:val="38"/>
        <w:rPr>
          <w:rFonts w:hint="eastAsia" w:ascii="宋体" w:hAnsi="宋体" w:eastAsia="宋体" w:cs="宋体"/>
          <w:b/>
          <w:bCs/>
          <w:color w:val="000000" w:themeColor="text1"/>
          <w:sz w:val="28"/>
          <w:szCs w:val="28"/>
          <w:highlight w:val="none"/>
          <w14:textFill>
            <w14:solidFill>
              <w14:schemeClr w14:val="tx1"/>
            </w14:solidFill>
          </w14:textFill>
        </w:rPr>
      </w:pPr>
    </w:p>
    <w:p w14:paraId="5D67DC15">
      <w:pPr>
        <w:rPr>
          <w:rFonts w:hint="eastAsia" w:ascii="宋体" w:hAnsi="宋体" w:eastAsia="宋体" w:cs="宋体"/>
          <w:b/>
          <w:bCs/>
          <w:color w:val="000000" w:themeColor="text1"/>
          <w:sz w:val="28"/>
          <w:szCs w:val="28"/>
          <w:highlight w:val="none"/>
          <w14:textFill>
            <w14:solidFill>
              <w14:schemeClr w14:val="tx1"/>
            </w14:solidFill>
          </w14:textFill>
        </w:rPr>
      </w:pPr>
    </w:p>
    <w:p w14:paraId="112FD4C2">
      <w:pPr>
        <w:pStyle w:val="38"/>
        <w:rPr>
          <w:rFonts w:hint="eastAsia"/>
          <w:color w:val="000000" w:themeColor="text1"/>
          <w14:textFill>
            <w14:solidFill>
              <w14:schemeClr w14:val="tx1"/>
            </w14:solidFill>
          </w14:textFill>
        </w:rPr>
      </w:pPr>
    </w:p>
    <w:bookmarkEnd w:id="104"/>
    <w:bookmarkEnd w:id="105"/>
    <w:p w14:paraId="13F4AB8C">
      <w:pPr>
        <w:shd w:val="clear" w:color="auto" w:fill="auto"/>
        <w:tabs>
          <w:tab w:val="left" w:pos="900"/>
        </w:tabs>
        <w:ind w:left="0" w:leftChars="0" w:right="206" w:rightChars="98" w:firstLine="0" w:firstLineChars="0"/>
        <w:jc w:val="center"/>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1C501214">
      <w:pPr>
        <w:shd w:val="clear" w:color="auto" w:fill="auto"/>
        <w:tabs>
          <w:tab w:val="left" w:pos="900"/>
        </w:tabs>
        <w:ind w:left="0" w:leftChars="0" w:right="206" w:rightChars="98" w:firstLine="0" w:firstLineChars="0"/>
        <w:jc w:val="center"/>
        <w:outlineLvl w:val="2"/>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106" w:name="_Toc3364"/>
      <w:r>
        <w:rPr>
          <w:rFonts w:hint="eastAsia" w:ascii="宋体" w:hAnsi="宋体" w:eastAsia="宋体" w:cs="宋体"/>
          <w:b/>
          <w:bCs/>
          <w:color w:val="000000" w:themeColor="text1"/>
          <w:sz w:val="28"/>
          <w:szCs w:val="28"/>
          <w:highlight w:val="none"/>
          <w:lang w:eastAsia="zh-CN"/>
          <w14:textFill>
            <w14:solidFill>
              <w14:schemeClr w14:val="tx1"/>
            </w14:solidFill>
          </w14:textFill>
        </w:rPr>
        <w:t>（一）</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响应文件初审</w:t>
      </w:r>
      <w:bookmarkEnd w:id="106"/>
    </w:p>
    <w:p w14:paraId="657E6F43">
      <w:pPr>
        <w:spacing w:line="400" w:lineRule="exact"/>
        <w:ind w:firstLine="354" w:firstLineChars="147"/>
        <w:outlineLvl w:val="1"/>
        <w:rPr>
          <w:rFonts w:ascii="仿宋" w:hAnsi="仿宋" w:eastAsia="仿宋" w:cs="仿宋"/>
          <w:b/>
          <w:color w:val="000000" w:themeColor="text1"/>
          <w:sz w:val="24"/>
          <w:szCs w:val="24"/>
          <w:highlight w:val="none"/>
          <w:lang w:eastAsia="zh-CN"/>
          <w14:textFill>
            <w14:solidFill>
              <w14:schemeClr w14:val="tx1"/>
            </w14:solidFill>
          </w14:textFill>
        </w:rPr>
      </w:pPr>
      <w:bookmarkStart w:id="107" w:name="_Toc4376"/>
      <w:r>
        <w:rPr>
          <w:rFonts w:hint="eastAsia" w:ascii="仿宋" w:hAnsi="仿宋" w:eastAsia="仿宋" w:cs="仿宋"/>
          <w:b/>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color w:val="000000" w:themeColor="text1"/>
          <w:sz w:val="24"/>
          <w:szCs w:val="24"/>
          <w:highlight w:val="none"/>
          <w:lang w:eastAsia="zh-CN"/>
          <w14:textFill>
            <w14:solidFill>
              <w14:schemeClr w14:val="tx1"/>
            </w14:solidFill>
          </w14:textFill>
        </w:rPr>
        <w:t>资格性审查:</w:t>
      </w:r>
      <w:bookmarkEnd w:id="107"/>
    </w:p>
    <w:p w14:paraId="3DC113FD">
      <w:pPr>
        <w:spacing w:line="400" w:lineRule="exact"/>
        <w:ind w:firstLine="352" w:firstLineChars="147"/>
        <w:outlineLvl w:val="2"/>
        <w:rPr>
          <w:rFonts w:ascii="仿宋" w:hAnsi="仿宋" w:eastAsia="仿宋" w:cs="仿宋"/>
          <w:color w:val="000000" w:themeColor="text1"/>
          <w:sz w:val="24"/>
          <w:szCs w:val="24"/>
          <w:highlight w:val="none"/>
          <w14:textFill>
            <w14:solidFill>
              <w14:schemeClr w14:val="tx1"/>
            </w14:solidFill>
          </w14:textFill>
        </w:rPr>
      </w:pPr>
      <w:bookmarkStart w:id="108" w:name="_Toc4240"/>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1评审细则</w:t>
      </w:r>
      <w:bookmarkEnd w:id="108"/>
    </w:p>
    <w:p w14:paraId="7811897A">
      <w:pPr>
        <w:pStyle w:val="38"/>
        <w:rPr>
          <w:rFonts w:hint="eastAsia"/>
          <w:color w:val="000000" w:themeColor="text1"/>
          <w:lang w:val="en-US" w:eastAsia="zh-CN"/>
          <w14:textFill>
            <w14:solidFill>
              <w14:schemeClr w14:val="tx1"/>
            </w14:solidFill>
          </w14:textFill>
        </w:rPr>
      </w:pPr>
    </w:p>
    <w:tbl>
      <w:tblPr>
        <w:tblStyle w:val="50"/>
        <w:tblpPr w:leftFromText="180" w:rightFromText="180" w:vertAnchor="text" w:horzAnchor="page" w:tblpX="1417" w:tblpY="38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547"/>
        <w:gridCol w:w="5281"/>
        <w:gridCol w:w="1304"/>
        <w:gridCol w:w="1273"/>
      </w:tblGrid>
      <w:tr w14:paraId="786D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81" w:type="dxa"/>
            <w:vMerge w:val="restart"/>
            <w:noWrap w:val="0"/>
            <w:vAlign w:val="center"/>
          </w:tcPr>
          <w:p w14:paraId="224D8117">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bookmarkStart w:id="109" w:name="OLE_LINK12"/>
            <w:bookmarkStart w:id="110" w:name="_Toc24810_WPSOffice_Level1"/>
            <w:bookmarkStart w:id="111" w:name="_Toc26666_WPSOffice_Level1"/>
            <w:r>
              <w:rPr>
                <w:rFonts w:hint="eastAsia" w:ascii="宋体" w:hAnsi="宋体" w:eastAsia="宋体" w:cs="宋体"/>
                <w:color w:val="000000" w:themeColor="text1"/>
                <w:szCs w:val="21"/>
                <w:highlight w:val="none"/>
                <w14:textFill>
                  <w14:solidFill>
                    <w14:schemeClr w14:val="tx1"/>
                  </w14:solidFill>
                </w14:textFill>
              </w:rPr>
              <w:t>审</w:t>
            </w:r>
          </w:p>
          <w:p w14:paraId="1ACDC01A">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查</w:t>
            </w:r>
          </w:p>
          <w:p w14:paraId="0118EE5C">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标</w:t>
            </w:r>
          </w:p>
          <w:p w14:paraId="32BAEF53">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准</w:t>
            </w:r>
          </w:p>
          <w:p w14:paraId="0FA0C876">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(适</w:t>
            </w:r>
          </w:p>
          <w:p w14:paraId="721C8DBC">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w:t>
            </w:r>
          </w:p>
          <w:p w14:paraId="51578F5B">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于</w:t>
            </w:r>
          </w:p>
          <w:p w14:paraId="2F93580E">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w:t>
            </w:r>
          </w:p>
          <w:p w14:paraId="3C47F962">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格</w:t>
            </w:r>
          </w:p>
          <w:p w14:paraId="10AB79A7">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后</w:t>
            </w:r>
          </w:p>
          <w:p w14:paraId="4688F44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审</w:t>
            </w:r>
            <w:bookmarkEnd w:id="109"/>
            <w:r>
              <w:rPr>
                <w:rFonts w:hint="eastAsia" w:ascii="宋体" w:hAnsi="宋体" w:eastAsia="宋体" w:cs="宋体"/>
                <w:color w:val="000000" w:themeColor="text1"/>
                <w:szCs w:val="21"/>
                <w:highlight w:val="none"/>
                <w14:textFill>
                  <w14:solidFill>
                    <w14:schemeClr w14:val="tx1"/>
                  </w14:solidFill>
                </w14:textFill>
              </w:rPr>
              <w:t>)</w:t>
            </w:r>
          </w:p>
        </w:tc>
        <w:tc>
          <w:tcPr>
            <w:tcW w:w="5828" w:type="dxa"/>
            <w:gridSpan w:val="2"/>
            <w:vMerge w:val="restart"/>
            <w:noWrap w:val="0"/>
            <w:vAlign w:val="center"/>
          </w:tcPr>
          <w:p w14:paraId="46B72C7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评审内容</w:t>
            </w:r>
          </w:p>
        </w:tc>
        <w:tc>
          <w:tcPr>
            <w:tcW w:w="2577" w:type="dxa"/>
            <w:gridSpan w:val="2"/>
            <w:noWrap w:val="0"/>
            <w:vAlign w:val="center"/>
          </w:tcPr>
          <w:p w14:paraId="326EF9A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评审意见</w:t>
            </w:r>
          </w:p>
        </w:tc>
      </w:tr>
      <w:tr w14:paraId="4CF6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81" w:type="dxa"/>
            <w:vMerge w:val="continue"/>
            <w:noWrap w:val="0"/>
            <w:vAlign w:val="center"/>
          </w:tcPr>
          <w:p w14:paraId="1637D020">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14:textFill>
                  <w14:solidFill>
                    <w14:schemeClr w14:val="tx1"/>
                  </w14:solidFill>
                </w14:textFill>
              </w:rPr>
            </w:pPr>
          </w:p>
        </w:tc>
        <w:tc>
          <w:tcPr>
            <w:tcW w:w="5828" w:type="dxa"/>
            <w:gridSpan w:val="2"/>
            <w:vMerge w:val="continue"/>
            <w:noWrap w:val="0"/>
            <w:vAlign w:val="top"/>
          </w:tcPr>
          <w:p w14:paraId="3BA675DE">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14:textFill>
                  <w14:solidFill>
                    <w14:schemeClr w14:val="tx1"/>
                  </w14:solidFill>
                </w14:textFill>
              </w:rPr>
            </w:pPr>
          </w:p>
        </w:tc>
        <w:tc>
          <w:tcPr>
            <w:tcW w:w="1304" w:type="dxa"/>
            <w:noWrap w:val="0"/>
            <w:vAlign w:val="center"/>
          </w:tcPr>
          <w:p w14:paraId="3D372714">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是</w:t>
            </w:r>
          </w:p>
        </w:tc>
        <w:tc>
          <w:tcPr>
            <w:tcW w:w="1273" w:type="dxa"/>
            <w:noWrap w:val="0"/>
            <w:vAlign w:val="center"/>
          </w:tcPr>
          <w:p w14:paraId="5CE152E3">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否</w:t>
            </w:r>
          </w:p>
        </w:tc>
      </w:tr>
      <w:tr w14:paraId="7790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81" w:type="dxa"/>
            <w:vMerge w:val="continue"/>
            <w:noWrap w:val="0"/>
            <w:vAlign w:val="center"/>
          </w:tcPr>
          <w:p w14:paraId="7B0FF9CB">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6BB46027">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w:t>
            </w:r>
          </w:p>
        </w:tc>
        <w:tc>
          <w:tcPr>
            <w:tcW w:w="5281" w:type="dxa"/>
            <w:noWrap w:val="0"/>
            <w:vAlign w:val="center"/>
          </w:tcPr>
          <w:p w14:paraId="412BC638">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具备三证合一营业执照副本；</w:t>
            </w:r>
            <w:r>
              <w:rPr>
                <w:rFonts w:hint="eastAsia" w:ascii="仿宋" w:hAnsi="仿宋" w:eastAsia="仿宋" w:cs="仿宋"/>
                <w:color w:val="000000" w:themeColor="text1"/>
                <w:highlight w:val="none"/>
                <w:lang w:val="en-US" w:eastAsia="zh-CN"/>
                <w14:textFill>
                  <w14:solidFill>
                    <w14:schemeClr w14:val="tx1"/>
                  </w14:solidFill>
                </w14:textFill>
              </w:rPr>
              <w:tab/>
            </w:r>
          </w:p>
        </w:tc>
        <w:tc>
          <w:tcPr>
            <w:tcW w:w="1304" w:type="dxa"/>
            <w:noWrap w:val="0"/>
            <w:vAlign w:val="top"/>
          </w:tcPr>
          <w:p w14:paraId="7F900CD8">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117CA57B">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5882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81" w:type="dxa"/>
            <w:vMerge w:val="continue"/>
            <w:noWrap w:val="0"/>
            <w:vAlign w:val="center"/>
          </w:tcPr>
          <w:p w14:paraId="4DF268F4">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16EC4A6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p>
        </w:tc>
        <w:tc>
          <w:tcPr>
            <w:tcW w:w="5281" w:type="dxa"/>
            <w:noWrap w:val="0"/>
            <w:vAlign w:val="center"/>
          </w:tcPr>
          <w:p w14:paraId="66FE818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法定代表人投标需提供法定代表人资格证明书，委托代理人投标需提供法定代表人授权委托书；</w:t>
            </w:r>
          </w:p>
        </w:tc>
        <w:tc>
          <w:tcPr>
            <w:tcW w:w="1304" w:type="dxa"/>
            <w:noWrap w:val="0"/>
            <w:vAlign w:val="top"/>
          </w:tcPr>
          <w:p w14:paraId="39BDF58A">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0C081F03">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4A05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81" w:type="dxa"/>
            <w:vMerge w:val="continue"/>
            <w:noWrap w:val="0"/>
            <w:vAlign w:val="center"/>
          </w:tcPr>
          <w:p w14:paraId="4DF914EF">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14D51C22">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p>
        </w:tc>
        <w:tc>
          <w:tcPr>
            <w:tcW w:w="5281" w:type="dxa"/>
            <w:noWrap w:val="0"/>
            <w:vAlign w:val="center"/>
          </w:tcPr>
          <w:p w14:paraId="0FC24CA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投标企业须提供投标人（被授权在职人员）近6个月内任意一个月有效的社保证明；</w:t>
            </w:r>
          </w:p>
        </w:tc>
        <w:tc>
          <w:tcPr>
            <w:tcW w:w="1304" w:type="dxa"/>
            <w:noWrap w:val="0"/>
            <w:vAlign w:val="top"/>
          </w:tcPr>
          <w:p w14:paraId="7C20151B">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3DE93507">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368C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81" w:type="dxa"/>
            <w:vMerge w:val="continue"/>
            <w:noWrap w:val="0"/>
            <w:vAlign w:val="center"/>
          </w:tcPr>
          <w:p w14:paraId="0CE62E4E">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787F237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4</w:t>
            </w:r>
          </w:p>
        </w:tc>
        <w:tc>
          <w:tcPr>
            <w:tcW w:w="5281" w:type="dxa"/>
            <w:noWrap w:val="0"/>
            <w:vAlign w:val="center"/>
          </w:tcPr>
          <w:p w14:paraId="7AB80E23">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未被“信用中国”（www.creditchina.gov.cn）、中国政府采购网（www.ccgp.gov.cn）列入失信被执行人、重大税收违法案件当事人名单、政府采购严重违法失信行为记录名单；</w:t>
            </w:r>
          </w:p>
        </w:tc>
        <w:tc>
          <w:tcPr>
            <w:tcW w:w="1304" w:type="dxa"/>
            <w:noWrap w:val="0"/>
            <w:vAlign w:val="top"/>
          </w:tcPr>
          <w:p w14:paraId="338F9C7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30DAB71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6576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81" w:type="dxa"/>
            <w:vMerge w:val="continue"/>
            <w:noWrap w:val="0"/>
            <w:vAlign w:val="center"/>
          </w:tcPr>
          <w:p w14:paraId="4CA381A4">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6FA00176">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5</w:t>
            </w:r>
          </w:p>
        </w:tc>
        <w:tc>
          <w:tcPr>
            <w:tcW w:w="5281" w:type="dxa"/>
            <w:noWrap w:val="0"/>
            <w:vAlign w:val="center"/>
          </w:tcPr>
          <w:p w14:paraId="3712C8E9">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投标保证金缴纳凭证或保函等票据</w:t>
            </w:r>
            <w:r>
              <w:rPr>
                <w:rFonts w:hint="eastAsia" w:ascii="仿宋" w:hAnsi="仿宋" w:eastAsia="仿宋" w:cs="仿宋"/>
                <w:color w:val="000000" w:themeColor="text1"/>
                <w:highlight w:val="none"/>
                <w:lang w:val="en-US" w:eastAsia="zh-CN"/>
                <w14:textFill>
                  <w14:solidFill>
                    <w14:schemeClr w14:val="tx1"/>
                  </w14:solidFill>
                </w14:textFill>
              </w:rPr>
              <w:t>。</w:t>
            </w:r>
          </w:p>
        </w:tc>
        <w:tc>
          <w:tcPr>
            <w:tcW w:w="1304" w:type="dxa"/>
            <w:noWrap w:val="0"/>
            <w:vAlign w:val="top"/>
          </w:tcPr>
          <w:p w14:paraId="4E178D2C">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0EEE79A0">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2CB0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81" w:type="dxa"/>
            <w:vMerge w:val="continue"/>
            <w:noWrap w:val="0"/>
            <w:vAlign w:val="center"/>
          </w:tcPr>
          <w:p w14:paraId="5CE2FBF1">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50B9AC54">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6</w:t>
            </w:r>
          </w:p>
        </w:tc>
        <w:tc>
          <w:tcPr>
            <w:tcW w:w="5281" w:type="dxa"/>
            <w:noWrap w:val="0"/>
            <w:vAlign w:val="center"/>
          </w:tcPr>
          <w:p w14:paraId="62F8F068">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供应商需提供有效的《</w:t>
            </w:r>
            <w:r>
              <w:rPr>
                <w:rFonts w:hint="eastAsia" w:ascii="仿宋" w:hAnsi="仿宋" w:eastAsia="仿宋" w:cs="仿宋"/>
                <w:color w:val="000000" w:themeColor="text1"/>
                <w:highlight w:val="none"/>
                <w:lang w:val="en-US" w:eastAsia="zh-CN"/>
                <w14:textFill>
                  <w14:solidFill>
                    <w14:schemeClr w14:val="tx1"/>
                  </w14:solidFill>
                </w14:textFill>
              </w:rPr>
              <w:t>二类</w:t>
            </w:r>
            <w:r>
              <w:rPr>
                <w:rFonts w:hint="default" w:ascii="仿宋" w:hAnsi="仿宋" w:eastAsia="仿宋" w:cs="仿宋"/>
                <w:color w:val="000000" w:themeColor="text1"/>
                <w:highlight w:val="none"/>
                <w:lang w:val="en-US" w:eastAsia="zh-CN"/>
                <w14:textFill>
                  <w14:solidFill>
                    <w14:schemeClr w14:val="tx1"/>
                  </w14:solidFill>
                </w14:textFill>
              </w:rPr>
              <w:t>医疗器械生产许可证》或《</w:t>
            </w:r>
            <w:r>
              <w:rPr>
                <w:rFonts w:hint="eastAsia" w:ascii="仿宋" w:hAnsi="仿宋" w:eastAsia="仿宋" w:cs="仿宋"/>
                <w:color w:val="000000" w:themeColor="text1"/>
                <w:highlight w:val="none"/>
                <w:lang w:val="en-US" w:eastAsia="zh-CN"/>
                <w14:textFill>
                  <w14:solidFill>
                    <w14:schemeClr w14:val="tx1"/>
                  </w14:solidFill>
                </w14:textFill>
              </w:rPr>
              <w:t>二类</w:t>
            </w:r>
            <w:r>
              <w:rPr>
                <w:rFonts w:hint="default" w:ascii="仿宋" w:hAnsi="仿宋" w:eastAsia="仿宋" w:cs="仿宋"/>
                <w:color w:val="000000" w:themeColor="text1"/>
                <w:highlight w:val="none"/>
                <w:lang w:val="en-US" w:eastAsia="zh-CN"/>
                <w14:textFill>
                  <w14:solidFill>
                    <w14:schemeClr w14:val="tx1"/>
                  </w14:solidFill>
                </w14:textFill>
              </w:rPr>
              <w:t>医疗器械经营许可证》；</w:t>
            </w:r>
          </w:p>
        </w:tc>
        <w:tc>
          <w:tcPr>
            <w:tcW w:w="1304" w:type="dxa"/>
            <w:noWrap w:val="0"/>
            <w:vAlign w:val="top"/>
          </w:tcPr>
          <w:p w14:paraId="21578840">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c>
          <w:tcPr>
            <w:tcW w:w="1273" w:type="dxa"/>
            <w:noWrap w:val="0"/>
            <w:vAlign w:val="top"/>
          </w:tcPr>
          <w:p w14:paraId="79C3EB4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p>
        </w:tc>
      </w:tr>
      <w:tr w14:paraId="2DF1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81" w:type="dxa"/>
            <w:vMerge w:val="continue"/>
            <w:noWrap w:val="0"/>
            <w:vAlign w:val="center"/>
          </w:tcPr>
          <w:p w14:paraId="54B5630F">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547" w:type="dxa"/>
            <w:noWrap w:val="0"/>
            <w:vAlign w:val="center"/>
          </w:tcPr>
          <w:p w14:paraId="64EB0020">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7</w:t>
            </w:r>
          </w:p>
        </w:tc>
        <w:tc>
          <w:tcPr>
            <w:tcW w:w="5281" w:type="dxa"/>
            <w:noWrap w:val="0"/>
            <w:vAlign w:val="center"/>
          </w:tcPr>
          <w:p w14:paraId="12A29EF5">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供应商应为中小企业</w:t>
            </w:r>
          </w:p>
        </w:tc>
        <w:tc>
          <w:tcPr>
            <w:tcW w:w="2577" w:type="dxa"/>
            <w:gridSpan w:val="2"/>
            <w:noWrap w:val="0"/>
            <w:vAlign w:val="top"/>
          </w:tcPr>
          <w:p w14:paraId="4F47BC94">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请根据要求单独上传《中小企业声明函》。格式以采购文件要求为准。</w:t>
            </w:r>
          </w:p>
        </w:tc>
      </w:tr>
      <w:tr w14:paraId="4B09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1" w:type="dxa"/>
            <w:vMerge w:val="continue"/>
            <w:noWrap w:val="0"/>
            <w:vAlign w:val="center"/>
          </w:tcPr>
          <w:p w14:paraId="05F89ABF">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highlight w:val="none"/>
                <w:lang w:eastAsia="zh-CN"/>
                <w14:textFill>
                  <w14:solidFill>
                    <w14:schemeClr w14:val="tx1"/>
                  </w14:solidFill>
                </w14:textFill>
              </w:rPr>
            </w:pPr>
          </w:p>
        </w:tc>
        <w:tc>
          <w:tcPr>
            <w:tcW w:w="8405" w:type="dxa"/>
            <w:gridSpan w:val="4"/>
            <w:noWrap w:val="0"/>
            <w:vAlign w:val="top"/>
          </w:tcPr>
          <w:p w14:paraId="76D633DE">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结论：是否通过评审（须填写通过或不通过）</w:t>
            </w:r>
          </w:p>
          <w:p w14:paraId="66E97AB6">
            <w:pPr>
              <w:keepNext w:val="0"/>
              <w:keepLines w:val="0"/>
              <w:suppressLineNumbers w:val="0"/>
              <w:spacing w:before="0" w:beforeAutospacing="0" w:after="0" w:afterAutospacing="0"/>
              <w:ind w:left="0" w:right="0"/>
              <w:rPr>
                <w:rFonts w:hint="default"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注：如有一项不合格，作废标处理。</w:t>
            </w:r>
          </w:p>
        </w:tc>
      </w:tr>
      <w:bookmarkEnd w:id="110"/>
      <w:bookmarkEnd w:id="111"/>
    </w:tbl>
    <w:p w14:paraId="6CB8E220">
      <w:pPr>
        <w:shd w:val="clear" w:color="auto" w:fill="auto"/>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66D505AC">
      <w:pPr>
        <w:shd w:val="clear" w:color="auto" w:fill="auto"/>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40CEE4AA">
      <w:pPr>
        <w:shd w:val="clear" w:color="auto" w:fill="auto"/>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314E3DBA">
      <w:pPr>
        <w:spacing w:line="400" w:lineRule="exact"/>
        <w:ind w:firstLine="506" w:firstLineChars="241"/>
        <w:rPr>
          <w:rFonts w:ascii="仿宋" w:hAnsi="仿宋" w:eastAsia="仿宋" w:cs="仿宋"/>
          <w:b/>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1.2</w:t>
      </w:r>
      <w:r>
        <w:rPr>
          <w:rFonts w:hint="eastAsia" w:ascii="仿宋" w:hAnsi="仿宋" w:eastAsia="仿宋" w:cs="仿宋"/>
          <w:b/>
          <w:color w:val="000000" w:themeColor="text1"/>
          <w:sz w:val="24"/>
          <w:szCs w:val="24"/>
          <w:highlight w:val="none"/>
          <w:lang w:eastAsia="zh-CN"/>
          <w14:textFill>
            <w14:solidFill>
              <w14:schemeClr w14:val="tx1"/>
            </w14:solidFill>
          </w14:textFill>
        </w:rPr>
        <w:t>如评标专家在检验电子标书过程中，如果由于投标人自身原因导致评标专家无法查看并检验电子标书中以上相关资料的，否决其投标。即使投标单位将原件携带至现场的，同样按无效投标处理。</w:t>
      </w:r>
    </w:p>
    <w:p w14:paraId="39E438A9">
      <w:pPr>
        <w:shd w:val="clear" w:color="auto" w:fill="auto"/>
        <w:ind w:left="0" w:leftChars="0" w:right="206" w:rightChars="98" w:firstLine="0" w:firstLineChars="0"/>
        <w:rPr>
          <w:rFonts w:hint="default" w:ascii="宋体" w:hAnsi="宋体" w:eastAsia="宋体" w:cs="宋体"/>
          <w:color w:val="000000" w:themeColor="text1"/>
          <w:szCs w:val="21"/>
          <w:highlight w:val="none"/>
          <w:lang w:val="en-US" w:eastAsia="zh-CN"/>
          <w14:textFill>
            <w14:solidFill>
              <w14:schemeClr w14:val="tx1"/>
            </w14:solidFill>
          </w14:textFill>
        </w:rPr>
      </w:pPr>
    </w:p>
    <w:p w14:paraId="4599B54B">
      <w:pPr>
        <w:pStyle w:val="38"/>
        <w:rPr>
          <w:rFonts w:hint="default"/>
          <w:color w:val="000000" w:themeColor="text1"/>
          <w:lang w:val="en-US" w:eastAsia="zh-CN"/>
          <w14:textFill>
            <w14:solidFill>
              <w14:schemeClr w14:val="tx1"/>
            </w14:solidFill>
          </w14:textFill>
        </w:rPr>
      </w:pPr>
    </w:p>
    <w:p w14:paraId="6D4A0776">
      <w:pPr>
        <w:shd w:val="clear" w:color="auto" w:fill="auto"/>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6B103FEE">
      <w:pPr>
        <w:pStyle w:val="4"/>
        <w:outlineLvl w:val="9"/>
        <w:rPr>
          <w:rFonts w:hint="eastAsia" w:ascii="宋体" w:hAnsi="宋体" w:eastAsia="宋体" w:cs="宋体"/>
          <w:color w:val="000000" w:themeColor="text1"/>
          <w:szCs w:val="21"/>
          <w:highlight w:val="none"/>
          <w14:textFill>
            <w14:solidFill>
              <w14:schemeClr w14:val="tx1"/>
            </w14:solidFill>
          </w14:textFill>
        </w:rPr>
      </w:pPr>
    </w:p>
    <w:p w14:paraId="1FCA3319">
      <w:pPr>
        <w:rPr>
          <w:rFonts w:hint="eastAsia"/>
          <w:color w:val="000000" w:themeColor="text1"/>
          <w14:textFill>
            <w14:solidFill>
              <w14:schemeClr w14:val="tx1"/>
            </w14:solidFill>
          </w14:textFill>
        </w:rPr>
      </w:pPr>
    </w:p>
    <w:p w14:paraId="2A16C445">
      <w:pPr>
        <w:shd w:val="clear" w:color="auto" w:fill="auto"/>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5BA24012">
      <w:pPr>
        <w:pStyle w:val="38"/>
        <w:rPr>
          <w:rFonts w:hint="eastAsia" w:ascii="宋体" w:hAnsi="宋体" w:eastAsia="宋体" w:cs="宋体"/>
          <w:color w:val="000000" w:themeColor="text1"/>
          <w:szCs w:val="21"/>
          <w:highlight w:val="none"/>
          <w14:textFill>
            <w14:solidFill>
              <w14:schemeClr w14:val="tx1"/>
            </w14:solidFill>
          </w14:textFill>
        </w:rPr>
      </w:pPr>
    </w:p>
    <w:p w14:paraId="4FA7B0C1">
      <w:pPr>
        <w:rPr>
          <w:rFonts w:hint="eastAsia" w:ascii="宋体" w:hAnsi="宋体" w:eastAsia="宋体" w:cs="宋体"/>
          <w:color w:val="000000" w:themeColor="text1"/>
          <w:szCs w:val="21"/>
          <w:highlight w:val="none"/>
          <w14:textFill>
            <w14:solidFill>
              <w14:schemeClr w14:val="tx1"/>
            </w14:solidFill>
          </w14:textFill>
        </w:rPr>
      </w:pPr>
    </w:p>
    <w:p w14:paraId="220A49DB">
      <w:pPr>
        <w:pStyle w:val="38"/>
        <w:rPr>
          <w:rFonts w:hint="eastAsia" w:ascii="宋体" w:hAnsi="宋体" w:eastAsia="宋体" w:cs="宋体"/>
          <w:color w:val="000000" w:themeColor="text1"/>
          <w:szCs w:val="21"/>
          <w:highlight w:val="none"/>
          <w14:textFill>
            <w14:solidFill>
              <w14:schemeClr w14:val="tx1"/>
            </w14:solidFill>
          </w14:textFill>
        </w:rPr>
      </w:pPr>
    </w:p>
    <w:p w14:paraId="629668ED">
      <w:pPr>
        <w:rPr>
          <w:rFonts w:hint="eastAsia" w:ascii="宋体" w:hAnsi="宋体" w:eastAsia="宋体" w:cs="宋体"/>
          <w:color w:val="000000" w:themeColor="text1"/>
          <w:szCs w:val="21"/>
          <w:highlight w:val="none"/>
          <w14:textFill>
            <w14:solidFill>
              <w14:schemeClr w14:val="tx1"/>
            </w14:solidFill>
          </w14:textFill>
        </w:rPr>
      </w:pPr>
    </w:p>
    <w:p w14:paraId="2789CB85">
      <w:pPr>
        <w:pStyle w:val="38"/>
        <w:rPr>
          <w:rFonts w:hint="eastAsia" w:ascii="宋体" w:hAnsi="宋体" w:eastAsia="宋体" w:cs="宋体"/>
          <w:color w:val="000000" w:themeColor="text1"/>
          <w:szCs w:val="21"/>
          <w:highlight w:val="none"/>
          <w14:textFill>
            <w14:solidFill>
              <w14:schemeClr w14:val="tx1"/>
            </w14:solidFill>
          </w14:textFill>
        </w:rPr>
      </w:pPr>
    </w:p>
    <w:p w14:paraId="7BA9186F">
      <w:pPr>
        <w:shd w:val="clear" w:color="auto" w:fill="auto"/>
        <w:ind w:left="0" w:leftChars="0" w:right="206" w:rightChars="98" w:firstLine="0" w:firstLineChars="0"/>
        <w:outlineLvl w:val="9"/>
        <w:rPr>
          <w:rFonts w:hint="eastAsia" w:ascii="宋体" w:hAnsi="宋体" w:eastAsia="宋体" w:cs="宋体"/>
          <w:color w:val="000000" w:themeColor="text1"/>
          <w:szCs w:val="21"/>
          <w:highlight w:val="none"/>
          <w14:textFill>
            <w14:solidFill>
              <w14:schemeClr w14:val="tx1"/>
            </w14:solidFill>
          </w14:textFill>
        </w:rPr>
      </w:pPr>
      <w:bookmarkStart w:id="112" w:name="_Toc30333"/>
      <w:bookmarkStart w:id="113" w:name="_Toc3480"/>
    </w:p>
    <w:p w14:paraId="0AEF6089">
      <w:pPr>
        <w:shd w:val="clear" w:color="auto" w:fill="auto"/>
        <w:ind w:left="0" w:leftChars="0" w:right="206" w:rightChars="98" w:firstLine="0" w:firstLineChars="0"/>
        <w:outlineLvl w:val="9"/>
        <w:rPr>
          <w:rFonts w:hint="eastAsia" w:ascii="宋体" w:hAnsi="宋体" w:eastAsia="宋体" w:cs="宋体"/>
          <w:b/>
          <w:bCs/>
          <w:color w:val="000000" w:themeColor="text1"/>
          <w:szCs w:val="21"/>
          <w:highlight w:val="none"/>
          <w14:textFill>
            <w14:solidFill>
              <w14:schemeClr w14:val="tx1"/>
            </w14:solidFill>
          </w14:textFill>
        </w:rPr>
      </w:pPr>
    </w:p>
    <w:bookmarkEnd w:id="112"/>
    <w:bookmarkEnd w:id="113"/>
    <w:p w14:paraId="16937F1C">
      <w:pPr>
        <w:shd w:val="clear" w:color="auto" w:fill="auto"/>
        <w:ind w:left="0" w:leftChars="0" w:right="206" w:rightChars="98" w:firstLine="0" w:firstLineChars="0"/>
        <w:jc w:val="center"/>
        <w:outlineLvl w:val="3"/>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符合性审查</w:t>
      </w:r>
    </w:p>
    <w:p w14:paraId="663DDCE9">
      <w:pPr>
        <w:pStyle w:val="38"/>
        <w:numPr>
          <w:ilvl w:val="0"/>
          <w:numId w:val="5"/>
        </w:numPr>
        <w:outlineLvl w:val="2"/>
        <w:rPr>
          <w:rFonts w:hint="default" w:eastAsia="仿宋"/>
          <w:b w:val="0"/>
          <w:bCs w:val="0"/>
          <w:color w:val="000000" w:themeColor="text1"/>
          <w:lang w:val="en-US" w:eastAsia="zh-CN"/>
          <w14:textFill>
            <w14:solidFill>
              <w14:schemeClr w14:val="tx1"/>
            </w14:solidFill>
          </w14:textFill>
        </w:rPr>
      </w:pPr>
      <w:bookmarkStart w:id="114" w:name="_Toc8411"/>
      <w:r>
        <w:rPr>
          <w:rFonts w:hint="eastAsia" w:eastAsia="仿宋"/>
          <w:b w:val="0"/>
          <w:bCs w:val="0"/>
          <w:color w:val="000000" w:themeColor="text1"/>
          <w:lang w:val="en-US" w:eastAsia="zh-CN"/>
          <w14:textFill>
            <w14:solidFill>
              <w14:schemeClr w14:val="tx1"/>
            </w14:solidFill>
          </w14:textFill>
        </w:rPr>
        <w:t>1评审细则</w:t>
      </w:r>
      <w:bookmarkEnd w:id="114"/>
    </w:p>
    <w:tbl>
      <w:tblPr>
        <w:tblStyle w:val="50"/>
        <w:tblpPr w:leftFromText="180" w:rightFromText="180" w:vertAnchor="text" w:horzAnchor="page" w:tblpXSpec="center" w:tblpY="544"/>
        <w:tblW w:w="93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598"/>
        <w:gridCol w:w="6395"/>
        <w:gridCol w:w="699"/>
        <w:gridCol w:w="559"/>
      </w:tblGrid>
      <w:tr w14:paraId="76A86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96" w:type="dxa"/>
            <w:vMerge w:val="restart"/>
            <w:tcBorders>
              <w:top w:val="single" w:color="auto" w:sz="4" w:space="0"/>
              <w:left w:val="single" w:color="auto" w:sz="4" w:space="0"/>
            </w:tcBorders>
            <w:noWrap w:val="0"/>
            <w:vAlign w:val="center"/>
          </w:tcPr>
          <w:p w14:paraId="35BFBAAA">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w:t>
            </w:r>
          </w:p>
        </w:tc>
        <w:tc>
          <w:tcPr>
            <w:tcW w:w="6993" w:type="dxa"/>
            <w:gridSpan w:val="2"/>
            <w:vMerge w:val="restart"/>
            <w:tcBorders>
              <w:top w:val="single" w:color="auto" w:sz="4" w:space="0"/>
            </w:tcBorders>
            <w:noWrap w:val="0"/>
            <w:vAlign w:val="center"/>
          </w:tcPr>
          <w:p w14:paraId="4C01028F">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评审内容</w:t>
            </w:r>
          </w:p>
        </w:tc>
        <w:tc>
          <w:tcPr>
            <w:tcW w:w="1258" w:type="dxa"/>
            <w:gridSpan w:val="2"/>
            <w:tcBorders>
              <w:top w:val="single" w:color="auto" w:sz="4" w:space="0"/>
              <w:right w:val="single" w:color="auto" w:sz="4" w:space="0"/>
            </w:tcBorders>
            <w:noWrap w:val="0"/>
            <w:vAlign w:val="center"/>
          </w:tcPr>
          <w:p w14:paraId="4855E2AB">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评审意见</w:t>
            </w:r>
          </w:p>
        </w:tc>
      </w:tr>
      <w:tr w14:paraId="45DE9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bottom w:val="single" w:color="auto" w:sz="4" w:space="0"/>
            </w:tcBorders>
            <w:noWrap w:val="0"/>
            <w:vAlign w:val="center"/>
          </w:tcPr>
          <w:p w14:paraId="5A01FE30">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14:textFill>
                  <w14:solidFill>
                    <w14:schemeClr w14:val="tx1"/>
                  </w14:solidFill>
                </w14:textFill>
              </w:rPr>
            </w:pPr>
          </w:p>
        </w:tc>
        <w:tc>
          <w:tcPr>
            <w:tcW w:w="6993" w:type="dxa"/>
            <w:gridSpan w:val="2"/>
            <w:vMerge w:val="continue"/>
            <w:tcBorders>
              <w:bottom w:val="single" w:color="auto" w:sz="4" w:space="0"/>
            </w:tcBorders>
            <w:noWrap w:val="0"/>
            <w:vAlign w:val="top"/>
          </w:tcPr>
          <w:p w14:paraId="27D68BF9">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14:textFill>
                  <w14:solidFill>
                    <w14:schemeClr w14:val="tx1"/>
                  </w14:solidFill>
                </w14:textFill>
              </w:rPr>
            </w:pPr>
          </w:p>
        </w:tc>
        <w:tc>
          <w:tcPr>
            <w:tcW w:w="699" w:type="dxa"/>
            <w:noWrap w:val="0"/>
            <w:vAlign w:val="center"/>
          </w:tcPr>
          <w:p w14:paraId="60D649A3">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是</w:t>
            </w:r>
          </w:p>
        </w:tc>
        <w:tc>
          <w:tcPr>
            <w:tcW w:w="559" w:type="dxa"/>
            <w:tcBorders>
              <w:right w:val="single" w:color="auto" w:sz="4" w:space="0"/>
            </w:tcBorders>
            <w:noWrap w:val="0"/>
            <w:vAlign w:val="center"/>
          </w:tcPr>
          <w:p w14:paraId="2CF7C95D">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否</w:t>
            </w:r>
          </w:p>
        </w:tc>
      </w:tr>
      <w:tr w14:paraId="0A1C6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096" w:type="dxa"/>
            <w:vMerge w:val="restart"/>
            <w:tcBorders>
              <w:top w:val="single" w:color="auto" w:sz="4" w:space="0"/>
              <w:left w:val="single" w:color="auto" w:sz="4" w:space="0"/>
              <w:right w:val="single" w:color="auto" w:sz="4" w:space="0"/>
            </w:tcBorders>
            <w:noWrap w:val="0"/>
            <w:vAlign w:val="center"/>
          </w:tcPr>
          <w:p w14:paraId="548331DF">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审</w:t>
            </w:r>
          </w:p>
          <w:p w14:paraId="08376A1D">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查</w:t>
            </w:r>
          </w:p>
          <w:p w14:paraId="7C13E7DC">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标</w:t>
            </w:r>
          </w:p>
          <w:p w14:paraId="31677E6D">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准</w:t>
            </w:r>
          </w:p>
        </w:tc>
        <w:tc>
          <w:tcPr>
            <w:tcW w:w="598" w:type="dxa"/>
            <w:tcBorders>
              <w:top w:val="single" w:color="auto" w:sz="4" w:space="0"/>
              <w:left w:val="single" w:color="auto" w:sz="4" w:space="0"/>
              <w:right w:val="single" w:color="auto" w:sz="4" w:space="0"/>
            </w:tcBorders>
            <w:noWrap w:val="0"/>
            <w:vAlign w:val="center"/>
          </w:tcPr>
          <w:p w14:paraId="40C8CE6C">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c>
          <w:tcPr>
            <w:tcW w:w="6395" w:type="dxa"/>
            <w:tcBorders>
              <w:top w:val="single" w:color="auto" w:sz="4" w:space="0"/>
              <w:left w:val="single" w:color="auto" w:sz="4" w:space="0"/>
              <w:right w:val="single" w:color="auto" w:sz="4" w:space="0"/>
            </w:tcBorders>
            <w:noWrap w:val="0"/>
            <w:vAlign w:val="center"/>
          </w:tcPr>
          <w:p w14:paraId="37908AD4">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由政府立项核准、审批的采购项目, 报价高于设定的采购预算价的；</w:t>
            </w:r>
          </w:p>
        </w:tc>
        <w:tc>
          <w:tcPr>
            <w:tcW w:w="699" w:type="dxa"/>
            <w:tcBorders>
              <w:left w:val="single" w:color="auto" w:sz="4" w:space="0"/>
              <w:right w:val="single" w:color="auto" w:sz="4" w:space="0"/>
            </w:tcBorders>
            <w:noWrap w:val="0"/>
            <w:vAlign w:val="top"/>
          </w:tcPr>
          <w:p w14:paraId="0318806A">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szCs w:val="21"/>
                <w:highlight w:val="none"/>
                <w:lang w:eastAsia="zh-CN"/>
                <w14:textFill>
                  <w14:solidFill>
                    <w14:schemeClr w14:val="tx1"/>
                  </w14:solidFill>
                </w14:textFill>
              </w:rPr>
            </w:pPr>
          </w:p>
        </w:tc>
        <w:tc>
          <w:tcPr>
            <w:tcW w:w="559" w:type="dxa"/>
            <w:tcBorders>
              <w:left w:val="single" w:color="auto" w:sz="4" w:space="0"/>
              <w:right w:val="single" w:color="auto" w:sz="4" w:space="0"/>
            </w:tcBorders>
            <w:noWrap w:val="0"/>
            <w:vAlign w:val="top"/>
          </w:tcPr>
          <w:p w14:paraId="479AD839">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000000" w:themeColor="text1"/>
                <w:szCs w:val="21"/>
                <w:highlight w:val="none"/>
                <w:lang w:eastAsia="zh-CN"/>
                <w14:textFill>
                  <w14:solidFill>
                    <w14:schemeClr w14:val="tx1"/>
                  </w14:solidFill>
                </w14:textFill>
              </w:rPr>
            </w:pPr>
          </w:p>
        </w:tc>
      </w:tr>
      <w:tr w14:paraId="79C81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096" w:type="dxa"/>
            <w:vMerge w:val="continue"/>
            <w:tcBorders>
              <w:left w:val="single" w:color="auto" w:sz="4" w:space="0"/>
              <w:right w:val="single" w:color="auto" w:sz="4" w:space="0"/>
            </w:tcBorders>
            <w:noWrap w:val="0"/>
            <w:vAlign w:val="center"/>
          </w:tcPr>
          <w:p w14:paraId="6FC981B3">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3C492E39">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p>
        </w:tc>
        <w:tc>
          <w:tcPr>
            <w:tcW w:w="6395" w:type="dxa"/>
            <w:tcBorders>
              <w:top w:val="single" w:color="auto" w:sz="4" w:space="0"/>
              <w:left w:val="single" w:color="auto" w:sz="4" w:space="0"/>
              <w:bottom w:val="single" w:color="auto" w:sz="4" w:space="0"/>
              <w:right w:val="single" w:color="auto" w:sz="4" w:space="0"/>
            </w:tcBorders>
            <w:noWrap w:val="0"/>
            <w:vAlign w:val="center"/>
          </w:tcPr>
          <w:p w14:paraId="56E2C10C">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法定代表人身份证明及授权委托书有效，且符合竞争性谈判文件规定的格式。</w:t>
            </w:r>
          </w:p>
        </w:tc>
        <w:tc>
          <w:tcPr>
            <w:tcW w:w="699" w:type="dxa"/>
            <w:tcBorders>
              <w:left w:val="single" w:color="auto" w:sz="4" w:space="0"/>
            </w:tcBorders>
            <w:noWrap w:val="0"/>
            <w:vAlign w:val="top"/>
          </w:tcPr>
          <w:p w14:paraId="4BD150D6">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right w:val="single" w:color="auto" w:sz="4" w:space="0"/>
            </w:tcBorders>
            <w:noWrap w:val="0"/>
            <w:vAlign w:val="top"/>
          </w:tcPr>
          <w:p w14:paraId="0F0B1250">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65498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96" w:type="dxa"/>
            <w:vMerge w:val="continue"/>
            <w:tcBorders>
              <w:left w:val="single" w:color="auto" w:sz="4" w:space="0"/>
              <w:right w:val="single" w:color="auto" w:sz="4" w:space="0"/>
            </w:tcBorders>
            <w:noWrap w:val="0"/>
            <w:vAlign w:val="center"/>
          </w:tcPr>
          <w:p w14:paraId="2B9BCF2F">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top w:val="single" w:color="auto" w:sz="4" w:space="0"/>
              <w:left w:val="single" w:color="auto" w:sz="4" w:space="0"/>
              <w:right w:val="single" w:color="auto" w:sz="4" w:space="0"/>
            </w:tcBorders>
            <w:noWrap w:val="0"/>
            <w:vAlign w:val="center"/>
          </w:tcPr>
          <w:p w14:paraId="06016185">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w:t>
            </w:r>
          </w:p>
        </w:tc>
        <w:tc>
          <w:tcPr>
            <w:tcW w:w="6395" w:type="dxa"/>
            <w:tcBorders>
              <w:top w:val="single" w:color="auto" w:sz="4" w:space="0"/>
              <w:left w:val="single" w:color="auto" w:sz="4" w:space="0"/>
              <w:right w:val="single" w:color="auto" w:sz="4" w:space="0"/>
            </w:tcBorders>
            <w:noWrap w:val="0"/>
            <w:vAlign w:val="center"/>
          </w:tcPr>
          <w:p w14:paraId="14991766">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只有一个方案投标。</w:t>
            </w:r>
          </w:p>
        </w:tc>
        <w:tc>
          <w:tcPr>
            <w:tcW w:w="699" w:type="dxa"/>
            <w:tcBorders>
              <w:left w:val="single" w:color="auto" w:sz="4" w:space="0"/>
            </w:tcBorders>
            <w:noWrap w:val="0"/>
            <w:vAlign w:val="top"/>
          </w:tcPr>
          <w:p w14:paraId="09D41280">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14:textFill>
                  <w14:solidFill>
                    <w14:schemeClr w14:val="tx1"/>
                  </w14:solidFill>
                </w14:textFill>
              </w:rPr>
            </w:pPr>
          </w:p>
        </w:tc>
        <w:tc>
          <w:tcPr>
            <w:tcW w:w="559" w:type="dxa"/>
            <w:tcBorders>
              <w:right w:val="single" w:color="auto" w:sz="4" w:space="0"/>
            </w:tcBorders>
            <w:noWrap w:val="0"/>
            <w:vAlign w:val="top"/>
          </w:tcPr>
          <w:p w14:paraId="5F9A91E6">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14:textFill>
                  <w14:solidFill>
                    <w14:schemeClr w14:val="tx1"/>
                  </w14:solidFill>
                </w14:textFill>
              </w:rPr>
            </w:pPr>
          </w:p>
        </w:tc>
      </w:tr>
      <w:tr w14:paraId="6C57C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096" w:type="dxa"/>
            <w:vMerge w:val="continue"/>
            <w:tcBorders>
              <w:left w:val="single" w:color="auto" w:sz="4" w:space="0"/>
              <w:right w:val="single" w:color="auto" w:sz="4" w:space="0"/>
            </w:tcBorders>
            <w:noWrap w:val="0"/>
            <w:vAlign w:val="center"/>
          </w:tcPr>
          <w:p w14:paraId="358901E9">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14:textFill>
                  <w14:solidFill>
                    <w14:schemeClr w14:val="tx1"/>
                  </w14:solidFill>
                </w14:textFill>
              </w:rPr>
            </w:pPr>
          </w:p>
        </w:tc>
        <w:tc>
          <w:tcPr>
            <w:tcW w:w="598" w:type="dxa"/>
            <w:tcBorders>
              <w:left w:val="single" w:color="auto" w:sz="4" w:space="0"/>
            </w:tcBorders>
            <w:noWrap w:val="0"/>
            <w:vAlign w:val="center"/>
          </w:tcPr>
          <w:p w14:paraId="45F29EFD">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w:t>
            </w:r>
          </w:p>
        </w:tc>
        <w:tc>
          <w:tcPr>
            <w:tcW w:w="6395" w:type="dxa"/>
            <w:tcBorders>
              <w:right w:val="single" w:color="auto" w:sz="4" w:space="0"/>
            </w:tcBorders>
            <w:noWrap w:val="0"/>
            <w:vAlign w:val="center"/>
          </w:tcPr>
          <w:p w14:paraId="5EF17A0B">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响应文件内容齐全、无遗漏。</w:t>
            </w:r>
          </w:p>
        </w:tc>
        <w:tc>
          <w:tcPr>
            <w:tcW w:w="699" w:type="dxa"/>
            <w:tcBorders>
              <w:left w:val="single" w:color="auto" w:sz="4" w:space="0"/>
            </w:tcBorders>
            <w:noWrap w:val="0"/>
            <w:vAlign w:val="top"/>
          </w:tcPr>
          <w:p w14:paraId="56A9D8E2">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right w:val="single" w:color="auto" w:sz="4" w:space="0"/>
            </w:tcBorders>
            <w:noWrap w:val="0"/>
            <w:vAlign w:val="top"/>
          </w:tcPr>
          <w:p w14:paraId="00B595F9">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67B54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096" w:type="dxa"/>
            <w:vMerge w:val="continue"/>
            <w:tcBorders>
              <w:left w:val="single" w:color="auto" w:sz="4" w:space="0"/>
              <w:right w:val="single" w:color="auto" w:sz="4" w:space="0"/>
            </w:tcBorders>
            <w:noWrap w:val="0"/>
            <w:vAlign w:val="center"/>
          </w:tcPr>
          <w:p w14:paraId="0E8766DC">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left w:val="single" w:color="auto" w:sz="4" w:space="0"/>
              <w:bottom w:val="single" w:color="auto" w:sz="4" w:space="0"/>
            </w:tcBorders>
            <w:noWrap w:val="0"/>
            <w:vAlign w:val="center"/>
          </w:tcPr>
          <w:p w14:paraId="228CB341">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p>
        </w:tc>
        <w:tc>
          <w:tcPr>
            <w:tcW w:w="6395" w:type="dxa"/>
            <w:tcBorders>
              <w:bottom w:val="single" w:color="auto" w:sz="4" w:space="0"/>
              <w:right w:val="single" w:color="auto" w:sz="4" w:space="0"/>
            </w:tcBorders>
            <w:noWrap w:val="0"/>
            <w:vAlign w:val="center"/>
          </w:tcPr>
          <w:p w14:paraId="49B1FF5C">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对竞争性谈判文件规定的招标内容全部作出响应。</w:t>
            </w:r>
          </w:p>
        </w:tc>
        <w:tc>
          <w:tcPr>
            <w:tcW w:w="699" w:type="dxa"/>
            <w:tcBorders>
              <w:left w:val="single" w:color="auto" w:sz="4" w:space="0"/>
              <w:bottom w:val="single" w:color="auto" w:sz="4" w:space="0"/>
            </w:tcBorders>
            <w:noWrap w:val="0"/>
            <w:vAlign w:val="top"/>
          </w:tcPr>
          <w:p w14:paraId="6FF0CF4D">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bottom w:val="single" w:color="auto" w:sz="4" w:space="0"/>
              <w:right w:val="single" w:color="auto" w:sz="4" w:space="0"/>
            </w:tcBorders>
            <w:noWrap w:val="0"/>
            <w:vAlign w:val="top"/>
          </w:tcPr>
          <w:p w14:paraId="066AD776">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2C5A9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096" w:type="dxa"/>
            <w:vMerge w:val="continue"/>
            <w:tcBorders>
              <w:left w:val="single" w:color="auto" w:sz="4" w:space="0"/>
              <w:right w:val="single" w:color="auto" w:sz="4" w:space="0"/>
            </w:tcBorders>
            <w:noWrap w:val="0"/>
            <w:vAlign w:val="center"/>
          </w:tcPr>
          <w:p w14:paraId="303F2480">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0F3515C6">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6</w:t>
            </w:r>
          </w:p>
        </w:tc>
        <w:tc>
          <w:tcPr>
            <w:tcW w:w="6395" w:type="dxa"/>
            <w:tcBorders>
              <w:top w:val="single" w:color="auto" w:sz="4" w:space="0"/>
              <w:left w:val="single" w:color="auto" w:sz="4" w:space="0"/>
              <w:bottom w:val="single" w:color="auto" w:sz="4" w:space="0"/>
              <w:right w:val="single" w:color="auto" w:sz="4" w:space="0"/>
            </w:tcBorders>
            <w:noWrap w:val="0"/>
            <w:vAlign w:val="center"/>
          </w:tcPr>
          <w:p w14:paraId="37E7A12C">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满足竞争性谈判文件提出的技术和质量要求。</w:t>
            </w:r>
          </w:p>
        </w:tc>
        <w:tc>
          <w:tcPr>
            <w:tcW w:w="699" w:type="dxa"/>
            <w:tcBorders>
              <w:top w:val="single" w:color="auto" w:sz="4" w:space="0"/>
              <w:left w:val="single" w:color="auto" w:sz="4" w:space="0"/>
              <w:bottom w:val="single" w:color="auto" w:sz="4" w:space="0"/>
              <w:right w:val="single" w:color="auto" w:sz="4" w:space="0"/>
            </w:tcBorders>
            <w:noWrap w:val="0"/>
            <w:vAlign w:val="top"/>
          </w:tcPr>
          <w:p w14:paraId="0AB438F0">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top w:val="single" w:color="auto" w:sz="4" w:space="0"/>
              <w:left w:val="single" w:color="auto" w:sz="4" w:space="0"/>
              <w:bottom w:val="single" w:color="auto" w:sz="4" w:space="0"/>
              <w:right w:val="single" w:color="auto" w:sz="4" w:space="0"/>
            </w:tcBorders>
            <w:noWrap w:val="0"/>
            <w:vAlign w:val="top"/>
          </w:tcPr>
          <w:p w14:paraId="37AA61EB">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3D48BF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2F2FE6E8">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top w:val="single" w:color="auto" w:sz="4" w:space="0"/>
              <w:left w:val="single" w:color="auto" w:sz="4" w:space="0"/>
            </w:tcBorders>
            <w:noWrap w:val="0"/>
            <w:vAlign w:val="center"/>
          </w:tcPr>
          <w:p w14:paraId="5350ADA7">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w:t>
            </w:r>
          </w:p>
        </w:tc>
        <w:tc>
          <w:tcPr>
            <w:tcW w:w="6395" w:type="dxa"/>
            <w:tcBorders>
              <w:top w:val="single" w:color="auto" w:sz="4" w:space="0"/>
              <w:right w:val="single" w:color="auto" w:sz="4" w:space="0"/>
            </w:tcBorders>
            <w:noWrap w:val="0"/>
            <w:vAlign w:val="center"/>
          </w:tcPr>
          <w:p w14:paraId="33A5D827">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供货期限满足竞争性谈判文件要求。</w:t>
            </w:r>
          </w:p>
        </w:tc>
        <w:tc>
          <w:tcPr>
            <w:tcW w:w="699" w:type="dxa"/>
            <w:tcBorders>
              <w:top w:val="single" w:color="auto" w:sz="4" w:space="0"/>
              <w:left w:val="single" w:color="auto" w:sz="4" w:space="0"/>
            </w:tcBorders>
            <w:noWrap w:val="0"/>
            <w:vAlign w:val="top"/>
          </w:tcPr>
          <w:p w14:paraId="29D9EE26">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top w:val="single" w:color="auto" w:sz="4" w:space="0"/>
              <w:right w:val="single" w:color="auto" w:sz="4" w:space="0"/>
            </w:tcBorders>
            <w:noWrap w:val="0"/>
            <w:vAlign w:val="top"/>
          </w:tcPr>
          <w:p w14:paraId="0A75A725">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41440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459E2807">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left w:val="single" w:color="auto" w:sz="4" w:space="0"/>
            </w:tcBorders>
            <w:noWrap w:val="0"/>
            <w:vAlign w:val="center"/>
          </w:tcPr>
          <w:p w14:paraId="1C630AFC">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8</w:t>
            </w:r>
          </w:p>
        </w:tc>
        <w:tc>
          <w:tcPr>
            <w:tcW w:w="6395" w:type="dxa"/>
            <w:tcBorders>
              <w:right w:val="single" w:color="auto" w:sz="4" w:space="0"/>
            </w:tcBorders>
            <w:noWrap w:val="0"/>
            <w:vAlign w:val="center"/>
          </w:tcPr>
          <w:p w14:paraId="4647EBB3">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售后服务满足竞争性谈判文件要求。</w:t>
            </w:r>
          </w:p>
        </w:tc>
        <w:tc>
          <w:tcPr>
            <w:tcW w:w="699" w:type="dxa"/>
            <w:tcBorders>
              <w:left w:val="single" w:color="auto" w:sz="4" w:space="0"/>
            </w:tcBorders>
            <w:noWrap w:val="0"/>
            <w:vAlign w:val="top"/>
          </w:tcPr>
          <w:p w14:paraId="24156CE7">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right w:val="single" w:color="auto" w:sz="4" w:space="0"/>
            </w:tcBorders>
            <w:noWrap w:val="0"/>
            <w:vAlign w:val="top"/>
          </w:tcPr>
          <w:p w14:paraId="73A2F6AD">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269AB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1CF26A99">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left w:val="single" w:color="auto" w:sz="4" w:space="0"/>
            </w:tcBorders>
            <w:noWrap w:val="0"/>
            <w:vAlign w:val="center"/>
          </w:tcPr>
          <w:p w14:paraId="256E9A0D">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w:t>
            </w:r>
          </w:p>
        </w:tc>
        <w:tc>
          <w:tcPr>
            <w:tcW w:w="6395" w:type="dxa"/>
            <w:tcBorders>
              <w:right w:val="single" w:color="auto" w:sz="4" w:space="0"/>
            </w:tcBorders>
            <w:noWrap w:val="0"/>
            <w:vAlign w:val="center"/>
          </w:tcPr>
          <w:p w14:paraId="409EF88B">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投标有效期满足竞争性谈判文件要求。</w:t>
            </w:r>
          </w:p>
        </w:tc>
        <w:tc>
          <w:tcPr>
            <w:tcW w:w="699" w:type="dxa"/>
            <w:tcBorders>
              <w:left w:val="single" w:color="auto" w:sz="4" w:space="0"/>
            </w:tcBorders>
            <w:noWrap w:val="0"/>
            <w:vAlign w:val="top"/>
          </w:tcPr>
          <w:p w14:paraId="78798A5D">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right w:val="single" w:color="auto" w:sz="4" w:space="0"/>
            </w:tcBorders>
            <w:noWrap w:val="0"/>
            <w:vAlign w:val="top"/>
          </w:tcPr>
          <w:p w14:paraId="46B23A8D">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29E84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37812EAE">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p>
        </w:tc>
        <w:tc>
          <w:tcPr>
            <w:tcW w:w="598" w:type="dxa"/>
            <w:tcBorders>
              <w:left w:val="single" w:color="auto" w:sz="4" w:space="0"/>
            </w:tcBorders>
            <w:noWrap w:val="0"/>
            <w:vAlign w:val="center"/>
          </w:tcPr>
          <w:p w14:paraId="1F80D966">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10</w:t>
            </w:r>
          </w:p>
        </w:tc>
        <w:tc>
          <w:tcPr>
            <w:tcW w:w="6395" w:type="dxa"/>
            <w:tcBorders>
              <w:right w:val="single" w:color="auto" w:sz="4" w:space="0"/>
            </w:tcBorders>
            <w:noWrap w:val="0"/>
            <w:vAlign w:val="center"/>
          </w:tcPr>
          <w:p w14:paraId="7B7FAF93">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投标人</w:t>
            </w:r>
            <w:r>
              <w:rPr>
                <w:rFonts w:hint="eastAsia" w:ascii="仿宋" w:hAnsi="仿宋" w:eastAsia="仿宋" w:cs="仿宋"/>
                <w:color w:val="000000" w:themeColor="text1"/>
                <w:highlight w:val="none"/>
                <w:lang w:eastAsia="zh-CN"/>
                <w14:textFill>
                  <w14:solidFill>
                    <w14:schemeClr w14:val="tx1"/>
                  </w14:solidFill>
                </w14:textFill>
              </w:rPr>
              <w:t>详细地址、联系人、电话。</w:t>
            </w:r>
          </w:p>
        </w:tc>
        <w:tc>
          <w:tcPr>
            <w:tcW w:w="699" w:type="dxa"/>
            <w:tcBorders>
              <w:left w:val="single" w:color="auto" w:sz="4" w:space="0"/>
            </w:tcBorders>
            <w:noWrap w:val="0"/>
            <w:vAlign w:val="top"/>
          </w:tcPr>
          <w:p w14:paraId="1E614A43">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c>
          <w:tcPr>
            <w:tcW w:w="559" w:type="dxa"/>
            <w:tcBorders>
              <w:right w:val="single" w:color="auto" w:sz="4" w:space="0"/>
            </w:tcBorders>
            <w:noWrap w:val="0"/>
            <w:vAlign w:val="top"/>
          </w:tcPr>
          <w:p w14:paraId="003012D6">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r w14:paraId="5FB38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1096" w:type="dxa"/>
            <w:tcBorders>
              <w:left w:val="single" w:color="auto" w:sz="4" w:space="0"/>
              <w:bottom w:val="single" w:color="auto" w:sz="4" w:space="0"/>
              <w:right w:val="single" w:color="auto" w:sz="4" w:space="0"/>
            </w:tcBorders>
            <w:noWrap w:val="0"/>
            <w:vAlign w:val="center"/>
          </w:tcPr>
          <w:p w14:paraId="5C14AB92">
            <w:pPr>
              <w:keepNext w:val="0"/>
              <w:keepLines w:val="0"/>
              <w:suppressLineNumbers w:val="0"/>
              <w:spacing w:before="0" w:beforeAutospacing="0" w:after="0" w:afterAutospacing="0" w:line="240" w:lineRule="auto"/>
              <w:ind w:left="0" w:right="0"/>
              <w:jc w:val="center"/>
              <w:rPr>
                <w:rFonts w:hint="default" w:ascii="仿宋" w:hAnsi="仿宋" w:eastAsia="仿宋" w:cs="仿宋"/>
                <w:color w:val="000000" w:themeColor="text1"/>
                <w:szCs w:val="21"/>
                <w:highlight w:val="none"/>
                <w:lang w:eastAsia="zh-CN"/>
                <w14:textFill>
                  <w14:solidFill>
                    <w14:schemeClr w14:val="tx1"/>
                  </w14:solidFill>
                </w14:textFill>
              </w:rPr>
            </w:pPr>
          </w:p>
        </w:tc>
        <w:tc>
          <w:tcPr>
            <w:tcW w:w="6993" w:type="dxa"/>
            <w:gridSpan w:val="2"/>
            <w:tcBorders>
              <w:left w:val="single" w:color="auto" w:sz="4" w:space="0"/>
              <w:bottom w:val="single" w:color="auto" w:sz="4" w:space="0"/>
              <w:right w:val="single" w:color="auto" w:sz="4" w:space="0"/>
            </w:tcBorders>
            <w:noWrap w:val="0"/>
            <w:vAlign w:val="top"/>
          </w:tcPr>
          <w:p w14:paraId="7948F251">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结论：是否通过评审（须填写通过或不通过）</w:t>
            </w:r>
          </w:p>
          <w:p w14:paraId="416CA215">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注：如有一项不合格，作废标处理。</w:t>
            </w:r>
          </w:p>
        </w:tc>
        <w:tc>
          <w:tcPr>
            <w:tcW w:w="1258" w:type="dxa"/>
            <w:gridSpan w:val="2"/>
            <w:tcBorders>
              <w:left w:val="single" w:color="auto" w:sz="4" w:space="0"/>
              <w:bottom w:val="single" w:color="auto" w:sz="4" w:space="0"/>
              <w:right w:val="single" w:color="auto" w:sz="4" w:space="0"/>
            </w:tcBorders>
            <w:noWrap w:val="0"/>
            <w:vAlign w:val="top"/>
          </w:tcPr>
          <w:p w14:paraId="7D18942F">
            <w:pPr>
              <w:keepNext w:val="0"/>
              <w:keepLines w:val="0"/>
              <w:suppressLineNumbers w:val="0"/>
              <w:spacing w:before="0" w:beforeAutospacing="0" w:after="0" w:afterAutospacing="0" w:line="240" w:lineRule="auto"/>
              <w:ind w:left="0" w:right="0"/>
              <w:rPr>
                <w:rFonts w:hint="default" w:ascii="仿宋" w:hAnsi="仿宋" w:eastAsia="仿宋" w:cs="仿宋"/>
                <w:color w:val="000000" w:themeColor="text1"/>
                <w:szCs w:val="21"/>
                <w:highlight w:val="none"/>
                <w:lang w:eastAsia="zh-CN"/>
                <w14:textFill>
                  <w14:solidFill>
                    <w14:schemeClr w14:val="tx1"/>
                  </w14:solidFill>
                </w14:textFill>
              </w:rPr>
            </w:pPr>
          </w:p>
        </w:tc>
      </w:tr>
    </w:tbl>
    <w:p w14:paraId="76A91725">
      <w:pPr>
        <w:pStyle w:val="38"/>
        <w:rPr>
          <w:rFonts w:hint="default" w:eastAsia="仿宋"/>
          <w:color w:val="000000" w:themeColor="text1"/>
          <w:lang w:val="en-US" w:eastAsia="zh-CN"/>
          <w14:textFill>
            <w14:solidFill>
              <w14:schemeClr w14:val="tx1"/>
            </w14:solidFill>
          </w14:textFill>
        </w:rPr>
      </w:pPr>
    </w:p>
    <w:p w14:paraId="601219E8">
      <w:pPr>
        <w:shd w:val="clear" w:color="auto" w:fill="auto"/>
        <w:tabs>
          <w:tab w:val="left" w:pos="900"/>
        </w:tabs>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52227832">
      <w:pPr>
        <w:shd w:val="clear" w:color="auto" w:fill="auto"/>
        <w:tabs>
          <w:tab w:val="left" w:pos="900"/>
        </w:tabs>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5F5C63F4">
      <w:pPr>
        <w:numPr>
          <w:ilvl w:val="0"/>
          <w:numId w:val="0"/>
        </w:numPr>
        <w:spacing w:line="40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评委会判定</w:t>
      </w:r>
      <w:r>
        <w:rPr>
          <w:rFonts w:hint="eastAsia" w:ascii="仿宋" w:hAnsi="仿宋" w:eastAsia="仿宋" w:cs="仿宋"/>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的响应性只根据</w:t>
      </w:r>
      <w:r>
        <w:rPr>
          <w:rFonts w:hint="eastAsia" w:ascii="仿宋" w:hAnsi="仿宋" w:eastAsia="仿宋" w:cs="仿宋"/>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本身的内容，而不寻求外部的证</w:t>
      </w:r>
    </w:p>
    <w:p w14:paraId="1982ADE2">
      <w:pPr>
        <w:spacing w:line="40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据，但投标有不真实不正确的内容时除外。</w:t>
      </w:r>
    </w:p>
    <w:p w14:paraId="0926F422">
      <w:pPr>
        <w:spacing w:line="400" w:lineRule="exact"/>
        <w:ind w:left="420" w:left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如果</w:t>
      </w:r>
      <w:r>
        <w:rPr>
          <w:rFonts w:hint="eastAsia" w:ascii="仿宋" w:hAnsi="仿宋" w:eastAsia="仿宋" w:cs="仿宋"/>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实质上没有响应</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的要求，评委会将予以拒绝，投标人不得通过修正或撤销不符合要求的偏离或保留，而使其投标成为实质上响应的投标。</w:t>
      </w:r>
    </w:p>
    <w:p w14:paraId="1F8CAB27">
      <w:pPr>
        <w:spacing w:line="40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投标人可在现场20分钟内对评标委员会的评审结论提出异议，评标委员会根据</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及有关规定对投标人的异议进行复议</w:t>
      </w:r>
    </w:p>
    <w:p w14:paraId="55073836">
      <w:pPr>
        <w:spacing w:line="400" w:lineRule="exact"/>
        <w:ind w:firstLine="480" w:firstLineChars="200"/>
        <w:outlineLvl w:val="1"/>
        <w:rPr>
          <w:rFonts w:ascii="仿宋" w:hAnsi="仿宋" w:eastAsia="仿宋" w:cs="仿宋"/>
          <w:color w:val="000000" w:themeColor="text1"/>
          <w:sz w:val="24"/>
          <w:szCs w:val="24"/>
          <w:highlight w:val="none"/>
          <w14:textFill>
            <w14:solidFill>
              <w14:schemeClr w14:val="tx1"/>
            </w14:solidFill>
          </w14:textFill>
        </w:rPr>
      </w:pPr>
      <w:bookmarkStart w:id="115" w:name="_Toc29140"/>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只有通过初审的投标人才能进入下一步评标程序。</w:t>
      </w:r>
      <w:bookmarkEnd w:id="115"/>
    </w:p>
    <w:p w14:paraId="48503F70">
      <w:pPr>
        <w:spacing w:beforeLines="50" w:line="400" w:lineRule="exact"/>
        <w:jc w:val="left"/>
        <w:outlineLvl w:val="1"/>
        <w:rPr>
          <w:rFonts w:hint="eastAsia" w:ascii="仿宋" w:hAnsi="仿宋" w:eastAsia="仿宋" w:cs="仿宋"/>
          <w:b/>
          <w:color w:val="000000" w:themeColor="text1"/>
          <w:sz w:val="24"/>
          <w:szCs w:val="24"/>
          <w:highlight w:val="none"/>
          <w14:textFill>
            <w14:solidFill>
              <w14:schemeClr w14:val="tx1"/>
            </w14:solidFill>
          </w14:textFill>
        </w:rPr>
      </w:pPr>
      <w:bookmarkStart w:id="116" w:name="_Toc12176"/>
      <w:r>
        <w:rPr>
          <w:rFonts w:hint="eastAsia" w:ascii="仿宋" w:hAnsi="仿宋" w:eastAsia="仿宋" w:cs="仿宋"/>
          <w:b/>
          <w:color w:val="000000" w:themeColor="text1"/>
          <w:sz w:val="24"/>
          <w:szCs w:val="24"/>
          <w:highlight w:val="none"/>
          <w14:textFill>
            <w14:solidFill>
              <w14:schemeClr w14:val="tx1"/>
            </w14:solidFill>
          </w14:textFill>
        </w:rPr>
        <w:t>温馨提示：</w:t>
      </w:r>
      <w:r>
        <w:rPr>
          <w:rFonts w:hint="eastAsia" w:ascii="仿宋" w:hAnsi="仿宋" w:eastAsia="仿宋" w:cs="仿宋"/>
          <w:b/>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
          <w:color w:val="000000" w:themeColor="text1"/>
          <w:sz w:val="24"/>
          <w:szCs w:val="24"/>
          <w:highlight w:val="none"/>
          <w14:textFill>
            <w14:solidFill>
              <w14:schemeClr w14:val="tx1"/>
            </w14:solidFill>
          </w14:textFill>
        </w:rPr>
        <w:t>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bookmarkEnd w:id="116"/>
    </w:p>
    <w:p w14:paraId="6858F238">
      <w:pPr>
        <w:spacing w:beforeLines="50" w:line="400" w:lineRule="exact"/>
        <w:jc w:val="center"/>
        <w:outlineLvl w:val="1"/>
        <w:rPr>
          <w:rFonts w:ascii="仿宋" w:hAnsi="仿宋" w:eastAsia="仿宋" w:cs="仿宋"/>
          <w:b/>
          <w:color w:val="000000" w:themeColor="text1"/>
          <w:sz w:val="24"/>
          <w:szCs w:val="24"/>
          <w:highlight w:val="none"/>
          <w14:textFill>
            <w14:solidFill>
              <w14:schemeClr w14:val="tx1"/>
            </w14:solidFill>
          </w14:textFill>
        </w:rPr>
      </w:pPr>
      <w:bookmarkStart w:id="117" w:name="_Toc466"/>
      <w:r>
        <w:rPr>
          <w:rFonts w:hint="eastAsia" w:ascii="仿宋" w:hAnsi="仿宋" w:eastAsia="仿宋" w:cs="仿宋"/>
          <w:b/>
          <w:color w:val="000000" w:themeColor="text1"/>
          <w:sz w:val="24"/>
          <w:szCs w:val="24"/>
          <w:highlight w:val="none"/>
          <w:lang w:eastAsia="zh-CN"/>
          <w14:textFill>
            <w14:solidFill>
              <w14:schemeClr w14:val="tx1"/>
            </w14:solidFill>
          </w14:textFill>
        </w:rPr>
        <w:t>（二）响应文件</w:t>
      </w:r>
      <w:r>
        <w:rPr>
          <w:rFonts w:hint="eastAsia" w:ascii="仿宋" w:hAnsi="仿宋" w:eastAsia="仿宋" w:cs="仿宋"/>
          <w:b/>
          <w:color w:val="000000" w:themeColor="text1"/>
          <w:sz w:val="24"/>
          <w:szCs w:val="24"/>
          <w:highlight w:val="none"/>
          <w14:textFill>
            <w14:solidFill>
              <w14:schemeClr w14:val="tx1"/>
            </w14:solidFill>
          </w14:textFill>
        </w:rPr>
        <w:t>的澄清和补正</w:t>
      </w:r>
      <w:bookmarkEnd w:id="117"/>
    </w:p>
    <w:p w14:paraId="32CD1C71">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5、澄清、说明或补正的形式</w:t>
      </w:r>
    </w:p>
    <w:p w14:paraId="59760436">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对于响应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67F475B7">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投标供应商的澄清、说明或者补正应当通过“政府采购云平台”在线答复的方式提交，并加盖公章（电子印章），或者由法定代表人（负责人）或其授权的代表签章。投标供应商的澄清、说明或者补正不得超出响应文件的范围或者改变响应文件的实质性内容，不接受投标供应商主动对响应文件的澄清、说明或者补正。</w:t>
      </w:r>
    </w:p>
    <w:p w14:paraId="60C21293">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8、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F851DA9">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9．错误修正的原则</w:t>
      </w:r>
    </w:p>
    <w:p w14:paraId="50334737">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电子交易平台客户端里开标一览表录入的投标报价或优惠率与扫描上传的报价文件信息不一致的，以扫描上传的报价文件信息为准进行修正。</w:t>
      </w:r>
    </w:p>
    <w:p w14:paraId="623EBB84">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响应文件报价出现前后不一致的，除谈判文件 另有规定外，按照下列规定修正：</w:t>
      </w:r>
    </w:p>
    <w:p w14:paraId="2C3A70BA">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10、投标函中表述的内容与报价表中不一致的，以报价表为准；报价表中的内容与报价明细表不一致的，以报价表为准；</w:t>
      </w:r>
    </w:p>
    <w:p w14:paraId="6383F50D">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11、响应文件中的大写金额和小写金额不一致的，以大写金额为准；</w:t>
      </w:r>
    </w:p>
    <w:p w14:paraId="4C20F482">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12、单价金额小数点或者百分比有明显错位的，以开标一览表的总价为准，并修改单价；</w:t>
      </w:r>
    </w:p>
    <w:p w14:paraId="0271B321">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13、总价金额与按单价汇总金额不一致的，以单价金额计算结果为准；</w:t>
      </w:r>
    </w:p>
    <w:p w14:paraId="7BED4DB8">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14、若用文字表示的数值与用数字表示的数值不一致，以文字表示的数值为准；</w:t>
      </w:r>
    </w:p>
    <w:p w14:paraId="6032C70C">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15、如有多报（指数量超出谈判文件 需求）、重报（指同一货物重复报价），其投标总价在评标过程中不予调整，如其成交，其合同价按其投标单价予以调整；</w:t>
      </w:r>
    </w:p>
    <w:p w14:paraId="6353E22A">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16、对不同文字文本响应文件的解释发生异议的，以中文文本为准；</w:t>
      </w:r>
    </w:p>
    <w:p w14:paraId="506969C5">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同时出现两种以上不一致的，按照前款规定的顺序修正。按上述修正错误的原则及方法调整或修正响应文件的投标报价，供应商确认后，以调整或修正后的投标报价为准。如供应商拒绝调整或修正的，其响应文件按无效标处理。修正应当采用电子询标的形式，并加盖公章（电子印章）。</w:t>
      </w:r>
    </w:p>
    <w:p w14:paraId="3971D5EC">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17、供应商需要注意的其它事项：</w:t>
      </w:r>
    </w:p>
    <w:p w14:paraId="33D493B6">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 供应商必须由法定代表人或其委托全权代理人参加竞争性谈判，法定代表人委托代理人参加竞争性谈判必须保证在开标期间，随时通过政府采购云平台接受谈判小组的询问，并予以解答问题。</w:t>
      </w:r>
    </w:p>
    <w:p w14:paraId="67234E98">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2、供应商应遵守有关法律、法规，不得采取不正当的竞争手段，否则，其后果由供应商自负。</w:t>
      </w:r>
    </w:p>
    <w:p w14:paraId="7D2EF878">
      <w:pPr>
        <w:spacing w:line="440" w:lineRule="exact"/>
        <w:ind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3、在谈判会直至宣布结果之前，供应商不得向谈判评审专家询问谈判情况，不得进行旨在影响成交结果的活动，否则，其竞争性谈判无效并追究相应责任。</w:t>
      </w:r>
    </w:p>
    <w:p w14:paraId="7032FEE1">
      <w:pPr>
        <w:spacing w:line="440" w:lineRule="exact"/>
        <w:ind w:firstLine="480" w:firstLineChars="200"/>
        <w:rPr>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4、本谈判文件的未尽事项，按现行的有关法律、法规及规章执行</w:t>
      </w:r>
    </w:p>
    <w:p w14:paraId="5FBF241F">
      <w:pPr>
        <w:pStyle w:val="3"/>
        <w:bidi w:val="0"/>
        <w:jc w:val="center"/>
        <w:rPr>
          <w:color w:val="000000" w:themeColor="text1"/>
          <w14:textFill>
            <w14:solidFill>
              <w14:schemeClr w14:val="tx1"/>
            </w14:solidFill>
          </w14:textFill>
        </w:rPr>
      </w:pPr>
      <w:bookmarkStart w:id="118" w:name="_Toc20570"/>
      <w:r>
        <w:rPr>
          <w:rFonts w:hint="eastAsia"/>
          <w:color w:val="000000" w:themeColor="text1"/>
          <w:lang w:eastAsia="zh-CN"/>
          <w14:textFill>
            <w14:solidFill>
              <w14:schemeClr w14:val="tx1"/>
            </w14:solidFill>
          </w14:textFill>
        </w:rPr>
        <w:t>四</w:t>
      </w:r>
      <w:r>
        <w:rPr>
          <w:rFonts w:hint="eastAsia"/>
          <w:color w:val="000000" w:themeColor="text1"/>
          <w14:textFill>
            <w14:solidFill>
              <w14:schemeClr w14:val="tx1"/>
            </w14:solidFill>
          </w14:textFill>
        </w:rPr>
        <w:t>、成交及合同签订</w:t>
      </w:r>
      <w:bookmarkEnd w:id="118"/>
    </w:p>
    <w:p w14:paraId="24305A08">
      <w:pPr>
        <w:snapToGrid w:val="0"/>
        <w:spacing w:line="360" w:lineRule="auto"/>
        <w:ind w:firstLine="482"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一</w:t>
      </w:r>
      <w:r>
        <w:rPr>
          <w:rFonts w:hint="eastAsia" w:ascii="仿宋" w:hAnsi="仿宋" w:eastAsia="仿宋" w:cs="仿宋"/>
          <w:b/>
          <w:bCs/>
          <w:color w:val="000000" w:themeColor="text1"/>
          <w:sz w:val="24"/>
          <w:szCs w:val="24"/>
          <w:highlight w:val="none"/>
          <w14:textFill>
            <w14:solidFill>
              <w14:schemeClr w14:val="tx1"/>
            </w14:solidFill>
          </w14:textFill>
        </w:rPr>
        <w:t>）成交候选供应商推荐原则</w:t>
      </w:r>
    </w:p>
    <w:p w14:paraId="6B842324">
      <w:pPr>
        <w:numPr>
          <w:ilvl w:val="0"/>
          <w:numId w:val="6"/>
        </w:numPr>
        <w:snapToGrid w:val="0"/>
        <w:spacing w:line="360" w:lineRule="auto"/>
        <w:ind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谈判小组”将根据评标价由低到高排列次序（若评标价相同的，按最低最终报价由低到高顺序排列；若评标价相同，且最低最终报价也相同时，按技术指标优劣顺序排列；如果技术指标也相同，评标委员会应按照少数服从多数的原则进行投票表决，确定成交候选人。）并推荐成交候选供应商名单，可推荐前三名为成交候选供应商，排名第一者为成交供应商，排名第二、第三者为成交候选供应商；</w:t>
      </w:r>
    </w:p>
    <w:p w14:paraId="7017D5BF">
      <w:pPr>
        <w:numPr>
          <w:ilvl w:val="0"/>
          <w:numId w:val="0"/>
        </w:numPr>
        <w:snapToGrid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第一</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候选供应商确定为成交供应商，如第一成交候选供应商放弃</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、或因不可抗力提出不能履行合同，或竞争性谈判采购文件规定应当提交履约保证金而在规定的期限内未能提交的，采购人可确定排名第二的成交候选供应商为成交供应商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或重新组织采购活动</w:t>
      </w:r>
      <w:r>
        <w:rPr>
          <w:rFonts w:hint="eastAsia" w:ascii="仿宋" w:hAnsi="仿宋" w:eastAsia="仿宋" w:cs="仿宋"/>
          <w:color w:val="000000" w:themeColor="text1"/>
          <w:sz w:val="24"/>
          <w:szCs w:val="24"/>
          <w:highlight w:val="none"/>
          <w14:textFill>
            <w14:solidFill>
              <w14:schemeClr w14:val="tx1"/>
            </w14:solidFill>
          </w14:textFill>
        </w:rPr>
        <w:t>。</w:t>
      </w:r>
    </w:p>
    <w:p w14:paraId="6C37E4D8">
      <w:pPr>
        <w:snapToGrid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第二</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候选供应商因前款规定的同样原因不能签订合同的，可确定第三成交候选供应商为成交候应商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或重新组织采购活动</w:t>
      </w:r>
      <w:r>
        <w:rPr>
          <w:rFonts w:hint="eastAsia" w:ascii="仿宋" w:hAnsi="仿宋" w:eastAsia="仿宋" w:cs="仿宋"/>
          <w:color w:val="000000" w:themeColor="text1"/>
          <w:sz w:val="24"/>
          <w:szCs w:val="24"/>
          <w:highlight w:val="none"/>
          <w14:textFill>
            <w14:solidFill>
              <w14:schemeClr w14:val="tx1"/>
            </w14:solidFill>
          </w14:textFill>
        </w:rPr>
        <w:t>。</w:t>
      </w:r>
    </w:p>
    <w:p w14:paraId="73460114">
      <w:pPr>
        <w:snapToGrid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成交候选供应商中所投标商品为同一品牌、性能配置相同时，则以最终报价最低者成交。</w:t>
      </w:r>
    </w:p>
    <w:p w14:paraId="5DAB5B9B">
      <w:pPr>
        <w:snapToGrid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谈判小组认为，某投标人的有效报价明显不合理或者低于成本，有可能影响商品质量和不能诚信履约的，应要求其在规定的期限内提供书面文件予以解释说明，并提交相关证明材料，否则，谈判小组可以取消该投标人的成交候选资格，按顺序由排在后面的成交候选供应商递补，以此类推。</w:t>
      </w:r>
    </w:p>
    <w:p w14:paraId="47256E0A">
      <w:pPr>
        <w:snapToGrid w:val="0"/>
        <w:spacing w:line="360" w:lineRule="auto"/>
        <w:ind w:firstLine="482"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二</w:t>
      </w:r>
      <w:r>
        <w:rPr>
          <w:rFonts w:hint="eastAsia" w:ascii="仿宋" w:hAnsi="仿宋" w:eastAsia="仿宋" w:cs="仿宋"/>
          <w:b/>
          <w:bCs/>
          <w:color w:val="000000" w:themeColor="text1"/>
          <w:sz w:val="24"/>
          <w:szCs w:val="24"/>
          <w:highlight w:val="none"/>
          <w14:textFill>
            <w14:solidFill>
              <w14:schemeClr w14:val="tx1"/>
            </w14:solidFill>
          </w14:textFill>
        </w:rPr>
        <w:t>）资格条件</w:t>
      </w:r>
    </w:p>
    <w:p w14:paraId="28349B8C">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采购人将在签订合同前对成交候选供应商是否能圆满地履行合同进行审查。审查包括成交候选供应商响应文件中提供的所有资格证明材料原件，成交候选供应商响应文件及补充承诺中涉及的其他相关资料原件，以及对本项目实施可能存在风险的其他因素。</w:t>
      </w:r>
    </w:p>
    <w:p w14:paraId="5EBC7051">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2、采购人若发现成交候选供应商在投标过程中提供虚假证明文件，故意隐瞒不良信誉和财务状况，以及存在可能对合同圆满履行造成风险的其他因素等，则按规定取消其成交资格，监管部门依法进行处理。</w:t>
      </w:r>
    </w:p>
    <w:p w14:paraId="08BBFC0A">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3、如果成交候选供应商被确认为不具备执行合同的能力，采购人将考虑按同样的程序审查下一个成交候选供应商。</w:t>
      </w:r>
    </w:p>
    <w:p w14:paraId="1CBAFD82">
      <w:pPr>
        <w:snapToGrid w:val="0"/>
        <w:spacing w:line="360" w:lineRule="auto"/>
        <w:ind w:firstLine="482"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三</w:t>
      </w:r>
      <w:r>
        <w:rPr>
          <w:rFonts w:hint="eastAsia" w:ascii="仿宋" w:hAnsi="仿宋" w:eastAsia="仿宋" w:cs="仿宋"/>
          <w:b/>
          <w:bCs/>
          <w:color w:val="000000" w:themeColor="text1"/>
          <w:sz w:val="24"/>
          <w:szCs w:val="24"/>
          <w:highlight w:val="none"/>
          <w14:textFill>
            <w14:solidFill>
              <w14:schemeClr w14:val="tx1"/>
            </w14:solidFill>
          </w14:textFill>
        </w:rPr>
        <w:t>）成交通知书</w:t>
      </w:r>
    </w:p>
    <w:p w14:paraId="04069622">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1、定标后，经采购人同意，采购代理机构应当向</w:t>
      </w: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发出成交通知书。</w:t>
      </w:r>
    </w:p>
    <w:p w14:paraId="066EA108">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应及时到采购代理机构领取成交通知书，成交通知书是签订合同的依据和组成部分。</w:t>
      </w:r>
    </w:p>
    <w:p w14:paraId="72F7655C">
      <w:pPr>
        <w:snapToGrid w:val="0"/>
        <w:spacing w:line="360" w:lineRule="auto"/>
        <w:ind w:firstLine="482"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四</w:t>
      </w:r>
      <w:r>
        <w:rPr>
          <w:rFonts w:hint="eastAsia" w:ascii="仿宋" w:hAnsi="仿宋" w:eastAsia="仿宋" w:cs="仿宋"/>
          <w:b/>
          <w:bCs/>
          <w:color w:val="000000" w:themeColor="text1"/>
          <w:sz w:val="24"/>
          <w:szCs w:val="24"/>
          <w:highlight w:val="none"/>
          <w14:textFill>
            <w14:solidFill>
              <w14:schemeClr w14:val="tx1"/>
            </w14:solidFill>
          </w14:textFill>
        </w:rPr>
        <w:t>）签订合同</w:t>
      </w:r>
    </w:p>
    <w:p w14:paraId="08AF7D01">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在自成交通知书发出之日起30日内，依据《中华人民共和国民法典》和有关法规及</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、响应文件与采购人签订合同。</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供应商的响应文件及服务承诺文件以及评标过程中有关澄清文件均作为合同附件，合同经采购人审核盖章后实施。</w:t>
      </w:r>
    </w:p>
    <w:p w14:paraId="47B4E9F9">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未能按</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要求与采购单位签订采购合同，逾期将视为自动放弃</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标资格，采购人将顺延下一</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候选人为</w:t>
      </w: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，依次类推或依法重新进行采购。</w:t>
      </w:r>
    </w:p>
    <w:p w14:paraId="773CC89C">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采购人若发现</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w:t>
      </w:r>
      <w:bookmarkStart w:id="119" w:name="_bookmark10"/>
      <w:bookmarkEnd w:id="119"/>
      <w:r>
        <w:rPr>
          <w:rFonts w:hint="eastAsia" w:ascii="仿宋" w:hAnsi="仿宋" w:eastAsia="仿宋" w:cs="仿宋"/>
          <w:color w:val="000000" w:themeColor="text1"/>
          <w:sz w:val="24"/>
          <w:szCs w:val="24"/>
          <w:highlight w:val="none"/>
          <w14:textFill>
            <w14:solidFill>
              <w14:schemeClr w14:val="tx1"/>
            </w14:solidFill>
          </w14:textFill>
        </w:rPr>
        <w:t>选供应商在竞标过程中提供虚假证明文件，故意隐瞒不良信誉和财务状况，以及存在可能对合同圆满履行造成风险的其他因素等，则按规定取消其</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资格，监管部门依法进行处理。</w:t>
      </w:r>
    </w:p>
    <w:p w14:paraId="1603A4DE">
      <w:pPr>
        <w:snapToGrid w:val="0"/>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如果</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候选供应商被确认为不具备执行合同的能力，采购人将考虑按同样的程序审查下一个</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候选供应商或依法重新招标。</w:t>
      </w:r>
    </w:p>
    <w:p w14:paraId="11BAE209">
      <w:pPr>
        <w:snapToGrid w:val="0"/>
        <w:spacing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五</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成交</w:t>
      </w:r>
      <w:r>
        <w:rPr>
          <w:rFonts w:hint="eastAsia" w:ascii="仿宋" w:hAnsi="仿宋" w:eastAsia="仿宋" w:cs="仿宋"/>
          <w:b/>
          <w:bCs/>
          <w:color w:val="000000" w:themeColor="text1"/>
          <w:sz w:val="24"/>
          <w:szCs w:val="24"/>
          <w:highlight w:val="none"/>
          <w14:textFill>
            <w14:solidFill>
              <w14:schemeClr w14:val="tx1"/>
            </w14:solidFill>
          </w14:textFill>
        </w:rPr>
        <w:t>服务费计算方法</w:t>
      </w:r>
    </w:p>
    <w:p w14:paraId="5CB422B8">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由</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成交</w:t>
      </w:r>
      <w:r>
        <w:rPr>
          <w:rFonts w:hint="eastAsia" w:ascii="仿宋" w:hAnsi="仿宋" w:eastAsia="仿宋" w:cs="仿宋"/>
          <w:b w:val="0"/>
          <w:bCs w:val="0"/>
          <w:color w:val="000000" w:themeColor="text1"/>
          <w:sz w:val="24"/>
          <w:szCs w:val="24"/>
          <w:highlight w:val="none"/>
          <w14:textFill>
            <w14:solidFill>
              <w14:schemeClr w14:val="tx1"/>
            </w14:solidFill>
          </w14:textFill>
        </w:rPr>
        <w:t>供应商向招标代理机构支付，详见前附表。</w:t>
      </w:r>
    </w:p>
    <w:p w14:paraId="3DE22828">
      <w:pPr>
        <w:pStyle w:val="3"/>
        <w:bidi w:val="0"/>
        <w:jc w:val="center"/>
        <w:rPr>
          <w:color w:val="000000" w:themeColor="text1"/>
          <w14:textFill>
            <w14:solidFill>
              <w14:schemeClr w14:val="tx1"/>
            </w14:solidFill>
          </w14:textFill>
        </w:rPr>
      </w:pPr>
      <w:bookmarkStart w:id="120" w:name="_Toc7624"/>
      <w:r>
        <w:rPr>
          <w:rFonts w:hint="eastAsia"/>
          <w:color w:val="000000" w:themeColor="text1"/>
          <w:lang w:eastAsia="zh-CN"/>
          <w14:textFill>
            <w14:solidFill>
              <w14:schemeClr w14:val="tx1"/>
            </w14:solidFill>
          </w14:textFill>
        </w:rPr>
        <w:t>五</w:t>
      </w:r>
      <w:r>
        <w:rPr>
          <w:rFonts w:hint="eastAsia"/>
          <w:color w:val="000000" w:themeColor="text1"/>
          <w14:textFill>
            <w14:solidFill>
              <w14:schemeClr w14:val="tx1"/>
            </w14:solidFill>
          </w14:textFill>
        </w:rPr>
        <w:t>、法律责任</w:t>
      </w:r>
      <w:bookmarkEnd w:id="120"/>
    </w:p>
    <w:p w14:paraId="203F5E41">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1" w:name="_Toc12185"/>
      <w:r>
        <w:rPr>
          <w:rFonts w:hint="eastAsia" w:ascii="仿宋" w:hAnsi="仿宋" w:eastAsia="仿宋" w:cs="仿宋"/>
          <w:color w:val="000000" w:themeColor="text1"/>
          <w:sz w:val="24"/>
          <w:szCs w:val="24"/>
          <w:highlight w:val="none"/>
          <w14:textFill>
            <w14:solidFill>
              <w14:schemeClr w14:val="tx1"/>
            </w14:solidFill>
          </w14:textFill>
        </w:rPr>
        <w:t>供应商有下列情形之一的，处以采购项目采购金额千分之五以上千分之十以下的罚款，列入不良行为记录名单，在一至三年内禁止参加</w:t>
      </w:r>
      <w:r>
        <w:rPr>
          <w:rFonts w:hint="eastAsia" w:ascii="仿宋" w:hAnsi="仿宋" w:eastAsia="仿宋" w:cs="仿宋"/>
          <w:color w:val="000000" w:themeColor="text1"/>
          <w:sz w:val="24"/>
          <w:szCs w:val="24"/>
          <w:highlight w:val="none"/>
          <w:lang w:eastAsia="zh-CN"/>
          <w14:textFill>
            <w14:solidFill>
              <w14:schemeClr w14:val="tx1"/>
            </w14:solidFill>
          </w14:textFill>
        </w:rPr>
        <w:t>政府</w:t>
      </w:r>
      <w:r>
        <w:rPr>
          <w:rFonts w:hint="eastAsia" w:ascii="仿宋" w:hAnsi="仿宋" w:eastAsia="仿宋" w:cs="仿宋"/>
          <w:color w:val="000000" w:themeColor="text1"/>
          <w:sz w:val="24"/>
          <w:szCs w:val="24"/>
          <w:highlight w:val="none"/>
          <w14:textFill>
            <w14:solidFill>
              <w14:schemeClr w14:val="tx1"/>
            </w14:solidFill>
          </w14:textFill>
        </w:rPr>
        <w:t>采购活动，并予以公告，有违法所得的，并处没收违法所得，情节严重的，由行政管理机关吊销营业执照；构成犯罪的，依法追究刑事责任：</w:t>
      </w:r>
      <w:bookmarkEnd w:id="121"/>
    </w:p>
    <w:p w14:paraId="7083D991">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2" w:name="_Toc23627"/>
      <w:r>
        <w:rPr>
          <w:rFonts w:hint="eastAsia" w:ascii="仿宋" w:hAnsi="仿宋" w:eastAsia="仿宋" w:cs="仿宋"/>
          <w:color w:val="000000" w:themeColor="text1"/>
          <w:sz w:val="24"/>
          <w:szCs w:val="24"/>
          <w:highlight w:val="none"/>
          <w14:textFill>
            <w14:solidFill>
              <w14:schemeClr w14:val="tx1"/>
            </w14:solidFill>
          </w14:textFill>
        </w:rPr>
        <w:t>1、提供虚假材料谋取</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的；</w:t>
      </w:r>
      <w:bookmarkEnd w:id="122"/>
    </w:p>
    <w:p w14:paraId="7196B28F">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3" w:name="_Toc32376"/>
      <w:r>
        <w:rPr>
          <w:rFonts w:hint="eastAsia" w:ascii="仿宋" w:hAnsi="仿宋" w:eastAsia="仿宋" w:cs="仿宋"/>
          <w:color w:val="000000" w:themeColor="text1"/>
          <w:sz w:val="24"/>
          <w:szCs w:val="24"/>
          <w:highlight w:val="none"/>
          <w14:textFill>
            <w14:solidFill>
              <w14:schemeClr w14:val="tx1"/>
            </w14:solidFill>
          </w14:textFill>
        </w:rPr>
        <w:t>2、采取不正当手段诋毁、排挤其他供应商的；</w:t>
      </w:r>
      <w:bookmarkEnd w:id="123"/>
    </w:p>
    <w:p w14:paraId="1F25BC50">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4" w:name="_Toc29460"/>
      <w:r>
        <w:rPr>
          <w:rFonts w:hint="eastAsia" w:ascii="仿宋" w:hAnsi="仿宋" w:eastAsia="仿宋" w:cs="仿宋"/>
          <w:color w:val="000000" w:themeColor="text1"/>
          <w:sz w:val="24"/>
          <w:szCs w:val="24"/>
          <w:highlight w:val="none"/>
          <w14:textFill>
            <w14:solidFill>
              <w14:schemeClr w14:val="tx1"/>
            </w14:solidFill>
          </w14:textFill>
        </w:rPr>
        <w:t>3、与采购人、其他供应商或采购代理机构恶意串通的；</w:t>
      </w:r>
      <w:bookmarkEnd w:id="124"/>
    </w:p>
    <w:p w14:paraId="685F14E9">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5" w:name="_Toc18437"/>
      <w:r>
        <w:rPr>
          <w:rFonts w:hint="eastAsia" w:ascii="仿宋" w:hAnsi="仿宋" w:eastAsia="仿宋" w:cs="仿宋"/>
          <w:color w:val="000000" w:themeColor="text1"/>
          <w:sz w:val="24"/>
          <w:szCs w:val="24"/>
          <w:highlight w:val="none"/>
          <w14:textFill>
            <w14:solidFill>
              <w14:schemeClr w14:val="tx1"/>
            </w14:solidFill>
          </w14:textFill>
        </w:rPr>
        <w:t>4、向采购人、采购代理机构行贿或者提供其他不正当利益的；</w:t>
      </w:r>
      <w:bookmarkEnd w:id="125"/>
    </w:p>
    <w:p w14:paraId="1AE85B2E">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6" w:name="_Toc9296"/>
      <w:r>
        <w:rPr>
          <w:rFonts w:hint="eastAsia" w:ascii="仿宋" w:hAnsi="仿宋" w:eastAsia="仿宋" w:cs="仿宋"/>
          <w:color w:val="000000" w:themeColor="text1"/>
          <w:sz w:val="24"/>
          <w:szCs w:val="24"/>
          <w:highlight w:val="none"/>
          <w14:textFill>
            <w14:solidFill>
              <w14:schemeClr w14:val="tx1"/>
            </w14:solidFill>
          </w14:textFill>
        </w:rPr>
        <w:t>5、在招标过程中与招标采购单位进行协商谈判、不按照</w:t>
      </w:r>
      <w:r>
        <w:rPr>
          <w:rFonts w:hint="eastAsia" w:ascii="仿宋" w:hAnsi="仿宋" w:eastAsia="仿宋" w:cs="仿宋"/>
          <w:bCs/>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和</w:t>
      </w:r>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的响应文件订立合同，或者与采购人另行订立背离合同实质性内容的协议的；</w:t>
      </w:r>
      <w:bookmarkEnd w:id="126"/>
    </w:p>
    <w:p w14:paraId="355E0D02">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7" w:name="_Toc25543"/>
      <w:r>
        <w:rPr>
          <w:rFonts w:hint="eastAsia" w:ascii="仿宋" w:hAnsi="仿宋" w:eastAsia="仿宋" w:cs="仿宋"/>
          <w:color w:val="000000" w:themeColor="text1"/>
          <w:sz w:val="24"/>
          <w:szCs w:val="24"/>
          <w:highlight w:val="none"/>
          <w14:textFill>
            <w14:solidFill>
              <w14:schemeClr w14:val="tx1"/>
            </w14:solidFill>
          </w14:textFill>
        </w:rPr>
        <w:t>6、拒绝有关部门监督检查或者提供虚假情况的。供应商有前款情形之一的，</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无效。</w:t>
      </w:r>
      <w:bookmarkEnd w:id="127"/>
    </w:p>
    <w:p w14:paraId="4957D669">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8" w:name="_Toc14158"/>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有下列情形之一的，情节严重的，由财政部门将其列入不良行为记录名单，在一至三年内禁止参加</w:t>
      </w:r>
      <w:r>
        <w:rPr>
          <w:rFonts w:hint="eastAsia" w:ascii="仿宋" w:hAnsi="仿宋" w:eastAsia="仿宋" w:cs="仿宋"/>
          <w:color w:val="000000" w:themeColor="text1"/>
          <w:sz w:val="24"/>
          <w:szCs w:val="24"/>
          <w:highlight w:val="none"/>
          <w:lang w:eastAsia="zh-CN"/>
          <w14:textFill>
            <w14:solidFill>
              <w14:schemeClr w14:val="tx1"/>
            </w14:solidFill>
          </w14:textFill>
        </w:rPr>
        <w:t>政府</w:t>
      </w:r>
      <w:r>
        <w:rPr>
          <w:rFonts w:hint="eastAsia" w:ascii="仿宋" w:hAnsi="仿宋" w:eastAsia="仿宋" w:cs="仿宋"/>
          <w:color w:val="000000" w:themeColor="text1"/>
          <w:sz w:val="24"/>
          <w:szCs w:val="24"/>
          <w:highlight w:val="none"/>
          <w14:textFill>
            <w14:solidFill>
              <w14:schemeClr w14:val="tx1"/>
            </w14:solidFill>
          </w14:textFill>
        </w:rPr>
        <w:t>采购活动，并予以通报：</w:t>
      </w:r>
      <w:bookmarkEnd w:id="128"/>
    </w:p>
    <w:p w14:paraId="2F78C941">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29" w:name="_Toc6695"/>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后无正当理由不与采购人签订合同，或者与采购人另行订立背离合同实质性内容的协议的；</w:t>
      </w:r>
      <w:bookmarkEnd w:id="129"/>
    </w:p>
    <w:p w14:paraId="63C4CA01">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30" w:name="_Toc24513"/>
      <w:r>
        <w:rPr>
          <w:rFonts w:hint="eastAsia" w:ascii="仿宋" w:hAnsi="仿宋" w:eastAsia="仿宋" w:cs="仿宋"/>
          <w:color w:val="000000" w:themeColor="text1"/>
          <w:sz w:val="24"/>
          <w:szCs w:val="24"/>
          <w:highlight w:val="none"/>
          <w14:textFill>
            <w14:solidFill>
              <w14:schemeClr w14:val="tx1"/>
            </w14:solidFill>
          </w14:textFill>
        </w:rPr>
        <w:t>2、将</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项目转让给他人，或者在响应文件中未说明，且未经采购人同意，将</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项目分包给他人的；</w:t>
      </w:r>
      <w:bookmarkEnd w:id="130"/>
    </w:p>
    <w:p w14:paraId="6207D04B">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000000" w:themeColor="text1"/>
          <w:sz w:val="24"/>
          <w:szCs w:val="24"/>
          <w:highlight w:val="none"/>
          <w14:textFill>
            <w14:solidFill>
              <w14:schemeClr w14:val="tx1"/>
            </w14:solidFill>
          </w14:textFill>
        </w:rPr>
      </w:pPr>
      <w:bookmarkStart w:id="131" w:name="_Toc28984"/>
      <w:r>
        <w:rPr>
          <w:rFonts w:hint="eastAsia" w:ascii="仿宋" w:hAnsi="仿宋" w:eastAsia="仿宋" w:cs="仿宋"/>
          <w:color w:val="000000" w:themeColor="text1"/>
          <w:sz w:val="24"/>
          <w:szCs w:val="24"/>
          <w:highlight w:val="none"/>
          <w14:textFill>
            <w14:solidFill>
              <w14:schemeClr w14:val="tx1"/>
            </w14:solidFill>
          </w14:textFill>
        </w:rPr>
        <w:t>3、拒绝履行合同义务的。</w:t>
      </w:r>
      <w:bookmarkEnd w:id="131"/>
    </w:p>
    <w:p w14:paraId="30F90B02">
      <w:pPr>
        <w:snapToGrid w:val="0"/>
        <w:spacing w:line="360" w:lineRule="auto"/>
        <w:ind w:firstLine="480" w:firstLineChars="200"/>
        <w:outlineLvl w:val="0"/>
        <w:rPr>
          <w:rFonts w:ascii="仿宋" w:hAnsi="仿宋" w:eastAsia="仿宋" w:cs="仿宋"/>
          <w:color w:val="000000" w:themeColor="text1"/>
          <w:sz w:val="24"/>
          <w:szCs w:val="24"/>
          <w:highlight w:val="none"/>
          <w14:textFill>
            <w14:solidFill>
              <w14:schemeClr w14:val="tx1"/>
            </w14:solidFill>
          </w14:textFill>
        </w:rPr>
      </w:pPr>
      <w:bookmarkStart w:id="132" w:name="_Toc20464"/>
      <w:r>
        <w:rPr>
          <w:rFonts w:hint="eastAsia" w:ascii="仿宋" w:hAnsi="仿宋" w:eastAsia="仿宋" w:cs="仿宋"/>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color w:val="000000" w:themeColor="text1"/>
          <w:sz w:val="24"/>
          <w:szCs w:val="24"/>
          <w:highlight w:val="none"/>
          <w14:textFill>
            <w14:solidFill>
              <w14:schemeClr w14:val="tx1"/>
            </w14:solidFill>
          </w14:textFill>
        </w:rPr>
        <w:t>有前款情形之一的，</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无效。</w:t>
      </w:r>
      <w:bookmarkEnd w:id="132"/>
    </w:p>
    <w:p w14:paraId="33DFDBBA">
      <w:pPr>
        <w:snapToGrid w:val="0"/>
        <w:spacing w:line="360" w:lineRule="auto"/>
        <w:ind w:firstLine="480"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bookmarkStart w:id="133" w:name="_Toc3229"/>
      <w:r>
        <w:rPr>
          <w:rFonts w:hint="eastAsia" w:ascii="仿宋" w:hAnsi="仿宋" w:eastAsia="仿宋" w:cs="仿宋"/>
          <w:color w:val="000000" w:themeColor="text1"/>
          <w:sz w:val="24"/>
          <w:szCs w:val="24"/>
          <w:highlight w:val="none"/>
          <w14:textFill>
            <w14:solidFill>
              <w14:schemeClr w14:val="tx1"/>
            </w14:solidFill>
          </w14:textFill>
        </w:rPr>
        <w:t>按照以上条款规定，经同级或其上级财政部门认定</w:t>
      </w:r>
      <w:r>
        <w:rPr>
          <w:rFonts w:hint="eastAsia" w:ascii="仿宋" w:hAnsi="仿宋" w:eastAsia="仿宋" w:cs="仿宋"/>
          <w:color w:val="000000" w:themeColor="text1"/>
          <w:sz w:val="24"/>
          <w:szCs w:val="24"/>
          <w:highlight w:val="none"/>
          <w:lang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无效的，可按</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候选顺序重新确定，或重新进行采购。</w:t>
      </w:r>
      <w:bookmarkEnd w:id="133"/>
    </w:p>
    <w:p w14:paraId="24462C21">
      <w:pPr>
        <w:pStyle w:val="3"/>
        <w:bidi w:val="0"/>
        <w:rPr>
          <w:rFonts w:hint="eastAsia"/>
          <w:color w:val="000000" w:themeColor="text1"/>
          <w:lang w:eastAsia="zh-CN"/>
          <w14:textFill>
            <w14:solidFill>
              <w14:schemeClr w14:val="tx1"/>
            </w14:solidFill>
          </w14:textFill>
        </w:rPr>
      </w:pPr>
      <w:bookmarkStart w:id="134" w:name="_Toc21899"/>
      <w:r>
        <w:rPr>
          <w:rFonts w:hint="eastAsia"/>
          <w:color w:val="000000" w:themeColor="text1"/>
          <w:lang w:eastAsia="zh-CN"/>
          <w14:textFill>
            <w14:solidFill>
              <w14:schemeClr w14:val="tx1"/>
            </w14:solidFill>
          </w14:textFill>
        </w:rPr>
        <w:t>六</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质疑与投诉</w:t>
      </w:r>
      <w:bookmarkEnd w:id="134"/>
    </w:p>
    <w:p w14:paraId="7E53509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．质疑和投诉</w:t>
      </w:r>
    </w:p>
    <w:p w14:paraId="256F2C86">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1供应商认为采购文件、采购过程和成交、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376A222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（一）对可以质疑的采购文件提出质疑的，为收到采购文件之日或者采购文件公告期限届满之日；</w:t>
      </w:r>
    </w:p>
    <w:p w14:paraId="6A4E4816">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（二）对采购过程提出质疑的，为各采购程序环节结束之日；</w:t>
      </w:r>
    </w:p>
    <w:p w14:paraId="28B1490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（三）对成交或者成交结果提出质疑的，为成交或者成交结果公告期限届满之日。</w:t>
      </w:r>
    </w:p>
    <w:p w14:paraId="171CA5D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A01FB19">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供应商为自然人的，应当由本人签章；供应商为法人或者其他组织的，应当由法定代表人、主要负责人，或者其授权代表签章或者盖章，并加盖公章。</w:t>
      </w:r>
    </w:p>
    <w:p w14:paraId="05D28FFB">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.3供应商质疑、投诉应当有明确的请求和必要的证明材料。供应商投诉的事项不得超出已质疑事项的范围。采购人及采购代理机构按《政府采购质疑和投诉办法》进行处理供应商质疑事项。</w:t>
      </w:r>
    </w:p>
    <w:p w14:paraId="5C5E973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.4质疑供应商对采购人、采购代理机构的质疑答复不满意，或者采购人、采购代理机构未在规定期限内作出答复的，供应商可以在答复期满后15个工作日内向同级财政部门提起投诉。</w:t>
      </w:r>
    </w:p>
    <w:p w14:paraId="4136682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.5供应商有下列情形之一的，采购代理机构上报至克州财政局政府采购办，将其列入不良行为记录名单：</w:t>
      </w:r>
    </w:p>
    <w:p w14:paraId="7883E68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（一）一年内三次以上质疑均查无实据的；</w:t>
      </w:r>
    </w:p>
    <w:p w14:paraId="25E7A96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（二）捏造事实或者提供虚假质疑材料的。</w:t>
      </w:r>
    </w:p>
    <w:p w14:paraId="6E6D6A5D">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（三）以非法手段取得证明材料。证据来源的合法性存在明显疑问，质疑人无法证明其取得方式合法的，视为以非法手段取得证明材料。</w:t>
      </w:r>
    </w:p>
    <w:p w14:paraId="6A2E1261">
      <w:pPr>
        <w:rPr>
          <w:rFonts w:hint="eastAsia" w:ascii="仿宋" w:hAnsi="仿宋" w:eastAsia="仿宋" w:cs="仿宋"/>
          <w:b/>
          <w:bCs/>
          <w:color w:val="000000" w:themeColor="text1"/>
          <w:highlight w:val="none"/>
          <w:lang w:eastAsia="zh-CN"/>
          <w14:textFill>
            <w14:solidFill>
              <w14:schemeClr w14:val="tx1"/>
            </w14:solidFill>
          </w14:textFill>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010905E6">
      <w:pPr>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附件：</w:t>
      </w:r>
    </w:p>
    <w:p w14:paraId="53D1A1FC">
      <w:pPr>
        <w:jc w:val="center"/>
        <w:rPr>
          <w:rFonts w:ascii="仿宋" w:hAnsi="仿宋" w:eastAsia="仿宋" w:cs="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政府采购投诉书（范本）、质疑函范本</w:t>
      </w:r>
    </w:p>
    <w:p w14:paraId="3926CADF">
      <w:pPr>
        <w:spacing w:line="400" w:lineRule="exact"/>
        <w:jc w:val="center"/>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政府采购投诉书（范本）</w:t>
      </w:r>
    </w:p>
    <w:p w14:paraId="183AF721">
      <w:pPr>
        <w:spacing w:line="400" w:lineRule="exact"/>
        <w:rPr>
          <w:rFonts w:ascii="仿宋" w:hAnsi="仿宋" w:eastAsia="仿宋" w:cs="仿宋"/>
          <w:color w:val="000000" w:themeColor="text1"/>
          <w:highlight w:val="none"/>
          <w:lang w:eastAsia="zh-CN"/>
          <w14:textFill>
            <w14:solidFill>
              <w14:schemeClr w14:val="tx1"/>
            </w14:solidFill>
          </w14:textFill>
        </w:rPr>
      </w:pPr>
    </w:p>
    <w:p w14:paraId="22F2BF2E">
      <w:pPr>
        <w:spacing w:line="400" w:lineRule="exact"/>
        <w:ind w:firstLine="42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法定代表人：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p>
    <w:p w14:paraId="6F654329">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地址：</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电话：</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77A0ED24">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委托代理人姓名：</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职务：</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49C4EBFB">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住址：</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联系电话：</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30F9175C">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被投诉人：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法定代表人：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2078B605">
      <w:pPr>
        <w:spacing w:line="400" w:lineRule="exact"/>
        <w:ind w:firstLine="420" w:firstLineChars="200"/>
        <w:rPr>
          <w:rFonts w:hint="default" w:ascii="仿宋" w:hAnsi="仿宋" w:eastAsia="仿宋" w:cs="仿宋"/>
          <w:color w:val="000000" w:themeColor="text1"/>
          <w:highlight w:val="none"/>
          <w:u w:val="single"/>
          <w:lang w:val="en-US"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地址：</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电话：</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p>
    <w:p w14:paraId="30BC11F5">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p>
    <w:p w14:paraId="348ED604">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我公司参加了</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年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月</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日被投诉人组织的</w:t>
      </w:r>
      <w:r>
        <w:rPr>
          <w:rFonts w:hint="eastAsia" w:ascii="仿宋" w:hAnsi="仿宋" w:eastAsia="仿宋" w:cs="仿宋"/>
          <w:color w:val="000000" w:themeColor="text1"/>
          <w:highlight w:val="none"/>
          <w:u w:val="single"/>
          <w:lang w:eastAsia="zh-CN"/>
          <w14:textFill>
            <w14:solidFill>
              <w14:schemeClr w14:val="tx1"/>
            </w14:solidFill>
          </w14:textFill>
        </w:rPr>
        <w:t>（采购人）（项目名称）（项目编号）</w:t>
      </w:r>
      <w:r>
        <w:rPr>
          <w:rFonts w:hint="eastAsia" w:ascii="仿宋" w:hAnsi="仿宋" w:eastAsia="仿宋" w:cs="仿宋"/>
          <w:color w:val="000000" w:themeColor="text1"/>
          <w:highlight w:val="none"/>
          <w:lang w:eastAsia="zh-CN"/>
          <w14:textFill>
            <w14:solidFill>
              <w14:schemeClr w14:val="tx1"/>
            </w14:solidFill>
          </w14:textFill>
        </w:rPr>
        <w:t>的采购活动，我公司认为该项目的</w:t>
      </w:r>
      <w:r>
        <w:rPr>
          <w:rFonts w:hint="eastAsia" w:ascii="仿宋" w:hAnsi="仿宋" w:eastAsia="仿宋" w:cs="仿宋"/>
          <w:color w:val="000000" w:themeColor="text1"/>
          <w:highlight w:val="none"/>
          <w:u w:val="single"/>
          <w:lang w:eastAsia="zh-CN"/>
          <w14:textFill>
            <w14:solidFill>
              <w14:schemeClr w14:val="tx1"/>
            </w14:solidFill>
          </w14:textFill>
        </w:rPr>
        <w:t>（采购文件/采购过程/中标（成交）结果）</w:t>
      </w:r>
      <w:r>
        <w:rPr>
          <w:rFonts w:hint="eastAsia" w:ascii="仿宋" w:hAnsi="仿宋" w:eastAsia="仿宋" w:cs="仿宋"/>
          <w:color w:val="000000" w:themeColor="text1"/>
          <w:highlight w:val="none"/>
          <w:lang w:eastAsia="zh-CN"/>
          <w14:textFill>
            <w14:solidFill>
              <w14:schemeClr w14:val="tx1"/>
            </w14:solidFill>
          </w14:textFill>
        </w:rPr>
        <w:t>损害了我公司权益，对此，我公司于</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年</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月</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日向</w:t>
      </w:r>
      <w:r>
        <w:rPr>
          <w:rFonts w:hint="eastAsia" w:ascii="仿宋" w:hAnsi="仿宋" w:eastAsia="仿宋" w:cs="仿宋"/>
          <w:color w:val="000000" w:themeColor="text1"/>
          <w:highlight w:val="none"/>
          <w:u w:val="single"/>
          <w:lang w:eastAsia="zh-CN"/>
          <w14:textFill>
            <w14:solidFill>
              <w14:schemeClr w14:val="tx1"/>
            </w14:solidFill>
          </w14:textFill>
        </w:rPr>
        <w:t>（采购人或者政府采购代理机构）</w:t>
      </w:r>
      <w:r>
        <w:rPr>
          <w:rFonts w:hint="eastAsia" w:ascii="仿宋" w:hAnsi="仿宋" w:eastAsia="仿宋" w:cs="仿宋"/>
          <w:color w:val="000000" w:themeColor="text1"/>
          <w:highlight w:val="none"/>
          <w:lang w:eastAsia="zh-CN"/>
          <w14:textFill>
            <w14:solidFill>
              <w14:schemeClr w14:val="tx1"/>
            </w14:solidFill>
          </w14:textFill>
        </w:rPr>
        <w:t>提出了质疑，</w:t>
      </w:r>
      <w:r>
        <w:rPr>
          <w:rFonts w:hint="eastAsia" w:ascii="仿宋" w:hAnsi="仿宋" w:eastAsia="仿宋" w:cs="仿宋"/>
          <w:color w:val="000000" w:themeColor="text1"/>
          <w:highlight w:val="none"/>
          <w:u w:val="single"/>
          <w:lang w:eastAsia="zh-CN"/>
          <w14:textFill>
            <w14:solidFill>
              <w14:schemeClr w14:val="tx1"/>
            </w14:solidFill>
          </w14:textFill>
        </w:rPr>
        <w:t>（其于    年  月  日作出书面答复，因对其作出的答复不满意）/（被质疑人未在法定期内予以答复，按照政府采购有关规定）</w:t>
      </w:r>
      <w:r>
        <w:rPr>
          <w:rFonts w:hint="eastAsia" w:ascii="仿宋" w:hAnsi="仿宋" w:eastAsia="仿宋" w:cs="仿宋"/>
          <w:color w:val="000000" w:themeColor="text1"/>
          <w:highlight w:val="none"/>
          <w:lang w:eastAsia="zh-CN"/>
          <w14:textFill>
            <w14:solidFill>
              <w14:schemeClr w14:val="tx1"/>
            </w14:solidFill>
          </w14:textFill>
        </w:rPr>
        <w:t>，现向贵机关提起投诉：</w:t>
      </w:r>
    </w:p>
    <w:p w14:paraId="71831846">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u w:val="single"/>
          <w:lang w:eastAsia="zh-CN"/>
          <w14:textFill>
            <w14:solidFill>
              <w14:schemeClr w14:val="tx1"/>
            </w14:solidFill>
          </w14:textFill>
        </w:rPr>
        <w:t>具体的投诉事项及事实依据；</w:t>
      </w:r>
    </w:p>
    <w:p w14:paraId="0AA81DFA">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u w:val="single"/>
          <w:lang w:eastAsia="zh-CN"/>
          <w14:textFill>
            <w14:solidFill>
              <w14:schemeClr w14:val="tx1"/>
            </w14:solidFill>
          </w14:textFill>
        </w:rPr>
        <w:t>质疑和质疑答复情况简要描述；</w:t>
      </w:r>
    </w:p>
    <w:p w14:paraId="7CBAC69E">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u w:val="single"/>
          <w:lang w:eastAsia="zh-CN"/>
          <w14:textFill>
            <w14:solidFill>
              <w14:schemeClr w14:val="tx1"/>
            </w14:solidFill>
          </w14:textFill>
        </w:rPr>
        <w:t>投诉请求。</w:t>
      </w:r>
    </w:p>
    <w:p w14:paraId="73D055E9">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附件：</w:t>
      </w:r>
    </w:p>
    <w:p w14:paraId="106BEAD0">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1.质疑书和质疑答复书；</w:t>
      </w:r>
    </w:p>
    <w:p w14:paraId="22BDDCE2">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2.证据材料（需注明证据来源），证人的姓名、住址和联系方式等；</w:t>
      </w:r>
    </w:p>
    <w:p w14:paraId="0C45703F">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3.营业执照；</w:t>
      </w:r>
    </w:p>
    <w:p w14:paraId="289E772F">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4.法定代表人身份证明函</w:t>
      </w:r>
    </w:p>
    <w:p w14:paraId="2FB216E5">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5.法定代表人授权委托书（包含法定代表人和委托代理人的身份证复印件）；</w:t>
      </w:r>
    </w:p>
    <w:p w14:paraId="66DD8714">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6.政府采购监管部门认为应当提供的其它材料。</w:t>
      </w:r>
    </w:p>
    <w:p w14:paraId="3B15E3EF">
      <w:pPr>
        <w:spacing w:line="400" w:lineRule="exact"/>
        <w:jc w:val="center"/>
        <w:rPr>
          <w:rFonts w:ascii="仿宋" w:hAnsi="仿宋" w:eastAsia="仿宋" w:cs="仿宋"/>
          <w:color w:val="000000" w:themeColor="text1"/>
          <w:highlight w:val="none"/>
          <w:lang w:eastAsia="zh-CN"/>
          <w14:textFill>
            <w14:solidFill>
              <w14:schemeClr w14:val="tx1"/>
            </w14:solidFill>
          </w14:textFill>
        </w:rPr>
      </w:pPr>
    </w:p>
    <w:p w14:paraId="76DD98F0">
      <w:pPr>
        <w:spacing w:line="400" w:lineRule="exact"/>
        <w:jc w:val="center"/>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投诉供应商：（盖章）</w:t>
      </w:r>
    </w:p>
    <w:p w14:paraId="05912732">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法定代表人（或主要负责人）：（签章）</w:t>
      </w:r>
    </w:p>
    <w:p w14:paraId="4551F0CC">
      <w:pPr>
        <w:spacing w:line="400" w:lineRule="exact"/>
        <w:ind w:firstLine="3360" w:firstLineChars="16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年</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月</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日</w:t>
      </w:r>
    </w:p>
    <w:p w14:paraId="6116C65F">
      <w:pPr>
        <w:spacing w:line="400" w:lineRule="exact"/>
        <w:rPr>
          <w:rFonts w:ascii="仿宋" w:hAnsi="仿宋" w:eastAsia="仿宋" w:cs="仿宋"/>
          <w:color w:val="000000" w:themeColor="text1"/>
          <w:highlight w:val="none"/>
          <w:lang w:eastAsia="zh-CN"/>
          <w14:textFill>
            <w14:solidFill>
              <w14:schemeClr w14:val="tx1"/>
            </w14:solidFill>
          </w14:textFill>
        </w:rPr>
      </w:pPr>
    </w:p>
    <w:p w14:paraId="4C02CE9C">
      <w:pPr>
        <w:spacing w:line="400" w:lineRule="exact"/>
        <w:jc w:val="righ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本投诉书正本叁份，副本</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份并附电子文档。</w:t>
      </w:r>
    </w:p>
    <w:p w14:paraId="59695C9C">
      <w:pPr>
        <w:ind w:left="5783" w:hanging="5783" w:hangingChars="1800"/>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pPr>
      <w:bookmarkStart w:id="135" w:name="_Toc17515"/>
    </w:p>
    <w:p w14:paraId="7C4F457B">
      <w:pPr>
        <w:ind w:left="5783" w:hanging="5783" w:hangingChars="1800"/>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1E4F9051">
      <w:pPr>
        <w:ind w:left="5783" w:hanging="5783" w:hangingChars="1800"/>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15A1BAEE">
      <w:pPr>
        <w:ind w:left="5783" w:hanging="5783" w:hangingChars="1800"/>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bookmarkStart w:id="136" w:name="_Toc8593"/>
    </w:p>
    <w:p w14:paraId="1655F217">
      <w:pPr>
        <w:ind w:left="5783" w:hanging="5783" w:hangingChars="1800"/>
        <w:jc w:val="center"/>
        <w:outlineLvl w:val="0"/>
        <w:rPr>
          <w:rFonts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投诉相关说明</w:t>
      </w:r>
      <w:bookmarkEnd w:id="135"/>
      <w:bookmarkEnd w:id="136"/>
    </w:p>
    <w:p w14:paraId="69E112EA">
      <w:pPr>
        <w:widowControl/>
        <w:spacing w:line="400" w:lineRule="exact"/>
        <w:ind w:firstLine="42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投诉人应当满足《政府采购法》、《政府采购法实施条例》和《政府采购供应商投诉处理办法》的相关规定。</w:t>
      </w:r>
    </w:p>
    <w:p w14:paraId="3BC31C15">
      <w:pPr>
        <w:numPr>
          <w:ilvl w:val="0"/>
          <w:numId w:val="7"/>
        </w:numPr>
        <w:spacing w:line="400" w:lineRule="exact"/>
        <w:ind w:left="4493" w:leftChars="304" w:hanging="3855" w:hangingChars="1600"/>
        <w:outlineLvl w:val="0"/>
        <w:rPr>
          <w:rFonts w:ascii="仿宋" w:hAnsi="仿宋" w:eastAsia="仿宋" w:cs="仿宋"/>
          <w:b/>
          <w:bCs/>
          <w:color w:val="000000" w:themeColor="text1"/>
          <w:sz w:val="24"/>
          <w:szCs w:val="24"/>
          <w:highlight w:val="none"/>
          <w14:textFill>
            <w14:solidFill>
              <w14:schemeClr w14:val="tx1"/>
            </w14:solidFill>
          </w14:textFill>
        </w:rPr>
      </w:pPr>
      <w:bookmarkStart w:id="137" w:name="_Toc7677"/>
      <w:bookmarkStart w:id="138" w:name="_Toc11499"/>
      <w:r>
        <w:rPr>
          <w:rFonts w:hint="eastAsia" w:ascii="仿宋" w:hAnsi="仿宋" w:eastAsia="仿宋" w:cs="仿宋"/>
          <w:b/>
          <w:bCs/>
          <w:color w:val="000000" w:themeColor="text1"/>
          <w:sz w:val="24"/>
          <w:szCs w:val="24"/>
          <w:highlight w:val="none"/>
          <w14:textFill>
            <w14:solidFill>
              <w14:schemeClr w14:val="tx1"/>
            </w14:solidFill>
          </w14:textFill>
        </w:rPr>
        <w:t>质疑前置及时间要求</w:t>
      </w:r>
      <w:bookmarkEnd w:id="137"/>
      <w:bookmarkEnd w:id="138"/>
    </w:p>
    <w:p w14:paraId="399DAB1A">
      <w:pPr>
        <w:widowControl/>
        <w:spacing w:line="400" w:lineRule="exact"/>
        <w:ind w:firstLine="420"/>
        <w:rPr>
          <w:rFonts w:ascii="仿宋" w:hAnsi="仿宋" w:eastAsia="仿宋" w:cs="仿宋"/>
          <w:color w:val="000000" w:themeColor="text1"/>
          <w:highlight w:val="none"/>
          <w:shd w:val="clear" w:color="auto" w:fill="FFFFFF"/>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《中华人民共和国政府采购法》</w:t>
      </w:r>
      <w:r>
        <w:rPr>
          <w:rFonts w:hint="eastAsia" w:ascii="仿宋" w:hAnsi="仿宋" w:eastAsia="仿宋" w:cs="仿宋"/>
          <w:color w:val="000000" w:themeColor="text1"/>
          <w:highlight w:val="none"/>
          <w:shd w:val="clear" w:color="auto" w:fill="FFFFFF"/>
          <w:lang w:eastAsia="zh-CN"/>
          <w14:textFill>
            <w14:solidFill>
              <w14:schemeClr w14:val="tx1"/>
            </w14:solidFill>
          </w14:textFill>
        </w:rPr>
        <w:t>第五十一条：供应商对政府采购活动事项有疑问的，可以向采购人提出询问，采购人应当及时作出答复，但答复的内容不得涉及商业秘密。</w:t>
      </w:r>
    </w:p>
    <w:p w14:paraId="7F364A07">
      <w:pPr>
        <w:widowControl/>
        <w:spacing w:line="400" w:lineRule="exact"/>
        <w:ind w:firstLine="42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shd w:val="clear" w:color="auto" w:fill="FFFFFF"/>
          <w:lang w:eastAsia="zh-CN"/>
          <w14:textFill>
            <w14:solidFill>
              <w14:schemeClr w14:val="tx1"/>
            </w14:solidFill>
          </w14:textFill>
        </w:rPr>
        <w:t xml:space="preserve"> 第五十二条：供应商认为采购文件、采购过程和成交、成交结果使自己的权益受到损害的，可以在知道或者应知其权益受到损害之日起七个工作日内，以书面形式向采购人提出质疑。</w:t>
      </w:r>
    </w:p>
    <w:p w14:paraId="43E9FF11">
      <w:pPr>
        <w:widowControl/>
        <w:spacing w:line="400" w:lineRule="exact"/>
        <w:ind w:firstLine="420"/>
        <w:rPr>
          <w:rFonts w:ascii="仿宋" w:hAnsi="仿宋" w:eastAsia="仿宋" w:cs="仿宋"/>
          <w:color w:val="000000" w:themeColor="text1"/>
          <w:highlight w:val="none"/>
          <w:shd w:val="clear" w:color="auto" w:fill="FFFFFF"/>
          <w:lang w:eastAsia="zh-CN"/>
          <w14:textFill>
            <w14:solidFill>
              <w14:schemeClr w14:val="tx1"/>
            </w14:solidFill>
          </w14:textFill>
        </w:rPr>
      </w:pPr>
      <w:r>
        <w:rPr>
          <w:rFonts w:hint="eastAsia" w:ascii="仿宋" w:hAnsi="仿宋" w:eastAsia="仿宋" w:cs="仿宋"/>
          <w:color w:val="000000" w:themeColor="text1"/>
          <w:highlight w:val="none"/>
          <w:shd w:val="clear" w:color="auto" w:fill="FFFFFF"/>
          <w:lang w:eastAsia="zh-CN"/>
          <w14:textFill>
            <w14:solidFill>
              <w14:schemeClr w14:val="tx1"/>
            </w14:solidFill>
          </w14:textFill>
        </w:rPr>
        <w:t xml:space="preserve"> 第五十三条：采购人应当在收到供应商的书面质疑后七个工作日内作出答复，并以书面形式通知质疑供应商和其他有关供应商，但答复的内容不得涉及商业秘密。</w:t>
      </w:r>
    </w:p>
    <w:p w14:paraId="78EA0F60">
      <w:pPr>
        <w:widowControl/>
        <w:spacing w:line="400" w:lineRule="exact"/>
        <w:ind w:firstLine="420"/>
        <w:rPr>
          <w:rFonts w:ascii="仿宋" w:hAnsi="仿宋" w:eastAsia="仿宋" w:cs="仿宋"/>
          <w:color w:val="000000" w:themeColor="text1"/>
          <w:highlight w:val="none"/>
          <w:shd w:val="clear" w:color="auto" w:fill="FFFFFF"/>
          <w:lang w:eastAsia="zh-CN"/>
          <w14:textFill>
            <w14:solidFill>
              <w14:schemeClr w14:val="tx1"/>
            </w14:solidFill>
          </w14:textFill>
        </w:rPr>
      </w:pPr>
      <w:r>
        <w:rPr>
          <w:rFonts w:hint="eastAsia" w:ascii="仿宋" w:hAnsi="仿宋" w:eastAsia="仿宋" w:cs="仿宋"/>
          <w:color w:val="000000" w:themeColor="text1"/>
          <w:highlight w:val="none"/>
          <w:shd w:val="clear" w:color="auto" w:fill="FFFFFF"/>
          <w:lang w:eastAsia="zh-CN"/>
          <w14:textFill>
            <w14:solidFill>
              <w14:schemeClr w14:val="tx1"/>
            </w14:solidFill>
          </w14:textFill>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0C0344B7">
      <w:pPr>
        <w:widowControl/>
        <w:spacing w:line="400" w:lineRule="exact"/>
        <w:ind w:firstLine="42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shd w:val="clear" w:color="auto" w:fill="FFFFFF"/>
          <w:lang w:eastAsia="zh-CN"/>
          <w14:textFill>
            <w14:solidFill>
              <w14:schemeClr w14:val="tx1"/>
            </w14:solidFill>
          </w14:textFill>
        </w:rPr>
        <w:t xml:space="preserve">  《政府采购实施条例》第五十五条：供应商质疑、投诉应当有明确的请求和必要的证明材料。供应商投诉的事项不得超出质疑事项的范围。</w:t>
      </w:r>
    </w:p>
    <w:p w14:paraId="309D6F2C">
      <w:pPr>
        <w:spacing w:line="400" w:lineRule="exact"/>
        <w:ind w:left="3780" w:hanging="3780" w:hangingChars="1800"/>
        <w:outlineLvl w:val="0"/>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 xml:space="preserve"> </w:t>
      </w:r>
      <w:r>
        <w:rPr>
          <w:rFonts w:hint="eastAsia" w:ascii="仿宋" w:hAnsi="仿宋" w:eastAsia="仿宋" w:cs="仿宋"/>
          <w:b/>
          <w:bCs/>
          <w:color w:val="000000" w:themeColor="text1"/>
          <w:sz w:val="21"/>
          <w:szCs w:val="21"/>
          <w:highlight w:val="none"/>
          <w:lang w:eastAsia="zh-CN"/>
          <w14:textFill>
            <w14:solidFill>
              <w14:schemeClr w14:val="tx1"/>
            </w14:solidFill>
          </w14:textFill>
        </w:rPr>
        <w:t xml:space="preserve">   </w:t>
      </w:r>
      <w:bookmarkStart w:id="139" w:name="_Toc13508"/>
      <w:bookmarkStart w:id="140" w:name="_Toc18541"/>
      <w:r>
        <w:rPr>
          <w:rFonts w:hint="eastAsia" w:ascii="仿宋" w:hAnsi="仿宋" w:eastAsia="仿宋" w:cs="仿宋"/>
          <w:b/>
          <w:bCs/>
          <w:color w:val="000000" w:themeColor="text1"/>
          <w:sz w:val="21"/>
          <w:szCs w:val="21"/>
          <w:highlight w:val="none"/>
          <w:lang w:eastAsia="zh-CN"/>
          <w14:textFill>
            <w14:solidFill>
              <w14:schemeClr w14:val="tx1"/>
            </w14:solidFill>
          </w14:textFill>
        </w:rPr>
        <w:t>二、书面方式</w:t>
      </w:r>
      <w:bookmarkEnd w:id="139"/>
      <w:bookmarkEnd w:id="140"/>
    </w:p>
    <w:p w14:paraId="67D73DF3">
      <w:pPr>
        <w:spacing w:line="400" w:lineRule="exact"/>
        <w:ind w:left="3780" w:hanging="3780" w:hangingChars="18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政府采购供应商投诉处理办法》第八条：投诉人投诉</w:t>
      </w:r>
    </w:p>
    <w:p w14:paraId="55DE9CFD">
      <w:p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时，应当提交投诉书，并按照被投诉人以及与投诉事项有关的供应商数量提供投诉书的副本。</w:t>
      </w:r>
    </w:p>
    <w:p w14:paraId="73FDDCE6">
      <w:pPr>
        <w:spacing w:line="400" w:lineRule="exact"/>
        <w:ind w:left="4320" w:hanging="3780" w:hangingChars="18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投诉书应当包括下列主要内容：</w:t>
      </w:r>
    </w:p>
    <w:p w14:paraId="24867418">
      <w:pPr>
        <w:numPr>
          <w:ilvl w:val="0"/>
          <w:numId w:val="8"/>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投诉人和被投诉人的名称、地址、电话等；</w:t>
      </w:r>
    </w:p>
    <w:p w14:paraId="7D35E59A">
      <w:pPr>
        <w:numPr>
          <w:ilvl w:val="0"/>
          <w:numId w:val="8"/>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具体的投诉事项及事实依据；</w:t>
      </w:r>
    </w:p>
    <w:p w14:paraId="2153F2A5">
      <w:pPr>
        <w:numPr>
          <w:ilvl w:val="0"/>
          <w:numId w:val="8"/>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质疑和质疑答复情况及相关证明材料；</w:t>
      </w:r>
    </w:p>
    <w:p w14:paraId="0A363CC6">
      <w:pPr>
        <w:numPr>
          <w:ilvl w:val="0"/>
          <w:numId w:val="8"/>
        </w:numPr>
        <w:spacing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提起投诉的日期。</w:t>
      </w:r>
    </w:p>
    <w:p w14:paraId="1DCDB8D3">
      <w:pPr>
        <w:spacing w:line="400" w:lineRule="exact"/>
        <w:ind w:firstLine="64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投诉书应当署名。投诉人为自然人，应当由本人签章；投诉人为法人或者其他组织的，应当由法定代表人或者主要负责人签章并加盖公章。</w:t>
      </w:r>
    </w:p>
    <w:p w14:paraId="7069A94F">
      <w:pPr>
        <w:spacing w:line="400" w:lineRule="exact"/>
        <w:ind w:firstLine="64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47046F42">
      <w:pPr>
        <w:spacing w:line="400" w:lineRule="exact"/>
        <w:ind w:firstLine="64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《政府采购供应商投诉处理办法》第十条：投诉人提起投诉应当符合下列条件：</w:t>
      </w:r>
    </w:p>
    <w:p w14:paraId="69C98BA1">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投诉人是参与所投诉政府采购活动的供应商；</w:t>
      </w:r>
    </w:p>
    <w:p w14:paraId="3C39411A">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提起投诉诉前已依法进行质疑；</w:t>
      </w:r>
    </w:p>
    <w:p w14:paraId="1D84B199">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投诉书内容符合本办法的规定；</w:t>
      </w:r>
    </w:p>
    <w:p w14:paraId="1577DE7C">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在投诉有效期内提起投诉；</w:t>
      </w:r>
    </w:p>
    <w:p w14:paraId="4E4DA86A">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属于本级财政部门管辖；</w:t>
      </w:r>
    </w:p>
    <w:p w14:paraId="4C5E4BB6">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同一投诉事项未经财政部门投诉处理；</w:t>
      </w:r>
    </w:p>
    <w:p w14:paraId="4B05289E">
      <w:pPr>
        <w:numPr>
          <w:ilvl w:val="0"/>
          <w:numId w:val="9"/>
        </w:numPr>
        <w:spacing w:line="4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国务院财政部门规定的其他条件。</w:t>
      </w:r>
    </w:p>
    <w:p w14:paraId="150E26DA">
      <w:pPr>
        <w:spacing w:line="400" w:lineRule="exact"/>
        <w:ind w:left="4320" w:hanging="3780" w:hangingChars="18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p>
    <w:p w14:paraId="5B5930D4">
      <w:pPr>
        <w:outlineLvl w:val="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r>
        <w:rPr>
          <w:rFonts w:hint="eastAsia" w:ascii="仿宋" w:hAnsi="仿宋" w:eastAsia="仿宋" w:cs="仿宋"/>
          <w:b/>
          <w:bCs/>
          <w:color w:val="000000" w:themeColor="text1"/>
          <w:highlight w:val="none"/>
          <w:lang w:eastAsia="zh-CN"/>
          <w14:textFill>
            <w14:solidFill>
              <w14:schemeClr w14:val="tx1"/>
            </w14:solidFill>
          </w14:textFill>
        </w:rPr>
        <w:t xml:space="preserve">   </w:t>
      </w:r>
      <w:bookmarkStart w:id="141" w:name="_Toc5978"/>
      <w:bookmarkStart w:id="142" w:name="_Toc26225"/>
      <w:r>
        <w:rPr>
          <w:rFonts w:hint="eastAsia" w:ascii="仿宋" w:hAnsi="仿宋" w:eastAsia="仿宋" w:cs="仿宋"/>
          <w:b/>
          <w:bCs/>
          <w:color w:val="000000" w:themeColor="text1"/>
          <w:highlight w:val="none"/>
          <w:lang w:eastAsia="zh-CN"/>
          <w14:textFill>
            <w14:solidFill>
              <w14:schemeClr w14:val="tx1"/>
            </w14:solidFill>
          </w14:textFill>
        </w:rPr>
        <w:t>三、虚假、恶意投诉法律责任</w:t>
      </w:r>
      <w:bookmarkEnd w:id="141"/>
      <w:bookmarkEnd w:id="142"/>
    </w:p>
    <w:p w14:paraId="310C61E2">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第七十三条：供应商捏造实施、提供虚假材料或者以非法手段取得证明材料进行投诉的，由财政部门列入不良行为记录名单，禁止其1至3年内参加政府采购活动。</w:t>
      </w:r>
    </w:p>
    <w:p w14:paraId="611114D1">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《政府采购供应商投诉处理办法》第二十六条：投诉人有下列情形之一的，属于虚假、恶意投诉，财政部门应当驳回投诉，将其列入不良行为记录名单，并依法予以处罚：</w:t>
      </w:r>
    </w:p>
    <w:p w14:paraId="2417C8DA">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（一）1年内3次以上投诉均查无实据的；</w:t>
      </w:r>
    </w:p>
    <w:p w14:paraId="037806C3">
      <w:pPr>
        <w:spacing w:line="40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（二）捏造事实或者提供虚假投诉材料的。</w:t>
      </w:r>
    </w:p>
    <w:p w14:paraId="30059AF0">
      <w:pPr>
        <w:spacing w:line="400" w:lineRule="exact"/>
        <w:rPr>
          <w:rFonts w:ascii="仿宋" w:hAnsi="仿宋" w:eastAsia="仿宋" w:cs="仿宋"/>
          <w:color w:val="000000" w:themeColor="text1"/>
          <w:sz w:val="21"/>
          <w:szCs w:val="21"/>
          <w:highlight w:val="none"/>
          <w:lang w:eastAsia="zh-CN"/>
          <w14:textFill>
            <w14:solidFill>
              <w14:schemeClr w14:val="tx1"/>
            </w14:solidFill>
          </w14:textFill>
        </w:rPr>
      </w:pPr>
    </w:p>
    <w:p w14:paraId="33F7564B">
      <w:pPr>
        <w:spacing w:line="400" w:lineRule="exact"/>
        <w:rPr>
          <w:rFonts w:ascii="仿宋" w:hAnsi="仿宋" w:eastAsia="仿宋" w:cs="仿宋"/>
          <w:color w:val="000000" w:themeColor="text1"/>
          <w:sz w:val="21"/>
          <w:szCs w:val="21"/>
          <w:highlight w:val="none"/>
          <w:lang w:eastAsia="zh-CN"/>
          <w14:textFill>
            <w14:solidFill>
              <w14:schemeClr w14:val="tx1"/>
            </w14:solidFill>
          </w14:textFill>
        </w:rPr>
      </w:pPr>
    </w:p>
    <w:p w14:paraId="6C45B15B">
      <w:pPr>
        <w:ind w:firstLine="630" w:firstLineChars="30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递交投诉书地址：克州财政局政府采购服务中心（新疆阿图什市天山路与经四路交叉口10楼1005）</w:t>
      </w:r>
    </w:p>
    <w:p w14:paraId="48C9E044">
      <w:pPr>
        <w:jc w:val="right"/>
        <w:rPr>
          <w:rFonts w:ascii="仿宋" w:hAnsi="仿宋" w:eastAsia="仿宋" w:cs="仿宋"/>
          <w:color w:val="000000" w:themeColor="text1"/>
          <w:sz w:val="32"/>
          <w:szCs w:val="32"/>
          <w:highlight w:val="none"/>
          <w:lang w:eastAsia="zh-CN"/>
          <w14:textFill>
            <w14:solidFill>
              <w14:schemeClr w14:val="tx1"/>
            </w14:solidFill>
          </w14:textFill>
        </w:rPr>
      </w:pPr>
    </w:p>
    <w:p w14:paraId="42DE0902">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382F95F9">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634BB9A8">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35A3666F">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502B3FAD">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3A15D776">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034FC9EA">
      <w:pPr>
        <w:spacing w:line="540" w:lineRule="exact"/>
        <w:jc w:val="center"/>
        <w:rPr>
          <w:rFonts w:ascii="仿宋" w:hAnsi="仿宋" w:eastAsia="仿宋" w:cs="仿宋"/>
          <w:b/>
          <w:bCs/>
          <w:color w:val="000000" w:themeColor="text1"/>
          <w:sz w:val="44"/>
          <w:szCs w:val="44"/>
          <w:highlight w:val="none"/>
          <w:lang w:eastAsia="zh-CN"/>
          <w14:textFill>
            <w14:solidFill>
              <w14:schemeClr w14:val="tx1"/>
            </w14:solidFill>
          </w14:textFill>
        </w:rPr>
      </w:pPr>
    </w:p>
    <w:p w14:paraId="51C8FC01">
      <w:pPr>
        <w:spacing w:line="540" w:lineRule="exact"/>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1125AC99">
      <w:pPr>
        <w:spacing w:line="540" w:lineRule="exact"/>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1C21B6A5">
      <w:pPr>
        <w:pStyle w:val="38"/>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08D013A6">
      <w:pPr>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15A07CAB">
      <w:pPr>
        <w:pStyle w:val="38"/>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640A1945">
      <w:pPr>
        <w:pStyle w:val="38"/>
        <w:rPr>
          <w:color w:val="000000" w:themeColor="text1"/>
          <w:lang w:eastAsia="zh-CN"/>
          <w14:textFill>
            <w14:solidFill>
              <w14:schemeClr w14:val="tx1"/>
            </w14:solidFill>
          </w14:textFill>
        </w:rPr>
      </w:pPr>
    </w:p>
    <w:p w14:paraId="6C449E45">
      <w:pPr>
        <w:spacing w:line="40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0F9856F6">
      <w:pPr>
        <w:shd w:val="clear" w:color="auto" w:fill="auto"/>
        <w:tabs>
          <w:tab w:val="left" w:pos="900"/>
        </w:tabs>
        <w:ind w:left="0" w:leftChars="0" w:right="206"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114F15CE">
      <w:pPr>
        <w:rPr>
          <w:rFonts w:hint="eastAsia"/>
          <w:color w:val="000000" w:themeColor="text1"/>
          <w:lang w:eastAsia="zh-CN"/>
          <w14:textFill>
            <w14:solidFill>
              <w14:schemeClr w14:val="tx1"/>
            </w14:solidFill>
          </w14:textFill>
        </w:rPr>
      </w:pPr>
    </w:p>
    <w:p w14:paraId="51214193">
      <w:pPr>
        <w:pStyle w:val="38"/>
        <w:rPr>
          <w:rFonts w:hint="eastAsia"/>
          <w:color w:val="000000" w:themeColor="text1"/>
          <w:lang w:eastAsia="zh-CN"/>
          <w14:textFill>
            <w14:solidFill>
              <w14:schemeClr w14:val="tx1"/>
            </w14:solidFill>
          </w14:textFill>
        </w:rPr>
      </w:pPr>
    </w:p>
    <w:p w14:paraId="71E8DF36">
      <w:pPr>
        <w:rPr>
          <w:rFonts w:hint="eastAsia"/>
          <w:color w:val="000000" w:themeColor="text1"/>
          <w:lang w:eastAsia="zh-CN"/>
          <w14:textFill>
            <w14:solidFill>
              <w14:schemeClr w14:val="tx1"/>
            </w14:solidFill>
          </w14:textFill>
        </w:rPr>
      </w:pPr>
    </w:p>
    <w:p w14:paraId="5E20022E">
      <w:pPr>
        <w:pStyle w:val="38"/>
        <w:rPr>
          <w:rFonts w:hint="eastAsia"/>
          <w:color w:val="000000" w:themeColor="text1"/>
          <w:lang w:eastAsia="zh-CN"/>
          <w14:textFill>
            <w14:solidFill>
              <w14:schemeClr w14:val="tx1"/>
            </w14:solidFill>
          </w14:textFill>
        </w:rPr>
      </w:pPr>
    </w:p>
    <w:p w14:paraId="5B121630">
      <w:pPr>
        <w:spacing w:line="540" w:lineRule="exact"/>
        <w:jc w:val="center"/>
        <w:outlineLvl w:val="0"/>
        <w:rPr>
          <w:rFonts w:hint="eastAsia" w:ascii="仿宋" w:hAnsi="仿宋" w:eastAsia="仿宋" w:cs="仿宋"/>
          <w:b/>
          <w:bCs/>
          <w:color w:val="000000" w:themeColor="text1"/>
          <w:sz w:val="32"/>
          <w:szCs w:val="32"/>
          <w:highlight w:val="none"/>
          <w:lang w:eastAsia="zh-CN"/>
          <w14:textFill>
            <w14:solidFill>
              <w14:schemeClr w14:val="tx1"/>
            </w14:solidFill>
          </w14:textFill>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307DDDE8">
      <w:pPr>
        <w:spacing w:line="540" w:lineRule="exact"/>
        <w:jc w:val="center"/>
        <w:outlineLvl w:val="0"/>
        <w:rPr>
          <w:rFonts w:ascii="仿宋" w:hAnsi="仿宋" w:eastAsia="仿宋" w:cs="仿宋"/>
          <w:b/>
          <w:bCs/>
          <w:color w:val="000000" w:themeColor="text1"/>
          <w:sz w:val="32"/>
          <w:szCs w:val="32"/>
          <w:highlight w:val="none"/>
          <w:lang w:eastAsia="zh-CN"/>
          <w14:textFill>
            <w14:solidFill>
              <w14:schemeClr w14:val="tx1"/>
            </w14:solidFill>
          </w14:textFill>
        </w:rPr>
      </w:pPr>
      <w:bookmarkStart w:id="143" w:name="_Toc32539"/>
      <w:r>
        <w:rPr>
          <w:rFonts w:hint="eastAsia" w:ascii="仿宋" w:hAnsi="仿宋" w:eastAsia="仿宋" w:cs="仿宋"/>
          <w:b/>
          <w:bCs/>
          <w:color w:val="000000" w:themeColor="text1"/>
          <w:sz w:val="32"/>
          <w:szCs w:val="32"/>
          <w:highlight w:val="none"/>
          <w:lang w:eastAsia="zh-CN"/>
          <w14:textFill>
            <w14:solidFill>
              <w14:schemeClr w14:val="tx1"/>
            </w14:solidFill>
          </w14:textFill>
        </w:rPr>
        <w:t>质疑函范本</w:t>
      </w:r>
      <w:bookmarkEnd w:id="143"/>
    </w:p>
    <w:p w14:paraId="3CEEBA23">
      <w:pPr>
        <w:adjustRightInd w:val="0"/>
        <w:snapToGrid w:val="0"/>
        <w:spacing w:beforeLines="100" w:line="540" w:lineRule="exact"/>
        <w:ind w:firstLine="420" w:firstLineChars="200"/>
        <w:outlineLvl w:val="0"/>
        <w:rPr>
          <w:rFonts w:ascii="仿宋" w:hAnsi="仿宋" w:eastAsia="仿宋" w:cs="仿宋"/>
          <w:bCs/>
          <w:color w:val="000000" w:themeColor="text1"/>
          <w:highlight w:val="none"/>
          <w:lang w:eastAsia="zh-CN"/>
          <w14:textFill>
            <w14:solidFill>
              <w14:schemeClr w14:val="tx1"/>
            </w14:solidFill>
          </w14:textFill>
        </w:rPr>
      </w:pPr>
      <w:bookmarkStart w:id="144" w:name="_Toc15592"/>
      <w:bookmarkStart w:id="145" w:name="_Toc9061"/>
      <w:r>
        <w:rPr>
          <w:rFonts w:hint="eastAsia" w:ascii="仿宋" w:hAnsi="仿宋" w:eastAsia="仿宋" w:cs="仿宋"/>
          <w:bCs/>
          <w:color w:val="000000" w:themeColor="text1"/>
          <w:highlight w:val="none"/>
          <w:lang w:eastAsia="zh-CN"/>
          <w14:textFill>
            <w14:solidFill>
              <w14:schemeClr w14:val="tx1"/>
            </w14:solidFill>
          </w14:textFill>
        </w:rPr>
        <w:t>一、质疑供应商基本信息</w:t>
      </w:r>
      <w:bookmarkEnd w:id="144"/>
      <w:bookmarkEnd w:id="145"/>
    </w:p>
    <w:p w14:paraId="26B2F2C6">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质疑供应商：</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4777F51C">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地址：</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邮编：</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7E3CD7D7">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联系人：</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联系电话：</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0EE9ED8A">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授权代表：</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56DE8636">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58285BE9">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地址： </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邮编：</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1B36E0E8">
      <w:pPr>
        <w:adjustRightInd w:val="0"/>
        <w:snapToGrid w:val="0"/>
        <w:spacing w:line="540" w:lineRule="exact"/>
        <w:ind w:firstLine="420" w:firstLineChars="200"/>
        <w:outlineLvl w:val="0"/>
        <w:rPr>
          <w:rFonts w:ascii="仿宋" w:hAnsi="仿宋" w:eastAsia="仿宋" w:cs="仿宋"/>
          <w:bCs/>
          <w:color w:val="000000" w:themeColor="text1"/>
          <w:highlight w:val="none"/>
          <w:lang w:eastAsia="zh-CN"/>
          <w14:textFill>
            <w14:solidFill>
              <w14:schemeClr w14:val="tx1"/>
            </w14:solidFill>
          </w14:textFill>
        </w:rPr>
      </w:pPr>
      <w:bookmarkStart w:id="146" w:name="_Toc15938"/>
      <w:bookmarkStart w:id="147" w:name="_Toc3156"/>
      <w:r>
        <w:rPr>
          <w:rFonts w:hint="eastAsia" w:ascii="仿宋" w:hAnsi="仿宋" w:eastAsia="仿宋" w:cs="仿宋"/>
          <w:bCs/>
          <w:color w:val="000000" w:themeColor="text1"/>
          <w:highlight w:val="none"/>
          <w:lang w:eastAsia="zh-CN"/>
          <w14:textFill>
            <w14:solidFill>
              <w14:schemeClr w14:val="tx1"/>
            </w14:solidFill>
          </w14:textFill>
        </w:rPr>
        <w:t>二、质疑项目基本情况</w:t>
      </w:r>
      <w:bookmarkEnd w:id="146"/>
      <w:bookmarkEnd w:id="147"/>
    </w:p>
    <w:p w14:paraId="3D913365">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质疑项目的名称：</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4F0227C0">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质疑项目的编号：</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包号：</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5E143F69">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采购人名称：</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270710E7">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采购文件获取日期：</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71057811">
      <w:pPr>
        <w:adjustRightInd w:val="0"/>
        <w:snapToGrid w:val="0"/>
        <w:spacing w:line="540" w:lineRule="exact"/>
        <w:ind w:firstLine="420" w:firstLineChars="200"/>
        <w:outlineLvl w:val="0"/>
        <w:rPr>
          <w:rFonts w:ascii="仿宋" w:hAnsi="仿宋" w:eastAsia="仿宋" w:cs="仿宋"/>
          <w:bCs/>
          <w:color w:val="000000" w:themeColor="text1"/>
          <w:highlight w:val="none"/>
          <w:lang w:eastAsia="zh-CN"/>
          <w14:textFill>
            <w14:solidFill>
              <w14:schemeClr w14:val="tx1"/>
            </w14:solidFill>
          </w14:textFill>
        </w:rPr>
      </w:pPr>
      <w:bookmarkStart w:id="148" w:name="_Toc18271"/>
      <w:bookmarkStart w:id="149" w:name="_Toc25357"/>
      <w:r>
        <w:rPr>
          <w:rFonts w:hint="eastAsia" w:ascii="仿宋" w:hAnsi="仿宋" w:eastAsia="仿宋" w:cs="仿宋"/>
          <w:bCs/>
          <w:color w:val="000000" w:themeColor="text1"/>
          <w:highlight w:val="none"/>
          <w:lang w:eastAsia="zh-CN"/>
          <w14:textFill>
            <w14:solidFill>
              <w14:schemeClr w14:val="tx1"/>
            </w14:solidFill>
          </w14:textFill>
        </w:rPr>
        <w:t>三、质疑事项具体内容</w:t>
      </w:r>
      <w:bookmarkEnd w:id="148"/>
      <w:bookmarkEnd w:id="149"/>
    </w:p>
    <w:p w14:paraId="58FA7929">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质疑事项1：</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51D0ADAD">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事实依据：</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573A932C">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法律依据：</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2B0133B0">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质疑事项2</w:t>
      </w:r>
    </w:p>
    <w:p w14:paraId="2DADB965">
      <w:pPr>
        <w:adjustRightInd w:val="0"/>
        <w:snapToGrid w:val="0"/>
        <w:spacing w:line="540" w:lineRule="exact"/>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p>
    <w:p w14:paraId="4AEAEAB9">
      <w:pPr>
        <w:adjustRightInd w:val="0"/>
        <w:snapToGrid w:val="0"/>
        <w:spacing w:line="540" w:lineRule="exact"/>
        <w:ind w:firstLine="420" w:firstLineChars="200"/>
        <w:outlineLvl w:val="0"/>
        <w:rPr>
          <w:rFonts w:ascii="仿宋" w:hAnsi="仿宋" w:eastAsia="仿宋" w:cs="仿宋"/>
          <w:bCs/>
          <w:color w:val="000000" w:themeColor="text1"/>
          <w:highlight w:val="none"/>
          <w:lang w:eastAsia="zh-CN"/>
          <w14:textFill>
            <w14:solidFill>
              <w14:schemeClr w14:val="tx1"/>
            </w14:solidFill>
          </w14:textFill>
        </w:rPr>
      </w:pPr>
      <w:bookmarkStart w:id="150" w:name="_Toc22365"/>
      <w:bookmarkStart w:id="151" w:name="_Toc12699"/>
      <w:r>
        <w:rPr>
          <w:rFonts w:hint="eastAsia" w:ascii="仿宋" w:hAnsi="仿宋" w:eastAsia="仿宋" w:cs="仿宋"/>
          <w:bCs/>
          <w:color w:val="000000" w:themeColor="text1"/>
          <w:highlight w:val="none"/>
          <w:lang w:eastAsia="zh-CN"/>
          <w14:textFill>
            <w14:solidFill>
              <w14:schemeClr w14:val="tx1"/>
            </w14:solidFill>
          </w14:textFill>
        </w:rPr>
        <w:t>四、与质疑事项相关的质疑请求</w:t>
      </w:r>
      <w:bookmarkEnd w:id="150"/>
      <w:bookmarkEnd w:id="151"/>
    </w:p>
    <w:p w14:paraId="0295E09B">
      <w:pPr>
        <w:adjustRightInd w:val="0"/>
        <w:snapToGrid w:val="0"/>
        <w:spacing w:line="540" w:lineRule="exact"/>
        <w:ind w:firstLine="420" w:firstLineChars="200"/>
        <w:rPr>
          <w:rFonts w:ascii="仿宋" w:hAnsi="仿宋" w:eastAsia="仿宋" w:cs="仿宋"/>
          <w:color w:val="000000" w:themeColor="text1"/>
          <w:highlight w:val="none"/>
          <w:u w:val="dotted"/>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请求：</w:t>
      </w:r>
      <w:r>
        <w:rPr>
          <w:rFonts w:hint="eastAsia" w:ascii="仿宋" w:hAnsi="仿宋" w:eastAsia="仿宋" w:cs="仿宋"/>
          <w:color w:val="000000" w:themeColor="text1"/>
          <w:highlight w:val="none"/>
          <w:u w:val="dotted"/>
          <w:lang w:eastAsia="zh-CN"/>
          <w14:textFill>
            <w14:solidFill>
              <w14:schemeClr w14:val="tx1"/>
            </w14:solidFill>
          </w14:textFill>
        </w:rPr>
        <w:t xml:space="preserve">                                               </w:t>
      </w:r>
    </w:p>
    <w:p w14:paraId="4AF04BFA">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签章(签章)：                   公章： </w:t>
      </w:r>
      <w:r>
        <w:rPr>
          <w:rFonts w:hint="eastAsia" w:ascii="仿宋" w:hAnsi="仿宋" w:eastAsia="仿宋" w:cs="仿宋"/>
          <w:color w:val="000000" w:themeColor="text1"/>
          <w:szCs w:val="24"/>
          <w:highlight w:val="none"/>
          <w:lang w:eastAsia="zh-CN"/>
          <w14:textFill>
            <w14:solidFill>
              <w14:schemeClr w14:val="tx1"/>
            </w14:solidFill>
          </w14:textFill>
        </w:rPr>
        <w:t xml:space="preserve">                     </w:t>
      </w:r>
    </w:p>
    <w:p w14:paraId="54434C16">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 xml:space="preserve">日期：    </w:t>
      </w:r>
    </w:p>
    <w:p w14:paraId="7933A9CD">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3F056CD7">
      <w:pPr>
        <w:pStyle w:val="2"/>
        <w:bidi w:val="0"/>
        <w:rPr>
          <w:rFonts w:hint="eastAsia"/>
          <w:color w:val="000000" w:themeColor="text1"/>
          <w:lang w:eastAsia="zh-CN"/>
          <w14:textFill>
            <w14:solidFill>
              <w14:schemeClr w14:val="tx1"/>
            </w14:solidFill>
          </w14:textFill>
        </w:rPr>
      </w:pPr>
      <w:bookmarkStart w:id="152" w:name="_Toc10417"/>
      <w:r>
        <w:rPr>
          <w:rFonts w:hint="eastAsia"/>
          <w:color w:val="000000" w:themeColor="text1"/>
          <w:lang w:val="en-US" w:eastAsia="zh-CN"/>
          <w14:textFill>
            <w14:solidFill>
              <w14:schemeClr w14:val="tx1"/>
            </w14:solidFill>
          </w14:textFill>
        </w:rPr>
        <w:t>第五章  技术规格、数量及质量要求</w:t>
      </w:r>
      <w:bookmarkEnd w:id="152"/>
    </w:p>
    <w:p w14:paraId="65196AB5">
      <w:pPr>
        <w:pStyle w:val="13"/>
        <w:overflowPunct w:val="0"/>
        <w:spacing w:line="440" w:lineRule="exact"/>
        <w:ind w:left="0" w:leftChars="0" w:firstLine="0" w:firstLineChars="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1.1招标项目技术规格</w:t>
      </w:r>
    </w:p>
    <w:p w14:paraId="1C60E0C3">
      <w:pPr>
        <w:pStyle w:val="13"/>
        <w:overflowPunct w:val="0"/>
        <w:spacing w:line="440" w:lineRule="exact"/>
        <w:jc w:val="center"/>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eastAsia" w:ascii="仿宋" w:hAnsi="仿宋" w:eastAsia="仿宋" w:cs="仿宋"/>
          <w:b/>
          <w:bCs/>
          <w:color w:val="000000" w:themeColor="text1"/>
          <w:szCs w:val="24"/>
          <w:highlight w:val="none"/>
          <w:lang w:val="en-US" w:eastAsia="zh-CN"/>
          <w14:textFill>
            <w14:solidFill>
              <w14:schemeClr w14:val="tx1"/>
            </w14:solidFill>
          </w14:textFill>
        </w:rPr>
        <w:t>克州疾病预防控制中心致病菌、新冠基因测序等监测试剂耗材采购项目（一包）（二次）-清单</w:t>
      </w:r>
    </w:p>
    <w:p w14:paraId="3C63A358">
      <w:pPr>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eastAsia" w:ascii="仿宋" w:hAnsi="仿宋" w:eastAsia="仿宋" w:cs="仿宋"/>
          <w:b/>
          <w:bCs/>
          <w:color w:val="000000" w:themeColor="text1"/>
          <w:szCs w:val="24"/>
          <w:highlight w:val="none"/>
          <w:lang w:val="en-US" w:eastAsia="zh-CN"/>
          <w14:textFill>
            <w14:solidFill>
              <w14:schemeClr w14:val="tx1"/>
            </w14:solidFill>
          </w14:textFill>
        </w:rPr>
        <w:t>附件一：</w:t>
      </w:r>
    </w:p>
    <w:p w14:paraId="4D77D258">
      <w:pPr>
        <w:jc w:val="center"/>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default" w:ascii="等线" w:hAnsi="等线" w:eastAsia="等线" w:cs="等线"/>
          <w:b/>
          <w:bCs/>
          <w:i w:val="0"/>
          <w:iCs w:val="0"/>
          <w:color w:val="000000" w:themeColor="text1"/>
          <w:kern w:val="0"/>
          <w:sz w:val="16"/>
          <w:szCs w:val="16"/>
          <w:u w:val="none"/>
          <w:lang w:val="en-US" w:eastAsia="zh-CN" w:bidi="ar"/>
          <w14:textFill>
            <w14:solidFill>
              <w14:schemeClr w14:val="tx1"/>
            </w14:solidFill>
          </w14:textFill>
        </w:rPr>
        <w:t>致病菌、流感、手足口监测相关试剂耗材采购清单</w:t>
      </w:r>
    </w:p>
    <w:tbl>
      <w:tblPr>
        <w:tblStyle w:val="50"/>
        <w:tblW w:w="1488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6"/>
        <w:gridCol w:w="2370"/>
        <w:gridCol w:w="1585"/>
        <w:gridCol w:w="428"/>
        <w:gridCol w:w="425"/>
        <w:gridCol w:w="862"/>
        <w:gridCol w:w="1738"/>
        <w:gridCol w:w="6939"/>
      </w:tblGrid>
      <w:tr w14:paraId="4691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19EFEB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序号</w:t>
            </w:r>
          </w:p>
        </w:tc>
        <w:tc>
          <w:tcPr>
            <w:tcW w:w="2370" w:type="dxa"/>
            <w:shd w:val="clear" w:color="auto" w:fill="auto"/>
            <w:noWrap/>
            <w:vAlign w:val="bottom"/>
          </w:tcPr>
          <w:p w14:paraId="3923B3CB">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试剂/耗材名称</w:t>
            </w:r>
          </w:p>
        </w:tc>
        <w:tc>
          <w:tcPr>
            <w:tcW w:w="1585" w:type="dxa"/>
            <w:shd w:val="clear" w:color="auto" w:fill="auto"/>
            <w:noWrap/>
            <w:vAlign w:val="bottom"/>
          </w:tcPr>
          <w:p w14:paraId="74CE32A4">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规格</w:t>
            </w:r>
          </w:p>
        </w:tc>
        <w:tc>
          <w:tcPr>
            <w:tcW w:w="428" w:type="dxa"/>
            <w:shd w:val="clear" w:color="auto" w:fill="auto"/>
            <w:noWrap/>
            <w:vAlign w:val="bottom"/>
          </w:tcPr>
          <w:p w14:paraId="21DED3F8">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数量</w:t>
            </w:r>
          </w:p>
        </w:tc>
        <w:tc>
          <w:tcPr>
            <w:tcW w:w="425" w:type="dxa"/>
            <w:shd w:val="clear" w:color="auto" w:fill="auto"/>
            <w:noWrap/>
            <w:vAlign w:val="bottom"/>
          </w:tcPr>
          <w:p w14:paraId="1F2F376A">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单位</w:t>
            </w:r>
          </w:p>
        </w:tc>
        <w:tc>
          <w:tcPr>
            <w:tcW w:w="2600" w:type="dxa"/>
            <w:gridSpan w:val="2"/>
            <w:shd w:val="clear" w:color="auto" w:fill="auto"/>
            <w:noWrap/>
            <w:vAlign w:val="bottom"/>
          </w:tcPr>
          <w:p w14:paraId="65BEC6AF">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技术参数</w:t>
            </w:r>
          </w:p>
        </w:tc>
        <w:tc>
          <w:tcPr>
            <w:tcW w:w="6939" w:type="dxa"/>
            <w:shd w:val="clear" w:color="auto" w:fill="auto"/>
            <w:noWrap/>
            <w:vAlign w:val="bottom"/>
          </w:tcPr>
          <w:p w14:paraId="3723412A">
            <w:pPr>
              <w:keepNext w:val="0"/>
              <w:keepLines w:val="0"/>
              <w:widowControl/>
              <w:suppressLineNumbers w:val="0"/>
              <w:spacing w:before="0" w:beforeAutospacing="0" w:after="0" w:afterAutospacing="0"/>
              <w:ind w:left="0" w:right="0"/>
              <w:jc w:val="center"/>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备注</w:t>
            </w:r>
          </w:p>
        </w:tc>
      </w:tr>
      <w:tr w14:paraId="122C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2C65694">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2370" w:type="dxa"/>
            <w:shd w:val="clear" w:color="auto" w:fill="auto"/>
            <w:vAlign w:val="center"/>
          </w:tcPr>
          <w:p w14:paraId="27E3149E">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致病菌腹泻症候群核酸多重实时荧光PCR检测试剂盒（检测目标：霍乱弧菌、副溶血弧菌、沙门菌、志贺菌、致泻性大肠埃希菌、弯曲菌、小肠结肠耶尔森菌、艰难梭菌、阪崎克罗诺杆菌、嗜水气单胞菌、类志贺邻单胞菌、河弧菌）</w:t>
            </w:r>
          </w:p>
        </w:tc>
        <w:tc>
          <w:tcPr>
            <w:tcW w:w="1585" w:type="dxa"/>
            <w:shd w:val="clear" w:color="auto" w:fill="auto"/>
            <w:vAlign w:val="center"/>
          </w:tcPr>
          <w:p w14:paraId="4AB1586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66CAC7A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15</w:t>
            </w:r>
          </w:p>
        </w:tc>
        <w:tc>
          <w:tcPr>
            <w:tcW w:w="425" w:type="dxa"/>
            <w:shd w:val="clear" w:color="auto" w:fill="auto"/>
            <w:vAlign w:val="center"/>
          </w:tcPr>
          <w:p w14:paraId="4662B72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restart"/>
            <w:shd w:val="clear" w:color="auto" w:fill="auto"/>
            <w:vAlign w:val="center"/>
          </w:tcPr>
          <w:p w14:paraId="7CEAF74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1.检测技术：试剂采用一步法多重实时荧光RT-PCR，试剂盒为同一厂家，试剂盒共用同一套反应体系及扩增程序，每管反应体系≤25ul，扩增时间≤70min。</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2.检测性能：灵敏度5*102copies/mL，线性范围：5*102-2*1010 copies/mL，精密度：检测精密度参考品的变异系数＜5％。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3.质量控制：含有阴阳性对照，便于结果判定。</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4.包装及分装：采用预混液技术，反应液1管，酶混合液1管。</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5.生产厂家有甲型或甲乙流注册证。</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6.有效期：12个月，到货后质保期≥10个月。</w:t>
            </w:r>
          </w:p>
        </w:tc>
        <w:tc>
          <w:tcPr>
            <w:tcW w:w="1738" w:type="dxa"/>
            <w:shd w:val="clear" w:color="auto" w:fill="auto"/>
            <w:vAlign w:val="center"/>
          </w:tcPr>
          <w:p w14:paraId="795381AF">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腹泻症候群22种肠病原核酸多重实时荧光PCR检测试剂盒</w:t>
            </w:r>
          </w:p>
        </w:tc>
        <w:tc>
          <w:tcPr>
            <w:tcW w:w="6939" w:type="dxa"/>
            <w:vMerge w:val="restart"/>
            <w:shd w:val="clear" w:color="auto" w:fill="auto"/>
            <w:vAlign w:val="center"/>
          </w:tcPr>
          <w:p w14:paraId="6B46DB41">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1.适用机型：开放型平台，可适用于各种多通道校正的全自动荧光PCR检测仪。</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★2.适用范围：适用于定性检测从于鼻咽拭子、口咽拭子、肺泡灌洗液、痰液等呼吸道样本中提取的甲/乙型流感病毒、新型冠状病毒（N、ORF1ab基因 ）、呼吸道合胞病毒、人偏肺病毒、腺病毒、肠道病毒、人副流感病毒、人冠状病毒、人博卡病毒、A组链球菌、鼻病毒、百日咳鲍特菌、肺炎支原体、流感嗜血杆菌、肺炎链球菌、肺炎衣原体、军团菌、鹦鹉热衣原体、曲霉菌、隐球菌、肺炎克雷伯菌。</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3.检测技术：多重实时荧光PCR技术。</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4.检测性能：灵敏度最低500copies/mL，与其他病原菌均无交叉反应。</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★5.检测时间：最多采用7管一次性完成21个病原体基因型的定性检测。反应体系≤25μL，反应理论时长≤31分钟，反应全流程时长≤60min。</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▲6.荧光PCR反应程序：50℃ 7min；95℃ 30sec；95℃ 5sec，55℃ 30sec（单点采集荧光） 40个循环。PCR扩增不设置预循环，从第一个循环数开始读取荧光值。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7.质量控制：含有阴性对照、阳性对照及内参，便于结果判定。采用人源的核糖核酸酶 P(RNP)作为内参基因，可以对样本采集和提取过程进行监控，最大程度避免假阴性的产生。</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★8.试剂规格：每盒的检测量至少48T，并可同时提供24T包装。</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9.有效期：不少于12个月，到货后质保期不少于10个月</w:t>
            </w:r>
          </w:p>
        </w:tc>
      </w:tr>
      <w:tr w14:paraId="60F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D6BF170">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2370" w:type="dxa"/>
            <w:shd w:val="clear" w:color="auto" w:fill="auto"/>
            <w:vAlign w:val="center"/>
          </w:tcPr>
          <w:p w14:paraId="59789D21">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致病菌呼吸道症候群核酸多重实时荧光PCR检测试剂盒（检测目标：肺炎链球菌、流感嗜血杆菌、百日咳鲍特菌、A族链球菌、肺炎支原体、肺炎衣原体、鹦鹉热衣原体、军团菌、肺炎克雷伯菌、曲霉菌、隐球菌、耶氏肺抱子菌）</w:t>
            </w:r>
          </w:p>
        </w:tc>
        <w:tc>
          <w:tcPr>
            <w:tcW w:w="1585" w:type="dxa"/>
            <w:shd w:val="clear" w:color="auto" w:fill="auto"/>
            <w:vAlign w:val="center"/>
          </w:tcPr>
          <w:p w14:paraId="1AEF414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5D3E508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w:t>
            </w:r>
          </w:p>
        </w:tc>
        <w:tc>
          <w:tcPr>
            <w:tcW w:w="425" w:type="dxa"/>
            <w:shd w:val="clear" w:color="auto" w:fill="auto"/>
            <w:vAlign w:val="center"/>
          </w:tcPr>
          <w:p w14:paraId="6A3BF3C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672E2535">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5EDCED7F">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国家急性呼吸道传染病多病源核酸检测试剂盒15+6TaqMan探针法</w:t>
            </w:r>
          </w:p>
        </w:tc>
        <w:tc>
          <w:tcPr>
            <w:tcW w:w="6939" w:type="dxa"/>
            <w:vMerge w:val="continue"/>
            <w:shd w:val="clear" w:color="auto" w:fill="auto"/>
            <w:vAlign w:val="center"/>
          </w:tcPr>
          <w:p w14:paraId="5354F102">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4E97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98838BF">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2370" w:type="dxa"/>
            <w:shd w:val="clear" w:color="auto" w:fill="auto"/>
            <w:vAlign w:val="center"/>
          </w:tcPr>
          <w:p w14:paraId="290D6211">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致病菌脑炎脑膜炎症候群核酸多重实时荧光PCR检测试剂盒（检测目标：</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脑膜炎奈瑟菌、流感嗜血杆菌、肺炎链球菌、A族链球菌、大肠杆菌、金黄色葡萄球菌、单增李斯特菌、无乳链球菌、猪链球菌、结核分枝杆菌、新型隐球菌）</w:t>
            </w:r>
          </w:p>
        </w:tc>
        <w:tc>
          <w:tcPr>
            <w:tcW w:w="1585" w:type="dxa"/>
            <w:shd w:val="clear" w:color="auto" w:fill="auto"/>
            <w:vAlign w:val="center"/>
          </w:tcPr>
          <w:p w14:paraId="688B680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45EEDA8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425" w:type="dxa"/>
            <w:shd w:val="clear" w:color="auto" w:fill="auto"/>
            <w:vAlign w:val="center"/>
          </w:tcPr>
          <w:p w14:paraId="15D69CD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31BE7AB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4FE0AED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continue"/>
            <w:shd w:val="clear" w:color="auto" w:fill="auto"/>
            <w:vAlign w:val="center"/>
          </w:tcPr>
          <w:p w14:paraId="614ADB42">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1D3D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0D29430">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w:t>
            </w:r>
          </w:p>
        </w:tc>
        <w:tc>
          <w:tcPr>
            <w:tcW w:w="2370" w:type="dxa"/>
            <w:shd w:val="clear" w:color="auto" w:fill="auto"/>
            <w:vAlign w:val="center"/>
          </w:tcPr>
          <w:p w14:paraId="6AF960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致病菌其他发热症候群核酸多重实时荧光PCR检测试剂盒（检测目标：伤寒沙门菌、副伤寒沙门菌、脑膜炎奈瑟菌、A族链球菌、伯氏疏螺旋体、立克次体、无形体、埃立克体、钩端螺旋体、猪链球菌、鼠疫耶尔森菌、布鲁氏菌、曲霉菌、隐球菌、耶氏肺孢子菌）</w:t>
            </w:r>
          </w:p>
        </w:tc>
        <w:tc>
          <w:tcPr>
            <w:tcW w:w="1585" w:type="dxa"/>
            <w:shd w:val="clear" w:color="auto" w:fill="auto"/>
            <w:vAlign w:val="center"/>
          </w:tcPr>
          <w:p w14:paraId="1712E32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746D213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w:t>
            </w:r>
          </w:p>
        </w:tc>
        <w:tc>
          <w:tcPr>
            <w:tcW w:w="425" w:type="dxa"/>
            <w:shd w:val="clear" w:color="auto" w:fill="auto"/>
            <w:vAlign w:val="center"/>
          </w:tcPr>
          <w:p w14:paraId="1E09189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092ED821">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5EB7EA0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continue"/>
            <w:shd w:val="clear" w:color="auto" w:fill="auto"/>
            <w:vAlign w:val="center"/>
          </w:tcPr>
          <w:p w14:paraId="4C92032A">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0B0A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0719C429">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w:t>
            </w:r>
          </w:p>
        </w:tc>
        <w:tc>
          <w:tcPr>
            <w:tcW w:w="2370" w:type="dxa"/>
            <w:shd w:val="clear" w:color="auto" w:fill="auto"/>
            <w:vAlign w:val="center"/>
          </w:tcPr>
          <w:p w14:paraId="0DD8C942">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志贺毒素大肠埃希氏菌（STEC）7种血清分型核酸多重实时荧光PCR检测试剂盒（检测目标：O26、O45、O103、O111、O121、O145和O157）</w:t>
            </w:r>
          </w:p>
        </w:tc>
        <w:tc>
          <w:tcPr>
            <w:tcW w:w="1585" w:type="dxa"/>
            <w:shd w:val="clear" w:color="auto" w:fill="auto"/>
            <w:vAlign w:val="center"/>
          </w:tcPr>
          <w:p w14:paraId="5E32915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7ABEC26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425" w:type="dxa"/>
            <w:shd w:val="clear" w:color="auto" w:fill="auto"/>
            <w:vAlign w:val="center"/>
          </w:tcPr>
          <w:p w14:paraId="695F7E6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5B8093A4">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3184703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noWrap/>
            <w:vAlign w:val="bottom"/>
          </w:tcPr>
          <w:p w14:paraId="6A73496B">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6CFC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0C8F5D42">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w:t>
            </w:r>
          </w:p>
        </w:tc>
        <w:tc>
          <w:tcPr>
            <w:tcW w:w="2370" w:type="dxa"/>
            <w:shd w:val="clear" w:color="auto" w:fill="FFFFFF"/>
            <w:vAlign w:val="center"/>
          </w:tcPr>
          <w:p w14:paraId="203E0F60">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肺炎链球菌血清分型核酸多重实时荧光PCR检测试剂盒（检测目标：1、2、3、4、5、6B/6D、6A/6B、7F/7A、8、9V/9A、9L/9N、10A、11A/11D/11E、12F/44、14、15B/15C、17F、18C/18F/18B/18A、19A、19F、20、22F、23F、33A/33F/37）</w:t>
            </w:r>
          </w:p>
        </w:tc>
        <w:tc>
          <w:tcPr>
            <w:tcW w:w="1585" w:type="dxa"/>
            <w:shd w:val="clear" w:color="auto" w:fill="FFFFFF"/>
            <w:vAlign w:val="center"/>
          </w:tcPr>
          <w:p w14:paraId="29EA4B9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FFFFFF"/>
            <w:vAlign w:val="center"/>
          </w:tcPr>
          <w:p w14:paraId="2DEEC13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425" w:type="dxa"/>
            <w:shd w:val="clear" w:color="auto" w:fill="FFFFFF"/>
            <w:vAlign w:val="center"/>
          </w:tcPr>
          <w:p w14:paraId="0754289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791A4F89">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FFFFFF"/>
            <w:vAlign w:val="center"/>
          </w:tcPr>
          <w:p w14:paraId="16631A6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noWrap/>
            <w:vAlign w:val="bottom"/>
          </w:tcPr>
          <w:p w14:paraId="21F7FBD2">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267A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4022D468">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w:t>
            </w:r>
          </w:p>
        </w:tc>
        <w:tc>
          <w:tcPr>
            <w:tcW w:w="2370" w:type="dxa"/>
            <w:shd w:val="clear" w:color="auto" w:fill="auto"/>
            <w:vAlign w:val="center"/>
          </w:tcPr>
          <w:p w14:paraId="41355B43">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流感嗜血杆菌6种血清分型核酸多重实时荧光PCR检测试剂盒(检测目标：血清型a、b、c、d、e、f)</w:t>
            </w:r>
          </w:p>
        </w:tc>
        <w:tc>
          <w:tcPr>
            <w:tcW w:w="1585" w:type="dxa"/>
            <w:shd w:val="clear" w:color="auto" w:fill="auto"/>
            <w:vAlign w:val="center"/>
          </w:tcPr>
          <w:p w14:paraId="6CD84AA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443D9C6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425" w:type="dxa"/>
            <w:shd w:val="clear" w:color="auto" w:fill="auto"/>
            <w:vAlign w:val="center"/>
          </w:tcPr>
          <w:p w14:paraId="56C1D7B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3A7662D2">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5EC7676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restart"/>
            <w:shd w:val="clear" w:color="auto" w:fill="auto"/>
            <w:vAlign w:val="bottom"/>
          </w:tcPr>
          <w:p w14:paraId="456671D6">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 1、三管检测五种致泄大肠的12个毒力基因（ipaH、LT、stp、sth、bfp、escV、stx1、stx2、aggR、pic、astA、uidA）。</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2、-20±5℃以下冷冻保存，稳定性好，有效期12个月。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3、试剂盒包装规格：24T/盒、48T/盒、25T/盒、50T/盒，可提供24T/盒、48T/盒石蜡预分装形式。</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▲4、试剂盒组分：PCR反应液、混合酶液、阴性对照、阳性对照、DNA提取液、说明书。阴性对照、阳性对照可直接使用，无需参与核酸提取。</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▲5、配液简便：PCR反应液19.5μL和混合酶液0.5μL；模板：5μL。总反应体系为25μL。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▲6、反应程序为： 50℃ 2min；95℃ 3min；95℃ 5sec，55℃ 30sec（单点采集荧光） 40个循环。PCR扩增不设置预循环，从第一个循环数开始读取荧光值。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▲7、所有DNA试剂盒反应程序要求一致可以同时在同一台PCR仪器上进行检测。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8、检测灵敏度不低于500copies/mL。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▲11、细菌类荧光PCR产品有至少8家检测单位的应用证明。</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▲12、沙门志贺双重试剂、伤寒甲型副伤寒试剂</w:t>
            </w:r>
          </w:p>
        </w:tc>
      </w:tr>
      <w:tr w14:paraId="0021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43EC6171">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w:t>
            </w:r>
          </w:p>
        </w:tc>
        <w:tc>
          <w:tcPr>
            <w:tcW w:w="2370" w:type="dxa"/>
            <w:shd w:val="clear" w:color="auto" w:fill="auto"/>
            <w:vAlign w:val="center"/>
          </w:tcPr>
          <w:p w14:paraId="7ABB3145">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肺炎克雷伯菌血清分型核酸多重实时荧光PCR检测试剂盒(检测目标：血清型K1、K2、K5、K20、K54、K57)</w:t>
            </w:r>
          </w:p>
        </w:tc>
        <w:tc>
          <w:tcPr>
            <w:tcW w:w="1585" w:type="dxa"/>
            <w:shd w:val="clear" w:color="auto" w:fill="auto"/>
            <w:vAlign w:val="center"/>
          </w:tcPr>
          <w:p w14:paraId="1486A06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10T/盒</w:t>
            </w:r>
          </w:p>
        </w:tc>
        <w:tc>
          <w:tcPr>
            <w:tcW w:w="428" w:type="dxa"/>
            <w:shd w:val="clear" w:color="auto" w:fill="auto"/>
            <w:vAlign w:val="center"/>
          </w:tcPr>
          <w:p w14:paraId="4779DBA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425" w:type="dxa"/>
            <w:shd w:val="clear" w:color="auto" w:fill="auto"/>
            <w:vAlign w:val="center"/>
          </w:tcPr>
          <w:p w14:paraId="71FC589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4D250F20">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3AE3778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continue"/>
            <w:shd w:val="clear" w:color="auto" w:fill="auto"/>
            <w:vAlign w:val="bottom"/>
          </w:tcPr>
          <w:p w14:paraId="4B24373E">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62C3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F3A0ACC">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w:t>
            </w:r>
          </w:p>
        </w:tc>
        <w:tc>
          <w:tcPr>
            <w:tcW w:w="2370" w:type="dxa"/>
            <w:shd w:val="clear" w:color="auto" w:fill="FFFFFF"/>
            <w:vAlign w:val="center"/>
          </w:tcPr>
          <w:p w14:paraId="134BE81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五种致泻大肠埃希氏菌核酸多重实时荧光PCR检测试剂盒（C版本）（检测目标：肠致病性（EPEC）、肠出血性（EHEC）、肠产毒性（ETEC）、肠侵袭性（EIEC）、肠粘附性（EAEC）五种致病型别）</w:t>
            </w:r>
          </w:p>
        </w:tc>
        <w:tc>
          <w:tcPr>
            <w:tcW w:w="1585" w:type="dxa"/>
            <w:shd w:val="clear" w:color="auto" w:fill="FFFFFF"/>
            <w:vAlign w:val="center"/>
          </w:tcPr>
          <w:p w14:paraId="60D4C2B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FFFFFF"/>
            <w:vAlign w:val="center"/>
          </w:tcPr>
          <w:p w14:paraId="53F78B39">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w:t>
            </w:r>
          </w:p>
        </w:tc>
        <w:tc>
          <w:tcPr>
            <w:tcW w:w="425" w:type="dxa"/>
            <w:shd w:val="clear" w:color="auto" w:fill="FFFFFF"/>
            <w:vAlign w:val="center"/>
          </w:tcPr>
          <w:p w14:paraId="1F540F3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6FF20F05">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FFFFFF"/>
            <w:vAlign w:val="center"/>
          </w:tcPr>
          <w:p w14:paraId="4F49A6E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continue"/>
            <w:shd w:val="clear" w:color="auto" w:fill="auto"/>
            <w:vAlign w:val="bottom"/>
          </w:tcPr>
          <w:p w14:paraId="264EBA72">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40D6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4435AC04">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w:t>
            </w:r>
          </w:p>
        </w:tc>
        <w:tc>
          <w:tcPr>
            <w:tcW w:w="2370" w:type="dxa"/>
            <w:shd w:val="clear" w:color="auto" w:fill="auto"/>
            <w:vAlign w:val="center"/>
          </w:tcPr>
          <w:p w14:paraId="5FEDF4EC">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致病菌药敏试剂（霍乱弧菌沙门、志贺、弯曲菌、致泻性大肠埃希氏菌、肺炎克雷伯菌、鲍曼不动杆菌、金黄色葡萄球菌、脑膜炎奈瑟菌、肺炎链球菌、A族链球菌、无乳链球菌）</w:t>
            </w:r>
          </w:p>
        </w:tc>
        <w:tc>
          <w:tcPr>
            <w:tcW w:w="1585" w:type="dxa"/>
            <w:shd w:val="clear" w:color="auto" w:fill="FFFFFF"/>
            <w:vAlign w:val="center"/>
          </w:tcPr>
          <w:p w14:paraId="015D798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10块/盒</w:t>
            </w:r>
          </w:p>
        </w:tc>
        <w:tc>
          <w:tcPr>
            <w:tcW w:w="428" w:type="dxa"/>
            <w:shd w:val="clear" w:color="auto" w:fill="auto"/>
            <w:vAlign w:val="center"/>
          </w:tcPr>
          <w:p w14:paraId="2E4C3959">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w:t>
            </w:r>
          </w:p>
        </w:tc>
        <w:tc>
          <w:tcPr>
            <w:tcW w:w="425" w:type="dxa"/>
            <w:shd w:val="clear" w:color="auto" w:fill="auto"/>
            <w:vAlign w:val="center"/>
          </w:tcPr>
          <w:p w14:paraId="6DD7A95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676C1CA">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48ECAEC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noWrap/>
            <w:vAlign w:val="bottom"/>
          </w:tcPr>
          <w:p w14:paraId="111198B4">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7A8E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FE222BE">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w:t>
            </w:r>
          </w:p>
        </w:tc>
        <w:tc>
          <w:tcPr>
            <w:tcW w:w="2370" w:type="dxa"/>
            <w:shd w:val="clear" w:color="auto" w:fill="auto"/>
            <w:vAlign w:val="center"/>
          </w:tcPr>
          <w:p w14:paraId="76EC345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百日咳/副百日咳鲍特菌样本运送增菌分离培养检测试剂盒</w:t>
            </w:r>
          </w:p>
        </w:tc>
        <w:tc>
          <w:tcPr>
            <w:tcW w:w="1585" w:type="dxa"/>
            <w:shd w:val="clear" w:color="auto" w:fill="auto"/>
            <w:vAlign w:val="center"/>
          </w:tcPr>
          <w:p w14:paraId="207B495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内含：木炭选择性琼脂平板（90mm*5 块/包*4）； 脑膜炎奈瑟菌、流感嗜血杆菌、百日咳杆 菌运送培养基（1.8mL*20 支/盒）；一次性植绒拭子（20 支/盒）；百日咳增菌液（20 支/盒）；</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百日咳样本采集液（2ml*20 支/盒）20T/盒；</w:t>
            </w:r>
          </w:p>
        </w:tc>
        <w:tc>
          <w:tcPr>
            <w:tcW w:w="428" w:type="dxa"/>
            <w:shd w:val="clear" w:color="auto" w:fill="auto"/>
            <w:vAlign w:val="center"/>
          </w:tcPr>
          <w:p w14:paraId="3A9E4BC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4E486E1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364FB6D7">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6BA4695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vAlign w:val="center"/>
          </w:tcPr>
          <w:p w14:paraId="3B93E5D5">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主要用于人鼻咽部粘膜样本的百日咳鲍 特菌和副百日咳鲍特菌的采样、运输、增菌和分离培养。</w:t>
            </w:r>
          </w:p>
        </w:tc>
      </w:tr>
      <w:tr w14:paraId="5304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A2C08D0">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12</w:t>
            </w:r>
          </w:p>
        </w:tc>
        <w:tc>
          <w:tcPr>
            <w:tcW w:w="2370" w:type="dxa"/>
            <w:shd w:val="clear" w:color="auto" w:fill="FFFFFF"/>
            <w:vAlign w:val="center"/>
          </w:tcPr>
          <w:p w14:paraId="7266F5F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百日咳，副百日咳、霍氏鲍特菌三重核酸检测试剂盒（荧光PCR）</w:t>
            </w:r>
          </w:p>
        </w:tc>
        <w:tc>
          <w:tcPr>
            <w:tcW w:w="1585" w:type="dxa"/>
            <w:shd w:val="clear" w:color="auto" w:fill="FFFFFF"/>
            <w:vAlign w:val="center"/>
          </w:tcPr>
          <w:p w14:paraId="448937E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50T/盒</w:t>
            </w:r>
          </w:p>
        </w:tc>
        <w:tc>
          <w:tcPr>
            <w:tcW w:w="428" w:type="dxa"/>
            <w:shd w:val="clear" w:color="auto" w:fill="FFFFFF"/>
            <w:vAlign w:val="center"/>
          </w:tcPr>
          <w:p w14:paraId="5C5B1AC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425" w:type="dxa"/>
            <w:shd w:val="clear" w:color="auto" w:fill="FFFFFF"/>
            <w:vAlign w:val="center"/>
          </w:tcPr>
          <w:p w14:paraId="0B458EC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53DC660C">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FFFFFF"/>
            <w:vAlign w:val="center"/>
          </w:tcPr>
          <w:p w14:paraId="1A5D536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restart"/>
            <w:shd w:val="clear" w:color="auto" w:fill="auto"/>
            <w:vAlign w:val="top"/>
          </w:tcPr>
          <w:p w14:paraId="2BB5C220">
            <w:pPr>
              <w:keepNext w:val="0"/>
              <w:keepLines w:val="0"/>
              <w:widowControl/>
              <w:suppressLineNumbers w:val="0"/>
              <w:spacing w:before="0" w:beforeAutospacing="0" w:after="0" w:afterAutospacing="0"/>
              <w:ind w:left="0" w:right="0"/>
              <w:jc w:val="left"/>
              <w:textAlignment w:val="top"/>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                                                                                                    1、一管检测病原福氏志贺氏菌1-5型、福氏志贺氏菌6型、宋内志贺氏菌、痢疾志贺氏菌1型。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2、-20±5℃以下冷冻保存，稳定性好，有效期12个月。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3、试剂盒包装规格：24T/盒、48T/盒、25T/盒、50T/盒，可提供24T/盒、48T/盒石蜡预分装形式。</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▲4、试剂盒组分：PCR反应液、混合酶液、阴性对照、阳性对照、DNA提取液、说明书。阴性对照、阳性对照可直接使用，无需参与核酸提取。</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▲5、配液简便：PCR反应液19.5μL和混合酶液0.5μL；模板：5μL。总反应体系为25μL。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▲6、反应程序为： 50℃ 2min；95℃ 3min；95℃ 5sec，55℃ 30sec（单点采集荧光） 40个循环。PCR扩增不设置预循环，从第一个循环数开始读取荧光值。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▲7、所有DNA试剂盒反应程序要求一致可以同时在同一台PCR仪器上进行检测。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8、检测灵敏度不低于500copies/mL。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▲11、细菌类荧光PCR产品有至少8家检测单位的应用证明。</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▲12、沙门志贺双重试剂、伤寒甲型副伤寒试剂</w:t>
            </w:r>
          </w:p>
        </w:tc>
      </w:tr>
      <w:tr w14:paraId="2501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CE4512B">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13</w:t>
            </w:r>
          </w:p>
        </w:tc>
        <w:tc>
          <w:tcPr>
            <w:tcW w:w="2370" w:type="dxa"/>
            <w:shd w:val="clear" w:color="auto" w:fill="auto"/>
            <w:vAlign w:val="center"/>
          </w:tcPr>
          <w:p w14:paraId="52EC7D3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四种志贺氏菌核酸多重 PCR 分型试剂盒</w:t>
            </w:r>
          </w:p>
        </w:tc>
        <w:tc>
          <w:tcPr>
            <w:tcW w:w="1585" w:type="dxa"/>
            <w:shd w:val="clear" w:color="auto" w:fill="auto"/>
            <w:vAlign w:val="center"/>
          </w:tcPr>
          <w:p w14:paraId="1C90EAF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50T/盒（检测目标：于志贺氏菌中福氏 1-5 型（包括 X、Y 变异株）、福氏 6 型、宋内、痢疾Ⅰ型）</w:t>
            </w:r>
          </w:p>
        </w:tc>
        <w:tc>
          <w:tcPr>
            <w:tcW w:w="428" w:type="dxa"/>
            <w:shd w:val="clear" w:color="auto" w:fill="auto"/>
            <w:vAlign w:val="center"/>
          </w:tcPr>
          <w:p w14:paraId="4779C0A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425" w:type="dxa"/>
            <w:shd w:val="clear" w:color="auto" w:fill="auto"/>
            <w:vAlign w:val="center"/>
          </w:tcPr>
          <w:p w14:paraId="29BCE2C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3295C41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4993BBE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vMerge w:val="continue"/>
            <w:shd w:val="clear" w:color="auto" w:fill="auto"/>
            <w:vAlign w:val="top"/>
          </w:tcPr>
          <w:p w14:paraId="3E03D7F6">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1514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9F6DCF8">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14</w:t>
            </w:r>
          </w:p>
        </w:tc>
        <w:tc>
          <w:tcPr>
            <w:tcW w:w="2370" w:type="dxa"/>
            <w:shd w:val="clear" w:color="auto" w:fill="FFFFFF"/>
            <w:vAlign w:val="center"/>
          </w:tcPr>
          <w:p w14:paraId="2C22DC8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沙门氏菌血清（O、H）基因分型试剂盒（荧光PCR法）</w:t>
            </w:r>
          </w:p>
        </w:tc>
        <w:tc>
          <w:tcPr>
            <w:tcW w:w="1585" w:type="dxa"/>
            <w:shd w:val="clear" w:color="auto" w:fill="FFFFFF"/>
            <w:vAlign w:val="center"/>
          </w:tcPr>
          <w:p w14:paraId="2285502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25T/盒，共204种血清型，</w:t>
            </w:r>
          </w:p>
        </w:tc>
        <w:tc>
          <w:tcPr>
            <w:tcW w:w="428" w:type="dxa"/>
            <w:shd w:val="clear" w:color="auto" w:fill="FFFFFF"/>
            <w:vAlign w:val="center"/>
          </w:tcPr>
          <w:p w14:paraId="74B7976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425" w:type="dxa"/>
            <w:shd w:val="clear" w:color="auto" w:fill="FFFFFF"/>
            <w:vAlign w:val="center"/>
          </w:tcPr>
          <w:p w14:paraId="1C6B7B1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7863A4D7">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FFFFFF"/>
            <w:vAlign w:val="center"/>
          </w:tcPr>
          <w:p w14:paraId="0AB3BE7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vAlign w:val="bottom"/>
          </w:tcPr>
          <w:p w14:paraId="59808DCD">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包括阿巴埃特图巴、阿伯丁、阿邦尼、马流产、阿德莱、阿格伯尼、阿戈地、阿贡那、阿拉丘、阿尔巴尼、艾伯特、阿顿道夫、阿尔顿、阿姆德尼斯、阿木提夫、阿姆斯特丹、鸭、伊内霍、阿拉帕欧、阿雷查瓦莱塔、阿西尼、巴圭达、巴尔多、巴雷利、巴森海特、贝德福、布洛克利、波那雷思、波恩、病牛、布伦登卢普、勃兰登堡、布雷登尼、布里赫姆、布达佩斯、伯里、卡拉巴尔、加利福尼亚、卡诺、卡劳、塞罗、查理、昌丹斯、彻斯特、猪霍乱、克勒肯威尔、科林德尔、康科德、科瓦利斯、古巴、达布、达喀尔、德尔卑、德绍、迪尤波尔、伊林、伊斯特本、伊布利、爱丁堡、埃科、伊丽莎白维尔、依麦克、肠炎、埃森、法埃德、鸡、冈比亚、加明那拉、盖茨黑德、加瓦尼、格但斯克、吉韦、格罗斯出浦、戈丁根、黄金海岸、哈达尔、哈特福德、哈瓦那、海德堡、希林登、非丁伏斯、伊迪坎、印第安纳、婴儿、伊鲁穆、伊桑吉、以色列、伊斯坦布尔、伊图里、长湾尼、爪哇纳、耶路撒冷、卡拉姆、凯杜古、肯塔基、库马萨、基安布、启门萨、金迪亚、金斯顿、基桑加尼、科特布斯、拉古什、利戈、列克星敦、利密特、林登堡、利奇菲尔德、利物浦、利文斯通、罗米他、伦敦、卢肯瓦尔德、曼哈顿、姆班达卡、火鸡、迈阿密、三河岛、明尼苏达、密西西比、姆卡巴、莫拉德、蒙绍、蒙得维的亚、慕尼黑、明斯特、名古屋、那波利、习志野、恩昌加、纽兰、纽波特、新罗歇尔、俄亥俄、奥凯福科、奥雷宁堡、奥登内、奥里翁、奥里塔曼琳、奥斯陆、巴基斯坦、巴拿马、巴布亚、甲型副伤寒、乙型副伤寒、丙型副伤寒、普利茅斯、波摩那、浦那、波茨坦、里定、雷根特、里特、里吉尔、里森、鲁比斯劳、鲁齐齐、圣保罗、圣地亚哥、撒奥、索恩堡、胥伐成格隆、仙台、山夫登堡、芙蓉、上海、舒卜拉、新加坡、辛斯托夫、斯坦利、斯坦利维尔、斯特拉特福、松兹瓦尔、苏拉特、斯韦德维、塔科拉迪、塔科松尼、坦格、塔西尼、田纳西、汤卜逊、昂兹威、突尼斯、伤寒、鼠伤寒、鼠伤寒单相变种、乌干达、乌盖利、乌普萨拉、瓦伊勒、威尼斯、维尔肖、弗吉尼亚、旺兹沃思、温加塔、韦太夫雷登、西安普顿、威思顿、维也纳、维普拉、渥兴顿、雅拉巴、耶胡达、自贡</w:t>
            </w:r>
          </w:p>
        </w:tc>
      </w:tr>
      <w:tr w14:paraId="25E5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08D88A1">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15</w:t>
            </w:r>
          </w:p>
        </w:tc>
        <w:tc>
          <w:tcPr>
            <w:tcW w:w="2370" w:type="dxa"/>
            <w:shd w:val="clear" w:color="auto" w:fill="auto"/>
            <w:vAlign w:val="center"/>
          </w:tcPr>
          <w:p w14:paraId="380A635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40种常见沙门菌PCR血清分型试剂（荧光PCR法）</w:t>
            </w:r>
          </w:p>
        </w:tc>
        <w:tc>
          <w:tcPr>
            <w:tcW w:w="1585" w:type="dxa"/>
            <w:shd w:val="clear" w:color="auto" w:fill="auto"/>
            <w:vAlign w:val="center"/>
          </w:tcPr>
          <w:p w14:paraId="4F381DB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w:t>
            </w:r>
          </w:p>
        </w:tc>
        <w:tc>
          <w:tcPr>
            <w:tcW w:w="428" w:type="dxa"/>
            <w:shd w:val="clear" w:color="auto" w:fill="auto"/>
            <w:vAlign w:val="center"/>
          </w:tcPr>
          <w:p w14:paraId="65CAC7B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5F01247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C403F1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vAlign w:val="center"/>
          </w:tcPr>
          <w:p w14:paraId="6AE7A64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noWrap/>
            <w:vAlign w:val="bottom"/>
          </w:tcPr>
          <w:p w14:paraId="56864154">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4D88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69B861E9">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16</w:t>
            </w:r>
          </w:p>
        </w:tc>
        <w:tc>
          <w:tcPr>
            <w:tcW w:w="2370" w:type="dxa"/>
            <w:shd w:val="clear" w:color="auto" w:fill="FFFFFF"/>
            <w:vAlign w:val="center"/>
          </w:tcPr>
          <w:p w14:paraId="006874A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炭疽杆菌四重核酸检测试剂盒（探针法）</w:t>
            </w:r>
          </w:p>
        </w:tc>
        <w:tc>
          <w:tcPr>
            <w:tcW w:w="1585" w:type="dxa"/>
            <w:shd w:val="clear" w:color="auto" w:fill="FFFFFF"/>
            <w:vAlign w:val="center"/>
          </w:tcPr>
          <w:p w14:paraId="6547404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（BA5345/pagA/Cap/Rpob基因）25T/盒</w:t>
            </w:r>
          </w:p>
        </w:tc>
        <w:tc>
          <w:tcPr>
            <w:tcW w:w="428" w:type="dxa"/>
            <w:shd w:val="clear" w:color="auto" w:fill="FFFFFF"/>
            <w:vAlign w:val="center"/>
          </w:tcPr>
          <w:p w14:paraId="33FFA169">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425" w:type="dxa"/>
            <w:shd w:val="clear" w:color="auto" w:fill="FFFFFF"/>
            <w:vAlign w:val="center"/>
          </w:tcPr>
          <w:p w14:paraId="46C0D0A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41B1BE5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FFFFFF"/>
            <w:vAlign w:val="center"/>
          </w:tcPr>
          <w:p w14:paraId="2945E10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2025年国家级致病菌识别网</w:t>
            </w:r>
          </w:p>
        </w:tc>
        <w:tc>
          <w:tcPr>
            <w:tcW w:w="6939" w:type="dxa"/>
            <w:shd w:val="clear" w:color="auto" w:fill="auto"/>
            <w:noWrap/>
            <w:vAlign w:val="bottom"/>
          </w:tcPr>
          <w:p w14:paraId="74DE6E17">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76BC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1F5C13BF">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17</w:t>
            </w:r>
          </w:p>
        </w:tc>
        <w:tc>
          <w:tcPr>
            <w:tcW w:w="2370" w:type="dxa"/>
            <w:shd w:val="clear" w:color="auto" w:fill="auto"/>
            <w:vAlign w:val="center"/>
          </w:tcPr>
          <w:p w14:paraId="61EAAE5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霍乱弧菌实时荧光PCR检测试剂盒</w:t>
            </w:r>
          </w:p>
        </w:tc>
        <w:tc>
          <w:tcPr>
            <w:tcW w:w="1585" w:type="dxa"/>
            <w:shd w:val="clear" w:color="auto" w:fill="auto"/>
            <w:vAlign w:val="center"/>
          </w:tcPr>
          <w:p w14:paraId="6C4C8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iCs w:val="0"/>
                <w:color w:val="000000" w:themeColor="text1"/>
                <w:sz w:val="16"/>
                <w:szCs w:val="16"/>
                <w:u w:val="none"/>
                <w14:textFill>
                  <w14:solidFill>
                    <w14:schemeClr w14:val="tx1"/>
                  </w14:solidFill>
                </w14:textFill>
              </w:rPr>
            </w:pPr>
            <w:r>
              <w:rPr>
                <w:rFonts w:hint="default" w:ascii="Times New Roman" w:hAnsi="Times New Roman" w:eastAsia="等线" w:cs="Times New Roman"/>
                <w:i w:val="0"/>
                <w:iCs w:val="0"/>
                <w:color w:val="000000" w:themeColor="text1"/>
                <w:kern w:val="0"/>
                <w:sz w:val="16"/>
                <w:szCs w:val="16"/>
                <w:u w:val="none"/>
                <w:lang w:val="en-US" w:eastAsia="zh-CN" w:bidi="ar"/>
                <w14:textFill>
                  <w14:solidFill>
                    <w14:schemeClr w14:val="tx1"/>
                  </w14:solidFill>
                </w14:textFill>
              </w:rPr>
              <w:t>25T/</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428" w:type="dxa"/>
            <w:shd w:val="clear" w:color="auto" w:fill="auto"/>
            <w:vAlign w:val="center"/>
          </w:tcPr>
          <w:p w14:paraId="191570E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5A3FDA9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restart"/>
            <w:shd w:val="clear" w:color="auto" w:fill="auto"/>
            <w:vAlign w:val="center"/>
          </w:tcPr>
          <w:p w14:paraId="364F5A4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1.检测技术：试剂采用一步法多重实时荧光RT-PCR，试剂盒为同一厂家，试剂盒共用同一套反应体系及扩增程序，每管反应体系≤25ul，扩增时间≤70min。</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2.检测性能：灵敏度5*102copies/mL，线性范围：5*102-2*1010 copies/mL，精密度：检测精密度参考品的变异系数＜5％。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3.质量控制：含有阴阳性对照，便于结果判定。</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4.包装及分装：采用预混液技术，反应液1管，酶混合液1管。</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5.生产厂家有甲型或甲乙流注册证。</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6.有效期：12个月，到货后质保期≥10个月。</w:t>
            </w:r>
          </w:p>
        </w:tc>
        <w:tc>
          <w:tcPr>
            <w:tcW w:w="1738" w:type="dxa"/>
            <w:shd w:val="clear" w:color="auto" w:fill="auto"/>
            <w:noWrap/>
            <w:vAlign w:val="bottom"/>
          </w:tcPr>
          <w:p w14:paraId="7B7EB098">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restart"/>
            <w:shd w:val="clear" w:color="auto" w:fill="auto"/>
            <w:vAlign w:val="top"/>
          </w:tcPr>
          <w:p w14:paraId="1AC82D0D">
            <w:pPr>
              <w:keepNext w:val="0"/>
              <w:keepLines w:val="0"/>
              <w:widowControl/>
              <w:suppressLineNumbers w:val="0"/>
              <w:spacing w:before="0" w:beforeAutospacing="0" w:after="0" w:afterAutospacing="0"/>
              <w:ind w:left="0" w:right="0"/>
              <w:jc w:val="left"/>
              <w:textAlignment w:val="top"/>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                                                                                                    1、一管检测病原霍乱弧菌。</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2、-20±5℃以下冷冻保存，稳定性好，有效期12个月。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3、试剂盒包装规格：24T/盒、48T/盒、25T/盒、50T/盒，可提供24T/盒、48T/盒石蜡预分装形式。</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▲4、试剂盒组分：PCR反应液、混合酶液、阴性对照、阳性对照、DNA提取液、说明书。阴性对照、阳性对照可直接使用，无需参与核酸提取。</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▲5、配液简便：PCR反应液19.5μL和混合酶液0.5μL；模板：5μL。总反应体系为25μL。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▲6、反应程序为： 50℃ 2min；95℃ 3min；95℃ 5sec，55℃ 30sec（单点采集荧光） 40个循环。PCR扩增不设置预循环，从第一个循环数开始读取荧光值。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▲7、所有DNA试剂盒反应程序要求一致可以同时在同一台PCR仪器上进行检测。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8、检测灵敏度不低于500copies/mL。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▲11、细菌类荧光PCR产品有至少8家检测单位的应用证明。</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▲12、沙门志贺双重试剂、伤寒甲型副伤寒试剂</w:t>
            </w:r>
          </w:p>
        </w:tc>
      </w:tr>
      <w:tr w14:paraId="62A3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81FB80F">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18</w:t>
            </w:r>
          </w:p>
        </w:tc>
        <w:tc>
          <w:tcPr>
            <w:tcW w:w="2370" w:type="dxa"/>
            <w:shd w:val="clear" w:color="auto" w:fill="auto"/>
            <w:vAlign w:val="center"/>
          </w:tcPr>
          <w:p w14:paraId="561BF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流感病毒（甲乙）双重核酸检测试剂盒（荧光PCR检测试剂）</w:t>
            </w:r>
          </w:p>
        </w:tc>
        <w:tc>
          <w:tcPr>
            <w:tcW w:w="1585" w:type="dxa"/>
            <w:shd w:val="clear" w:color="auto" w:fill="auto"/>
            <w:vAlign w:val="center"/>
          </w:tcPr>
          <w:p w14:paraId="67673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50T/盒</w:t>
            </w:r>
          </w:p>
        </w:tc>
        <w:tc>
          <w:tcPr>
            <w:tcW w:w="428" w:type="dxa"/>
            <w:shd w:val="clear" w:color="auto" w:fill="auto"/>
            <w:vAlign w:val="center"/>
          </w:tcPr>
          <w:p w14:paraId="751D2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20</w:t>
            </w:r>
          </w:p>
        </w:tc>
        <w:tc>
          <w:tcPr>
            <w:tcW w:w="425" w:type="dxa"/>
            <w:shd w:val="clear" w:color="auto" w:fill="auto"/>
            <w:vAlign w:val="center"/>
          </w:tcPr>
          <w:p w14:paraId="4C43E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768D68A1">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5FEF063F">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78E89BEC">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4814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435334E4">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19</w:t>
            </w:r>
          </w:p>
        </w:tc>
        <w:tc>
          <w:tcPr>
            <w:tcW w:w="2370" w:type="dxa"/>
            <w:shd w:val="clear" w:color="auto" w:fill="auto"/>
            <w:vAlign w:val="center"/>
          </w:tcPr>
          <w:p w14:paraId="5AD3E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核酸提取试剂盒</w:t>
            </w:r>
          </w:p>
        </w:tc>
        <w:tc>
          <w:tcPr>
            <w:tcW w:w="1585" w:type="dxa"/>
            <w:shd w:val="clear" w:color="auto" w:fill="auto"/>
            <w:vAlign w:val="center"/>
          </w:tcPr>
          <w:p w14:paraId="3B1D9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64T/盒</w:t>
            </w:r>
          </w:p>
        </w:tc>
        <w:tc>
          <w:tcPr>
            <w:tcW w:w="428" w:type="dxa"/>
            <w:shd w:val="clear" w:color="auto" w:fill="auto"/>
            <w:vAlign w:val="center"/>
          </w:tcPr>
          <w:p w14:paraId="2107B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w:t>
            </w:r>
          </w:p>
        </w:tc>
        <w:tc>
          <w:tcPr>
            <w:tcW w:w="425" w:type="dxa"/>
            <w:shd w:val="clear" w:color="auto" w:fill="auto"/>
            <w:vAlign w:val="center"/>
          </w:tcPr>
          <w:p w14:paraId="28AD0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8F492D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24DB975A">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shd w:val="clear" w:color="auto" w:fill="auto"/>
            <w:noWrap/>
            <w:vAlign w:val="bottom"/>
          </w:tcPr>
          <w:p w14:paraId="1A39421C">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4F3C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7B54B2F5">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w:t>
            </w:r>
          </w:p>
        </w:tc>
        <w:tc>
          <w:tcPr>
            <w:tcW w:w="2370" w:type="dxa"/>
            <w:shd w:val="clear" w:color="auto" w:fill="auto"/>
            <w:vAlign w:val="center"/>
          </w:tcPr>
          <w:p w14:paraId="1CB35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H3亚型禽流感病毒核酸实时荧光PCR检测试剂盒</w:t>
            </w:r>
          </w:p>
        </w:tc>
        <w:tc>
          <w:tcPr>
            <w:tcW w:w="1585" w:type="dxa"/>
            <w:shd w:val="clear" w:color="auto" w:fill="auto"/>
            <w:vAlign w:val="center"/>
          </w:tcPr>
          <w:p w14:paraId="23298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5FA64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72F66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5B17A1FF">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79FBE1F4">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restart"/>
            <w:shd w:val="clear" w:color="auto" w:fill="auto"/>
            <w:vAlign w:val="top"/>
          </w:tcPr>
          <w:p w14:paraId="7082564A">
            <w:pPr>
              <w:keepNext w:val="0"/>
              <w:keepLines w:val="0"/>
              <w:widowControl/>
              <w:suppressLineNumbers w:val="0"/>
              <w:spacing w:before="0" w:beforeAutospacing="0" w:after="0" w:afterAutospacing="0"/>
              <w:ind w:left="0" w:right="0"/>
              <w:jc w:val="left"/>
              <w:textAlignment w:val="top"/>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1、一管检测病原乙型流感病毒Victoria型、Yamagata型。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2、-20±5℃冷冻保存，稳定性好，有效期12个月。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3、试剂盒包装规格：24T/盒、48T/盒、25T/盒、50T/盒。</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▲4、试剂盒组分：RT-PCR反应液、混合酶液、阴性对照、阳性对照、说明书。阴性对照、阳性对照可直接使用，无需参与核酸提取。</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▲5、操作简便，RNA类RT-PCR反应液15μL，混合酶液5μL，模板 5μL ，反应体系为25µL。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▲6、反应程序为： 50℃ 15min；95℃ 3min；95℃ 5sec，55℃ 30sec（单点采集荧光） 45个循环。PCR扩增不设置预循环，从第一个循环数开始读取荧光值。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▲7、所有RNA试剂盒反应程序要求一致可以同时在同一台PCR仪器上进行检测。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8、检测灵敏度不低于500 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▲11、甲乙型流感双通道试剂、甲型流感H1N12009试剂、EV71/CoxA16双通道试剂、EV-U单通道试剂、麻疹风疹和新型冠状病毒甲乙流三重试剂</w:t>
            </w:r>
          </w:p>
        </w:tc>
      </w:tr>
      <w:tr w14:paraId="5B8A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0E2A2E7">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21</w:t>
            </w:r>
          </w:p>
        </w:tc>
        <w:tc>
          <w:tcPr>
            <w:tcW w:w="2370" w:type="dxa"/>
            <w:shd w:val="clear" w:color="auto" w:fill="auto"/>
            <w:vAlign w:val="center"/>
          </w:tcPr>
          <w:p w14:paraId="6A467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H5亚型禽流感病毒核酸实时荧光PCR检测试剂盒</w:t>
            </w:r>
          </w:p>
        </w:tc>
        <w:tc>
          <w:tcPr>
            <w:tcW w:w="1585" w:type="dxa"/>
            <w:shd w:val="clear" w:color="auto" w:fill="auto"/>
            <w:vAlign w:val="center"/>
          </w:tcPr>
          <w:p w14:paraId="7B1EF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1C5F6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6AE2E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239BDB7F">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572A1EAC">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157C2F90">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75D9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18330F1C">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w:t>
            </w:r>
          </w:p>
        </w:tc>
        <w:tc>
          <w:tcPr>
            <w:tcW w:w="2370" w:type="dxa"/>
            <w:shd w:val="clear" w:color="auto" w:fill="auto"/>
            <w:vAlign w:val="center"/>
          </w:tcPr>
          <w:p w14:paraId="67FCA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H7亚型禽流感病毒核酸实时荧光PCR检测试剂盒</w:t>
            </w:r>
          </w:p>
        </w:tc>
        <w:tc>
          <w:tcPr>
            <w:tcW w:w="1585" w:type="dxa"/>
            <w:shd w:val="clear" w:color="auto" w:fill="auto"/>
            <w:vAlign w:val="center"/>
          </w:tcPr>
          <w:p w14:paraId="39306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631A9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5FE99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201A6E93">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3EE7361D">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16753A96">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0D0E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EC6E945">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23</w:t>
            </w:r>
          </w:p>
        </w:tc>
        <w:tc>
          <w:tcPr>
            <w:tcW w:w="2370" w:type="dxa"/>
            <w:shd w:val="clear" w:color="auto" w:fill="auto"/>
            <w:vAlign w:val="center"/>
          </w:tcPr>
          <w:p w14:paraId="4FE82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H9亚型禽流感病毒核酸实时荧光PCR检测试剂盒</w:t>
            </w:r>
          </w:p>
        </w:tc>
        <w:tc>
          <w:tcPr>
            <w:tcW w:w="1585" w:type="dxa"/>
            <w:shd w:val="clear" w:color="auto" w:fill="auto"/>
            <w:vAlign w:val="center"/>
          </w:tcPr>
          <w:p w14:paraId="7178F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6EE3A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22E2A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181E27F">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043E382A">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1291E05B">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647D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3091494E">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24</w:t>
            </w:r>
          </w:p>
        </w:tc>
        <w:tc>
          <w:tcPr>
            <w:tcW w:w="2370" w:type="dxa"/>
            <w:shd w:val="clear" w:color="auto" w:fill="auto"/>
            <w:vAlign w:val="center"/>
          </w:tcPr>
          <w:p w14:paraId="73927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欧亚类禽猪流感H1N1亚型核酸检测试剂盒</w:t>
            </w:r>
          </w:p>
        </w:tc>
        <w:tc>
          <w:tcPr>
            <w:tcW w:w="1585" w:type="dxa"/>
            <w:shd w:val="clear" w:color="auto" w:fill="auto"/>
            <w:vAlign w:val="center"/>
          </w:tcPr>
          <w:p w14:paraId="1CCDF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5CAA4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1799F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2124F386">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0C7F0552">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4418D37E">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101A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27481AB2">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w:t>
            </w:r>
          </w:p>
        </w:tc>
        <w:tc>
          <w:tcPr>
            <w:tcW w:w="2370" w:type="dxa"/>
            <w:shd w:val="clear" w:color="auto" w:fill="auto"/>
            <w:vAlign w:val="center"/>
          </w:tcPr>
          <w:p w14:paraId="3BED7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 xml:space="preserve">季节性H1H3流感病毒核酸检测试剂盒 </w:t>
            </w:r>
          </w:p>
        </w:tc>
        <w:tc>
          <w:tcPr>
            <w:tcW w:w="1585" w:type="dxa"/>
            <w:shd w:val="clear" w:color="auto" w:fill="auto"/>
            <w:vAlign w:val="center"/>
          </w:tcPr>
          <w:p w14:paraId="4FDD75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50713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w:t>
            </w:r>
          </w:p>
        </w:tc>
        <w:tc>
          <w:tcPr>
            <w:tcW w:w="425" w:type="dxa"/>
            <w:shd w:val="clear" w:color="auto" w:fill="auto"/>
            <w:vAlign w:val="center"/>
          </w:tcPr>
          <w:p w14:paraId="0BECA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2BD4A0CE">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595D58DF">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3FC00B29">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35B1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E40E48D">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26</w:t>
            </w:r>
          </w:p>
        </w:tc>
        <w:tc>
          <w:tcPr>
            <w:tcW w:w="2370" w:type="dxa"/>
            <w:shd w:val="clear" w:color="auto" w:fill="auto"/>
            <w:vAlign w:val="center"/>
          </w:tcPr>
          <w:p w14:paraId="4C024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BV+BY亚系流感病毒核酸检测试剂盒  （荧光PCR检测试剂）</w:t>
            </w:r>
          </w:p>
        </w:tc>
        <w:tc>
          <w:tcPr>
            <w:tcW w:w="1585" w:type="dxa"/>
            <w:shd w:val="clear" w:color="auto" w:fill="auto"/>
            <w:vAlign w:val="center"/>
          </w:tcPr>
          <w:p w14:paraId="7005A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2E013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w:t>
            </w:r>
          </w:p>
        </w:tc>
        <w:tc>
          <w:tcPr>
            <w:tcW w:w="425" w:type="dxa"/>
            <w:shd w:val="clear" w:color="auto" w:fill="auto"/>
            <w:vAlign w:val="center"/>
          </w:tcPr>
          <w:p w14:paraId="1D0A7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71C7265B">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0E6A5E22">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423911A1">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4AF6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02F965EF">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27</w:t>
            </w:r>
          </w:p>
        </w:tc>
        <w:tc>
          <w:tcPr>
            <w:tcW w:w="2370" w:type="dxa"/>
            <w:shd w:val="clear" w:color="000000" w:fill="FFFFFF"/>
            <w:vAlign w:val="center"/>
          </w:tcPr>
          <w:p w14:paraId="196DF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超灵敏度甲型流感病毒全基因组捕获建库试剂套盒（24人份）</w:t>
            </w:r>
          </w:p>
        </w:tc>
        <w:tc>
          <w:tcPr>
            <w:tcW w:w="1585" w:type="dxa"/>
            <w:shd w:val="clear" w:color="auto" w:fill="auto"/>
            <w:vAlign w:val="center"/>
          </w:tcPr>
          <w:p w14:paraId="4F74816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（24人份）/盒</w:t>
            </w:r>
          </w:p>
        </w:tc>
        <w:tc>
          <w:tcPr>
            <w:tcW w:w="428" w:type="dxa"/>
            <w:shd w:val="clear" w:color="auto" w:fill="auto"/>
            <w:noWrap/>
            <w:vAlign w:val="center"/>
          </w:tcPr>
          <w:p w14:paraId="61B9B40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425" w:type="dxa"/>
            <w:shd w:val="clear" w:color="auto" w:fill="auto"/>
            <w:vAlign w:val="center"/>
          </w:tcPr>
          <w:p w14:paraId="2AD43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46ADCDA3">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6AFC9430">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shd w:val="clear" w:color="auto" w:fill="auto"/>
            <w:noWrap/>
            <w:vAlign w:val="bottom"/>
          </w:tcPr>
          <w:p w14:paraId="3CAF6E69">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r>
      <w:tr w14:paraId="05C5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0DB2AF0">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28</w:t>
            </w:r>
          </w:p>
        </w:tc>
        <w:tc>
          <w:tcPr>
            <w:tcW w:w="2370" w:type="dxa"/>
            <w:shd w:val="clear" w:color="auto" w:fill="auto"/>
            <w:vAlign w:val="center"/>
          </w:tcPr>
          <w:p w14:paraId="08AE70A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肠道病毒通用型核酸检测试剂（荧光PCR检测试剂）</w:t>
            </w:r>
          </w:p>
        </w:tc>
        <w:tc>
          <w:tcPr>
            <w:tcW w:w="1585" w:type="dxa"/>
            <w:shd w:val="clear" w:color="auto" w:fill="auto"/>
            <w:vAlign w:val="center"/>
          </w:tcPr>
          <w:p w14:paraId="102EA41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7719243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w:t>
            </w:r>
          </w:p>
        </w:tc>
        <w:tc>
          <w:tcPr>
            <w:tcW w:w="425" w:type="dxa"/>
            <w:shd w:val="clear" w:color="auto" w:fill="auto"/>
            <w:vAlign w:val="center"/>
          </w:tcPr>
          <w:p w14:paraId="5F9C11F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EFF7FA3">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602746E1">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restart"/>
            <w:shd w:val="clear" w:color="auto" w:fill="auto"/>
            <w:vAlign w:val="top"/>
          </w:tcPr>
          <w:p w14:paraId="4F886798">
            <w:pPr>
              <w:keepNext w:val="0"/>
              <w:keepLines w:val="0"/>
              <w:widowControl/>
              <w:suppressLineNumbers w:val="0"/>
              <w:spacing w:before="0" w:beforeAutospacing="0" w:after="0" w:afterAutospacing="0"/>
              <w:ind w:left="0" w:right="0"/>
              <w:jc w:val="left"/>
              <w:textAlignment w:val="top"/>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                                                                                                            1、一管检测肠道病毒CA16型、EV71型。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2、-20±5℃冷冻保存，稳定性好，有效期12个月。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3、试剂盒包装规格：24T/盒、48T/盒、25T/盒、50T/盒。</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▲4、试剂盒组分：RT-PCR反应液、引物探针混合液、混合酶液、阴性对照、阳性对照、说明书。阴性对照、阳性对照可直接使用，无需参与核酸提取。</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▲5、操作简便，RNA类RT-PCR反应液17μL，引物探针混合液2uL，混合酶液1μL，模板 5μL ，反应体系为25µL。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▲6、反应程序为： 50℃ 15min；95℃ 3min；95℃ 5sec，55℃ 30sec（单点采集荧光） 45个循环。PCR扩增不设置预循环，从第一个循环数开始读取荧光值。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▲7、所有RNA试剂盒反应程序要求一致可以同时在同一台PCR仪器上进行检测。</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8、检测灵敏度不低于500 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▲11、甲乙型流感双通道试剂、甲型流感H1N12009试剂、EV71/CoxA16双通道试剂、EV-U单通道试剂、麻疹风疹和新型冠状病毒甲乙流三重试剂</w:t>
            </w:r>
          </w:p>
        </w:tc>
      </w:tr>
      <w:tr w14:paraId="6A0A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3B6E14A2">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29</w:t>
            </w:r>
          </w:p>
        </w:tc>
        <w:tc>
          <w:tcPr>
            <w:tcW w:w="2370" w:type="dxa"/>
            <w:shd w:val="clear" w:color="auto" w:fill="auto"/>
            <w:vAlign w:val="center"/>
          </w:tcPr>
          <w:p w14:paraId="5B0EEAD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柯萨奇病毒A16型肠道病毒71型核酸检测试剂（荧光PCR检测试剂）</w:t>
            </w:r>
          </w:p>
        </w:tc>
        <w:tc>
          <w:tcPr>
            <w:tcW w:w="1585" w:type="dxa"/>
            <w:shd w:val="clear" w:color="auto" w:fill="auto"/>
            <w:vAlign w:val="center"/>
          </w:tcPr>
          <w:p w14:paraId="44C6613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003EDF2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5F4DEF8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13777F68">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22F7454D">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vMerge w:val="continue"/>
            <w:shd w:val="clear" w:color="auto" w:fill="auto"/>
            <w:vAlign w:val="top"/>
          </w:tcPr>
          <w:p w14:paraId="19CB7EFC">
            <w:pPr>
              <w:keepNext w:val="0"/>
              <w:keepLines w:val="0"/>
              <w:suppressLineNumbers w:val="0"/>
              <w:spacing w:before="0" w:beforeAutospacing="0" w:after="0" w:afterAutospacing="0"/>
              <w:ind w:left="0" w:right="0"/>
              <w:jc w:val="left"/>
              <w:rPr>
                <w:rFonts w:hint="default" w:ascii="等线" w:hAnsi="等线" w:eastAsia="等线" w:cs="等线"/>
                <w:i w:val="0"/>
                <w:iCs w:val="0"/>
                <w:color w:val="000000" w:themeColor="text1"/>
                <w:sz w:val="16"/>
                <w:szCs w:val="16"/>
                <w:u w:val="none"/>
                <w14:textFill>
                  <w14:solidFill>
                    <w14:schemeClr w14:val="tx1"/>
                  </w14:solidFill>
                </w14:textFill>
              </w:rPr>
            </w:pPr>
          </w:p>
        </w:tc>
      </w:tr>
      <w:tr w14:paraId="71F9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36" w:type="dxa"/>
            <w:shd w:val="clear" w:color="auto" w:fill="auto"/>
            <w:noWrap/>
            <w:vAlign w:val="center"/>
          </w:tcPr>
          <w:p w14:paraId="5F46E9C8">
            <w:pPr>
              <w:keepNext w:val="0"/>
              <w:keepLines w:val="0"/>
              <w:widowControl/>
              <w:suppressLineNumbers w:val="0"/>
              <w:spacing w:before="0" w:beforeAutospacing="0" w:after="0" w:afterAutospacing="0"/>
              <w:ind w:left="0" w:right="0"/>
              <w:jc w:val="righ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30</w:t>
            </w:r>
          </w:p>
        </w:tc>
        <w:tc>
          <w:tcPr>
            <w:tcW w:w="2370" w:type="dxa"/>
            <w:shd w:val="clear" w:color="auto" w:fill="auto"/>
            <w:vAlign w:val="center"/>
          </w:tcPr>
          <w:p w14:paraId="1A7B7C8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柯萨奇病毒A6型柯萨奇病毒A10型核酸检测试剂（荧光PCR检测试剂）</w:t>
            </w:r>
          </w:p>
        </w:tc>
        <w:tc>
          <w:tcPr>
            <w:tcW w:w="1585" w:type="dxa"/>
            <w:shd w:val="clear" w:color="auto" w:fill="auto"/>
            <w:vAlign w:val="center"/>
          </w:tcPr>
          <w:p w14:paraId="1E94740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25T/盒</w:t>
            </w:r>
          </w:p>
        </w:tc>
        <w:tc>
          <w:tcPr>
            <w:tcW w:w="428" w:type="dxa"/>
            <w:shd w:val="clear" w:color="auto" w:fill="auto"/>
            <w:vAlign w:val="center"/>
          </w:tcPr>
          <w:p w14:paraId="00573A6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425" w:type="dxa"/>
            <w:shd w:val="clear" w:color="auto" w:fill="auto"/>
            <w:vAlign w:val="center"/>
          </w:tcPr>
          <w:p w14:paraId="32595A4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62" w:type="dxa"/>
            <w:vMerge w:val="continue"/>
            <w:shd w:val="clear" w:color="auto" w:fill="auto"/>
            <w:vAlign w:val="center"/>
          </w:tcPr>
          <w:p w14:paraId="77C1274C">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c>
          <w:tcPr>
            <w:tcW w:w="1738" w:type="dxa"/>
            <w:shd w:val="clear" w:color="auto" w:fill="auto"/>
            <w:noWrap/>
            <w:vAlign w:val="bottom"/>
          </w:tcPr>
          <w:p w14:paraId="0D06257C">
            <w:pPr>
              <w:keepNext w:val="0"/>
              <w:keepLines w:val="0"/>
              <w:suppressLineNumbers w:val="0"/>
              <w:spacing w:before="0" w:beforeAutospacing="0" w:after="0" w:afterAutospacing="0"/>
              <w:ind w:left="0" w:right="0"/>
              <w:rPr>
                <w:rFonts w:hint="default" w:ascii="等线" w:hAnsi="等线" w:eastAsia="等线" w:cs="等线"/>
                <w:i w:val="0"/>
                <w:iCs w:val="0"/>
                <w:color w:val="000000" w:themeColor="text1"/>
                <w:sz w:val="16"/>
                <w:szCs w:val="16"/>
                <w:u w:val="none"/>
                <w14:textFill>
                  <w14:solidFill>
                    <w14:schemeClr w14:val="tx1"/>
                  </w14:solidFill>
                </w14:textFill>
              </w:rPr>
            </w:pPr>
          </w:p>
        </w:tc>
        <w:tc>
          <w:tcPr>
            <w:tcW w:w="6939" w:type="dxa"/>
            <w:shd w:val="clear" w:color="auto" w:fill="auto"/>
            <w:vAlign w:val="center"/>
          </w:tcPr>
          <w:p w14:paraId="1E405C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 xml:space="preserve">                                                                                                            1、一管检测肠道病毒CA6型、CA10型。</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2、-20±5℃冷冻保存，稳定性好，有效期12个月。</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3、试剂盒包装规格：24T/盒、48T/盒、25T/盒、50T/盒。</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▲4、试剂盒组分：RT-PCR反应液、引物探针混合液、混合酶液、阴性对照、阳性对照、说明书。阴性对照、阳性对照可直接使用，无需参与核酸提取。</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▲5、操作简便，RNA类RT-PCR反应液17μL，引物探针混合液2uL，混合酶液1μL，模板 5μL ，反应体系为25µL。</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▲6、反应程序为： 50℃ 15min；95℃ 3min；95℃ 5sec，55℃ 30sec（单点采集荧光） 45个循环。PCR扩增不设置预循环，从第一个循环数开始读取荧光值。</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▲7、所有RNA试剂盒反应程序要求一致可以同时在同一台PCR仪器上进行检测。</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8、检测灵敏度不低于500 copies/mL。</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9、检测精密度：重复检测精密性，检测结果批内和批间变异系数（CV%）&lt;5%。</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10、开放性机型，适ABI系列仪器、Roche系列仪器等多种荧光PCR仪器。</w:t>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▲11、甲乙型流感双通道试剂、甲型流感H1N12009试剂、EV71/CoxA16双通道试剂、EV-U单通道试剂、麻疹风疹和新型冠状病毒甲乙流三重试剂</w:t>
            </w:r>
          </w:p>
        </w:tc>
      </w:tr>
    </w:tbl>
    <w:p w14:paraId="4E28D05C">
      <w:pPr>
        <w:rPr>
          <w:rFonts w:hint="eastAsia"/>
          <w:color w:val="000000" w:themeColor="text1"/>
          <w:lang w:val="en-US" w:eastAsia="zh-CN"/>
          <w14:textFill>
            <w14:solidFill>
              <w14:schemeClr w14:val="tx1"/>
            </w14:solidFill>
          </w14:textFill>
        </w:rPr>
      </w:pPr>
    </w:p>
    <w:p w14:paraId="5BD07819">
      <w:pPr>
        <w:rPr>
          <w:rFonts w:hint="eastAsia"/>
          <w:color w:val="000000" w:themeColor="text1"/>
          <w:lang w:val="en-US" w:eastAsia="zh-CN"/>
          <w14:textFill>
            <w14:solidFill>
              <w14:schemeClr w14:val="tx1"/>
            </w14:solidFill>
          </w14:textFill>
        </w:rPr>
      </w:pPr>
    </w:p>
    <w:p w14:paraId="307A4E2D">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p>
    <w:p w14:paraId="545C7CD5">
      <w:pPr>
        <w:rPr>
          <w:rFonts w:hint="eastAsia" w:ascii="仿宋" w:hAnsi="仿宋" w:eastAsia="仿宋" w:cs="仿宋"/>
          <w:color w:val="000000" w:themeColor="text1"/>
          <w:szCs w:val="24"/>
          <w:highlight w:val="none"/>
          <w:lang w:val="en-US" w:eastAsia="zh-CN"/>
          <w14:textFill>
            <w14:solidFill>
              <w14:schemeClr w14:val="tx1"/>
            </w14:solidFill>
          </w14:textFill>
        </w:rPr>
      </w:pPr>
    </w:p>
    <w:p w14:paraId="3C25B217">
      <w:pPr>
        <w:pStyle w:val="4"/>
        <w:rPr>
          <w:rFonts w:hint="eastAsia"/>
          <w:color w:val="000000" w:themeColor="text1"/>
          <w:lang w:val="en-US" w:eastAsia="zh-CN"/>
          <w14:textFill>
            <w14:solidFill>
              <w14:schemeClr w14:val="tx1"/>
            </w14:solidFill>
          </w14:textFill>
        </w:rPr>
      </w:pPr>
    </w:p>
    <w:p w14:paraId="4A2A8D00">
      <w:pPr>
        <w:rPr>
          <w:rFonts w:hint="eastAsia"/>
          <w:color w:val="000000" w:themeColor="text1"/>
          <w:lang w:val="en-US" w:eastAsia="zh-CN"/>
          <w14:textFill>
            <w14:solidFill>
              <w14:schemeClr w14:val="tx1"/>
            </w14:solidFill>
          </w14:textFill>
        </w:rPr>
      </w:pPr>
    </w:p>
    <w:p w14:paraId="28B51873">
      <w:pPr>
        <w:pStyle w:val="13"/>
        <w:overflowPunct w:val="0"/>
        <w:spacing w:line="440" w:lineRule="exact"/>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eastAsia" w:ascii="仿宋" w:hAnsi="仿宋" w:eastAsia="仿宋" w:cs="仿宋"/>
          <w:b/>
          <w:bCs/>
          <w:color w:val="000000" w:themeColor="text1"/>
          <w:szCs w:val="24"/>
          <w:highlight w:val="none"/>
          <w:lang w:val="en-US" w:eastAsia="zh-CN"/>
          <w14:textFill>
            <w14:solidFill>
              <w14:schemeClr w14:val="tx1"/>
            </w14:solidFill>
          </w14:textFill>
        </w:rPr>
        <w:t>附件二：</w:t>
      </w:r>
    </w:p>
    <w:tbl>
      <w:tblPr>
        <w:tblStyle w:val="50"/>
        <w:tblW w:w="146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7"/>
        <w:gridCol w:w="1696"/>
        <w:gridCol w:w="1720"/>
        <w:gridCol w:w="720"/>
        <w:gridCol w:w="676"/>
        <w:gridCol w:w="6690"/>
        <w:gridCol w:w="2106"/>
      </w:tblGrid>
      <w:tr w14:paraId="3AF0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67" w:type="dxa"/>
            <w:tcBorders>
              <w:top w:val="nil"/>
              <w:left w:val="nil"/>
              <w:bottom w:val="nil"/>
              <w:right w:val="nil"/>
            </w:tcBorders>
            <w:shd w:val="clear" w:color="auto" w:fill="auto"/>
            <w:noWrap/>
            <w:vAlign w:val="center"/>
          </w:tcPr>
          <w:p w14:paraId="685477E9">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themeColor="text1"/>
                <w:sz w:val="18"/>
                <w:szCs w:val="18"/>
                <w:u w:val="none"/>
                <w14:textFill>
                  <w14:solidFill>
                    <w14:schemeClr w14:val="tx1"/>
                  </w14:solidFill>
                </w14:textFill>
              </w:rPr>
            </w:pPr>
          </w:p>
        </w:tc>
        <w:tc>
          <w:tcPr>
            <w:tcW w:w="13608" w:type="dxa"/>
            <w:gridSpan w:val="6"/>
            <w:tcBorders>
              <w:top w:val="nil"/>
              <w:left w:val="nil"/>
              <w:bottom w:val="nil"/>
              <w:right w:val="nil"/>
            </w:tcBorders>
            <w:shd w:val="clear" w:color="auto" w:fill="FFFFFF"/>
            <w:noWrap/>
            <w:vAlign w:val="center"/>
          </w:tcPr>
          <w:p w14:paraId="3D8F9D0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2025年 克州疾病预防控制中心测序试剂（耗材）申购单</w:t>
            </w:r>
          </w:p>
        </w:tc>
      </w:tr>
      <w:tr w14:paraId="25E9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B53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序号</w:t>
            </w:r>
          </w:p>
        </w:tc>
        <w:tc>
          <w:tcPr>
            <w:tcW w:w="1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AD35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试剂/耗材名称</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BF07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规格</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4CD0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数量</w:t>
            </w:r>
          </w:p>
        </w:tc>
        <w:tc>
          <w:tcPr>
            <w:tcW w:w="6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30ED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单位</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2DF9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参数</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496B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备注</w:t>
            </w:r>
          </w:p>
        </w:tc>
      </w:tr>
      <w:tr w14:paraId="7797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51F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EDC37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超灵敏度新型冠状病毒全基因组捕获建库试剂套盒（24人份）</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153B7">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（24人份）/盒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5593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5B1D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D38DB">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适用性：新型冠状病毒全基因组的扩增捕获，产物可用于后续高通量测序的建库，通过新一代高通量测序分析，准确发现新的变异，新的毒株、追踪病毒变异情况；2，样本量：24样本；3，灵敏度：仅需少量RNA（＜0.5ng）；4，试剂形式：整合式试剂，可扩增得到新冠病毒全基因组；5，扩增子数目：≥40个；6，适用机型：兼容所有高通量测序平台（二代测序）和单分子测序平台（三代测序）；7，适合CT值≤33的新冠样本全，基因组捕获，捕获效率≥99%；8，拥有国家专利局专利证书；9可提供同厂家的新冠病毒分析软件，自动完成序列拼接、变异查找和生成系统进化树；10、试剂盒搭配同品牌软件分析，可所提供的新冠病毒分析软件应包含新冠病毒序列的录入、质控和分型;应标明序列数据在数据库中的存储位置便于查找、筛选和导出(按日期、型别、完整性等);软件应能根据指定序列进行进化分析并提供图形化展示;软件应提供稳定的框架，方便后期加入新的功能模块;；11、经过科研研究机构验证，有十篇以上科研论文引用验证；12，建库原理：转座酶切法建库，无需任何核酸打断设备；13，适用机型：illumina的测序平台适用；14，DNA片段化时间：5分钟内片段化DNA；15，文库构建类型：涵盖小基因组、PCR扩增、质粒、微生物基因组、串联扩增子、双联cDNA和单细胞RNA-Seq等测序文库构建；16，文库制备流程：标记基因组DNA、扩增、纯化、标准化、文库混合；17，建库时间：2.5小时；18、自带病原微生物样本的高通量测序序列标签；19、含样品纯化磁珠组份；20、含样本均一化组份，无需定量即可完成建库流程；21、含样本高精度浓度定量测试试剂及测试管（配套定量设备使用）</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D756B">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r w14:paraId="170E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DEB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2</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5FC387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中通量上机测序试剂盒FC-420-1004</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A54AF">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（12人份）/盒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A35D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BE2E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12</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6DDFD">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1,，适用性：病原微生物样本的高通量测序实验；2，测序原理：边合成边测序；3，测序模式：自动化双端或自动化单端测序；4，测序读长：2*150bp；5，Reads数：800万条；6、适用机型：illumina的测序平台适用；</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E1AE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分两次发货上半年和下半年。适合Miniseq机型</w:t>
            </w:r>
          </w:p>
        </w:tc>
      </w:tr>
      <w:tr w14:paraId="7851F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675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5"/>
                <w:szCs w:val="15"/>
                <w:u w:val="none"/>
                <w14:textFill>
                  <w14:solidFill>
                    <w14:schemeClr w14:val="tx1"/>
                  </w14:solidFill>
                </w14:textFill>
              </w:rPr>
            </w:pPr>
            <w:r>
              <w:rPr>
                <w:rFonts w:hint="default" w:ascii="等线" w:hAnsi="等线" w:eastAsia="等线" w:cs="等线"/>
                <w:i w:val="0"/>
                <w:iCs w:val="0"/>
                <w:color w:val="000000" w:themeColor="text1"/>
                <w:kern w:val="0"/>
                <w:sz w:val="15"/>
                <w:szCs w:val="15"/>
                <w:u w:val="none"/>
                <w:lang w:val="en-US" w:eastAsia="zh-CN" w:bidi="ar"/>
                <w14:textFill>
                  <w14:solidFill>
                    <w14:schemeClr w14:val="tx1"/>
                  </w14:solidFill>
                </w14:textFill>
              </w:rPr>
              <w:t>3</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A5717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val="0"/>
                <w:bCs w:val="0"/>
                <w:i w:val="0"/>
                <w:iCs w:val="0"/>
                <w:color w:val="000000" w:themeColor="text1"/>
                <w:sz w:val="15"/>
                <w:szCs w:val="15"/>
                <w:u w:val="none"/>
                <w14:textFill>
                  <w14:solidFill>
                    <w14:schemeClr w14:val="tx1"/>
                  </w14:solidFill>
                </w14:textFill>
              </w:rPr>
            </w:pPr>
            <w:r>
              <w:rPr>
                <w:rFonts w:hint="default" w:ascii="方正仿宋_GB2312" w:hAnsi="方正仿宋_GB2312" w:eastAsia="方正仿宋_GB2312" w:cs="方正仿宋_GB2312"/>
                <w:b w:val="0"/>
                <w:bCs w:val="0"/>
                <w:i w:val="0"/>
                <w:iCs w:val="0"/>
                <w:color w:val="000000" w:themeColor="text1"/>
                <w:kern w:val="0"/>
                <w:sz w:val="15"/>
                <w:szCs w:val="15"/>
                <w:u w:val="none"/>
                <w:lang w:val="en-US" w:eastAsia="zh-CN" w:bidi="ar"/>
                <w14:textFill>
                  <w14:solidFill>
                    <w14:schemeClr w14:val="tx1"/>
                  </w14:solidFill>
                </w14:textFill>
              </w:rPr>
              <w:t>细菌全基因组测序试剂套盒（24人份）</w:t>
            </w:r>
            <w:r>
              <w:rPr>
                <w:rFonts w:hint="default" w:ascii="方正仿宋_GB2312" w:hAnsi="方正仿宋_GB2312" w:eastAsia="方正仿宋_GB2312" w:cs="方正仿宋_GB2312"/>
                <w:b w:val="0"/>
                <w:bCs w:val="0"/>
                <w:i w:val="0"/>
                <w:iCs w:val="0"/>
                <w:color w:val="000000" w:themeColor="text1"/>
                <w:kern w:val="0"/>
                <w:sz w:val="15"/>
                <w:szCs w:val="15"/>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b w:val="0"/>
                <w:bCs w:val="0"/>
                <w:i w:val="0"/>
                <w:iCs w:val="0"/>
                <w:color w:val="000000" w:themeColor="text1"/>
                <w:kern w:val="0"/>
                <w:sz w:val="15"/>
                <w:szCs w:val="15"/>
                <w:u w:val="none"/>
                <w:lang w:val="en-US" w:eastAsia="zh-CN" w:bidi="ar"/>
                <w14:textFill>
                  <w14:solidFill>
                    <w14:schemeClr w14:val="tx1"/>
                  </w14:solidFill>
                </w14:textFill>
              </w:rPr>
              <w:t>T-090620</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98873">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b w:val="0"/>
                <w:bCs w:val="0"/>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b w:val="0"/>
                <w:bCs w:val="0"/>
                <w:i w:val="0"/>
                <w:iCs w:val="0"/>
                <w:color w:val="000000" w:themeColor="text1"/>
                <w:kern w:val="0"/>
                <w:sz w:val="18"/>
                <w:szCs w:val="18"/>
                <w:u w:val="none"/>
                <w:lang w:val="en-US" w:eastAsia="zh-CN" w:bidi="ar"/>
                <w14:textFill>
                  <w14:solidFill>
                    <w14:schemeClr w14:val="tx1"/>
                  </w14:solidFill>
                </w14:textFill>
              </w:rPr>
              <w:t>（24人份）/盒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D9F1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val="0"/>
                <w:bCs w:val="0"/>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b w:val="0"/>
                <w:bCs w:val="0"/>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2F46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val="0"/>
                <w:bCs w:val="0"/>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b w:val="0"/>
                <w:bCs w:val="0"/>
                <w:i w:val="0"/>
                <w:iCs w:val="0"/>
                <w:color w:val="000000" w:themeColor="text1"/>
                <w:kern w:val="0"/>
                <w:sz w:val="18"/>
                <w:szCs w:val="18"/>
                <w:u w:val="none"/>
                <w:lang w:val="en-US" w:eastAsia="zh-CN" w:bidi="ar"/>
                <w14:textFill>
                  <w14:solidFill>
                    <w14:schemeClr w14:val="tx1"/>
                  </w14:solidFill>
                </w14:textFill>
              </w:rPr>
              <w:t>1</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9E050">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b w:val="0"/>
                <w:bCs w:val="0"/>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b w:val="0"/>
                <w:bCs w:val="0"/>
                <w:i w:val="0"/>
                <w:iCs w:val="0"/>
                <w:color w:val="000000" w:themeColor="text1"/>
                <w:kern w:val="0"/>
                <w:sz w:val="18"/>
                <w:szCs w:val="18"/>
                <w:u w:val="none"/>
                <w:lang w:val="en-US" w:eastAsia="zh-CN" w:bidi="ar"/>
                <w14:textFill>
                  <w14:solidFill>
                    <w14:schemeClr w14:val="tx1"/>
                  </w14:solidFill>
                </w14:textFill>
              </w:rPr>
              <w:t>1，适用性：病原微生物样本的高通量测序实验；2，测序原理：边合成边测序；3，测序模式：自动化双端或自动化单端测序；4，测序读长：2*150bp；5，Reads数：800万条；6、适用机型：illumina的测序平台适用；</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C79B9">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b/>
                <w:bCs/>
                <w:i w:val="0"/>
                <w:iCs w:val="0"/>
                <w:color w:val="000000" w:themeColor="text1"/>
                <w:sz w:val="21"/>
                <w:szCs w:val="21"/>
                <w:u w:val="none"/>
                <w14:textFill>
                  <w14:solidFill>
                    <w14:schemeClr w14:val="tx1"/>
                  </w14:solidFill>
                </w14:textFill>
              </w:rPr>
            </w:pPr>
          </w:p>
        </w:tc>
      </w:tr>
      <w:tr w14:paraId="3A5E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C1B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B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结核感染T细胞检测试剂（体外释放酶联免疫法）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F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28T/盒</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6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A7E3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15</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C4972">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1、基本要求：可用于结核病的辅助诊断，结核病高危人群的筛查</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2、注册证要求：具备Ⅲ类医疗器械体外诊断试剂注册证书（NMPA）（提供厂家盖章证明材料）</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3、技术原理：基于γ-干扰素体外释放分析（IGRA）技术，通过定量检测γ-干扰素的浓度来判定是否存在结核感染。</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4、检测方法：酶联免疫法，可以定量检测γ-干扰素的释放水平，可溯源到国际标准；同时酶标记二抗，洗板步骤为一次。</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5、稀释的梯度γ-干扰素标准品可2-8℃保存不低于2周。</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6、所需设备：培养箱、水浴锅、酶标仪</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7、样本类型：肝素抗凝静脉全血</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8、特异性抗原：特异性抗原包含ESAT-6/CFP-10融合抗原，及其他多肽或蛋白</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9、产品规格：不高于28人份/盒</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10、产品效期：所有组分≥18月</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11、产品性能：阳性符合率、阴性符合率均≥80%（以产品说明书为准。）</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12、抗干扰能力：试剂具有抗溶血，脂血，黄疸标本干扰能力</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13、专利及知识产权要求：产品基于企业专利专利技术开发</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14、提供厂家资料（①厂家资质、产品彩页、②厂家2025年盖章售后服务承诺书）</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5BCF8">
            <w:pPr>
              <w:keepNext w:val="0"/>
              <w:keepLines w:val="0"/>
              <w:suppressLineNumbers w:val="0"/>
              <w:spacing w:before="0" w:beforeAutospacing="0" w:after="0" w:afterAutospacing="0"/>
              <w:ind w:left="0" w:right="0"/>
              <w:jc w:val="both"/>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r w14:paraId="7C32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0E8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94BE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Qubit DNA定量试剂</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DD51B">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Qubit</w:t>
            </w:r>
            <w:r>
              <w:rPr>
                <w:rFonts w:hint="default" w:ascii="微软雅黑" w:hAnsi="微软雅黑" w:eastAsia="微软雅黑" w:cs="微软雅黑"/>
                <w:i w:val="0"/>
                <w:iCs w:val="0"/>
                <w:color w:val="000000" w:themeColor="text1"/>
                <w:kern w:val="0"/>
                <w:sz w:val="18"/>
                <w:szCs w:val="18"/>
                <w:u w:val="none"/>
                <w:lang w:val="en-US" w:eastAsia="zh-CN" w:bidi="ar"/>
                <w14:textFill>
                  <w14:solidFill>
                    <w14:schemeClr w14:val="tx1"/>
                  </w14:solidFill>
                </w14:textFill>
              </w:rPr>
              <w:t>™</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 xml:space="preserve"> dsDNA HS Assay Kit（搭配Qubit使用）（100人份）/盒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3ECB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9F84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671C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 xml:space="preserve"> DNA 定量， 纯化DNA 定量。</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8BB49">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r w14:paraId="72B6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B85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6</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A00AA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新冠病毒核酸提取试剂预封装</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69D25">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64人份/盒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F477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9F01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200</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5E8B2">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样本裂解与核酸结合同步进行，无需中途加液，自动化一步法即可完成核酸提取。</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核酸得率较高，可从200μL样本中直接提取4μg及以上的高质量基因组DNA。</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产物A260/280值大于1.75，可满足多种下游应用，包括PCR、qPCR、酶切、杂交等。</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该试剂不含酚、氯仿等有毒溶剂，安全系数更高。样本用量：200μL；</w:t>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br w:type="textWrapping"/>
            </w: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DNA得率：≥4μg，一般得率在5μg以上；DNA纯度：A260/280≥1.75，A260/230≥1.70；保存条件：4℃~30℃避光保存，有效期12个月，开封后应在3小时内完成操作；运输条件：2~35℃运输，运输时间不超过7天。</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A86D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分两次发货上半年和下半年，试剂性能验证合格证书。</w:t>
            </w:r>
          </w:p>
        </w:tc>
      </w:tr>
      <w:tr w14:paraId="1A10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1A6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7</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F971CF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多功能病原体通用核酸提取试剂</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43578">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20人份/盒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7C95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3171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10</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5D810">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适合 血液 组织 细胞粪便样本提取。 从样本中提取细菌、病毒、寄生虫的基因组核酸DNA和RNA。样本核酸提取纯度高，批间差异小，最大限度的去除蛋白质等杂质。提取所得的高质量核酸可用于PCR、RT-PCR、基因测序等系列实验。（预封装）</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2E9F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试剂性能验证合格证书</w:t>
            </w:r>
          </w:p>
        </w:tc>
      </w:tr>
      <w:tr w14:paraId="1CFC3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79A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8</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F04E7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实时荧光PCR核酸检测试剂三种不同品牌</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16919">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50人份/盒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2441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7E46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1F1CF">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新型冠状病毒2019-nCoV核酸检测试剂盒（荧光PCR法）靶标  ORF1ab/N  最低检测限500拷贝/ml  磁珠法 无需进行配液无需分装加入核酸可上机。适用的样本类型包括：血液、细胞、组织、FFPE组织、粪便等。</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FE0D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试剂性能验证合格证书</w:t>
            </w:r>
          </w:p>
        </w:tc>
      </w:tr>
      <w:tr w14:paraId="0D2F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EB4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9</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CD560C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实时荧光PCR核酸检测试剂三种不同品牌</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CBB30">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50人份/盒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7580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66B0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3149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新型冠状病毒2019-nCoV核酸检测试剂盒（荧光PCR法）靶标  ORF1ab/N  最低检测限500拷贝/ml  磁珠法 无需进行配液无需分装加入核酸可上机。适用的样本类型包括：血液、细胞、组织、FFPE组织、粪便等。</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55DF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分两次发货上半年和下半年，适合扩增使用。试剂性能验证合格证书</w:t>
            </w:r>
          </w:p>
        </w:tc>
      </w:tr>
      <w:tr w14:paraId="37DC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A3E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10</w:t>
            </w:r>
          </w:p>
        </w:tc>
        <w:tc>
          <w:tcPr>
            <w:tcW w:w="169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A2CD3F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实时荧光PCR核酸检测试剂三种不同品牌</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4CBD2">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50人份/盒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179C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6D33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150</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5DAFF">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新型冠状病毒2019-nCoV核酸检测试剂盒（荧光PCR法）靶标  ORF1ab/N  最低检测限200拷贝/ml  磁珠法 无需进行配液直接分装加入核酸可上机。适用的样本类型包括：血液、细胞、组织、FFPE组织、粪便等。</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1408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分两次发货上半年和下半年。适合扩增使用。试剂性能验证合格证书</w:t>
            </w:r>
          </w:p>
        </w:tc>
      </w:tr>
      <w:tr w14:paraId="4CFB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B6C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CFDD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高精度PH试纸</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2386C">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高精度PH试纸</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AE7C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B877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4AF58">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pH0-14：精度为显色反应间隔1，共15档。200条/盒  11*100mm</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A36B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r w14:paraId="0A335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DFD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8F15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擦镜纸</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FE66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Alcohol wipes, 70% isopropyl，微生物实验室专用。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2213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9354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5</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9969F">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质地松软，不会损伤镜头或光学仪器表面；不含硅及其它化学添加剂；高吸收率，可确保镜头表面水分和油脂的彻底去除；厚度范围0.035-0.040 mm；韧性好，无纤维脱落，对镜头表面无二次污染。</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DF3E3">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-38100</wp:posOffset>
                  </wp:positionH>
                  <wp:positionV relativeFrom="paragraph">
                    <wp:posOffset>-4445</wp:posOffset>
                  </wp:positionV>
                  <wp:extent cx="784225" cy="565150"/>
                  <wp:effectExtent l="0" t="0" r="15875" b="6350"/>
                  <wp:wrapNone/>
                  <wp:docPr id="37" name="图片_2"/>
                  <wp:cNvGraphicFramePr/>
                  <a:graphic xmlns:a="http://schemas.openxmlformats.org/drawingml/2006/main">
                    <a:graphicData uri="http://schemas.openxmlformats.org/drawingml/2006/picture">
                      <pic:pic xmlns:pic="http://schemas.openxmlformats.org/drawingml/2006/picture">
                        <pic:nvPicPr>
                          <pic:cNvPr id="37" name="图片_2"/>
                          <pic:cNvPicPr/>
                        </pic:nvPicPr>
                        <pic:blipFill>
                          <a:blip r:embed="rId20"/>
                          <a:stretch>
                            <a:fillRect/>
                          </a:stretch>
                        </pic:blipFill>
                        <pic:spPr>
                          <a:xfrm>
                            <a:off x="0" y="0"/>
                            <a:ext cx="784225" cy="565150"/>
                          </a:xfrm>
                          <a:prstGeom prst="rect">
                            <a:avLst/>
                          </a:prstGeom>
                          <a:noFill/>
                          <a:ln>
                            <a:noFill/>
                          </a:ln>
                        </pic:spPr>
                      </pic:pic>
                    </a:graphicData>
                  </a:graphic>
                </wp:anchor>
              </w:drawing>
            </w:r>
          </w:p>
        </w:tc>
      </w:tr>
      <w:tr w14:paraId="0BEC7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D1B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13</w:t>
            </w:r>
          </w:p>
        </w:tc>
        <w:tc>
          <w:tcPr>
            <w:tcW w:w="1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D12B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Tris-HCL</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4615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 M Tris-HCl, pH 7.0，分子生物实验室使用，分析醇。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A346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E242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45928">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缓冲范围在7.5-8.5，是一种中性缓冲剂，但是它本身是含弱碱性的。常用于分子生物学、细胞生物学等各种生化实验中。1.水溶性好，在水中溶解度高，液体澄清；2.纯度高，可达到99%，使用起来性能稳定；3.不与部分金属离子发生沉淀（例如钙、镁）；4.Tris-hcl缓冲剂的离子强度低；5.与传统的磷酸盐缓冲剂相比Tris-hcl在酶类测定中使用效果更佳。1.Tris-HCL广泛用于蛋白质、核酸、细胞培养缓冲剂；2.可用于蛋白晶体生长缓冲剂；3.在电泳缓冲液中与甘氨酸合并构成缓冲体系，用于稳定电泳过程中的PH值；4.由于离子强度低，可用于线虫核纤层蛋白的中间纤维形成；5.用于滴定标准物；6.用于表面活性剂的制备。</w:t>
            </w:r>
          </w:p>
        </w:tc>
        <w:tc>
          <w:tcPr>
            <w:tcW w:w="2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4081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提供蛋白质变形物质2瓶</w:t>
            </w:r>
          </w:p>
        </w:tc>
      </w:tr>
      <w:tr w14:paraId="4381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CD4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14</w:t>
            </w:r>
          </w:p>
        </w:tc>
        <w:tc>
          <w:tcPr>
            <w:tcW w:w="1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2680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吐温20</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DD92C">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分析醇100ml，分子生物实验室使用，分析醇。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2EA2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BB61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1</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6BE2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Tween-20为黄色或琥珀色澄明的油状液体，具有特殊的臭气和微弱苦味。</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ECABA">
            <w:pPr>
              <w:keepNext w:val="0"/>
              <w:keepLines w:val="0"/>
              <w:suppressLineNumbers w:val="0"/>
              <w:spacing w:before="0" w:beforeAutospacing="0" w:after="0" w:afterAutospacing="0"/>
              <w:ind w:left="0" w:right="0"/>
              <w:jc w:val="left"/>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r w14:paraId="62C41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551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6B9E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Ampure纯化磁珠</w:t>
            </w:r>
          </w:p>
        </w:tc>
        <w:tc>
          <w:tcPr>
            <w:tcW w:w="1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7BAD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Agencourt AMPure XP 5 ml kit或30/盒，分子生物实验室使用基因测序。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580F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A1AF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2</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55D17">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r>
              <w:rPr>
                <w:rFonts w:hint="default" w:ascii="方正仿宋_GB2312" w:hAnsi="方正仿宋_GB2312" w:eastAsia="方正仿宋_GB2312" w:cs="方正仿宋_GB2312"/>
                <w:i w:val="0"/>
                <w:iCs w:val="0"/>
                <w:color w:val="000000" w:themeColor="text1"/>
                <w:kern w:val="0"/>
                <w:sz w:val="18"/>
                <w:szCs w:val="18"/>
                <w:u w:val="none"/>
                <w:lang w:val="en-US" w:eastAsia="zh-CN" w:bidi="ar"/>
                <w14:textFill>
                  <w14:solidFill>
                    <w14:schemeClr w14:val="tx1"/>
                  </w14:solidFill>
                </w14:textFill>
              </w:rPr>
              <w:t>磁珠是高通量测序过程必备产品，通过磁颗粒活性基团在一定条件下可与核酸结合和解离的原理，将样本中目的片段分离。可实现对核酸样本的高通量自动化操作，广泛应用于基因测序以及分子诊断领域。带负电磷酸基团借由解离的盐离子（如Na+）与羧基形成离子桥，使DNA被特异性吸附到羧基磁珠表面。利用磁珠的磁性，可通过外加磁场进行收集洗脱。</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56A1E">
            <w:pPr>
              <w:keepNext w:val="0"/>
              <w:keepLines w:val="0"/>
              <w:suppressLineNumbers w:val="0"/>
              <w:spacing w:before="0" w:beforeAutospacing="0" w:after="0" w:afterAutospacing="0"/>
              <w:ind w:left="0" w:right="0"/>
              <w:jc w:val="left"/>
              <w:rPr>
                <w:rFonts w:hint="default" w:ascii="方正仿宋_GB2312" w:hAnsi="方正仿宋_GB2312" w:eastAsia="方正仿宋_GB2312" w:cs="方正仿宋_GB2312"/>
                <w:i w:val="0"/>
                <w:iCs w:val="0"/>
                <w:color w:val="000000" w:themeColor="text1"/>
                <w:sz w:val="18"/>
                <w:szCs w:val="18"/>
                <w:u w:val="none"/>
                <w14:textFill>
                  <w14:solidFill>
                    <w14:schemeClr w14:val="tx1"/>
                  </w14:solidFill>
                </w14:textFill>
              </w:rPr>
            </w:pPr>
          </w:p>
        </w:tc>
      </w:tr>
    </w:tbl>
    <w:p w14:paraId="43330374">
      <w:pPr>
        <w:pStyle w:val="38"/>
        <w:ind w:left="0" w:leftChars="0" w:firstLine="0" w:firstLineChars="0"/>
        <w:rPr>
          <w:rFonts w:hint="eastAsia" w:ascii="仿宋" w:hAnsi="仿宋" w:eastAsia="仿宋" w:cs="仿宋"/>
          <w:color w:val="000000" w:themeColor="text1"/>
          <w:szCs w:val="24"/>
          <w:highlight w:val="none"/>
          <w:lang w:val="en-US" w:eastAsia="zh-CN"/>
          <w14:textFill>
            <w14:solidFill>
              <w14:schemeClr w14:val="tx1"/>
            </w14:solidFill>
          </w14:textFill>
        </w:rPr>
      </w:pPr>
    </w:p>
    <w:p w14:paraId="310F09EB">
      <w:pPr>
        <w:rPr>
          <w:rFonts w:hint="eastAsia" w:ascii="仿宋" w:hAnsi="仿宋" w:eastAsia="仿宋" w:cs="仿宋"/>
          <w:color w:val="000000" w:themeColor="text1"/>
          <w:szCs w:val="24"/>
          <w:highlight w:val="none"/>
          <w:lang w:val="en-US" w:eastAsia="zh-CN"/>
          <w14:textFill>
            <w14:solidFill>
              <w14:schemeClr w14:val="tx1"/>
            </w14:solidFill>
          </w14:textFill>
        </w:rPr>
      </w:pPr>
    </w:p>
    <w:p w14:paraId="548406D1">
      <w:pPr>
        <w:rPr>
          <w:rFonts w:hint="eastAsia" w:ascii="仿宋" w:hAnsi="仿宋" w:eastAsia="仿宋" w:cs="仿宋"/>
          <w:color w:val="000000" w:themeColor="text1"/>
          <w:szCs w:val="24"/>
          <w:highlight w:val="none"/>
          <w:lang w:val="en-US" w:eastAsia="zh-CN"/>
          <w14:textFill>
            <w14:solidFill>
              <w14:schemeClr w14:val="tx1"/>
            </w14:solidFill>
          </w14:textFill>
        </w:rPr>
      </w:pPr>
    </w:p>
    <w:p w14:paraId="1B863CA4">
      <w:pPr>
        <w:pStyle w:val="38"/>
        <w:rPr>
          <w:rFonts w:hint="eastAsia" w:ascii="仿宋" w:hAnsi="仿宋" w:eastAsia="仿宋" w:cs="仿宋"/>
          <w:b/>
          <w:bCs/>
          <w:color w:val="000000" w:themeColor="text1"/>
          <w:szCs w:val="24"/>
          <w:highlight w:val="none"/>
          <w:lang w:val="en-US" w:eastAsia="zh-CN"/>
          <w14:textFill>
            <w14:solidFill>
              <w14:schemeClr w14:val="tx1"/>
            </w14:solidFill>
          </w14:textFill>
        </w:rPr>
        <w:sectPr>
          <w:headerReference r:id="rId12" w:type="default"/>
          <w:footerReference r:id="rId13" w:type="default"/>
          <w:pgSz w:w="16838" w:h="11905" w:orient="landscape"/>
          <w:pgMar w:top="1440" w:right="1080" w:bottom="1440" w:left="1080" w:header="850" w:footer="992" w:gutter="0"/>
          <w:pgNumType w:fmt="decimal"/>
          <w:cols w:space="720" w:num="1"/>
          <w:rtlGutter w:val="0"/>
          <w:docGrid w:type="linesAndChars" w:linePitch="332" w:charSpace="1057"/>
        </w:sectPr>
      </w:pPr>
    </w:p>
    <w:p w14:paraId="0D972B05">
      <w:pPr>
        <w:pStyle w:val="38"/>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eastAsia" w:ascii="仿宋" w:hAnsi="仿宋" w:eastAsia="仿宋" w:cs="仿宋"/>
          <w:b/>
          <w:bCs/>
          <w:color w:val="000000" w:themeColor="text1"/>
          <w:szCs w:val="24"/>
          <w:highlight w:val="none"/>
          <w:lang w:val="en-US" w:eastAsia="zh-CN"/>
          <w14:textFill>
            <w14:solidFill>
              <w14:schemeClr w14:val="tx1"/>
            </w14:solidFill>
          </w14:textFill>
        </w:rPr>
        <w:t>附件三：</w:t>
      </w:r>
    </w:p>
    <w:tbl>
      <w:tblPr>
        <w:tblStyle w:val="50"/>
        <w:tblW w:w="1472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1"/>
        <w:gridCol w:w="1827"/>
        <w:gridCol w:w="886"/>
        <w:gridCol w:w="800"/>
        <w:gridCol w:w="762"/>
        <w:gridCol w:w="8100"/>
        <w:gridCol w:w="1564"/>
      </w:tblGrid>
      <w:tr w14:paraId="3558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14720" w:type="dxa"/>
            <w:gridSpan w:val="7"/>
            <w:shd w:val="clear" w:color="auto" w:fill="auto"/>
            <w:vAlign w:val="center"/>
          </w:tcPr>
          <w:p w14:paraId="3B7FBD8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24"/>
                <w:szCs w:val="24"/>
                <w:u w:val="none"/>
                <w14:textFill>
                  <w14:solidFill>
                    <w14:schemeClr w14:val="tx1"/>
                  </w14:solidFill>
                </w14:textFill>
              </w:rPr>
            </w:pPr>
            <w:r>
              <w:rPr>
                <w:rFonts w:hint="default" w:ascii="等线" w:hAnsi="等线" w:eastAsia="等线" w:cs="等线"/>
                <w:i w:val="0"/>
                <w:iCs w:val="0"/>
                <w:color w:val="000000" w:themeColor="text1"/>
                <w:kern w:val="0"/>
                <w:sz w:val="24"/>
                <w:szCs w:val="24"/>
                <w:u w:val="none"/>
                <w:lang w:val="en-US" w:eastAsia="zh-CN" w:bidi="ar"/>
                <w14:textFill>
                  <w14:solidFill>
                    <w14:schemeClr w14:val="tx1"/>
                  </w14:solidFill>
                </w14:textFill>
              </w:rPr>
              <w:t xml:space="preserve">                  2025年新冠污水检测试剂耗材需求表</w:t>
            </w:r>
          </w:p>
        </w:tc>
      </w:tr>
      <w:tr w14:paraId="0300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76D3358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序号</w:t>
            </w:r>
          </w:p>
        </w:tc>
        <w:tc>
          <w:tcPr>
            <w:tcW w:w="1827" w:type="dxa"/>
            <w:shd w:val="clear" w:color="auto" w:fill="auto"/>
            <w:vAlign w:val="center"/>
          </w:tcPr>
          <w:p w14:paraId="4A67951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试剂/耗材名称</w:t>
            </w:r>
          </w:p>
        </w:tc>
        <w:tc>
          <w:tcPr>
            <w:tcW w:w="886" w:type="dxa"/>
            <w:shd w:val="clear" w:color="auto" w:fill="auto"/>
            <w:vAlign w:val="center"/>
          </w:tcPr>
          <w:p w14:paraId="263172E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规格</w:t>
            </w:r>
          </w:p>
        </w:tc>
        <w:tc>
          <w:tcPr>
            <w:tcW w:w="800" w:type="dxa"/>
            <w:shd w:val="clear" w:color="auto" w:fill="auto"/>
            <w:vAlign w:val="center"/>
          </w:tcPr>
          <w:p w14:paraId="354D0ED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数量</w:t>
            </w:r>
          </w:p>
        </w:tc>
        <w:tc>
          <w:tcPr>
            <w:tcW w:w="762" w:type="dxa"/>
            <w:shd w:val="clear" w:color="auto" w:fill="auto"/>
            <w:vAlign w:val="center"/>
          </w:tcPr>
          <w:p w14:paraId="471950D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单位</w:t>
            </w:r>
          </w:p>
        </w:tc>
        <w:tc>
          <w:tcPr>
            <w:tcW w:w="8100" w:type="dxa"/>
            <w:shd w:val="clear" w:color="auto" w:fill="auto"/>
            <w:vAlign w:val="center"/>
          </w:tcPr>
          <w:p w14:paraId="78873EB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技术参数</w:t>
            </w:r>
          </w:p>
        </w:tc>
        <w:tc>
          <w:tcPr>
            <w:tcW w:w="1564" w:type="dxa"/>
            <w:shd w:val="clear" w:color="auto" w:fill="auto"/>
            <w:vAlign w:val="center"/>
          </w:tcPr>
          <w:p w14:paraId="0B0A7A7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8"/>
                <w:szCs w:val="18"/>
                <w:u w:val="none"/>
                <w14:textFill>
                  <w14:solidFill>
                    <w14:schemeClr w14:val="tx1"/>
                  </w14:solidFill>
                </w14:textFill>
              </w:rPr>
            </w:pPr>
            <w:r>
              <w:rPr>
                <w:rFonts w:hint="default" w:ascii="等线" w:hAnsi="等线" w:eastAsia="等线" w:cs="等线"/>
                <w:i w:val="0"/>
                <w:iCs w:val="0"/>
                <w:color w:val="000000" w:themeColor="text1"/>
                <w:kern w:val="0"/>
                <w:sz w:val="18"/>
                <w:szCs w:val="18"/>
                <w:u w:val="none"/>
                <w:lang w:val="en-US" w:eastAsia="zh-CN" w:bidi="ar"/>
                <w14:textFill>
                  <w14:solidFill>
                    <w14:schemeClr w14:val="tx1"/>
                  </w14:solidFill>
                </w14:textFill>
              </w:rPr>
              <w:t>备注</w:t>
            </w:r>
          </w:p>
        </w:tc>
      </w:tr>
      <w:tr w14:paraId="3C3D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1" w:type="dxa"/>
            <w:shd w:val="clear" w:color="auto" w:fill="auto"/>
            <w:vAlign w:val="center"/>
          </w:tcPr>
          <w:p w14:paraId="17B8BCB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w:t>
            </w:r>
          </w:p>
        </w:tc>
        <w:tc>
          <w:tcPr>
            <w:tcW w:w="1827" w:type="dxa"/>
            <w:shd w:val="clear" w:color="auto" w:fill="auto"/>
            <w:vAlign w:val="center"/>
          </w:tcPr>
          <w:p w14:paraId="0E61EDF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污水新冠病毒核酸扩增试剂盒</w:t>
            </w:r>
          </w:p>
        </w:tc>
        <w:tc>
          <w:tcPr>
            <w:tcW w:w="886" w:type="dxa"/>
            <w:shd w:val="clear" w:color="auto" w:fill="auto"/>
            <w:vAlign w:val="center"/>
          </w:tcPr>
          <w:p w14:paraId="507939C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100人份</w:t>
            </w:r>
          </w:p>
        </w:tc>
        <w:tc>
          <w:tcPr>
            <w:tcW w:w="800" w:type="dxa"/>
            <w:shd w:val="clear" w:color="auto" w:fill="auto"/>
            <w:vAlign w:val="center"/>
          </w:tcPr>
          <w:p w14:paraId="7D27F3F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2000</w:t>
            </w:r>
          </w:p>
        </w:tc>
        <w:tc>
          <w:tcPr>
            <w:tcW w:w="762" w:type="dxa"/>
            <w:shd w:val="clear" w:color="auto" w:fill="auto"/>
            <w:vAlign w:val="center"/>
          </w:tcPr>
          <w:p w14:paraId="46AAE4E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人份</w:t>
            </w:r>
          </w:p>
        </w:tc>
        <w:tc>
          <w:tcPr>
            <w:tcW w:w="8100" w:type="dxa"/>
            <w:shd w:val="clear" w:color="auto" w:fill="auto"/>
            <w:vAlign w:val="center"/>
          </w:tcPr>
          <w:p w14:paraId="27EED5AD">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1.产品名称：新型冠状病毒2019-nCoV核酸检测试剂盒（荧光PCR法）</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2.检测基因：ORF1ab基因、N基因。</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3.检测方法：实时荧光定量PCR法。</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4.NMPA证书：国家药品监督管理局医疗器械注册证（国械注准 20203400212）。</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5.*上机反应时间：60分钟以内。</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6.荧光通道：3个荧光通道（FAM、VIC/HEX、ROX），可在一个管子中同时检测ORF1ab基因、N基因和内标基因（RNaseP），无需分成多管。</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7.*检测操作：预混反应试剂可直接分装，无需混合步骤；反应液预分装，无需配液分装过程，可直接加样。</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8.*灵敏度（LoD）：200 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9.*重复性：中检院检测国家精密性参考品Ct值的CV≤0.7%。</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10.*质量控制：含有阴阳性质控品和人源性内标，监测样本的采集、核酸提取、PCR扩增等过程中出现的假阴性。采用UNG酶-dUTP反应体系，防止气溶胶污染导致的假阳性。</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11.*适用机型：开放型平台，适用于市面上大部分全自动荧光PCR检测仪。如：ABI 7500实时荧光定量PCR仪、LightCycler 480实时荧光定量PCR仪、Gentier 96全自动医用PCR分析系统、QPT1000实时荧光PCR分析仪和SLAN-96全自动医用PCR分析系统等。</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12.有效期：10个月，到货后质保期不少于8个月。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13.*运输条件：低温（-15℃以下）运输，具备冷链运输。</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14.储存条件：避光储存于-20±5℃。</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15.包装规格：大包装：25人份/盒、50人份/盒、100人份/盒、200人份/盒、960人份/盒。</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16.*单管单人份包装：25人份/盒、50人份/盒、96人份/盒、100人份/盒、192人份/盒、384人份/盒、960人份/盒。</w:t>
            </w:r>
          </w:p>
        </w:tc>
        <w:tc>
          <w:tcPr>
            <w:tcW w:w="1564" w:type="dxa"/>
            <w:shd w:val="clear" w:color="auto" w:fill="auto"/>
            <w:vAlign w:val="center"/>
          </w:tcPr>
          <w:p w14:paraId="6076E78A">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1557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344229A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1827" w:type="dxa"/>
            <w:shd w:val="clear" w:color="auto" w:fill="auto"/>
            <w:vAlign w:val="center"/>
          </w:tcPr>
          <w:p w14:paraId="77E317F9">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新冠病毒检测标准品GBW(E)091090                  O基因、N基因、E基因全长</w:t>
            </w:r>
          </w:p>
        </w:tc>
        <w:tc>
          <w:tcPr>
            <w:tcW w:w="886" w:type="dxa"/>
            <w:shd w:val="clear" w:color="auto" w:fill="auto"/>
            <w:vAlign w:val="center"/>
          </w:tcPr>
          <w:p w14:paraId="776CDB49">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标准物质原溶液浓度为 2.6×10</w:t>
            </w:r>
            <w:r>
              <w:rPr>
                <w:rFonts w:hint="default" w:ascii="等线" w:hAnsi="等线" w:eastAsia="等线" w:cs="等线"/>
                <w:i w:val="0"/>
                <w:iCs w:val="0"/>
                <w:color w:val="000000" w:themeColor="text1"/>
                <w:kern w:val="0"/>
                <w:sz w:val="16"/>
                <w:szCs w:val="16"/>
                <w:u w:val="none"/>
                <w:vertAlign w:val="superscript"/>
                <w:lang w:val="en-US" w:eastAsia="zh-CN" w:bidi="ar"/>
                <w14:textFill>
                  <w14:solidFill>
                    <w14:schemeClr w14:val="tx1"/>
                  </w14:solidFill>
                </w14:textFill>
              </w:rPr>
              <w:t>7</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 copies/mL；5支/盒  </w:t>
            </w:r>
          </w:p>
        </w:tc>
        <w:tc>
          <w:tcPr>
            <w:tcW w:w="800" w:type="dxa"/>
            <w:shd w:val="clear" w:color="auto" w:fill="auto"/>
            <w:vAlign w:val="center"/>
          </w:tcPr>
          <w:p w14:paraId="52DC56F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762" w:type="dxa"/>
            <w:shd w:val="clear" w:color="auto" w:fill="auto"/>
            <w:vAlign w:val="center"/>
          </w:tcPr>
          <w:p w14:paraId="5A34F51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100" w:type="dxa"/>
            <w:shd w:val="clear" w:color="auto" w:fill="auto"/>
            <w:vAlign w:val="center"/>
          </w:tcPr>
          <w:p w14:paraId="67459AA6">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规格‌：50μL/支，采用干冰运输。</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‌保存条件‌：需置于-70℃冰箱中保存。</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‌浓度特性‌：ORF1ab（O因）：拷贝数浓度(6.4±0.8)×10² copies/μL。N基因：拷贝数浓度为 (6.4±0.8)×10² copies/μL。E基因：拷贝数浓度为 (6.3±0.7)×10² copies/μL。</w:t>
            </w:r>
          </w:p>
        </w:tc>
        <w:tc>
          <w:tcPr>
            <w:tcW w:w="1564" w:type="dxa"/>
            <w:shd w:val="clear" w:color="auto" w:fill="auto"/>
            <w:vAlign w:val="center"/>
          </w:tcPr>
          <w:p w14:paraId="56AEF132">
            <w:pPr>
              <w:keepNext w:val="0"/>
              <w:keepLines w:val="0"/>
              <w:widowControl/>
              <w:suppressLineNumbers w:val="0"/>
              <w:spacing w:before="0" w:beforeAutospacing="0" w:after="0" w:afterAutospacing="0"/>
              <w:ind w:left="0" w:right="0"/>
              <w:jc w:val="both"/>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bdr w:val="single" w:color="000000" w:sz="4" w:space="0"/>
                <w:lang w:val="en-US" w:eastAsia="zh-CN" w:bidi="ar"/>
                <w14:textFill>
                  <w14:solidFill>
                    <w14:schemeClr w14:val="tx1"/>
                  </w14:solidFill>
                </w14:textFill>
              </w:rPr>
              <w:drawing>
                <wp:inline distT="0" distB="0" distL="114300" distR="114300">
                  <wp:extent cx="911225" cy="236855"/>
                  <wp:effectExtent l="0" t="0" r="3175" b="10795"/>
                  <wp:docPr id="39" name="图片_4"/>
                  <wp:cNvGraphicFramePr/>
                  <a:graphic xmlns:a="http://schemas.openxmlformats.org/drawingml/2006/main">
                    <a:graphicData uri="http://schemas.openxmlformats.org/drawingml/2006/picture">
                      <pic:pic xmlns:pic="http://schemas.openxmlformats.org/drawingml/2006/picture">
                        <pic:nvPicPr>
                          <pic:cNvPr id="39" name="图片_4"/>
                          <pic:cNvPicPr/>
                        </pic:nvPicPr>
                        <pic:blipFill>
                          <a:blip r:embed="rId21"/>
                          <a:stretch>
                            <a:fillRect/>
                          </a:stretch>
                        </pic:blipFill>
                        <pic:spPr>
                          <a:xfrm>
                            <a:off x="0" y="0"/>
                            <a:ext cx="911225" cy="236855"/>
                          </a:xfrm>
                          <a:prstGeom prst="rect">
                            <a:avLst/>
                          </a:prstGeom>
                          <a:noFill/>
                          <a:ln>
                            <a:noFill/>
                          </a:ln>
                        </pic:spPr>
                      </pic:pic>
                    </a:graphicData>
                  </a:graphic>
                </wp:inline>
              </w:drawing>
            </w:r>
          </w:p>
        </w:tc>
      </w:tr>
      <w:tr w14:paraId="63D2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3C1059D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w:t>
            </w:r>
          </w:p>
        </w:tc>
        <w:tc>
          <w:tcPr>
            <w:tcW w:w="1827" w:type="dxa"/>
            <w:shd w:val="clear" w:color="auto" w:fill="auto"/>
            <w:vAlign w:val="center"/>
          </w:tcPr>
          <w:p w14:paraId="4E92CEA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新冠病毒检测质控品</w:t>
            </w:r>
          </w:p>
        </w:tc>
        <w:tc>
          <w:tcPr>
            <w:tcW w:w="886" w:type="dxa"/>
            <w:shd w:val="clear" w:color="auto" w:fill="auto"/>
            <w:vAlign w:val="center"/>
          </w:tcPr>
          <w:p w14:paraId="164E951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全基因组，0.5mL/管，1</w:t>
            </w:r>
            <w:r>
              <w:rPr>
                <w:rStyle w:val="195"/>
                <w:rFonts w:hint="default" w:eastAsia="等线"/>
                <w:color w:val="000000" w:themeColor="text1"/>
                <w:lang w:val="en-US" w:eastAsia="zh-CN" w:bidi="ar"/>
                <w14:textFill>
                  <w14:solidFill>
                    <w14:schemeClr w14:val="tx1"/>
                  </w14:solidFill>
                </w14:textFill>
              </w:rPr>
              <w:t>×</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w:t>
            </w:r>
            <w:r>
              <w:rPr>
                <w:rFonts w:hint="default" w:ascii="等线" w:hAnsi="等线" w:eastAsia="等线" w:cs="等线"/>
                <w:i w:val="0"/>
                <w:iCs w:val="0"/>
                <w:color w:val="000000" w:themeColor="text1"/>
                <w:kern w:val="0"/>
                <w:sz w:val="16"/>
                <w:szCs w:val="16"/>
                <w:u w:val="none"/>
                <w:vertAlign w:val="superscript"/>
                <w:lang w:val="en-US" w:eastAsia="zh-CN" w:bidi="ar"/>
                <w14:textFill>
                  <w14:solidFill>
                    <w14:schemeClr w14:val="tx1"/>
                  </w14:solidFill>
                </w14:textFill>
              </w:rPr>
              <w:t>6</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copies/ml。</w:t>
            </w:r>
          </w:p>
        </w:tc>
        <w:tc>
          <w:tcPr>
            <w:tcW w:w="800" w:type="dxa"/>
            <w:shd w:val="clear" w:color="auto" w:fill="auto"/>
            <w:vAlign w:val="center"/>
          </w:tcPr>
          <w:p w14:paraId="2D8C145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w:t>
            </w:r>
          </w:p>
        </w:tc>
        <w:tc>
          <w:tcPr>
            <w:tcW w:w="762" w:type="dxa"/>
            <w:shd w:val="clear" w:color="auto" w:fill="auto"/>
            <w:vAlign w:val="center"/>
          </w:tcPr>
          <w:p w14:paraId="404AE32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100" w:type="dxa"/>
            <w:shd w:val="clear" w:color="auto" w:fill="auto"/>
            <w:vAlign w:val="center"/>
          </w:tcPr>
          <w:p w14:paraId="6BF57AAA">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规格‌：0.5mL/管，多采用管装设计，适配实验室自动化操作。</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‌浓度‌：1×10⁶ copies/mL（可浮动至1×10⁵~1×10⁶ copies/mL区间）。</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‌保存条件‌：推荐-20℃以下长期保存，常温（20℃~37℃）稳定≥2周，4℃稳定≥4周。</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二、基因组参数</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‌基因覆盖‌：包含新冠病毒全基因组序列（如ORF1ab、N、E等基因），覆盖基因组关键功能区域，确保检测完整性。</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‌生物模拟‌：采用假病毒或体外转录RNA模拟病毒结构，无传染性，符合生物安全标准。</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三、性能参数</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‌均匀性‌：批次内均匀性CV≤5%，通过多试剂盒验证结果一致性。</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‌稳定性‌：-20℃保存有效期≥1年，冻干形态可延长至12个月。</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‌兼容性‌：适配荧光定量PCR、数字PCR等检测方法，支持核酸提取全流程质控（包括裂解、扩增等环节）。</w:t>
            </w:r>
          </w:p>
        </w:tc>
        <w:tc>
          <w:tcPr>
            <w:tcW w:w="1564" w:type="dxa"/>
            <w:shd w:val="clear" w:color="auto" w:fill="auto"/>
            <w:vAlign w:val="center"/>
          </w:tcPr>
          <w:p w14:paraId="60C36F9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bdr w:val="single" w:color="000000" w:sz="4" w:space="0"/>
                <w:lang w:val="en-US" w:eastAsia="zh-CN" w:bidi="ar"/>
                <w14:textFill>
                  <w14:solidFill>
                    <w14:schemeClr w14:val="tx1"/>
                  </w14:solidFill>
                </w14:textFill>
              </w:rPr>
              <w:drawing>
                <wp:inline distT="0" distB="0" distL="114300" distR="114300">
                  <wp:extent cx="394970" cy="904240"/>
                  <wp:effectExtent l="0" t="0" r="5080" b="10160"/>
                  <wp:docPr id="40" name="图片_3"/>
                  <wp:cNvGraphicFramePr/>
                  <a:graphic xmlns:a="http://schemas.openxmlformats.org/drawingml/2006/main">
                    <a:graphicData uri="http://schemas.openxmlformats.org/drawingml/2006/picture">
                      <pic:pic xmlns:pic="http://schemas.openxmlformats.org/drawingml/2006/picture">
                        <pic:nvPicPr>
                          <pic:cNvPr id="40" name="图片_3"/>
                          <pic:cNvPicPr/>
                        </pic:nvPicPr>
                        <pic:blipFill>
                          <a:blip r:embed="rId22"/>
                          <a:stretch>
                            <a:fillRect/>
                          </a:stretch>
                        </pic:blipFill>
                        <pic:spPr>
                          <a:xfrm>
                            <a:off x="0" y="0"/>
                            <a:ext cx="394970" cy="904240"/>
                          </a:xfrm>
                          <a:prstGeom prst="rect">
                            <a:avLst/>
                          </a:prstGeom>
                          <a:noFill/>
                          <a:ln>
                            <a:noFill/>
                          </a:ln>
                        </pic:spPr>
                      </pic:pic>
                    </a:graphicData>
                  </a:graphic>
                </wp:inline>
              </w:drawing>
            </w:r>
            <w:r>
              <w:rPr>
                <w:rFonts w:hint="default" w:ascii="等线" w:hAnsi="等线" w:eastAsia="等线" w:cs="等线"/>
                <w:i w:val="0"/>
                <w:iCs w:val="0"/>
                <w:color w:val="000000" w:themeColor="text1"/>
                <w:kern w:val="0"/>
                <w:sz w:val="16"/>
                <w:szCs w:val="16"/>
                <w:u w:val="none"/>
                <w:bdr w:val="single" w:color="000000" w:sz="4" w:space="0"/>
                <w:lang w:val="en-US" w:eastAsia="zh-CN" w:bidi="ar"/>
                <w14:textFill>
                  <w14:solidFill>
                    <w14:schemeClr w14:val="tx1"/>
                  </w14:solidFill>
                </w14:textFill>
              </w:rPr>
              <w:drawing>
                <wp:inline distT="0" distB="0" distL="114300" distR="114300">
                  <wp:extent cx="257810" cy="710565"/>
                  <wp:effectExtent l="0" t="0" r="8890" b="13335"/>
                  <wp:docPr id="42" name="图片_2"/>
                  <wp:cNvGraphicFramePr/>
                  <a:graphic xmlns:a="http://schemas.openxmlformats.org/drawingml/2006/main">
                    <a:graphicData uri="http://schemas.openxmlformats.org/drawingml/2006/picture">
                      <pic:pic xmlns:pic="http://schemas.openxmlformats.org/drawingml/2006/picture">
                        <pic:nvPicPr>
                          <pic:cNvPr id="42" name="图片_2"/>
                          <pic:cNvPicPr/>
                        </pic:nvPicPr>
                        <pic:blipFill>
                          <a:blip r:embed="rId23"/>
                          <a:stretch>
                            <a:fillRect/>
                          </a:stretch>
                        </pic:blipFill>
                        <pic:spPr>
                          <a:xfrm>
                            <a:off x="0" y="0"/>
                            <a:ext cx="257810" cy="710565"/>
                          </a:xfrm>
                          <a:prstGeom prst="rect">
                            <a:avLst/>
                          </a:prstGeom>
                          <a:noFill/>
                          <a:ln>
                            <a:noFill/>
                          </a:ln>
                        </pic:spPr>
                      </pic:pic>
                    </a:graphicData>
                  </a:graphic>
                </wp:inline>
              </w:drawing>
            </w:r>
            <w:r>
              <w:rPr>
                <w:rFonts w:hint="default" w:ascii="等线" w:hAnsi="等线" w:eastAsia="等线" w:cs="等线"/>
                <w:i w:val="0"/>
                <w:iCs w:val="0"/>
                <w:color w:val="000000" w:themeColor="text1"/>
                <w:kern w:val="0"/>
                <w:sz w:val="16"/>
                <w:szCs w:val="16"/>
                <w:u w:val="none"/>
                <w:bdr w:val="single" w:color="000000" w:sz="4" w:space="0"/>
                <w:lang w:val="en-US" w:eastAsia="zh-CN" w:bidi="ar"/>
                <w14:textFill>
                  <w14:solidFill>
                    <w14:schemeClr w14:val="tx1"/>
                  </w14:solidFill>
                </w14:textFill>
              </w:rPr>
              <w:drawing>
                <wp:inline distT="0" distB="0" distL="114300" distR="114300">
                  <wp:extent cx="878840" cy="525145"/>
                  <wp:effectExtent l="0" t="0" r="16510" b="8255"/>
                  <wp:docPr id="41" name="图片_1"/>
                  <wp:cNvGraphicFramePr/>
                  <a:graphic xmlns:a="http://schemas.openxmlformats.org/drawingml/2006/main">
                    <a:graphicData uri="http://schemas.openxmlformats.org/drawingml/2006/picture">
                      <pic:pic xmlns:pic="http://schemas.openxmlformats.org/drawingml/2006/picture">
                        <pic:nvPicPr>
                          <pic:cNvPr id="41" name="图片_1"/>
                          <pic:cNvPicPr/>
                        </pic:nvPicPr>
                        <pic:blipFill>
                          <a:blip r:embed="rId24"/>
                          <a:stretch>
                            <a:fillRect/>
                          </a:stretch>
                        </pic:blipFill>
                        <pic:spPr>
                          <a:xfrm>
                            <a:off x="0" y="0"/>
                            <a:ext cx="878840" cy="525145"/>
                          </a:xfrm>
                          <a:prstGeom prst="rect">
                            <a:avLst/>
                          </a:prstGeom>
                          <a:noFill/>
                          <a:ln>
                            <a:noFill/>
                          </a:ln>
                        </pic:spPr>
                      </pic:pic>
                    </a:graphicData>
                  </a:graphic>
                </wp:inline>
              </w:drawing>
            </w:r>
          </w:p>
        </w:tc>
      </w:tr>
      <w:tr w14:paraId="7DA7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74C0A09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4</w:t>
            </w:r>
          </w:p>
        </w:tc>
        <w:tc>
          <w:tcPr>
            <w:tcW w:w="1827" w:type="dxa"/>
            <w:shd w:val="clear" w:color="auto" w:fill="auto"/>
            <w:vAlign w:val="center"/>
          </w:tcPr>
          <w:p w14:paraId="32D1C02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新冠病毒检测弱阳性质控品</w:t>
            </w:r>
          </w:p>
        </w:tc>
        <w:tc>
          <w:tcPr>
            <w:tcW w:w="886" w:type="dxa"/>
            <w:shd w:val="clear" w:color="auto" w:fill="auto"/>
            <w:vAlign w:val="center"/>
          </w:tcPr>
          <w:p w14:paraId="5AF662B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1 000 copies/mL，20支/盒</w:t>
            </w:r>
          </w:p>
        </w:tc>
        <w:tc>
          <w:tcPr>
            <w:tcW w:w="800" w:type="dxa"/>
            <w:shd w:val="clear" w:color="auto" w:fill="auto"/>
            <w:vAlign w:val="center"/>
          </w:tcPr>
          <w:p w14:paraId="76413C2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100</w:t>
            </w:r>
          </w:p>
        </w:tc>
        <w:tc>
          <w:tcPr>
            <w:tcW w:w="762" w:type="dxa"/>
            <w:shd w:val="clear" w:color="auto" w:fill="auto"/>
            <w:vAlign w:val="center"/>
          </w:tcPr>
          <w:p w14:paraId="3613648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支</w:t>
            </w:r>
          </w:p>
        </w:tc>
        <w:tc>
          <w:tcPr>
            <w:tcW w:w="8100" w:type="dxa"/>
            <w:shd w:val="clear" w:color="auto" w:fill="auto"/>
            <w:vAlign w:val="top"/>
          </w:tcPr>
          <w:p w14:paraId="061692C0">
            <w:pPr>
              <w:keepNext w:val="0"/>
              <w:keepLines w:val="0"/>
              <w:widowControl/>
              <w:suppressLineNumbers w:val="0"/>
              <w:spacing w:before="0" w:beforeAutospacing="0" w:after="0" w:afterAutospacing="0"/>
              <w:ind w:left="0" w:right="0"/>
              <w:jc w:val="left"/>
              <w:textAlignment w:val="top"/>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‌适用检测类型‌：新冠病毒核酸弱阳性对照，适用于核酸检测试剂盒的室内质控及实验室质量验证。</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‌浓度范围‌：弱阳性样本浓度设置为检测限的1.5-3倍，符合国家联防联控机制对新冠检测质控品的规范要求。</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‌规格与包装‌：单包装含多规格质控品（具体容量未明确），支持实验室灵活选择。</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‌兼容性‌：适配多种检测方法（如荧光定量PCR）及主流试剂盒品牌，确保实验一致性。</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‌稳定性‌：-20℃保存条件下有效期≥1年，批次内均匀性CV≤5%，保障结果可靠性。</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‌安全性‌：采用灭活病毒或假病毒模拟样本，无传染性，符合实验室生物安全标准。</w:t>
            </w:r>
          </w:p>
        </w:tc>
        <w:tc>
          <w:tcPr>
            <w:tcW w:w="1564" w:type="dxa"/>
            <w:shd w:val="clear" w:color="auto" w:fill="auto"/>
            <w:vAlign w:val="center"/>
          </w:tcPr>
          <w:p w14:paraId="48C1BA7A">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6DB2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6E52C74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w:t>
            </w:r>
          </w:p>
        </w:tc>
        <w:tc>
          <w:tcPr>
            <w:tcW w:w="1827" w:type="dxa"/>
            <w:shd w:val="clear" w:color="auto" w:fill="auto"/>
            <w:vAlign w:val="center"/>
          </w:tcPr>
          <w:p w14:paraId="1B99C2E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 xml:space="preserve">聚乙二醇分析PEG8000 </w:t>
            </w:r>
          </w:p>
        </w:tc>
        <w:tc>
          <w:tcPr>
            <w:tcW w:w="886" w:type="dxa"/>
            <w:shd w:val="clear" w:color="auto" w:fill="auto"/>
            <w:vAlign w:val="center"/>
          </w:tcPr>
          <w:p w14:paraId="64A4A6D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分子生物学实验用500g/瓶</w:t>
            </w:r>
          </w:p>
        </w:tc>
        <w:tc>
          <w:tcPr>
            <w:tcW w:w="800" w:type="dxa"/>
            <w:shd w:val="clear" w:color="auto" w:fill="auto"/>
            <w:vAlign w:val="center"/>
          </w:tcPr>
          <w:p w14:paraId="7120E75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w:t>
            </w:r>
          </w:p>
        </w:tc>
        <w:tc>
          <w:tcPr>
            <w:tcW w:w="762" w:type="dxa"/>
            <w:shd w:val="clear" w:color="auto" w:fill="auto"/>
            <w:vAlign w:val="center"/>
          </w:tcPr>
          <w:p w14:paraId="004F9A9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瓶</w:t>
            </w:r>
          </w:p>
        </w:tc>
        <w:tc>
          <w:tcPr>
            <w:tcW w:w="8100" w:type="dxa"/>
            <w:shd w:val="clear" w:color="auto" w:fill="auto"/>
            <w:vAlign w:val="center"/>
          </w:tcPr>
          <w:p w14:paraId="2A2A295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聚乙二醇8000   RNase free, ≥50%  -20ºC保存，至少一年有效。-20°C储存 超低温冰袋运输</w:t>
            </w:r>
          </w:p>
        </w:tc>
        <w:tc>
          <w:tcPr>
            <w:tcW w:w="1564" w:type="dxa"/>
            <w:shd w:val="clear" w:color="auto" w:fill="auto"/>
            <w:vAlign w:val="center"/>
          </w:tcPr>
          <w:p w14:paraId="0A029732">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0DB4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658F9CB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w:t>
            </w:r>
          </w:p>
        </w:tc>
        <w:tc>
          <w:tcPr>
            <w:tcW w:w="1827" w:type="dxa"/>
            <w:shd w:val="clear" w:color="auto" w:fill="auto"/>
            <w:vAlign w:val="center"/>
          </w:tcPr>
          <w:p w14:paraId="38F845C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新冠提取</w:t>
            </w:r>
          </w:p>
        </w:tc>
        <w:tc>
          <w:tcPr>
            <w:tcW w:w="886" w:type="dxa"/>
            <w:shd w:val="clear" w:color="auto" w:fill="auto"/>
            <w:vAlign w:val="center"/>
          </w:tcPr>
          <w:p w14:paraId="7A05141D">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64份/盒</w:t>
            </w:r>
          </w:p>
        </w:tc>
        <w:tc>
          <w:tcPr>
            <w:tcW w:w="800" w:type="dxa"/>
            <w:shd w:val="clear" w:color="auto" w:fill="auto"/>
            <w:vAlign w:val="center"/>
          </w:tcPr>
          <w:p w14:paraId="5F12D9C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150</w:t>
            </w:r>
          </w:p>
        </w:tc>
        <w:tc>
          <w:tcPr>
            <w:tcW w:w="762" w:type="dxa"/>
            <w:shd w:val="clear" w:color="auto" w:fill="auto"/>
            <w:vAlign w:val="center"/>
          </w:tcPr>
          <w:p w14:paraId="41A055F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100" w:type="dxa"/>
            <w:shd w:val="clear" w:color="auto" w:fill="auto"/>
            <w:vAlign w:val="center"/>
          </w:tcPr>
          <w:p w14:paraId="0180A89C">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适合天隆GenenRotex96,NP968-C系列提取仪，用于核酸提取、富集、纯化等步骤。其处理后的产物用于临床体外检测使用。适用样本类型：拭子洗液等。规格型号：qEx-DNA/RNA病毒(plus）,64T/盒，</w:t>
            </w:r>
          </w:p>
        </w:tc>
        <w:tc>
          <w:tcPr>
            <w:tcW w:w="1564" w:type="dxa"/>
            <w:shd w:val="clear" w:color="auto" w:fill="auto"/>
            <w:vAlign w:val="center"/>
          </w:tcPr>
          <w:p w14:paraId="4BE255F9">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r w14:paraId="06E4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81" w:type="dxa"/>
            <w:shd w:val="clear" w:color="auto" w:fill="auto"/>
            <w:vAlign w:val="center"/>
          </w:tcPr>
          <w:p w14:paraId="1E5F5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827" w:type="dxa"/>
            <w:shd w:val="clear" w:color="auto" w:fill="auto"/>
            <w:vAlign w:val="center"/>
          </w:tcPr>
          <w:p w14:paraId="7749CCD8">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辣椒轻斑驳标准品</w:t>
            </w:r>
          </w:p>
        </w:tc>
        <w:tc>
          <w:tcPr>
            <w:tcW w:w="886" w:type="dxa"/>
            <w:shd w:val="clear" w:color="auto" w:fill="auto"/>
            <w:vAlign w:val="center"/>
          </w:tcPr>
          <w:p w14:paraId="24456F1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6支/盒</w:t>
            </w:r>
          </w:p>
        </w:tc>
        <w:tc>
          <w:tcPr>
            <w:tcW w:w="800" w:type="dxa"/>
            <w:shd w:val="clear" w:color="auto" w:fill="auto"/>
            <w:vAlign w:val="center"/>
          </w:tcPr>
          <w:p w14:paraId="0D2CE37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5</w:t>
            </w:r>
          </w:p>
        </w:tc>
        <w:tc>
          <w:tcPr>
            <w:tcW w:w="762" w:type="dxa"/>
            <w:shd w:val="clear" w:color="auto" w:fill="auto"/>
            <w:vAlign w:val="center"/>
          </w:tcPr>
          <w:p w14:paraId="6F6D63D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盒</w:t>
            </w:r>
          </w:p>
        </w:tc>
        <w:tc>
          <w:tcPr>
            <w:tcW w:w="8100" w:type="dxa"/>
            <w:shd w:val="clear" w:color="auto" w:fill="auto"/>
            <w:vAlign w:val="center"/>
          </w:tcPr>
          <w:p w14:paraId="6F404DF6">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themeColor="text1"/>
                <w:sz w:val="16"/>
                <w:szCs w:val="16"/>
                <w:u w:val="none"/>
                <w14:textFill>
                  <w14:solidFill>
                    <w14:schemeClr w14:val="tx1"/>
                  </w14:solidFill>
                </w14:textFill>
              </w:rPr>
            </w:pP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1.本标准品原料为核酸制品，已使用数字 PCR 方法进行定量标值，</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浓度为 5×10 8copies/mL。</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2.本标准品均匀、稳定，适用于定量检测污水中辣椒轻斑驳病毒</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（Pepper Mild Mottle Virus，PMMoV）浓度，并进行标 准曲线绘制 和富集浓缩过程回收率的计算。</w:t>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br w:type="textWrapping"/>
            </w:r>
            <w:r>
              <w:rPr>
                <w:rFonts w:hint="default" w:ascii="等线" w:hAnsi="等线" w:eastAsia="等线" w:cs="等线"/>
                <w:i w:val="0"/>
                <w:iCs w:val="0"/>
                <w:color w:val="000000" w:themeColor="text1"/>
                <w:kern w:val="0"/>
                <w:sz w:val="16"/>
                <w:szCs w:val="16"/>
                <w:u w:val="none"/>
                <w:lang w:val="en-US" w:eastAsia="zh-CN" w:bidi="ar"/>
                <w14:textFill>
                  <w14:solidFill>
                    <w14:schemeClr w14:val="tx1"/>
                  </w14:solidFill>
                </w14:textFill>
              </w:rPr>
              <w:t>3.包装：50 μL/管；核酸稀释液 500 μL×1 管</w:t>
            </w:r>
          </w:p>
        </w:tc>
        <w:tc>
          <w:tcPr>
            <w:tcW w:w="1564" w:type="dxa"/>
            <w:shd w:val="clear" w:color="auto" w:fill="auto"/>
            <w:vAlign w:val="center"/>
          </w:tcPr>
          <w:p w14:paraId="5079E914">
            <w:pPr>
              <w:keepNext w:val="0"/>
              <w:keepLines w:val="0"/>
              <w:suppressLineNumbers w:val="0"/>
              <w:spacing w:before="0" w:beforeAutospacing="0" w:after="0" w:afterAutospacing="0"/>
              <w:ind w:left="0" w:right="0"/>
              <w:jc w:val="center"/>
              <w:rPr>
                <w:rFonts w:hint="default" w:ascii="等线" w:hAnsi="等线" w:eastAsia="等线" w:cs="等线"/>
                <w:i w:val="0"/>
                <w:iCs w:val="0"/>
                <w:color w:val="000000" w:themeColor="text1"/>
                <w:sz w:val="16"/>
                <w:szCs w:val="16"/>
                <w:u w:val="none"/>
                <w14:textFill>
                  <w14:solidFill>
                    <w14:schemeClr w14:val="tx1"/>
                  </w14:solidFill>
                </w14:textFill>
              </w:rPr>
            </w:pPr>
          </w:p>
        </w:tc>
      </w:tr>
    </w:tbl>
    <w:p w14:paraId="432E1A2B">
      <w:pPr>
        <w:rPr>
          <w:rFonts w:hint="eastAsia"/>
          <w:color w:val="000000" w:themeColor="text1"/>
          <w:lang w:val="en-US" w:eastAsia="zh-CN"/>
          <w14:textFill>
            <w14:solidFill>
              <w14:schemeClr w14:val="tx1"/>
            </w14:solidFill>
          </w14:textFill>
        </w:rPr>
      </w:pPr>
    </w:p>
    <w:p w14:paraId="044A829A">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sectPr>
          <w:pgSz w:w="16838" w:h="11905" w:orient="landscape"/>
          <w:pgMar w:top="1440" w:right="1080" w:bottom="1440" w:left="1080" w:header="850" w:footer="992" w:gutter="0"/>
          <w:pgNumType w:fmt="decimal"/>
          <w:cols w:space="720" w:num="1"/>
          <w:rtlGutter w:val="0"/>
          <w:docGrid w:type="linesAndChars" w:linePitch="332" w:charSpace="1057"/>
        </w:sectPr>
      </w:pPr>
    </w:p>
    <w:p w14:paraId="4E8BFBCA">
      <w:pPr>
        <w:pStyle w:val="13"/>
        <w:overflowPunct w:val="0"/>
        <w:spacing w:line="440" w:lineRule="exact"/>
        <w:ind w:left="0" w:leftChars="0" w:firstLine="0" w:firstLineChars="0"/>
        <w:rPr>
          <w:rFonts w:hint="default" w:ascii="仿宋" w:hAnsi="仿宋" w:eastAsia="仿宋" w:cs="仿宋"/>
          <w:color w:val="000000" w:themeColor="text1"/>
          <w:szCs w:val="24"/>
          <w:highlight w:val="none"/>
          <w:lang w:val="en-US" w:eastAsia="zh-CN"/>
          <w14:textFill>
            <w14:solidFill>
              <w14:schemeClr w14:val="tx1"/>
            </w14:solidFill>
          </w14:textFill>
        </w:rPr>
      </w:pPr>
    </w:p>
    <w:p w14:paraId="35775C4A">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bookmarkStart w:id="153" w:name="_Toc16770"/>
      <w:bookmarkStart w:id="154" w:name="_Toc24938"/>
      <w:r>
        <w:rPr>
          <w:rFonts w:hint="eastAsia" w:ascii="仿宋" w:hAnsi="仿宋" w:eastAsia="仿宋" w:cs="仿宋"/>
          <w:color w:val="000000" w:themeColor="text1"/>
          <w:szCs w:val="24"/>
          <w:highlight w:val="none"/>
          <w:lang w:eastAsia="zh-CN"/>
          <w14:textFill>
            <w14:solidFill>
              <w14:schemeClr w14:val="tx1"/>
            </w14:solidFill>
          </w14:textFill>
        </w:rPr>
        <w:t>1.2运输和包装要求</w:t>
      </w:r>
    </w:p>
    <w:p w14:paraId="1A46F6B8">
      <w:pPr>
        <w:pStyle w:val="13"/>
        <w:numPr>
          <w:ilvl w:val="0"/>
          <w:numId w:val="10"/>
        </w:numPr>
        <w:overflowPunct w:val="0"/>
        <w:spacing w:line="440" w:lineRule="exact"/>
        <w:ind w:left="15" w:leftChars="0" w:firstLine="422" w:firstLineChars="197"/>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供方应提供货物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3170BB4B">
      <w:pPr>
        <w:pStyle w:val="13"/>
        <w:numPr>
          <w:ilvl w:val="0"/>
          <w:numId w:val="10"/>
        </w:numPr>
        <w:overflowPunct w:val="0"/>
        <w:spacing w:line="440" w:lineRule="exact"/>
        <w:ind w:left="15" w:leftChars="0" w:firstLine="422" w:firstLineChars="197"/>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根据投标人提供仓存现状仓存设备齐全，符合医用试剂、耗材冷冻冷藏要求（根据产品需要），温湿度监测实时报警系统，相关行业出入库管理系统，冷链仓储及运输管理应急方案，全过程温湿度记录、监测、实时打印，需提相关证明材料。</w:t>
      </w:r>
    </w:p>
    <w:p w14:paraId="21D8EF93">
      <w:pPr>
        <w:ind w:firstLine="430" w:firstLineChars="200"/>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（3）按采购人要求提供仓储冷链运输计划、温湿度监测记录供货承诺书。</w:t>
      </w:r>
    </w:p>
    <w:p w14:paraId="3480D707">
      <w:pPr>
        <w:pStyle w:val="13"/>
        <w:numPr>
          <w:ilvl w:val="0"/>
          <w:numId w:val="0"/>
        </w:numPr>
        <w:overflowPunct w:val="0"/>
        <w:spacing w:line="440" w:lineRule="exact"/>
        <w:ind w:leftChars="-90" w:firstLine="430" w:firstLineChars="2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1.3项目商务要求</w:t>
      </w:r>
      <w:bookmarkStart w:id="155" w:name="_Toc267320049"/>
      <w:bookmarkStart w:id="156" w:name="_Toc340225290"/>
    </w:p>
    <w:bookmarkEnd w:id="155"/>
    <w:bookmarkEnd w:id="156"/>
    <w:p w14:paraId="6AC85FE3">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（一）项目实施方案应包含以下内容:</w:t>
      </w:r>
    </w:p>
    <w:p w14:paraId="68F8344A">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1.实施进度(包含工作内容划分;工作进度目标及安排等);</w:t>
      </w:r>
    </w:p>
    <w:p w14:paraId="6B8458D7">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2.人员配置(包含人员配备、职能、责任划分;人员管理制度等);</w:t>
      </w:r>
    </w:p>
    <w:p w14:paraId="21344E3E">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3.供货流程(包含接到供货消息后的人员、车辆安排情况;特殊产品的供货措施等);</w:t>
      </w:r>
    </w:p>
    <w:p w14:paraId="732C949A">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4.登记制度(包含产品出仓前的产品、数量登记;产品运输过程在普通车辆或者冷链车等车辆上的登记情况等)。</w:t>
      </w:r>
    </w:p>
    <w:p w14:paraId="7B6483BE">
      <w:pPr>
        <w:pStyle w:val="13"/>
        <w:overflowPunct w:val="0"/>
        <w:spacing w:line="440" w:lineRule="exact"/>
        <w:rPr>
          <w:rFonts w:hint="eastAsia" w:ascii="仿宋" w:hAnsi="仿宋" w:eastAsia="仿宋" w:cs="仿宋"/>
          <w:b/>
          <w:bCs/>
          <w:color w:val="000000" w:themeColor="text1"/>
          <w:szCs w:val="24"/>
          <w:highlight w:val="none"/>
          <w:lang w:eastAsia="zh-CN"/>
          <w14:textFill>
            <w14:solidFill>
              <w14:schemeClr w14:val="tx1"/>
            </w14:solidFill>
          </w14:textFill>
        </w:rPr>
      </w:pPr>
      <w:r>
        <w:rPr>
          <w:rFonts w:hint="eastAsia" w:ascii="仿宋" w:hAnsi="仿宋" w:eastAsia="仿宋" w:cs="仿宋"/>
          <w:b/>
          <w:bCs/>
          <w:color w:val="000000" w:themeColor="text1"/>
          <w:szCs w:val="24"/>
          <w:highlight w:val="none"/>
          <w:lang w:eastAsia="zh-CN"/>
          <w14:textFill>
            <w14:solidFill>
              <w14:schemeClr w14:val="tx1"/>
            </w14:solidFill>
          </w14:textFill>
        </w:rPr>
        <w:t>（二）实施（交货）地点</w:t>
      </w:r>
    </w:p>
    <w:p w14:paraId="1AC7B039">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bookmarkStart w:id="157" w:name="_Toc340225291"/>
      <w:bookmarkStart w:id="158" w:name="_Toc267320050"/>
      <w:r>
        <w:rPr>
          <w:rFonts w:hint="eastAsia" w:ascii="仿宋" w:hAnsi="仿宋" w:eastAsia="仿宋" w:cs="仿宋"/>
          <w:color w:val="000000" w:themeColor="text1"/>
          <w:szCs w:val="24"/>
          <w:highlight w:val="none"/>
          <w:lang w:eastAsia="zh-CN"/>
          <w14:textFill>
            <w14:solidFill>
              <w14:schemeClr w14:val="tx1"/>
            </w14:solidFill>
          </w14:textFill>
        </w:rPr>
        <w:t>合同中明确约定的乙方提交的货物和服务最终到达地点</w:t>
      </w:r>
    </w:p>
    <w:p w14:paraId="42CF4A85">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b/>
          <w:bCs/>
          <w:color w:val="000000" w:themeColor="text1"/>
          <w:szCs w:val="24"/>
          <w:highlight w:val="none"/>
          <w:lang w:eastAsia="zh-CN"/>
          <w14:textFill>
            <w14:solidFill>
              <w14:schemeClr w14:val="tx1"/>
            </w14:solidFill>
          </w14:textFill>
        </w:rPr>
        <w:t>（三）</w:t>
      </w:r>
      <w:bookmarkEnd w:id="157"/>
      <w:bookmarkEnd w:id="158"/>
      <w:r>
        <w:rPr>
          <w:rFonts w:hint="eastAsia" w:ascii="仿宋" w:hAnsi="仿宋" w:eastAsia="仿宋" w:cs="仿宋"/>
          <w:b/>
          <w:bCs/>
          <w:color w:val="000000" w:themeColor="text1"/>
          <w:szCs w:val="24"/>
          <w:highlight w:val="none"/>
          <w:lang w:val="en-US" w:eastAsia="zh-CN"/>
          <w14:textFill>
            <w14:solidFill>
              <w14:schemeClr w14:val="tx1"/>
            </w14:solidFill>
          </w14:textFill>
        </w:rPr>
        <w:t>交货期:</w:t>
      </w:r>
      <w:r>
        <w:rPr>
          <w:rFonts w:hint="eastAsia" w:ascii="仿宋" w:hAnsi="仿宋" w:eastAsia="仿宋" w:cs="仿宋"/>
          <w:b w:val="0"/>
          <w:bCs w:val="0"/>
          <w:color w:val="000000" w:themeColor="text1"/>
          <w:szCs w:val="24"/>
          <w:highlight w:val="none"/>
          <w:lang w:val="en-US" w:eastAsia="zh-CN"/>
          <w14:textFill>
            <w14:solidFill>
              <w14:schemeClr w14:val="tx1"/>
            </w14:solidFill>
          </w14:textFill>
        </w:rPr>
        <w:t>送货时间由采购单位决定。（具体以甲乙双方签订采购合同为准，严格按照采购单位的时间及要求按时供货）</w:t>
      </w:r>
    </w:p>
    <w:p w14:paraId="15D62C0B">
      <w:pPr>
        <w:pStyle w:val="13"/>
        <w:overflowPunct w:val="0"/>
        <w:spacing w:line="440" w:lineRule="exact"/>
        <w:rPr>
          <w:rFonts w:hint="eastAsia" w:ascii="仿宋" w:hAnsi="仿宋" w:eastAsia="仿宋" w:cs="仿宋"/>
          <w:b/>
          <w:bCs/>
          <w:color w:val="000000" w:themeColor="text1"/>
          <w:szCs w:val="24"/>
          <w:highlight w:val="none"/>
          <w:lang w:eastAsia="zh-CN"/>
          <w14:textFill>
            <w14:solidFill>
              <w14:schemeClr w14:val="tx1"/>
            </w14:solidFill>
          </w14:textFill>
        </w:rPr>
      </w:pPr>
      <w:r>
        <w:rPr>
          <w:rFonts w:hint="eastAsia" w:ascii="仿宋" w:hAnsi="仿宋" w:eastAsia="仿宋" w:cs="仿宋"/>
          <w:b/>
          <w:bCs/>
          <w:color w:val="000000" w:themeColor="text1"/>
          <w:szCs w:val="24"/>
          <w:highlight w:val="none"/>
          <w:lang w:eastAsia="zh-CN"/>
          <w14:textFill>
            <w14:solidFill>
              <w14:schemeClr w14:val="tx1"/>
            </w14:solidFill>
          </w14:textFill>
        </w:rPr>
        <w:t>（四）售后服务</w:t>
      </w:r>
    </w:p>
    <w:p w14:paraId="24179DC1">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售后服务应包含以下内容:</w:t>
      </w:r>
    </w:p>
    <w:p w14:paraId="182C9792">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1.运输保障(包含运输团队;运输设备;产品运输破损率等);</w:t>
      </w:r>
    </w:p>
    <w:p w14:paraId="44E4C930">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2.培训方案(包含培训人员;培训时间;培训内容等);</w:t>
      </w:r>
    </w:p>
    <w:p w14:paraId="1D0AF569">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3.质量保障措施(包含质量管理体系;质量保障范围:防雨防潮保障措施等):</w:t>
      </w:r>
    </w:p>
    <w:p w14:paraId="10DD4B22">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4.应急方案(包含应急处理措施;恶劣天气应对产品存储办法;遇突发公共卫生事件处理情况等)。</w:t>
      </w:r>
    </w:p>
    <w:p w14:paraId="032215ED">
      <w:pPr>
        <w:pStyle w:val="13"/>
        <w:overflowPunct w:val="0"/>
        <w:spacing w:line="440" w:lineRule="exact"/>
        <w:rPr>
          <w:rFonts w:hint="eastAsia" w:ascii="仿宋" w:hAnsi="仿宋" w:eastAsia="仿宋" w:cs="仿宋"/>
          <w:b/>
          <w:bCs/>
          <w:color w:val="000000" w:themeColor="text1"/>
          <w:szCs w:val="24"/>
          <w:highlight w:val="none"/>
          <w:lang w:val="en-US" w:eastAsia="zh-CN"/>
          <w14:textFill>
            <w14:solidFill>
              <w14:schemeClr w14:val="tx1"/>
            </w14:solidFill>
          </w14:textFill>
        </w:rPr>
      </w:pPr>
      <w:r>
        <w:rPr>
          <w:rFonts w:hint="eastAsia" w:ascii="仿宋" w:hAnsi="仿宋" w:eastAsia="仿宋" w:cs="仿宋"/>
          <w:b/>
          <w:bCs/>
          <w:color w:val="000000" w:themeColor="text1"/>
          <w:szCs w:val="24"/>
          <w:highlight w:val="none"/>
          <w:lang w:val="en-US" w:eastAsia="zh-CN"/>
          <w14:textFill>
            <w14:solidFill>
              <w14:schemeClr w14:val="tx1"/>
            </w14:solidFill>
          </w14:textFill>
        </w:rPr>
        <w:t>（五）</w:t>
      </w:r>
      <w:r>
        <w:rPr>
          <w:rFonts w:hint="eastAsia" w:ascii="仿宋" w:hAnsi="仿宋" w:eastAsia="仿宋" w:cs="仿宋"/>
          <w:b/>
          <w:bCs/>
          <w:color w:val="000000" w:themeColor="text1"/>
          <w:szCs w:val="24"/>
          <w:highlight w:val="none"/>
          <w:lang w:eastAsia="zh-CN"/>
          <w14:textFill>
            <w14:solidFill>
              <w14:schemeClr w14:val="tx1"/>
            </w14:solidFill>
          </w14:textFill>
        </w:rPr>
        <w:t>售后服务、理赔、质量技术及验收保证的承诺</w:t>
      </w:r>
    </w:p>
    <w:p w14:paraId="2F7CBBD3">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1、产品质量：在合同期内，甲方正常使用乙方所供产品而出现质量问题时，乙方负责。产品质保期为</w:t>
      </w:r>
      <w:r>
        <w:rPr>
          <w:rFonts w:hint="eastAsia" w:ascii="仿宋" w:hAnsi="仿宋" w:eastAsia="仿宋" w:cs="仿宋"/>
          <w:color w:val="000000" w:themeColor="text1"/>
          <w:szCs w:val="24"/>
          <w:highlight w:val="none"/>
          <w:lang w:val="en-US" w:eastAsia="zh-CN"/>
          <w14:textFill>
            <w14:solidFill>
              <w14:schemeClr w14:val="tx1"/>
            </w14:solidFill>
          </w14:textFill>
        </w:rPr>
        <w:t>1年。</w:t>
      </w:r>
      <w:r>
        <w:rPr>
          <w:rFonts w:hint="eastAsia" w:ascii="仿宋" w:hAnsi="仿宋" w:eastAsia="仿宋" w:cs="仿宋"/>
          <w:color w:val="000000" w:themeColor="text1"/>
          <w:szCs w:val="24"/>
          <w:highlight w:val="none"/>
          <w:lang w:eastAsia="zh-CN"/>
          <w14:textFill>
            <w14:solidFill>
              <w14:schemeClr w14:val="tx1"/>
            </w14:solidFill>
          </w14:textFill>
        </w:rPr>
        <w:t>产品使用：甲方在使用乙方所供产品中出现问题需乙方解决时，乙方应无偿解决（退换货）</w:t>
      </w:r>
    </w:p>
    <w:p w14:paraId="0141284C">
      <w:pPr>
        <w:pStyle w:val="13"/>
        <w:overflowPunct w:val="0"/>
        <w:spacing w:line="440" w:lineRule="exac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2、货物到达现场后，供应商应在使用单位人员在场情况下当面共同清点、检查，作出检查记录，双方签字确认，</w:t>
      </w:r>
      <w:r>
        <w:rPr>
          <w:rFonts w:hint="eastAsia" w:ascii="仿宋" w:hAnsi="仿宋" w:eastAsia="仿宋" w:cs="仿宋"/>
          <w:color w:val="000000" w:themeColor="text1"/>
          <w:szCs w:val="24"/>
          <w:highlight w:val="none"/>
          <w:lang w:val="en-US" w:eastAsia="zh-CN"/>
          <w14:textFill>
            <w14:solidFill>
              <w14:schemeClr w14:val="tx1"/>
            </w14:solidFill>
          </w14:textFill>
        </w:rPr>
        <w:t>甲方收到试剂耗材经试验测试结果符合要求，试剂耗材质量验收合格；若收到的试剂耗材不能在实验室使用验收为不合格甲方有权拒收退回试剂耗材，要求乙方跟换合适试剂耗材。</w:t>
      </w:r>
    </w:p>
    <w:p w14:paraId="4052F8D9">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3、货物验收时，供应商向采购人提供生产厂家出具的合格证等相关文件。</w:t>
      </w:r>
    </w:p>
    <w:p w14:paraId="10B5D38B">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4、供应商提供的货物未达到招标文件规定要求，且对采购人造成损失的，由供应商承担一切责任，并赔偿所造成的损失。</w:t>
      </w:r>
    </w:p>
    <w:p w14:paraId="09EDB24D">
      <w:pPr>
        <w:pStyle w:val="13"/>
        <w:overflowPunct w:val="0"/>
        <w:spacing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5</w:t>
      </w:r>
      <w:r>
        <w:rPr>
          <w:rFonts w:hint="eastAsia" w:ascii="仿宋" w:hAnsi="仿宋" w:eastAsia="仿宋" w:cs="仿宋"/>
          <w:color w:val="000000" w:themeColor="text1"/>
          <w:szCs w:val="24"/>
          <w:highlight w:val="none"/>
          <w:lang w:eastAsia="zh-CN"/>
          <w14:textFill>
            <w14:solidFill>
              <w14:schemeClr w14:val="tx1"/>
            </w14:solidFill>
          </w14:textFill>
        </w:rPr>
        <w:t>、供应商需在供货后提供专业的技术支持，组织专业人员对相关采购人进行定期现场培训</w:t>
      </w:r>
      <w:r>
        <w:rPr>
          <w:rFonts w:hint="eastAsia" w:ascii="仿宋" w:hAnsi="仿宋" w:eastAsia="仿宋" w:cs="仿宋"/>
          <w:color w:val="000000" w:themeColor="text1"/>
          <w:szCs w:val="24"/>
          <w:highlight w:val="none"/>
          <w:lang w:val="en-US" w:eastAsia="zh-CN"/>
          <w14:textFill>
            <w14:solidFill>
              <w14:schemeClr w14:val="tx1"/>
            </w14:solidFill>
          </w14:textFill>
        </w:rPr>
        <w:t>。</w:t>
      </w:r>
    </w:p>
    <w:p w14:paraId="6916B971">
      <w:pPr>
        <w:pStyle w:val="13"/>
        <w:overflowPunct w:val="0"/>
        <w:spacing w:line="440" w:lineRule="exact"/>
        <w:rPr>
          <w:rFonts w:hint="eastAsia" w:ascii="仿宋" w:hAnsi="仿宋" w:eastAsia="仿宋" w:cs="仿宋"/>
          <w:b/>
          <w:bCs/>
          <w:color w:val="000000" w:themeColor="text1"/>
          <w:szCs w:val="24"/>
          <w:highlight w:val="none"/>
          <w:lang w:eastAsia="zh-CN"/>
          <w14:textFill>
            <w14:solidFill>
              <w14:schemeClr w14:val="tx1"/>
            </w14:solidFill>
          </w14:textFill>
        </w:rPr>
      </w:pPr>
      <w:r>
        <w:rPr>
          <w:rFonts w:hint="eastAsia" w:ascii="仿宋" w:hAnsi="仿宋" w:eastAsia="仿宋" w:cs="仿宋"/>
          <w:b/>
          <w:bCs/>
          <w:color w:val="000000" w:themeColor="text1"/>
          <w:szCs w:val="24"/>
          <w:highlight w:val="none"/>
          <w:lang w:eastAsia="zh-CN"/>
          <w14:textFill>
            <w14:solidFill>
              <w14:schemeClr w14:val="tx1"/>
            </w14:solidFill>
          </w14:textFill>
        </w:rPr>
        <w:t>（六）付款方式：</w:t>
      </w:r>
    </w:p>
    <w:p w14:paraId="46E4B426">
      <w:pPr>
        <w:keepNext w:val="0"/>
        <w:keepLines w:val="0"/>
        <w:pageBreakBefore w:val="0"/>
        <w:shd w:val="clear" w:color="auto" w:fill="auto"/>
        <w:kinsoku/>
        <w:wordWrap/>
        <w:overflowPunct/>
        <w:topLinePunct w:val="0"/>
        <w:autoSpaceDE/>
        <w:autoSpaceDN/>
        <w:bidi w:val="0"/>
        <w:adjustRightInd/>
        <w:snapToGrid/>
        <w:spacing w:line="460" w:lineRule="exact"/>
        <w:ind w:firstLine="430" w:firstLineChars="200"/>
        <w:jc w:val="left"/>
        <w:textAlignment w:val="auto"/>
        <w:outlineLvl w:val="2"/>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pPr>
      <w:bookmarkStart w:id="159" w:name="_Toc19034"/>
      <w:r>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t>供货方与采购人签订合同后支付合同价款70%预付款，货物到达采购人指定地点，验收合格后，支付合同价款的30%。</w:t>
      </w:r>
      <w:bookmarkEnd w:id="159"/>
    </w:p>
    <w:p w14:paraId="2063C4A0">
      <w:pPr>
        <w:keepNext w:val="0"/>
        <w:keepLines w:val="0"/>
        <w:pageBreakBefore w:val="0"/>
        <w:shd w:val="clear" w:color="auto" w:fill="auto"/>
        <w:kinsoku/>
        <w:wordWrap/>
        <w:overflowPunct/>
        <w:topLinePunct w:val="0"/>
        <w:autoSpaceDE/>
        <w:autoSpaceDN/>
        <w:bidi w:val="0"/>
        <w:adjustRightInd/>
        <w:snapToGrid/>
        <w:spacing w:line="460" w:lineRule="exact"/>
        <w:ind w:firstLine="430" w:firstLineChars="200"/>
        <w:jc w:val="left"/>
        <w:textAlignment w:val="auto"/>
        <w:outlineLvl w:val="2"/>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pPr>
      <w:bookmarkStart w:id="160" w:name="_Toc785"/>
      <w:r>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t>（七）知识产权</w:t>
      </w:r>
      <w:bookmarkEnd w:id="160"/>
    </w:p>
    <w:p w14:paraId="00B26947">
      <w:pPr>
        <w:keepNext w:val="0"/>
        <w:keepLines w:val="0"/>
        <w:pageBreakBefore w:val="0"/>
        <w:shd w:val="clear" w:color="auto" w:fill="auto"/>
        <w:kinsoku/>
        <w:wordWrap/>
        <w:overflowPunct/>
        <w:topLinePunct w:val="0"/>
        <w:autoSpaceDE/>
        <w:autoSpaceDN/>
        <w:bidi w:val="0"/>
        <w:adjustRightInd/>
        <w:snapToGrid/>
        <w:spacing w:line="460" w:lineRule="exact"/>
        <w:ind w:left="12" w:leftChars="0" w:hanging="12" w:hangingChars="6"/>
        <w:textAlignment w:val="auto"/>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513A9F9E">
      <w:pPr>
        <w:keepNext w:val="0"/>
        <w:keepLines w:val="0"/>
        <w:pageBreakBefore w:val="0"/>
        <w:shd w:val="clear" w:color="auto" w:fill="auto"/>
        <w:kinsoku/>
        <w:wordWrap/>
        <w:overflowPunct/>
        <w:topLinePunct w:val="0"/>
        <w:autoSpaceDE/>
        <w:autoSpaceDN/>
        <w:bidi w:val="0"/>
        <w:adjustRightInd/>
        <w:snapToGrid/>
        <w:spacing w:line="460" w:lineRule="exact"/>
        <w:ind w:left="0" w:leftChars="0" w:firstLine="653" w:firstLineChars="304"/>
        <w:textAlignment w:val="auto"/>
        <w:outlineLvl w:val="2"/>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pPr>
      <w:bookmarkStart w:id="161" w:name="_Toc10372"/>
      <w:r>
        <w:rPr>
          <w:rFonts w:hint="eastAsia" w:ascii="仿宋" w:hAnsi="仿宋" w:eastAsia="仿宋" w:cs="仿宋"/>
          <w:b/>
          <w:bCs/>
          <w:color w:val="000000" w:themeColor="text1"/>
          <w:kern w:val="0"/>
          <w:sz w:val="21"/>
          <w:szCs w:val="24"/>
          <w:highlight w:val="none"/>
          <w:lang w:val="en-US" w:eastAsia="zh-CN" w:bidi="ar-SA"/>
          <w14:textFill>
            <w14:solidFill>
              <w14:schemeClr w14:val="tx1"/>
            </w14:solidFill>
          </w14:textFill>
        </w:rPr>
        <w:t>（八）其他</w:t>
      </w:r>
      <w:bookmarkEnd w:id="161"/>
    </w:p>
    <w:p w14:paraId="0D28D5E9">
      <w:pPr>
        <w:shd w:val="clear" w:color="auto" w:fill="auto"/>
        <w:spacing w:line="440" w:lineRule="exact"/>
        <w:ind w:left="430" w:leftChars="200" w:firstLine="223" w:firstLineChars="104"/>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1、投标人必须在投标文件中对以上条款和服务承诺明确列出，承诺内容必须达到本篇及招标文件其他条款的要求。</w:t>
      </w:r>
    </w:p>
    <w:p w14:paraId="27DADFC2">
      <w:pPr>
        <w:shd w:val="clear" w:color="auto" w:fill="auto"/>
        <w:spacing w:line="440" w:lineRule="exact"/>
        <w:ind w:left="430" w:leftChars="200" w:firstLine="223" w:firstLineChars="104"/>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2、中标人与采购人签订《协议》后，须与用户方签订《货物采购供应合同》（包括供货范围、需求数量、单价等），明确具体供货数量、供货时间、送达地点等内容。</w:t>
      </w:r>
    </w:p>
    <w:p w14:paraId="7EC341D5">
      <w:pPr>
        <w:shd w:val="clear" w:color="auto" w:fill="auto"/>
        <w:spacing w:line="440" w:lineRule="exact"/>
        <w:ind w:left="430" w:leftChars="200" w:firstLine="223" w:firstLineChars="104"/>
        <w:outlineLvl w:val="3"/>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3、其他未尽事宜由供需双方在采购合同中详细约定。</w:t>
      </w:r>
    </w:p>
    <w:p w14:paraId="74E0B62D">
      <w:pPr>
        <w:shd w:val="clear" w:color="auto" w:fill="auto"/>
        <w:spacing w:line="440" w:lineRule="exact"/>
        <w:ind w:left="430" w:leftChars="200" w:firstLine="223" w:firstLineChars="104"/>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4、若供应商不能按招标文件规定的交货期正常交货，采购方有权终止采购合同，并将相关情况上报给采购计划主管部门，取消其中标资格。</w:t>
      </w:r>
    </w:p>
    <w:p w14:paraId="79604ED7">
      <w:pPr>
        <w:shd w:val="clear" w:color="auto" w:fill="auto"/>
        <w:spacing w:line="440" w:lineRule="exact"/>
        <w:ind w:left="430" w:leftChars="200" w:firstLine="223" w:firstLineChars="104"/>
        <w:outlineLvl w:val="3"/>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4"/>
          <w:highlight w:val="none"/>
          <w:lang w:val="en-US" w:eastAsia="zh-CN" w:bidi="ar-SA"/>
          <w14:textFill>
            <w14:solidFill>
              <w14:schemeClr w14:val="tx1"/>
            </w14:solidFill>
          </w14:textFill>
        </w:rPr>
        <w:t>5、其他未尽事宜由供需双方在采购合同中详细约定。</w:t>
      </w:r>
    </w:p>
    <w:p w14:paraId="2A06A8C4">
      <w:pPr>
        <w:ind w:firstLine="215" w:firstLineChars="100"/>
        <w:rPr>
          <w:rFonts w:hint="eastAsia"/>
          <w:b/>
          <w:bCs/>
          <w:color w:val="000000" w:themeColor="text1"/>
          <w:lang w:val="en-US" w:eastAsia="zh-CN"/>
          <w14:textFill>
            <w14:solidFill>
              <w14:schemeClr w14:val="tx1"/>
            </w14:solidFill>
          </w14:textFill>
        </w:rPr>
      </w:pPr>
    </w:p>
    <w:p w14:paraId="7F864110">
      <w:pPr>
        <w:pStyle w:val="183"/>
        <w:shd w:val="clear" w:color="auto" w:fill="auto"/>
        <w:jc w:val="left"/>
        <w:rPr>
          <w:rFonts w:hint="eastAsia" w:ascii="宋体" w:hAnsi="宋体" w:eastAsia="宋体" w:cs="宋体"/>
          <w:b/>
          <w:bCs/>
          <w:caps w:val="0"/>
          <w:color w:val="000000" w:themeColor="text1"/>
          <w:spacing w:val="0"/>
          <w:kern w:val="0"/>
          <w:sz w:val="24"/>
          <w:szCs w:val="24"/>
          <w:highlight w:val="none"/>
          <w:u w:val="none"/>
          <w:vertAlign w:val="baseline"/>
          <w:lang w:val="en-US" w:eastAsia="zh-CN" w:bidi="ar"/>
          <w14:textFill>
            <w14:solidFill>
              <w14:schemeClr w14:val="tx1"/>
            </w14:solidFill>
          </w14:textFill>
        </w:rPr>
      </w:pPr>
    </w:p>
    <w:p w14:paraId="66EE02C1">
      <w:pPr>
        <w:pStyle w:val="19"/>
        <w:rPr>
          <w:rFonts w:hint="eastAsia" w:ascii="宋体" w:hAnsi="宋体" w:eastAsia="宋体" w:cs="宋体"/>
          <w:b/>
          <w:bCs/>
          <w:color w:val="000000" w:themeColor="text1"/>
          <w:sz w:val="36"/>
          <w:highlight w:val="none"/>
          <w14:textFill>
            <w14:solidFill>
              <w14:schemeClr w14:val="tx1"/>
            </w14:solidFill>
          </w14:textFill>
        </w:rPr>
      </w:pPr>
    </w:p>
    <w:p w14:paraId="54293EEC">
      <w:pPr>
        <w:rPr>
          <w:rFonts w:hint="eastAsia" w:ascii="宋体" w:hAnsi="宋体" w:eastAsia="宋体" w:cs="宋体"/>
          <w:b/>
          <w:bCs/>
          <w:color w:val="000000" w:themeColor="text1"/>
          <w:sz w:val="36"/>
          <w:highlight w:val="none"/>
          <w14:textFill>
            <w14:solidFill>
              <w14:schemeClr w14:val="tx1"/>
            </w14:solidFill>
          </w14:textFill>
        </w:rPr>
      </w:pPr>
    </w:p>
    <w:p w14:paraId="66EF462B">
      <w:pPr>
        <w:rPr>
          <w:rFonts w:hint="eastAsia" w:ascii="宋体" w:hAnsi="宋体" w:eastAsia="宋体" w:cs="宋体"/>
          <w:b/>
          <w:bCs/>
          <w:color w:val="000000" w:themeColor="text1"/>
          <w:sz w:val="36"/>
          <w:highlight w:val="none"/>
          <w14:textFill>
            <w14:solidFill>
              <w14:schemeClr w14:val="tx1"/>
            </w14:solidFill>
          </w14:textFill>
        </w:rPr>
      </w:pPr>
    </w:p>
    <w:p w14:paraId="09865825">
      <w:pPr>
        <w:pStyle w:val="19"/>
        <w:rPr>
          <w:rFonts w:hint="eastAsia" w:ascii="宋体" w:hAnsi="宋体" w:eastAsia="宋体" w:cs="宋体"/>
          <w:b/>
          <w:bCs/>
          <w:color w:val="000000" w:themeColor="text1"/>
          <w:sz w:val="36"/>
          <w:highlight w:val="none"/>
          <w14:textFill>
            <w14:solidFill>
              <w14:schemeClr w14:val="tx1"/>
            </w14:solidFill>
          </w14:textFill>
        </w:rPr>
      </w:pPr>
    </w:p>
    <w:p w14:paraId="59328D39">
      <w:pPr>
        <w:rPr>
          <w:rFonts w:hint="eastAsia" w:ascii="宋体" w:hAnsi="宋体" w:eastAsia="宋体" w:cs="宋体"/>
          <w:b/>
          <w:bCs/>
          <w:color w:val="000000" w:themeColor="text1"/>
          <w:sz w:val="36"/>
          <w:highlight w:val="none"/>
          <w14:textFill>
            <w14:solidFill>
              <w14:schemeClr w14:val="tx1"/>
            </w14:solidFill>
          </w14:textFill>
        </w:rPr>
      </w:pPr>
    </w:p>
    <w:bookmarkEnd w:id="153"/>
    <w:bookmarkEnd w:id="154"/>
    <w:p w14:paraId="5BE793AB">
      <w:pPr>
        <w:pStyle w:val="2"/>
        <w:bidi w:val="0"/>
        <w:rPr>
          <w:color w:val="000000" w:themeColor="text1"/>
          <w:lang w:eastAsia="zh-CN"/>
          <w14:textFill>
            <w14:solidFill>
              <w14:schemeClr w14:val="tx1"/>
            </w14:solidFill>
          </w14:textFill>
        </w:rPr>
      </w:pPr>
      <w:bookmarkStart w:id="162" w:name="_Toc3921"/>
      <w:r>
        <w:rPr>
          <w:rFonts w:hint="eastAsia"/>
          <w:color w:val="000000" w:themeColor="text1"/>
          <w:lang w:eastAsia="zh-CN"/>
          <w14:textFill>
            <w14:solidFill>
              <w14:schemeClr w14:val="tx1"/>
            </w14:solidFill>
          </w14:textFill>
        </w:rPr>
        <w:t xml:space="preserve">第六章 </w:t>
      </w:r>
      <w:r>
        <w:rPr>
          <w:rFonts w:hint="eastAsia"/>
          <w:color w:val="000000" w:themeColor="text1"/>
          <w14:textFill>
            <w14:solidFill>
              <w14:schemeClr w14:val="tx1"/>
            </w14:solidFill>
          </w14:textFill>
        </w:rPr>
        <w:t xml:space="preserve"> </w:t>
      </w:r>
      <w:bookmarkStart w:id="163" w:name="_Toc30360"/>
      <w:bookmarkStart w:id="164" w:name="_Toc4283"/>
      <w:r>
        <w:rPr>
          <w:rFonts w:hint="eastAsia"/>
          <w:color w:val="000000" w:themeColor="text1"/>
          <w:lang w:eastAsia="zh-CN"/>
          <w14:textFill>
            <w14:solidFill>
              <w14:schemeClr w14:val="tx1"/>
            </w14:solidFill>
          </w14:textFill>
        </w:rPr>
        <w:t>合同条款及格式</w:t>
      </w:r>
      <w:bookmarkEnd w:id="162"/>
      <w:bookmarkStart w:id="165" w:name="_Toc20669"/>
    </w:p>
    <w:p w14:paraId="7353FBF1">
      <w:pPr>
        <w:spacing w:line="480" w:lineRule="exact"/>
        <w:jc w:val="center"/>
        <w:outlineLvl w:val="1"/>
        <w:rPr>
          <w:rFonts w:ascii="仿宋" w:hAnsi="仿宋" w:eastAsia="仿宋" w:cs="仿宋"/>
          <w:color w:val="000000" w:themeColor="text1"/>
          <w:szCs w:val="21"/>
          <w:highlight w:val="none"/>
          <w:lang w:eastAsia="zh-CN"/>
          <w14:textFill>
            <w14:solidFill>
              <w14:schemeClr w14:val="tx1"/>
            </w14:solidFill>
          </w14:textFill>
        </w:rPr>
      </w:pPr>
      <w:bookmarkStart w:id="166" w:name="_Toc17322"/>
      <w:r>
        <w:rPr>
          <w:rFonts w:hint="eastAsia" w:ascii="仿宋" w:hAnsi="仿宋" w:eastAsia="仿宋" w:cs="仿宋"/>
          <w:color w:val="000000" w:themeColor="text1"/>
          <w:szCs w:val="21"/>
          <w:highlight w:val="none"/>
          <w:lang w:eastAsia="zh-CN"/>
          <w14:textFill>
            <w14:solidFill>
              <w14:schemeClr w14:val="tx1"/>
            </w14:solidFill>
          </w14:textFill>
        </w:rPr>
        <w:t>（本合同为合同样稿，最终稿由供需双方协商后确定）</w:t>
      </w:r>
      <w:bookmarkEnd w:id="165"/>
      <w:bookmarkEnd w:id="166"/>
    </w:p>
    <w:p w14:paraId="74366F0C">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jc w:val="center"/>
        <w:textAlignment w:val="baseline"/>
        <w:outlineLvl w:val="1"/>
        <w:rPr>
          <w:rFonts w:hint="eastAsia" w:ascii="仿宋" w:hAnsi="仿宋" w:eastAsia="仿宋" w:cs="仿宋"/>
          <w:b/>
          <w:color w:val="000000" w:themeColor="text1"/>
          <w:sz w:val="30"/>
          <w:szCs w:val="30"/>
          <w:highlight w:val="none"/>
          <w:lang w:eastAsia="zh-CN"/>
          <w14:textFill>
            <w14:solidFill>
              <w14:schemeClr w14:val="tx1"/>
            </w14:solidFill>
          </w14:textFill>
        </w:rPr>
      </w:pPr>
      <w:bookmarkStart w:id="167" w:name="_Toc25043"/>
      <w:r>
        <w:rPr>
          <w:rStyle w:val="196"/>
          <w:rFonts w:hint="eastAsia"/>
          <w:color w:val="000000" w:themeColor="text1"/>
          <w:lang w:val="en-US" w:eastAsia="zh-CN"/>
          <w14:textFill>
            <w14:solidFill>
              <w14:schemeClr w14:val="tx1"/>
            </w14:solidFill>
          </w14:textFill>
        </w:rPr>
        <w:t>一</w:t>
      </w:r>
      <w:r>
        <w:rPr>
          <w:rStyle w:val="196"/>
          <w:rFonts w:hint="eastAsia"/>
          <w:color w:val="000000" w:themeColor="text1"/>
          <w:lang w:eastAsia="zh-CN"/>
          <w14:textFill>
            <w14:solidFill>
              <w14:schemeClr w14:val="tx1"/>
            </w14:solidFill>
          </w14:textFill>
        </w:rPr>
        <w:t xml:space="preserve"> </w:t>
      </w:r>
      <w:bookmarkStart w:id="168" w:name="_Toc469495741"/>
      <w:r>
        <w:rPr>
          <w:rStyle w:val="196"/>
          <w:rFonts w:hint="eastAsia"/>
          <w:color w:val="000000" w:themeColor="text1"/>
          <w14:textFill>
            <w14:solidFill>
              <w14:schemeClr w14:val="tx1"/>
            </w14:solidFill>
          </w14:textFill>
        </w:rPr>
        <w:t>合同协议书</w:t>
      </w:r>
      <w:bookmarkEnd w:id="167"/>
      <w:bookmarkEnd w:id="168"/>
    </w:p>
    <w:p w14:paraId="57584867">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jc w:val="both"/>
        <w:textAlignment w:val="baseline"/>
        <w:outlineLvl w:val="1"/>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 xml:space="preserve"> </w:t>
      </w:r>
      <w:r>
        <w:rPr>
          <w:rFonts w:hint="eastAsia" w:ascii="仿宋" w:hAnsi="仿宋" w:eastAsia="仿宋" w:cs="仿宋"/>
          <w:b/>
          <w:color w:val="000000" w:themeColor="text1"/>
          <w:sz w:val="30"/>
          <w:szCs w:val="30"/>
          <w:highlight w:val="none"/>
          <w:lang w:val="en-US" w:eastAsia="zh-CN"/>
          <w14:textFill>
            <w14:solidFill>
              <w14:schemeClr w14:val="tx1"/>
            </w14:solidFill>
          </w14:textFill>
        </w:rPr>
        <w:t xml:space="preserve">                    </w:t>
      </w:r>
      <w:bookmarkStart w:id="169" w:name="_Toc13675"/>
      <w:r>
        <w:rPr>
          <w:rFonts w:hint="eastAsia" w:ascii="仿宋" w:hAnsi="仿宋" w:eastAsia="仿宋" w:cs="仿宋"/>
          <w:b/>
          <w:color w:val="000000" w:themeColor="text1"/>
          <w:sz w:val="32"/>
          <w:szCs w:val="32"/>
          <w:highlight w:val="none"/>
          <w14:textFill>
            <w14:solidFill>
              <w14:schemeClr w14:val="tx1"/>
            </w14:solidFill>
          </w14:textFill>
        </w:rPr>
        <w:t>合同名称</w:t>
      </w:r>
      <w:r>
        <w:rPr>
          <w:rFonts w:hint="eastAsia" w:ascii="仿宋" w:hAnsi="仿宋" w:eastAsia="仿宋" w:cs="仿宋"/>
          <w:b/>
          <w:color w:val="000000" w:themeColor="text1"/>
          <w:highlight w:val="none"/>
          <w14:textFill>
            <w14:solidFill>
              <w14:schemeClr w14:val="tx1"/>
            </w14:solidFill>
          </w14:textFill>
        </w:rPr>
        <w:t xml:space="preserve"> </w:t>
      </w:r>
      <w:r>
        <w:rPr>
          <w:rFonts w:hint="eastAsia" w:ascii="宋体"/>
          <w:b/>
          <w:color w:val="000000" w:themeColor="text1"/>
          <w:highlight w:val="non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编号</w:t>
      </w:r>
      <w:bookmarkEnd w:id="169"/>
    </w:p>
    <w:p w14:paraId="71D35825">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000000" w:themeColor="text1"/>
          <w:highlight w:val="none"/>
          <w14:textFill>
            <w14:solidFill>
              <w14:schemeClr w14:val="tx1"/>
            </w14:solidFill>
          </w14:textFill>
        </w:rPr>
      </w:pPr>
      <w:bookmarkStart w:id="170" w:name="_Toc296602498"/>
      <w:bookmarkStart w:id="171" w:name="_Toc469495742"/>
      <w:bookmarkStart w:id="172" w:name="_Toc246996996"/>
      <w:bookmarkStart w:id="173" w:name="_Toc144974578"/>
      <w:bookmarkStart w:id="174" w:name="_Toc247085768"/>
      <w:bookmarkStart w:id="175" w:name="_Toc246996253"/>
      <w:bookmarkStart w:id="176" w:name="_Toc152042388"/>
      <w:bookmarkStart w:id="177" w:name="_Toc152045610"/>
      <w:bookmarkStart w:id="178" w:name="_Toc179632628"/>
      <w:r>
        <w:rPr>
          <w:rFonts w:hint="eastAsia" w:ascii="仿宋" w:hAnsi="仿宋" w:eastAsia="仿宋" w:cs="仿宋"/>
          <w:color w:val="000000" w:themeColor="text1"/>
          <w:highlight w:val="none"/>
          <w14:textFill>
            <w14:solidFill>
              <w14:schemeClr w14:val="tx1"/>
            </w14:solidFill>
          </w14:textFill>
        </w:rPr>
        <w:t>买    方：                                   卖    方：</w:t>
      </w:r>
    </w:p>
    <w:p w14:paraId="590F80FF">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电    话：                                   电    话：</w:t>
      </w:r>
    </w:p>
    <w:p w14:paraId="6EA7072C">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住    所：                                   住    所：                       </w:t>
      </w:r>
    </w:p>
    <w:p w14:paraId="79C82B2F">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（买方）</w:t>
      </w:r>
      <w:r>
        <w:rPr>
          <w:rFonts w:hint="eastAsia" w:ascii="仿宋" w:hAnsi="仿宋" w:eastAsia="仿宋" w:cs="仿宋"/>
          <w:color w:val="000000" w:themeColor="text1"/>
          <w:highlight w:val="none"/>
          <w:lang w:eastAsia="zh-CN"/>
          <w14:textFill>
            <w14:solidFill>
              <w14:schemeClr w14:val="tx1"/>
            </w14:solidFill>
          </w14:textFill>
        </w:rPr>
        <w:t>的</w:t>
      </w:r>
      <w:r>
        <w:rPr>
          <w:rFonts w:hint="eastAsia" w:ascii="仿宋" w:hAnsi="仿宋" w:eastAsia="仿宋" w:cs="仿宋"/>
          <w:color w:val="000000" w:themeColor="text1"/>
          <w:highlight w:val="none"/>
          <w:u w:val="single"/>
          <w:lang w:eastAsia="zh-CN"/>
          <w14:textFill>
            <w14:solidFill>
              <w14:schemeClr w14:val="tx1"/>
            </w14:solidFill>
          </w14:textFill>
        </w:rPr>
        <w:t>（项目名称）</w:t>
      </w:r>
      <w:r>
        <w:rPr>
          <w:rFonts w:hint="eastAsia" w:ascii="仿宋" w:hAnsi="仿宋" w:eastAsia="仿宋" w:cs="仿宋"/>
          <w:color w:val="000000" w:themeColor="text1"/>
          <w:highlight w:val="none"/>
          <w:lang w:eastAsia="zh-CN"/>
          <w14:textFill>
            <w14:solidFill>
              <w14:schemeClr w14:val="tx1"/>
            </w14:solidFill>
          </w14:textFill>
        </w:rPr>
        <w:t>中所需</w:t>
      </w:r>
      <w:r>
        <w:rPr>
          <w:rFonts w:hint="eastAsia" w:ascii="仿宋" w:hAnsi="仿宋" w:eastAsia="仿宋" w:cs="仿宋"/>
          <w:color w:val="000000" w:themeColor="text1"/>
          <w:highlight w:val="none"/>
          <w:u w:val="single"/>
          <w:lang w:eastAsia="zh-CN"/>
          <w14:textFill>
            <w14:solidFill>
              <w14:schemeClr w14:val="tx1"/>
            </w14:solidFill>
          </w14:textFill>
        </w:rPr>
        <w:t>（产品名称）</w:t>
      </w:r>
      <w:r>
        <w:rPr>
          <w:rFonts w:hint="eastAsia" w:ascii="仿宋" w:hAnsi="仿宋" w:eastAsia="仿宋" w:cs="仿宋"/>
          <w:color w:val="000000" w:themeColor="text1"/>
          <w:highlight w:val="none"/>
          <w:lang w:eastAsia="zh-CN"/>
          <w14:textFill>
            <w14:solidFill>
              <w14:schemeClr w14:val="tx1"/>
            </w14:solidFill>
          </w14:textFill>
        </w:rPr>
        <w:t xml:space="preserve"> 经公开招标，确定</w:t>
      </w:r>
      <w:r>
        <w:rPr>
          <w:rFonts w:hint="eastAsia" w:ascii="仿宋" w:hAnsi="仿宋" w:eastAsia="仿宋" w:cs="仿宋"/>
          <w:color w:val="000000" w:themeColor="text1"/>
          <w:highlight w:val="none"/>
          <w:u w:val="single"/>
          <w:lang w:eastAsia="zh-CN"/>
          <w14:textFill>
            <w14:solidFill>
              <w14:schemeClr w14:val="tx1"/>
            </w14:solidFill>
          </w14:textFill>
        </w:rPr>
        <w:t>（卖方）</w:t>
      </w:r>
      <w:r>
        <w:rPr>
          <w:rFonts w:hint="eastAsia" w:ascii="仿宋" w:hAnsi="仿宋" w:eastAsia="仿宋" w:cs="仿宋"/>
          <w:color w:val="000000" w:themeColor="text1"/>
          <w:highlight w:val="none"/>
          <w:lang w:eastAsia="zh-CN"/>
          <w14:textFill>
            <w14:solidFill>
              <w14:schemeClr w14:val="tx1"/>
            </w14:solidFill>
          </w14:textFill>
        </w:rPr>
        <w:t>为成交人。按照《</w:t>
      </w:r>
      <w:r>
        <w:rPr>
          <w:rFonts w:hint="eastAsia" w:ascii="仿宋" w:hAnsi="仿宋" w:eastAsia="仿宋" w:cs="仿宋"/>
          <w:color w:val="000000" w:themeColor="text1"/>
          <w:sz w:val="24"/>
          <w:szCs w:val="24"/>
          <w:highlight w:val="none"/>
          <w:lang w:val="en-US" w:eastAsia="zh-CN"/>
          <w14:textFill>
            <w14:solidFill>
              <w14:schemeClr w14:val="tx1"/>
            </w14:solidFill>
          </w14:textFill>
        </w:rPr>
        <w:t>中华人民共和国经济民法典</w:t>
      </w:r>
      <w:r>
        <w:rPr>
          <w:rFonts w:hint="eastAsia" w:ascii="仿宋" w:hAnsi="仿宋" w:eastAsia="仿宋" w:cs="仿宋"/>
          <w:color w:val="000000" w:themeColor="text1"/>
          <w:highlight w:val="none"/>
          <w:lang w:eastAsia="zh-CN"/>
          <w14:textFill>
            <w14:solidFill>
              <w14:schemeClr w14:val="tx1"/>
            </w14:solidFill>
          </w14:textFill>
        </w:rPr>
        <w:t>》的规定，买卖双方同意按照下述的条款和条件，签署本合同。</w:t>
      </w:r>
    </w:p>
    <w:p w14:paraId="41BB585B">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1、本合同文件</w:t>
      </w:r>
    </w:p>
    <w:p w14:paraId="2DD3D9A6">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下列每一文件均应作为合同的组成部分进行阅读和解释：</w:t>
      </w:r>
    </w:p>
    <w:p w14:paraId="1B80180B">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（1）采购文件（2）响应文件（3）成交通知书</w:t>
      </w:r>
    </w:p>
    <w:p w14:paraId="51B92AB6">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（4）经双方确认进入合同的其它文件、补充条款或说明</w:t>
      </w:r>
    </w:p>
    <w:p w14:paraId="162D92CD">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2、采购标的、数量、质量要求</w:t>
      </w:r>
    </w:p>
    <w:p w14:paraId="66F77AB1">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3、合同总价</w:t>
      </w:r>
    </w:p>
    <w:p w14:paraId="4C62D322">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合同总价为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元人民币。</w:t>
      </w:r>
    </w:p>
    <w:p w14:paraId="73CC085C">
      <w:pPr>
        <w:keepNext w:val="0"/>
        <w:keepLines w:val="0"/>
        <w:pageBreakBefore w:val="0"/>
        <w:widowControl w:val="0"/>
        <w:kinsoku/>
        <w:wordWrap/>
        <w:overflowPunct/>
        <w:topLinePunct w:val="0"/>
        <w:autoSpaceDE/>
        <w:autoSpaceDN/>
        <w:bidi w:val="0"/>
        <w:adjustRightInd/>
        <w:snapToGrid/>
        <w:spacing w:line="460" w:lineRule="exact"/>
        <w:ind w:firstLine="430" w:firstLineChars="200"/>
        <w:textAlignment w:val="auto"/>
        <w:rPr>
          <w:rFonts w:ascii="仿宋" w:hAnsi="仿宋" w:eastAsia="仿宋" w:cs="仿宋"/>
          <w:b w:val="0"/>
          <w:bCs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4、付款方式</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highlight w:val="none"/>
          <w:lang w:eastAsia="zh-CN"/>
          <w14:textFill>
            <w14:solidFill>
              <w14:schemeClr w14:val="tx1"/>
            </w14:solidFill>
          </w14:textFill>
        </w:rPr>
        <w:t>。</w:t>
      </w:r>
    </w:p>
    <w:p w14:paraId="34FEC2AB">
      <w:pPr>
        <w:spacing w:line="360" w:lineRule="auto"/>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5、合同供货（服务）期限及地点和方式</w:t>
      </w:r>
    </w:p>
    <w:p w14:paraId="12B9A985">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6、验收要求及违约责任</w:t>
      </w:r>
    </w:p>
    <w:p w14:paraId="37E4240F">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7、违约责任及解决争议方法</w:t>
      </w:r>
    </w:p>
    <w:p w14:paraId="1B03F6DA">
      <w:pPr>
        <w:spacing w:line="42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8、合同的生效</w:t>
      </w:r>
    </w:p>
    <w:p w14:paraId="01F33BEB">
      <w:pPr>
        <w:pStyle w:val="20"/>
        <w:spacing w:after="0" w:line="42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合同经双方授权代表签署，买卖双方加盖印章之后生效。</w:t>
      </w:r>
    </w:p>
    <w:p w14:paraId="003B53D2">
      <w:pPr>
        <w:pStyle w:val="20"/>
        <w:spacing w:after="0" w:line="42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本合同一式     份，双方各执     份。</w:t>
      </w:r>
    </w:p>
    <w:p w14:paraId="194F478D">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买  方：                            卖  方：</w:t>
      </w:r>
    </w:p>
    <w:p w14:paraId="17A9D0EE">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名  称：（盖章）                    名  称：（盖章）</w:t>
      </w:r>
    </w:p>
    <w:p w14:paraId="5058EDF9">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法定代表人（或委托代理人签章）：    法定代表人（或委托代理人签章）：</w:t>
      </w:r>
    </w:p>
    <w:p w14:paraId="500F5901">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地    址：                          地    址：</w:t>
      </w:r>
    </w:p>
    <w:p w14:paraId="061A32AA">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邮政编码：                          邮政编码：</w:t>
      </w:r>
    </w:p>
    <w:p w14:paraId="25B88576">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电    话：                          电    话：</w:t>
      </w:r>
    </w:p>
    <w:p w14:paraId="47A2D659">
      <w:pPr>
        <w:pStyle w:val="20"/>
        <w:spacing w:after="0" w:line="360" w:lineRule="exact"/>
        <w:ind w:left="0" w:leftChars="0" w:firstLine="49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开户银行：                          开户银行：</w:t>
      </w:r>
    </w:p>
    <w:p w14:paraId="7A5AF55B">
      <w:pPr>
        <w:pStyle w:val="20"/>
        <w:spacing w:after="0" w:line="360" w:lineRule="exact"/>
        <w:ind w:left="0" w:leftChars="0" w:firstLine="490" w:firstLineChars="200"/>
        <w:rPr>
          <w:rFonts w:ascii="仿宋" w:hAnsi="仿宋" w:eastAsia="仿宋" w:cs="仿宋"/>
          <w:b/>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帐    号：                          帐    号：</w:t>
      </w:r>
    </w:p>
    <w:p w14:paraId="3338BB77">
      <w:pPr>
        <w:pStyle w:val="3"/>
        <w:bidi w:val="0"/>
        <w:rPr>
          <w:color w:val="000000" w:themeColor="text1"/>
          <w:lang w:eastAsia="zh-CN"/>
          <w14:textFill>
            <w14:solidFill>
              <w14:schemeClr w14:val="tx1"/>
            </w14:solidFill>
          </w14:textFill>
        </w:rPr>
      </w:pPr>
      <w:bookmarkStart w:id="179" w:name="_Toc20824"/>
      <w:r>
        <w:rPr>
          <w:rFonts w:hint="eastAsia"/>
          <w:color w:val="000000" w:themeColor="text1"/>
          <w:lang w:eastAsia="zh-CN"/>
          <w14:textFill>
            <w14:solidFill>
              <w14:schemeClr w14:val="tx1"/>
            </w14:solidFill>
          </w14:textFill>
        </w:rPr>
        <w:t>二  合同条款</w:t>
      </w:r>
      <w:bookmarkEnd w:id="170"/>
      <w:bookmarkEnd w:id="171"/>
      <w:bookmarkEnd w:id="172"/>
      <w:bookmarkEnd w:id="173"/>
      <w:bookmarkEnd w:id="174"/>
      <w:bookmarkEnd w:id="175"/>
      <w:bookmarkEnd w:id="176"/>
      <w:bookmarkEnd w:id="177"/>
      <w:bookmarkEnd w:id="178"/>
      <w:bookmarkEnd w:id="179"/>
    </w:p>
    <w:p w14:paraId="101E566A">
      <w:pPr>
        <w:spacing w:line="440" w:lineRule="exac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一.合同文件</w:t>
      </w:r>
    </w:p>
    <w:p w14:paraId="4DD0B20E">
      <w:pPr>
        <w:spacing w:line="440" w:lineRule="exac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1、合同文件适用法律</w:t>
      </w:r>
    </w:p>
    <w:p w14:paraId="68ACE79B">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适用于合同文件的法律是中华人民共和国现行法律、法规及招标人所在地的地方性法规。</w:t>
      </w:r>
    </w:p>
    <w:p w14:paraId="592A6BED">
      <w:pPr>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2、合同文件组成和解释顺序</w:t>
      </w:r>
    </w:p>
    <w:p w14:paraId="4AC3D55F">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(1)合同文件的组成和解释顺序如下：</w:t>
      </w:r>
    </w:p>
    <w:p w14:paraId="5C73FEC5">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&lt;1&gt;合同的主要条款；</w:t>
      </w:r>
    </w:p>
    <w:p w14:paraId="7B87D32E">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&lt;2&gt;合同的一般性条款；</w:t>
      </w:r>
    </w:p>
    <w:p w14:paraId="37412EA7">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&lt;3&gt;洽商、变更等明确双方权利义务的纪要、协议；</w:t>
      </w:r>
    </w:p>
    <w:p w14:paraId="3C99B8F9">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&lt;4&gt;成交通知书、响应文件和采购文件；</w:t>
      </w:r>
    </w:p>
    <w:p w14:paraId="56091766">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&lt;5&gt;有关图纸、标准、规范和其它有关技术资料、技术要求。</w:t>
      </w:r>
    </w:p>
    <w:p w14:paraId="52CC2AA1">
      <w:pPr>
        <w:spacing w:line="440" w:lineRule="exact"/>
        <w:ind w:firstLine="430" w:firstLineChars="200"/>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&lt;6&gt;合同的主要条款的效力优于合同的一般性条款的效力。</w:t>
      </w:r>
    </w:p>
    <w:p w14:paraId="0BFE0A54">
      <w:pPr>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3、合同文件使用文字</w:t>
      </w:r>
    </w:p>
    <w:p w14:paraId="545484A8">
      <w:pPr>
        <w:pStyle w:val="13"/>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(1)合同文件使用中文书写、解释和说明。</w:t>
      </w:r>
    </w:p>
    <w:p w14:paraId="47FF0F88">
      <w:pPr>
        <w:pStyle w:val="13"/>
        <w:overflowPunct w:val="0"/>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 xml:space="preserve">(2)合同文件使用技术性条款约定的为国家标准和规范；国家没有相应标准、规范时，可使用行业标准、规范。非标货物应按约定的技术性条款的标准和规范。 </w:t>
      </w:r>
    </w:p>
    <w:p w14:paraId="1872A599">
      <w:pPr>
        <w:spacing w:line="440" w:lineRule="exact"/>
        <w:rPr>
          <w:rFonts w:ascii="仿宋" w:hAnsi="仿宋" w:eastAsia="仿宋" w:cs="仿宋"/>
          <w:b/>
          <w:color w:val="000000" w:themeColor="text1"/>
          <w:szCs w:val="21"/>
          <w:highlight w:val="none"/>
          <w:lang w:eastAsia="zh-CN"/>
          <w14:textFill>
            <w14:solidFill>
              <w14:schemeClr w14:val="tx1"/>
            </w14:solidFill>
          </w14:textFill>
        </w:rPr>
      </w:pPr>
      <w:r>
        <w:rPr>
          <w:rFonts w:hint="eastAsia" w:ascii="仿宋" w:hAnsi="仿宋" w:eastAsia="仿宋" w:cs="仿宋"/>
          <w:b/>
          <w:color w:val="000000" w:themeColor="text1"/>
          <w:szCs w:val="21"/>
          <w:highlight w:val="none"/>
          <w:lang w:eastAsia="zh-CN"/>
          <w14:textFill>
            <w14:solidFill>
              <w14:schemeClr w14:val="tx1"/>
            </w14:solidFill>
          </w14:textFill>
        </w:rPr>
        <w:t>二.标的物的一般条款</w:t>
      </w:r>
    </w:p>
    <w:p w14:paraId="58ED104C">
      <w:pPr>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4、完整物权</w:t>
      </w:r>
    </w:p>
    <w:p w14:paraId="7339316B">
      <w:pPr>
        <w:tabs>
          <w:tab w:val="left" w:pos="660"/>
        </w:tabs>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 xml:space="preserve">    对于出卖的标的物，卖方应当拥有完整物权，并且卖方负有保证第三人不得向买方主张任何权利（包括知识产权）的义务。</w:t>
      </w:r>
    </w:p>
    <w:p w14:paraId="3A62B705">
      <w:pPr>
        <w:spacing w:line="440" w:lineRule="exact"/>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5、质量保证</w:t>
      </w:r>
    </w:p>
    <w:p w14:paraId="2CF007DB">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70EBCE2B">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63369152">
      <w:pPr>
        <w:pStyle w:val="13"/>
        <w:tabs>
          <w:tab w:val="left" w:pos="900"/>
        </w:tabs>
        <w:overflowPunct w:val="0"/>
        <w:spacing w:line="440" w:lineRule="exact"/>
        <w:rPr>
          <w:rFonts w:cs="宋体"/>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(3)除合同主要条款规定外，合同条款成交的物的质量保证期均自标的物通过最终验收之日起计算，且质量保证期按不低于国家标准和卖方承诺的高于国家标准的质保期（卖方有特殊要求的除</w:t>
      </w:r>
      <w:r>
        <w:rPr>
          <w:rFonts w:hint="eastAsia" w:cs="宋体"/>
          <w:color w:val="000000" w:themeColor="text1"/>
          <w:sz w:val="21"/>
          <w:szCs w:val="21"/>
          <w:highlight w:val="none"/>
          <w:lang w:eastAsia="zh-CN"/>
          <w14:textFill>
            <w14:solidFill>
              <w14:schemeClr w14:val="tx1"/>
            </w14:solidFill>
          </w14:textFill>
        </w:rPr>
        <w:t>外）。</w:t>
      </w:r>
    </w:p>
    <w:p w14:paraId="4995F1F3">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6、包装</w:t>
      </w:r>
    </w:p>
    <w:p w14:paraId="7F1EC439">
      <w:pPr>
        <w:pStyle w:val="13"/>
        <w:tabs>
          <w:tab w:val="left" w:pos="900"/>
        </w:tabs>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7E6FFAEB">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7、伴随服务</w:t>
      </w:r>
    </w:p>
    <w:p w14:paraId="01C7C50E">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(1)卖方除应履行按期按量交付合格标的物的义务之外，还应提供下列服务：</w:t>
      </w:r>
    </w:p>
    <w:p w14:paraId="66140850">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&lt;1&gt;标的物的现场安装或指导安装、启动、调试、监督（如果必须安装、调试的话）；</w:t>
      </w:r>
    </w:p>
    <w:p w14:paraId="0739B047">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&lt;2&gt;提供标的物组装和一般维修所必须的工具；</w:t>
      </w:r>
    </w:p>
    <w:p w14:paraId="3FA1E97B">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&lt;3&gt;在合同规定的期限内对所提供标的物实行运行监督、维修服务的前提条件是该服务并不能免除卖方在质量保证期内所承担的义务；</w:t>
      </w:r>
    </w:p>
    <w:p w14:paraId="45690894">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&lt;4&gt;对买方技术人员的技术指导或培训。</w:t>
      </w:r>
    </w:p>
    <w:p w14:paraId="4D8A5394">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(2)除合同另有规定之外，伴随服务的费用均已含在合同价款中，买方不再另行进行支付。</w:t>
      </w:r>
    </w:p>
    <w:p w14:paraId="07D4528A">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三.标的物的交付、检验和验收</w:t>
      </w:r>
    </w:p>
    <w:p w14:paraId="7312E1FE">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8、标的物的交付</w:t>
      </w:r>
    </w:p>
    <w:p w14:paraId="78AAE358">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(1)标的物的所有权自标的物交付时转移。</w:t>
      </w:r>
    </w:p>
    <w:p w14:paraId="18F3D6DD">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(2)卖方应当按照约定的期限和约定的地点交付符合采购文件要求的标的物。</w:t>
      </w:r>
    </w:p>
    <w:p w14:paraId="71EB4F1E">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(3)卖方应当按照约定或者交易习惯向招标人交付提取标的物单证以外的有关单证和资料。</w:t>
      </w:r>
    </w:p>
    <w:p w14:paraId="449B89C9">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9、检验和验收</w:t>
      </w:r>
    </w:p>
    <w:p w14:paraId="103B2A90">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643192FB">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(2)买方根据合同规定的内容和验收标准进行验收，经检验无误后出具验收合格证明，该证明作为最终付款所需文件的组成部分。</w:t>
      </w:r>
    </w:p>
    <w:p w14:paraId="4CC927DA">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(3)验收期限自标的物交付之日起三十天内。特殊情况需延长的，双方应在合同条款中约定。</w:t>
      </w:r>
    </w:p>
    <w:p w14:paraId="7B51D86C">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四.对标的物提出异议的时间和办法</w:t>
      </w:r>
    </w:p>
    <w:p w14:paraId="59684A0C">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10、对标的物提出异议的时间和办法 </w:t>
      </w:r>
    </w:p>
    <w:p w14:paraId="6EF33693">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(1)买方在验收过程中，应当于双方约定的检验期间内将标的物的数量或质量不符合约定的情形及处理方式以书面形式通知卖方。</w:t>
      </w:r>
    </w:p>
    <w:p w14:paraId="6987017C">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(2)如买方在验收期满后既不出具验收合格证明又未提出书面异议的视为卖方所交标的物符合合同规定。</w:t>
      </w:r>
    </w:p>
    <w:p w14:paraId="6A7B2D18">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(3)卖方应在收到买方书面异议后七天内负责处理问题，否则将视为默认买方提出的异议和处理意见。</w:t>
      </w:r>
    </w:p>
    <w:p w14:paraId="304A0AB8">
      <w:pPr>
        <w:spacing w:line="440" w:lineRule="exac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五.合同价款和支付</w:t>
      </w:r>
    </w:p>
    <w:p w14:paraId="3C7BCD6F">
      <w:pPr>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11、合同价款和支付</w:t>
      </w:r>
    </w:p>
    <w:p w14:paraId="33669008">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(1)本合同的结算货币为人民币，单位元。</w:t>
      </w:r>
    </w:p>
    <w:p w14:paraId="0EBADA52">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(2)卖方应按照双方签订的合同规定交货并在合同主要条款规定的期限内持下列单据结算货款：</w:t>
      </w:r>
    </w:p>
    <w:p w14:paraId="096534E2">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&lt;1&gt;合格的销售发票；</w:t>
      </w:r>
    </w:p>
    <w:p w14:paraId="6D61875C">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&lt;2&gt;买方盖章签收后的送货回单和验收合格证明。</w:t>
      </w:r>
    </w:p>
    <w:p w14:paraId="08749B20">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(3)买方应按合同主要条款规定的期限和方式付款。</w:t>
      </w:r>
    </w:p>
    <w:p w14:paraId="4E757625">
      <w:pPr>
        <w:pStyle w:val="13"/>
        <w:tabs>
          <w:tab w:val="left" w:pos="540"/>
        </w:tabs>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(4)根据现行税法对买方征收的与本合同有关的一切税费均由买方承担；根据现行税法对卖方征收的与本合同有关的一切税费均由卖方承担。</w:t>
      </w:r>
    </w:p>
    <w:p w14:paraId="75E9AF21">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六.违约责任</w:t>
      </w:r>
    </w:p>
    <w:p w14:paraId="3648DA62">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12、违约责任</w:t>
      </w:r>
    </w:p>
    <w:p w14:paraId="2B38BA26">
      <w:pPr>
        <w:pStyle w:val="13"/>
        <w:spacing w:line="440" w:lineRule="exact"/>
        <w:ind w:firstLine="430" w:firstLineChars="200"/>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合同一方不履行合同义务或者履行合同义务不符合约定的，应当承担继续履行、采取补救措施或者赔偿损失等违约责任。</w:t>
      </w:r>
    </w:p>
    <w:p w14:paraId="7D44418A">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13、买方违约责任</w:t>
      </w:r>
    </w:p>
    <w:p w14:paraId="4DBB1802">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(1)在合同生效后，买方要求退货的，应向卖方偿付合同总价款的5%，作为违约金，违约金不足以补偿损失的，卖方有权要求甲方补足。</w:t>
      </w:r>
    </w:p>
    <w:p w14:paraId="584D4116">
      <w:pPr>
        <w:pStyle w:val="13"/>
        <w:overflowPunct w:val="0"/>
        <w:spacing w:line="440" w:lineRule="exact"/>
        <w:ind w:right="-341" w:rightChars="-159"/>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(2)买方逾期付款的应按照逾期付款金额的每天万分之四支付逾期付款违约金。</w:t>
      </w:r>
    </w:p>
    <w:p w14:paraId="167C1EEC">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(3)买方违反合同规定，拒绝接收卖方交付的符合采购文件要求的合格标的物，应当承担卖方由此造成的损失。</w:t>
      </w:r>
    </w:p>
    <w:p w14:paraId="4FC76EBC">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14、卖方违约责任</w:t>
      </w:r>
    </w:p>
    <w:p w14:paraId="7E778964">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(1)卖方不能交货（逾期超过五天视为不能交货），或交货不合格从而影响买方按期正常使用的，应向买方偿付合同总价款5%的违约金，违约金不足以补偿损失的，买方有权要求卖方补足。</w:t>
      </w:r>
    </w:p>
    <w:p w14:paraId="0D6B5773">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(2)卖方逾期交货的，应在发货前与买方和政府采购管理部门协商，买方仍需求的，卖方应立即发货并应按照逾期交货部分货款的每天万分之四支付逾期交货违约金，同时承担买方因此遭致的损失费用。</w:t>
      </w:r>
    </w:p>
    <w:p w14:paraId="239C9D3E">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15、不可抗力</w:t>
      </w:r>
    </w:p>
    <w:p w14:paraId="49B1FEB4">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(1)因水灾、火灾、地震、战争等不可抗力不能履行合同的，根据不可抗力的影响，部分或者全部免除责任。但合同一方迟延履行后发生不可抗力的，不能免除责任。</w:t>
      </w:r>
    </w:p>
    <w:p w14:paraId="70FA2768">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(2)合同一方因不可抗力不能履行合同的，应当及时通知对方，以减轻可能给对方造成的损失，并应当在合理期限内提供证明。</w:t>
      </w:r>
    </w:p>
    <w:p w14:paraId="410B2744">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七.索赔</w:t>
      </w:r>
    </w:p>
    <w:p w14:paraId="56606EBC">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16、索赔</w:t>
      </w:r>
    </w:p>
    <w:p w14:paraId="44C5BE96">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(1)买方有权根据当地产品质量检验机构或其它有权威部门出具的检验证书向卖方提出索赔。</w:t>
      </w:r>
    </w:p>
    <w:p w14:paraId="7AB0BA5F">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(2)在本合同规定的检验期和质量保证期内，如果卖方对买方提出的索赔或差异有责任，则卖方应按买方同意的下列一种或多种方式解决索赔事宜：</w:t>
      </w:r>
    </w:p>
    <w:p w14:paraId="49B5C0DA">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&lt;1&gt;卖方同意退货，并按合同规定的货币将货款退还给买方，并承担由此发生的一切损失和费用，包括利息、银行手续费、运费、保险费、检验费、仓储费、装卸费以及为保护退回标的物所需的其它必要费用；</w:t>
      </w:r>
    </w:p>
    <w:p w14:paraId="056FDDA7">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&lt;2&gt;根据标的物的低劣程度、损坏程度以及甲方遭受损失的数额，经双方协商确定降低标的物的价格；</w:t>
      </w:r>
    </w:p>
    <w:p w14:paraId="647A1261">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0E119879">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64BDADE2">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(4)买方提出索赔的书面材料应报当地政府采购管理部门备案。卖方同意的索赔方案应报当地政府采购管理部门审核。</w:t>
      </w:r>
    </w:p>
    <w:p w14:paraId="1FD7F0B5">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八.履约保证金</w:t>
      </w:r>
    </w:p>
    <w:p w14:paraId="430EB89F">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17、履约保证金</w:t>
      </w:r>
    </w:p>
    <w:p w14:paraId="60E09623">
      <w:pPr>
        <w:pStyle w:val="13"/>
        <w:overflowPunct w:val="0"/>
        <w:spacing w:line="440" w:lineRule="exact"/>
        <w:ind w:firstLine="537" w:firstLineChars="250"/>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(1)卖方应在本合同签订时，按采购文件的约定提供相应的履约保证金，保证金的有效期应不低于合同有效期。</w:t>
      </w:r>
    </w:p>
    <w:p w14:paraId="02268B6E">
      <w:pPr>
        <w:pStyle w:val="13"/>
        <w:overflowPunct w:val="0"/>
        <w:spacing w:line="440" w:lineRule="exact"/>
        <w:ind w:right="-341" w:rightChars="-159"/>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(2)如果卖方未能履行合同规定的任何义务，买方有权从履约保证金中取得补偿。</w:t>
      </w:r>
    </w:p>
    <w:p w14:paraId="3E05ABAC">
      <w:pPr>
        <w:pStyle w:val="13"/>
        <w:overflowPunct w:val="0"/>
        <w:spacing w:line="440" w:lineRule="exact"/>
        <w:ind w:right="-894" w:rightChars="-416"/>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(3)履约保证金（无息）将在卖方履行完合同义务，买方支付合同价款的五天内</w:t>
      </w:r>
    </w:p>
    <w:p w14:paraId="6EC8B6BD">
      <w:pPr>
        <w:pStyle w:val="13"/>
        <w:overflowPunct w:val="0"/>
        <w:spacing w:line="440" w:lineRule="exact"/>
        <w:ind w:right="-894" w:rightChars="-416" w:firstLine="0"/>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退回。</w:t>
      </w:r>
    </w:p>
    <w:p w14:paraId="4E3893E4">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九.合同的解除和转让</w:t>
      </w:r>
    </w:p>
    <w:p w14:paraId="235C7053">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18、合同的解除</w:t>
      </w:r>
    </w:p>
    <w:p w14:paraId="31740BB3">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(1)买方和卖方协商一致，可以解除合同。</w:t>
      </w:r>
    </w:p>
    <w:p w14:paraId="38DBD11F">
      <w:pPr>
        <w:pStyle w:val="13"/>
        <w:spacing w:line="440" w:lineRule="exac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(2)有下列情形之一，合同一方可以解除合同：</w:t>
      </w:r>
    </w:p>
    <w:p w14:paraId="6D013300">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&lt;1&gt;因不可抗力致使不能实现合同目的，未受不可抗力影响的一方有权解除合同；</w:t>
      </w:r>
    </w:p>
    <w:p w14:paraId="0FB18C49">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&lt;2&gt;因合同一方违约导致合同不能履行，另一方有权解除合同。</w:t>
      </w:r>
    </w:p>
    <w:p w14:paraId="00FEA372">
      <w:pPr>
        <w:pStyle w:val="13"/>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(3)有权解除合同的一方，应当在违约事实或不可抗力发生之后三十天内书面通知对方以主张解除合同，合同在书面通知到达对方时解除。</w:t>
      </w:r>
    </w:p>
    <w:p w14:paraId="1E18CFEF">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19、合同的转让</w:t>
      </w:r>
    </w:p>
    <w:p w14:paraId="3389EE8B">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合同的部分和全部都不得转让。</w:t>
      </w:r>
    </w:p>
    <w:p w14:paraId="412A5D16">
      <w:pPr>
        <w:spacing w:line="440" w:lineRule="exac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十.合同的生效</w:t>
      </w:r>
    </w:p>
    <w:p w14:paraId="67C5E2ED">
      <w:pPr>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20</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合同的生效</w:t>
      </w:r>
    </w:p>
    <w:p w14:paraId="2CBADD9D">
      <w:pPr>
        <w:spacing w:line="440" w:lineRule="exact"/>
        <w:ind w:firstLine="43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本合同在双方签字盖章并在招标人收到成交人提交的履约保证金后，经招标采购管理部门备案后生效。</w:t>
      </w:r>
    </w:p>
    <w:p w14:paraId="75A6C629">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十一. 争议解决</w:t>
      </w:r>
    </w:p>
    <w:p w14:paraId="24B4E269">
      <w:pPr>
        <w:spacing w:line="440" w:lineRule="exact"/>
        <w:ind w:firstLine="215"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21、争议解决</w:t>
      </w:r>
    </w:p>
    <w:p w14:paraId="5DD660A0">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 xml:space="preserve"> 买卖双方因合同发生争议，进行调解，协商不成，可选择：</w:t>
      </w:r>
    </w:p>
    <w:p w14:paraId="6FCDDE4E">
      <w:pPr>
        <w:pStyle w:val="13"/>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(1)向甲方所在地人民法院提起诉讼；</w:t>
      </w:r>
    </w:p>
    <w:p w14:paraId="4BA77D31">
      <w:pPr>
        <w:pStyle w:val="13"/>
        <w:tabs>
          <w:tab w:val="left" w:pos="900"/>
        </w:tabs>
        <w:overflowPunct w:val="0"/>
        <w:spacing w:line="440" w:lineRule="exact"/>
        <w:rPr>
          <w:rFonts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(2)向买方所在地人民法院提起诉讼。</w:t>
      </w:r>
    </w:p>
    <w:p w14:paraId="3FC86D3A">
      <w:pPr>
        <w:spacing w:line="440" w:lineRule="exact"/>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十二 .附则</w:t>
      </w:r>
    </w:p>
    <w:p w14:paraId="41A73DB0">
      <w:pPr>
        <w:spacing w:line="440" w:lineRule="exact"/>
        <w:ind w:firstLine="215"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22、合同份数。</w:t>
      </w:r>
    </w:p>
    <w:p w14:paraId="42DAC2DE">
      <w:pPr>
        <w:spacing w:line="44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ab/>
      </w:r>
      <w:r>
        <w:rPr>
          <w:rFonts w:hint="eastAsia" w:ascii="仿宋" w:hAnsi="仿宋" w:eastAsia="仿宋" w:cs="仿宋"/>
          <w:color w:val="000000" w:themeColor="text1"/>
          <w:highlight w:val="none"/>
          <w:lang w:eastAsia="zh-CN"/>
          <w14:textFill>
            <w14:solidFill>
              <w14:schemeClr w14:val="tx1"/>
            </w14:solidFill>
          </w14:textFill>
        </w:rPr>
        <w:t xml:space="preserve"> 本合同一式陆份，买卖双方各执二份，招标代理机构一份，招标采购管理部门一份。</w:t>
      </w:r>
    </w:p>
    <w:p w14:paraId="14A6DF68">
      <w:pPr>
        <w:spacing w:line="440" w:lineRule="exact"/>
        <w:ind w:firstLine="215"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23、未尽事宜</w:t>
      </w:r>
    </w:p>
    <w:p w14:paraId="41A48D5B">
      <w:pPr>
        <w:spacing w:line="440" w:lineRule="exact"/>
        <w:ind w:firstLine="537" w:firstLineChars="250"/>
        <w:rPr>
          <w:rFonts w:ascii="宋体" w:cs="宋体"/>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本合同未尽事宜应按《中华人民共和国政府采购法》、《中华人民共和国民法典》、《中华人民共和国产品质量法》之规定解释。</w:t>
      </w:r>
    </w:p>
    <w:p w14:paraId="25F15525">
      <w:pPr>
        <w:shd w:val="clear" w:color="auto" w:fill="auto"/>
        <w:spacing w:line="360" w:lineRule="auto"/>
        <w:jc w:val="left"/>
        <w:rPr>
          <w:rFonts w:hint="eastAsia" w:ascii="仿宋" w:hAnsi="仿宋" w:eastAsia="仿宋" w:cs="仿宋"/>
          <w:b w:val="0"/>
          <w:bCs w:val="0"/>
          <w:color w:val="000000" w:themeColor="text1"/>
          <w:sz w:val="24"/>
          <w:szCs w:val="24"/>
          <w:highlight w:val="none"/>
          <w14:textFill>
            <w14:solidFill>
              <w14:schemeClr w14:val="tx1"/>
            </w14:solidFill>
          </w14:textFill>
        </w:rPr>
      </w:pPr>
    </w:p>
    <w:p w14:paraId="7DA50E24">
      <w:pPr>
        <w:shd w:val="clear" w:color="auto" w:fill="auto"/>
        <w:spacing w:line="360" w:lineRule="auto"/>
        <w:jc w:val="left"/>
        <w:rPr>
          <w:rFonts w:hint="eastAsia" w:ascii="仿宋" w:hAnsi="仿宋" w:eastAsia="仿宋" w:cs="仿宋"/>
          <w:b w:val="0"/>
          <w:bCs w:val="0"/>
          <w:color w:val="000000" w:themeColor="text1"/>
          <w:sz w:val="24"/>
          <w:szCs w:val="24"/>
          <w:highlight w:val="none"/>
          <w14:textFill>
            <w14:solidFill>
              <w14:schemeClr w14:val="tx1"/>
            </w14:solidFill>
          </w14:textFill>
        </w:rPr>
      </w:pPr>
    </w:p>
    <w:p w14:paraId="5C9FD302">
      <w:pPr>
        <w:shd w:val="clear" w:color="auto" w:fill="auto"/>
        <w:spacing w:line="360" w:lineRule="auto"/>
        <w:jc w:val="center"/>
        <w:outlineLvl w:val="9"/>
        <w:rPr>
          <w:rFonts w:hint="eastAsia" w:ascii="宋体" w:hAnsi="宋体" w:eastAsia="宋体" w:cs="宋体"/>
          <w:b/>
          <w:bCs/>
          <w:color w:val="000000" w:themeColor="text1"/>
          <w:sz w:val="36"/>
          <w:szCs w:val="36"/>
          <w:highlight w:val="none"/>
          <w14:textFill>
            <w14:solidFill>
              <w14:schemeClr w14:val="tx1"/>
            </w14:solidFill>
          </w14:textFill>
        </w:rPr>
      </w:pPr>
    </w:p>
    <w:p w14:paraId="6023297D">
      <w:pPr>
        <w:pStyle w:val="38"/>
        <w:rPr>
          <w:rFonts w:hint="eastAsia" w:ascii="宋体" w:hAnsi="宋体" w:eastAsia="宋体" w:cs="宋体"/>
          <w:b/>
          <w:bCs/>
          <w:color w:val="000000" w:themeColor="text1"/>
          <w:sz w:val="36"/>
          <w:szCs w:val="36"/>
          <w:highlight w:val="none"/>
          <w14:textFill>
            <w14:solidFill>
              <w14:schemeClr w14:val="tx1"/>
            </w14:solidFill>
          </w14:textFill>
        </w:rPr>
      </w:pPr>
    </w:p>
    <w:p w14:paraId="5457EBDC">
      <w:pPr>
        <w:rPr>
          <w:rFonts w:hint="eastAsia" w:ascii="宋体" w:hAnsi="宋体" w:eastAsia="宋体" w:cs="宋体"/>
          <w:b/>
          <w:bCs/>
          <w:color w:val="000000" w:themeColor="text1"/>
          <w:sz w:val="36"/>
          <w:szCs w:val="36"/>
          <w:highlight w:val="none"/>
          <w14:textFill>
            <w14:solidFill>
              <w14:schemeClr w14:val="tx1"/>
            </w14:solidFill>
          </w14:textFill>
        </w:rPr>
      </w:pPr>
    </w:p>
    <w:p w14:paraId="466E3DA2">
      <w:pPr>
        <w:pStyle w:val="38"/>
        <w:rPr>
          <w:rFonts w:hint="eastAsia"/>
          <w:color w:val="000000" w:themeColor="text1"/>
          <w14:textFill>
            <w14:solidFill>
              <w14:schemeClr w14:val="tx1"/>
            </w14:solidFill>
          </w14:textFill>
        </w:rPr>
      </w:pPr>
    </w:p>
    <w:p w14:paraId="06E9A831">
      <w:pPr>
        <w:pStyle w:val="4"/>
        <w:outlineLvl w:val="9"/>
        <w:rPr>
          <w:rFonts w:hint="eastAsia" w:ascii="宋体" w:hAnsi="宋体" w:eastAsia="宋体" w:cs="宋体"/>
          <w:b/>
          <w:bCs/>
          <w:color w:val="000000" w:themeColor="text1"/>
          <w:sz w:val="36"/>
          <w:szCs w:val="36"/>
          <w:highlight w:val="none"/>
          <w14:textFill>
            <w14:solidFill>
              <w14:schemeClr w14:val="tx1"/>
            </w14:solidFill>
          </w14:textFill>
        </w:rPr>
      </w:pPr>
    </w:p>
    <w:p w14:paraId="11F15959">
      <w:pPr>
        <w:numPr>
          <w:ilvl w:val="0"/>
          <w:numId w:val="0"/>
        </w:numPr>
        <w:shd w:val="clear" w:color="auto" w:fill="auto"/>
        <w:spacing w:line="360" w:lineRule="auto"/>
        <w:ind w:leftChars="0"/>
        <w:jc w:val="center"/>
        <w:outlineLvl w:val="0"/>
        <w:rPr>
          <w:rFonts w:hint="eastAsia" w:ascii="宋体" w:hAnsi="宋体" w:eastAsia="宋体" w:cs="宋体"/>
          <w:b/>
          <w:bCs/>
          <w:color w:val="000000" w:themeColor="text1"/>
          <w:sz w:val="36"/>
          <w:szCs w:val="36"/>
          <w:highlight w:val="none"/>
          <w:lang w:eastAsia="zh-CN"/>
          <w14:textFill>
            <w14:solidFill>
              <w14:schemeClr w14:val="tx1"/>
            </w14:solidFill>
          </w14:textFill>
        </w:rPr>
        <w:sectPr>
          <w:footerReference r:id="rId14" w:type="default"/>
          <w:pgSz w:w="11905" w:h="16838"/>
          <w:pgMar w:top="1440" w:right="1080" w:bottom="1440" w:left="1080" w:header="850" w:footer="992" w:gutter="0"/>
          <w:pgNumType w:fmt="decimal"/>
          <w:cols w:space="720" w:num="1"/>
          <w:rtlGutter w:val="0"/>
          <w:docGrid w:type="linesAndChars" w:linePitch="332" w:charSpace="1057"/>
        </w:sectPr>
      </w:pPr>
    </w:p>
    <w:p w14:paraId="7C826E31">
      <w:pPr>
        <w:pStyle w:val="2"/>
        <w:bidi w:val="0"/>
        <w:rPr>
          <w:rFonts w:hint="eastAsia"/>
          <w:color w:val="000000" w:themeColor="text1"/>
          <w14:textFill>
            <w14:solidFill>
              <w14:schemeClr w14:val="tx1"/>
            </w14:solidFill>
          </w14:textFill>
        </w:rPr>
      </w:pPr>
      <w:bookmarkStart w:id="180" w:name="_Toc5793"/>
      <w:r>
        <w:rPr>
          <w:rFonts w:hint="eastAsia"/>
          <w:color w:val="000000" w:themeColor="text1"/>
          <w:lang w:eastAsia="zh-CN"/>
          <w14:textFill>
            <w14:solidFill>
              <w14:schemeClr w14:val="tx1"/>
            </w14:solidFill>
          </w14:textFill>
        </w:rPr>
        <w:t>第七章</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 响应文件格式</w:t>
      </w:r>
      <w:bookmarkEnd w:id="163"/>
      <w:bookmarkEnd w:id="164"/>
      <w:bookmarkEnd w:id="180"/>
    </w:p>
    <w:p w14:paraId="75B1A0DF">
      <w:pPr>
        <w:adjustRightInd w:val="0"/>
        <w:snapToGrid w:val="0"/>
        <w:spacing w:line="360" w:lineRule="auto"/>
        <w:jc w:val="both"/>
        <w:rPr>
          <w:rFonts w:ascii="仿宋" w:hAnsi="仿宋" w:eastAsia="仿宋" w:cs="仿宋"/>
          <w:b/>
          <w:caps/>
          <w:color w:val="000000" w:themeColor="text1"/>
          <w:highlight w:val="none"/>
          <w14:textFill>
            <w14:solidFill>
              <w14:schemeClr w14:val="tx1"/>
            </w14:solidFill>
          </w14:textFill>
        </w:rPr>
      </w:pPr>
      <w:bookmarkStart w:id="181" w:name="_Toc14603_WPSOffice_Level2"/>
    </w:p>
    <w:p w14:paraId="0544F56D">
      <w:pPr>
        <w:adjustRightInd w:val="0"/>
        <w:snapToGrid w:val="0"/>
        <w:spacing w:line="360" w:lineRule="auto"/>
        <w:jc w:val="center"/>
        <w:outlineLvl w:val="1"/>
        <w:rPr>
          <w:rFonts w:ascii="仿宋" w:hAnsi="仿宋" w:eastAsia="仿宋" w:cs="仿宋"/>
          <w:bCs/>
          <w:color w:val="000000" w:themeColor="text1"/>
          <w:sz w:val="32"/>
          <w:szCs w:val="32"/>
          <w:highlight w:val="none"/>
          <w14:textFill>
            <w14:solidFill>
              <w14:schemeClr w14:val="tx1"/>
            </w14:solidFill>
          </w14:textFill>
        </w:rPr>
      </w:pPr>
      <w:bookmarkStart w:id="182" w:name="_Toc9225"/>
      <w:r>
        <w:rPr>
          <w:rFonts w:hint="eastAsia" w:ascii="仿宋" w:hAnsi="仿宋" w:eastAsia="仿宋" w:cs="仿宋"/>
          <w:b/>
          <w:caps/>
          <w:color w:val="000000" w:themeColor="text1"/>
          <w:sz w:val="32"/>
          <w:szCs w:val="32"/>
          <w:highlight w:val="none"/>
          <w14:textFill>
            <w14:solidFill>
              <w14:schemeClr w14:val="tx1"/>
            </w14:solidFill>
          </w14:textFill>
        </w:rPr>
        <w:t>（项目名称）</w:t>
      </w:r>
      <w:bookmarkEnd w:id="182"/>
    </w:p>
    <w:p w14:paraId="76616621">
      <w:pPr>
        <w:adjustRightInd w:val="0"/>
        <w:snapToGrid w:val="0"/>
        <w:spacing w:line="360" w:lineRule="auto"/>
        <w:jc w:val="both"/>
        <w:rPr>
          <w:rFonts w:ascii="仿宋" w:hAnsi="仿宋" w:eastAsia="仿宋" w:cs="仿宋"/>
          <w:bCs/>
          <w:color w:val="000000" w:themeColor="text1"/>
          <w:sz w:val="32"/>
          <w:szCs w:val="32"/>
          <w:highlight w:val="none"/>
          <w14:textFill>
            <w14:solidFill>
              <w14:schemeClr w14:val="tx1"/>
            </w14:solidFill>
          </w14:textFill>
        </w:rPr>
      </w:pPr>
    </w:p>
    <w:p w14:paraId="3A7FD59A">
      <w:pPr>
        <w:adjustRightInd w:val="0"/>
        <w:snapToGrid w:val="0"/>
        <w:spacing w:line="360" w:lineRule="auto"/>
        <w:jc w:val="center"/>
        <w:rPr>
          <w:rFonts w:ascii="仿宋" w:hAnsi="仿宋" w:eastAsia="仿宋" w:cs="仿宋"/>
          <w:bCs/>
          <w:color w:val="000000" w:themeColor="text1"/>
          <w:sz w:val="32"/>
          <w:szCs w:val="32"/>
          <w:highlight w:val="none"/>
          <w14:textFill>
            <w14:solidFill>
              <w14:schemeClr w14:val="tx1"/>
            </w14:solidFill>
          </w14:textFill>
        </w:rPr>
      </w:pPr>
    </w:p>
    <w:p w14:paraId="72A737B7">
      <w:pPr>
        <w:adjustRightInd w:val="0"/>
        <w:snapToGrid w:val="0"/>
        <w:spacing w:line="360" w:lineRule="auto"/>
        <w:jc w:val="center"/>
        <w:rPr>
          <w:rFonts w:ascii="仿宋" w:hAnsi="仿宋" w:eastAsia="仿宋" w:cs="仿宋"/>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响应文件</w:t>
      </w:r>
    </w:p>
    <w:p w14:paraId="3D0B8B5A">
      <w:pPr>
        <w:adjustRightInd w:val="0"/>
        <w:snapToGrid w:val="0"/>
        <w:spacing w:line="360" w:lineRule="auto"/>
        <w:jc w:val="center"/>
        <w:rPr>
          <w:rFonts w:ascii="仿宋" w:hAnsi="仿宋" w:eastAsia="仿宋" w:cs="仿宋"/>
          <w:bCs/>
          <w:color w:val="000000" w:themeColor="text1"/>
          <w:sz w:val="32"/>
          <w:szCs w:val="32"/>
          <w:highlight w:val="none"/>
          <w14:textFill>
            <w14:solidFill>
              <w14:schemeClr w14:val="tx1"/>
            </w14:solidFill>
          </w14:textFill>
        </w:rPr>
      </w:pPr>
    </w:p>
    <w:p w14:paraId="55E588D0">
      <w:pPr>
        <w:adjustRightInd w:val="0"/>
        <w:snapToGrid w:val="0"/>
        <w:spacing w:line="360" w:lineRule="auto"/>
        <w:jc w:val="both"/>
        <w:rPr>
          <w:rFonts w:ascii="仿宋" w:hAnsi="仿宋" w:eastAsia="仿宋" w:cs="仿宋"/>
          <w:bCs/>
          <w:color w:val="000000" w:themeColor="text1"/>
          <w:sz w:val="32"/>
          <w:szCs w:val="32"/>
          <w:highlight w:val="none"/>
          <w14:textFill>
            <w14:solidFill>
              <w14:schemeClr w14:val="tx1"/>
            </w14:solidFill>
          </w14:textFill>
        </w:rPr>
      </w:pPr>
    </w:p>
    <w:p w14:paraId="1CCE8871">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r>
        <w:rPr>
          <w:rFonts w:hint="eastAsia" w:ascii="仿宋" w:hAnsi="仿宋" w:eastAsia="仿宋" w:cs="仿宋"/>
          <w:b/>
          <w:caps/>
          <w:color w:val="000000" w:themeColor="text1"/>
          <w:spacing w:val="0"/>
          <w:kern w:val="0"/>
          <w:sz w:val="28"/>
          <w:szCs w:val="28"/>
          <w:highlight w:val="none"/>
          <w:fitText w:val="2810" w:id="834279132"/>
          <w14:textFill>
            <w14:solidFill>
              <w14:schemeClr w14:val="tx1"/>
            </w14:solidFill>
          </w14:textFill>
        </w:rPr>
        <w:t>供应商名称（公章）：</w:t>
      </w:r>
    </w:p>
    <w:p w14:paraId="239AFA8B">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p>
    <w:p w14:paraId="7584712F">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r>
        <w:rPr>
          <w:rFonts w:hint="eastAsia" w:ascii="仿宋" w:hAnsi="仿宋" w:eastAsia="仿宋" w:cs="仿宋"/>
          <w:b/>
          <w:caps/>
          <w:color w:val="000000" w:themeColor="text1"/>
          <w:spacing w:val="0"/>
          <w:w w:val="77"/>
          <w:kern w:val="0"/>
          <w:sz w:val="28"/>
          <w:szCs w:val="28"/>
          <w:highlight w:val="none"/>
          <w:fitText w:val="2810" w:id="660031919"/>
          <w14:textFill>
            <w14:solidFill>
              <w14:schemeClr w14:val="tx1"/>
            </w14:solidFill>
          </w14:textFill>
        </w:rPr>
        <w:t>法定代表人（</w:t>
      </w:r>
      <w:r>
        <w:rPr>
          <w:rFonts w:hint="eastAsia" w:ascii="仿宋" w:hAnsi="仿宋" w:eastAsia="仿宋" w:cs="仿宋"/>
          <w:b/>
          <w:caps/>
          <w:color w:val="000000" w:themeColor="text1"/>
          <w:spacing w:val="0"/>
          <w:w w:val="77"/>
          <w:kern w:val="0"/>
          <w:sz w:val="28"/>
          <w:szCs w:val="28"/>
          <w:highlight w:val="none"/>
          <w:fitText w:val="2810" w:id="660031919"/>
          <w:lang w:eastAsia="zh-CN"/>
          <w14:textFill>
            <w14:solidFill>
              <w14:schemeClr w14:val="tx1"/>
            </w14:solidFill>
          </w14:textFill>
        </w:rPr>
        <w:t>签章</w:t>
      </w:r>
      <w:r>
        <w:rPr>
          <w:rFonts w:hint="eastAsia" w:ascii="仿宋" w:hAnsi="仿宋" w:eastAsia="仿宋" w:cs="仿宋"/>
          <w:b/>
          <w:caps/>
          <w:color w:val="000000" w:themeColor="text1"/>
          <w:spacing w:val="0"/>
          <w:w w:val="77"/>
          <w:kern w:val="0"/>
          <w:sz w:val="28"/>
          <w:szCs w:val="28"/>
          <w:highlight w:val="none"/>
          <w:fitText w:val="2810" w:id="660031919"/>
          <w14:textFill>
            <w14:solidFill>
              <w14:schemeClr w14:val="tx1"/>
            </w14:solidFill>
          </w14:textFill>
        </w:rPr>
        <w:t>或盖章）</w:t>
      </w:r>
      <w:r>
        <w:rPr>
          <w:rFonts w:hint="eastAsia" w:ascii="仿宋" w:hAnsi="仿宋" w:eastAsia="仿宋" w:cs="仿宋"/>
          <w:b/>
          <w:caps/>
          <w:color w:val="000000" w:themeColor="text1"/>
          <w:spacing w:val="-1"/>
          <w:w w:val="77"/>
          <w:kern w:val="0"/>
          <w:sz w:val="28"/>
          <w:szCs w:val="28"/>
          <w:highlight w:val="none"/>
          <w:fitText w:val="2810" w:id="660031919"/>
          <w14:textFill>
            <w14:solidFill>
              <w14:schemeClr w14:val="tx1"/>
            </w14:solidFill>
          </w14:textFill>
        </w:rPr>
        <w:t>：</w:t>
      </w:r>
    </w:p>
    <w:p w14:paraId="6A59D44D">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p>
    <w:p w14:paraId="0C71E7EE">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r>
        <w:rPr>
          <w:rFonts w:hint="eastAsia" w:ascii="仿宋" w:hAnsi="仿宋" w:eastAsia="仿宋" w:cs="仿宋"/>
          <w:b/>
          <w:caps/>
          <w:color w:val="000000" w:themeColor="text1"/>
          <w:spacing w:val="113"/>
          <w:kern w:val="0"/>
          <w:sz w:val="28"/>
          <w:szCs w:val="28"/>
          <w:highlight w:val="none"/>
          <w:fitText w:val="2810" w:id="950026301"/>
          <w14:textFill>
            <w14:solidFill>
              <w14:schemeClr w14:val="tx1"/>
            </w14:solidFill>
          </w14:textFill>
        </w:rPr>
        <w:t>供应商地址</w:t>
      </w:r>
      <w:r>
        <w:rPr>
          <w:rFonts w:hint="eastAsia" w:ascii="仿宋" w:hAnsi="仿宋" w:eastAsia="仿宋" w:cs="仿宋"/>
          <w:b/>
          <w:caps/>
          <w:color w:val="000000" w:themeColor="text1"/>
          <w:spacing w:val="0"/>
          <w:kern w:val="0"/>
          <w:sz w:val="28"/>
          <w:szCs w:val="28"/>
          <w:highlight w:val="none"/>
          <w:fitText w:val="2810" w:id="950026301"/>
          <w14:textFill>
            <w14:solidFill>
              <w14:schemeClr w14:val="tx1"/>
            </w14:solidFill>
          </w14:textFill>
        </w:rPr>
        <w:t>：</w:t>
      </w:r>
    </w:p>
    <w:p w14:paraId="70B8D2AE">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p>
    <w:p w14:paraId="1AF6A844">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r>
        <w:rPr>
          <w:rFonts w:hint="eastAsia" w:ascii="仿宋" w:hAnsi="仿宋" w:eastAsia="仿宋" w:cs="仿宋"/>
          <w:b/>
          <w:caps/>
          <w:color w:val="000000" w:themeColor="text1"/>
          <w:spacing w:val="281"/>
          <w:kern w:val="0"/>
          <w:sz w:val="28"/>
          <w:szCs w:val="28"/>
          <w:highlight w:val="none"/>
          <w:fitText w:val="2810" w:id="162085928"/>
          <w14:textFill>
            <w14:solidFill>
              <w14:schemeClr w14:val="tx1"/>
            </w14:solidFill>
          </w14:textFill>
        </w:rPr>
        <w:t>联系人</w:t>
      </w:r>
      <w:r>
        <w:rPr>
          <w:rFonts w:hint="eastAsia" w:ascii="仿宋" w:hAnsi="仿宋" w:eastAsia="仿宋" w:cs="仿宋"/>
          <w:b/>
          <w:caps/>
          <w:color w:val="000000" w:themeColor="text1"/>
          <w:spacing w:val="2"/>
          <w:kern w:val="0"/>
          <w:sz w:val="28"/>
          <w:szCs w:val="28"/>
          <w:highlight w:val="none"/>
          <w:fitText w:val="2810" w:id="162085928"/>
          <w14:textFill>
            <w14:solidFill>
              <w14:schemeClr w14:val="tx1"/>
            </w14:solidFill>
          </w14:textFill>
        </w:rPr>
        <w:t>：</w:t>
      </w:r>
    </w:p>
    <w:p w14:paraId="1C45E136">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p>
    <w:p w14:paraId="57AE7408">
      <w:pPr>
        <w:adjustRightInd w:val="0"/>
        <w:snapToGrid w:val="0"/>
        <w:spacing w:line="360" w:lineRule="auto"/>
        <w:ind w:right="-137" w:rightChars="-64"/>
        <w:rPr>
          <w:rFonts w:ascii="仿宋" w:hAnsi="仿宋" w:eastAsia="仿宋" w:cs="仿宋"/>
          <w:b/>
          <w:caps/>
          <w:color w:val="000000" w:themeColor="text1"/>
          <w:sz w:val="28"/>
          <w:szCs w:val="28"/>
          <w:highlight w:val="none"/>
          <w14:textFill>
            <w14:solidFill>
              <w14:schemeClr w14:val="tx1"/>
            </w14:solidFill>
          </w14:textFill>
        </w:rPr>
      </w:pPr>
      <w:r>
        <w:rPr>
          <w:rFonts w:hint="eastAsia" w:ascii="仿宋" w:hAnsi="仿宋" w:eastAsia="仿宋" w:cs="仿宋"/>
          <w:b/>
          <w:caps/>
          <w:color w:val="000000" w:themeColor="text1"/>
          <w:spacing w:val="176"/>
          <w:kern w:val="0"/>
          <w:sz w:val="28"/>
          <w:szCs w:val="28"/>
          <w:highlight w:val="none"/>
          <w:fitText w:val="2810" w:id="414940743"/>
          <w14:textFill>
            <w14:solidFill>
              <w14:schemeClr w14:val="tx1"/>
            </w14:solidFill>
          </w14:textFill>
        </w:rPr>
        <w:t>联系电话</w:t>
      </w:r>
      <w:r>
        <w:rPr>
          <w:rFonts w:hint="eastAsia" w:ascii="仿宋" w:hAnsi="仿宋" w:eastAsia="仿宋" w:cs="仿宋"/>
          <w:b/>
          <w:caps/>
          <w:color w:val="000000" w:themeColor="text1"/>
          <w:spacing w:val="1"/>
          <w:kern w:val="0"/>
          <w:sz w:val="28"/>
          <w:szCs w:val="28"/>
          <w:highlight w:val="none"/>
          <w:fitText w:val="2810" w:id="414940743"/>
          <w14:textFill>
            <w14:solidFill>
              <w14:schemeClr w14:val="tx1"/>
            </w14:solidFill>
          </w14:textFill>
        </w:rPr>
        <w:t>：</w:t>
      </w:r>
    </w:p>
    <w:p w14:paraId="028A6265">
      <w:pPr>
        <w:adjustRightInd w:val="0"/>
        <w:snapToGrid w:val="0"/>
        <w:spacing w:line="360" w:lineRule="auto"/>
        <w:jc w:val="center"/>
        <w:rPr>
          <w:rFonts w:ascii="仿宋" w:hAnsi="仿宋" w:eastAsia="仿宋" w:cs="仿宋"/>
          <w:b/>
          <w:caps/>
          <w:color w:val="000000" w:themeColor="text1"/>
          <w:sz w:val="28"/>
          <w:szCs w:val="28"/>
          <w:highlight w:val="none"/>
          <w14:textFill>
            <w14:solidFill>
              <w14:schemeClr w14:val="tx1"/>
            </w14:solidFill>
          </w14:textFill>
        </w:rPr>
      </w:pPr>
    </w:p>
    <w:p w14:paraId="41670428">
      <w:pPr>
        <w:adjustRightInd w:val="0"/>
        <w:snapToGrid w:val="0"/>
        <w:spacing w:line="360" w:lineRule="auto"/>
        <w:jc w:val="center"/>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_</w:t>
      </w:r>
      <w:r>
        <w:rPr>
          <w:rFonts w:hint="eastAsia" w:ascii="仿宋" w:hAnsi="仿宋" w:eastAsia="仿宋" w:cs="仿宋"/>
          <w:b/>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b/>
          <w:color w:val="000000" w:themeColor="text1"/>
          <w:sz w:val="28"/>
          <w:szCs w:val="28"/>
          <w:highlight w:val="none"/>
          <w14:textFill>
            <w14:solidFill>
              <w14:schemeClr w14:val="tx1"/>
            </w14:solidFill>
          </w14:textFill>
        </w:rPr>
        <w:t>_年__</w:t>
      </w:r>
      <w:r>
        <w:rPr>
          <w:rFonts w:hint="eastAsia" w:ascii="仿宋" w:hAnsi="仿宋" w:eastAsia="仿宋" w:cs="仿宋"/>
          <w:b/>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b/>
          <w:color w:val="000000" w:themeColor="text1"/>
          <w:sz w:val="28"/>
          <w:szCs w:val="28"/>
          <w:highlight w:val="none"/>
          <w14:textFill>
            <w14:solidFill>
              <w14:schemeClr w14:val="tx1"/>
            </w14:solidFill>
          </w14:textFill>
        </w:rPr>
        <w:t>_月__</w:t>
      </w:r>
      <w:r>
        <w:rPr>
          <w:rFonts w:hint="eastAsia" w:ascii="仿宋" w:hAnsi="仿宋" w:eastAsia="仿宋" w:cs="仿宋"/>
          <w:b/>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b/>
          <w:color w:val="000000" w:themeColor="text1"/>
          <w:sz w:val="28"/>
          <w:szCs w:val="28"/>
          <w:highlight w:val="none"/>
          <w14:textFill>
            <w14:solidFill>
              <w14:schemeClr w14:val="tx1"/>
            </w14:solidFill>
          </w14:textFill>
        </w:rPr>
        <w:t>_日</w:t>
      </w:r>
    </w:p>
    <w:p w14:paraId="57FAE5C6">
      <w:pPr>
        <w:pStyle w:val="192"/>
        <w:keepNext w:val="0"/>
        <w:keepLines w:val="0"/>
        <w:pageBreakBefore w:val="0"/>
        <w:widowControl w:val="0"/>
        <w:wordWrap/>
        <w:topLinePunct w:val="0"/>
        <w:autoSpaceDE/>
        <w:autoSpaceDN/>
        <w:bidi w:val="0"/>
        <w:adjustRightInd/>
        <w:spacing w:after="340" w:line="480" w:lineRule="auto"/>
        <w:ind w:firstLine="0"/>
        <w:jc w:val="center"/>
        <w:textAlignment w:val="auto"/>
        <w:rPr>
          <w:rFonts w:hint="eastAsia" w:ascii="仿宋" w:hAnsi="仿宋" w:eastAsia="仿宋" w:cs="仿宋"/>
          <w:b/>
          <w:color w:val="000000" w:themeColor="text1"/>
          <w:sz w:val="28"/>
          <w:szCs w:val="28"/>
          <w:highlight w:val="none"/>
          <w14:textFill>
            <w14:solidFill>
              <w14:schemeClr w14:val="tx1"/>
            </w14:solidFill>
          </w14:textFill>
        </w:rPr>
      </w:pPr>
    </w:p>
    <w:p w14:paraId="7CFE2C82">
      <w:pPr>
        <w:pStyle w:val="192"/>
        <w:keepNext w:val="0"/>
        <w:keepLines w:val="0"/>
        <w:pageBreakBefore w:val="0"/>
        <w:widowControl w:val="0"/>
        <w:wordWrap/>
        <w:topLinePunct w:val="0"/>
        <w:autoSpaceDE/>
        <w:autoSpaceDN/>
        <w:bidi w:val="0"/>
        <w:adjustRightInd/>
        <w:spacing w:after="340" w:line="480" w:lineRule="auto"/>
        <w:ind w:firstLine="0"/>
        <w:jc w:val="center"/>
        <w:textAlignment w:val="auto"/>
        <w:rPr>
          <w:rFonts w:hint="eastAsia" w:ascii="仿宋" w:hAnsi="仿宋" w:eastAsia="仿宋" w:cs="仿宋"/>
          <w:b/>
          <w:color w:val="000000" w:themeColor="text1"/>
          <w:sz w:val="28"/>
          <w:szCs w:val="28"/>
          <w:highlight w:val="none"/>
          <w14:textFill>
            <w14:solidFill>
              <w14:schemeClr w14:val="tx1"/>
            </w14:solidFill>
          </w14:textFill>
        </w:rPr>
      </w:pPr>
    </w:p>
    <w:p w14:paraId="6BD3B191">
      <w:pPr>
        <w:pStyle w:val="192"/>
        <w:keepNext w:val="0"/>
        <w:keepLines w:val="0"/>
        <w:pageBreakBefore w:val="0"/>
        <w:widowControl w:val="0"/>
        <w:wordWrap/>
        <w:topLinePunct w:val="0"/>
        <w:autoSpaceDE/>
        <w:autoSpaceDN/>
        <w:bidi w:val="0"/>
        <w:adjustRightInd/>
        <w:spacing w:after="340" w:line="480" w:lineRule="auto"/>
        <w:ind w:firstLine="0"/>
        <w:jc w:val="center"/>
        <w:textAlignment w:val="auto"/>
        <w:rPr>
          <w:rFonts w:hint="eastAsia" w:ascii="仿宋" w:hAnsi="仿宋" w:eastAsia="仿宋" w:cs="仿宋"/>
          <w:b/>
          <w:color w:val="000000" w:themeColor="text1"/>
          <w:sz w:val="28"/>
          <w:szCs w:val="28"/>
          <w:highlight w:val="none"/>
          <w14:textFill>
            <w14:solidFill>
              <w14:schemeClr w14:val="tx1"/>
            </w14:solidFill>
          </w14:textFill>
        </w:rPr>
      </w:pPr>
    </w:p>
    <w:p w14:paraId="212FAD87">
      <w:pPr>
        <w:pStyle w:val="3"/>
        <w:bidi w:val="0"/>
        <w:rPr>
          <w:rFonts w:hint="eastAsia"/>
          <w:color w:val="000000" w:themeColor="text1"/>
          <w14:textFill>
            <w14:solidFill>
              <w14:schemeClr w14:val="tx1"/>
            </w14:solidFill>
          </w14:textFill>
        </w:rPr>
      </w:pPr>
      <w:bookmarkStart w:id="183" w:name="_Toc10939"/>
      <w:r>
        <w:rPr>
          <w:rFonts w:hint="eastAsia"/>
          <w:color w:val="000000" w:themeColor="text1"/>
          <w14:textFill>
            <w14:solidFill>
              <w14:schemeClr w14:val="tx1"/>
            </w14:solidFill>
          </w14:textFill>
        </w:rPr>
        <w:t>资格证明文件</w:t>
      </w:r>
      <w:bookmarkEnd w:id="183"/>
    </w:p>
    <w:p w14:paraId="59A70F4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（按照谈判响应人须知前附表第十条要求提供资格证明文件）</w:t>
      </w:r>
    </w:p>
    <w:p w14:paraId="5591A9E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1"/>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bookmarkStart w:id="184" w:name="_Toc30165"/>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1).具备三证合一营业执照；</w:t>
      </w:r>
      <w:bookmarkEnd w:id="184"/>
    </w:p>
    <w:p w14:paraId="10D89E9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2).法定代表人投标需提供法定代表人资格证明书，委托代理人投标需提供法定代表人授权委托书；</w:t>
      </w:r>
    </w:p>
    <w:p w14:paraId="3DA75AA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3).投标企业须提供投标人（被授权本单位在职人员）近 6 个月内任意 1 个月社保证明；</w:t>
      </w:r>
    </w:p>
    <w:p w14:paraId="2864F946">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4).未被“信用中国”（www.creditchina.gov.cn）、中国政府采购网（www.ccgp.gov.cn）列入失信被执行人、重大税收违法案件当事人名单、政府采购严重违法失信行为记录名单；</w:t>
      </w:r>
    </w:p>
    <w:p w14:paraId="5D4215A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5).投标人具有有效的《二类医疗器械生产许可证》或《二类医疗器械经营许可证》。</w:t>
      </w:r>
    </w:p>
    <w:p w14:paraId="6D5DE85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67559F5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1"/>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bookmarkStart w:id="185" w:name="_Toc29477"/>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7）.投标人须知资料表要求的其他资格证明文件。</w:t>
      </w:r>
      <w:bookmarkEnd w:id="185"/>
    </w:p>
    <w:p w14:paraId="2B39250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p>
    <w:p w14:paraId="04058E4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p>
    <w:p w14:paraId="1F599DC6">
      <w:pPr>
        <w:rPr>
          <w:rFonts w:hint="eastAsia"/>
          <w:color w:val="000000" w:themeColor="text1"/>
          <w:lang w:val="en-US" w:eastAsia="zh-CN"/>
          <w14:textFill>
            <w14:solidFill>
              <w14:schemeClr w14:val="tx1"/>
            </w14:solidFill>
          </w14:textFill>
        </w:rPr>
      </w:pPr>
    </w:p>
    <w:p w14:paraId="18C77787">
      <w:pPr>
        <w:pStyle w:val="38"/>
        <w:rPr>
          <w:rFonts w:hint="eastAsia"/>
          <w:color w:val="000000" w:themeColor="text1"/>
          <w:lang w:val="en-US" w:eastAsia="zh-CN"/>
          <w14:textFill>
            <w14:solidFill>
              <w14:schemeClr w14:val="tx1"/>
            </w14:solidFill>
          </w14:textFill>
        </w:rPr>
      </w:pPr>
    </w:p>
    <w:p w14:paraId="618BA450">
      <w:pPr>
        <w:rPr>
          <w:rFonts w:hint="eastAsia"/>
          <w:color w:val="000000" w:themeColor="text1"/>
          <w:lang w:val="en-US" w:eastAsia="zh-CN"/>
          <w14:textFill>
            <w14:solidFill>
              <w14:schemeClr w14:val="tx1"/>
            </w14:solidFill>
          </w14:textFill>
        </w:rPr>
      </w:pPr>
    </w:p>
    <w:p w14:paraId="65503BAB">
      <w:pPr>
        <w:pStyle w:val="38"/>
        <w:rPr>
          <w:rFonts w:hint="eastAsia"/>
          <w:color w:val="000000" w:themeColor="text1"/>
          <w:lang w:val="en-US" w:eastAsia="zh-CN"/>
          <w14:textFill>
            <w14:solidFill>
              <w14:schemeClr w14:val="tx1"/>
            </w14:solidFill>
          </w14:textFill>
        </w:rPr>
      </w:pPr>
    </w:p>
    <w:p w14:paraId="22424A66">
      <w:pPr>
        <w:rPr>
          <w:rFonts w:hint="eastAsia"/>
          <w:color w:val="000000" w:themeColor="text1"/>
          <w:lang w:val="en-US" w:eastAsia="zh-CN"/>
          <w14:textFill>
            <w14:solidFill>
              <w14:schemeClr w14:val="tx1"/>
            </w14:solidFill>
          </w14:textFill>
        </w:rPr>
      </w:pPr>
    </w:p>
    <w:p w14:paraId="45208C18">
      <w:pPr>
        <w:pStyle w:val="38"/>
        <w:rPr>
          <w:rFonts w:hint="eastAsia"/>
          <w:color w:val="000000" w:themeColor="text1"/>
          <w:lang w:val="en-US" w:eastAsia="zh-CN"/>
          <w14:textFill>
            <w14:solidFill>
              <w14:schemeClr w14:val="tx1"/>
            </w14:solidFill>
          </w14:textFill>
        </w:rPr>
      </w:pPr>
    </w:p>
    <w:p w14:paraId="79C99F6B">
      <w:pPr>
        <w:rPr>
          <w:rFonts w:hint="eastAsia"/>
          <w:color w:val="000000" w:themeColor="text1"/>
          <w:lang w:val="en-US" w:eastAsia="zh-CN"/>
          <w14:textFill>
            <w14:solidFill>
              <w14:schemeClr w14:val="tx1"/>
            </w14:solidFill>
          </w14:textFill>
        </w:rPr>
      </w:pPr>
    </w:p>
    <w:p w14:paraId="2083C522">
      <w:pPr>
        <w:pStyle w:val="38"/>
        <w:rPr>
          <w:rFonts w:hint="eastAsia"/>
          <w:color w:val="000000" w:themeColor="text1"/>
          <w:lang w:val="en-US" w:eastAsia="zh-CN"/>
          <w14:textFill>
            <w14:solidFill>
              <w14:schemeClr w14:val="tx1"/>
            </w14:solidFill>
          </w14:textFill>
        </w:rPr>
      </w:pPr>
    </w:p>
    <w:p w14:paraId="68D3E3C5">
      <w:pPr>
        <w:rPr>
          <w:rFonts w:hint="eastAsia"/>
          <w:color w:val="000000" w:themeColor="text1"/>
          <w:lang w:val="en-US" w:eastAsia="zh-CN"/>
          <w14:textFill>
            <w14:solidFill>
              <w14:schemeClr w14:val="tx1"/>
            </w14:solidFill>
          </w14:textFill>
        </w:rPr>
      </w:pPr>
    </w:p>
    <w:p w14:paraId="59B4426E">
      <w:pPr>
        <w:pStyle w:val="38"/>
        <w:rPr>
          <w:rFonts w:hint="eastAsia"/>
          <w:color w:val="000000" w:themeColor="text1"/>
          <w:lang w:val="en-US" w:eastAsia="zh-CN"/>
          <w14:textFill>
            <w14:solidFill>
              <w14:schemeClr w14:val="tx1"/>
            </w14:solidFill>
          </w14:textFill>
        </w:rPr>
      </w:pPr>
    </w:p>
    <w:p w14:paraId="6B1C3845">
      <w:pPr>
        <w:rPr>
          <w:rFonts w:hint="eastAsia"/>
          <w:color w:val="000000" w:themeColor="text1"/>
          <w:lang w:val="en-US" w:eastAsia="zh-CN"/>
          <w14:textFill>
            <w14:solidFill>
              <w14:schemeClr w14:val="tx1"/>
            </w14:solidFill>
          </w14:textFill>
        </w:rPr>
      </w:pPr>
    </w:p>
    <w:p w14:paraId="74E9F94C">
      <w:pPr>
        <w:pStyle w:val="38"/>
        <w:rPr>
          <w:rFonts w:hint="eastAsia"/>
          <w:color w:val="000000" w:themeColor="text1"/>
          <w:lang w:val="en-US" w:eastAsia="zh-CN"/>
          <w14:textFill>
            <w14:solidFill>
              <w14:schemeClr w14:val="tx1"/>
            </w14:solidFill>
          </w14:textFill>
        </w:rPr>
      </w:pPr>
    </w:p>
    <w:p w14:paraId="69B86457">
      <w:pPr>
        <w:rPr>
          <w:rFonts w:hint="eastAsia"/>
          <w:color w:val="000000" w:themeColor="text1"/>
          <w:lang w:val="en-US" w:eastAsia="zh-CN"/>
          <w14:textFill>
            <w14:solidFill>
              <w14:schemeClr w14:val="tx1"/>
            </w14:solidFill>
          </w14:textFill>
        </w:rPr>
      </w:pPr>
    </w:p>
    <w:p w14:paraId="7BE644F0">
      <w:pPr>
        <w:pStyle w:val="38"/>
        <w:rPr>
          <w:rFonts w:hint="eastAsia"/>
          <w:color w:val="000000" w:themeColor="text1"/>
          <w:lang w:val="en-US" w:eastAsia="zh-CN"/>
          <w14:textFill>
            <w14:solidFill>
              <w14:schemeClr w14:val="tx1"/>
            </w14:solidFill>
          </w14:textFill>
        </w:rPr>
      </w:pPr>
    </w:p>
    <w:p w14:paraId="11762265">
      <w:pPr>
        <w:rPr>
          <w:rFonts w:hint="eastAsia"/>
          <w:color w:val="000000" w:themeColor="text1"/>
          <w:lang w:val="en-US" w:eastAsia="zh-CN"/>
          <w14:textFill>
            <w14:solidFill>
              <w14:schemeClr w14:val="tx1"/>
            </w14:solidFill>
          </w14:textFill>
        </w:rPr>
      </w:pPr>
    </w:p>
    <w:p w14:paraId="3DC81D71">
      <w:pPr>
        <w:pStyle w:val="38"/>
        <w:rPr>
          <w:rFonts w:hint="eastAsia"/>
          <w:color w:val="000000" w:themeColor="text1"/>
          <w:lang w:val="en-US" w:eastAsia="zh-CN"/>
          <w14:textFill>
            <w14:solidFill>
              <w14:schemeClr w14:val="tx1"/>
            </w14:solidFill>
          </w14:textFill>
        </w:rPr>
      </w:pPr>
    </w:p>
    <w:p w14:paraId="62A0FC8A">
      <w:pPr>
        <w:rPr>
          <w:rFonts w:hint="eastAsia"/>
          <w:color w:val="000000" w:themeColor="text1"/>
          <w:lang w:val="en-US" w:eastAsia="zh-CN"/>
          <w14:textFill>
            <w14:solidFill>
              <w14:schemeClr w14:val="tx1"/>
            </w14:solidFill>
          </w14:textFill>
        </w:rPr>
      </w:pPr>
    </w:p>
    <w:p w14:paraId="6C710473">
      <w:pPr>
        <w:pStyle w:val="19"/>
        <w:keepNext w:val="0"/>
        <w:keepLines w:val="0"/>
        <w:pageBreakBefore w:val="0"/>
        <w:widowControl w:val="0"/>
        <w:numPr>
          <w:ilvl w:val="0"/>
          <w:numId w:val="0"/>
        </w:numPr>
        <w:shd w:val="clear" w:color="auto" w:fill="auto"/>
        <w:kinsoku w:val="0"/>
        <w:overflowPunct w:val="0"/>
        <w:topLinePunct w:val="0"/>
        <w:autoSpaceDE/>
        <w:autoSpaceDN/>
        <w:bidi w:val="0"/>
        <w:adjustRightInd/>
        <w:snapToGrid/>
        <w:spacing w:before="34" w:line="440" w:lineRule="exact"/>
        <w:ind w:left="480" w:leftChars="0" w:right="126" w:rightChars="0"/>
        <w:jc w:val="center"/>
        <w:textAlignment w:val="auto"/>
        <w:outlineLvl w:val="2"/>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bookmarkStart w:id="186" w:name="_Toc10960"/>
      <w:r>
        <w:rPr>
          <w:rFonts w:hint="eastAsia" w:ascii="仿宋" w:hAnsi="仿宋" w:eastAsia="仿宋" w:cs="仿宋"/>
          <w:b/>
          <w:bCs/>
          <w:color w:val="000000" w:themeColor="text1"/>
          <w:sz w:val="36"/>
          <w:szCs w:val="36"/>
          <w:highlight w:val="none"/>
          <w:lang w:val="en-US" w:eastAsia="zh-CN"/>
          <w14:textFill>
            <w14:solidFill>
              <w14:schemeClr w14:val="tx1"/>
            </w14:solidFill>
          </w14:textFill>
        </w:rPr>
        <w:t>1、 具备三证合一营业执照副本；</w:t>
      </w:r>
      <w:bookmarkEnd w:id="186"/>
    </w:p>
    <w:p w14:paraId="5F6981F5">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jc w:val="center"/>
        <w:rPr>
          <w:rFonts w:hint="eastAsia" w:ascii="仿宋" w:hAnsi="仿宋" w:eastAsia="仿宋" w:cs="仿宋"/>
          <w:b/>
          <w:color w:val="000000" w:themeColor="text1"/>
          <w:sz w:val="24"/>
          <w:highlight w:val="none"/>
          <w14:textFill>
            <w14:solidFill>
              <w14:schemeClr w14:val="tx1"/>
            </w14:solidFill>
          </w14:textFill>
        </w:rPr>
      </w:pPr>
    </w:p>
    <w:p w14:paraId="27ED4F1F">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rPr>
          <w:rFonts w:hint="eastAsia" w:ascii="仿宋" w:hAnsi="仿宋" w:eastAsia="仿宋" w:cs="仿宋"/>
          <w:b/>
          <w:color w:val="000000" w:themeColor="text1"/>
          <w:sz w:val="24"/>
          <w:highlight w:val="none"/>
          <w14:textFill>
            <w14:solidFill>
              <w14:schemeClr w14:val="tx1"/>
            </w14:solidFill>
          </w14:textFill>
        </w:rPr>
      </w:pPr>
    </w:p>
    <w:p w14:paraId="518D8E9F">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rPr>
          <w:rFonts w:hint="eastAsia" w:ascii="仿宋" w:hAnsi="仿宋" w:eastAsia="仿宋" w:cs="仿宋"/>
          <w:b/>
          <w:color w:val="000000" w:themeColor="text1"/>
          <w:sz w:val="24"/>
          <w:highlight w:val="none"/>
          <w14:textFill>
            <w14:solidFill>
              <w14:schemeClr w14:val="tx1"/>
            </w14:solidFill>
          </w14:textFill>
        </w:rPr>
      </w:pPr>
    </w:p>
    <w:p w14:paraId="36BFE32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说明：提供有效的营业执照等证明文件复印件，复印件上应加盖本单位章。</w:t>
      </w:r>
    </w:p>
    <w:p w14:paraId="30042569">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4DB6FBB3">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075A70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29D8398">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5257B6BB">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21BA734B">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064C373C">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5A555288">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2888DC36">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37ACC3EE">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1F5715C2">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D097059">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7A8E64E5">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6FB1115">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26401D8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38D8AEC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56D20C4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379F32C3">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501AF22C">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79D91A2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4C16D17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6E8DC3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626855CC">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right="126" w:rightChars="0"/>
        <w:jc w:val="both"/>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399EB79E">
      <w:pPr>
        <w:pStyle w:val="27"/>
        <w:rPr>
          <w:rFonts w:hint="eastAsia"/>
          <w:color w:val="000000" w:themeColor="text1"/>
          <w:highlight w:val="none"/>
          <w:lang w:val="en-US" w:eastAsia="zh-CN"/>
          <w14:textFill>
            <w14:solidFill>
              <w14:schemeClr w14:val="tx1"/>
            </w14:solidFill>
          </w14:textFill>
        </w:rPr>
      </w:pPr>
    </w:p>
    <w:p w14:paraId="1EB9284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000000" w:themeColor="text1"/>
          <w:sz w:val="36"/>
          <w:szCs w:val="36"/>
          <w:highlight w:val="none"/>
          <w:lang w:val="en-US" w:eastAsia="zh-CN"/>
          <w14:textFill>
            <w14:solidFill>
              <w14:schemeClr w14:val="tx1"/>
            </w14:solidFill>
          </w14:textFill>
        </w:rPr>
      </w:pPr>
    </w:p>
    <w:p w14:paraId="5DFBEEC7">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right="126" w:rightChars="0"/>
        <w:jc w:val="center"/>
        <w:textAlignment w:val="auto"/>
        <w:outlineLvl w:val="2"/>
        <w:rPr>
          <w:rFonts w:hint="eastAsia" w:ascii="仿宋" w:hAnsi="仿宋" w:eastAsia="仿宋" w:cs="仿宋"/>
          <w:b/>
          <w:bCs/>
          <w:color w:val="000000" w:themeColor="text1"/>
          <w:sz w:val="36"/>
          <w:szCs w:val="36"/>
          <w:highlight w:val="none"/>
          <w14:textFill>
            <w14:solidFill>
              <w14:schemeClr w14:val="tx1"/>
            </w14:solidFill>
          </w14:textFill>
        </w:rPr>
      </w:pPr>
      <w:bookmarkStart w:id="187" w:name="_Toc21162"/>
      <w:r>
        <w:rPr>
          <w:rFonts w:hint="eastAsia" w:ascii="仿宋" w:hAnsi="仿宋" w:eastAsia="仿宋" w:cs="仿宋"/>
          <w:b/>
          <w:bCs/>
          <w:color w:val="000000" w:themeColor="text1"/>
          <w:sz w:val="36"/>
          <w:szCs w:val="36"/>
          <w:highlight w:val="none"/>
          <w:lang w:val="en-US" w:eastAsia="zh-CN"/>
          <w14:textFill>
            <w14:solidFill>
              <w14:schemeClr w14:val="tx1"/>
            </w14:solidFill>
          </w14:textFill>
        </w:rPr>
        <w:t>2、</w:t>
      </w:r>
      <w:r>
        <w:rPr>
          <w:rFonts w:hint="eastAsia" w:ascii="仿宋" w:hAnsi="仿宋" w:eastAsia="仿宋" w:cs="仿宋"/>
          <w:b/>
          <w:bCs/>
          <w:color w:val="000000" w:themeColor="text1"/>
          <w:sz w:val="36"/>
          <w:szCs w:val="36"/>
          <w:highlight w:val="none"/>
          <w14:textFill>
            <w14:solidFill>
              <w14:schemeClr w14:val="tx1"/>
            </w14:solidFill>
          </w14:textFill>
        </w:rPr>
        <w:t>法定代表人身份证明</w:t>
      </w:r>
      <w:bookmarkEnd w:id="187"/>
    </w:p>
    <w:p w14:paraId="5CC4B8C1">
      <w:pPr>
        <w:pStyle w:val="4"/>
        <w:outlineLvl w:val="9"/>
        <w:rPr>
          <w:rFonts w:hint="eastAsia"/>
          <w:color w:val="000000" w:themeColor="text1"/>
          <w:highlight w:val="none"/>
          <w14:textFill>
            <w14:solidFill>
              <w14:schemeClr w14:val="tx1"/>
            </w14:solidFill>
          </w14:textFill>
        </w:rPr>
      </w:pPr>
    </w:p>
    <w:p w14:paraId="17BAEA65">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投标单位名称：</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4F7FC91B">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单位性质：</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032BCF53">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6042A97E">
      <w:pPr>
        <w:spacing w:line="420" w:lineRule="exact"/>
        <w:ind w:firstLine="49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成立时间：</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年</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月</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日</w:t>
      </w:r>
    </w:p>
    <w:p w14:paraId="42F5BFA9">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经营期限：</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6D8659D3">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姓名：</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性别：</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年龄：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职务：</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24F64FC5">
      <w:pPr>
        <w:spacing w:line="420" w:lineRule="exact"/>
        <w:ind w:firstLine="490" w:firstLineChars="200"/>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身份证号码：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50A012EF">
      <w:pPr>
        <w:spacing w:line="420" w:lineRule="exact"/>
        <w:ind w:firstLine="49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系</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（投标单位名称）的法定代表人。</w:t>
      </w:r>
    </w:p>
    <w:p w14:paraId="5F991B1B">
      <w:pPr>
        <w:spacing w:line="420" w:lineRule="exact"/>
        <w:ind w:firstLine="980" w:firstLineChars="4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特此证明。</w:t>
      </w:r>
    </w:p>
    <w:p w14:paraId="29B0543A">
      <w:pPr>
        <w:pStyle w:val="19"/>
        <w:numPr>
          <w:ilvl w:val="0"/>
          <w:numId w:val="0"/>
        </w:numPr>
        <w:kinsoku w:val="0"/>
        <w:overflowPunct w:val="0"/>
        <w:ind w:leftChars="0" w:right="0" w:rightChars="0"/>
        <w:rPr>
          <w:rFonts w:hint="eastAsia" w:ascii="仿宋" w:hAnsi="仿宋" w:eastAsia="仿宋" w:cs="仿宋"/>
          <w:color w:val="000000" w:themeColor="text1"/>
          <w:sz w:val="20"/>
          <w:szCs w:val="20"/>
          <w:highlight w:val="none"/>
          <w14:textFill>
            <w14:solidFill>
              <w14:schemeClr w14:val="tx1"/>
            </w14:solidFill>
          </w14:textFill>
        </w:rPr>
      </w:pPr>
    </w:p>
    <w:p w14:paraId="10E8A4D8">
      <w:pPr>
        <w:pStyle w:val="19"/>
        <w:numPr>
          <w:ilvl w:val="0"/>
          <w:numId w:val="0"/>
        </w:numPr>
        <w:kinsoku w:val="0"/>
        <w:overflowPunct w:val="0"/>
        <w:spacing w:before="7"/>
        <w:ind w:leftChars="0" w:right="0" w:rightChars="0"/>
        <w:rPr>
          <w:rFonts w:hint="eastAsia" w:ascii="仿宋" w:hAnsi="仿宋" w:eastAsia="仿宋" w:cs="仿宋"/>
          <w:color w:val="000000" w:themeColor="text1"/>
          <w:sz w:val="25"/>
          <w:szCs w:val="25"/>
          <w:highlight w:val="none"/>
          <w14:textFill>
            <w14:solidFill>
              <w14:schemeClr w14:val="tx1"/>
            </w14:solidFill>
          </w14:textFill>
        </w:rPr>
      </w:pPr>
    </w:p>
    <w:p w14:paraId="180A85D4">
      <w:pPr>
        <w:pStyle w:val="19"/>
        <w:numPr>
          <w:ilvl w:val="0"/>
          <w:numId w:val="0"/>
        </w:numPr>
        <w:kinsoku w:val="0"/>
        <w:overflowPunct w:val="0"/>
        <w:spacing w:line="200" w:lineRule="atLeast"/>
        <w:ind w:right="0" w:rightChars="0"/>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color w:val="000000" w:themeColor="text1"/>
          <w:sz w:val="20"/>
          <w:szCs w:val="20"/>
          <w:highlight w:val="none"/>
          <w14:textFill>
            <w14:solidFill>
              <w14:schemeClr w14:val="tx1"/>
            </w14:solidFill>
          </w14:textFill>
        </w:rPr>
        <mc:AlternateContent>
          <mc:Choice Requires="wpg">
            <w:drawing>
              <wp:inline distT="0" distB="0" distL="0" distR="0">
                <wp:extent cx="5196205" cy="1461770"/>
                <wp:effectExtent l="0" t="3175" r="24130" b="1905"/>
                <wp:docPr id="1027" name="组合 34"/>
                <wp:cNvGraphicFramePr/>
                <a:graphic xmlns:a="http://schemas.openxmlformats.org/drawingml/2006/main">
                  <a:graphicData uri="http://schemas.microsoft.com/office/word/2010/wordprocessingGroup">
                    <wpg:wgp>
                      <wpg:cNvGrpSpPr/>
                      <wpg:grpSpPr>
                        <a:xfrm rot="0">
                          <a:off x="0" y="0"/>
                          <a:ext cx="5196205" cy="1461770"/>
                          <a:chOff x="4" y="4"/>
                          <a:chExt cx="8183" cy="2302"/>
                        </a:xfrm>
                        <a:effectLst/>
                      </wpg:grpSpPr>
                      <wps:wsp>
                        <wps:cNvPr id="1" name="任意多边形 1"/>
                        <wps:cNvSpPr/>
                        <wps:spPr>
                          <a:xfrm>
                            <a:off x="4" y="9"/>
                            <a:ext cx="8079" cy="20"/>
                          </a:xfrm>
                          <a:custGeom>
                            <a:avLst/>
                            <a:gdLst/>
                            <a:ahLst/>
                            <a:cxnLst/>
                            <a:rect l="l" t="t" r="r" b="b"/>
                            <a:pathLst>
                              <a:path w="8079" h="20">
                                <a:moveTo>
                                  <a:pt x="0" y="0"/>
                                </a:moveTo>
                                <a:lnTo>
                                  <a:pt x="8078" y="0"/>
                                </a:lnTo>
                              </a:path>
                            </a:pathLst>
                          </a:custGeom>
                          <a:solidFill>
                            <a:srgbClr val="CCE8CF"/>
                          </a:solidFill>
                          <a:ln>
                            <a:noFill/>
                          </a:ln>
                          <a:effectLst/>
                        </wps:spPr>
                        <wps:bodyPr vert="horz" wrap="square" anchor="t" anchorCtr="0"/>
                      </wps:wsp>
                      <wps:wsp>
                        <wps:cNvPr id="2" name="任意多边形 2"/>
                        <wps:cNvSpPr/>
                        <wps:spPr>
                          <a:xfrm>
                            <a:off x="24" y="28"/>
                            <a:ext cx="8041" cy="20"/>
                          </a:xfrm>
                          <a:custGeom>
                            <a:avLst/>
                            <a:gdLst/>
                            <a:ahLst/>
                            <a:cxnLst/>
                            <a:rect l="l" t="t" r="r" b="b"/>
                            <a:pathLst>
                              <a:path w="8041" h="20">
                                <a:moveTo>
                                  <a:pt x="0" y="0"/>
                                </a:moveTo>
                                <a:lnTo>
                                  <a:pt x="8040" y="0"/>
                                </a:lnTo>
                              </a:path>
                            </a:pathLst>
                          </a:custGeom>
                          <a:solidFill>
                            <a:srgbClr val="CCE8CF"/>
                          </a:solidFill>
                          <a:ln>
                            <a:noFill/>
                          </a:ln>
                          <a:effectLst/>
                        </wps:spPr>
                        <wps:bodyPr vert="horz" wrap="square" anchor="t" anchorCtr="0"/>
                      </wps:wsp>
                      <wps:wsp>
                        <wps:cNvPr id="3" name="任意多边形 3"/>
                        <wps:cNvSpPr/>
                        <wps:spPr>
                          <a:xfrm>
                            <a:off x="24" y="2267"/>
                            <a:ext cx="8041" cy="20"/>
                          </a:xfrm>
                          <a:custGeom>
                            <a:avLst/>
                            <a:gdLst/>
                            <a:ahLst/>
                            <a:cxnLst/>
                            <a:rect l="l" t="t" r="r" b="b"/>
                            <a:pathLst>
                              <a:path w="8041" h="20">
                                <a:moveTo>
                                  <a:pt x="0" y="0"/>
                                </a:moveTo>
                                <a:lnTo>
                                  <a:pt x="8040" y="0"/>
                                </a:lnTo>
                              </a:path>
                            </a:pathLst>
                          </a:custGeom>
                          <a:solidFill>
                            <a:srgbClr val="CCE8CF"/>
                          </a:solidFill>
                          <a:ln>
                            <a:noFill/>
                          </a:ln>
                          <a:effectLst/>
                        </wps:spPr>
                        <wps:bodyPr vert="horz" wrap="square" anchor="t" anchorCtr="0"/>
                      </wps:wsp>
                      <wps:wsp>
                        <wps:cNvPr id="4" name="任意多边形 4"/>
                        <wps:cNvSpPr/>
                        <wps:spPr>
                          <a:xfrm>
                            <a:off x="4" y="2286"/>
                            <a:ext cx="8079" cy="20"/>
                          </a:xfrm>
                          <a:custGeom>
                            <a:avLst/>
                            <a:gdLst/>
                            <a:ahLst/>
                            <a:cxnLst/>
                            <a:rect l="l" t="t" r="r" b="b"/>
                            <a:pathLst>
                              <a:path w="8079" h="20">
                                <a:moveTo>
                                  <a:pt x="0" y="0"/>
                                </a:moveTo>
                                <a:lnTo>
                                  <a:pt x="8078" y="0"/>
                                </a:lnTo>
                              </a:path>
                            </a:pathLst>
                          </a:custGeom>
                          <a:solidFill>
                            <a:srgbClr val="CCE8CF"/>
                          </a:solidFill>
                          <a:ln>
                            <a:noFill/>
                          </a:ln>
                          <a:effectLst/>
                        </wps:spPr>
                        <wps:bodyPr vert="horz" wrap="square" anchor="t" anchorCtr="0"/>
                      </wps:wsp>
                      <wps:wsp>
                        <wps:cNvPr id="5" name="任意多边形 5"/>
                        <wps:cNvSpPr/>
                        <wps:spPr>
                          <a:xfrm>
                            <a:off x="9" y="4"/>
                            <a:ext cx="20" cy="2287"/>
                          </a:xfrm>
                          <a:custGeom>
                            <a:avLst/>
                            <a:gdLst/>
                            <a:ahLst/>
                            <a:cxnLst/>
                            <a:rect l="l" t="t" r="r" b="b"/>
                            <a:pathLst>
                              <a:path w="20" h="2287">
                                <a:moveTo>
                                  <a:pt x="0" y="0"/>
                                </a:moveTo>
                                <a:lnTo>
                                  <a:pt x="0" y="2286"/>
                                </a:lnTo>
                              </a:path>
                            </a:pathLst>
                          </a:custGeom>
                          <a:solidFill>
                            <a:srgbClr val="CCE8CF"/>
                          </a:solidFill>
                          <a:ln>
                            <a:noFill/>
                          </a:ln>
                          <a:effectLst/>
                        </wps:spPr>
                        <wps:bodyPr vert="horz" wrap="square" anchor="t" anchorCtr="0"/>
                      </wps:wsp>
                      <wps:wsp>
                        <wps:cNvPr id="6" name="任意多边形 6"/>
                        <wps:cNvSpPr/>
                        <wps:spPr>
                          <a:xfrm>
                            <a:off x="28" y="24"/>
                            <a:ext cx="20" cy="2249"/>
                          </a:xfrm>
                          <a:custGeom>
                            <a:avLst/>
                            <a:gdLst/>
                            <a:ahLst/>
                            <a:cxnLst/>
                            <a:rect l="l" t="t" r="r" b="b"/>
                            <a:pathLst>
                              <a:path w="20" h="2249">
                                <a:moveTo>
                                  <a:pt x="0" y="0"/>
                                </a:moveTo>
                                <a:lnTo>
                                  <a:pt x="0" y="2248"/>
                                </a:lnTo>
                              </a:path>
                            </a:pathLst>
                          </a:custGeom>
                          <a:solidFill>
                            <a:srgbClr val="CCE8CF"/>
                          </a:solidFill>
                          <a:ln>
                            <a:noFill/>
                          </a:ln>
                          <a:effectLst/>
                        </wps:spPr>
                        <wps:bodyPr vert="horz" wrap="square" anchor="t" anchorCtr="0"/>
                      </wps:wsp>
                      <wps:wsp>
                        <wps:cNvPr id="7" name="任意多边形 7"/>
                        <wps:cNvSpPr/>
                        <wps:spPr>
                          <a:xfrm>
                            <a:off x="4034" y="24"/>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8" name="任意多边形 8"/>
                        <wps:cNvSpPr/>
                        <wps:spPr>
                          <a:xfrm>
                            <a:off x="4053" y="24"/>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9" name="任意多边形 9"/>
                        <wps:cNvSpPr/>
                        <wps:spPr>
                          <a:xfrm>
                            <a:off x="8059" y="33"/>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10" name="任意多边形 10"/>
                        <wps:cNvSpPr/>
                        <wps:spPr>
                          <a:xfrm>
                            <a:off x="8078" y="14"/>
                            <a:ext cx="20" cy="2278"/>
                          </a:xfrm>
                          <a:custGeom>
                            <a:avLst/>
                            <a:gdLst/>
                            <a:ahLst/>
                            <a:cxnLst/>
                            <a:rect l="l" t="t" r="r" b="b"/>
                            <a:pathLst>
                              <a:path w="20" h="2278">
                                <a:moveTo>
                                  <a:pt x="0" y="0"/>
                                </a:moveTo>
                                <a:lnTo>
                                  <a:pt x="0" y="2277"/>
                                </a:lnTo>
                              </a:path>
                            </a:pathLst>
                          </a:custGeom>
                          <a:solidFill>
                            <a:srgbClr val="CCE8CF"/>
                          </a:solidFill>
                          <a:ln>
                            <a:noFill/>
                          </a:ln>
                          <a:effectLst/>
                        </wps:spPr>
                        <wps:bodyPr vert="horz" wrap="square" anchor="t" anchorCtr="0"/>
                      </wps:wsp>
                      <wps:wsp>
                        <wps:cNvPr id="11" name="矩形 11"/>
                        <wps:cNvSpPr/>
                        <wps:spPr>
                          <a:xfrm>
                            <a:off x="838" y="19"/>
                            <a:ext cx="7349" cy="2258"/>
                          </a:xfrm>
                          <a:prstGeom prst="rect">
                            <a:avLst/>
                          </a:prstGeom>
                          <a:noFill/>
                          <a:ln w="25400" cap="flat" cmpd="sng">
                            <a:solidFill>
                              <a:srgbClr val="000000"/>
                            </a:solidFill>
                            <a:prstDash val="solid"/>
                            <a:round/>
                          </a:ln>
                          <a:effectLst/>
                        </wps:spPr>
                        <wps:txbx>
                          <w:txbxContent>
                            <w:p w14:paraId="1C859DBA">
                              <w:pPr>
                                <w:pStyle w:val="19"/>
                                <w:numPr>
                                  <w:ilvl w:val="0"/>
                                  <w:numId w:val="0"/>
                                </w:numPr>
                                <w:kinsoku w:val="0"/>
                                <w:overflowPunct w:val="0"/>
                                <w:spacing w:before="13"/>
                                <w:ind w:leftChars="0" w:right="0" w:rightChars="0"/>
                                <w:rPr>
                                  <w:rFonts w:hint="eastAsia"/>
                                  <w:sz w:val="28"/>
                                  <w:szCs w:val="28"/>
                                </w:rPr>
                              </w:pPr>
                            </w:p>
                            <w:p w14:paraId="73DFB075">
                              <w:pPr>
                                <w:pStyle w:val="19"/>
                                <w:numPr>
                                  <w:ilvl w:val="0"/>
                                  <w:numId w:val="0"/>
                                </w:numPr>
                                <w:kinsoku w:val="0"/>
                                <w:overflowPunct w:val="0"/>
                                <w:ind w:right="0" w:rightChars="0"/>
                                <w:jc w:val="center"/>
                                <w:rPr>
                                  <w:rFonts w:hint="eastAsia" w:ascii="仿宋" w:hAnsi="仿宋" w:eastAsia="仿宋" w:cs="仿宋"/>
                                  <w:b/>
                                  <w:bCs/>
                                  <w:sz w:val="24"/>
                                  <w:szCs w:val="24"/>
                                </w:rPr>
                              </w:pPr>
                              <w:r>
                                <w:rPr>
                                  <w:rFonts w:hint="eastAsia" w:ascii="仿宋" w:hAnsi="仿宋" w:eastAsia="仿宋" w:cs="仿宋"/>
                                  <w:b/>
                                  <w:bCs/>
                                  <w:sz w:val="24"/>
                                  <w:szCs w:val="24"/>
                                </w:rPr>
                                <w:t>法定代表人身份证复印件（正</w:t>
                              </w:r>
                              <w:r>
                                <w:rPr>
                                  <w:rFonts w:hint="eastAsia" w:ascii="仿宋" w:hAnsi="仿宋" w:eastAsia="仿宋" w:cs="仿宋"/>
                                  <w:b/>
                                  <w:bCs/>
                                  <w:sz w:val="24"/>
                                  <w:szCs w:val="24"/>
                                  <w:lang w:val="en-US" w:eastAsia="zh-CN"/>
                                </w:rPr>
                                <w:t>/反</w:t>
                              </w:r>
                              <w:r>
                                <w:rPr>
                                  <w:rFonts w:hint="eastAsia" w:ascii="仿宋" w:hAnsi="仿宋" w:eastAsia="仿宋" w:cs="仿宋"/>
                                  <w:b/>
                                  <w:bCs/>
                                  <w:sz w:val="24"/>
                                  <w:szCs w:val="24"/>
                                </w:rPr>
                                <w:t>面）</w:t>
                              </w:r>
                            </w:p>
                          </w:txbxContent>
                        </wps:txbx>
                        <wps:bodyPr vert="horz" wrap="square" lIns="0" tIns="0" rIns="0" bIns="0" anchor="t" anchorCtr="0" upright="1"/>
                      </wps:wsp>
                    </wpg:wgp>
                  </a:graphicData>
                </a:graphic>
              </wp:inline>
            </w:drawing>
          </mc:Choice>
          <mc:Fallback>
            <w:pict>
              <v:group id="组合 34" o:spid="_x0000_s1026" o:spt="203" style="height:115.1pt;width:409.15pt;" coordorigin="4,4" coordsize="8183,2302" o:gfxdata="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d6zWk1gAAAAUBAAAPAAAAAAAAAAEAIAAAACIAAABkcnMvZG93bnJldi54&#10;bWxQSwECFAAUAAAACACHTuJAymotmKgEAADyHQAADgAAAAAAAAABACAAAAAlAQAAZHJzL2Uyb0Rv&#10;Yy54bWxQSwUGAAAAAAYABgBZAQAAPwgAAAAA&#10;">
                <o:lock v:ext="edit" aspectratio="f"/>
                <v:shape id="_x0000_s1026" o:spid="_x0000_s1026" o:spt="100" style="position:absolute;left:4;top:9;height:20;width:8079;" fillcolor="#CCE8CF" filled="t" stroked="f" coordsize="8079,20" o:gfxdata="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iN6atwAAANoAAAAP&#10;AAAAAAAAAAEAIAAAACIAAABkcnMvZG93bnJldi54bWxQSwECFAAUAAAACACHTuJAMy8FnjsAAAA5&#10;AAAAEAAAAAAAAAABACAAAAAGAQAAZHJzL3NoYXBleG1sLnhtbFBLBQYAAAAABgAGAFsBAACwAwAA&#10;AAA=&#10;" path="m0,0l8078,0e">
                  <v:fill on="t" focussize="0,0"/>
                  <v:stroke on="f"/>
                  <v:imagedata o:title=""/>
                  <o:lock v:ext="edit" aspectratio="f"/>
                </v:shape>
                <v:shape id="_x0000_s1026" o:spid="_x0000_s1026" o:spt="100" style="position:absolute;left:24;top:28;height:20;width:8041;" fillcolor="#CCE8CF" filled="t" stroked="f" coordsize="8041,20" o:gfxdata="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f6we8AAAA&#10;2gAAAA8AAAAAAAAAAQAgAAAAIgAAAGRycy9kb3ducmV2LnhtbFBLAQIUABQAAAAIAIdO4kAzLwWe&#10;OwAAADkAAAAQAAAAAAAAAAEAIAAAAAsBAABkcnMvc2hhcGV4bWwueG1sUEsFBgAAAAAGAAYAWwEA&#10;ALUDAAAAAA==&#10;" path="m0,0l8040,0e">
                  <v:fill on="t" focussize="0,0"/>
                  <v:stroke on="f"/>
                  <v:imagedata o:title=""/>
                  <o:lock v:ext="edit" aspectratio="f"/>
                </v:shape>
                <v:shape id="_x0000_s1026" o:spid="_x0000_s1026" o:spt="100" style="position:absolute;left:24;top:2267;height:20;width:8041;" fillcolor="#CCE8CF" filled="t" stroked="f" coordsize="8041,20" o:gfxdata="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NOnLsAAADa&#10;AAAADwAAAAAAAAABACAAAAAiAAAAZHJzL2Rvd25yZXYueG1sUEsBAhQAFAAAAAgAh07iQDMvBZ47&#10;AAAAOQAAABAAAAAAAAAAAQAgAAAACgEAAGRycy9zaGFwZXhtbC54bWxQSwUGAAAAAAYABgBbAQAA&#10;tAMAAAAA&#10;" path="m0,0l8040,0e">
                  <v:fill on="t" focussize="0,0"/>
                  <v:stroke on="f"/>
                  <v:imagedata o:title=""/>
                  <o:lock v:ext="edit" aspectratio="f"/>
                </v:shape>
                <v:shape id="_x0000_s1026" o:spid="_x0000_s1026" o:spt="100" style="position:absolute;left:4;top:2286;height:20;width:8079;" fillcolor="#CCE8CF" filled="t" stroked="f" coordsize="8079,20" o:gfxdata="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99ArsAAADa&#10;AAAADwAAAAAAAAABACAAAAAiAAAAZHJzL2Rvd25yZXYueG1sUEsBAhQAFAAAAAgAh07iQDMvBZ47&#10;AAAAOQAAABAAAAAAAAAAAQAgAAAACgEAAGRycy9zaGFwZXhtbC54bWxQSwUGAAAAAAYABgBbAQAA&#10;tAMAAAAA&#10;" path="m0,0l8078,0e">
                  <v:fill on="t" focussize="0,0"/>
                  <v:stroke on="f"/>
                  <v:imagedata o:title=""/>
                  <o:lock v:ext="edit" aspectratio="f"/>
                </v:shape>
                <v:shape id="_x0000_s1026" o:spid="_x0000_s1026" o:spt="100" style="position:absolute;left:9;top:4;height:2287;width:20;" fillcolor="#CCE8CF" filled="t" stroked="f" coordsize="20,2287" o:gfxdata="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KrrsAAADa&#10;AAAADwAAAAAAAAABACAAAAAiAAAAZHJzL2Rvd25yZXYueG1sUEsBAhQAFAAAAAgAh07iQDMvBZ47&#10;AAAAOQAAABAAAAAAAAAAAQAgAAAACgEAAGRycy9zaGFwZXhtbC54bWxQSwUGAAAAAAYABgBbAQAA&#10;tAMAAAAA&#10;" path="m0,0l0,2286e">
                  <v:fill on="t" focussize="0,0"/>
                  <v:stroke on="f"/>
                  <v:imagedata o:title=""/>
                  <o:lock v:ext="edit" aspectratio="f"/>
                </v:shape>
                <v:shape id="_x0000_s1026" o:spid="_x0000_s1026" o:spt="100" style="position:absolute;left:28;top:24;height:2249;width:20;" fillcolor="#CCE8CF" filled="t" stroked="f" coordsize="20,2249" o:gfxdata="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Plj28AAAA&#10;2gAAAA8AAAAAAAAAAQAgAAAAIgAAAGRycy9kb3ducmV2LnhtbFBLAQIUABQAAAAIAIdO4kAzLwWe&#10;OwAAADkAAAAQAAAAAAAAAAEAIAAAAAsBAABkcnMvc2hhcGV4bWwueG1sUEsFBgAAAAAGAAYAWwEA&#10;ALUDAAAAAA==&#10;" path="m0,0l0,2248e">
                  <v:fill on="t" focussize="0,0"/>
                  <v:stroke on="f"/>
                  <v:imagedata o:title=""/>
                  <o:lock v:ext="edit" aspectratio="f"/>
                </v:shape>
                <v:shape id="_x0000_s1026" o:spid="_x0000_s1026" o:spt="100" style="position:absolute;left:4034;top:24;height:2239;width:20;" fillcolor="#CCE8CF" filled="t" stroked="f" coordsize="20,2239" o:gfxdata="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icvQAA&#10;ANoAAAAPAAAAAAAAAAEAIAAAACIAAABkcnMvZG93bnJldi54bWxQSwECFAAUAAAACACHTuJAMy8F&#10;njsAAAA5AAAAEAAAAAAAAAABACAAAAAMAQAAZHJzL3NoYXBleG1sLnhtbFBLBQYAAAAABgAGAFsB&#10;AAC2AwAAAAA=&#10;" path="m0,0l0,2238e">
                  <v:fill on="t" focussize="0,0"/>
                  <v:stroke on="f"/>
                  <v:imagedata o:title=""/>
                  <o:lock v:ext="edit" aspectratio="f"/>
                </v:shape>
                <v:shape id="_x0000_s1026" o:spid="_x0000_s1026" o:spt="100" style="position:absolute;left:4053;top:24;height:2239;width:20;" fillcolor="#CCE8CF" filled="t" stroked="f" coordsize="20,2239" o:gfxdata="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8s7rgAAADaAAAA&#10;DwAAAAAAAAABACAAAAAiAAAAZHJzL2Rvd25yZXYueG1sUEsBAhQAFAAAAAgAh07iQDMvBZ47AAAA&#10;OQAAABAAAAAAAAAAAQAgAAAABwEAAGRycy9zaGFwZXhtbC54bWxQSwUGAAAAAAYABgBbAQAAsQMA&#10;AAAA&#10;" path="m0,0l0,2238e">
                  <v:fill on="t" focussize="0,0"/>
                  <v:stroke on="f"/>
                  <v:imagedata o:title=""/>
                  <o:lock v:ext="edit" aspectratio="f"/>
                </v:shape>
                <v:shape id="_x0000_s1026" o:spid="_x0000_s1026" o:spt="100" style="position:absolute;left:8059;top:33;height:2239;width:20;" fillcolor="#CCE8CF" filled="t" stroked="f" coordsize="20,2239" o:gfxdata="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4l1vQAA&#10;ANoAAAAPAAAAAAAAAAEAIAAAACIAAABkcnMvZG93bnJldi54bWxQSwECFAAUAAAACACHTuJAMy8F&#10;njsAAAA5AAAAEAAAAAAAAAABACAAAAAMAQAAZHJzL3NoYXBleG1sLnhtbFBLBQYAAAAABgAGAFsB&#10;AAC2AwAAAAA=&#10;" path="m0,0l0,2238e">
                  <v:fill on="t" focussize="0,0"/>
                  <v:stroke on="f"/>
                  <v:imagedata o:title=""/>
                  <o:lock v:ext="edit" aspectratio="f"/>
                </v:shape>
                <v:shape id="_x0000_s1026" o:spid="_x0000_s1026" o:spt="100" style="position:absolute;left:8078;top:14;height:2278;width:20;" fillcolor="#CCE8CF" filled="t" stroked="f" coordsize="20,2278" o:gfxdata="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EqoW/&#10;AAAA2wAAAA8AAAAAAAAAAQAgAAAAIgAAAGRycy9kb3ducmV2LnhtbFBLAQIUABQAAAAIAIdO4kAz&#10;LwWeOwAAADkAAAAQAAAAAAAAAAEAIAAAAA4BAABkcnMvc2hhcGV4bWwueG1sUEsFBgAAAAAGAAYA&#10;WwEAALgDAAAAAA==&#10;" path="m0,0l0,2277e">
                  <v:fill on="t" focussize="0,0"/>
                  <v:stroke on="f"/>
                  <v:imagedata o:title=""/>
                  <o:lock v:ext="edit" aspectratio="f"/>
                </v:shape>
                <v:rect id="_x0000_s1026" o:spid="_x0000_s1026" o:spt="1" style="position:absolute;left:838;top:19;height:2258;width:7349;" filled="f" stroked="t" coordsize="21600,21600" o:gfxdata="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f1rgAAADb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inset="0mm,0mm,0mm,0mm">
                    <w:txbxContent>
                      <w:p w14:paraId="1C859DBA">
                        <w:pPr>
                          <w:pStyle w:val="19"/>
                          <w:numPr>
                            <w:ilvl w:val="0"/>
                            <w:numId w:val="0"/>
                          </w:numPr>
                          <w:kinsoku w:val="0"/>
                          <w:overflowPunct w:val="0"/>
                          <w:spacing w:before="13"/>
                          <w:ind w:leftChars="0" w:right="0" w:rightChars="0"/>
                          <w:rPr>
                            <w:rFonts w:hint="eastAsia"/>
                            <w:sz w:val="28"/>
                            <w:szCs w:val="28"/>
                          </w:rPr>
                        </w:pPr>
                      </w:p>
                      <w:p w14:paraId="73DFB075">
                        <w:pPr>
                          <w:pStyle w:val="19"/>
                          <w:numPr>
                            <w:ilvl w:val="0"/>
                            <w:numId w:val="0"/>
                          </w:numPr>
                          <w:kinsoku w:val="0"/>
                          <w:overflowPunct w:val="0"/>
                          <w:ind w:right="0" w:rightChars="0"/>
                          <w:jc w:val="center"/>
                          <w:rPr>
                            <w:rFonts w:hint="eastAsia" w:ascii="仿宋" w:hAnsi="仿宋" w:eastAsia="仿宋" w:cs="仿宋"/>
                            <w:b/>
                            <w:bCs/>
                            <w:sz w:val="24"/>
                            <w:szCs w:val="24"/>
                          </w:rPr>
                        </w:pPr>
                        <w:r>
                          <w:rPr>
                            <w:rFonts w:hint="eastAsia" w:ascii="仿宋" w:hAnsi="仿宋" w:eastAsia="仿宋" w:cs="仿宋"/>
                            <w:b/>
                            <w:bCs/>
                            <w:sz w:val="24"/>
                            <w:szCs w:val="24"/>
                          </w:rPr>
                          <w:t>法定代表人身份证复印件（正</w:t>
                        </w:r>
                        <w:r>
                          <w:rPr>
                            <w:rFonts w:hint="eastAsia" w:ascii="仿宋" w:hAnsi="仿宋" w:eastAsia="仿宋" w:cs="仿宋"/>
                            <w:b/>
                            <w:bCs/>
                            <w:sz w:val="24"/>
                            <w:szCs w:val="24"/>
                            <w:lang w:val="en-US" w:eastAsia="zh-CN"/>
                          </w:rPr>
                          <w:t>/反</w:t>
                        </w:r>
                        <w:r>
                          <w:rPr>
                            <w:rFonts w:hint="eastAsia" w:ascii="仿宋" w:hAnsi="仿宋" w:eastAsia="仿宋" w:cs="仿宋"/>
                            <w:b/>
                            <w:bCs/>
                            <w:sz w:val="24"/>
                            <w:szCs w:val="24"/>
                          </w:rPr>
                          <w:t>面）</w:t>
                        </w:r>
                      </w:p>
                    </w:txbxContent>
                  </v:textbox>
                </v:rect>
                <w10:wrap type="none"/>
                <w10:anchorlock/>
              </v:group>
            </w:pict>
          </mc:Fallback>
        </mc:AlternateContent>
      </w:r>
    </w:p>
    <w:p w14:paraId="0190B1D2">
      <w:pPr>
        <w:wordWrap w:val="0"/>
        <w:spacing w:line="420" w:lineRule="exact"/>
        <w:ind w:firstLine="490" w:firstLineChars="200"/>
        <w:jc w:val="right"/>
        <w:rPr>
          <w:rFonts w:hint="eastAsia" w:ascii="仿宋" w:hAnsi="仿宋" w:eastAsia="仿宋" w:cs="仿宋"/>
          <w:color w:val="000000" w:themeColor="text1"/>
          <w:kern w:val="0"/>
          <w:sz w:val="24"/>
          <w:highlight w:val="none"/>
          <w14:textFill>
            <w14:solidFill>
              <w14:schemeClr w14:val="tx1"/>
            </w14:solidFill>
          </w14:textFill>
        </w:rPr>
      </w:pPr>
    </w:p>
    <w:p w14:paraId="3619E289">
      <w:pPr>
        <w:spacing w:line="420" w:lineRule="exact"/>
        <w:ind w:firstLine="490" w:firstLineChars="200"/>
        <w:jc w:val="right"/>
        <w:rPr>
          <w:rFonts w:hint="eastAsia" w:ascii="仿宋" w:hAnsi="仿宋" w:eastAsia="仿宋" w:cs="仿宋"/>
          <w:color w:val="000000" w:themeColor="text1"/>
          <w:kern w:val="0"/>
          <w:sz w:val="24"/>
          <w:highlight w:val="none"/>
          <w14:textFill>
            <w14:solidFill>
              <w14:schemeClr w14:val="tx1"/>
            </w14:solidFill>
          </w14:textFill>
        </w:rPr>
      </w:pPr>
    </w:p>
    <w:p w14:paraId="2DBE0E30">
      <w:pPr>
        <w:pStyle w:val="35"/>
        <w:rPr>
          <w:rFonts w:hint="eastAsia" w:ascii="仿宋" w:hAnsi="仿宋" w:eastAsia="仿宋" w:cs="仿宋"/>
          <w:color w:val="000000" w:themeColor="text1"/>
          <w:kern w:val="0"/>
          <w:sz w:val="24"/>
          <w:highlight w:val="none"/>
          <w14:textFill>
            <w14:solidFill>
              <w14:schemeClr w14:val="tx1"/>
            </w14:solidFill>
          </w14:textFill>
        </w:rPr>
      </w:pPr>
    </w:p>
    <w:p w14:paraId="41AB67AA">
      <w:pPr>
        <w:pStyle w:val="35"/>
        <w:rPr>
          <w:rFonts w:hint="eastAsia" w:ascii="仿宋" w:hAnsi="仿宋" w:eastAsia="仿宋" w:cs="仿宋"/>
          <w:color w:val="000000" w:themeColor="text1"/>
          <w:kern w:val="0"/>
          <w:sz w:val="24"/>
          <w:highlight w:val="none"/>
          <w14:textFill>
            <w14:solidFill>
              <w14:schemeClr w14:val="tx1"/>
            </w14:solidFill>
          </w14:textFill>
        </w:rPr>
      </w:pPr>
    </w:p>
    <w:p w14:paraId="640D6946">
      <w:pPr>
        <w:spacing w:line="420" w:lineRule="exact"/>
        <w:ind w:firstLine="490" w:firstLineChars="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（公章）</w:t>
      </w:r>
    </w:p>
    <w:p w14:paraId="73CE645C">
      <w:pPr>
        <w:wordWrap w:val="0"/>
        <w:spacing w:line="420" w:lineRule="exact"/>
        <w:ind w:right="480" w:firstLine="490" w:firstLineChars="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年</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月</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日 </w:t>
      </w:r>
    </w:p>
    <w:p w14:paraId="6E38D20C">
      <w:pPr>
        <w:pStyle w:val="24"/>
        <w:shd w:val="clear" w:color="auto" w:fill="auto"/>
        <w:ind w:left="0" w:leftChars="0" w:right="210" w:rightChars="98" w:firstLine="0" w:firstLineChars="0"/>
        <w:jc w:val="center"/>
        <w:outlineLvl w:val="3"/>
        <w:rPr>
          <w:rFonts w:hint="eastAsia" w:ascii="宋体" w:hAnsi="宋体" w:eastAsia="宋体" w:cs="宋体"/>
          <w:b/>
          <w:color w:val="000000" w:themeColor="text1"/>
          <w:sz w:val="32"/>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r>
        <w:rPr>
          <w:rFonts w:hint="eastAsia" w:ascii="宋体" w:hAnsi="宋体" w:eastAsia="宋体" w:cs="宋体"/>
          <w:b/>
          <w:color w:val="000000" w:themeColor="text1"/>
          <w:sz w:val="32"/>
          <w:highlight w:val="none"/>
          <w14:textFill>
            <w14:solidFill>
              <w14:schemeClr w14:val="tx1"/>
            </w14:solidFill>
          </w14:textFill>
        </w:rPr>
        <w:t>法人授权委托书（格式）</w:t>
      </w:r>
    </w:p>
    <w:p w14:paraId="0B5CCB9E">
      <w:pPr>
        <w:pStyle w:val="24"/>
        <w:shd w:val="clear" w:color="auto" w:fill="auto"/>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p>
    <w:p w14:paraId="5CC6D67E">
      <w:pPr>
        <w:shd w:val="clear" w:color="auto" w:fill="auto"/>
        <w:bidi w:val="0"/>
        <w:ind w:left="0" w:leftChars="0" w:right="210" w:rightChars="98" w:firstLine="0" w:firstLineChars="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致</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 w:val="24"/>
          <w:highlight w:val="none"/>
          <w:u w:val="single"/>
          <w14:textFill>
            <w14:solidFill>
              <w14:schemeClr w14:val="tx1"/>
            </w14:solidFill>
          </w14:textFill>
        </w:rPr>
        <w:t xml:space="preserve">                      </w:t>
      </w:r>
    </w:p>
    <w:p w14:paraId="694BBB28">
      <w:pPr>
        <w:shd w:val="clear" w:color="auto" w:fill="auto"/>
        <w:bidi w:val="0"/>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p>
    <w:p w14:paraId="3E7C9F8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210" w:rightChars="98"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我作为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（投标单位名称）的法定代表人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（姓名、职务），在此任命：</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，代表本单位作为正式合法代表，在</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项目的投标采购上授权代表公司签署</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、与采购代理机构进行谈判、签订合同及实施与此有关的一切事宜的权力。</w:t>
      </w:r>
    </w:p>
    <w:p w14:paraId="48DCCEB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210" w:rightChars="98" w:firstLine="0" w:firstLineChars="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本授权自</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日至</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日有效。</w:t>
      </w:r>
    </w:p>
    <w:p w14:paraId="731A3E61">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78740</wp:posOffset>
                </wp:positionV>
                <wp:extent cx="2426335" cy="1292225"/>
                <wp:effectExtent l="4445" t="4445" r="7620" b="17780"/>
                <wp:wrapNone/>
                <wp:docPr id="12" name="AutoShape 2"/>
                <wp:cNvGraphicFramePr/>
                <a:graphic xmlns:a="http://schemas.openxmlformats.org/drawingml/2006/main">
                  <a:graphicData uri="http://schemas.microsoft.com/office/word/2010/wordprocessingShape">
                    <wps:wsp>
                      <wps:cNvSpPr/>
                      <wps:spPr>
                        <a:xfrm>
                          <a:off x="0" y="0"/>
                          <a:ext cx="2426335" cy="12922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32EF16">
                            <w:pPr>
                              <w:jc w:val="center"/>
                              <w:rPr>
                                <w:rFonts w:hint="eastAsia" w:hAnsi="宋体"/>
                                <w:szCs w:val="21"/>
                              </w:rPr>
                            </w:pPr>
                          </w:p>
                          <w:p w14:paraId="172E86E1">
                            <w:pPr>
                              <w:jc w:val="center"/>
                              <w:rPr>
                                <w:rFonts w:hint="eastAsia" w:hAnsi="宋体"/>
                                <w:szCs w:val="21"/>
                              </w:rPr>
                            </w:pPr>
                          </w:p>
                          <w:p w14:paraId="3B1005E3">
                            <w:pPr>
                              <w:jc w:val="center"/>
                              <w:rPr>
                                <w:rFonts w:hint="eastAsia" w:hAnsi="宋体"/>
                                <w:szCs w:val="21"/>
                              </w:rPr>
                            </w:pPr>
                          </w:p>
                          <w:p w14:paraId="064BC14A">
                            <w:pPr>
                              <w:jc w:val="center"/>
                              <w:rPr>
                                <w:szCs w:val="21"/>
                              </w:rPr>
                            </w:pPr>
                            <w:r>
                              <w:rPr>
                                <w:rFonts w:hint="eastAsia" w:hAnsi="宋体"/>
                                <w:szCs w:val="21"/>
                              </w:rPr>
                              <w:t>授权委托人身份证复印件正面</w:t>
                            </w:r>
                          </w:p>
                        </w:txbxContent>
                      </wps:txbx>
                      <wps:bodyPr wrap="square" upright="1"/>
                    </wps:wsp>
                  </a:graphicData>
                </a:graphic>
              </wp:anchor>
            </w:drawing>
          </mc:Choice>
          <mc:Fallback>
            <w:pict>
              <v:shape id="AutoShape 2" o:spid="_x0000_s1026" o:spt="176" type="#_x0000_t176" style="position:absolute;left:0pt;margin-left:3.15pt;margin-top:6.2pt;height:101.75pt;width:191.05pt;z-index:251662336;mso-width-relative:page;mso-height-relative:page;" fillcolor="#FFFFFF" filled="t" stroked="t" coordsize="21600,21600" o:gfxdata="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6B8q1gAAAAgBAAAPAAAAAAAAAAEAIAAA&#10;ACIAAABkcnMvZG93bnJldi54bWxQSwECFAAUAAAACACHTuJAhnBPOw4CAABRBAAADgAAAAAAAAAB&#10;ACAAAAAlAQAAZHJzL2Uyb0RvYy54bWxQSwUGAAAAAAYABgBZAQAApQUAAAAA&#10;">
                <v:fill on="t" focussize="0,0"/>
                <v:stroke color="#000000" joinstyle="miter"/>
                <v:imagedata o:title=""/>
                <o:lock v:ext="edit" aspectratio="f"/>
                <v:textbox>
                  <w:txbxContent>
                    <w:p w14:paraId="5732EF16">
                      <w:pPr>
                        <w:jc w:val="center"/>
                        <w:rPr>
                          <w:rFonts w:hint="eastAsia" w:hAnsi="宋体"/>
                          <w:szCs w:val="21"/>
                        </w:rPr>
                      </w:pPr>
                    </w:p>
                    <w:p w14:paraId="172E86E1">
                      <w:pPr>
                        <w:jc w:val="center"/>
                        <w:rPr>
                          <w:rFonts w:hint="eastAsia" w:hAnsi="宋体"/>
                          <w:szCs w:val="21"/>
                        </w:rPr>
                      </w:pPr>
                    </w:p>
                    <w:p w14:paraId="3B1005E3">
                      <w:pPr>
                        <w:jc w:val="center"/>
                        <w:rPr>
                          <w:rFonts w:hint="eastAsia" w:hAnsi="宋体"/>
                          <w:szCs w:val="21"/>
                        </w:rPr>
                      </w:pPr>
                    </w:p>
                    <w:p w14:paraId="064BC14A">
                      <w:pPr>
                        <w:jc w:val="center"/>
                        <w:rPr>
                          <w:szCs w:val="21"/>
                        </w:rPr>
                      </w:pPr>
                      <w:r>
                        <w:rPr>
                          <w:rFonts w:hint="eastAsia" w:hAnsi="宋体"/>
                          <w:szCs w:val="21"/>
                        </w:rPr>
                        <w:t>授权委托人身份证复印件正面</w:t>
                      </w:r>
                    </w:p>
                  </w:txbxContent>
                </v:textbox>
              </v:shape>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3039110</wp:posOffset>
                </wp:positionH>
                <wp:positionV relativeFrom="paragraph">
                  <wp:posOffset>167640</wp:posOffset>
                </wp:positionV>
                <wp:extent cx="2580005" cy="1241425"/>
                <wp:effectExtent l="7620" t="7620" r="22225" b="8255"/>
                <wp:wrapNone/>
                <wp:docPr id="13" name="自选图形 32"/>
                <wp:cNvGraphicFramePr/>
                <a:graphic xmlns:a="http://schemas.openxmlformats.org/drawingml/2006/main">
                  <a:graphicData uri="http://schemas.microsoft.com/office/word/2010/wordprocessingShape">
                    <wps:wsp>
                      <wps:cNvSpPr/>
                      <wps:spPr>
                        <a:xfrm>
                          <a:off x="0" y="0"/>
                          <a:ext cx="2580005" cy="124142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0349F039">
                            <w:pPr>
                              <w:rPr>
                                <w:rFonts w:hint="eastAsia" w:hAnsi="宋体"/>
                                <w:szCs w:val="21"/>
                              </w:rPr>
                            </w:pPr>
                          </w:p>
                          <w:p w14:paraId="3EE20D0B">
                            <w:pPr>
                              <w:rPr>
                                <w:rFonts w:hint="eastAsia" w:hAnsi="宋体"/>
                                <w:szCs w:val="21"/>
                              </w:rPr>
                            </w:pPr>
                          </w:p>
                          <w:p w14:paraId="38857F91">
                            <w:pPr>
                              <w:rPr>
                                <w:rFonts w:hint="eastAsia" w:hAnsi="宋体"/>
                                <w:szCs w:val="21"/>
                              </w:rPr>
                            </w:pPr>
                          </w:p>
                          <w:p w14:paraId="47AC64DA">
                            <w:pPr>
                              <w:rPr>
                                <w:szCs w:val="21"/>
                              </w:rPr>
                            </w:pPr>
                            <w:r>
                              <w:rPr>
                                <w:rFonts w:hint="eastAsia" w:hAnsi="宋体"/>
                                <w:szCs w:val="21"/>
                              </w:rPr>
                              <w:t>授权委托人身份证复印件反面</w:t>
                            </w:r>
                          </w:p>
                          <w:p w14:paraId="5516D596"/>
                        </w:txbxContent>
                      </wps:txbx>
                      <wps:bodyPr wrap="square" upright="1"/>
                    </wps:wsp>
                  </a:graphicData>
                </a:graphic>
              </wp:anchor>
            </w:drawing>
          </mc:Choice>
          <mc:Fallback>
            <w:pict>
              <v:roundrect id="自选图形 32" o:spid="_x0000_s1026" o:spt="2" style="position:absolute;left:0pt;margin-left:239.3pt;margin-top:13.2pt;height:97.75pt;width:203.15pt;z-index:251663360;mso-width-relative:page;mso-height-relative:page;" fillcolor="#FFFFFF" filled="t" stroked="t" coordsize="21600,21600" arcsize="0.166666666666667" o:gfxdata="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uX2gfbAAAACgEAAA8AAAAAAAAAAQAgAAAAIgAAAGRycy9kb3ducmV2Lnht&#10;bFBLAQIUABQAAAAIAIdO4kANCM9yLwIAAGgEAAAOAAAAAAAAAAEAIAAAACoBAABkcnMvZTJvRG9j&#10;LnhtbFBLBQYAAAAABgAGAFkBAADLBQAAAAA=&#10;">
                <v:fill on="t" focussize="0,0"/>
                <v:stroke weight="1.25pt" color="#808080" joinstyle="round"/>
                <v:imagedata o:title=""/>
                <o:lock v:ext="edit" aspectratio="f"/>
                <v:textbox>
                  <w:txbxContent>
                    <w:p w14:paraId="0349F039">
                      <w:pPr>
                        <w:rPr>
                          <w:rFonts w:hint="eastAsia" w:hAnsi="宋体"/>
                          <w:szCs w:val="21"/>
                        </w:rPr>
                      </w:pPr>
                    </w:p>
                    <w:p w14:paraId="3EE20D0B">
                      <w:pPr>
                        <w:rPr>
                          <w:rFonts w:hint="eastAsia" w:hAnsi="宋体"/>
                          <w:szCs w:val="21"/>
                        </w:rPr>
                      </w:pPr>
                    </w:p>
                    <w:p w14:paraId="38857F91">
                      <w:pPr>
                        <w:rPr>
                          <w:rFonts w:hint="eastAsia" w:hAnsi="宋体"/>
                          <w:szCs w:val="21"/>
                        </w:rPr>
                      </w:pPr>
                    </w:p>
                    <w:p w14:paraId="47AC64DA">
                      <w:pPr>
                        <w:rPr>
                          <w:szCs w:val="21"/>
                        </w:rPr>
                      </w:pPr>
                      <w:r>
                        <w:rPr>
                          <w:rFonts w:hint="eastAsia" w:hAnsi="宋体"/>
                          <w:szCs w:val="21"/>
                        </w:rPr>
                        <w:t>授权委托人身份证复印件反面</w:t>
                      </w:r>
                    </w:p>
                    <w:p w14:paraId="5516D596"/>
                  </w:txbxContent>
                </v:textbox>
              </v:roundrect>
            </w:pict>
          </mc:Fallback>
        </mc:AlternateContent>
      </w:r>
    </w:p>
    <w:p w14:paraId="1533EA2B">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76F51152">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7F08FA2B">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4EBD6615">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4CADE431">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3018155</wp:posOffset>
                </wp:positionH>
                <wp:positionV relativeFrom="paragraph">
                  <wp:posOffset>96520</wp:posOffset>
                </wp:positionV>
                <wp:extent cx="2609850" cy="1181100"/>
                <wp:effectExtent l="7620" t="7620" r="11430" b="11430"/>
                <wp:wrapNone/>
                <wp:docPr id="15" name="自选图形 33"/>
                <wp:cNvGraphicFramePr/>
                <a:graphic xmlns:a="http://schemas.openxmlformats.org/drawingml/2006/main">
                  <a:graphicData uri="http://schemas.microsoft.com/office/word/2010/wordprocessingShape">
                    <wps:wsp>
                      <wps:cNvSpPr/>
                      <wps:spPr>
                        <a:xfrm>
                          <a:off x="0" y="0"/>
                          <a:ext cx="2609850" cy="118110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5520AC23">
                            <w:pPr>
                              <w:jc w:val="center"/>
                              <w:rPr>
                                <w:rFonts w:hint="eastAsia" w:hAnsi="宋体"/>
                                <w:szCs w:val="21"/>
                              </w:rPr>
                            </w:pPr>
                            <w:r>
                              <w:rPr>
                                <w:rFonts w:hint="eastAsia" w:hAnsi="宋体"/>
                                <w:szCs w:val="21"/>
                              </w:rPr>
                              <w:t xml:space="preserve">  </w:t>
                            </w:r>
                          </w:p>
                          <w:p w14:paraId="72473AF9">
                            <w:pPr>
                              <w:jc w:val="center"/>
                              <w:rPr>
                                <w:rFonts w:hint="eastAsia" w:hAnsi="宋体"/>
                                <w:szCs w:val="21"/>
                              </w:rPr>
                            </w:pPr>
                          </w:p>
                          <w:p w14:paraId="1BBA97EA">
                            <w:pPr>
                              <w:jc w:val="center"/>
                              <w:rPr>
                                <w:rFonts w:hint="eastAsia" w:hAnsi="宋体"/>
                                <w:szCs w:val="21"/>
                              </w:rPr>
                            </w:pPr>
                          </w:p>
                          <w:p w14:paraId="2C95AFA9">
                            <w:pPr>
                              <w:jc w:val="center"/>
                              <w:rPr>
                                <w:szCs w:val="21"/>
                              </w:rPr>
                            </w:pPr>
                            <w:r>
                              <w:rPr>
                                <w:rFonts w:hint="eastAsia" w:hAnsi="宋体"/>
                                <w:szCs w:val="21"/>
                              </w:rPr>
                              <w:t>法人身份证复印件反面</w:t>
                            </w:r>
                          </w:p>
                          <w:p w14:paraId="75788299"/>
                        </w:txbxContent>
                      </wps:txbx>
                      <wps:bodyPr wrap="square" upright="1"/>
                    </wps:wsp>
                  </a:graphicData>
                </a:graphic>
              </wp:anchor>
            </w:drawing>
          </mc:Choice>
          <mc:Fallback>
            <w:pict>
              <v:roundrect id="自选图形 33" o:spid="_x0000_s1026" o:spt="2" style="position:absolute;left:0pt;margin-left:237.65pt;margin-top:7.6pt;height:93pt;width:205.5pt;z-index:251665408;mso-width-relative:page;mso-height-relative:page;" fillcolor="#FFFFFF" filled="t" stroked="t" coordsize="21600,21600" arcsize="0.166666666666667" o:gfxdata="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2/++NoAAAAKAQAADwAAAAAAAAABACAAAAAiAAAAZHJzL2Rvd25yZXYueG1s&#10;UEsBAhQAFAAAAAgAh07iQFdGT/8vAgAAaAQAAA4AAAAAAAAAAQAgAAAAKQEAAGRycy9lMm9Eb2Mu&#10;eG1sUEsFBgAAAAAGAAYAWQEAAMoFAAAAAA==&#10;">
                <v:fill on="t" focussize="0,0"/>
                <v:stroke weight="1.25pt" color="#808080" joinstyle="round"/>
                <v:imagedata o:title=""/>
                <o:lock v:ext="edit" aspectratio="f"/>
                <v:textbox>
                  <w:txbxContent>
                    <w:p w14:paraId="5520AC23">
                      <w:pPr>
                        <w:jc w:val="center"/>
                        <w:rPr>
                          <w:rFonts w:hint="eastAsia" w:hAnsi="宋体"/>
                          <w:szCs w:val="21"/>
                        </w:rPr>
                      </w:pPr>
                      <w:r>
                        <w:rPr>
                          <w:rFonts w:hint="eastAsia" w:hAnsi="宋体"/>
                          <w:szCs w:val="21"/>
                        </w:rPr>
                        <w:t xml:space="preserve">  </w:t>
                      </w:r>
                    </w:p>
                    <w:p w14:paraId="72473AF9">
                      <w:pPr>
                        <w:jc w:val="center"/>
                        <w:rPr>
                          <w:rFonts w:hint="eastAsia" w:hAnsi="宋体"/>
                          <w:szCs w:val="21"/>
                        </w:rPr>
                      </w:pPr>
                    </w:p>
                    <w:p w14:paraId="1BBA97EA">
                      <w:pPr>
                        <w:jc w:val="center"/>
                        <w:rPr>
                          <w:rFonts w:hint="eastAsia" w:hAnsi="宋体"/>
                          <w:szCs w:val="21"/>
                        </w:rPr>
                      </w:pPr>
                    </w:p>
                    <w:p w14:paraId="2C95AFA9">
                      <w:pPr>
                        <w:jc w:val="center"/>
                        <w:rPr>
                          <w:szCs w:val="21"/>
                        </w:rPr>
                      </w:pPr>
                      <w:r>
                        <w:rPr>
                          <w:rFonts w:hint="eastAsia" w:hAnsi="宋体"/>
                          <w:szCs w:val="21"/>
                        </w:rPr>
                        <w:t>法人身份证复印件反面</w:t>
                      </w:r>
                    </w:p>
                    <w:p w14:paraId="75788299"/>
                  </w:txbxContent>
                </v:textbox>
              </v:roundrect>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29845</wp:posOffset>
                </wp:positionV>
                <wp:extent cx="2514600" cy="1276350"/>
                <wp:effectExtent l="7620" t="7620" r="11430" b="11430"/>
                <wp:wrapNone/>
                <wp:docPr id="14" name="自选图形 34"/>
                <wp:cNvGraphicFramePr/>
                <a:graphic xmlns:a="http://schemas.openxmlformats.org/drawingml/2006/main">
                  <a:graphicData uri="http://schemas.microsoft.com/office/word/2010/wordprocessingShape">
                    <wps:wsp>
                      <wps:cNvSpPr/>
                      <wps:spPr>
                        <a:xfrm>
                          <a:off x="0" y="0"/>
                          <a:ext cx="2514600" cy="127635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F403465">
                            <w:pPr>
                              <w:jc w:val="center"/>
                              <w:rPr>
                                <w:rFonts w:hint="eastAsia" w:hAnsi="宋体"/>
                                <w:szCs w:val="21"/>
                              </w:rPr>
                            </w:pPr>
                          </w:p>
                          <w:p w14:paraId="0B625AD8">
                            <w:pPr>
                              <w:jc w:val="center"/>
                              <w:rPr>
                                <w:rFonts w:hint="eastAsia" w:hAnsi="宋体"/>
                                <w:szCs w:val="21"/>
                              </w:rPr>
                            </w:pPr>
                          </w:p>
                          <w:p w14:paraId="59EFC3CC">
                            <w:pPr>
                              <w:jc w:val="center"/>
                              <w:rPr>
                                <w:rFonts w:hint="eastAsia" w:hAnsi="宋体"/>
                                <w:szCs w:val="21"/>
                              </w:rPr>
                            </w:pPr>
                          </w:p>
                          <w:p w14:paraId="7AF27D0C">
                            <w:pPr>
                              <w:jc w:val="center"/>
                              <w:rPr>
                                <w:szCs w:val="21"/>
                              </w:rPr>
                            </w:pPr>
                            <w:r>
                              <w:rPr>
                                <w:rFonts w:hint="eastAsia" w:hAnsi="宋体"/>
                                <w:szCs w:val="21"/>
                              </w:rPr>
                              <w:t>法人身份证复印件正面</w:t>
                            </w:r>
                          </w:p>
                          <w:p w14:paraId="2B930674"/>
                        </w:txbxContent>
                      </wps:txbx>
                      <wps:bodyPr wrap="square" upright="1"/>
                    </wps:wsp>
                  </a:graphicData>
                </a:graphic>
              </wp:anchor>
            </w:drawing>
          </mc:Choice>
          <mc:Fallback>
            <w:pict>
              <v:roundrect id="自选图形 34" o:spid="_x0000_s1026" o:spt="2" style="position:absolute;left:0pt;margin-left:-0.85pt;margin-top:2.35pt;height:100.5pt;width:198pt;z-index:251664384;mso-width-relative:page;mso-height-relative:page;" fillcolor="#FFFFFF" filled="t" stroked="t" coordsize="21600,21600" arcsize="0.166666666666667" o:gfxdata="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oSP72gAAAAgBAAAPAAAAAAAAAAEAIAAAACIAAABkcnMvZG93bnJldi54&#10;bWxQSwECFAAUAAAACACHTuJAXJEM3TECAABoBAAADgAAAAAAAAABACAAAAApAQAAZHJzL2Uyb0Rv&#10;Yy54bWxQSwUGAAAAAAYABgBZAQAAzAUAAAAA&#10;">
                <v:fill on="t" focussize="0,0"/>
                <v:stroke weight="1.25pt" color="#808080" joinstyle="round"/>
                <v:imagedata o:title=""/>
                <o:lock v:ext="edit" aspectratio="f"/>
                <v:textbox>
                  <w:txbxContent>
                    <w:p w14:paraId="6F403465">
                      <w:pPr>
                        <w:jc w:val="center"/>
                        <w:rPr>
                          <w:rFonts w:hint="eastAsia" w:hAnsi="宋体"/>
                          <w:szCs w:val="21"/>
                        </w:rPr>
                      </w:pPr>
                    </w:p>
                    <w:p w14:paraId="0B625AD8">
                      <w:pPr>
                        <w:jc w:val="center"/>
                        <w:rPr>
                          <w:rFonts w:hint="eastAsia" w:hAnsi="宋体"/>
                          <w:szCs w:val="21"/>
                        </w:rPr>
                      </w:pPr>
                    </w:p>
                    <w:p w14:paraId="59EFC3CC">
                      <w:pPr>
                        <w:jc w:val="center"/>
                        <w:rPr>
                          <w:rFonts w:hint="eastAsia" w:hAnsi="宋体"/>
                          <w:szCs w:val="21"/>
                        </w:rPr>
                      </w:pPr>
                    </w:p>
                    <w:p w14:paraId="7AF27D0C">
                      <w:pPr>
                        <w:jc w:val="center"/>
                        <w:rPr>
                          <w:szCs w:val="21"/>
                        </w:rPr>
                      </w:pPr>
                      <w:r>
                        <w:rPr>
                          <w:rFonts w:hint="eastAsia" w:hAnsi="宋体"/>
                          <w:szCs w:val="21"/>
                        </w:rPr>
                        <w:t>法人身份证复印件正面</w:t>
                      </w:r>
                    </w:p>
                    <w:p w14:paraId="2B930674"/>
                  </w:txbxContent>
                </v:textbox>
              </v:roundrect>
            </w:pict>
          </mc:Fallback>
        </mc:AlternateContent>
      </w:r>
    </w:p>
    <w:p w14:paraId="208618EF">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222CE32E">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4F8C9C69">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418E218B">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p>
    <w:p w14:paraId="3390E67B">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投标单位：（盖章）</w:t>
      </w:r>
    </w:p>
    <w:p w14:paraId="702F9013">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法定代表人签字或盖章：</w:t>
      </w:r>
    </w:p>
    <w:p w14:paraId="7887F3B4">
      <w:pPr>
        <w:shd w:val="clear" w:color="auto" w:fill="auto"/>
        <w:spacing w:line="500" w:lineRule="exact"/>
        <w:ind w:left="0" w:leftChars="0" w:right="210" w:rightChars="98"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授权代表人签字</w:t>
      </w:r>
      <w:r>
        <w:rPr>
          <w:rFonts w:hint="eastAsia" w:ascii="宋体" w:hAnsi="宋体" w:eastAsia="宋体" w:cs="宋体"/>
          <w:color w:val="000000" w:themeColor="text1"/>
          <w:highlight w:val="none"/>
          <w14:textFill>
            <w14:solidFill>
              <w14:schemeClr w14:val="tx1"/>
            </w14:solidFill>
          </w14:textFill>
        </w:rPr>
        <w:t xml:space="preserve">或盖章 </w:t>
      </w:r>
      <w:r>
        <w:rPr>
          <w:rFonts w:hint="eastAsia" w:ascii="宋体" w:hAnsi="宋体" w:eastAsia="宋体" w:cs="宋体"/>
          <w:color w:val="000000" w:themeColor="text1"/>
          <w:szCs w:val="21"/>
          <w:highlight w:val="none"/>
          <w14:textFill>
            <w14:solidFill>
              <w14:schemeClr w14:val="tx1"/>
            </w14:solidFill>
          </w14:textFill>
        </w:rPr>
        <w:t xml:space="preserve">： </w:t>
      </w:r>
    </w:p>
    <w:p w14:paraId="53BE7E8D">
      <w:pPr>
        <w:shd w:val="clear" w:color="auto" w:fill="auto"/>
        <w:bidi w:val="0"/>
        <w:ind w:left="0" w:leftChars="0" w:right="210" w:rightChars="98" w:firstLine="0" w:firstLineChars="0"/>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0D05A254">
      <w:pPr>
        <w:pStyle w:val="24"/>
        <w:shd w:val="clear" w:color="auto" w:fill="auto"/>
        <w:spacing w:line="480" w:lineRule="exact"/>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w:t>
      </w:r>
    </w:p>
    <w:p w14:paraId="2DB4C065">
      <w:pPr>
        <w:pStyle w:val="24"/>
        <w:shd w:val="clear" w:color="auto" w:fill="auto"/>
        <w:spacing w:line="480" w:lineRule="exact"/>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bCs/>
          <w:color w:val="000000" w:themeColor="text1"/>
          <w:highlight w:val="none"/>
          <w14:textFill>
            <w14:solidFill>
              <w14:schemeClr w14:val="tx1"/>
            </w14:solidFill>
          </w14:textFill>
        </w:rPr>
        <w:t>法人授权委托书所签发的</w:t>
      </w:r>
      <w:r>
        <w:rPr>
          <w:rFonts w:hint="eastAsia" w:ascii="宋体" w:hAnsi="宋体" w:eastAsia="宋体" w:cs="宋体"/>
          <w:color w:val="000000" w:themeColor="text1"/>
          <w:highlight w:val="none"/>
          <w14:textFill>
            <w14:solidFill>
              <w14:schemeClr w14:val="tx1"/>
            </w14:solidFill>
          </w14:textFill>
        </w:rPr>
        <w:t>代理期限必须涵盖代理人所有签字为有效的时间。</w:t>
      </w:r>
    </w:p>
    <w:p w14:paraId="673A7585">
      <w:pPr>
        <w:pStyle w:val="24"/>
        <w:shd w:val="clear" w:color="auto" w:fill="auto"/>
        <w:spacing w:line="480" w:lineRule="exact"/>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2、委托书内容填写要明确，文字要工整清楚，涂改无效。</w:t>
      </w:r>
    </w:p>
    <w:p w14:paraId="70BD83BE">
      <w:pPr>
        <w:pStyle w:val="24"/>
        <w:shd w:val="clear" w:color="auto" w:fill="auto"/>
        <w:spacing w:line="480" w:lineRule="exact"/>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3、委托书不得转借、转让，不得买卖。</w:t>
      </w:r>
    </w:p>
    <w:p w14:paraId="2641FF5D">
      <w:pPr>
        <w:pStyle w:val="24"/>
        <w:shd w:val="clear" w:color="auto" w:fill="auto"/>
        <w:spacing w:line="440" w:lineRule="exact"/>
        <w:ind w:left="0" w:leftChars="0" w:right="210" w:rightChars="98"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4、代理人根据授权范围，以委托单位的名义签订合同，并将此委托书提交给对方作为合同附件。</w:t>
      </w:r>
    </w:p>
    <w:p w14:paraId="0E97D8EF">
      <w:pPr>
        <w:pStyle w:val="19"/>
        <w:numPr>
          <w:ilvl w:val="0"/>
          <w:numId w:val="0"/>
        </w:numPr>
        <w:tabs>
          <w:tab w:val="clear" w:pos="562"/>
          <w:tab w:val="clear" w:pos="3372"/>
          <w:tab w:val="clear" w:pos="3653"/>
        </w:tabs>
        <w:kinsoku w:val="0"/>
        <w:overflowPunct w:val="0"/>
        <w:adjustRightInd w:val="0"/>
        <w:snapToGrid w:val="0"/>
        <w:spacing w:line="360" w:lineRule="auto"/>
        <w:ind w:leftChars="50" w:right="238" w:rightChars="0" w:firstLine="2460" w:firstLineChars="1200"/>
        <w:jc w:val="both"/>
        <w:rPr>
          <w:rFonts w:hint="eastAsia" w:ascii="仿宋" w:hAnsi="仿宋" w:eastAsia="仿宋" w:cs="仿宋"/>
          <w:color w:val="000000" w:themeColor="text1"/>
          <w:sz w:val="20"/>
          <w:highlight w:val="none"/>
          <w14:textFill>
            <w14:solidFill>
              <w14:schemeClr w14:val="tx1"/>
            </w14:solidFill>
          </w14:textFill>
        </w:rPr>
      </w:pPr>
    </w:p>
    <w:p w14:paraId="280670C8">
      <w:pPr>
        <w:pStyle w:val="3"/>
        <w:numPr>
          <w:ilvl w:val="0"/>
          <w:numId w:val="0"/>
        </w:numPr>
        <w:shd w:val="clear" w:color="auto" w:fill="auto"/>
        <w:tabs>
          <w:tab w:val="left" w:pos="540"/>
        </w:tabs>
        <w:spacing w:before="0" w:line="240" w:lineRule="atLeast"/>
        <w:jc w:val="center"/>
        <w:outlineLvl w:val="2"/>
        <w:rPr>
          <w:rFonts w:hint="eastAsia" w:ascii="仿宋" w:hAnsi="仿宋" w:eastAsia="仿宋" w:cs="仿宋"/>
          <w:b/>
          <w:bCs/>
          <w:color w:val="000000" w:themeColor="text1"/>
          <w:spacing w:val="0"/>
          <w:w w:val="100"/>
          <w:position w:val="0"/>
          <w:sz w:val="32"/>
          <w:szCs w:val="32"/>
          <w:highlight w:val="none"/>
          <w:shd w:val="clear" w:color="auto" w:fill="auto"/>
          <w:lang w:val="en-US" w:eastAsia="en-US" w:bidi="en-US"/>
          <w14:textFill>
            <w14:solidFill>
              <w14:schemeClr w14:val="tx1"/>
            </w14:solidFill>
          </w14:textFill>
        </w:rPr>
      </w:pPr>
      <w:bookmarkStart w:id="188" w:name="_Toc5494"/>
      <w:r>
        <w:rPr>
          <w:rFonts w:hint="eastAsia" w:ascii="仿宋" w:hAnsi="仿宋" w:eastAsia="仿宋" w:cs="仿宋"/>
          <w:b/>
          <w:bCs/>
          <w:color w:val="000000" w:themeColor="text1"/>
          <w:spacing w:val="0"/>
          <w:w w:val="100"/>
          <w:position w:val="0"/>
          <w:sz w:val="32"/>
          <w:szCs w:val="32"/>
          <w:highlight w:val="none"/>
          <w:shd w:val="clear" w:color="auto" w:fill="auto"/>
          <w:lang w:val="en-US" w:eastAsia="zh-CN" w:bidi="en-US"/>
          <w14:textFill>
            <w14:solidFill>
              <w14:schemeClr w14:val="tx1"/>
            </w14:solidFill>
          </w14:textFill>
        </w:rPr>
        <w:t>3、投标保证金缴纳凭证或保函等票据</w:t>
      </w:r>
      <w:bookmarkEnd w:id="188"/>
    </w:p>
    <w:p w14:paraId="57600A2E">
      <w:pPr>
        <w:shd w:val="clear" w:color="auto" w:fill="auto"/>
        <w:ind w:firstLine="490" w:firstLineChars="200"/>
        <w:rPr>
          <w:rFonts w:hint="eastAsia" w:ascii="仿宋" w:hAnsi="仿宋" w:eastAsia="仿宋" w:cs="仿宋"/>
          <w:color w:val="000000" w:themeColor="text1"/>
          <w:sz w:val="24"/>
          <w:highlight w:val="none"/>
          <w14:textFill>
            <w14:solidFill>
              <w14:schemeClr w14:val="tx1"/>
            </w14:solidFill>
          </w14:textFill>
        </w:rPr>
      </w:pPr>
    </w:p>
    <w:p w14:paraId="28B76D9A">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056761FB">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123DF955">
      <w:pPr>
        <w:shd w:val="clear" w:color="auto" w:fill="auto"/>
        <w:spacing w:line="240" w:lineRule="atLeast"/>
        <w:ind w:left="1092" w:leftChars="257" w:hanging="540"/>
        <w:jc w:val="center"/>
        <w:rPr>
          <w:rFonts w:hint="eastAsia" w:ascii="仿宋" w:hAnsi="仿宋" w:eastAsia="仿宋" w:cs="仿宋"/>
          <w:color w:val="000000" w:themeColor="text1"/>
          <w:sz w:val="24"/>
          <w:highlight w:val="none"/>
          <w14:textFill>
            <w14:solidFill>
              <w14:schemeClr w14:val="tx1"/>
            </w14:solidFill>
          </w14:textFill>
        </w:rPr>
      </w:pPr>
    </w:p>
    <w:p w14:paraId="679364F8">
      <w:pPr>
        <w:shd w:val="clear" w:color="auto" w:fill="auto"/>
        <w:rPr>
          <w:rFonts w:hint="eastAsia" w:ascii="仿宋" w:hAnsi="仿宋" w:eastAsia="仿宋" w:cs="仿宋"/>
          <w:color w:val="000000" w:themeColor="text1"/>
          <w:sz w:val="28"/>
          <w:szCs w:val="28"/>
          <w:highlight w:val="none"/>
          <w14:textFill>
            <w14:solidFill>
              <w14:schemeClr w14:val="tx1"/>
            </w14:solidFill>
          </w14:textFill>
        </w:rPr>
      </w:pPr>
    </w:p>
    <w:tbl>
      <w:tblPr>
        <w:tblStyle w:val="50"/>
        <w:tblpPr w:leftFromText="180" w:rightFromText="180" w:vertAnchor="text" w:horzAnchor="page" w:tblpX="2090" w:tblpY="750"/>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7643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noWrap w:val="0"/>
            <w:vAlign w:val="top"/>
          </w:tcPr>
          <w:p w14:paraId="7225D47D">
            <w:pPr>
              <w:keepNext w:val="0"/>
              <w:keepLines w:val="0"/>
              <w:suppressLineNumbers w:val="0"/>
              <w:shd w:val="clear" w:color="auto" w:fill="auto"/>
              <w:spacing w:before="0" w:beforeAutospacing="0" w:after="0" w:afterAutospacing="0"/>
              <w:ind w:left="0" w:right="0"/>
              <w:rPr>
                <w:rFonts w:hint="eastAsia" w:ascii="仿宋" w:hAnsi="仿宋" w:eastAsia="仿宋" w:cs="仿宋"/>
                <w:b/>
                <w:bCs/>
                <w:color w:val="000000" w:themeColor="text1"/>
                <w:sz w:val="30"/>
                <w:szCs w:val="30"/>
                <w:highlight w:val="none"/>
                <w14:textFill>
                  <w14:solidFill>
                    <w14:schemeClr w14:val="tx1"/>
                  </w14:solidFill>
                </w14:textFill>
              </w:rPr>
            </w:pPr>
          </w:p>
          <w:p w14:paraId="7B0CAF80">
            <w:pPr>
              <w:keepNext w:val="0"/>
              <w:keepLines w:val="0"/>
              <w:suppressLineNumbers w:val="0"/>
              <w:shd w:val="clear" w:color="auto" w:fill="auto"/>
              <w:spacing w:before="0" w:beforeAutospacing="0" w:after="0" w:afterAutospacing="0"/>
              <w:ind w:left="0" w:right="0"/>
              <w:jc w:val="center"/>
              <w:rPr>
                <w:rFonts w:hint="eastAsia" w:ascii="仿宋" w:hAnsi="仿宋" w:eastAsia="仿宋" w:cs="仿宋"/>
                <w:b/>
                <w:bCs/>
                <w:color w:val="000000" w:themeColor="text1"/>
                <w:sz w:val="30"/>
                <w:szCs w:val="30"/>
                <w:highlight w:val="none"/>
                <w:lang w:eastAsia="zh-CN"/>
                <w14:textFill>
                  <w14:solidFill>
                    <w14:schemeClr w14:val="tx1"/>
                  </w14:solidFill>
                </w14:textFill>
              </w:rPr>
            </w:pPr>
          </w:p>
          <w:p w14:paraId="325D8225">
            <w:pPr>
              <w:keepNext w:val="0"/>
              <w:keepLines w:val="0"/>
              <w:suppressLineNumbers w:val="0"/>
              <w:shd w:val="clear" w:color="auto" w:fill="auto"/>
              <w:spacing w:before="0" w:beforeAutospacing="0" w:after="0" w:afterAutospacing="0"/>
              <w:ind w:left="0" w:right="0"/>
              <w:jc w:val="center"/>
              <w:rPr>
                <w:rFonts w:hint="eastAsia" w:ascii="仿宋" w:hAnsi="仿宋" w:eastAsia="仿宋" w:cs="仿宋"/>
                <w:b/>
                <w:bCs/>
                <w:color w:val="000000" w:themeColor="text1"/>
                <w:sz w:val="30"/>
                <w:szCs w:val="30"/>
                <w:highlight w:val="none"/>
                <w:lang w:eastAsia="zh-CN"/>
                <w14:textFill>
                  <w14:solidFill>
                    <w14:schemeClr w14:val="tx1"/>
                  </w14:solidFill>
                </w14:textFill>
              </w:rPr>
            </w:pP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投标保证金缴纳凭证</w:t>
            </w:r>
          </w:p>
        </w:tc>
      </w:tr>
    </w:tbl>
    <w:p w14:paraId="7CA7C271">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5730BA61">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3504AD4D">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697C7D80">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136E4F82">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1545CC26">
      <w:pPr>
        <w:pStyle w:val="13"/>
        <w:shd w:val="clear" w:color="auto" w:fill="auto"/>
        <w:rPr>
          <w:rFonts w:hint="eastAsia" w:ascii="仿宋" w:hAnsi="仿宋" w:eastAsia="仿宋" w:cs="仿宋"/>
          <w:color w:val="000000" w:themeColor="text1"/>
          <w:highlight w:val="none"/>
          <w14:textFill>
            <w14:solidFill>
              <w14:schemeClr w14:val="tx1"/>
            </w14:solidFill>
          </w14:textFill>
        </w:rPr>
      </w:pPr>
    </w:p>
    <w:p w14:paraId="5D295140">
      <w:pPr>
        <w:rPr>
          <w:rFonts w:hint="eastAsia" w:ascii="仿宋" w:hAnsi="仿宋" w:eastAsia="仿宋" w:cs="仿宋"/>
          <w:color w:val="000000" w:themeColor="text1"/>
          <w:highlight w:val="none"/>
          <w14:textFill>
            <w14:solidFill>
              <w14:schemeClr w14:val="tx1"/>
            </w14:solidFill>
          </w14:textFill>
        </w:rPr>
      </w:pPr>
    </w:p>
    <w:p w14:paraId="58E7B2C5">
      <w:pPr>
        <w:pStyle w:val="4"/>
        <w:outlineLvl w:val="9"/>
        <w:rPr>
          <w:rFonts w:hint="eastAsia" w:ascii="仿宋" w:hAnsi="仿宋" w:eastAsia="仿宋" w:cs="仿宋"/>
          <w:color w:val="000000" w:themeColor="text1"/>
          <w:highlight w:val="none"/>
          <w14:textFill>
            <w14:solidFill>
              <w14:schemeClr w14:val="tx1"/>
            </w14:solidFill>
          </w14:textFill>
        </w:rPr>
      </w:pPr>
    </w:p>
    <w:p w14:paraId="54BC8F42">
      <w:pPr>
        <w:rPr>
          <w:rFonts w:hint="eastAsia" w:ascii="仿宋" w:hAnsi="仿宋" w:eastAsia="仿宋" w:cs="仿宋"/>
          <w:color w:val="000000" w:themeColor="text1"/>
          <w:highlight w:val="none"/>
          <w14:textFill>
            <w14:solidFill>
              <w14:schemeClr w14:val="tx1"/>
            </w14:solidFill>
          </w14:textFill>
        </w:rPr>
      </w:pPr>
    </w:p>
    <w:p w14:paraId="59B49675">
      <w:pPr>
        <w:rPr>
          <w:rFonts w:hint="eastAsia" w:ascii="仿宋" w:hAnsi="仿宋" w:eastAsia="仿宋" w:cs="仿宋"/>
          <w:color w:val="000000" w:themeColor="text1"/>
          <w:highlight w:val="none"/>
          <w14:textFill>
            <w14:solidFill>
              <w14:schemeClr w14:val="tx1"/>
            </w14:solidFill>
          </w14:textFill>
        </w:rPr>
      </w:pPr>
    </w:p>
    <w:p w14:paraId="12442F62">
      <w:pPr>
        <w:rPr>
          <w:rFonts w:hint="eastAsia" w:ascii="仿宋" w:hAnsi="仿宋" w:eastAsia="仿宋" w:cs="仿宋"/>
          <w:color w:val="000000" w:themeColor="text1"/>
          <w:highlight w:val="none"/>
          <w14:textFill>
            <w14:solidFill>
              <w14:schemeClr w14:val="tx1"/>
            </w14:solidFill>
          </w14:textFill>
        </w:rPr>
      </w:pPr>
    </w:p>
    <w:p w14:paraId="04EB6534">
      <w:pPr>
        <w:shd w:val="clear" w:color="auto" w:fill="auto"/>
        <w:jc w:val="center"/>
        <w:rPr>
          <w:rFonts w:hint="eastAsia" w:ascii="仿宋" w:hAnsi="仿宋" w:eastAsia="仿宋" w:cs="仿宋"/>
          <w:color w:val="000000" w:themeColor="text1"/>
          <w:sz w:val="28"/>
          <w:szCs w:val="28"/>
          <w:highlight w:val="none"/>
          <w14:textFill>
            <w14:solidFill>
              <w14:schemeClr w14:val="tx1"/>
            </w14:solidFill>
          </w14:textFill>
        </w:rPr>
      </w:pPr>
    </w:p>
    <w:p w14:paraId="4C28A205">
      <w:pPr>
        <w:shd w:val="clear" w:color="auto" w:fill="auto"/>
        <w:jc w:val="center"/>
        <w:rPr>
          <w:rFonts w:hint="eastAsia" w:ascii="仿宋" w:hAnsi="仿宋" w:eastAsia="仿宋" w:cs="仿宋"/>
          <w:color w:val="000000" w:themeColor="text1"/>
          <w:sz w:val="28"/>
          <w:szCs w:val="28"/>
          <w:highlight w:val="none"/>
          <w14:textFill>
            <w14:solidFill>
              <w14:schemeClr w14:val="tx1"/>
            </w14:solidFill>
          </w14:textFill>
        </w:rPr>
      </w:pPr>
    </w:p>
    <w:p w14:paraId="69AAD0E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3149A80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69F34DD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73E097C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5E07BFD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28039E4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4A2918B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22A1D3BC">
      <w:pPr>
        <w:ind w:left="4192" w:leftChars="200" w:hanging="3762" w:hangingChars="1750"/>
        <w:rPr>
          <w:rFonts w:hint="eastAsia" w:ascii="宋体" w:hAnsi="宋体" w:eastAsia="宋体" w:cs="宋体"/>
          <w:color w:val="000000" w:themeColor="text1"/>
          <w:highlight w:val="none"/>
          <w14:textFill>
            <w14:solidFill>
              <w14:schemeClr w14:val="tx1"/>
            </w14:solidFill>
          </w14:textFill>
        </w:rPr>
      </w:pPr>
    </w:p>
    <w:p w14:paraId="5A2989A4">
      <w:pPr>
        <w:shd w:val="clear" w:color="auto" w:fill="auto"/>
        <w:jc w:val="center"/>
        <w:rPr>
          <w:rFonts w:hint="eastAsia" w:ascii="仿宋" w:hAnsi="仿宋" w:eastAsia="仿宋" w:cs="仿宋"/>
          <w:b/>
          <w:bCs/>
          <w:color w:val="000000" w:themeColor="text1"/>
          <w:sz w:val="28"/>
          <w:szCs w:val="28"/>
          <w:highlight w:val="none"/>
          <w14:textFill>
            <w14:solidFill>
              <w14:schemeClr w14:val="tx1"/>
            </w14:solidFill>
          </w14:textFill>
        </w:rPr>
      </w:pPr>
    </w:p>
    <w:p w14:paraId="349C0C7C">
      <w:pPr>
        <w:shd w:val="clear" w:color="auto" w:fill="auto"/>
        <w:jc w:val="center"/>
        <w:rPr>
          <w:rFonts w:hint="eastAsia" w:ascii="仿宋" w:hAnsi="仿宋" w:eastAsia="仿宋" w:cs="仿宋"/>
          <w:b/>
          <w:bCs/>
          <w:color w:val="000000" w:themeColor="text1"/>
          <w:sz w:val="28"/>
          <w:szCs w:val="28"/>
          <w:highlight w:val="none"/>
          <w14:textFill>
            <w14:solidFill>
              <w14:schemeClr w14:val="tx1"/>
            </w14:solidFill>
          </w14:textFill>
        </w:rPr>
      </w:pPr>
    </w:p>
    <w:p w14:paraId="63A0FC95">
      <w:pPr>
        <w:shd w:val="clear" w:color="auto" w:fill="auto"/>
        <w:jc w:val="center"/>
        <w:rPr>
          <w:rFonts w:hint="eastAsia" w:ascii="仿宋" w:hAnsi="仿宋" w:eastAsia="仿宋" w:cs="仿宋"/>
          <w:b/>
          <w:bCs/>
          <w:color w:val="000000" w:themeColor="text1"/>
          <w:sz w:val="28"/>
          <w:szCs w:val="28"/>
          <w:highlight w:val="none"/>
          <w14:textFill>
            <w14:solidFill>
              <w14:schemeClr w14:val="tx1"/>
            </w14:solidFill>
          </w14:textFill>
        </w:rPr>
      </w:pPr>
    </w:p>
    <w:p w14:paraId="04FF4394">
      <w:pPr>
        <w:shd w:val="clear" w:color="auto" w:fill="auto"/>
        <w:jc w:val="center"/>
        <w:rPr>
          <w:rFonts w:hint="eastAsia" w:ascii="仿宋" w:hAnsi="仿宋" w:eastAsia="仿宋" w:cs="仿宋"/>
          <w:b/>
          <w:bCs/>
          <w:color w:val="000000" w:themeColor="text1"/>
          <w:sz w:val="28"/>
          <w:szCs w:val="28"/>
          <w:highlight w:val="none"/>
          <w14:textFill>
            <w14:solidFill>
              <w14:schemeClr w14:val="tx1"/>
            </w14:solidFill>
          </w14:textFill>
        </w:rPr>
      </w:pPr>
    </w:p>
    <w:p w14:paraId="161A4AB9">
      <w:pPr>
        <w:shd w:val="clear" w:color="auto" w:fill="auto"/>
        <w:jc w:val="center"/>
        <w:rPr>
          <w:rFonts w:hint="eastAsia"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4、</w:t>
      </w:r>
      <w:r>
        <w:rPr>
          <w:rFonts w:hint="eastAsia" w:ascii="仿宋" w:hAnsi="仿宋" w:eastAsia="仿宋" w:cs="仿宋"/>
          <w:b/>
          <w:bCs/>
          <w:color w:val="000000" w:themeColor="text1"/>
          <w:sz w:val="28"/>
          <w:szCs w:val="28"/>
          <w:highlight w:val="none"/>
          <w14:textFill>
            <w14:solidFill>
              <w14:schemeClr w14:val="tx1"/>
            </w14:solidFill>
          </w14:textFill>
        </w:rPr>
        <w:t>政府采购投标担保函 （项目用）</w:t>
      </w:r>
    </w:p>
    <w:p w14:paraId="1E7DAE7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编号：</w:t>
      </w:r>
    </w:p>
    <w:p w14:paraId="722AF1C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default"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 xml:space="preserve">                   （采购人或采购代理机构）：  </w:t>
      </w:r>
    </w:p>
    <w:p w14:paraId="103B959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 xml:space="preserve">鉴于               （以下简称“投标人”）拟参加编号为                 的                                       </w:t>
      </w:r>
    </w:p>
    <w:p w14:paraId="5631FE3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项目（以下简称“本项目”）投标，根据本项目谈判文件，供应商参加投标时应向你方交纳投标保证金，且可以投标担保函的形式交纳投标保证金。应供应商的申请，我方以保证的方式向你方提供如下投标保证金担保：</w:t>
      </w:r>
    </w:p>
    <w:p w14:paraId="094F67D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一、保证责任的情形及保证金额</w:t>
      </w:r>
    </w:p>
    <w:p w14:paraId="4BB007A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4"/>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（一）在投标人出现下列情形之一时，我方承担保证责任：</w:t>
      </w:r>
    </w:p>
    <w:p w14:paraId="5C169DE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1．成交后投标人无正当理由不与采购人或者采购代理机构签订《政府采购合同》；</w:t>
      </w:r>
    </w:p>
    <w:p w14:paraId="3826FCD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2"/>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bookmarkStart w:id="189" w:name="_Toc26936"/>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2．谈判文件规定的投标人应当缴纳保证金的其他情形。</w:t>
      </w:r>
      <w:bookmarkEnd w:id="189"/>
    </w:p>
    <w:p w14:paraId="0BBA05A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（二）我方承担保证责任的最高金额为人民币      元（大写            ），即本项目的投标保证金金额。</w:t>
      </w:r>
    </w:p>
    <w:p w14:paraId="2C11744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二、保证的方式及保证期间</w:t>
      </w:r>
    </w:p>
    <w:p w14:paraId="3D0369F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我方保证的方式为：连带责任保证。</w:t>
      </w:r>
    </w:p>
    <w:p w14:paraId="31FE0DD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我方的保证期间为：自本保函生效之日起    个月止。</w:t>
      </w:r>
    </w:p>
    <w:p w14:paraId="0C36ADC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三、承担保证责任的程序</w:t>
      </w:r>
    </w:p>
    <w:p w14:paraId="42E8BF1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54CDD5E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2．我方在收到索赔通知及相关证明材料后，在　　　个工作日内进行审查，符合应承担保证责任情形的，我方应按照你方的要求代投标人向你方支付投标保证金。</w:t>
      </w:r>
    </w:p>
    <w:p w14:paraId="1F97A75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四、保证责任的终止</w:t>
      </w:r>
    </w:p>
    <w:p w14:paraId="046B3C0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1．保证期间届满你方未向我方书面主张保证责任的，自保证期间届满次日起，我方保证责任自动终止。</w:t>
      </w:r>
    </w:p>
    <w:p w14:paraId="66D854D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2．我方按照本保函向你贵方履行了保证责任后，自我方向你贵方支付款项（支付款项从我方账户划出）之日起，保证责任终止。</w:t>
      </w:r>
    </w:p>
    <w:p w14:paraId="0B2CEEB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3．按照法律法规的规定或出现我方保证责任终止的其它情形的，我方在本保函项下的保证责任亦终止。</w:t>
      </w:r>
    </w:p>
    <w:p w14:paraId="4ED38DF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五、免责条款</w:t>
      </w:r>
    </w:p>
    <w:p w14:paraId="53AEC61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1．依照法律规定或你方与投标人的另行约定，全部或者部分免除投标人投标保证金义务时，我方亦免除相应的保证责任。</w:t>
      </w:r>
    </w:p>
    <w:p w14:paraId="5CBB6F0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2．因你方原因致使投标人发生本保函第一条第（一）款约定情形的，我方不承担保证责任。</w:t>
      </w:r>
    </w:p>
    <w:p w14:paraId="4B70DE9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3．因不可抗力造成投标人发生本保函第一条约定情形的，我方不承担保证责任。</w:t>
      </w:r>
    </w:p>
    <w:p w14:paraId="3D87B4F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4．你方或其他有权机关对谈判文件进行任何澄清或修改，加重我方保证责任的，我方对加重部分不承担保证责任，但该澄清或修改经我方事先书面同意的除外。</w:t>
      </w:r>
    </w:p>
    <w:p w14:paraId="0C2148C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六、争议的解决</w:t>
      </w:r>
    </w:p>
    <w:p w14:paraId="4D674AD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因本保函发生的纠纷，由你我双方协商解决，协商不成的，通过诉讼程序解决，诉讼管辖地法院为          法院。</w:t>
      </w:r>
    </w:p>
    <w:p w14:paraId="163C1B5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七、保函的生效</w:t>
      </w:r>
    </w:p>
    <w:p w14:paraId="7F71C1C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本保函自我方加盖公章之日起生效。</w:t>
      </w:r>
    </w:p>
    <w:p w14:paraId="441D8F0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p>
    <w:p w14:paraId="47A16F7B">
      <w:pPr>
        <w:keepNext w:val="0"/>
        <w:keepLines w:val="0"/>
        <w:pageBreakBefore w:val="0"/>
        <w:widowControl w:val="0"/>
        <w:shd w:val="clear" w:color="auto" w:fill="auto"/>
        <w:tabs>
          <w:tab w:val="left" w:pos="5580"/>
          <w:tab w:val="left" w:pos="7010"/>
          <w:tab w:val="right" w:pos="9116"/>
        </w:tabs>
        <w:kinsoku/>
        <w:wordWrap/>
        <w:overflowPunct/>
        <w:topLinePunct w:val="0"/>
        <w:autoSpaceDE/>
        <w:autoSpaceDN/>
        <w:bidi w:val="0"/>
        <w:adjustRightInd/>
        <w:snapToGrid/>
        <w:spacing w:line="500" w:lineRule="atLeast"/>
        <w:jc w:val="left"/>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ab/>
      </w: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保证人：（公章）</w:t>
      </w:r>
    </w:p>
    <w:p w14:paraId="221C0BE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 xml:space="preserve">                               </w:t>
      </w:r>
    </w:p>
    <w:p w14:paraId="07271F6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jc w:val="center"/>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sectPr>
          <w:pgSz w:w="11905" w:h="16838"/>
          <w:pgMar w:top="1440" w:right="1080" w:bottom="1440" w:left="1080" w:header="850" w:footer="992" w:gutter="0"/>
          <w:pgNumType w:fmt="decimal"/>
          <w:cols w:space="720" w:num="1"/>
          <w:rtlGutter w:val="0"/>
          <w:docGrid w:type="linesAndChars" w:linePitch="332" w:charSpace="1057"/>
        </w:sect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 xml:space="preserve">                             年     月     日  </w:t>
      </w:r>
    </w:p>
    <w:p w14:paraId="1289AB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566" w:firstLineChars="200"/>
        <w:jc w:val="left"/>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5、投标企业须提供投标人（被授权在职人员）近6个月内任意一个月有效的社保证明；</w:t>
      </w:r>
    </w:p>
    <w:p w14:paraId="3AA9D2E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6" w:firstLineChars="200"/>
        <w:jc w:val="left"/>
        <w:textAlignment w:val="auto"/>
        <w:rPr>
          <w:rFonts w:hint="eastAsia" w:ascii="仿宋" w:hAnsi="仿宋" w:eastAsia="仿宋" w:cs="仿宋"/>
          <w:color w:val="000000" w:themeColor="text1"/>
          <w:highlight w:val="none"/>
          <w:lang w:val="en-US" w:eastAsia="zh-CN"/>
          <w14:textFill>
            <w14:solidFill>
              <w14:schemeClr w14:val="tx1"/>
            </w14:solidFill>
          </w14:textFill>
        </w:rPr>
      </w:pPr>
    </w:p>
    <w:p w14:paraId="4FCB593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6" w:firstLineChars="200"/>
        <w:jc w:val="left"/>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说明：复印件上应加盖本单位章</w:t>
      </w:r>
    </w:p>
    <w:p w14:paraId="3BDB304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03A74CB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228E11F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0DA5D339">
      <w:pPr>
        <w:rPr>
          <w:rFonts w:hint="eastAsia"/>
          <w:color w:val="000000" w:themeColor="text1"/>
          <w:highlight w:val="none"/>
          <w:lang w:val="en-US" w:eastAsia="zh-CN"/>
          <w14:textFill>
            <w14:solidFill>
              <w14:schemeClr w14:val="tx1"/>
            </w14:solidFill>
          </w14:textFill>
        </w:rPr>
      </w:pPr>
    </w:p>
    <w:p w14:paraId="004818C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1928CC8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566" w:firstLineChars="200"/>
        <w:jc w:val="left"/>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6、未被“信用中国”（www.creditchina.gov.cn）、中国政府采购网（www.ccgp.gov.cn）列入失信被执行人、重大税收违法案件当事人名单、政府采购严重违法失信行为记录名单；</w:t>
      </w:r>
    </w:p>
    <w:p w14:paraId="7844E5E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7A7662C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077F02E2">
      <w:pPr>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2EBCD129">
      <w:pPr>
        <w:pStyle w:val="38"/>
        <w:rPr>
          <w:rFonts w:hint="eastAsia"/>
          <w:color w:val="000000" w:themeColor="text1"/>
          <w:highlight w:val="none"/>
          <w:lang w:val="en-US" w:eastAsia="zh-CN"/>
          <w14:textFill>
            <w14:solidFill>
              <w14:schemeClr w14:val="tx1"/>
            </w14:solidFill>
          </w14:textFill>
        </w:rPr>
      </w:pPr>
    </w:p>
    <w:p w14:paraId="6A418F6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highlight w:val="none"/>
          <w:lang w:val="en-US" w:eastAsia="zh-CN"/>
          <w14:textFill>
            <w14:solidFill>
              <w14:schemeClr w14:val="tx1"/>
            </w14:solidFill>
          </w14:textFill>
        </w:rPr>
      </w:pPr>
    </w:p>
    <w:p w14:paraId="11607BF6">
      <w:pPr>
        <w:numPr>
          <w:ilvl w:val="0"/>
          <w:numId w:val="11"/>
        </w:numPr>
        <w:shd w:val="clear" w:color="auto" w:fill="auto"/>
        <w:spacing w:line="360" w:lineRule="auto"/>
        <w:ind w:firstLine="283" w:firstLineChars="100"/>
        <w:jc w:val="both"/>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投标人具有有效的《二类医疗器械生产许可证》或《二类医疗器械经营许可证》</w:t>
      </w:r>
    </w:p>
    <w:p w14:paraId="657C1725">
      <w:pPr>
        <w:pStyle w:val="38"/>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p>
    <w:p w14:paraId="1F9F38FB">
      <w:pPr>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p>
    <w:p w14:paraId="78569A09">
      <w:pPr>
        <w:pStyle w:val="38"/>
        <w:rPr>
          <w:rFonts w:hint="eastAsia"/>
          <w:color w:val="000000" w:themeColor="text1"/>
          <w:lang w:val="en-US" w:eastAsia="zh-CN"/>
          <w14:textFill>
            <w14:solidFill>
              <w14:schemeClr w14:val="tx1"/>
            </w14:solidFill>
          </w14:textFill>
        </w:rPr>
      </w:pPr>
    </w:p>
    <w:p w14:paraId="2FA3D713">
      <w:pPr>
        <w:numPr>
          <w:ilvl w:val="0"/>
          <w:numId w:val="11"/>
        </w:numPr>
        <w:shd w:val="clear" w:color="auto" w:fill="auto"/>
        <w:spacing w:line="360" w:lineRule="auto"/>
        <w:ind w:firstLine="283" w:firstLineChars="100"/>
        <w:jc w:val="both"/>
        <w:outlineLvl w:val="2"/>
        <w:rPr>
          <w:rFonts w:hint="eastAsia" w:ascii="仿宋" w:hAnsi="仿宋" w:eastAsia="仿宋" w:cs="仿宋"/>
          <w:b/>
          <w:bCs w:val="0"/>
          <w:color w:val="000000" w:themeColor="text1"/>
          <w:kern w:val="0"/>
          <w:sz w:val="28"/>
          <w:szCs w:val="28"/>
          <w:highlight w:val="none"/>
          <w14:textFill>
            <w14:solidFill>
              <w14:schemeClr w14:val="tx1"/>
            </w14:solidFill>
          </w14:textFill>
        </w:rPr>
      </w:pPr>
      <w:bookmarkStart w:id="190" w:name="_Toc30708"/>
      <w:r>
        <w:rPr>
          <w:rFonts w:hint="eastAsia" w:ascii="仿宋" w:hAnsi="仿宋" w:eastAsia="仿宋" w:cs="仿宋"/>
          <w:b/>
          <w:bCs/>
          <w:color w:val="000000" w:themeColor="text1"/>
          <w:sz w:val="28"/>
          <w:szCs w:val="28"/>
          <w:highlight w:val="none"/>
          <w:lang w:val="en-US" w:eastAsia="zh-CN"/>
          <w14:textFill>
            <w14:solidFill>
              <w14:schemeClr w14:val="tx1"/>
            </w14:solidFill>
          </w14:textFill>
        </w:rPr>
        <w:t>投标人须知资料表要求的其他资格证明文件</w:t>
      </w:r>
      <w:bookmarkEnd w:id="190"/>
    </w:p>
    <w:p w14:paraId="74ADBC29">
      <w:pPr>
        <w:snapToGrid w:val="0"/>
        <w:spacing w:line="360" w:lineRule="auto"/>
        <w:rPr>
          <w:rFonts w:hint="eastAsia" w:ascii="仿宋" w:hAnsi="仿宋" w:eastAsia="仿宋" w:cs="仿宋"/>
          <w:b/>
          <w:color w:val="000000" w:themeColor="text1"/>
          <w:highlight w:val="none"/>
          <w:lang w:val="en-US" w:eastAsia="zh-CN"/>
          <w14:textFill>
            <w14:solidFill>
              <w14:schemeClr w14:val="tx1"/>
            </w14:solidFill>
          </w14:textFill>
        </w:rPr>
      </w:pPr>
    </w:p>
    <w:p w14:paraId="609A79BE">
      <w:pPr>
        <w:snapToGrid w:val="0"/>
        <w:spacing w:line="360" w:lineRule="auto"/>
        <w:rPr>
          <w:rFonts w:hint="eastAsia" w:ascii="仿宋" w:hAnsi="仿宋" w:eastAsia="仿宋" w:cs="仿宋"/>
          <w:b/>
          <w:color w:val="000000" w:themeColor="text1"/>
          <w:highlight w:val="none"/>
          <w:lang w:val="en-US" w:eastAsia="zh-CN"/>
          <w14:textFill>
            <w14:solidFill>
              <w14:schemeClr w14:val="tx1"/>
            </w14:solidFill>
          </w14:textFill>
        </w:rPr>
      </w:pPr>
    </w:p>
    <w:p w14:paraId="6BFBB7AF">
      <w:pPr>
        <w:pStyle w:val="24"/>
        <w:shd w:val="clear" w:color="auto" w:fill="auto"/>
        <w:ind w:left="0" w:leftChars="0" w:right="208" w:rightChars="98" w:firstLine="0" w:firstLineChars="0"/>
        <w:jc w:val="center"/>
        <w:rPr>
          <w:rFonts w:hint="eastAsia" w:ascii="宋体" w:hAnsi="宋体" w:eastAsia="宋体" w:cs="宋体"/>
          <w:color w:val="000000" w:themeColor="text1"/>
          <w:sz w:val="36"/>
          <w:szCs w:val="36"/>
          <w:highlight w:val="none"/>
          <w14:textFill>
            <w14:solidFill>
              <w14:schemeClr w14:val="tx1"/>
            </w14:solidFill>
          </w14:textFill>
        </w:rPr>
      </w:pPr>
    </w:p>
    <w:p w14:paraId="39B6BFD8">
      <w:pPr>
        <w:pStyle w:val="24"/>
        <w:shd w:val="clear" w:color="auto" w:fill="auto"/>
        <w:ind w:left="0" w:leftChars="0" w:right="208" w:rightChars="98" w:firstLine="0" w:firstLineChars="0"/>
        <w:jc w:val="center"/>
        <w:rPr>
          <w:rFonts w:hint="eastAsia" w:ascii="宋体" w:hAnsi="宋体" w:eastAsia="宋体" w:cs="宋体"/>
          <w:color w:val="000000" w:themeColor="text1"/>
          <w:sz w:val="36"/>
          <w:szCs w:val="36"/>
          <w:highlight w:val="none"/>
          <w14:textFill>
            <w14:solidFill>
              <w14:schemeClr w14:val="tx1"/>
            </w14:solidFill>
          </w14:textFill>
        </w:rPr>
      </w:pPr>
    </w:p>
    <w:p w14:paraId="3FA5582F">
      <w:pPr>
        <w:pStyle w:val="24"/>
        <w:shd w:val="clear" w:color="auto" w:fill="auto"/>
        <w:ind w:left="0" w:leftChars="0" w:right="208" w:rightChars="98" w:firstLine="0" w:firstLineChars="0"/>
        <w:jc w:val="center"/>
        <w:rPr>
          <w:rFonts w:hint="eastAsia" w:ascii="宋体" w:hAnsi="宋体" w:eastAsia="宋体" w:cs="宋体"/>
          <w:color w:val="000000" w:themeColor="text1"/>
          <w:sz w:val="36"/>
          <w:szCs w:val="36"/>
          <w:highlight w:val="none"/>
          <w14:textFill>
            <w14:solidFill>
              <w14:schemeClr w14:val="tx1"/>
            </w14:solidFill>
          </w14:textFill>
        </w:rPr>
      </w:pPr>
    </w:p>
    <w:bookmarkEnd w:id="181"/>
    <w:p w14:paraId="6E35003F">
      <w:pPr>
        <w:pStyle w:val="3"/>
        <w:bidi w:val="0"/>
        <w:rPr>
          <w:rFonts w:hint="eastAsia"/>
          <w:color w:val="000000" w:themeColor="text1"/>
          <w:lang w:eastAsia="zh-CN"/>
          <w14:textFill>
            <w14:solidFill>
              <w14:schemeClr w14:val="tx1"/>
            </w14:solidFill>
          </w14:textFill>
        </w:rPr>
      </w:pPr>
      <w:bookmarkStart w:id="191" w:name="_Toc21100"/>
      <w:r>
        <w:rPr>
          <w:rFonts w:hint="eastAsia"/>
          <w:color w:val="000000" w:themeColor="text1"/>
          <w:lang w:eastAsia="zh-CN"/>
          <w14:textFill>
            <w14:solidFill>
              <w14:schemeClr w14:val="tx1"/>
            </w14:solidFill>
          </w14:textFill>
        </w:rPr>
        <w:t>商务及技术文件</w:t>
      </w:r>
      <w:bookmarkEnd w:id="191"/>
    </w:p>
    <w:p w14:paraId="4237363C">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1、投标函</w:t>
      </w:r>
    </w:p>
    <w:p w14:paraId="20B1CF52">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2、开标一览表</w:t>
      </w:r>
    </w:p>
    <w:p w14:paraId="6AC3B28F">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3、投标分项报价明细表</w:t>
      </w:r>
    </w:p>
    <w:p w14:paraId="5178779D">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4、技术规格偏离表</w:t>
      </w:r>
    </w:p>
    <w:p w14:paraId="60BE76F0">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5、商务条款偏离表</w:t>
      </w:r>
    </w:p>
    <w:p w14:paraId="5BD3E994">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6、投标人基本情况表</w:t>
      </w:r>
    </w:p>
    <w:p w14:paraId="3E64D891">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7、近三年类似项目业绩表</w:t>
      </w:r>
    </w:p>
    <w:p w14:paraId="6702C6B8">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8、中小企业声明函(货物)</w:t>
      </w:r>
    </w:p>
    <w:p w14:paraId="4A9EC8AC">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9、残疾人福利性单位声明函</w:t>
      </w:r>
    </w:p>
    <w:p w14:paraId="4205337C">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10、技术部分要求的其他资料（格式自拟）</w:t>
      </w:r>
    </w:p>
    <w:p w14:paraId="5F8E9125">
      <w:pPr>
        <w:pStyle w:val="24"/>
        <w:shd w:val="clear" w:color="auto" w:fill="auto"/>
        <w:spacing w:line="600" w:lineRule="exact"/>
        <w:ind w:left="0" w:leftChars="0" w:right="208" w:rightChars="98" w:firstLine="0" w:firstLineChars="0"/>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11、投标人认为有必要提供的其他证明</w:t>
      </w:r>
    </w:p>
    <w:p w14:paraId="4B2A28F8">
      <w:pPr>
        <w:pStyle w:val="38"/>
        <w:ind w:left="0" w:leftChars="0" w:firstLine="0" w:firstLineChars="0"/>
        <w:rPr>
          <w:rFonts w:hint="eastAsia"/>
          <w:color w:val="000000" w:themeColor="text1"/>
          <w14:textFill>
            <w14:solidFill>
              <w14:schemeClr w14:val="tx1"/>
            </w14:solidFill>
          </w14:textFill>
        </w:rPr>
      </w:pPr>
    </w:p>
    <w:p w14:paraId="330763FA">
      <w:pPr>
        <w:rPr>
          <w:rFonts w:hint="eastAsia"/>
          <w:color w:val="000000" w:themeColor="text1"/>
          <w14:textFill>
            <w14:solidFill>
              <w14:schemeClr w14:val="tx1"/>
            </w14:solidFill>
          </w14:textFill>
        </w:rPr>
      </w:pPr>
    </w:p>
    <w:p w14:paraId="16FEE82A">
      <w:pPr>
        <w:pStyle w:val="4"/>
        <w:outlineLvl w:val="9"/>
        <w:rPr>
          <w:rFonts w:hint="eastAsia"/>
          <w:color w:val="000000" w:themeColor="text1"/>
          <w14:textFill>
            <w14:solidFill>
              <w14:schemeClr w14:val="tx1"/>
            </w14:solidFill>
          </w14:textFill>
        </w:rPr>
      </w:pPr>
    </w:p>
    <w:p w14:paraId="08B58367">
      <w:pPr>
        <w:rPr>
          <w:rFonts w:hint="eastAsia"/>
          <w:color w:val="000000" w:themeColor="text1"/>
          <w14:textFill>
            <w14:solidFill>
              <w14:schemeClr w14:val="tx1"/>
            </w14:solidFill>
          </w14:textFill>
        </w:rPr>
      </w:pPr>
    </w:p>
    <w:p w14:paraId="2419888B">
      <w:pPr>
        <w:pStyle w:val="4"/>
        <w:outlineLvl w:val="9"/>
        <w:rPr>
          <w:rFonts w:hint="eastAsia"/>
          <w:color w:val="000000" w:themeColor="text1"/>
          <w14:textFill>
            <w14:solidFill>
              <w14:schemeClr w14:val="tx1"/>
            </w14:solidFill>
          </w14:textFill>
        </w:rPr>
      </w:pPr>
    </w:p>
    <w:p w14:paraId="25EE5C8B">
      <w:pPr>
        <w:rPr>
          <w:rFonts w:hint="eastAsia"/>
          <w:color w:val="000000" w:themeColor="text1"/>
          <w14:textFill>
            <w14:solidFill>
              <w14:schemeClr w14:val="tx1"/>
            </w14:solidFill>
          </w14:textFill>
        </w:rPr>
      </w:pPr>
    </w:p>
    <w:p w14:paraId="09DD0908">
      <w:pPr>
        <w:pStyle w:val="38"/>
        <w:rPr>
          <w:rFonts w:hint="eastAsia"/>
          <w:color w:val="000000" w:themeColor="text1"/>
          <w14:textFill>
            <w14:solidFill>
              <w14:schemeClr w14:val="tx1"/>
            </w14:solidFill>
          </w14:textFill>
        </w:rPr>
      </w:pPr>
    </w:p>
    <w:p w14:paraId="7AC49FFF">
      <w:pPr>
        <w:rPr>
          <w:rFonts w:hint="eastAsia"/>
          <w:color w:val="000000" w:themeColor="text1"/>
          <w14:textFill>
            <w14:solidFill>
              <w14:schemeClr w14:val="tx1"/>
            </w14:solidFill>
          </w14:textFill>
        </w:rPr>
      </w:pPr>
    </w:p>
    <w:p w14:paraId="585FEE9B">
      <w:pPr>
        <w:pStyle w:val="4"/>
        <w:outlineLvl w:val="9"/>
        <w:rPr>
          <w:rFonts w:hint="eastAsia"/>
          <w:color w:val="000000" w:themeColor="text1"/>
          <w14:textFill>
            <w14:solidFill>
              <w14:schemeClr w14:val="tx1"/>
            </w14:solidFill>
          </w14:textFill>
        </w:rPr>
      </w:pPr>
    </w:p>
    <w:p w14:paraId="2907CCC0">
      <w:pPr>
        <w:rPr>
          <w:rFonts w:hint="eastAsia"/>
          <w:color w:val="000000" w:themeColor="text1"/>
          <w14:textFill>
            <w14:solidFill>
              <w14:schemeClr w14:val="tx1"/>
            </w14:solidFill>
          </w14:textFill>
        </w:rPr>
      </w:pPr>
    </w:p>
    <w:p w14:paraId="762E73BD">
      <w:pPr>
        <w:pStyle w:val="38"/>
        <w:rPr>
          <w:rFonts w:hint="eastAsia"/>
          <w:color w:val="000000" w:themeColor="text1"/>
          <w14:textFill>
            <w14:solidFill>
              <w14:schemeClr w14:val="tx1"/>
            </w14:solidFill>
          </w14:textFill>
        </w:rPr>
      </w:pPr>
    </w:p>
    <w:p w14:paraId="03891C26">
      <w:pPr>
        <w:widowControl/>
        <w:spacing w:line="560" w:lineRule="atLeast"/>
        <w:jc w:val="center"/>
        <w:rPr>
          <w:rFonts w:hint="eastAsia"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1、投标函</w:t>
      </w:r>
    </w:p>
    <w:p w14:paraId="4FC1C628">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致：</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p>
    <w:p w14:paraId="723CA6FF">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为响应你方组织的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项目的招标[项目编号为：</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]，我方愿参与投标。</w:t>
      </w:r>
    </w:p>
    <w:p w14:paraId="1EBCE6E0">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我方确认收到贵方提供的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的全部内容。</w:t>
      </w:r>
    </w:p>
    <w:p w14:paraId="538F55F0">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我方在参与投标前已详细研究了</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的所有内容，包括澄清、修改文件（如果有）和所有已提供的参考资料以及有关附件，我方完全明白并认为此</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没有倾向性，也不存在排斥潜在报价投标人的内容，我方同意</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的相关条款，放弃对</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提出误解和质疑的一切权力。</w:t>
      </w:r>
    </w:p>
    <w:p w14:paraId="169E7F04">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 xml:space="preserve">      (投标人名称)      </w:t>
      </w:r>
      <w:r>
        <w:rPr>
          <w:rFonts w:hint="eastAsia" w:ascii="仿宋" w:hAnsi="仿宋" w:eastAsia="仿宋" w:cs="仿宋"/>
          <w:color w:val="000000" w:themeColor="text1"/>
          <w:kern w:val="0"/>
          <w:sz w:val="24"/>
          <w:highlight w:val="none"/>
          <w14:textFill>
            <w14:solidFill>
              <w14:schemeClr w14:val="tx1"/>
            </w14:solidFill>
          </w14:textFill>
        </w:rPr>
        <w:t>作为投标人正式授权</w:t>
      </w:r>
      <w:r>
        <w:rPr>
          <w:rFonts w:hint="eastAsia" w:ascii="仿宋" w:hAnsi="仿宋" w:eastAsia="仿宋" w:cs="仿宋"/>
          <w:color w:val="000000" w:themeColor="text1"/>
          <w:kern w:val="0"/>
          <w:sz w:val="24"/>
          <w:highlight w:val="none"/>
          <w:u w:val="single"/>
          <w14:textFill>
            <w14:solidFill>
              <w14:schemeClr w14:val="tx1"/>
            </w14:solidFill>
          </w14:textFill>
        </w:rPr>
        <w:t xml:space="preserve">  (授权代表全名, 职务)  </w:t>
      </w:r>
      <w:r>
        <w:rPr>
          <w:rFonts w:hint="eastAsia" w:ascii="仿宋" w:hAnsi="仿宋" w:eastAsia="仿宋" w:cs="仿宋"/>
          <w:color w:val="000000" w:themeColor="text1"/>
          <w:kern w:val="0"/>
          <w:sz w:val="24"/>
          <w:highlight w:val="none"/>
          <w14:textFill>
            <w14:solidFill>
              <w14:schemeClr w14:val="tx1"/>
            </w14:solidFill>
          </w14:textFill>
        </w:rPr>
        <w:t>代表我方全权处理有关本报价的一切事宜。</w:t>
      </w:r>
    </w:p>
    <w:p w14:paraId="37D2551F">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我方已完全明白</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的所有条款要求，并申明如下：</w:t>
      </w:r>
    </w:p>
    <w:p w14:paraId="7F4D1AA9">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（一）按</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提供的全部货物与相关服务的投标总价详见《报价一览表》。</w:t>
      </w:r>
    </w:p>
    <w:p w14:paraId="16F6AAD4">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（二）本</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的有效期为投标截止时间起</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60</w:t>
      </w:r>
      <w:r>
        <w:rPr>
          <w:rFonts w:hint="eastAsia" w:ascii="仿宋" w:hAnsi="仿宋" w:eastAsia="仿宋" w:cs="仿宋"/>
          <w:color w:val="000000" w:themeColor="text1"/>
          <w:kern w:val="0"/>
          <w:sz w:val="24"/>
          <w:highlight w:val="none"/>
          <w14:textFill>
            <w14:solidFill>
              <w14:schemeClr w14:val="tx1"/>
            </w14:solidFill>
          </w14:textFill>
        </w:rPr>
        <w:t>天。如</w:t>
      </w:r>
      <w:r>
        <w:rPr>
          <w:rFonts w:hint="eastAsia" w:ascii="仿宋" w:hAnsi="仿宋" w:eastAsia="仿宋" w:cs="仿宋"/>
          <w:color w:val="000000" w:themeColor="text1"/>
          <w:kern w:val="0"/>
          <w:sz w:val="24"/>
          <w:highlight w:val="none"/>
          <w:lang w:val="en-US" w:eastAsia="zh-CN"/>
          <w14:textFill>
            <w14:solidFill>
              <w14:schemeClr w14:val="tx1"/>
            </w14:solidFill>
          </w14:textFill>
        </w:rPr>
        <w:t>成交</w:t>
      </w:r>
      <w:r>
        <w:rPr>
          <w:rFonts w:hint="eastAsia" w:ascii="仿宋" w:hAnsi="仿宋" w:eastAsia="仿宋" w:cs="仿宋"/>
          <w:color w:val="000000" w:themeColor="text1"/>
          <w:kern w:val="0"/>
          <w:sz w:val="24"/>
          <w:highlight w:val="none"/>
          <w14:textFill>
            <w14:solidFill>
              <w14:schemeClr w14:val="tx1"/>
            </w14:solidFill>
          </w14:textFill>
        </w:rPr>
        <w:t>，有效期将延至合同终止日为止。在此提交的资格证明文件均至投标截止日有效，如有在投标有效期内失效的，我方承诺在</w:t>
      </w:r>
      <w:r>
        <w:rPr>
          <w:rFonts w:hint="eastAsia" w:ascii="仿宋" w:hAnsi="仿宋" w:eastAsia="仿宋" w:cs="仿宋"/>
          <w:color w:val="000000" w:themeColor="text1"/>
          <w:kern w:val="0"/>
          <w:sz w:val="24"/>
          <w:highlight w:val="none"/>
          <w:lang w:val="en-US" w:eastAsia="zh-CN"/>
          <w14:textFill>
            <w14:solidFill>
              <w14:schemeClr w14:val="tx1"/>
            </w14:solidFill>
          </w14:textFill>
        </w:rPr>
        <w:t>成交</w:t>
      </w:r>
      <w:r>
        <w:rPr>
          <w:rFonts w:hint="eastAsia" w:ascii="仿宋" w:hAnsi="仿宋" w:eastAsia="仿宋" w:cs="仿宋"/>
          <w:color w:val="000000" w:themeColor="text1"/>
          <w:kern w:val="0"/>
          <w:sz w:val="24"/>
          <w:highlight w:val="none"/>
          <w14:textFill>
            <w14:solidFill>
              <w14:schemeClr w14:val="tx1"/>
            </w14:solidFill>
          </w14:textFill>
        </w:rPr>
        <w:t>后补齐一切手续，保证所有资格证明文件能在签订采购合同时直至采购合同终止日有效。</w:t>
      </w:r>
    </w:p>
    <w:p w14:paraId="2835C92E">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（三）我方同意按照贵方可能提出的要求而提供与投标有关的任何其它数据、信息或资料。</w:t>
      </w:r>
    </w:p>
    <w:p w14:paraId="729B68A9">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四</w:t>
      </w:r>
      <w:r>
        <w:rPr>
          <w:rFonts w:hint="eastAsia" w:ascii="仿宋" w:hAnsi="仿宋" w:eastAsia="仿宋" w:cs="仿宋"/>
          <w:color w:val="000000" w:themeColor="text1"/>
          <w:kern w:val="0"/>
          <w:sz w:val="24"/>
          <w:highlight w:val="none"/>
          <w14:textFill>
            <w14:solidFill>
              <w14:schemeClr w14:val="tx1"/>
            </w14:solidFill>
          </w14:textFill>
        </w:rPr>
        <w:t>）我方如果</w:t>
      </w:r>
      <w:r>
        <w:rPr>
          <w:rFonts w:hint="eastAsia" w:ascii="仿宋" w:hAnsi="仿宋" w:eastAsia="仿宋" w:cs="仿宋"/>
          <w:color w:val="000000" w:themeColor="text1"/>
          <w:kern w:val="0"/>
          <w:sz w:val="24"/>
          <w:highlight w:val="none"/>
          <w:lang w:val="en-US" w:eastAsia="zh-CN"/>
          <w14:textFill>
            <w14:solidFill>
              <w14:schemeClr w14:val="tx1"/>
            </w14:solidFill>
          </w14:textFill>
        </w:rPr>
        <w:t>成交</w:t>
      </w:r>
      <w:r>
        <w:rPr>
          <w:rFonts w:hint="eastAsia" w:ascii="仿宋" w:hAnsi="仿宋" w:eastAsia="仿宋" w:cs="仿宋"/>
          <w:color w:val="000000" w:themeColor="text1"/>
          <w:kern w:val="0"/>
          <w:sz w:val="24"/>
          <w:highlight w:val="none"/>
          <w14:textFill>
            <w14:solidFill>
              <w14:schemeClr w14:val="tx1"/>
            </w14:solidFill>
          </w14:textFill>
        </w:rPr>
        <w:t>，将保证履行</w:t>
      </w:r>
      <w:r>
        <w:rPr>
          <w:rFonts w:hint="eastAsia" w:ascii="仿宋" w:hAnsi="仿宋" w:eastAsia="仿宋" w:cs="仿宋"/>
          <w:color w:val="000000" w:themeColor="text1"/>
          <w:kern w:val="0"/>
          <w:sz w:val="24"/>
          <w:highlight w:val="none"/>
          <w:lang w:eastAsia="zh-CN"/>
          <w14:textFill>
            <w14:solidFill>
              <w14:schemeClr w14:val="tx1"/>
            </w14:solidFill>
          </w14:textFill>
        </w:rPr>
        <w:t>谈判文件</w:t>
      </w:r>
      <w:r>
        <w:rPr>
          <w:rFonts w:hint="eastAsia" w:ascii="仿宋" w:hAnsi="仿宋" w:eastAsia="仿宋" w:cs="仿宋"/>
          <w:color w:val="000000" w:themeColor="text1"/>
          <w:kern w:val="0"/>
          <w:sz w:val="24"/>
          <w:highlight w:val="none"/>
          <w14:textFill>
            <w14:solidFill>
              <w14:schemeClr w14:val="tx1"/>
            </w14:solidFill>
          </w14:textFill>
        </w:rPr>
        <w:t>及其澄清、修改文件（如果有）中的全部责任和义务，按质、按量、按期完成《招标内容》及《合同书》中的全部任务。</w:t>
      </w:r>
    </w:p>
    <w:p w14:paraId="23B1F7BA">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五</w:t>
      </w:r>
      <w:r>
        <w:rPr>
          <w:rFonts w:hint="eastAsia" w:ascii="仿宋" w:hAnsi="仿宋" w:eastAsia="仿宋" w:cs="仿宋"/>
          <w:color w:val="000000" w:themeColor="text1"/>
          <w:kern w:val="0"/>
          <w:sz w:val="24"/>
          <w:highlight w:val="none"/>
          <w14:textFill>
            <w14:solidFill>
              <w14:schemeClr w14:val="tx1"/>
            </w14:solidFill>
          </w14:textFill>
        </w:rPr>
        <w:t>）如我方被授予合同，我方承诺支付就本次招标应支付或将支付的</w:t>
      </w:r>
      <w:r>
        <w:rPr>
          <w:rFonts w:hint="eastAsia" w:ascii="仿宋" w:hAnsi="仿宋" w:eastAsia="仿宋" w:cs="仿宋"/>
          <w:color w:val="000000" w:themeColor="text1"/>
          <w:kern w:val="0"/>
          <w:sz w:val="24"/>
          <w:highlight w:val="none"/>
          <w:lang w:val="en-US" w:eastAsia="zh-CN"/>
          <w14:textFill>
            <w14:solidFill>
              <w14:schemeClr w14:val="tx1"/>
            </w14:solidFill>
          </w14:textFill>
        </w:rPr>
        <w:t>成交</w:t>
      </w:r>
      <w:r>
        <w:rPr>
          <w:rFonts w:hint="eastAsia" w:ascii="仿宋" w:hAnsi="仿宋" w:eastAsia="仿宋" w:cs="仿宋"/>
          <w:color w:val="000000" w:themeColor="text1"/>
          <w:kern w:val="0"/>
          <w:sz w:val="24"/>
          <w:highlight w:val="none"/>
          <w14:textFill>
            <w14:solidFill>
              <w14:schemeClr w14:val="tx1"/>
            </w14:solidFill>
          </w14:textFill>
        </w:rPr>
        <w:t>服务费。</w:t>
      </w:r>
    </w:p>
    <w:p w14:paraId="1C758BF9">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六</w:t>
      </w:r>
      <w:r>
        <w:rPr>
          <w:rFonts w:hint="eastAsia" w:ascii="仿宋" w:hAnsi="仿宋" w:eastAsia="仿宋" w:cs="仿宋"/>
          <w:color w:val="000000" w:themeColor="text1"/>
          <w:kern w:val="0"/>
          <w:sz w:val="24"/>
          <w:highlight w:val="none"/>
          <w14:textFill>
            <w14:solidFill>
              <w14:schemeClr w14:val="tx1"/>
            </w14:solidFill>
          </w14:textFill>
        </w:rPr>
        <w:t>）我方作为在法律、财务和运作上独立于采购人、招标代理机构的投标人，在此保证所提交的所有文件和全部说明是真实的和正确的。</w:t>
      </w:r>
    </w:p>
    <w:p w14:paraId="59C6194B">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七</w:t>
      </w:r>
      <w:r>
        <w:rPr>
          <w:rFonts w:hint="eastAsia" w:ascii="仿宋" w:hAnsi="仿宋" w:eastAsia="仿宋" w:cs="仿宋"/>
          <w:color w:val="000000" w:themeColor="text1"/>
          <w:kern w:val="0"/>
          <w:sz w:val="24"/>
          <w:highlight w:val="none"/>
          <w14:textFill>
            <w14:solidFill>
              <w14:schemeClr w14:val="tx1"/>
            </w14:solidFill>
          </w14:textFill>
        </w:rPr>
        <w:t>）我方投标报价已包含应向知识产权所有权人支付的所有相关税费，并保证采购人在中国使用我方提供的货物时，如有第三方提出侵犯其知识产权主张的，责任由我方承担。</w:t>
      </w:r>
    </w:p>
    <w:p w14:paraId="198318BF">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八</w:t>
      </w:r>
      <w:r>
        <w:rPr>
          <w:rFonts w:hint="eastAsia" w:ascii="仿宋" w:hAnsi="仿宋" w:eastAsia="仿宋" w:cs="仿宋"/>
          <w:color w:val="000000" w:themeColor="text1"/>
          <w:kern w:val="0"/>
          <w:sz w:val="24"/>
          <w:highlight w:val="none"/>
          <w14:textFill>
            <w14:solidFill>
              <w14:schemeClr w14:val="tx1"/>
            </w14:solidFill>
          </w14:textFill>
        </w:rPr>
        <w:t>）我方与其他投标人不存在单位负责人为同一人或者存在直接控股、管理关系。</w:t>
      </w:r>
    </w:p>
    <w:p w14:paraId="04F023BF">
      <w:pPr>
        <w:spacing w:line="480" w:lineRule="exact"/>
        <w:ind w:firstLine="486"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九</w:t>
      </w:r>
      <w:r>
        <w:rPr>
          <w:rFonts w:hint="eastAsia" w:ascii="仿宋" w:hAnsi="仿宋" w:eastAsia="仿宋" w:cs="仿宋"/>
          <w:color w:val="000000" w:themeColor="text1"/>
          <w:kern w:val="0"/>
          <w:sz w:val="24"/>
          <w:highlight w:val="none"/>
          <w14:textFill>
            <w14:solidFill>
              <w14:schemeClr w14:val="tx1"/>
            </w14:solidFill>
          </w14:textFill>
        </w:rPr>
        <w:t>）我方承诺未为本项目提供整体设计、规范编制或者项目管理、监理、检测等服务。</w:t>
      </w:r>
    </w:p>
    <w:p w14:paraId="781515C8">
      <w:pPr>
        <w:spacing w:line="480" w:lineRule="exact"/>
        <w:ind w:firstLine="486" w:firstLineChars="200"/>
        <w:outlineLvl w:val="3"/>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（十）我方具备《政府采购法》第二十二条规定的条件，承诺如下：</w:t>
      </w:r>
    </w:p>
    <w:p w14:paraId="5C460735">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（1）我方已依法缴纳了各项税费及社会保险费用，如有需要，可随时向采购人提供近三个月内的相关缴费证明，以便核查。</w:t>
      </w:r>
    </w:p>
    <w:p w14:paraId="1E2E7A50">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（2）我方已依法建立健全的财务会计制度，如有需要，可随时向采购人提供相关的证明材料，以便核查。</w:t>
      </w:r>
    </w:p>
    <w:p w14:paraId="09948931">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（3）我方参加本项目政府采购活动前3年内在经营活动中没有重大违法记录。</w:t>
      </w:r>
    </w:p>
    <w:p w14:paraId="31C3B1BF">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（4）我方具备履行合同所必需的设备和专业技术能力。</w:t>
      </w:r>
    </w:p>
    <w:p w14:paraId="542BE315">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（5）我方符合法律、行政法规规定的其他条件。</w:t>
      </w:r>
    </w:p>
    <w:p w14:paraId="1B113FDD">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以上内容如有虚假或与事实不符的，评审委员会可将我方做无效投标处理，我方愿意承担相应的法律责任。</w:t>
      </w:r>
    </w:p>
    <w:p w14:paraId="4FA6FF76">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（十三）我方对在本函及</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中所作的所有承诺承担法律责任。</w:t>
      </w:r>
    </w:p>
    <w:p w14:paraId="50DE41A1">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（十四）所有与本招标有关的函件请发往下列地址：</w:t>
      </w:r>
    </w:p>
    <w:p w14:paraId="4474315F">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    址：</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.邮政编码：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704E648">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电    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5961C2B">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    真：</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7D70022">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代表姓名：</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.职    务：</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3FEFD63">
      <w:pPr>
        <w:keepNext w:val="0"/>
        <w:keepLines w:val="0"/>
        <w:pageBreakBefore w:val="0"/>
        <w:widowControl w:val="0"/>
        <w:topLinePunct w:val="0"/>
        <w:autoSpaceDE/>
        <w:autoSpaceDN/>
        <w:bidi w:val="0"/>
        <w:adjustRightInd/>
        <w:snapToGrid/>
        <w:spacing w:line="440" w:lineRule="exact"/>
        <w:ind w:right="480"/>
        <w:jc w:val="righ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u w:val="single"/>
          <w14:textFill>
            <w14:solidFill>
              <w14:schemeClr w14:val="tx1"/>
            </w14:solidFill>
          </w14:textFill>
        </w:rPr>
        <w:tab/>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（公章） </w:t>
      </w:r>
    </w:p>
    <w:p w14:paraId="091F6774">
      <w:pPr>
        <w:keepNext w:val="0"/>
        <w:keepLines w:val="0"/>
        <w:pageBreakBefore w:val="0"/>
        <w:widowControl w:val="0"/>
        <w:wordWrap w:val="0"/>
        <w:topLinePunct w:val="0"/>
        <w:autoSpaceDE/>
        <w:autoSpaceDN/>
        <w:bidi w:val="0"/>
        <w:adjustRightInd/>
        <w:snapToGrid/>
        <w:spacing w:line="440" w:lineRule="exact"/>
        <w:ind w:firstLine="486" w:firstLineChars="200"/>
        <w:jc w:val="righ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法定代表人或委托人：</w:t>
      </w:r>
      <w:r>
        <w:rPr>
          <w:rFonts w:hint="eastAsia" w:ascii="仿宋" w:hAnsi="仿宋" w:eastAsia="仿宋" w:cs="仿宋"/>
          <w:color w:val="000000" w:themeColor="text1"/>
          <w:kern w:val="0"/>
          <w:sz w:val="24"/>
          <w:highlight w:val="none"/>
          <w14:textFill>
            <w14:solidFill>
              <w14:schemeClr w14:val="tx1"/>
            </w14:solidFill>
          </w14:textFill>
        </w:rPr>
        <w:tab/>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eastAsia="zh-CN"/>
          <w14:textFill>
            <w14:solidFill>
              <w14:schemeClr w14:val="tx1"/>
            </w14:solidFill>
          </w14:textFill>
        </w:rPr>
        <w:t>签字或盖章</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7CD4B0EE">
      <w:pPr>
        <w:keepNext w:val="0"/>
        <w:keepLines w:val="0"/>
        <w:pageBreakBefore w:val="0"/>
        <w:widowControl w:val="0"/>
        <w:wordWrap w:val="0"/>
        <w:topLinePunct w:val="0"/>
        <w:autoSpaceDE/>
        <w:autoSpaceDN/>
        <w:bidi w:val="0"/>
        <w:adjustRightInd/>
        <w:snapToGrid/>
        <w:spacing w:line="440" w:lineRule="exact"/>
        <w:ind w:firstLine="486" w:firstLineChars="200"/>
        <w:jc w:val="righ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ab/>
      </w:r>
      <w:r>
        <w:rPr>
          <w:rFonts w:hint="eastAsia" w:ascii="仿宋" w:hAnsi="仿宋" w:eastAsia="仿宋" w:cs="仿宋"/>
          <w:color w:val="000000" w:themeColor="text1"/>
          <w:kern w:val="0"/>
          <w:sz w:val="24"/>
          <w:highlight w:val="none"/>
          <w14:textFill>
            <w14:solidFill>
              <w14:schemeClr w14:val="tx1"/>
            </w14:solidFill>
          </w14:textFill>
        </w:rPr>
        <w:t>年</w:t>
      </w:r>
      <w:r>
        <w:rPr>
          <w:rFonts w:hint="eastAsia" w:ascii="仿宋" w:hAnsi="仿宋" w:eastAsia="仿宋" w:cs="仿宋"/>
          <w:color w:val="000000" w:themeColor="text1"/>
          <w:kern w:val="0"/>
          <w:sz w:val="24"/>
          <w:highlight w:val="none"/>
          <w:u w:val="single"/>
          <w14:textFill>
            <w14:solidFill>
              <w14:schemeClr w14:val="tx1"/>
            </w14:solidFill>
          </w14:textFill>
        </w:rPr>
        <w:tab/>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月</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日</w:t>
      </w:r>
    </w:p>
    <w:p w14:paraId="0BFBF958">
      <w:pPr>
        <w:shd w:val="clear" w:color="auto" w:fill="auto"/>
        <w:ind w:left="0" w:leftChars="0" w:right="208" w:rightChars="98" w:firstLine="0" w:firstLineChars="0"/>
        <w:jc w:val="both"/>
        <w:rPr>
          <w:rFonts w:hint="eastAsia" w:ascii="宋体" w:hAnsi="宋体" w:eastAsia="宋体" w:cs="宋体"/>
          <w:b/>
          <w:bCs/>
          <w:color w:val="000000" w:themeColor="text1"/>
          <w:sz w:val="36"/>
          <w:szCs w:val="36"/>
          <w:highlight w:val="none"/>
          <w14:textFill>
            <w14:solidFill>
              <w14:schemeClr w14:val="tx1"/>
            </w14:solidFill>
          </w14:textFill>
        </w:rPr>
      </w:pPr>
      <w:bookmarkStart w:id="192" w:name="_Toc9864_WPSOffice_Level2"/>
      <w:bookmarkStart w:id="193" w:name="_Toc12643_WPSOffice_Level2"/>
    </w:p>
    <w:p w14:paraId="477CB72C">
      <w:pPr>
        <w:pStyle w:val="38"/>
        <w:rPr>
          <w:rFonts w:hint="eastAsia" w:ascii="宋体" w:hAnsi="宋体" w:eastAsia="宋体" w:cs="宋体"/>
          <w:b/>
          <w:bCs/>
          <w:color w:val="000000" w:themeColor="text1"/>
          <w:sz w:val="36"/>
          <w:szCs w:val="36"/>
          <w:highlight w:val="none"/>
          <w14:textFill>
            <w14:solidFill>
              <w14:schemeClr w14:val="tx1"/>
            </w14:solidFill>
          </w14:textFill>
        </w:rPr>
      </w:pPr>
    </w:p>
    <w:p w14:paraId="2E7F5118">
      <w:pPr>
        <w:rPr>
          <w:rFonts w:hint="eastAsia"/>
          <w:color w:val="000000" w:themeColor="text1"/>
          <w14:textFill>
            <w14:solidFill>
              <w14:schemeClr w14:val="tx1"/>
            </w14:solidFill>
          </w14:textFill>
        </w:rPr>
      </w:pPr>
    </w:p>
    <w:p w14:paraId="2063500B">
      <w:pPr>
        <w:rPr>
          <w:rFonts w:hint="eastAsia"/>
          <w:color w:val="000000" w:themeColor="text1"/>
          <w14:textFill>
            <w14:solidFill>
              <w14:schemeClr w14:val="tx1"/>
            </w14:solidFill>
          </w14:textFill>
        </w:rPr>
      </w:pPr>
    </w:p>
    <w:p w14:paraId="4E1E0379">
      <w:pPr>
        <w:pStyle w:val="38"/>
        <w:rPr>
          <w:rFonts w:hint="eastAsia"/>
          <w:color w:val="000000" w:themeColor="text1"/>
          <w14:textFill>
            <w14:solidFill>
              <w14:schemeClr w14:val="tx1"/>
            </w14:solidFill>
          </w14:textFill>
        </w:rPr>
      </w:pPr>
    </w:p>
    <w:p w14:paraId="3C24D6BC">
      <w:pPr>
        <w:shd w:val="clear" w:color="auto" w:fill="auto"/>
        <w:ind w:left="0" w:leftChars="0" w:right="208" w:rightChars="98" w:firstLine="0" w:firstLineChars="0"/>
        <w:jc w:val="center"/>
        <w:outlineLvl w:val="2"/>
        <w:rPr>
          <w:rFonts w:hint="eastAsia" w:ascii="宋体" w:hAnsi="宋体" w:eastAsia="宋体" w:cs="宋体"/>
          <w:b/>
          <w:bCs/>
          <w:color w:val="000000" w:themeColor="text1"/>
          <w:sz w:val="36"/>
          <w:szCs w:val="36"/>
          <w:highlight w:val="none"/>
          <w:lang w:val="en-US" w:eastAsia="zh-CN"/>
          <w14:textFill>
            <w14:solidFill>
              <w14:schemeClr w14:val="tx1"/>
            </w14:solidFill>
          </w14:textFill>
        </w:rPr>
        <w:sectPr>
          <w:footerReference r:id="rId15" w:type="default"/>
          <w:pgSz w:w="11905" w:h="16838"/>
          <w:pgMar w:top="1440" w:right="1080" w:bottom="1440" w:left="1080" w:header="850" w:footer="992" w:gutter="0"/>
          <w:pgNumType w:fmt="decimal"/>
          <w:cols w:space="720" w:num="1"/>
          <w:docGrid w:type="linesAndChars" w:linePitch="325" w:charSpace="635"/>
        </w:sectPr>
      </w:pPr>
      <w:bookmarkStart w:id="194" w:name="_Toc240"/>
    </w:p>
    <w:p w14:paraId="15FA78EF">
      <w:pPr>
        <w:shd w:val="clear" w:color="auto" w:fill="auto"/>
        <w:ind w:left="0" w:leftChars="0" w:right="208" w:rightChars="98" w:firstLine="0" w:firstLineChars="0"/>
        <w:jc w:val="center"/>
        <w:outlineLvl w:val="2"/>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lang w:val="en-US" w:eastAsia="zh-CN"/>
          <w14:textFill>
            <w14:solidFill>
              <w14:schemeClr w14:val="tx1"/>
            </w14:solidFill>
          </w14:textFill>
        </w:rPr>
        <w:t>2、</w:t>
      </w:r>
      <w:r>
        <w:rPr>
          <w:rFonts w:hint="eastAsia" w:ascii="宋体" w:hAnsi="宋体" w:eastAsia="宋体" w:cs="宋体"/>
          <w:b/>
          <w:bCs/>
          <w:color w:val="000000" w:themeColor="text1"/>
          <w:sz w:val="36"/>
          <w:szCs w:val="36"/>
          <w:highlight w:val="none"/>
          <w14:textFill>
            <w14:solidFill>
              <w14:schemeClr w14:val="tx1"/>
            </w14:solidFill>
          </w14:textFill>
        </w:rPr>
        <w:t>开 标 一 览 表</w:t>
      </w:r>
      <w:bookmarkEnd w:id="192"/>
      <w:bookmarkEnd w:id="194"/>
    </w:p>
    <w:p w14:paraId="74E568EC">
      <w:pPr>
        <w:widowControl/>
        <w:shd w:val="clear" w:color="auto" w:fill="auto"/>
        <w:ind w:left="0" w:leftChars="0" w:right="208" w:rightChars="98" w:firstLine="0" w:firstLineChars="0"/>
        <w:jc w:val="left"/>
        <w:rPr>
          <w:rFonts w:hint="eastAsia" w:ascii="宋体" w:hAnsi="宋体" w:eastAsia="宋体" w:cs="宋体"/>
          <w:color w:val="000000" w:themeColor="text1"/>
          <w:sz w:val="24"/>
          <w:highlight w:val="none"/>
          <w14:textFill>
            <w14:solidFill>
              <w14:schemeClr w14:val="tx1"/>
            </w14:solidFill>
          </w14:textFill>
        </w:rPr>
      </w:pPr>
    </w:p>
    <w:p w14:paraId="17DC7006">
      <w:pPr>
        <w:pStyle w:val="24"/>
        <w:spacing w:line="240" w:lineRule="atLeast"/>
        <w:ind w:left="1087" w:leftChars="257" w:hanging="54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项目名称:                           </w:t>
      </w:r>
    </w:p>
    <w:p w14:paraId="35FAA183">
      <w:pPr>
        <w:pStyle w:val="24"/>
        <w:spacing w:line="240" w:lineRule="atLeast"/>
        <w:ind w:left="1087" w:leftChars="257" w:hanging="54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招标编号:                       包号:                      </w:t>
      </w:r>
    </w:p>
    <w:p w14:paraId="5CA47FDA">
      <w:pPr>
        <w:pStyle w:val="24"/>
        <w:spacing w:line="240" w:lineRule="atLeast"/>
        <w:ind w:left="1087" w:leftChars="257" w:hanging="540"/>
        <w:rPr>
          <w:rFonts w:ascii="仿宋" w:hAnsi="仿宋" w:eastAsia="仿宋" w:cs="仿宋"/>
          <w:color w:val="000000" w:themeColor="text1"/>
          <w:highlight w:val="none"/>
          <w:lang w:eastAsia="zh-CN"/>
          <w14:textFill>
            <w14:solidFill>
              <w14:schemeClr w14:val="tx1"/>
            </w14:solidFill>
          </w14:textFill>
        </w:rPr>
      </w:pPr>
    </w:p>
    <w:tbl>
      <w:tblPr>
        <w:tblStyle w:val="50"/>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00"/>
        <w:gridCol w:w="1410"/>
        <w:gridCol w:w="1040"/>
        <w:gridCol w:w="1370"/>
        <w:gridCol w:w="1420"/>
        <w:gridCol w:w="1101"/>
      </w:tblGrid>
      <w:tr w14:paraId="4462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1" w:type="dxa"/>
            <w:noWrap w:val="0"/>
            <w:vAlign w:val="center"/>
          </w:tcPr>
          <w:p w14:paraId="4E8D1C25">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序号</w:t>
            </w:r>
          </w:p>
        </w:tc>
        <w:tc>
          <w:tcPr>
            <w:tcW w:w="1400" w:type="dxa"/>
            <w:noWrap w:val="0"/>
            <w:vAlign w:val="center"/>
          </w:tcPr>
          <w:p w14:paraId="25B0F2C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货物名称</w:t>
            </w:r>
          </w:p>
        </w:tc>
        <w:tc>
          <w:tcPr>
            <w:tcW w:w="1410" w:type="dxa"/>
            <w:noWrap w:val="0"/>
            <w:vAlign w:val="center"/>
          </w:tcPr>
          <w:p w14:paraId="138B4816">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主要规格</w:t>
            </w:r>
          </w:p>
        </w:tc>
        <w:tc>
          <w:tcPr>
            <w:tcW w:w="1040" w:type="dxa"/>
            <w:noWrap w:val="0"/>
            <w:vAlign w:val="center"/>
          </w:tcPr>
          <w:p w14:paraId="0F7E08BF">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数量</w:t>
            </w:r>
          </w:p>
        </w:tc>
        <w:tc>
          <w:tcPr>
            <w:tcW w:w="1370" w:type="dxa"/>
            <w:noWrap w:val="0"/>
            <w:vAlign w:val="center"/>
          </w:tcPr>
          <w:p w14:paraId="24FEDD6C">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供货期</w:t>
            </w:r>
          </w:p>
        </w:tc>
        <w:tc>
          <w:tcPr>
            <w:tcW w:w="1420" w:type="dxa"/>
            <w:noWrap w:val="0"/>
            <w:vAlign w:val="center"/>
          </w:tcPr>
          <w:p w14:paraId="6F1B4F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交货地点</w:t>
            </w:r>
          </w:p>
        </w:tc>
        <w:tc>
          <w:tcPr>
            <w:tcW w:w="1101" w:type="dxa"/>
            <w:noWrap w:val="0"/>
            <w:vAlign w:val="center"/>
          </w:tcPr>
          <w:p w14:paraId="52891D1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2"/>
                <w:szCs w:val="20"/>
                <w:highlight w:val="none"/>
                <w:lang w:eastAsia="zh-CN" w:bidi="ar-SA"/>
                <w14:textFill>
                  <w14:solidFill>
                    <w14:schemeClr w14:val="tx1"/>
                  </w14:solidFill>
                </w14:textFill>
              </w:rPr>
            </w:pPr>
            <w:r>
              <w:rPr>
                <w:rFonts w:hint="eastAsia" w:ascii="仿宋" w:hAnsi="仿宋" w:eastAsia="仿宋" w:cs="仿宋"/>
                <w:color w:val="000000" w:themeColor="text1"/>
                <w:kern w:val="2"/>
                <w:szCs w:val="20"/>
                <w:highlight w:val="none"/>
                <w:lang w:eastAsia="zh-CN" w:bidi="ar-SA"/>
                <w14:textFill>
                  <w14:solidFill>
                    <w14:schemeClr w14:val="tx1"/>
                  </w14:solidFill>
                </w14:textFill>
              </w:rPr>
              <w:t>其它</w:t>
            </w:r>
          </w:p>
        </w:tc>
      </w:tr>
      <w:tr w14:paraId="23EA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noWrap w:val="0"/>
            <w:vAlign w:val="top"/>
          </w:tcPr>
          <w:p w14:paraId="350E428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2A10D14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05F0EE4B">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153519F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3C82800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70C3DF2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56CCF4C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3868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noWrap w:val="0"/>
            <w:vAlign w:val="top"/>
          </w:tcPr>
          <w:p w14:paraId="23E313C2">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699FBC3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3EA4721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4CB82B3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5D141F2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258FCC6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1DE28AA9">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5791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noWrap w:val="0"/>
            <w:vAlign w:val="top"/>
          </w:tcPr>
          <w:p w14:paraId="67370875">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66C7D0B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49FEA2C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6C37DB5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4D09C98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0E39316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601E49F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4971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noWrap w:val="0"/>
            <w:vAlign w:val="top"/>
          </w:tcPr>
          <w:p w14:paraId="31C5909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1F7A8B5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1518594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14D9437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17CED5B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7AF310E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234C5AD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6CAF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1" w:type="dxa"/>
            <w:noWrap w:val="0"/>
            <w:vAlign w:val="top"/>
          </w:tcPr>
          <w:p w14:paraId="3182D49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15076B1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422BEEF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4C337E7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0990F33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3EEA678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6BA010E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185C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61" w:type="dxa"/>
            <w:noWrap w:val="0"/>
            <w:vAlign w:val="top"/>
          </w:tcPr>
          <w:p w14:paraId="5C980E1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6FB879E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6BECAF99">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4D06BCE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177CBB5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2560540B">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01640AF5">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1737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61" w:type="dxa"/>
            <w:noWrap w:val="0"/>
            <w:vAlign w:val="top"/>
          </w:tcPr>
          <w:p w14:paraId="429812A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4E3CDBB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57EBC0E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444DDBA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77A31CF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3E0499B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46B07159">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r w14:paraId="6678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1" w:type="dxa"/>
            <w:noWrap w:val="0"/>
            <w:vAlign w:val="top"/>
          </w:tcPr>
          <w:p w14:paraId="2C70C68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00" w:type="dxa"/>
            <w:noWrap w:val="0"/>
            <w:vAlign w:val="top"/>
          </w:tcPr>
          <w:p w14:paraId="20C2C0C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10" w:type="dxa"/>
            <w:noWrap w:val="0"/>
            <w:vAlign w:val="top"/>
          </w:tcPr>
          <w:p w14:paraId="4BA604F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040" w:type="dxa"/>
            <w:noWrap w:val="0"/>
            <w:vAlign w:val="top"/>
          </w:tcPr>
          <w:p w14:paraId="0E3DC9D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370" w:type="dxa"/>
            <w:noWrap w:val="0"/>
            <w:vAlign w:val="top"/>
          </w:tcPr>
          <w:p w14:paraId="5C66A2A7">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420" w:type="dxa"/>
            <w:noWrap w:val="0"/>
            <w:vAlign w:val="top"/>
          </w:tcPr>
          <w:p w14:paraId="31A685A8">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c>
          <w:tcPr>
            <w:tcW w:w="1101" w:type="dxa"/>
            <w:noWrap w:val="0"/>
            <w:vAlign w:val="top"/>
          </w:tcPr>
          <w:p w14:paraId="17433B2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000000" w:themeColor="text1"/>
                <w:highlight w:val="none"/>
                <w:lang w:eastAsia="zh-CN"/>
                <w14:textFill>
                  <w14:solidFill>
                    <w14:schemeClr w14:val="tx1"/>
                  </w14:solidFill>
                </w14:textFill>
              </w:rPr>
            </w:pPr>
          </w:p>
        </w:tc>
      </w:tr>
    </w:tbl>
    <w:p w14:paraId="30985709">
      <w:pPr>
        <w:pStyle w:val="24"/>
        <w:spacing w:line="240" w:lineRule="atLeast"/>
        <w:ind w:left="1087" w:leftChars="257" w:hanging="540"/>
        <w:rPr>
          <w:rFonts w:ascii="仿宋" w:hAnsi="仿宋" w:eastAsia="仿宋" w:cs="仿宋"/>
          <w:color w:val="000000" w:themeColor="text1"/>
          <w:highlight w:val="none"/>
          <w14:textFill>
            <w14:solidFill>
              <w14:schemeClr w14:val="tx1"/>
            </w14:solidFill>
          </w14:textFill>
        </w:rPr>
      </w:pPr>
    </w:p>
    <w:p w14:paraId="43287D60">
      <w:pPr>
        <w:pStyle w:val="24"/>
        <w:spacing w:line="240" w:lineRule="atLeast"/>
        <w:ind w:left="1087" w:leftChars="257" w:hanging="540"/>
        <w:rPr>
          <w:rFonts w:hAnsi="宋体" w:eastAsia="宋体" w:cs="宋体"/>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法定代表人或其委托代理人签字:</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ab/>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hAnsi="宋体" w:eastAsia="宋体" w:cs="宋体"/>
          <w:color w:val="000000" w:themeColor="text1"/>
          <w:highlight w:val="none"/>
          <w:u w:val="single"/>
          <w:lang w:eastAsia="zh-CN"/>
          <w14:textFill>
            <w14:solidFill>
              <w14:schemeClr w14:val="tx1"/>
            </w14:solidFill>
          </w14:textFill>
        </w:rPr>
        <w:t xml:space="preserve">         </w:t>
      </w:r>
    </w:p>
    <w:p w14:paraId="46C76A22">
      <w:pPr>
        <w:pStyle w:val="24"/>
        <w:tabs>
          <w:tab w:val="left" w:pos="5370"/>
        </w:tabs>
        <w:spacing w:line="240" w:lineRule="atLeast"/>
        <w:ind w:left="1087" w:leftChars="257" w:hanging="540"/>
        <w:rPr>
          <w:rFonts w:ascii="仿宋" w:hAnsi="仿宋" w:eastAsia="仿宋" w:cs="仿宋"/>
          <w:color w:val="000000" w:themeColor="text1"/>
          <w:highlight w:val="none"/>
          <w:lang w:eastAsia="zh-CN"/>
          <w14:textFill>
            <w14:solidFill>
              <w14:schemeClr w14:val="tx1"/>
            </w14:solidFill>
          </w14:textFill>
        </w:rPr>
      </w:pPr>
    </w:p>
    <w:p w14:paraId="6C968B1E">
      <w:pPr>
        <w:pStyle w:val="24"/>
        <w:tabs>
          <w:tab w:val="left" w:pos="5370"/>
        </w:tabs>
        <w:spacing w:line="240" w:lineRule="atLeast"/>
        <w:ind w:left="1087" w:leftChars="257" w:hanging="54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供应商(盖单位章):</w:t>
      </w:r>
      <w:r>
        <w:rPr>
          <w:rFonts w:hint="eastAsia" w:ascii="仿宋" w:hAnsi="仿宋" w:eastAsia="仿宋" w:cs="仿宋"/>
          <w:color w:val="000000" w:themeColor="text1"/>
          <w:highlight w:val="none"/>
          <w:u w:val="single"/>
          <w:lang w:eastAsia="zh-CN"/>
          <w14:textFill>
            <w14:solidFill>
              <w14:schemeClr w14:val="tx1"/>
            </w14:solidFill>
          </w14:textFill>
        </w:rPr>
        <w:tab/>
      </w:r>
    </w:p>
    <w:p w14:paraId="47BF92F2">
      <w:pPr>
        <w:pStyle w:val="24"/>
        <w:spacing w:line="240" w:lineRule="atLeast"/>
        <w:ind w:left="1087" w:leftChars="257" w:hanging="540"/>
        <w:rPr>
          <w:rFonts w:ascii="仿宋" w:hAnsi="仿宋" w:eastAsia="仿宋" w:cs="仿宋"/>
          <w:color w:val="000000" w:themeColor="text1"/>
          <w:highlight w:val="none"/>
          <w:lang w:eastAsia="zh-CN"/>
          <w14:textFill>
            <w14:solidFill>
              <w14:schemeClr w14:val="tx1"/>
            </w14:solidFill>
          </w14:textFill>
        </w:rPr>
      </w:pPr>
    </w:p>
    <w:p w14:paraId="25C7CFE4">
      <w:pPr>
        <w:pStyle w:val="24"/>
        <w:spacing w:line="240" w:lineRule="atLeast"/>
        <w:ind w:left="1087" w:leftChars="257" w:hanging="540"/>
        <w:rPr>
          <w:rFonts w:hAnsi="宋体" w:eastAsia="宋体" w:cs="宋体"/>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注: 各项货物详细技术性能应另页描述</w:t>
      </w:r>
      <w:r>
        <w:rPr>
          <w:rFonts w:hint="eastAsia" w:hAnsi="宋体" w:eastAsia="宋体" w:cs="宋体"/>
          <w:color w:val="000000" w:themeColor="text1"/>
          <w:highlight w:val="none"/>
          <w:lang w:eastAsia="zh-CN"/>
          <w14:textFill>
            <w14:solidFill>
              <w14:schemeClr w14:val="tx1"/>
            </w14:solidFill>
          </w14:textFill>
        </w:rPr>
        <w:t>。</w:t>
      </w:r>
    </w:p>
    <w:p w14:paraId="7E6C3C76">
      <w:pPr>
        <w:pStyle w:val="24"/>
        <w:spacing w:line="240" w:lineRule="atLeast"/>
        <w:ind w:left="1087" w:leftChars="257" w:hanging="540"/>
        <w:jc w:val="center"/>
        <w:rPr>
          <w:rFonts w:hAnsi="宋体" w:eastAsia="宋体" w:cs="宋体"/>
          <w:color w:val="000000" w:themeColor="text1"/>
          <w:highlight w:val="none"/>
          <w:lang w:eastAsia="zh-CN"/>
          <w14:textFill>
            <w14:solidFill>
              <w14:schemeClr w14:val="tx1"/>
            </w14:solidFill>
          </w14:textFill>
        </w:rPr>
      </w:pPr>
    </w:p>
    <w:p w14:paraId="02F283B3">
      <w:pPr>
        <w:pStyle w:val="24"/>
        <w:spacing w:line="240" w:lineRule="atLeast"/>
        <w:ind w:left="1087" w:leftChars="257" w:hanging="540"/>
        <w:jc w:val="center"/>
        <w:rPr>
          <w:rFonts w:hAnsi="宋体" w:eastAsia="宋体" w:cs="宋体"/>
          <w:color w:val="000000" w:themeColor="text1"/>
          <w:highlight w:val="none"/>
          <w:lang w:eastAsia="zh-CN"/>
          <w14:textFill>
            <w14:solidFill>
              <w14:schemeClr w14:val="tx1"/>
            </w14:solidFill>
          </w14:textFill>
        </w:rPr>
        <w:sectPr>
          <w:pgSz w:w="11905" w:h="16838"/>
          <w:pgMar w:top="1440" w:right="1080" w:bottom="1440" w:left="1080" w:header="850" w:footer="992" w:gutter="0"/>
          <w:pgNumType w:fmt="decimal"/>
          <w:cols w:space="720" w:num="1"/>
          <w:docGrid w:type="linesAndChars" w:linePitch="325" w:charSpace="635"/>
        </w:sectPr>
      </w:pPr>
    </w:p>
    <w:p w14:paraId="3578356C">
      <w:pPr>
        <w:spacing w:line="500" w:lineRule="exact"/>
        <w:jc w:val="center"/>
        <w:outlineLvl w:val="2"/>
        <w:rPr>
          <w:rFonts w:hint="eastAsia" w:ascii="宋体" w:hAnsi="宋体" w:cs="宋体"/>
          <w:b/>
          <w:bCs/>
          <w:color w:val="000000" w:themeColor="text1"/>
          <w:sz w:val="28"/>
          <w:szCs w:val="28"/>
          <w14:textFill>
            <w14:solidFill>
              <w14:schemeClr w14:val="tx1"/>
            </w14:solidFill>
          </w14:textFill>
        </w:rPr>
      </w:pPr>
      <w:bookmarkStart w:id="195" w:name="_Toc1484"/>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bookmarkEnd w:id="193"/>
      <w:bookmarkStart w:id="196" w:name="_Toc26633_WPSOffice_Level2"/>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投标</w:t>
      </w:r>
      <w:r>
        <w:rPr>
          <w:rFonts w:hint="eastAsia" w:ascii="宋体" w:hAnsi="宋体" w:cs="宋体"/>
          <w:b/>
          <w:bCs/>
          <w:color w:val="000000" w:themeColor="text1"/>
          <w:sz w:val="28"/>
          <w:szCs w:val="28"/>
          <w14:textFill>
            <w14:solidFill>
              <w14:schemeClr w14:val="tx1"/>
            </w14:solidFill>
          </w14:textFill>
        </w:rPr>
        <w:t>分项报价明细表</w:t>
      </w:r>
      <w:bookmarkEnd w:id="195"/>
    </w:p>
    <w:p w14:paraId="6F62861D">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项目名称:                      招标编号:                  包号: 　 </w:t>
      </w:r>
    </w:p>
    <w:p w14:paraId="349C3C42">
      <w:pPr>
        <w:pStyle w:val="24"/>
        <w:shd w:val="clear" w:color="auto" w:fill="auto"/>
        <w:spacing w:line="240" w:lineRule="atLeast"/>
        <w:ind w:left="1080" w:leftChars="257" w:hanging="54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单位：元（人民币）</w:t>
      </w:r>
    </w:p>
    <w:tbl>
      <w:tblPr>
        <w:tblStyle w:val="50"/>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684"/>
        <w:gridCol w:w="1088"/>
        <w:gridCol w:w="1088"/>
        <w:gridCol w:w="1088"/>
        <w:gridCol w:w="1088"/>
        <w:gridCol w:w="787"/>
        <w:gridCol w:w="787"/>
        <w:gridCol w:w="892"/>
        <w:gridCol w:w="669"/>
      </w:tblGrid>
      <w:tr w14:paraId="6186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3" w:type="dxa"/>
            <w:noWrap w:val="0"/>
            <w:vAlign w:val="center"/>
          </w:tcPr>
          <w:p w14:paraId="716B51DF">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684" w:type="dxa"/>
            <w:noWrap w:val="0"/>
            <w:vAlign w:val="center"/>
          </w:tcPr>
          <w:p w14:paraId="1A575D91">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标的</w:t>
            </w:r>
            <w:r>
              <w:rPr>
                <w:rFonts w:hint="eastAsia" w:hAnsi="宋体" w:eastAsia="宋体" w:cs="宋体"/>
                <w:color w:val="000000" w:themeColor="text1"/>
                <w:sz w:val="21"/>
                <w:szCs w:val="21"/>
                <w:highlight w:val="none"/>
                <w:lang w:val="en-US" w:eastAsia="zh-CN"/>
                <w14:textFill>
                  <w14:solidFill>
                    <w14:schemeClr w14:val="tx1"/>
                  </w14:solidFill>
                </w14:textFill>
              </w:rPr>
              <w:t>名称</w:t>
            </w:r>
          </w:p>
        </w:tc>
        <w:tc>
          <w:tcPr>
            <w:tcW w:w="1088" w:type="dxa"/>
            <w:noWrap w:val="0"/>
            <w:vAlign w:val="center"/>
          </w:tcPr>
          <w:p w14:paraId="624EAB73">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品牌</w:t>
            </w:r>
          </w:p>
        </w:tc>
        <w:tc>
          <w:tcPr>
            <w:tcW w:w="1088" w:type="dxa"/>
            <w:noWrap w:val="0"/>
            <w:vAlign w:val="center"/>
          </w:tcPr>
          <w:p w14:paraId="68A70E23">
            <w:pPr>
              <w:pStyle w:val="24"/>
              <w:keepNext w:val="0"/>
              <w:keepLines w:val="0"/>
              <w:suppressLineNumbers w:val="0"/>
              <w:shd w:val="clear" w:color="auto" w:fill="auto"/>
              <w:spacing w:before="0" w:beforeAutospacing="0" w:after="0" w:afterAutospacing="0" w:line="240" w:lineRule="atLeast"/>
              <w:ind w:left="0" w:right="0"/>
              <w:jc w:val="center"/>
              <w:rPr>
                <w:rFonts w:hint="eastAsia"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型号</w:t>
            </w:r>
          </w:p>
        </w:tc>
        <w:tc>
          <w:tcPr>
            <w:tcW w:w="1088" w:type="dxa"/>
            <w:noWrap w:val="0"/>
            <w:vAlign w:val="center"/>
          </w:tcPr>
          <w:p w14:paraId="63B256AB">
            <w:pPr>
              <w:pStyle w:val="24"/>
              <w:keepNext w:val="0"/>
              <w:keepLines w:val="0"/>
              <w:suppressLineNumbers w:val="0"/>
              <w:shd w:val="clear" w:color="auto" w:fill="auto"/>
              <w:spacing w:before="0" w:beforeAutospacing="0" w:after="0" w:afterAutospacing="0" w:line="240" w:lineRule="atLeast"/>
              <w:ind w:left="0" w:right="0"/>
              <w:jc w:val="center"/>
              <w:rPr>
                <w:rFonts w:hint="eastAsia"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技术</w:t>
            </w:r>
          </w:p>
          <w:p w14:paraId="6570941C">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参数</w:t>
            </w:r>
          </w:p>
        </w:tc>
        <w:tc>
          <w:tcPr>
            <w:tcW w:w="1088" w:type="dxa"/>
            <w:noWrap w:val="0"/>
            <w:vAlign w:val="center"/>
          </w:tcPr>
          <w:p w14:paraId="78EB748A">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w:t>
            </w:r>
            <w:r>
              <w:rPr>
                <w:rFonts w:hint="eastAsia" w:hAnsi="宋体" w:eastAsia="宋体" w:cs="宋体"/>
                <w:color w:val="000000" w:themeColor="text1"/>
                <w:sz w:val="21"/>
                <w:szCs w:val="21"/>
                <w:highlight w:val="none"/>
                <w:lang w:val="en-US" w:eastAsia="zh-CN"/>
                <w14:textFill>
                  <w14:solidFill>
                    <w14:schemeClr w14:val="tx1"/>
                  </w14:solidFill>
                </w14:textFill>
              </w:rPr>
              <w:t>量</w:t>
            </w:r>
          </w:p>
        </w:tc>
        <w:tc>
          <w:tcPr>
            <w:tcW w:w="787" w:type="dxa"/>
            <w:noWrap w:val="0"/>
            <w:vAlign w:val="center"/>
          </w:tcPr>
          <w:p w14:paraId="50B752CA">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单位</w:t>
            </w:r>
          </w:p>
        </w:tc>
        <w:tc>
          <w:tcPr>
            <w:tcW w:w="787" w:type="dxa"/>
            <w:noWrap w:val="0"/>
            <w:vAlign w:val="center"/>
          </w:tcPr>
          <w:p w14:paraId="397CFB1C">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单价</w:t>
            </w:r>
          </w:p>
        </w:tc>
        <w:tc>
          <w:tcPr>
            <w:tcW w:w="892" w:type="dxa"/>
            <w:noWrap w:val="0"/>
            <w:vAlign w:val="center"/>
          </w:tcPr>
          <w:p w14:paraId="22410295">
            <w:pPr>
              <w:pStyle w:val="24"/>
              <w:keepNext w:val="0"/>
              <w:keepLines w:val="0"/>
              <w:suppressLineNumbers w:val="0"/>
              <w:shd w:val="clear" w:color="auto" w:fill="auto"/>
              <w:spacing w:before="0" w:beforeAutospacing="0" w:after="0" w:afterAutospacing="0" w:line="240" w:lineRule="atLeast"/>
              <w:ind w:left="0" w:right="0" w:firstLine="210" w:firstLineChars="10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总价</w:t>
            </w:r>
          </w:p>
        </w:tc>
        <w:tc>
          <w:tcPr>
            <w:tcW w:w="669" w:type="dxa"/>
            <w:noWrap w:val="0"/>
            <w:vAlign w:val="center"/>
          </w:tcPr>
          <w:p w14:paraId="58204CD7">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w:t>
            </w:r>
          </w:p>
        </w:tc>
      </w:tr>
      <w:tr w14:paraId="6B08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23" w:type="dxa"/>
            <w:noWrap w:val="0"/>
            <w:vAlign w:val="center"/>
          </w:tcPr>
          <w:p w14:paraId="1AE44C9E">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684" w:type="dxa"/>
            <w:noWrap w:val="0"/>
            <w:vAlign w:val="center"/>
          </w:tcPr>
          <w:p w14:paraId="4C9CEA2A">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28A3EB33">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03F0E9BE">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0BBA7D33">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1DF95A73">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0E400595">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77305EE0">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92" w:type="dxa"/>
            <w:noWrap w:val="0"/>
            <w:vAlign w:val="center"/>
          </w:tcPr>
          <w:p w14:paraId="2F9A31A4">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69" w:type="dxa"/>
            <w:noWrap w:val="0"/>
            <w:vAlign w:val="center"/>
          </w:tcPr>
          <w:p w14:paraId="7EA55A7D">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C72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61A7CD6D">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684" w:type="dxa"/>
            <w:noWrap w:val="0"/>
            <w:vAlign w:val="center"/>
          </w:tcPr>
          <w:p w14:paraId="3EEEC447">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328B9DE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08E8457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5C69DEE">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11FA429">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05A8346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0A83A40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92" w:type="dxa"/>
            <w:noWrap w:val="0"/>
            <w:vAlign w:val="center"/>
          </w:tcPr>
          <w:p w14:paraId="62713590">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69" w:type="dxa"/>
            <w:noWrap w:val="0"/>
            <w:vAlign w:val="center"/>
          </w:tcPr>
          <w:p w14:paraId="35D7F1D0">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69D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61A2AFDC">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684" w:type="dxa"/>
            <w:noWrap w:val="0"/>
            <w:vAlign w:val="center"/>
          </w:tcPr>
          <w:p w14:paraId="5EACCC02">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9853D86">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13C88FF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48CFD22E">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544F202">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223AB349">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37E5EDF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92" w:type="dxa"/>
            <w:noWrap w:val="0"/>
            <w:vAlign w:val="center"/>
          </w:tcPr>
          <w:p w14:paraId="2D6C76F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69" w:type="dxa"/>
            <w:noWrap w:val="0"/>
            <w:vAlign w:val="center"/>
          </w:tcPr>
          <w:p w14:paraId="3DC0EF9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F01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05E2AFCA">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684" w:type="dxa"/>
            <w:noWrap w:val="0"/>
            <w:vAlign w:val="center"/>
          </w:tcPr>
          <w:p w14:paraId="041E29C1">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37F604EE">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03E7D761">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30848496">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57F2403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3F0CA7AE">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5659FB1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92" w:type="dxa"/>
            <w:noWrap w:val="0"/>
            <w:vAlign w:val="center"/>
          </w:tcPr>
          <w:p w14:paraId="08AB6BA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69" w:type="dxa"/>
            <w:noWrap w:val="0"/>
            <w:vAlign w:val="center"/>
          </w:tcPr>
          <w:p w14:paraId="779EE6C8">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145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23" w:type="dxa"/>
            <w:noWrap w:val="0"/>
            <w:vAlign w:val="center"/>
          </w:tcPr>
          <w:p w14:paraId="79D7A04D">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684" w:type="dxa"/>
            <w:noWrap w:val="0"/>
            <w:vAlign w:val="center"/>
          </w:tcPr>
          <w:p w14:paraId="18611155">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08523A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5C17C5F4">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6F50291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88" w:type="dxa"/>
            <w:noWrap w:val="0"/>
            <w:vAlign w:val="center"/>
          </w:tcPr>
          <w:p w14:paraId="3AF214BC">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13197F96">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7" w:type="dxa"/>
            <w:noWrap w:val="0"/>
            <w:vAlign w:val="center"/>
          </w:tcPr>
          <w:p w14:paraId="2EDFCE91">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92" w:type="dxa"/>
            <w:noWrap w:val="0"/>
            <w:vAlign w:val="center"/>
          </w:tcPr>
          <w:p w14:paraId="555FAA6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69" w:type="dxa"/>
            <w:noWrap w:val="0"/>
            <w:vAlign w:val="center"/>
          </w:tcPr>
          <w:p w14:paraId="6F40560C">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906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23" w:type="dxa"/>
            <w:noWrap w:val="0"/>
            <w:vAlign w:val="center"/>
          </w:tcPr>
          <w:p w14:paraId="1FB16EB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hAnsi="宋体" w:eastAsia="宋体" w:cs="宋体"/>
                <w:color w:val="000000" w:themeColor="text1"/>
                <w:sz w:val="21"/>
                <w:szCs w:val="21"/>
                <w:highlight w:val="none"/>
                <w:lang w:val="en-US" w:eastAsia="zh-CN"/>
                <w14:textFill>
                  <w14:solidFill>
                    <w14:schemeClr w14:val="tx1"/>
                  </w14:solidFill>
                </w14:textFill>
              </w:rPr>
            </w:pPr>
          </w:p>
        </w:tc>
        <w:tc>
          <w:tcPr>
            <w:tcW w:w="9171" w:type="dxa"/>
            <w:gridSpan w:val="9"/>
            <w:noWrap w:val="0"/>
            <w:vAlign w:val="center"/>
          </w:tcPr>
          <w:p w14:paraId="66746AFC">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总计（元）：</w:t>
            </w:r>
          </w:p>
        </w:tc>
      </w:tr>
    </w:tbl>
    <w:p w14:paraId="31A04639">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p>
    <w:p w14:paraId="61E63659">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法定代表人或其委托代理人签字:</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ab/>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133833A4">
      <w:pPr>
        <w:pStyle w:val="24"/>
        <w:shd w:val="clear" w:color="auto" w:fill="auto"/>
        <w:tabs>
          <w:tab w:val="left" w:pos="5370"/>
        </w:tabs>
        <w:spacing w:line="240" w:lineRule="atLeast"/>
        <w:ind w:left="1080" w:leftChars="257" w:hanging="54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投标人(盖单位章):</w:t>
      </w:r>
      <w:r>
        <w:rPr>
          <w:rFonts w:hint="eastAsia" w:ascii="宋体" w:hAnsi="宋体" w:eastAsia="宋体" w:cs="宋体"/>
          <w:color w:val="000000" w:themeColor="text1"/>
          <w:sz w:val="21"/>
          <w:szCs w:val="21"/>
          <w:highlight w:val="none"/>
          <w:u w:val="single"/>
          <w14:textFill>
            <w14:solidFill>
              <w14:schemeClr w14:val="tx1"/>
            </w14:solidFill>
          </w14:textFill>
        </w:rPr>
        <w:tab/>
      </w:r>
    </w:p>
    <w:p w14:paraId="786B035C">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p>
    <w:p w14:paraId="78018313">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.如果按单价计算的结果与总价不一致,以单价为准修正总价。</w:t>
      </w:r>
    </w:p>
    <w:p w14:paraId="110D9089">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.如果不提供详细分项报价将视为没有实质性响应</w:t>
      </w:r>
      <w:r>
        <w:rPr>
          <w:rFonts w:hint="eastAsia" w:hAnsi="宋体" w:cs="宋体"/>
          <w:color w:val="000000" w:themeColor="text1"/>
          <w:sz w:val="21"/>
          <w:szCs w:val="21"/>
          <w:highlight w:val="none"/>
          <w:lang w:val="en-US" w:eastAsia="zh-CN"/>
          <w14:textFill>
            <w14:solidFill>
              <w14:schemeClr w14:val="tx1"/>
            </w14:solidFill>
          </w14:textFill>
        </w:rPr>
        <w:t>招标</w:t>
      </w:r>
      <w:r>
        <w:rPr>
          <w:rFonts w:hint="eastAsia" w:hAnsi="宋体" w:eastAsia="宋体" w:cs="宋体"/>
          <w:color w:val="000000" w:themeColor="text1"/>
          <w:sz w:val="21"/>
          <w:szCs w:val="21"/>
          <w:highlight w:val="none"/>
          <w:lang w:eastAsia="zh-CN"/>
          <w14:textFill>
            <w14:solidFill>
              <w14:schemeClr w14:val="tx1"/>
            </w14:solidFill>
          </w14:textFill>
        </w:rPr>
        <w:t>文件</w:t>
      </w:r>
      <w:r>
        <w:rPr>
          <w:rFonts w:hint="eastAsia" w:ascii="宋体" w:hAnsi="宋体" w:eastAsia="宋体" w:cs="宋体"/>
          <w:color w:val="000000" w:themeColor="text1"/>
          <w:sz w:val="21"/>
          <w:szCs w:val="21"/>
          <w:highlight w:val="none"/>
          <w14:textFill>
            <w14:solidFill>
              <w14:schemeClr w14:val="tx1"/>
            </w14:solidFill>
          </w14:textFill>
        </w:rPr>
        <w:t>。</w:t>
      </w:r>
    </w:p>
    <w:p w14:paraId="6F506E5D">
      <w:pPr>
        <w:pStyle w:val="24"/>
        <w:shd w:val="clear" w:color="auto" w:fill="auto"/>
        <w:spacing w:line="240" w:lineRule="atLeast"/>
        <w:ind w:left="1080" w:leftChars="257" w:hanging="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.如果开标一览表（报价表）内容与投标文件中明细表内容不一致的，以开标一览表（报价表）内容为准。</w:t>
      </w:r>
    </w:p>
    <w:p w14:paraId="0806C7A4">
      <w:pPr>
        <w:pStyle w:val="24"/>
        <w:shd w:val="clear" w:color="auto" w:fill="auto"/>
        <w:spacing w:line="240" w:lineRule="atLeast"/>
        <w:ind w:left="1074" w:leftChars="455" w:hanging="119" w:hangingChars="5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投标人必须按此表格式中的对应栏目内容填写，若需增加栏目，请在栏目</w:t>
      </w:r>
      <w:r>
        <w:rPr>
          <w:rFonts w:hint="eastAsia" w:ascii="宋体" w:hAnsi="宋体" w:eastAsia="宋体" w:cs="宋体"/>
          <w:color w:val="000000" w:themeColor="text1"/>
          <w:sz w:val="21"/>
          <w:szCs w:val="21"/>
          <w:highlight w:val="none"/>
          <w:lang w:val="zh-CN" w:eastAsia="zh-CN"/>
          <w14:textFill>
            <w14:solidFill>
              <w14:schemeClr w14:val="tx1"/>
            </w14:solidFill>
          </w14:textFill>
        </w:rPr>
        <w:t>“其</w:t>
      </w:r>
      <w:r>
        <w:rPr>
          <w:rFonts w:hint="eastAsia" w:ascii="宋体" w:hAnsi="宋体" w:eastAsia="宋体" w:cs="宋体"/>
          <w:color w:val="000000" w:themeColor="text1"/>
          <w:sz w:val="21"/>
          <w:szCs w:val="21"/>
          <w:highlight w:val="none"/>
          <w14:textFill>
            <w14:solidFill>
              <w14:schemeClr w14:val="tx1"/>
            </w14:solidFill>
          </w14:textFill>
        </w:rPr>
        <w:t>它”中填写，并作详细说明。</w:t>
      </w:r>
    </w:p>
    <w:p w14:paraId="1B3C7C59">
      <w:pPr>
        <w:widowControl/>
        <w:spacing w:line="500" w:lineRule="atLeast"/>
        <w:rPr>
          <w:rFonts w:hint="eastAsia" w:ascii="宋体" w:hAnsi="宋体" w:eastAsia="宋体" w:cs="宋体"/>
          <w:b/>
          <w:bCs/>
          <w:color w:val="000000" w:themeColor="text1"/>
          <w:sz w:val="30"/>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r>
        <w:rPr>
          <w:rFonts w:hint="eastAsia" w:ascii="宋体" w:hAnsi="宋体" w:cs="宋体"/>
          <w:color w:val="000000" w:themeColor="text1"/>
          <w:kern w:val="0"/>
          <w:szCs w:val="21"/>
          <w:u w:val="single"/>
          <w14:textFill>
            <w14:solidFill>
              <w14:schemeClr w14:val="tx1"/>
            </w14:solidFill>
          </w14:textFill>
        </w:rPr>
        <w:t xml:space="preserve">    </w:t>
      </w:r>
    </w:p>
    <w:bookmarkEnd w:id="196"/>
    <w:p w14:paraId="6CDDB521">
      <w:pPr>
        <w:spacing w:line="440" w:lineRule="exact"/>
        <w:jc w:val="center"/>
        <w:outlineLvl w:val="2"/>
        <w:rPr>
          <w:rFonts w:hint="eastAsia" w:ascii="宋体" w:hAnsi="宋体" w:cs="宋体"/>
          <w:b/>
          <w:bCs/>
          <w:color w:val="000000" w:themeColor="text1"/>
          <w:sz w:val="28"/>
          <w:szCs w:val="28"/>
          <w14:textFill>
            <w14:solidFill>
              <w14:schemeClr w14:val="tx1"/>
            </w14:solidFill>
          </w14:textFill>
        </w:rPr>
      </w:pPr>
      <w:bookmarkStart w:id="197" w:name="_Toc10091"/>
      <w:bookmarkStart w:id="198" w:name="_Toc2791_WPSOffice_Level2"/>
      <w:r>
        <w:rPr>
          <w:rFonts w:hint="eastAsia" w:ascii="宋体" w:hAnsi="宋体" w:eastAsia="宋体" w:cs="宋体"/>
          <w:b/>
          <w:bCs/>
          <w:color w:val="000000" w:themeColor="text1"/>
          <w:sz w:val="30"/>
          <w:highlight w:val="none"/>
          <w:lang w:val="en-US" w:eastAsia="zh-CN"/>
          <w14:textFill>
            <w14:solidFill>
              <w14:schemeClr w14:val="tx1"/>
            </w14:solidFill>
          </w14:textFill>
        </w:rPr>
        <w:t>4</w:t>
      </w:r>
      <w:r>
        <w:rPr>
          <w:rFonts w:hint="eastAsia" w:ascii="宋体" w:hAnsi="宋体" w:eastAsia="宋体" w:cs="宋体"/>
          <w:b/>
          <w:bCs/>
          <w:color w:val="000000" w:themeColor="text1"/>
          <w:sz w:val="30"/>
          <w:highlight w:val="none"/>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技术要求偏离表</w:t>
      </w:r>
      <w:r>
        <w:rPr>
          <w:rFonts w:hint="eastAsia" w:ascii="宋体" w:hAnsi="宋体" w:eastAsia="宋体" w:cs="宋体"/>
          <w:b/>
          <w:bCs/>
          <w:color w:val="000000" w:themeColor="text1"/>
          <w:sz w:val="30"/>
          <w:highlight w:val="none"/>
          <w14:textFill>
            <w14:solidFill>
              <w14:schemeClr w14:val="tx1"/>
            </w14:solidFill>
          </w14:textFill>
        </w:rPr>
        <w:t>（格式）</w:t>
      </w:r>
      <w:bookmarkEnd w:id="197"/>
    </w:p>
    <w:tbl>
      <w:tblPr>
        <w:tblStyle w:val="50"/>
        <w:tblW w:w="87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9"/>
        <w:gridCol w:w="1574"/>
        <w:gridCol w:w="1538"/>
        <w:gridCol w:w="1538"/>
        <w:gridCol w:w="1539"/>
        <w:gridCol w:w="1539"/>
      </w:tblGrid>
      <w:tr w14:paraId="764D0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1049" w:type="dxa"/>
            <w:noWrap w:val="0"/>
            <w:vAlign w:val="center"/>
          </w:tcPr>
          <w:p w14:paraId="51222408">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1574" w:type="dxa"/>
            <w:noWrap w:val="0"/>
            <w:vAlign w:val="center"/>
          </w:tcPr>
          <w:p w14:paraId="77C1F7D4">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货物名称</w:t>
            </w:r>
          </w:p>
        </w:tc>
        <w:tc>
          <w:tcPr>
            <w:tcW w:w="1538" w:type="dxa"/>
            <w:noWrap w:val="0"/>
            <w:vAlign w:val="center"/>
          </w:tcPr>
          <w:p w14:paraId="684C4030">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bCs/>
                <w:color w:val="000000" w:themeColor="text1"/>
                <w:sz w:val="24"/>
                <w:szCs w:val="24"/>
                <w:highlight w:val="none"/>
                <w14:textFill>
                  <w14:solidFill>
                    <w14:schemeClr w14:val="tx1"/>
                  </w14:solidFill>
                </w14:textFill>
              </w:rPr>
              <w:t>要求规格</w:t>
            </w:r>
          </w:p>
        </w:tc>
        <w:tc>
          <w:tcPr>
            <w:tcW w:w="1538" w:type="dxa"/>
            <w:noWrap w:val="0"/>
            <w:vAlign w:val="center"/>
          </w:tcPr>
          <w:p w14:paraId="5763CDD6">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投标规格</w:t>
            </w:r>
          </w:p>
        </w:tc>
        <w:tc>
          <w:tcPr>
            <w:tcW w:w="1539" w:type="dxa"/>
            <w:noWrap w:val="0"/>
            <w:vAlign w:val="center"/>
          </w:tcPr>
          <w:p w14:paraId="1B9D4D81">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偏离</w:t>
            </w:r>
          </w:p>
        </w:tc>
        <w:tc>
          <w:tcPr>
            <w:tcW w:w="1539" w:type="dxa"/>
            <w:noWrap w:val="0"/>
            <w:vAlign w:val="center"/>
          </w:tcPr>
          <w:p w14:paraId="446D3A6A">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说明</w:t>
            </w:r>
          </w:p>
        </w:tc>
      </w:tr>
      <w:tr w14:paraId="26676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5" w:hRule="atLeast"/>
          <w:jc w:val="center"/>
        </w:trPr>
        <w:tc>
          <w:tcPr>
            <w:tcW w:w="1049" w:type="dxa"/>
            <w:noWrap w:val="0"/>
            <w:vAlign w:val="top"/>
          </w:tcPr>
          <w:p w14:paraId="629961EE">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74" w:type="dxa"/>
            <w:noWrap w:val="0"/>
            <w:vAlign w:val="top"/>
          </w:tcPr>
          <w:p w14:paraId="1301F15F">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3DF5A9A9">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6A00C07C">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2C387EE9">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如有正偏离需提供证明材料，证明材料附后(并注明页码)</w:t>
            </w:r>
          </w:p>
        </w:tc>
        <w:tc>
          <w:tcPr>
            <w:tcW w:w="1539" w:type="dxa"/>
            <w:noWrap w:val="0"/>
            <w:vAlign w:val="top"/>
          </w:tcPr>
          <w:p w14:paraId="08EA7F81">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r>
      <w:tr w14:paraId="7F932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1049" w:type="dxa"/>
            <w:noWrap w:val="0"/>
            <w:vAlign w:val="top"/>
          </w:tcPr>
          <w:p w14:paraId="31163930">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74" w:type="dxa"/>
            <w:noWrap w:val="0"/>
            <w:vAlign w:val="top"/>
          </w:tcPr>
          <w:p w14:paraId="24C5E25E">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71078FB7">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2D6A74C1">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08508315">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4946232F">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r>
      <w:tr w14:paraId="305F7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1049" w:type="dxa"/>
            <w:noWrap w:val="0"/>
            <w:vAlign w:val="top"/>
          </w:tcPr>
          <w:p w14:paraId="01BC2949">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74" w:type="dxa"/>
            <w:noWrap w:val="0"/>
            <w:vAlign w:val="top"/>
          </w:tcPr>
          <w:p w14:paraId="2F2F6583">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274AFA6F">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649EF6C3">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79AFA2EC">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50744425">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r>
      <w:tr w14:paraId="40B2C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1049" w:type="dxa"/>
            <w:noWrap w:val="0"/>
            <w:vAlign w:val="top"/>
          </w:tcPr>
          <w:p w14:paraId="6E7557E0">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74" w:type="dxa"/>
            <w:noWrap w:val="0"/>
            <w:vAlign w:val="top"/>
          </w:tcPr>
          <w:p w14:paraId="393AEF4A">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27C4316B">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0C43EE80">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4BEBB868">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46C478D5">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r>
      <w:tr w14:paraId="02D8D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1049" w:type="dxa"/>
            <w:noWrap w:val="0"/>
            <w:vAlign w:val="top"/>
          </w:tcPr>
          <w:p w14:paraId="3223D67C">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74" w:type="dxa"/>
            <w:noWrap w:val="0"/>
            <w:vAlign w:val="top"/>
          </w:tcPr>
          <w:p w14:paraId="0B48A62C">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3CC6FC54">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8" w:type="dxa"/>
            <w:noWrap w:val="0"/>
            <w:vAlign w:val="top"/>
          </w:tcPr>
          <w:p w14:paraId="7901148C">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01AD935D">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c>
          <w:tcPr>
            <w:tcW w:w="1539" w:type="dxa"/>
            <w:noWrap w:val="0"/>
            <w:vAlign w:val="top"/>
          </w:tcPr>
          <w:p w14:paraId="2DF0BF28">
            <w:pPr>
              <w:keepNext w:val="0"/>
              <w:keepLines w:val="0"/>
              <w:suppressLineNumbers w:val="0"/>
              <w:spacing w:before="0" w:beforeAutospacing="0" w:after="0" w:afterAutospacing="0"/>
              <w:ind w:left="0" w:right="0"/>
              <w:jc w:val="center"/>
              <w:rPr>
                <w:rFonts w:hint="eastAsia" w:ascii="仿宋" w:hAnsi="仿宋" w:eastAsia="仿宋" w:cs="仿宋"/>
                <w:b/>
                <w:bCs/>
                <w:color w:val="000000" w:themeColor="text1"/>
                <w:sz w:val="24"/>
                <w:szCs w:val="24"/>
                <w:highlight w:val="none"/>
                <w14:textFill>
                  <w14:solidFill>
                    <w14:schemeClr w14:val="tx1"/>
                  </w14:solidFill>
                </w14:textFill>
              </w:rPr>
            </w:pPr>
          </w:p>
        </w:tc>
      </w:tr>
    </w:tbl>
    <w:p w14:paraId="012375C5">
      <w:pPr>
        <w:spacing w:line="360" w:lineRule="auto"/>
        <w:ind w:firstLine="475" w:firstLineChars="198"/>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备注：投标人应根据其提供的货物，对照</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第</w:t>
      </w:r>
      <w:r>
        <w:rPr>
          <w:rFonts w:hint="eastAsia" w:ascii="仿宋" w:hAnsi="仿宋" w:eastAsia="仿宋" w:cs="仿宋"/>
          <w:color w:val="000000" w:themeColor="text1"/>
          <w:sz w:val="24"/>
          <w:szCs w:val="24"/>
          <w:highlight w:val="none"/>
          <w:lang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章“技术标准和要求”中的要求，有差异的，则在此表中列明实际响应的内容提要并加以说明，以便查对。本表包括所有的技术响应及差异。无差异说明表示完全响应</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未列明项视为完全响应，正偏离需附检测报告。</w:t>
      </w:r>
    </w:p>
    <w:p w14:paraId="2220F4B7">
      <w:pPr>
        <w:pStyle w:val="24"/>
        <w:tabs>
          <w:tab w:val="left" w:pos="5580"/>
        </w:tabs>
        <w:spacing w:line="360" w:lineRule="auto"/>
        <w:ind w:firstLine="3120" w:firstLineChars="1300"/>
        <w:rPr>
          <w:rFonts w:hint="eastAsia" w:ascii="仿宋" w:hAnsi="仿宋" w:eastAsia="仿宋" w:cs="仿宋"/>
          <w:color w:val="000000" w:themeColor="text1"/>
          <w:sz w:val="24"/>
          <w:highlight w:val="none"/>
          <w14:textFill>
            <w14:solidFill>
              <w14:schemeClr w14:val="tx1"/>
            </w14:solidFill>
          </w14:textFill>
        </w:rPr>
      </w:pPr>
    </w:p>
    <w:p w14:paraId="6B833F49">
      <w:pPr>
        <w:pStyle w:val="24"/>
        <w:tabs>
          <w:tab w:val="left" w:pos="5580"/>
        </w:tabs>
        <w:spacing w:line="360" w:lineRule="auto"/>
        <w:ind w:firstLine="3120" w:firstLineChars="1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投标人（盖章）：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2FFF3EB">
      <w:pPr>
        <w:pStyle w:val="24"/>
        <w:tabs>
          <w:tab w:val="left" w:pos="5580"/>
        </w:tabs>
        <w:spacing w:line="360" w:lineRule="auto"/>
        <w:ind w:firstLine="3120" w:firstLineChars="1300"/>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法定代表人或</w:t>
      </w:r>
      <w:r>
        <w:rPr>
          <w:rFonts w:hint="eastAsia" w:ascii="仿宋" w:hAnsi="仿宋" w:eastAsia="仿宋" w:cs="仿宋"/>
          <w:color w:val="000000" w:themeColor="text1"/>
          <w:kern w:val="0"/>
          <w:sz w:val="24"/>
          <w:szCs w:val="24"/>
          <w:highlight w:val="none"/>
          <w14:textFill>
            <w14:solidFill>
              <w14:schemeClr w14:val="tx1"/>
            </w14:solidFill>
          </w14:textFill>
        </w:rPr>
        <w:t>委托代理人</w:t>
      </w:r>
      <w:r>
        <w:rPr>
          <w:rFonts w:hint="eastAsia" w:ascii="仿宋" w:hAnsi="仿宋" w:eastAsia="仿宋" w:cs="仿宋"/>
          <w:color w:val="000000" w:themeColor="text1"/>
          <w:sz w:val="24"/>
          <w:highlight w:val="none"/>
          <w:lang w:eastAsia="zh-CN"/>
          <w14:textFill>
            <w14:solidFill>
              <w14:schemeClr w14:val="tx1"/>
            </w14:solidFill>
          </w14:textFill>
        </w:rPr>
        <w:t>（签字或盖章）</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p>
    <w:p w14:paraId="23CBBCCA">
      <w:pPr>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230881B3">
      <w:pPr>
        <w:pStyle w:val="178"/>
        <w:spacing w:line="440" w:lineRule="exact"/>
        <w:ind w:left="0" w:leftChars="0" w:firstLine="0" w:firstLineChars="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填写说明：</w:t>
      </w:r>
    </w:p>
    <w:p w14:paraId="64995E8B">
      <w:pPr>
        <w:spacing w:line="440" w:lineRule="exact"/>
        <w:ind w:firstLine="422" w:firstLineChars="20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1. </w:t>
      </w:r>
      <w:r>
        <w:rPr>
          <w:rFonts w:hint="eastAsia" w:ascii="宋体" w:hAnsi="宋体" w:cs="宋体"/>
          <w:b/>
          <w:bCs/>
          <w:color w:val="000000" w:themeColor="text1"/>
          <w:szCs w:val="21"/>
          <w:lang w:eastAsia="zh-CN"/>
          <w14:textFill>
            <w14:solidFill>
              <w14:schemeClr w14:val="tx1"/>
            </w14:solidFill>
          </w14:textFill>
        </w:rPr>
        <w:t>响应文件</w:t>
      </w:r>
      <w:r>
        <w:rPr>
          <w:rFonts w:hint="eastAsia" w:ascii="宋体" w:hAnsi="宋体" w:cs="宋体"/>
          <w:b/>
          <w:bCs/>
          <w:color w:val="000000" w:themeColor="text1"/>
          <w:szCs w:val="21"/>
          <w14:textFill>
            <w14:solidFill>
              <w14:schemeClr w14:val="tx1"/>
            </w14:solidFill>
          </w14:textFill>
        </w:rPr>
        <w:t>中的技术指标与招标文件中技术指标的要求应逐条列示在本表之中。</w:t>
      </w:r>
    </w:p>
    <w:p w14:paraId="4A342D54">
      <w:pPr>
        <w:spacing w:line="440" w:lineRule="exact"/>
        <w:ind w:firstLine="422" w:firstLineChars="20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2. 参数不允许负偏离。</w:t>
      </w:r>
    </w:p>
    <w:p w14:paraId="5742462F">
      <w:pPr>
        <w:spacing w:line="440" w:lineRule="exact"/>
        <w:ind w:firstLine="422" w:firstLineChars="20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3. 偏离说明要详细描述偏离的情况。</w:t>
      </w:r>
    </w:p>
    <w:p w14:paraId="0CF0137E">
      <w:pPr>
        <w:spacing w:line="440" w:lineRule="exact"/>
        <w:ind w:firstLine="422" w:firstLineChars="20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4. 证明资料请填写“见本</w:t>
      </w:r>
      <w:r>
        <w:rPr>
          <w:rFonts w:hint="eastAsia" w:ascii="宋体" w:hAnsi="宋体" w:cs="宋体"/>
          <w:b/>
          <w:bCs/>
          <w:color w:val="000000" w:themeColor="text1"/>
          <w:szCs w:val="21"/>
          <w:lang w:eastAsia="zh-CN"/>
          <w14:textFill>
            <w14:solidFill>
              <w14:schemeClr w14:val="tx1"/>
            </w14:solidFill>
          </w14:textFill>
        </w:rPr>
        <w:t>响应文件</w:t>
      </w:r>
      <w:r>
        <w:rPr>
          <w:rFonts w:hint="eastAsia" w:ascii="宋体" w:hAnsi="宋体" w:cs="宋体"/>
          <w:b/>
          <w:bCs/>
          <w:color w:val="000000" w:themeColor="text1"/>
          <w:szCs w:val="21"/>
          <w14:textFill>
            <w14:solidFill>
              <w14:schemeClr w14:val="tx1"/>
            </w14:solidFill>
          </w14:textFill>
        </w:rPr>
        <w:t>第</w:t>
      </w:r>
      <w:r>
        <w:rPr>
          <w:rFonts w:hint="eastAsia" w:ascii="宋体" w:hAnsi="宋体" w:cs="宋体"/>
          <w:b/>
          <w:bCs/>
          <w:color w:val="000000" w:themeColor="text1"/>
          <w:szCs w:val="21"/>
          <w:u w:val="single"/>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页，第</w:t>
      </w:r>
      <w:r>
        <w:rPr>
          <w:rFonts w:hint="eastAsia" w:ascii="宋体" w:hAnsi="宋体" w:cs="宋体"/>
          <w:b/>
          <w:bCs/>
          <w:color w:val="000000" w:themeColor="text1"/>
          <w:szCs w:val="21"/>
          <w:u w:val="single"/>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行”字样。</w:t>
      </w:r>
    </w:p>
    <w:p w14:paraId="4C8122BB">
      <w:pPr>
        <w:pStyle w:val="24"/>
        <w:shd w:val="clear" w:color="auto" w:fill="auto"/>
        <w:spacing w:line="400" w:lineRule="exact"/>
        <w:ind w:left="0" w:leftChars="0" w:right="206" w:rightChars="98" w:firstLine="0" w:firstLineChars="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5. 此表必须填写，否则影响政府采购评审专家的评标，其后果自负。</w:t>
      </w:r>
    </w:p>
    <w:p w14:paraId="26797732">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themeColor="text1"/>
          <w:sz w:val="32"/>
          <w:szCs w:val="20"/>
          <w:highlight w:val="none"/>
          <w14:textFill>
            <w14:solidFill>
              <w14:schemeClr w14:val="tx1"/>
            </w14:solidFill>
          </w14:textFill>
        </w:rPr>
      </w:pPr>
    </w:p>
    <w:p w14:paraId="2EC97EC0">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themeColor="text1"/>
          <w:sz w:val="32"/>
          <w:szCs w:val="20"/>
          <w:highlight w:val="none"/>
          <w14:textFill>
            <w14:solidFill>
              <w14:schemeClr w14:val="tx1"/>
            </w14:solidFill>
          </w14:textFill>
        </w:rPr>
      </w:pPr>
    </w:p>
    <w:p w14:paraId="519E0916">
      <w:pPr>
        <w:pStyle w:val="38"/>
        <w:rPr>
          <w:rFonts w:hint="eastAsia" w:ascii="宋体" w:hAnsi="宋体" w:eastAsia="宋体" w:cs="宋体"/>
          <w:b/>
          <w:color w:val="000000" w:themeColor="text1"/>
          <w:sz w:val="32"/>
          <w:szCs w:val="20"/>
          <w:highlight w:val="none"/>
          <w14:textFill>
            <w14:solidFill>
              <w14:schemeClr w14:val="tx1"/>
            </w14:solidFill>
          </w14:textFill>
        </w:rPr>
      </w:pPr>
    </w:p>
    <w:p w14:paraId="692ED0D5">
      <w:pPr>
        <w:rPr>
          <w:rFonts w:hint="eastAsia" w:ascii="宋体" w:hAnsi="宋体" w:eastAsia="宋体" w:cs="宋体"/>
          <w:b/>
          <w:color w:val="000000" w:themeColor="text1"/>
          <w:sz w:val="32"/>
          <w:szCs w:val="20"/>
          <w:highlight w:val="none"/>
          <w14:textFill>
            <w14:solidFill>
              <w14:schemeClr w14:val="tx1"/>
            </w14:solidFill>
          </w14:textFill>
        </w:rPr>
      </w:pPr>
    </w:p>
    <w:p w14:paraId="1434F6EE">
      <w:pPr>
        <w:pStyle w:val="38"/>
        <w:rPr>
          <w:rFonts w:hint="eastAsia"/>
          <w:color w:val="000000" w:themeColor="text1"/>
          <w14:textFill>
            <w14:solidFill>
              <w14:schemeClr w14:val="tx1"/>
            </w14:solidFill>
          </w14:textFill>
        </w:rPr>
      </w:pPr>
    </w:p>
    <w:p w14:paraId="19A1D4C0">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themeColor="text1"/>
          <w:sz w:val="32"/>
          <w:szCs w:val="20"/>
          <w:highlight w:val="none"/>
          <w14:textFill>
            <w14:solidFill>
              <w14:schemeClr w14:val="tx1"/>
            </w14:solidFill>
          </w14:textFill>
        </w:rPr>
      </w:pPr>
    </w:p>
    <w:p w14:paraId="684DD2EE">
      <w:pPr>
        <w:pStyle w:val="4"/>
        <w:rPr>
          <w:rFonts w:hint="eastAsia"/>
          <w:color w:val="000000" w:themeColor="text1"/>
          <w14:textFill>
            <w14:solidFill>
              <w14:schemeClr w14:val="tx1"/>
            </w14:solidFill>
          </w14:textFill>
        </w:rPr>
      </w:pPr>
    </w:p>
    <w:p w14:paraId="499D5B6C">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themeColor="text1"/>
          <w:sz w:val="32"/>
          <w:szCs w:val="20"/>
          <w:highlight w:val="none"/>
          <w14:textFill>
            <w14:solidFill>
              <w14:schemeClr w14:val="tx1"/>
            </w14:solidFill>
          </w14:textFill>
        </w:rPr>
      </w:pPr>
    </w:p>
    <w:p w14:paraId="029EB5A1">
      <w:pPr>
        <w:pStyle w:val="13"/>
        <w:spacing w:line="240" w:lineRule="auto"/>
        <w:ind w:left="0" w:leftChars="0" w:firstLine="2409" w:firstLineChars="1000"/>
        <w:jc w:val="both"/>
        <w:rPr>
          <w:rFonts w:hint="eastAsia" w:ascii="宋体" w:cs="宋体"/>
          <w:b/>
          <w:color w:val="000000" w:themeColor="text1"/>
          <w:sz w:val="24"/>
          <w:szCs w:val="24"/>
          <w:lang w:val="en-US" w:eastAsia="zh-CN" w:bidi="ar"/>
          <w14:textFill>
            <w14:solidFill>
              <w14:schemeClr w14:val="tx1"/>
            </w14:solidFill>
          </w14:textFill>
        </w:rPr>
      </w:pPr>
    </w:p>
    <w:p w14:paraId="231007A9">
      <w:pPr>
        <w:pStyle w:val="13"/>
        <w:spacing w:line="240" w:lineRule="auto"/>
        <w:ind w:left="0" w:leftChars="0" w:firstLine="2811" w:firstLineChars="1000"/>
        <w:jc w:val="both"/>
        <w:outlineLvl w:val="2"/>
        <w:rPr>
          <w:rFonts w:hint="eastAsia"/>
          <w:color w:val="000000" w:themeColor="text1"/>
          <w:sz w:val="24"/>
          <w:szCs w:val="24"/>
          <w14:textFill>
            <w14:solidFill>
              <w14:schemeClr w14:val="tx1"/>
            </w14:solidFill>
          </w14:textFill>
        </w:rPr>
      </w:pPr>
      <w:bookmarkStart w:id="199" w:name="_Toc19878"/>
      <w:r>
        <w:rPr>
          <w:rFonts w:hint="eastAsia" w:ascii="宋体" w:cs="宋体"/>
          <w:b/>
          <w:color w:val="000000" w:themeColor="text1"/>
          <w:sz w:val="28"/>
          <w:szCs w:val="28"/>
          <w:lang w:val="en-US" w:eastAsia="zh-CN" w:bidi="ar"/>
          <w14:textFill>
            <w14:solidFill>
              <w14:schemeClr w14:val="tx1"/>
            </w14:solidFill>
          </w14:textFill>
        </w:rPr>
        <w:t>5</w:t>
      </w:r>
      <w:r>
        <w:rPr>
          <w:rFonts w:hint="eastAsia" w:ascii="宋体" w:cs="宋体"/>
          <w:b/>
          <w:color w:val="000000" w:themeColor="text1"/>
          <w:sz w:val="28"/>
          <w:szCs w:val="28"/>
          <w:lang w:bidi="ar"/>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商务条款偏离表</w:t>
      </w:r>
      <w:bookmarkEnd w:id="199"/>
      <w:r>
        <w:rPr>
          <w:rFonts w:hint="eastAsia" w:ascii="宋体" w:hAnsi="宋体" w:cs="宋体"/>
          <w:b/>
          <w:bCs/>
          <w:color w:val="000000" w:themeColor="text1"/>
          <w:sz w:val="24"/>
          <w:szCs w:val="24"/>
          <w14:textFill>
            <w14:solidFill>
              <w14:schemeClr w14:val="tx1"/>
            </w14:solidFill>
          </w14:textFill>
        </w:rPr>
        <w:t xml:space="preserve">    </w:t>
      </w:r>
    </w:p>
    <w:p w14:paraId="792BA6B5">
      <w:pPr>
        <w:pStyle w:val="24"/>
        <w:shd w:val="clear" w:color="auto" w:fill="auto"/>
        <w:spacing w:line="240" w:lineRule="atLeast"/>
        <w:ind w:left="1080" w:leftChars="257" w:hanging="540"/>
        <w:rPr>
          <w:rFonts w:hint="eastAsia" w:ascii="宋体" w:hAnsi="宋体" w:eastAsia="宋体" w:cs="宋体"/>
          <w:color w:val="000000" w:themeColor="text1"/>
          <w:sz w:val="22"/>
          <w:szCs w:val="18"/>
          <w:highlight w:val="none"/>
          <w14:textFill>
            <w14:solidFill>
              <w14:schemeClr w14:val="tx1"/>
            </w14:solidFill>
          </w14:textFill>
        </w:rPr>
      </w:pPr>
      <w:r>
        <w:rPr>
          <w:rFonts w:hint="eastAsia" w:ascii="宋体" w:hAnsi="宋体" w:eastAsia="宋体" w:cs="宋体"/>
          <w:color w:val="000000" w:themeColor="text1"/>
          <w:sz w:val="22"/>
          <w:szCs w:val="18"/>
          <w:highlight w:val="none"/>
          <w14:textFill>
            <w14:solidFill>
              <w14:schemeClr w14:val="tx1"/>
            </w14:solidFill>
          </w14:textFill>
        </w:rPr>
        <w:t xml:space="preserve">项目名称:                      招标编号:    </w:t>
      </w:r>
      <w:r>
        <w:rPr>
          <w:rFonts w:hint="eastAsia" w:hAnsi="宋体" w:eastAsia="宋体" w:cs="宋体"/>
          <w:color w:val="000000" w:themeColor="text1"/>
          <w:sz w:val="22"/>
          <w:szCs w:val="1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2"/>
          <w:szCs w:val="18"/>
          <w:highlight w:val="none"/>
          <w14:textFill>
            <w14:solidFill>
              <w14:schemeClr w14:val="tx1"/>
            </w14:solidFill>
          </w14:textFill>
        </w:rPr>
        <w:t xml:space="preserve">      包号:</w:t>
      </w:r>
    </w:p>
    <w:p w14:paraId="33B9E123">
      <w:pPr>
        <w:pStyle w:val="24"/>
        <w:shd w:val="clear" w:color="auto" w:fill="auto"/>
        <w:spacing w:line="240" w:lineRule="atLeast"/>
        <w:ind w:left="1080" w:leftChars="257" w:hanging="540"/>
        <w:rPr>
          <w:rFonts w:hint="eastAsia" w:ascii="宋体" w:hAnsi="宋体" w:eastAsia="宋体" w:cs="宋体"/>
          <w:color w:val="000000" w:themeColor="text1"/>
          <w:sz w:val="22"/>
          <w:szCs w:val="18"/>
          <w:highlight w:val="none"/>
          <w14:textFill>
            <w14:solidFill>
              <w14:schemeClr w14:val="tx1"/>
            </w14:solidFill>
          </w14:textFill>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882"/>
        <w:gridCol w:w="2882"/>
        <w:gridCol w:w="1029"/>
      </w:tblGrid>
      <w:tr w14:paraId="24CB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1B397637">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r>
              <w:rPr>
                <w:rFonts w:hint="eastAsia" w:ascii="宋体" w:hAnsi="宋体" w:eastAsia="宋体" w:cs="宋体"/>
                <w:color w:val="000000" w:themeColor="text1"/>
                <w:sz w:val="22"/>
                <w:szCs w:val="18"/>
                <w:highlight w:val="none"/>
                <w:lang w:val="en-US" w:eastAsia="zh-CN"/>
                <w14:textFill>
                  <w14:solidFill>
                    <w14:schemeClr w14:val="tx1"/>
                  </w14:solidFill>
                </w14:textFill>
              </w:rPr>
              <w:t>序号</w:t>
            </w:r>
          </w:p>
        </w:tc>
        <w:tc>
          <w:tcPr>
            <w:tcW w:w="2882" w:type="dxa"/>
            <w:noWrap w:val="0"/>
            <w:vAlign w:val="top"/>
          </w:tcPr>
          <w:p w14:paraId="15B93467">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r>
              <w:rPr>
                <w:rFonts w:hint="eastAsia" w:hAnsi="宋体" w:cs="宋体"/>
                <w:color w:val="000000" w:themeColor="text1"/>
                <w:sz w:val="22"/>
                <w:szCs w:val="18"/>
                <w:highlight w:val="none"/>
                <w:lang w:val="en-US" w:eastAsia="zh-CN"/>
                <w14:textFill>
                  <w14:solidFill>
                    <w14:schemeClr w14:val="tx1"/>
                  </w14:solidFill>
                </w14:textFill>
              </w:rPr>
              <w:t>招标</w:t>
            </w:r>
            <w:r>
              <w:rPr>
                <w:rFonts w:hint="eastAsia" w:hAnsi="宋体" w:eastAsia="宋体" w:cs="宋体"/>
                <w:color w:val="000000" w:themeColor="text1"/>
                <w:sz w:val="22"/>
                <w:szCs w:val="18"/>
                <w:highlight w:val="none"/>
                <w:lang w:val="en-US" w:eastAsia="zh-CN"/>
                <w14:textFill>
                  <w14:solidFill>
                    <w14:schemeClr w14:val="tx1"/>
                  </w14:solidFill>
                </w14:textFill>
              </w:rPr>
              <w:t>文件</w:t>
            </w:r>
            <w:r>
              <w:rPr>
                <w:rFonts w:hint="eastAsia" w:ascii="宋体" w:hAnsi="宋体" w:eastAsia="宋体" w:cs="宋体"/>
                <w:color w:val="000000" w:themeColor="text1"/>
                <w:sz w:val="22"/>
                <w:szCs w:val="18"/>
                <w:highlight w:val="none"/>
                <w:lang w:val="en-US" w:eastAsia="zh-CN"/>
                <w14:textFill>
                  <w14:solidFill>
                    <w14:schemeClr w14:val="tx1"/>
                  </w14:solidFill>
                </w14:textFill>
              </w:rPr>
              <w:t>的商务条款</w:t>
            </w:r>
          </w:p>
        </w:tc>
        <w:tc>
          <w:tcPr>
            <w:tcW w:w="2882" w:type="dxa"/>
            <w:noWrap w:val="0"/>
            <w:vAlign w:val="top"/>
          </w:tcPr>
          <w:p w14:paraId="09696CE6">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r>
              <w:rPr>
                <w:rFonts w:hint="eastAsia" w:ascii="宋体" w:hAnsi="宋体" w:eastAsia="宋体" w:cs="宋体"/>
                <w:color w:val="000000" w:themeColor="text1"/>
                <w:sz w:val="22"/>
                <w:szCs w:val="18"/>
                <w:highlight w:val="none"/>
                <w:lang w:val="en-US" w:eastAsia="zh-CN"/>
                <w14:textFill>
                  <w14:solidFill>
                    <w14:schemeClr w14:val="tx1"/>
                  </w14:solidFill>
                </w14:textFill>
              </w:rPr>
              <w:t>投标文件的商务条款</w:t>
            </w:r>
          </w:p>
        </w:tc>
        <w:tc>
          <w:tcPr>
            <w:tcW w:w="1029" w:type="dxa"/>
            <w:noWrap w:val="0"/>
            <w:vAlign w:val="top"/>
          </w:tcPr>
          <w:p w14:paraId="5EDA47AC">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r>
              <w:rPr>
                <w:rFonts w:hint="eastAsia" w:ascii="宋体" w:hAnsi="宋体" w:eastAsia="宋体" w:cs="宋体"/>
                <w:color w:val="000000" w:themeColor="text1"/>
                <w:sz w:val="22"/>
                <w:szCs w:val="18"/>
                <w:highlight w:val="none"/>
                <w:lang w:val="en-US" w:eastAsia="zh-CN"/>
                <w14:textFill>
                  <w14:solidFill>
                    <w14:schemeClr w14:val="tx1"/>
                  </w14:solidFill>
                </w14:textFill>
              </w:rPr>
              <w:t>说明</w:t>
            </w:r>
          </w:p>
        </w:tc>
      </w:tr>
      <w:tr w14:paraId="1592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3531061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760AEFE1">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7211D0A5">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1029" w:type="dxa"/>
            <w:noWrap w:val="0"/>
            <w:vAlign w:val="top"/>
          </w:tcPr>
          <w:p w14:paraId="5D188DE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r>
      <w:tr w14:paraId="6C10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180517E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13FC04B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0850B7B3">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1029" w:type="dxa"/>
            <w:noWrap w:val="0"/>
            <w:vAlign w:val="top"/>
          </w:tcPr>
          <w:p w14:paraId="55A3EA90">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r>
      <w:tr w14:paraId="698E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047C67D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5AFDF9C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4BA966D3">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1029" w:type="dxa"/>
            <w:noWrap w:val="0"/>
            <w:vAlign w:val="top"/>
          </w:tcPr>
          <w:p w14:paraId="4521AD8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r>
      <w:tr w14:paraId="57C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2E64A2E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3FA8A78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2882" w:type="dxa"/>
            <w:noWrap w:val="0"/>
            <w:vAlign w:val="top"/>
          </w:tcPr>
          <w:p w14:paraId="16D2FD52">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c>
          <w:tcPr>
            <w:tcW w:w="1029" w:type="dxa"/>
            <w:noWrap w:val="0"/>
            <w:vAlign w:val="top"/>
          </w:tcPr>
          <w:p w14:paraId="29C64FE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2"/>
                <w:szCs w:val="18"/>
                <w:highlight w:val="none"/>
                <w:lang w:val="en-US" w:eastAsia="zh-CN"/>
                <w14:textFill>
                  <w14:solidFill>
                    <w14:schemeClr w14:val="tx1"/>
                  </w14:solidFill>
                </w14:textFill>
              </w:rPr>
            </w:pPr>
          </w:p>
        </w:tc>
      </w:tr>
      <w:tr w14:paraId="16E8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1C009F2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50E1A13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0D164F7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35E5FCA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53E6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0EEFF34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D04E81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892FAE2">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0F553B8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1BF3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7EEE0C3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26E8A8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D526C1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40348EC5">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522F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7B388D4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3BD57EE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7F44E01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1F9FA5E4">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4C31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6FFADBF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65E6D0E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1631379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576CA995">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003F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1DD07E00">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68F7078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3AA066A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5DBC80B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1E8E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5C8D8E9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357675F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444E982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6A27794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3ED6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7EB4813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042FD16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B3515E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43F169C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2971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5D2E5FC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51F4A52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7052E82">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009F5B2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6DA6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13CFDA0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0DC5B42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59342242">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5E75D97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2AB7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84" w:type="dxa"/>
            <w:noWrap w:val="0"/>
            <w:vAlign w:val="top"/>
          </w:tcPr>
          <w:p w14:paraId="44D3B20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7562649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2882" w:type="dxa"/>
            <w:noWrap w:val="0"/>
            <w:vAlign w:val="top"/>
          </w:tcPr>
          <w:p w14:paraId="2E02383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029" w:type="dxa"/>
            <w:noWrap w:val="0"/>
            <w:vAlign w:val="top"/>
          </w:tcPr>
          <w:p w14:paraId="242E284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000000" w:themeColor="text1"/>
                <w:sz w:val="24"/>
                <w:highlight w:val="none"/>
                <w:lang w:val="en-US" w:eastAsia="zh-CN"/>
                <w14:textFill>
                  <w14:solidFill>
                    <w14:schemeClr w14:val="tx1"/>
                  </w14:solidFill>
                </w14:textFill>
              </w:rPr>
            </w:pPr>
          </w:p>
        </w:tc>
      </w:tr>
    </w:tbl>
    <w:p w14:paraId="7F389F2D">
      <w:pPr>
        <w:pStyle w:val="24"/>
        <w:shd w:val="clear" w:color="auto" w:fill="auto"/>
        <w:spacing w:line="240" w:lineRule="atLeast"/>
        <w:ind w:left="1080" w:leftChars="257" w:hanging="540"/>
        <w:rPr>
          <w:rFonts w:hint="eastAsia" w:ascii="宋体" w:hAnsi="宋体" w:eastAsia="宋体" w:cs="宋体"/>
          <w:color w:val="000000" w:themeColor="text1"/>
          <w:sz w:val="24"/>
          <w:highlight w:val="none"/>
          <w14:textFill>
            <w14:solidFill>
              <w14:schemeClr w14:val="tx1"/>
            </w14:solidFill>
          </w14:textFill>
        </w:rPr>
      </w:pPr>
    </w:p>
    <w:p w14:paraId="197E33CB">
      <w:pPr>
        <w:pStyle w:val="24"/>
        <w:shd w:val="clear" w:color="auto" w:fill="auto"/>
        <w:spacing w:line="240" w:lineRule="atLeast"/>
        <w:ind w:left="1080" w:leftChars="257" w:hanging="540"/>
        <w:rPr>
          <w:rFonts w:hint="eastAsia" w:ascii="宋体" w:hAnsi="宋体" w:eastAsia="宋体" w:cs="宋体"/>
          <w:color w:val="000000" w:themeColor="text1"/>
          <w:sz w:val="24"/>
          <w:highlight w:val="none"/>
          <w14:textFill>
            <w14:solidFill>
              <w14:schemeClr w14:val="tx1"/>
            </w14:solidFill>
          </w14:textFill>
        </w:rPr>
      </w:pPr>
    </w:p>
    <w:p w14:paraId="323EB75B">
      <w:pPr>
        <w:pStyle w:val="24"/>
        <w:shd w:val="clear" w:color="auto" w:fill="auto"/>
        <w:spacing w:line="240" w:lineRule="atLeast"/>
        <w:ind w:left="1080" w:leftChars="257" w:hanging="540"/>
        <w:rPr>
          <w:rFonts w:hint="eastAsia" w:ascii="宋体" w:hAnsi="宋体" w:eastAsia="宋体" w:cs="宋体"/>
          <w:color w:val="000000" w:themeColor="text1"/>
          <w:sz w:val="22"/>
          <w:szCs w:val="18"/>
          <w:highlight w:val="none"/>
          <w14:textFill>
            <w14:solidFill>
              <w14:schemeClr w14:val="tx1"/>
            </w14:solidFill>
          </w14:textFill>
        </w:rPr>
      </w:pPr>
      <w:r>
        <w:rPr>
          <w:rFonts w:hint="eastAsia" w:ascii="宋体" w:hAnsi="宋体" w:eastAsia="宋体" w:cs="宋体"/>
          <w:color w:val="000000" w:themeColor="text1"/>
          <w:sz w:val="22"/>
          <w:szCs w:val="18"/>
          <w:highlight w:val="none"/>
          <w14:textFill>
            <w14:solidFill>
              <w14:schemeClr w14:val="tx1"/>
            </w14:solidFill>
          </w14:textFill>
        </w:rPr>
        <w:t>法定代表人或其委托代理人签字:</w:t>
      </w:r>
      <w:r>
        <w:rPr>
          <w:rFonts w:hint="eastAsia" w:ascii="宋体" w:hAnsi="宋体" w:eastAsia="宋体" w:cs="宋体"/>
          <w:color w:val="000000" w:themeColor="text1"/>
          <w:sz w:val="22"/>
          <w:szCs w:val="18"/>
          <w:highlight w:val="none"/>
          <w:u w:val="single"/>
          <w14:textFill>
            <w14:solidFill>
              <w14:schemeClr w14:val="tx1"/>
            </w14:solidFill>
          </w14:textFill>
        </w:rPr>
        <w:t xml:space="preserve"> </w:t>
      </w:r>
      <w:r>
        <w:rPr>
          <w:rFonts w:hint="eastAsia" w:ascii="宋体" w:hAnsi="宋体" w:eastAsia="宋体" w:cs="宋体"/>
          <w:color w:val="000000" w:themeColor="text1"/>
          <w:sz w:val="22"/>
          <w:szCs w:val="18"/>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2"/>
          <w:szCs w:val="18"/>
          <w:highlight w:val="none"/>
          <w:u w:val="single"/>
          <w14:textFill>
            <w14:solidFill>
              <w14:schemeClr w14:val="tx1"/>
            </w14:solidFill>
          </w14:textFill>
        </w:rPr>
        <w:tab/>
      </w:r>
      <w:r>
        <w:rPr>
          <w:rFonts w:hint="eastAsia" w:ascii="宋体" w:hAnsi="宋体" w:eastAsia="宋体" w:cs="宋体"/>
          <w:color w:val="000000" w:themeColor="text1"/>
          <w:sz w:val="22"/>
          <w:szCs w:val="18"/>
          <w:highlight w:val="none"/>
          <w:u w:val="single"/>
          <w14:textFill>
            <w14:solidFill>
              <w14:schemeClr w14:val="tx1"/>
            </w14:solidFill>
          </w14:textFill>
        </w:rPr>
        <w:t xml:space="preserve">                 </w:t>
      </w:r>
    </w:p>
    <w:p w14:paraId="0CAF8BE9">
      <w:pPr>
        <w:pStyle w:val="24"/>
        <w:shd w:val="clear" w:color="auto" w:fill="auto"/>
        <w:tabs>
          <w:tab w:val="left" w:pos="5370"/>
        </w:tabs>
        <w:spacing w:line="240" w:lineRule="atLeast"/>
        <w:ind w:left="1080" w:leftChars="257" w:hanging="540"/>
        <w:rPr>
          <w:rFonts w:hint="eastAsia" w:ascii="宋体" w:hAnsi="宋体" w:eastAsia="宋体" w:cs="宋体"/>
          <w:color w:val="000000" w:themeColor="text1"/>
          <w:sz w:val="22"/>
          <w:szCs w:val="18"/>
          <w:highlight w:val="none"/>
          <w:u w:val="single"/>
          <w14:textFill>
            <w14:solidFill>
              <w14:schemeClr w14:val="tx1"/>
            </w14:solidFill>
          </w14:textFill>
        </w:rPr>
      </w:pPr>
      <w:r>
        <w:rPr>
          <w:rFonts w:hint="eastAsia" w:ascii="宋体" w:hAnsi="宋体" w:eastAsia="宋体" w:cs="宋体"/>
          <w:color w:val="000000" w:themeColor="text1"/>
          <w:sz w:val="22"/>
          <w:szCs w:val="18"/>
          <w:highlight w:val="none"/>
          <w14:textFill>
            <w14:solidFill>
              <w14:schemeClr w14:val="tx1"/>
            </w14:solidFill>
          </w14:textFill>
        </w:rPr>
        <w:t>投标人(盖单位章):</w:t>
      </w:r>
      <w:r>
        <w:rPr>
          <w:rFonts w:hint="eastAsia" w:ascii="宋体" w:hAnsi="宋体" w:eastAsia="宋体" w:cs="宋体"/>
          <w:color w:val="000000" w:themeColor="text1"/>
          <w:sz w:val="22"/>
          <w:szCs w:val="18"/>
          <w:highlight w:val="none"/>
          <w:u w:val="single"/>
          <w14:textFill>
            <w14:solidFill>
              <w14:schemeClr w14:val="tx1"/>
            </w14:solidFill>
          </w14:textFill>
        </w:rPr>
        <w:tab/>
      </w:r>
    </w:p>
    <w:p w14:paraId="2780E988">
      <w:pPr>
        <w:pStyle w:val="25"/>
        <w:rPr>
          <w:rFonts w:hint="eastAsia" w:ascii="宋体" w:hAnsi="宋体" w:eastAsia="宋体" w:cs="宋体"/>
          <w:color w:val="000000" w:themeColor="text1"/>
          <w:sz w:val="22"/>
          <w:szCs w:val="18"/>
          <w:highlight w:val="none"/>
          <w:u w:val="single"/>
          <w14:textFill>
            <w14:solidFill>
              <w14:schemeClr w14:val="tx1"/>
            </w14:solidFill>
          </w14:textFill>
        </w:rPr>
      </w:pPr>
    </w:p>
    <w:p w14:paraId="05EE8749">
      <w:pPr>
        <w:rPr>
          <w:rFonts w:hint="eastAsia" w:ascii="宋体" w:hAnsi="宋体" w:eastAsia="宋体" w:cs="宋体"/>
          <w:color w:val="000000" w:themeColor="text1"/>
          <w:sz w:val="22"/>
          <w:szCs w:val="18"/>
          <w:highlight w:val="none"/>
          <w:u w:val="single"/>
          <w14:textFill>
            <w14:solidFill>
              <w14:schemeClr w14:val="tx1"/>
            </w14:solidFill>
          </w14:textFill>
        </w:rPr>
      </w:pPr>
    </w:p>
    <w:p w14:paraId="718986D9">
      <w:pPr>
        <w:pStyle w:val="4"/>
        <w:outlineLvl w:val="9"/>
        <w:rPr>
          <w:rFonts w:hint="eastAsia" w:ascii="宋体" w:hAnsi="宋体" w:eastAsia="宋体" w:cs="宋体"/>
          <w:color w:val="000000" w:themeColor="text1"/>
          <w:sz w:val="22"/>
          <w:szCs w:val="18"/>
          <w:highlight w:val="none"/>
          <w:u w:val="single"/>
          <w14:textFill>
            <w14:solidFill>
              <w14:schemeClr w14:val="tx1"/>
            </w14:solidFill>
          </w14:textFill>
        </w:rPr>
      </w:pPr>
    </w:p>
    <w:p w14:paraId="0D5A02AA">
      <w:pPr>
        <w:pStyle w:val="4"/>
        <w:outlineLvl w:val="9"/>
        <w:rPr>
          <w:rFonts w:hint="eastAsia"/>
          <w:color w:val="000000" w:themeColor="text1"/>
          <w14:textFill>
            <w14:solidFill>
              <w14:schemeClr w14:val="tx1"/>
            </w14:solidFill>
          </w14:textFill>
        </w:rPr>
      </w:pPr>
    </w:p>
    <w:p w14:paraId="5811A129">
      <w:pPr>
        <w:pStyle w:val="25"/>
        <w:ind w:left="853" w:leftChars="296" w:hanging="231" w:hangingChars="11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注:若有偏离,请将具体偏离条款在“偏离”一栏中详细说明;若无偏离,请在“偏离”一栏中标注“无”字样。</w:t>
      </w:r>
    </w:p>
    <w:p w14:paraId="63D8BDEC">
      <w:pPr>
        <w:pStyle w:val="191"/>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8422CE6">
      <w:pPr>
        <w:pStyle w:val="191"/>
        <w:keepNext w:val="0"/>
        <w:keepLines w:val="0"/>
        <w:widowControl w:val="0"/>
        <w:shd w:val="clear" w:color="auto" w:fill="auto"/>
        <w:bidi w:val="0"/>
        <w:spacing w:before="0" w:after="0" w:line="240" w:lineRule="auto"/>
        <w:ind w:left="0" w:right="0" w:firstLine="420"/>
        <w:jc w:val="center"/>
        <w:rPr>
          <w:rFonts w:hint="eastAsia" w:ascii="仿宋" w:hAnsi="仿宋" w:eastAsia="仿宋" w:cs="仿宋"/>
          <w:b/>
          <w:bCs/>
          <w:color w:val="000000" w:themeColor="text1"/>
          <w:spacing w:val="0"/>
          <w:w w:val="100"/>
          <w:position w:val="0"/>
          <w:sz w:val="36"/>
          <w:szCs w:val="36"/>
          <w:highlight w:val="none"/>
          <w:lang w:val="en-US" w:eastAsia="zh-CN"/>
          <w14:textFill>
            <w14:solidFill>
              <w14:schemeClr w14:val="tx1"/>
            </w14:solidFill>
          </w14:textFill>
        </w:rPr>
      </w:pPr>
      <w:r>
        <w:rPr>
          <w:rFonts w:hint="eastAsia" w:ascii="宋体" w:hAnsi="宋体" w:eastAsia="宋体" w:cs="宋体"/>
          <w:b/>
          <w:bCs/>
          <w:color w:val="000000" w:themeColor="text1"/>
          <w:spacing w:val="0"/>
          <w:w w:val="100"/>
          <w:position w:val="0"/>
          <w:sz w:val="24"/>
          <w:szCs w:val="24"/>
          <w:highlight w:val="none"/>
          <w:lang w:val="en-US" w:eastAsia="zh-CN"/>
          <w14:textFill>
            <w14:solidFill>
              <w14:schemeClr w14:val="tx1"/>
            </w14:solidFill>
          </w14:textFill>
        </w:rPr>
        <w:t>6、投标人基本情况表</w:t>
      </w:r>
    </w:p>
    <w:p w14:paraId="3504413D">
      <w:pPr>
        <w:pStyle w:val="19"/>
        <w:numPr>
          <w:ilvl w:val="0"/>
          <w:numId w:val="0"/>
        </w:numPr>
        <w:shd w:val="clear" w:color="auto" w:fill="auto"/>
        <w:kinsoku w:val="0"/>
        <w:overflowPunct w:val="0"/>
        <w:spacing w:before="5"/>
        <w:ind w:leftChars="0" w:right="0" w:rightChars="0"/>
        <w:rPr>
          <w:rFonts w:hint="eastAsia" w:ascii="仿宋" w:hAnsi="仿宋" w:eastAsia="仿宋" w:cs="仿宋"/>
          <w:b/>
          <w:bCs/>
          <w:color w:val="000000" w:themeColor="text1"/>
          <w:sz w:val="6"/>
          <w:szCs w:val="6"/>
          <w:highlight w:val="none"/>
          <w14:textFill>
            <w14:solidFill>
              <w14:schemeClr w14:val="tx1"/>
            </w14:solidFill>
          </w14:textFill>
        </w:rPr>
      </w:pPr>
    </w:p>
    <w:tbl>
      <w:tblPr>
        <w:tblStyle w:val="50"/>
        <w:tblW w:w="8639" w:type="dxa"/>
        <w:jc w:val="center"/>
        <w:tblLayout w:type="fixed"/>
        <w:tblCellMar>
          <w:top w:w="0" w:type="dxa"/>
          <w:left w:w="0" w:type="dxa"/>
          <w:bottom w:w="0" w:type="dxa"/>
          <w:right w:w="0" w:type="dxa"/>
        </w:tblCellMar>
      </w:tblPr>
      <w:tblGrid>
        <w:gridCol w:w="1231"/>
        <w:gridCol w:w="1432"/>
        <w:gridCol w:w="842"/>
        <w:gridCol w:w="488"/>
        <w:gridCol w:w="1331"/>
        <w:gridCol w:w="455"/>
        <w:gridCol w:w="910"/>
        <w:gridCol w:w="1950"/>
      </w:tblGrid>
      <w:tr w14:paraId="7DE2F18A">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3C9D54B4">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单位名称</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28F43AD7">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085412B1">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2864B1F8">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单位地址</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4D004963">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2C73E3C9">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31C0146C">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主管部门</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4D46EA57">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36B1F185">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62B269F5">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成立时间</w:t>
            </w:r>
          </w:p>
        </w:tc>
        <w:tc>
          <w:tcPr>
            <w:tcW w:w="2274" w:type="dxa"/>
            <w:gridSpan w:val="2"/>
            <w:tcBorders>
              <w:top w:val="single" w:color="000000" w:sz="4" w:space="0"/>
              <w:left w:val="single" w:color="000000" w:sz="4" w:space="0"/>
              <w:bottom w:val="single" w:color="000000" w:sz="4" w:space="0"/>
              <w:right w:val="single" w:color="000000" w:sz="4" w:space="0"/>
            </w:tcBorders>
            <w:noWrap w:val="0"/>
            <w:vAlign w:val="top"/>
          </w:tcPr>
          <w:p w14:paraId="0829C77E">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c>
          <w:tcPr>
            <w:tcW w:w="2274" w:type="dxa"/>
            <w:gridSpan w:val="3"/>
            <w:tcBorders>
              <w:top w:val="single" w:color="000000" w:sz="4" w:space="0"/>
              <w:left w:val="single" w:color="000000" w:sz="4" w:space="0"/>
              <w:bottom w:val="single" w:color="000000" w:sz="4" w:space="0"/>
              <w:right w:val="single" w:color="000000" w:sz="4" w:space="0"/>
            </w:tcBorders>
            <w:noWrap w:val="0"/>
            <w:vAlign w:val="top"/>
          </w:tcPr>
          <w:p w14:paraId="499F201E">
            <w:pPr>
              <w:pStyle w:val="141"/>
              <w:keepNext w:val="0"/>
              <w:keepLines w:val="0"/>
              <w:suppressLineNumbers w:val="0"/>
              <w:shd w:val="clear" w:color="auto" w:fill="auto"/>
              <w:kinsoku w:val="0"/>
              <w:overflowPunct w:val="0"/>
              <w:spacing w:before="145" w:beforeAutospacing="0" w:after="0" w:afterAutospacing="0"/>
              <w:ind w:left="181"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注册资金（万元）</w:t>
            </w:r>
          </w:p>
        </w:tc>
        <w:tc>
          <w:tcPr>
            <w:tcW w:w="2860" w:type="dxa"/>
            <w:gridSpan w:val="2"/>
            <w:tcBorders>
              <w:top w:val="single" w:color="000000" w:sz="4" w:space="0"/>
              <w:left w:val="single" w:color="000000" w:sz="4" w:space="0"/>
              <w:bottom w:val="single" w:color="000000" w:sz="4" w:space="0"/>
              <w:right w:val="single" w:color="000000" w:sz="4" w:space="0"/>
            </w:tcBorders>
            <w:noWrap w:val="0"/>
            <w:vAlign w:val="top"/>
          </w:tcPr>
          <w:p w14:paraId="1BA5503C">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6283C8F0">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5DB24D5A">
            <w:pPr>
              <w:pStyle w:val="141"/>
              <w:keepNext w:val="0"/>
              <w:keepLines w:val="0"/>
              <w:suppressLineNumbers w:val="0"/>
              <w:shd w:val="clear" w:color="auto" w:fill="auto"/>
              <w:kinsoku w:val="0"/>
              <w:overflowPunct w:val="0"/>
              <w:spacing w:before="146" w:beforeAutospacing="0" w:after="0" w:afterAutospacing="0"/>
              <w:ind w:left="137"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单位性质</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3C0AB2CE">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1C6870B7">
        <w:tblPrEx>
          <w:tblCellMar>
            <w:top w:w="0" w:type="dxa"/>
            <w:left w:w="0" w:type="dxa"/>
            <w:bottom w:w="0" w:type="dxa"/>
            <w:right w:w="0" w:type="dxa"/>
          </w:tblCellMar>
        </w:tblPrEx>
        <w:trPr>
          <w:trHeight w:val="1150"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16EC70D2">
            <w:pPr>
              <w:pStyle w:val="141"/>
              <w:keepNext w:val="0"/>
              <w:keepLines w:val="0"/>
              <w:suppressLineNumbers w:val="0"/>
              <w:shd w:val="clear" w:color="auto" w:fill="auto"/>
              <w:kinsoku w:val="0"/>
              <w:overflowPunct w:val="0"/>
              <w:spacing w:before="141" w:beforeAutospacing="0" w:after="0" w:afterAutospacing="0" w:line="312" w:lineRule="exact"/>
              <w:ind w:left="257" w:right="133" w:hanging="1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投标期间 联系人</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14:paraId="7DA5CB0D">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top"/>
          </w:tcPr>
          <w:p w14:paraId="26C610C0">
            <w:pPr>
              <w:pStyle w:val="141"/>
              <w:keepNext w:val="0"/>
              <w:keepLines w:val="0"/>
              <w:suppressLineNumbers w:val="0"/>
              <w:shd w:val="clear" w:color="auto" w:fill="auto"/>
              <w:kinsoku w:val="0"/>
              <w:overflowPunct w:val="0"/>
              <w:spacing w:before="4" w:beforeAutospacing="0" w:after="0" w:afterAutospacing="0"/>
              <w:ind w:left="0" w:right="0"/>
              <w:rPr>
                <w:rFonts w:hint="eastAsia" w:ascii="宋体" w:hAnsi="宋体" w:eastAsia="宋体" w:cs="宋体"/>
                <w:b/>
                <w:bCs/>
                <w:color w:val="000000" w:themeColor="text1"/>
                <w:sz w:val="21"/>
                <w:szCs w:val="21"/>
                <w:highlight w:val="none"/>
                <w14:textFill>
                  <w14:solidFill>
                    <w14:schemeClr w14:val="tx1"/>
                  </w14:solidFill>
                </w14:textFill>
              </w:rPr>
            </w:pPr>
          </w:p>
          <w:p w14:paraId="3692FB73">
            <w:pPr>
              <w:pStyle w:val="141"/>
              <w:keepNext w:val="0"/>
              <w:keepLines w:val="0"/>
              <w:suppressLineNumbers w:val="0"/>
              <w:shd w:val="clear" w:color="auto" w:fill="auto"/>
              <w:kinsoku w:val="0"/>
              <w:overflowPunct w:val="0"/>
              <w:spacing w:before="0" w:beforeAutospacing="0" w:after="0" w:afterAutospacing="0"/>
              <w:ind w:left="366"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 话</w:t>
            </w:r>
          </w:p>
        </w:tc>
        <w:tc>
          <w:tcPr>
            <w:tcW w:w="1331" w:type="dxa"/>
            <w:tcBorders>
              <w:top w:val="single" w:color="000000" w:sz="4" w:space="0"/>
              <w:left w:val="single" w:color="000000" w:sz="4" w:space="0"/>
              <w:bottom w:val="single" w:color="000000" w:sz="4" w:space="0"/>
              <w:right w:val="single" w:color="000000" w:sz="4" w:space="0"/>
            </w:tcBorders>
            <w:noWrap w:val="0"/>
            <w:vAlign w:val="top"/>
          </w:tcPr>
          <w:p w14:paraId="3CA1799C">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c>
          <w:tcPr>
            <w:tcW w:w="1365" w:type="dxa"/>
            <w:gridSpan w:val="2"/>
            <w:tcBorders>
              <w:top w:val="single" w:color="000000" w:sz="4" w:space="0"/>
              <w:left w:val="single" w:color="000000" w:sz="4" w:space="0"/>
              <w:bottom w:val="single" w:color="000000" w:sz="4" w:space="0"/>
              <w:right w:val="single" w:color="000000" w:sz="4" w:space="0"/>
            </w:tcBorders>
            <w:noWrap w:val="0"/>
            <w:vAlign w:val="top"/>
          </w:tcPr>
          <w:p w14:paraId="0F92EAD8">
            <w:pPr>
              <w:pStyle w:val="141"/>
              <w:keepNext w:val="0"/>
              <w:keepLines w:val="0"/>
              <w:suppressLineNumbers w:val="0"/>
              <w:shd w:val="clear" w:color="auto" w:fill="auto"/>
              <w:kinsoku w:val="0"/>
              <w:overflowPunct w:val="0"/>
              <w:spacing w:before="4" w:beforeAutospacing="0" w:after="0" w:afterAutospacing="0"/>
              <w:ind w:left="0" w:right="0"/>
              <w:rPr>
                <w:rFonts w:hint="eastAsia" w:ascii="宋体" w:hAnsi="宋体" w:eastAsia="宋体" w:cs="宋体"/>
                <w:b/>
                <w:bCs/>
                <w:color w:val="000000" w:themeColor="text1"/>
                <w:sz w:val="21"/>
                <w:szCs w:val="21"/>
                <w:highlight w:val="none"/>
                <w14:textFill>
                  <w14:solidFill>
                    <w14:schemeClr w14:val="tx1"/>
                  </w14:solidFill>
                </w14:textFill>
              </w:rPr>
            </w:pPr>
          </w:p>
          <w:p w14:paraId="3ED70858">
            <w:pPr>
              <w:pStyle w:val="141"/>
              <w:keepNext w:val="0"/>
              <w:keepLines w:val="0"/>
              <w:suppressLineNumbers w:val="0"/>
              <w:shd w:val="clear" w:color="auto" w:fill="auto"/>
              <w:kinsoku w:val="0"/>
              <w:overflowPunct w:val="0"/>
              <w:spacing w:before="0" w:beforeAutospacing="0" w:after="0" w:afterAutospacing="0"/>
              <w:ind w:left="383"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传 真</w:t>
            </w:r>
          </w:p>
        </w:tc>
        <w:tc>
          <w:tcPr>
            <w:tcW w:w="1950" w:type="dxa"/>
            <w:tcBorders>
              <w:top w:val="single" w:color="000000" w:sz="4" w:space="0"/>
              <w:left w:val="single" w:color="000000" w:sz="4" w:space="0"/>
              <w:bottom w:val="single" w:color="000000" w:sz="4" w:space="0"/>
              <w:right w:val="single" w:color="000000" w:sz="4" w:space="0"/>
            </w:tcBorders>
            <w:noWrap w:val="0"/>
            <w:vAlign w:val="top"/>
          </w:tcPr>
          <w:p w14:paraId="147711DF">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3829D436">
        <w:tblPrEx>
          <w:tblCellMar>
            <w:top w:w="0" w:type="dxa"/>
            <w:left w:w="0" w:type="dxa"/>
            <w:bottom w:w="0" w:type="dxa"/>
            <w:right w:w="0" w:type="dxa"/>
          </w:tblCellMar>
        </w:tblPrEx>
        <w:trPr>
          <w:trHeight w:val="1150"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66BCCF73">
            <w:pPr>
              <w:pStyle w:val="141"/>
              <w:keepNext w:val="0"/>
              <w:keepLines w:val="0"/>
              <w:suppressLineNumbers w:val="0"/>
              <w:shd w:val="clear" w:color="auto" w:fill="auto"/>
              <w:kinsoku w:val="0"/>
              <w:overflowPunct w:val="0"/>
              <w:spacing w:before="141" w:beforeAutospacing="0" w:after="0" w:afterAutospacing="0" w:line="312" w:lineRule="exact"/>
              <w:ind w:left="257" w:right="133" w:hanging="1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职工总数</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6883632D">
            <w:pPr>
              <w:pStyle w:val="141"/>
              <w:keepNext w:val="0"/>
              <w:keepLines w:val="0"/>
              <w:suppressLineNumbers w:val="0"/>
              <w:shd w:val="clear" w:color="auto" w:fill="auto"/>
              <w:kinsoku w:val="0"/>
              <w:overflowPunct w:val="0"/>
              <w:spacing w:before="144"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34B3DADC">
        <w:tblPrEx>
          <w:tblCellMar>
            <w:top w:w="0" w:type="dxa"/>
            <w:left w:w="0" w:type="dxa"/>
            <w:bottom w:w="0" w:type="dxa"/>
            <w:right w:w="0" w:type="dxa"/>
          </w:tblCellMar>
        </w:tblPrEx>
        <w:trPr>
          <w:trHeight w:val="2009"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4772BB12">
            <w:pPr>
              <w:pStyle w:val="141"/>
              <w:keepNext w:val="0"/>
              <w:keepLines w:val="0"/>
              <w:suppressLineNumbers w:val="0"/>
              <w:shd w:val="clear" w:color="auto" w:fill="auto"/>
              <w:kinsoku w:val="0"/>
              <w:overflowPunct w:val="0"/>
              <w:spacing w:before="0" w:beforeAutospacing="0" w:after="0" w:afterAutospacing="0" w:line="237" w:lineRule="auto"/>
              <w:ind w:left="497" w:right="493"/>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 位 概 况</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47EABBCB">
            <w:pPr>
              <w:keepNext w:val="0"/>
              <w:keepLines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bl>
    <w:p w14:paraId="4725ADB2">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678B4274">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5D2D047">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2CDE1DAE">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3BEE8DF7">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02D14E8">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393DBCF9">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1B6F50D6">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000000" w:themeColor="text1"/>
          <w:sz w:val="30"/>
          <w:szCs w:val="30"/>
          <w:highlight w:val="none"/>
          <w14:textFill>
            <w14:solidFill>
              <w14:schemeClr w14:val="tx1"/>
            </w14:solidFill>
          </w14:textFill>
        </w:rPr>
      </w:pPr>
    </w:p>
    <w:p w14:paraId="6CB7A38F">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000000" w:themeColor="text1"/>
          <w:sz w:val="30"/>
          <w:szCs w:val="30"/>
          <w:highlight w:val="none"/>
          <w14:textFill>
            <w14:solidFill>
              <w14:schemeClr w14:val="tx1"/>
            </w14:solidFill>
          </w14:textFill>
        </w:rPr>
      </w:pPr>
    </w:p>
    <w:p w14:paraId="3561A026">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000000" w:themeColor="text1"/>
          <w:sz w:val="30"/>
          <w:szCs w:val="30"/>
          <w:highlight w:val="none"/>
          <w14:textFill>
            <w14:solidFill>
              <w14:schemeClr w14:val="tx1"/>
            </w14:solidFill>
          </w14:textFill>
        </w:rPr>
      </w:pPr>
    </w:p>
    <w:p w14:paraId="4FD05333">
      <w:pPr>
        <w:pStyle w:val="19"/>
        <w:numPr>
          <w:ilvl w:val="0"/>
          <w:numId w:val="0"/>
        </w:numPr>
        <w:shd w:val="clear" w:color="auto" w:fill="auto"/>
        <w:kinsoku w:val="0"/>
        <w:overflowPunct w:val="0"/>
        <w:spacing w:before="34" w:line="357" w:lineRule="auto"/>
        <w:ind w:left="480" w:leftChars="0" w:right="126" w:rightChars="0"/>
        <w:jc w:val="center"/>
        <w:rPr>
          <w:rFonts w:hint="eastAsia" w:ascii="宋体" w:hAnsi="宋体" w:eastAsia="宋体" w:cs="宋体"/>
          <w:b/>
          <w:bCs/>
          <w:color w:val="000000" w:themeColor="text1"/>
          <w:w w:val="90"/>
          <w:sz w:val="24"/>
          <w:szCs w:val="24"/>
          <w:highlight w:val="none"/>
          <w:lang w:eastAsia="zh-CN"/>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w w:val="90"/>
          <w:sz w:val="24"/>
          <w:szCs w:val="24"/>
          <w:highlight w:val="none"/>
          <w14:textFill>
            <w14:solidFill>
              <w14:schemeClr w14:val="tx1"/>
            </w14:solidFill>
          </w14:textFill>
        </w:rPr>
        <w:t>近三年类似项目业绩</w:t>
      </w:r>
      <w:r>
        <w:rPr>
          <w:rFonts w:hint="eastAsia" w:ascii="宋体" w:hAnsi="宋体" w:eastAsia="宋体" w:cs="宋体"/>
          <w:b/>
          <w:bCs/>
          <w:color w:val="000000" w:themeColor="text1"/>
          <w:w w:val="90"/>
          <w:sz w:val="24"/>
          <w:szCs w:val="24"/>
          <w:highlight w:val="none"/>
          <w:lang w:eastAsia="zh-CN"/>
          <w14:textFill>
            <w14:solidFill>
              <w14:schemeClr w14:val="tx1"/>
            </w14:solidFill>
          </w14:textFill>
        </w:rPr>
        <w:t>表</w:t>
      </w:r>
    </w:p>
    <w:p w14:paraId="5659BFFE">
      <w:pPr>
        <w:pStyle w:val="19"/>
        <w:numPr>
          <w:ilvl w:val="0"/>
          <w:numId w:val="0"/>
        </w:numPr>
        <w:shd w:val="clear" w:color="auto" w:fill="auto"/>
        <w:kinsoku w:val="0"/>
        <w:overflowPunct w:val="0"/>
        <w:ind w:leftChars="0" w:right="0" w:rightChars="0"/>
        <w:rPr>
          <w:rFonts w:hint="eastAsia" w:ascii="仿宋" w:hAnsi="仿宋" w:eastAsia="仿宋" w:cs="仿宋"/>
          <w:b/>
          <w:bCs/>
          <w:color w:val="000000" w:themeColor="text1"/>
          <w:sz w:val="20"/>
          <w:szCs w:val="20"/>
          <w:highlight w:val="none"/>
          <w14:textFill>
            <w14:solidFill>
              <w14:schemeClr w14:val="tx1"/>
            </w14:solidFill>
          </w14:textFill>
        </w:rPr>
      </w:pPr>
    </w:p>
    <w:tbl>
      <w:tblPr>
        <w:tblStyle w:val="50"/>
        <w:tblW w:w="9115" w:type="dxa"/>
        <w:jc w:val="center"/>
        <w:tblLayout w:type="fixed"/>
        <w:tblCellMar>
          <w:top w:w="0" w:type="dxa"/>
          <w:left w:w="10" w:type="dxa"/>
          <w:bottom w:w="0" w:type="dxa"/>
          <w:right w:w="10" w:type="dxa"/>
        </w:tblCellMar>
      </w:tblPr>
      <w:tblGrid>
        <w:gridCol w:w="1919"/>
        <w:gridCol w:w="7196"/>
      </w:tblGrid>
      <w:tr w14:paraId="43B97AE0">
        <w:tblPrEx>
          <w:tblCellMar>
            <w:top w:w="0" w:type="dxa"/>
            <w:left w:w="10" w:type="dxa"/>
            <w:bottom w:w="0" w:type="dxa"/>
            <w:right w:w="10" w:type="dxa"/>
          </w:tblCellMar>
        </w:tblPrEx>
        <w:trPr>
          <w:trHeight w:val="511" w:hRule="exact"/>
          <w:jc w:val="center"/>
        </w:trPr>
        <w:tc>
          <w:tcPr>
            <w:tcW w:w="1919" w:type="dxa"/>
            <w:tcBorders>
              <w:top w:val="single" w:color="auto" w:sz="4" w:space="0"/>
              <w:left w:val="single" w:color="auto" w:sz="4" w:space="0"/>
            </w:tcBorders>
            <w:noWrap w:val="0"/>
            <w:vAlign w:val="center"/>
          </w:tcPr>
          <w:p w14:paraId="4DA82128">
            <w:pPr>
              <w:pStyle w:val="193"/>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项目名称</w:t>
            </w:r>
          </w:p>
        </w:tc>
        <w:tc>
          <w:tcPr>
            <w:tcW w:w="7196" w:type="dxa"/>
            <w:tcBorders>
              <w:top w:val="single" w:color="auto" w:sz="4" w:space="0"/>
              <w:left w:val="single" w:color="auto" w:sz="4" w:space="0"/>
              <w:right w:val="single" w:color="auto" w:sz="4" w:space="0"/>
            </w:tcBorders>
            <w:noWrap w:val="0"/>
            <w:vAlign w:val="top"/>
          </w:tcPr>
          <w:p w14:paraId="77AE93B5">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08954836">
        <w:tblPrEx>
          <w:tblCellMar>
            <w:top w:w="0" w:type="dxa"/>
            <w:left w:w="10" w:type="dxa"/>
            <w:bottom w:w="0" w:type="dxa"/>
            <w:right w:w="10" w:type="dxa"/>
          </w:tblCellMar>
        </w:tblPrEx>
        <w:trPr>
          <w:trHeight w:val="518" w:hRule="exact"/>
          <w:jc w:val="center"/>
        </w:trPr>
        <w:tc>
          <w:tcPr>
            <w:tcW w:w="1919" w:type="dxa"/>
            <w:tcBorders>
              <w:top w:val="single" w:color="auto" w:sz="4" w:space="0"/>
              <w:left w:val="single" w:color="auto" w:sz="4" w:space="0"/>
            </w:tcBorders>
            <w:noWrap w:val="0"/>
            <w:vAlign w:val="center"/>
          </w:tcPr>
          <w:p w14:paraId="3EA09A07">
            <w:pPr>
              <w:pStyle w:val="193"/>
              <w:keepNext w:val="0"/>
              <w:keepLines w:val="0"/>
              <w:widowControl w:val="0"/>
              <w:suppressLineNumbers w:val="0"/>
              <w:shd w:val="clear" w:color="auto" w:fill="auto"/>
              <w:bidi w:val="0"/>
              <w:spacing w:before="120" w:beforeAutospacing="0" w:after="0" w:afterAutospacing="0" w:line="240" w:lineRule="auto"/>
              <w:ind w:left="0" w:leftChars="0" w:right="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项目单位名称</w:t>
            </w:r>
          </w:p>
        </w:tc>
        <w:tc>
          <w:tcPr>
            <w:tcW w:w="7196" w:type="dxa"/>
            <w:tcBorders>
              <w:top w:val="single" w:color="auto" w:sz="4" w:space="0"/>
              <w:left w:val="single" w:color="auto" w:sz="4" w:space="0"/>
              <w:right w:val="single" w:color="auto" w:sz="4" w:space="0"/>
            </w:tcBorders>
            <w:noWrap w:val="0"/>
            <w:vAlign w:val="top"/>
          </w:tcPr>
          <w:p w14:paraId="32603932">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0A0DA1DB">
        <w:tblPrEx>
          <w:tblCellMar>
            <w:top w:w="0" w:type="dxa"/>
            <w:left w:w="10" w:type="dxa"/>
            <w:bottom w:w="0" w:type="dxa"/>
            <w:right w:w="10" w:type="dxa"/>
          </w:tblCellMar>
        </w:tblPrEx>
        <w:trPr>
          <w:trHeight w:val="724" w:hRule="exact"/>
          <w:jc w:val="center"/>
        </w:trPr>
        <w:tc>
          <w:tcPr>
            <w:tcW w:w="1919" w:type="dxa"/>
            <w:tcBorders>
              <w:top w:val="single" w:color="auto" w:sz="4" w:space="0"/>
              <w:left w:val="single" w:color="auto" w:sz="4" w:space="0"/>
            </w:tcBorders>
            <w:noWrap w:val="0"/>
            <w:vAlign w:val="center"/>
          </w:tcPr>
          <w:p w14:paraId="1E6C9EF6">
            <w:pPr>
              <w:pStyle w:val="193"/>
              <w:keepNext w:val="0"/>
              <w:keepLines w:val="0"/>
              <w:widowControl w:val="0"/>
              <w:suppressLineNumbers w:val="0"/>
              <w:shd w:val="clear" w:color="auto" w:fill="auto"/>
              <w:bidi w:val="0"/>
              <w:spacing w:before="0" w:beforeAutospacing="0" w:after="0" w:afterAutospacing="0" w:line="320" w:lineRule="exact"/>
              <w:ind w:left="0" w:right="0"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项目单位联系姓名及联系方式</w:t>
            </w:r>
          </w:p>
        </w:tc>
        <w:tc>
          <w:tcPr>
            <w:tcW w:w="7196" w:type="dxa"/>
            <w:tcBorders>
              <w:top w:val="single" w:color="auto" w:sz="4" w:space="0"/>
              <w:left w:val="single" w:color="auto" w:sz="4" w:space="0"/>
              <w:right w:val="single" w:color="auto" w:sz="4" w:space="0"/>
            </w:tcBorders>
            <w:noWrap w:val="0"/>
            <w:vAlign w:val="top"/>
          </w:tcPr>
          <w:p w14:paraId="2350E0A0">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59D9A9D0">
        <w:tblPrEx>
          <w:tblCellMar>
            <w:top w:w="0" w:type="dxa"/>
            <w:left w:w="10" w:type="dxa"/>
            <w:bottom w:w="0" w:type="dxa"/>
            <w:right w:w="10" w:type="dxa"/>
          </w:tblCellMar>
        </w:tblPrEx>
        <w:trPr>
          <w:trHeight w:val="634" w:hRule="exact"/>
          <w:jc w:val="center"/>
        </w:trPr>
        <w:tc>
          <w:tcPr>
            <w:tcW w:w="1919" w:type="dxa"/>
            <w:tcBorders>
              <w:top w:val="single" w:color="auto" w:sz="4" w:space="0"/>
              <w:left w:val="single" w:color="auto" w:sz="4" w:space="0"/>
            </w:tcBorders>
            <w:noWrap w:val="0"/>
            <w:vAlign w:val="center"/>
          </w:tcPr>
          <w:p w14:paraId="54886D06">
            <w:pPr>
              <w:pStyle w:val="193"/>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合同金额</w:t>
            </w:r>
          </w:p>
        </w:tc>
        <w:tc>
          <w:tcPr>
            <w:tcW w:w="7196" w:type="dxa"/>
            <w:tcBorders>
              <w:top w:val="single" w:color="auto" w:sz="4" w:space="0"/>
              <w:left w:val="single" w:color="auto" w:sz="4" w:space="0"/>
              <w:right w:val="single" w:color="auto" w:sz="4" w:space="0"/>
            </w:tcBorders>
            <w:noWrap w:val="0"/>
            <w:vAlign w:val="top"/>
          </w:tcPr>
          <w:p w14:paraId="14850F3D">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4428F9DD">
        <w:tblPrEx>
          <w:tblCellMar>
            <w:top w:w="0" w:type="dxa"/>
            <w:left w:w="10" w:type="dxa"/>
            <w:bottom w:w="0" w:type="dxa"/>
            <w:right w:w="10" w:type="dxa"/>
          </w:tblCellMar>
        </w:tblPrEx>
        <w:trPr>
          <w:trHeight w:val="637" w:hRule="exact"/>
          <w:jc w:val="center"/>
        </w:trPr>
        <w:tc>
          <w:tcPr>
            <w:tcW w:w="1919" w:type="dxa"/>
            <w:tcBorders>
              <w:top w:val="single" w:color="auto" w:sz="4" w:space="0"/>
              <w:left w:val="single" w:color="auto" w:sz="4" w:space="0"/>
            </w:tcBorders>
            <w:noWrap w:val="0"/>
            <w:vAlign w:val="center"/>
          </w:tcPr>
          <w:p w14:paraId="26C51045">
            <w:pPr>
              <w:pStyle w:val="193"/>
              <w:keepNext w:val="0"/>
              <w:keepLines w:val="0"/>
              <w:widowControl w:val="0"/>
              <w:suppressLineNumbers w:val="0"/>
              <w:shd w:val="clear" w:color="auto" w:fill="auto"/>
              <w:bidi w:val="0"/>
              <w:spacing w:before="0" w:beforeAutospacing="0" w:after="0" w:afterAutospacing="0" w:line="306" w:lineRule="exact"/>
              <w:ind w:left="0" w:right="0"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项目负责人姓名</w:t>
            </w:r>
          </w:p>
        </w:tc>
        <w:tc>
          <w:tcPr>
            <w:tcW w:w="7196" w:type="dxa"/>
            <w:tcBorders>
              <w:top w:val="single" w:color="auto" w:sz="4" w:space="0"/>
              <w:left w:val="single" w:color="auto" w:sz="4" w:space="0"/>
              <w:right w:val="single" w:color="auto" w:sz="4" w:space="0"/>
            </w:tcBorders>
            <w:noWrap w:val="0"/>
            <w:vAlign w:val="top"/>
          </w:tcPr>
          <w:p w14:paraId="4D1CBEDD">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645DF817">
        <w:tblPrEx>
          <w:tblCellMar>
            <w:top w:w="0" w:type="dxa"/>
            <w:left w:w="10" w:type="dxa"/>
            <w:bottom w:w="0" w:type="dxa"/>
            <w:right w:w="10" w:type="dxa"/>
          </w:tblCellMar>
        </w:tblPrEx>
        <w:trPr>
          <w:trHeight w:val="482" w:hRule="exact"/>
          <w:jc w:val="center"/>
        </w:trPr>
        <w:tc>
          <w:tcPr>
            <w:tcW w:w="1919" w:type="dxa"/>
            <w:tcBorders>
              <w:top w:val="single" w:color="auto" w:sz="4" w:space="0"/>
              <w:left w:val="single" w:color="auto" w:sz="4" w:space="0"/>
            </w:tcBorders>
            <w:noWrap w:val="0"/>
            <w:vAlign w:val="center"/>
          </w:tcPr>
          <w:p w14:paraId="26D4DED0">
            <w:pPr>
              <w:pStyle w:val="193"/>
              <w:keepNext w:val="0"/>
              <w:keepLines w:val="0"/>
              <w:widowControl w:val="0"/>
              <w:suppressLineNumbers w:val="0"/>
              <w:shd w:val="clear" w:color="auto" w:fill="auto"/>
              <w:bidi w:val="0"/>
              <w:spacing w:before="120" w:beforeAutospacing="0" w:after="0" w:afterAutospacing="0" w:line="240" w:lineRule="auto"/>
              <w:ind w:left="0" w:leftChars="0" w:right="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项目实施时间</w:t>
            </w:r>
          </w:p>
        </w:tc>
        <w:tc>
          <w:tcPr>
            <w:tcW w:w="7196" w:type="dxa"/>
            <w:tcBorders>
              <w:top w:val="single" w:color="auto" w:sz="4" w:space="0"/>
              <w:left w:val="single" w:color="auto" w:sz="4" w:space="0"/>
              <w:right w:val="single" w:color="auto" w:sz="4" w:space="0"/>
            </w:tcBorders>
            <w:noWrap w:val="0"/>
            <w:vAlign w:val="top"/>
          </w:tcPr>
          <w:p w14:paraId="45DB33BF">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r w14:paraId="573806C4">
        <w:tblPrEx>
          <w:tblCellMar>
            <w:top w:w="0" w:type="dxa"/>
            <w:left w:w="10" w:type="dxa"/>
            <w:bottom w:w="0" w:type="dxa"/>
            <w:right w:w="10" w:type="dxa"/>
          </w:tblCellMar>
        </w:tblPrEx>
        <w:trPr>
          <w:trHeight w:val="1699" w:hRule="exact"/>
          <w:jc w:val="center"/>
        </w:trPr>
        <w:tc>
          <w:tcPr>
            <w:tcW w:w="1919" w:type="dxa"/>
            <w:tcBorders>
              <w:top w:val="single" w:color="auto" w:sz="4" w:space="0"/>
              <w:left w:val="single" w:color="auto" w:sz="4" w:space="0"/>
              <w:bottom w:val="single" w:color="auto" w:sz="4" w:space="0"/>
            </w:tcBorders>
            <w:noWrap w:val="0"/>
            <w:vAlign w:val="center"/>
          </w:tcPr>
          <w:p w14:paraId="646F51C5">
            <w:pPr>
              <w:pStyle w:val="193"/>
              <w:keepNext w:val="0"/>
              <w:keepLines w:val="0"/>
              <w:widowControl w:val="0"/>
              <w:suppressLineNumbers w:val="0"/>
              <w:shd w:val="clear" w:color="auto" w:fill="auto"/>
              <w:bidi w:val="0"/>
              <w:spacing w:before="0" w:beforeAutospacing="0" w:after="0" w:afterAutospacing="0" w:line="240" w:lineRule="auto"/>
              <w:ind w:left="0" w:leftChars="0" w:right="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项目内容说明</w:t>
            </w:r>
          </w:p>
        </w:tc>
        <w:tc>
          <w:tcPr>
            <w:tcW w:w="7196" w:type="dxa"/>
            <w:tcBorders>
              <w:top w:val="single" w:color="auto" w:sz="4" w:space="0"/>
              <w:left w:val="single" w:color="auto" w:sz="4" w:space="0"/>
              <w:bottom w:val="single" w:color="auto" w:sz="4" w:space="0"/>
              <w:right w:val="single" w:color="auto" w:sz="4" w:space="0"/>
            </w:tcBorders>
            <w:noWrap w:val="0"/>
            <w:vAlign w:val="top"/>
          </w:tcPr>
          <w:p w14:paraId="1380410E">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p>
        </w:tc>
      </w:tr>
    </w:tbl>
    <w:p w14:paraId="163E750B">
      <w:pPr>
        <w:shd w:val="clear" w:color="auto" w:fill="auto"/>
        <w:rPr>
          <w:rFonts w:hint="eastAsia" w:ascii="仿宋" w:hAnsi="仿宋" w:eastAsia="仿宋" w:cs="仿宋"/>
          <w:color w:val="000000" w:themeColor="text1"/>
          <w:spacing w:val="-1"/>
          <w:kern w:val="0"/>
          <w:sz w:val="24"/>
          <w:highlight w:val="none"/>
          <w14:textFill>
            <w14:solidFill>
              <w14:schemeClr w14:val="tx1"/>
            </w14:solidFill>
          </w14:textFill>
        </w:rPr>
      </w:pPr>
    </w:p>
    <w:p w14:paraId="4AC4B885">
      <w:pPr>
        <w:shd w:val="clear" w:color="auto" w:fill="auto"/>
        <w:rPr>
          <w:rFonts w:hint="eastAsia" w:ascii="宋体" w:hAnsi="宋体" w:eastAsia="宋体" w:cs="宋体"/>
          <w:color w:val="000000" w:themeColor="text1"/>
          <w:spacing w:val="-1"/>
          <w:kern w:val="0"/>
          <w:sz w:val="21"/>
          <w:szCs w:val="21"/>
          <w:highlight w:val="none"/>
          <w14:textFill>
            <w14:solidFill>
              <w14:schemeClr w14:val="tx1"/>
            </w14:solidFill>
          </w14:textFill>
        </w:rPr>
      </w:pPr>
      <w:r>
        <w:rPr>
          <w:rFonts w:hint="eastAsia" w:ascii="宋体" w:hAnsi="宋体" w:eastAsia="宋体" w:cs="宋体"/>
          <w:color w:val="000000" w:themeColor="text1"/>
          <w:spacing w:val="-1"/>
          <w:kern w:val="0"/>
          <w:sz w:val="21"/>
          <w:szCs w:val="21"/>
          <w:highlight w:val="none"/>
          <w14:textFill>
            <w14:solidFill>
              <w14:schemeClr w14:val="tx1"/>
            </w14:solidFill>
          </w14:textFill>
        </w:rPr>
        <w:t>注：每个</w:t>
      </w:r>
      <w:r>
        <w:rPr>
          <w:rFonts w:hint="eastAsia" w:ascii="宋体" w:hAnsi="宋体" w:eastAsia="宋体" w:cs="宋体"/>
          <w:color w:val="000000" w:themeColor="text1"/>
          <w:spacing w:val="-1"/>
          <w:kern w:val="0"/>
          <w:sz w:val="21"/>
          <w:szCs w:val="21"/>
          <w:highlight w:val="none"/>
          <w:lang w:eastAsia="zh-CN"/>
          <w14:textFill>
            <w14:solidFill>
              <w14:schemeClr w14:val="tx1"/>
            </w14:solidFill>
          </w14:textFill>
        </w:rPr>
        <w:t>业绩</w:t>
      </w:r>
      <w:r>
        <w:rPr>
          <w:rFonts w:hint="eastAsia" w:ascii="宋体" w:hAnsi="宋体" w:eastAsia="宋体" w:cs="宋体"/>
          <w:color w:val="000000" w:themeColor="text1"/>
          <w:spacing w:val="-1"/>
          <w:kern w:val="0"/>
          <w:sz w:val="21"/>
          <w:szCs w:val="21"/>
          <w:highlight w:val="none"/>
          <w14:textFill>
            <w14:solidFill>
              <w14:schemeClr w14:val="tx1"/>
            </w14:solidFill>
          </w14:textFill>
        </w:rPr>
        <w:t>须单独附表，并附上</w:t>
      </w:r>
      <w:r>
        <w:rPr>
          <w:rFonts w:hint="eastAsia" w:ascii="宋体" w:hAnsi="宋体" w:eastAsia="宋体" w:cs="宋体"/>
          <w:color w:val="000000" w:themeColor="text1"/>
          <w:spacing w:val="-1"/>
          <w:kern w:val="0"/>
          <w:sz w:val="21"/>
          <w:szCs w:val="21"/>
          <w:highlight w:val="none"/>
          <w:lang w:eastAsia="zh-CN"/>
          <w14:textFill>
            <w14:solidFill>
              <w14:schemeClr w14:val="tx1"/>
            </w14:solidFill>
          </w14:textFill>
        </w:rPr>
        <w:t>合同</w:t>
      </w:r>
      <w:r>
        <w:rPr>
          <w:rFonts w:hint="eastAsia" w:ascii="宋体" w:hAnsi="宋体" w:eastAsia="宋体" w:cs="宋体"/>
          <w:color w:val="000000" w:themeColor="text1"/>
          <w:spacing w:val="-1"/>
          <w:kern w:val="0"/>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spacing w:val="-1"/>
          <w:kern w:val="0"/>
          <w:sz w:val="21"/>
          <w:szCs w:val="21"/>
          <w:highlight w:val="none"/>
          <w:lang w:eastAsia="zh-CN"/>
          <w14:textFill>
            <w14:solidFill>
              <w14:schemeClr w14:val="tx1"/>
            </w14:solidFill>
          </w14:textFill>
        </w:rPr>
        <w:t>中标通知书</w:t>
      </w:r>
      <w:r>
        <w:rPr>
          <w:rFonts w:hint="eastAsia" w:ascii="宋体" w:hAnsi="宋体" w:eastAsia="宋体" w:cs="宋体"/>
          <w:color w:val="000000" w:themeColor="text1"/>
          <w:spacing w:val="-1"/>
          <w:kern w:val="0"/>
          <w:sz w:val="21"/>
          <w:szCs w:val="21"/>
          <w:highlight w:val="none"/>
          <w14:textFill>
            <w14:solidFill>
              <w14:schemeClr w14:val="tx1"/>
            </w14:solidFill>
          </w14:textFill>
        </w:rPr>
        <w:t>相关证明材料，否则专家在评审时将不予采信。</w:t>
      </w:r>
    </w:p>
    <w:p w14:paraId="1B8CCC48">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000000" w:themeColor="text1"/>
          <w:sz w:val="21"/>
          <w:szCs w:val="21"/>
          <w:highlight w:val="none"/>
          <w14:textFill>
            <w14:solidFill>
              <w14:schemeClr w14:val="tx1"/>
            </w14:solidFill>
          </w14:textFill>
        </w:rPr>
      </w:pPr>
    </w:p>
    <w:p w14:paraId="5402FF8F">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000000" w:themeColor="text1"/>
          <w:sz w:val="21"/>
          <w:szCs w:val="21"/>
          <w:highlight w:val="none"/>
          <w14:textFill>
            <w14:solidFill>
              <w14:schemeClr w14:val="tx1"/>
            </w14:solidFill>
          </w14:textFill>
        </w:rPr>
      </w:pPr>
    </w:p>
    <w:p w14:paraId="72BA4051">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000000" w:themeColor="text1"/>
          <w:sz w:val="21"/>
          <w:szCs w:val="21"/>
          <w:highlight w:val="none"/>
          <w14:textFill>
            <w14:solidFill>
              <w14:schemeClr w14:val="tx1"/>
            </w14:solidFill>
          </w14:textFill>
        </w:rPr>
      </w:pPr>
    </w:p>
    <w:p w14:paraId="12E8144D">
      <w:pPr>
        <w:shd w:val="clear" w:color="auto" w:fill="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投标人：</w:t>
      </w:r>
      <w:r>
        <w:rPr>
          <w:rFonts w:hint="eastAsia" w:ascii="宋体" w:hAnsi="宋体" w:eastAsia="宋体" w:cs="宋体"/>
          <w:color w:val="000000" w:themeColor="text1"/>
          <w:kern w:val="2"/>
          <w:sz w:val="21"/>
          <w:szCs w:val="21"/>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（盖章）</w:t>
      </w:r>
    </w:p>
    <w:p w14:paraId="50055A9D">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000000" w:themeColor="text1"/>
          <w:w w:val="95"/>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法定代表人或被授权人：</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(签字或盖章）</w:t>
      </w:r>
    </w:p>
    <w:p w14:paraId="54FD1025">
      <w:pPr>
        <w:pStyle w:val="19"/>
        <w:numPr>
          <w:ilvl w:val="0"/>
          <w:numId w:val="0"/>
        </w:numPr>
        <w:shd w:val="clear" w:color="auto" w:fill="auto"/>
        <w:tabs>
          <w:tab w:val="left" w:pos="5551"/>
          <w:tab w:val="left" w:pos="6511"/>
          <w:tab w:val="left" w:pos="7111"/>
          <w:tab w:val="left" w:pos="7711"/>
          <w:tab w:val="clear" w:pos="562"/>
          <w:tab w:val="clear" w:pos="3372"/>
          <w:tab w:val="clear" w:pos="3653"/>
        </w:tabs>
        <w:kinsoku w:val="0"/>
        <w:overflowPunct w:val="0"/>
        <w:spacing w:before="46"/>
        <w:ind w:right="0" w:rightChars="0" w:firstLine="3780" w:firstLineChars="18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日期：</w:t>
      </w:r>
      <w:r>
        <w:rPr>
          <w:rFonts w:hint="eastAsia" w:ascii="宋体" w:hAnsi="宋体" w:eastAsia="宋体" w:cs="宋体"/>
          <w:color w:val="000000" w:themeColor="text1"/>
          <w:sz w:val="21"/>
          <w:szCs w:val="21"/>
          <w:highlight w:val="none"/>
          <w:u w:val="single"/>
          <w14:textFill>
            <w14:solidFill>
              <w14:schemeClr w14:val="tx1"/>
            </w14:solidFill>
          </w14:textFill>
        </w:rPr>
        <w:tab/>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日</w:t>
      </w:r>
    </w:p>
    <w:bookmarkEnd w:id="198"/>
    <w:p w14:paraId="05BB8FFE">
      <w:pPr>
        <w:spacing w:line="240" w:lineRule="auto"/>
        <w:rPr>
          <w:rFonts w:hint="eastAsia" w:ascii="宋体" w:hAnsi="宋体" w:eastAsia="宋体" w:cs="宋体"/>
          <w:color w:val="000000" w:themeColor="text1"/>
          <w:highlight w:val="none"/>
          <w14:textFill>
            <w14:solidFill>
              <w14:schemeClr w14:val="tx1"/>
            </w14:solidFill>
          </w14:textFill>
        </w:rPr>
      </w:pPr>
    </w:p>
    <w:p w14:paraId="31CAC189">
      <w:pPr>
        <w:pStyle w:val="24"/>
        <w:shd w:val="clear" w:color="auto" w:fill="auto"/>
        <w:ind w:left="0" w:leftChars="0" w:right="206" w:rightChars="98" w:firstLine="0" w:firstLineChars="0"/>
        <w:rPr>
          <w:rFonts w:hint="eastAsia" w:ascii="宋体" w:hAnsi="宋体" w:eastAsia="宋体" w:cs="宋体"/>
          <w:color w:val="000000" w:themeColor="text1"/>
          <w:highlight w:val="none"/>
          <w14:textFill>
            <w14:solidFill>
              <w14:schemeClr w14:val="tx1"/>
            </w14:solidFill>
          </w14:textFill>
        </w:rPr>
      </w:pPr>
    </w:p>
    <w:p w14:paraId="59B85173">
      <w:pPr>
        <w:pStyle w:val="24"/>
        <w:shd w:val="clear" w:color="auto" w:fill="auto"/>
        <w:ind w:left="0" w:leftChars="0" w:right="206" w:rightChars="98" w:firstLine="0" w:firstLineChars="0"/>
        <w:rPr>
          <w:rFonts w:hint="eastAsia" w:ascii="宋体" w:hAnsi="宋体" w:eastAsia="宋体" w:cs="宋体"/>
          <w:color w:val="000000" w:themeColor="text1"/>
          <w:highlight w:val="none"/>
          <w14:textFill>
            <w14:solidFill>
              <w14:schemeClr w14:val="tx1"/>
            </w14:solidFill>
          </w14:textFill>
        </w:rPr>
      </w:pPr>
    </w:p>
    <w:p w14:paraId="6650409D">
      <w:pPr>
        <w:pStyle w:val="24"/>
        <w:shd w:val="clear" w:color="auto" w:fill="auto"/>
        <w:ind w:left="0" w:leftChars="0" w:right="206" w:rightChars="98" w:firstLine="0" w:firstLineChars="0"/>
        <w:rPr>
          <w:rFonts w:hint="eastAsia" w:ascii="宋体" w:hAnsi="宋体" w:eastAsia="宋体" w:cs="宋体"/>
          <w:color w:val="000000" w:themeColor="text1"/>
          <w:highlight w:val="none"/>
          <w14:textFill>
            <w14:solidFill>
              <w14:schemeClr w14:val="tx1"/>
            </w14:solidFill>
          </w14:textFill>
        </w:rPr>
      </w:pPr>
    </w:p>
    <w:p w14:paraId="5741342E">
      <w:pPr>
        <w:pStyle w:val="24"/>
        <w:shd w:val="clear" w:color="auto" w:fill="auto"/>
        <w:ind w:left="0" w:leftChars="0" w:right="206" w:rightChars="98" w:firstLine="0" w:firstLineChars="0"/>
        <w:rPr>
          <w:rFonts w:hint="eastAsia" w:ascii="宋体" w:hAnsi="宋体" w:eastAsia="宋体" w:cs="宋体"/>
          <w:color w:val="000000" w:themeColor="text1"/>
          <w:highlight w:val="none"/>
          <w14:textFill>
            <w14:solidFill>
              <w14:schemeClr w14:val="tx1"/>
            </w14:solidFill>
          </w14:textFill>
        </w:rPr>
      </w:pPr>
    </w:p>
    <w:p w14:paraId="636C1354">
      <w:pPr>
        <w:pStyle w:val="25"/>
        <w:rPr>
          <w:rFonts w:hint="eastAsia" w:ascii="宋体" w:hAnsi="宋体" w:eastAsia="宋体" w:cs="宋体"/>
          <w:color w:val="000000" w:themeColor="text1"/>
          <w:highlight w:val="none"/>
          <w14:textFill>
            <w14:solidFill>
              <w14:schemeClr w14:val="tx1"/>
            </w14:solidFill>
          </w14:textFill>
        </w:rPr>
      </w:pPr>
    </w:p>
    <w:p w14:paraId="3B46E5EA">
      <w:pPr>
        <w:rPr>
          <w:rFonts w:hint="eastAsia" w:ascii="宋体" w:hAnsi="宋体" w:eastAsia="宋体" w:cs="宋体"/>
          <w:color w:val="000000" w:themeColor="text1"/>
          <w:highlight w:val="none"/>
          <w14:textFill>
            <w14:solidFill>
              <w14:schemeClr w14:val="tx1"/>
            </w14:solidFill>
          </w14:textFill>
        </w:rPr>
      </w:pPr>
    </w:p>
    <w:p w14:paraId="4677697D">
      <w:pPr>
        <w:pStyle w:val="38"/>
        <w:rPr>
          <w:rFonts w:hint="eastAsia" w:ascii="宋体" w:hAnsi="宋体" w:eastAsia="宋体" w:cs="宋体"/>
          <w:color w:val="000000" w:themeColor="text1"/>
          <w:highlight w:val="none"/>
          <w14:textFill>
            <w14:solidFill>
              <w14:schemeClr w14:val="tx1"/>
            </w14:solidFill>
          </w14:textFill>
        </w:rPr>
      </w:pPr>
    </w:p>
    <w:p w14:paraId="7C89881C">
      <w:pPr>
        <w:rPr>
          <w:rFonts w:hint="eastAsia" w:ascii="宋体" w:hAnsi="宋体" w:eastAsia="宋体" w:cs="宋体"/>
          <w:color w:val="000000" w:themeColor="text1"/>
          <w:highlight w:val="none"/>
          <w14:textFill>
            <w14:solidFill>
              <w14:schemeClr w14:val="tx1"/>
            </w14:solidFill>
          </w14:textFill>
        </w:rPr>
      </w:pPr>
    </w:p>
    <w:p w14:paraId="2DDEB785">
      <w:pPr>
        <w:pStyle w:val="38"/>
        <w:rPr>
          <w:rFonts w:hint="eastAsia" w:ascii="宋体" w:hAnsi="宋体" w:eastAsia="宋体" w:cs="宋体"/>
          <w:color w:val="000000" w:themeColor="text1"/>
          <w:highlight w:val="none"/>
          <w14:textFill>
            <w14:solidFill>
              <w14:schemeClr w14:val="tx1"/>
            </w14:solidFill>
          </w14:textFill>
        </w:rPr>
      </w:pPr>
    </w:p>
    <w:p w14:paraId="2DD30A39">
      <w:pPr>
        <w:rPr>
          <w:rFonts w:hint="eastAsia" w:ascii="宋体" w:hAnsi="宋体" w:eastAsia="宋体" w:cs="宋体"/>
          <w:color w:val="000000" w:themeColor="text1"/>
          <w:highlight w:val="none"/>
          <w14:textFill>
            <w14:solidFill>
              <w14:schemeClr w14:val="tx1"/>
            </w14:solidFill>
          </w14:textFill>
        </w:rPr>
      </w:pPr>
    </w:p>
    <w:p w14:paraId="7DE6D9BC">
      <w:pPr>
        <w:pStyle w:val="38"/>
        <w:rPr>
          <w:rFonts w:hint="eastAsia"/>
          <w:color w:val="000000" w:themeColor="text1"/>
          <w14:textFill>
            <w14:solidFill>
              <w14:schemeClr w14:val="tx1"/>
            </w14:solidFill>
          </w14:textFill>
        </w:rPr>
      </w:pPr>
    </w:p>
    <w:p w14:paraId="3E58269D">
      <w:pPr>
        <w:rPr>
          <w:rFonts w:hint="eastAsia" w:ascii="宋体" w:hAnsi="宋体" w:eastAsia="宋体" w:cs="宋体"/>
          <w:color w:val="000000" w:themeColor="text1"/>
          <w:highlight w:val="none"/>
          <w14:textFill>
            <w14:solidFill>
              <w14:schemeClr w14:val="tx1"/>
            </w14:solidFill>
          </w14:textFill>
        </w:rPr>
      </w:pPr>
    </w:p>
    <w:p w14:paraId="3A83F25B">
      <w:pPr>
        <w:pStyle w:val="4"/>
        <w:rPr>
          <w:rFonts w:hint="eastAsia"/>
          <w:color w:val="000000" w:themeColor="text1"/>
          <w14:textFill>
            <w14:solidFill>
              <w14:schemeClr w14:val="tx1"/>
            </w14:solidFill>
          </w14:textFill>
        </w:rPr>
      </w:pPr>
    </w:p>
    <w:p w14:paraId="1C3E30DA">
      <w:pPr>
        <w:rPr>
          <w:rFonts w:hint="eastAsia"/>
          <w:color w:val="000000" w:themeColor="text1"/>
          <w14:textFill>
            <w14:solidFill>
              <w14:schemeClr w14:val="tx1"/>
            </w14:solidFill>
          </w14:textFill>
        </w:rPr>
      </w:pPr>
    </w:p>
    <w:p w14:paraId="6BCF873A">
      <w:pPr>
        <w:pStyle w:val="4"/>
        <w:outlineLvl w:val="9"/>
        <w:rPr>
          <w:rFonts w:hint="eastAsia"/>
          <w:color w:val="000000" w:themeColor="text1"/>
          <w14:textFill>
            <w14:solidFill>
              <w14:schemeClr w14:val="tx1"/>
            </w14:solidFill>
          </w14:textFill>
        </w:rPr>
      </w:pPr>
    </w:p>
    <w:p w14:paraId="7FB44244">
      <w:pPr>
        <w:shd w:val="clear" w:color="auto" w:fill="auto"/>
        <w:jc w:val="center"/>
        <w:outlineLvl w:val="2"/>
        <w:rPr>
          <w:rFonts w:hint="eastAsia" w:ascii="宋体" w:hAnsi="宋体" w:eastAsia="宋体" w:cs="宋体"/>
          <w:b/>
          <w:bCs/>
          <w:color w:val="000000" w:themeColor="text1"/>
          <w:sz w:val="32"/>
          <w:szCs w:val="40"/>
          <w:highlight w:val="none"/>
          <w:lang w:eastAsia="zh-CN"/>
          <w14:textFill>
            <w14:solidFill>
              <w14:schemeClr w14:val="tx1"/>
            </w14:solidFill>
          </w14:textFill>
        </w:rPr>
      </w:pPr>
      <w:r>
        <w:rPr>
          <w:rFonts w:hint="eastAsia" w:ascii="宋体" w:hAnsi="宋体" w:eastAsia="宋体" w:cs="宋体"/>
          <w:b/>
          <w:bCs/>
          <w:color w:val="000000" w:themeColor="text1"/>
          <w:sz w:val="32"/>
          <w:szCs w:val="40"/>
          <w:highlight w:val="none"/>
          <w:lang w:val="en-US" w:eastAsia="zh-CN"/>
          <w14:textFill>
            <w14:solidFill>
              <w14:schemeClr w14:val="tx1"/>
            </w14:solidFill>
          </w14:textFill>
        </w:rPr>
        <w:t xml:space="preserve"> </w:t>
      </w:r>
      <w:bookmarkStart w:id="200" w:name="_Toc9889"/>
      <w:r>
        <w:rPr>
          <w:rFonts w:hint="eastAsia" w:ascii="宋体" w:hAnsi="宋体" w:eastAsia="宋体" w:cs="宋体"/>
          <w:b/>
          <w:bCs/>
          <w:color w:val="000000" w:themeColor="text1"/>
          <w:sz w:val="32"/>
          <w:szCs w:val="40"/>
          <w:highlight w:val="none"/>
          <w:lang w:val="en-US" w:eastAsia="zh-CN"/>
          <w14:textFill>
            <w14:solidFill>
              <w14:schemeClr w14:val="tx1"/>
            </w14:solidFill>
          </w14:textFill>
        </w:rPr>
        <w:t>8、</w:t>
      </w:r>
      <w:r>
        <w:rPr>
          <w:rFonts w:hint="eastAsia" w:ascii="宋体" w:hAnsi="宋体" w:eastAsia="宋体" w:cs="宋体"/>
          <w:b/>
          <w:bCs/>
          <w:color w:val="000000" w:themeColor="text1"/>
          <w:sz w:val="32"/>
          <w:szCs w:val="40"/>
          <w:highlight w:val="none"/>
          <w:lang w:eastAsia="zh-CN"/>
          <w14:textFill>
            <w14:solidFill>
              <w14:schemeClr w14:val="tx1"/>
            </w14:solidFill>
          </w14:textFill>
        </w:rPr>
        <w:t>中小企业声明函(货物)</w:t>
      </w:r>
      <w:bookmarkEnd w:id="200"/>
    </w:p>
    <w:p w14:paraId="6F33A47F">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p>
    <w:p w14:paraId="722887B6">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6D9DBC9B">
      <w:pPr>
        <w:numPr>
          <w:ilvl w:val="0"/>
          <w:numId w:val="12"/>
        </w:num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（标的名称）</w:t>
      </w:r>
      <w:r>
        <w:rPr>
          <w:rFonts w:hint="eastAsia" w:ascii="仿宋" w:hAnsi="仿宋" w:eastAsia="仿宋" w:cs="仿宋"/>
          <w:color w:val="000000" w:themeColor="text1"/>
          <w:highlight w:val="none"/>
          <w:lang w:eastAsia="zh-CN"/>
          <w14:textFill>
            <w14:solidFill>
              <w14:schemeClr w14:val="tx1"/>
            </w14:solidFill>
          </w14:textFill>
        </w:rPr>
        <w:t>，属于</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（采购文件中明确的所属行业）</w:t>
      </w:r>
      <w:r>
        <w:rPr>
          <w:rFonts w:hint="eastAsia" w:ascii="仿宋" w:hAnsi="仿宋" w:eastAsia="仿宋" w:cs="仿宋"/>
          <w:color w:val="000000" w:themeColor="text1"/>
          <w:highlight w:val="none"/>
          <w:lang w:eastAsia="zh-CN"/>
          <w14:textFill>
            <w14:solidFill>
              <w14:schemeClr w14:val="tx1"/>
            </w14:solidFill>
          </w14:textFill>
        </w:rPr>
        <w:t>；制造商为</w:t>
      </w:r>
      <w:r>
        <w:rPr>
          <w:rFonts w:hint="eastAsia" w:ascii="仿宋" w:hAnsi="仿宋" w:eastAsia="仿宋" w:cs="仿宋"/>
          <w:color w:val="000000" w:themeColor="text1"/>
          <w:highlight w:val="none"/>
          <w:u w:val="single"/>
          <w:lang w:eastAsia="zh-CN"/>
          <w14:textFill>
            <w14:solidFill>
              <w14:schemeClr w14:val="tx1"/>
            </w14:solidFill>
          </w14:textFill>
        </w:rPr>
        <w:t>（企业名称）</w:t>
      </w:r>
      <w:r>
        <w:rPr>
          <w:rFonts w:hint="eastAsia" w:ascii="仿宋" w:hAnsi="仿宋" w:eastAsia="仿宋" w:cs="仿宋"/>
          <w:color w:val="000000" w:themeColor="text1"/>
          <w:highlight w:val="none"/>
          <w:lang w:eastAsia="zh-CN"/>
          <w14:textFill>
            <w14:solidFill>
              <w14:schemeClr w14:val="tx1"/>
            </w14:solidFill>
          </w14:textFill>
        </w:rPr>
        <w:t>，从业人员</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人，营业收入为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万元，资产总额为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万元，属于</w:t>
      </w:r>
      <w:r>
        <w:rPr>
          <w:rFonts w:hint="eastAsia" w:ascii="仿宋" w:hAnsi="仿宋" w:eastAsia="仿宋" w:cs="仿宋"/>
          <w:color w:val="000000" w:themeColor="text1"/>
          <w:highlight w:val="none"/>
          <w:u w:val="single"/>
          <w:lang w:eastAsia="zh-CN"/>
          <w14:textFill>
            <w14:solidFill>
              <w14:schemeClr w14:val="tx1"/>
            </w14:solidFill>
          </w14:textFill>
        </w:rPr>
        <w:t>（中型企业、小型企业、微型企业</w:t>
      </w:r>
      <w:r>
        <w:rPr>
          <w:rFonts w:hint="eastAsia" w:ascii="仿宋" w:hAnsi="仿宋" w:eastAsia="仿宋" w:cs="仿宋"/>
          <w:color w:val="000000" w:themeColor="text1"/>
          <w:highlight w:val="none"/>
          <w:lang w:eastAsia="zh-CN"/>
          <w14:textFill>
            <w14:solidFill>
              <w14:schemeClr w14:val="tx1"/>
            </w14:solidFill>
          </w14:textFill>
        </w:rPr>
        <w:t>）；</w:t>
      </w:r>
    </w:p>
    <w:p w14:paraId="22BAB834">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2. </w:t>
      </w:r>
      <w:r>
        <w:rPr>
          <w:rFonts w:hint="eastAsia" w:ascii="仿宋" w:hAnsi="仿宋" w:eastAsia="仿宋" w:cs="仿宋"/>
          <w:color w:val="000000" w:themeColor="text1"/>
          <w:highlight w:val="none"/>
          <w:u w:val="single"/>
          <w:lang w:eastAsia="zh-CN"/>
          <w14:textFill>
            <w14:solidFill>
              <w14:schemeClr w14:val="tx1"/>
            </w14:solidFill>
          </w14:textFill>
        </w:rPr>
        <w:t xml:space="preserve"> （标的名称）</w:t>
      </w:r>
      <w:r>
        <w:rPr>
          <w:rFonts w:hint="eastAsia" w:ascii="仿宋" w:hAnsi="仿宋" w:eastAsia="仿宋" w:cs="仿宋"/>
          <w:color w:val="000000" w:themeColor="text1"/>
          <w:highlight w:val="none"/>
          <w:lang w:eastAsia="zh-CN"/>
          <w14:textFill>
            <w14:solidFill>
              <w14:schemeClr w14:val="tx1"/>
            </w14:solidFill>
          </w14:textFill>
        </w:rPr>
        <w:t>，属于</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 xml:space="preserve">（采购文件明中确的所属行业） </w:t>
      </w:r>
      <w:r>
        <w:rPr>
          <w:rFonts w:hint="eastAsia" w:ascii="仿宋" w:hAnsi="仿宋" w:eastAsia="仿宋" w:cs="仿宋"/>
          <w:color w:val="000000" w:themeColor="text1"/>
          <w:highlight w:val="none"/>
          <w:lang w:eastAsia="zh-CN"/>
          <w14:textFill>
            <w14:solidFill>
              <w14:schemeClr w14:val="tx1"/>
            </w14:solidFill>
          </w14:textFill>
        </w:rPr>
        <w:t>；制造商为</w:t>
      </w:r>
      <w:r>
        <w:rPr>
          <w:rFonts w:hint="eastAsia" w:ascii="仿宋" w:hAnsi="仿宋" w:eastAsia="仿宋" w:cs="仿宋"/>
          <w:color w:val="000000" w:themeColor="text1"/>
          <w:highlight w:val="none"/>
          <w:u w:val="single"/>
          <w:lang w:eastAsia="zh-CN"/>
          <w14:textFill>
            <w14:solidFill>
              <w14:schemeClr w14:val="tx1"/>
            </w14:solidFill>
          </w14:textFill>
        </w:rPr>
        <w:t xml:space="preserve"> （企业名称）</w:t>
      </w:r>
      <w:r>
        <w:rPr>
          <w:rFonts w:hint="eastAsia" w:ascii="仿宋" w:hAnsi="仿宋" w:eastAsia="仿宋" w:cs="仿宋"/>
          <w:color w:val="000000" w:themeColor="text1"/>
          <w:highlight w:val="none"/>
          <w:lang w:eastAsia="zh-CN"/>
          <w14:textFill>
            <w14:solidFill>
              <w14:schemeClr w14:val="tx1"/>
            </w14:solidFill>
          </w14:textFill>
        </w:rPr>
        <w:t>，从业人员</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人，营业收入为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万元，资产总额为</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万元，属于</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（中型企业、小型企业、微型企业）</w:t>
      </w:r>
      <w:r>
        <w:rPr>
          <w:rFonts w:hint="eastAsia" w:ascii="仿宋" w:hAnsi="仿宋" w:eastAsia="仿宋" w:cs="仿宋"/>
          <w:color w:val="000000" w:themeColor="text1"/>
          <w:highlight w:val="none"/>
          <w:lang w:eastAsia="zh-CN"/>
          <w14:textFill>
            <w14:solidFill>
              <w14:schemeClr w14:val="tx1"/>
            </w14:solidFill>
          </w14:textFill>
        </w:rPr>
        <w:t>；</w:t>
      </w:r>
    </w:p>
    <w:p w14:paraId="1002F800">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p>
    <w:p w14:paraId="77388CE7">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以上企业，不属于大企业的分支机构，不存在控股股东为大企业的情形，也不存在与大企业的负责人为同一人的情形。</w:t>
      </w:r>
    </w:p>
    <w:p w14:paraId="1DDA6668">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p>
    <w:p w14:paraId="556188A6">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本企业对上述声明内容的真实性负责。如有虚假，将依法承担相应责任。</w:t>
      </w:r>
    </w:p>
    <w:p w14:paraId="39E39557">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p>
    <w:p w14:paraId="5BD0217C">
      <w:pPr>
        <w:spacing w:line="360" w:lineRule="auto"/>
        <w:ind w:firstLine="420" w:firstLineChars="200"/>
        <w:rPr>
          <w:rFonts w:ascii="仿宋" w:hAnsi="仿宋" w:eastAsia="仿宋" w:cs="仿宋"/>
          <w:color w:val="000000" w:themeColor="text1"/>
          <w:highlight w:val="none"/>
          <w:lang w:eastAsia="zh-CN"/>
          <w14:textFill>
            <w14:solidFill>
              <w14:schemeClr w14:val="tx1"/>
            </w14:solidFill>
          </w14:textFill>
        </w:rPr>
      </w:pPr>
    </w:p>
    <w:p w14:paraId="1BD6CA07">
      <w:pPr>
        <w:spacing w:line="360" w:lineRule="auto"/>
        <w:ind w:firstLine="3990" w:firstLineChars="19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企业名称（盖章）：</w:t>
      </w:r>
    </w:p>
    <w:p w14:paraId="68E6FFD6">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日期：</w:t>
      </w:r>
    </w:p>
    <w:p w14:paraId="52B76E2E">
      <w:pPr>
        <w:pStyle w:val="4"/>
        <w:rPr>
          <w:rFonts w:hint="eastAsia" w:ascii="仿宋" w:hAnsi="仿宋" w:eastAsia="仿宋" w:cs="仿宋"/>
          <w:color w:val="000000" w:themeColor="text1"/>
          <w:highlight w:val="none"/>
          <w:lang w:eastAsia="zh-CN"/>
          <w14:textFill>
            <w14:solidFill>
              <w14:schemeClr w14:val="tx1"/>
            </w14:solidFill>
          </w14:textFill>
        </w:rPr>
      </w:pPr>
    </w:p>
    <w:p w14:paraId="632BDFCC">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说明 ：对中小企业的认定 ，由货物制造商或者工程、服务投标人注册登记所在地的县级以上人民政府中 小企业主管部门负责。如因投标人提供的《中小企业声明函》  引起的质疑、投诉、信访或其他方式情况 反映等 ，投标人须自行澄清 ，并提供由中小企业主管部门出具的企业划型证明。对于不能出具企业划型 证明的投标人 ，自行承担由此产生的一切后果 ，包括声明内容视为无效、不享受相关政府采购优惠政策等。</w:t>
      </w:r>
    </w:p>
    <w:p w14:paraId="42D8FC4E">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sectPr>
          <w:footerReference r:id="rId16" w:type="default"/>
          <w:pgSz w:w="11907" w:h="16840"/>
          <w:pgMar w:top="1440" w:right="1080" w:bottom="1440" w:left="1080" w:header="0" w:footer="1086" w:gutter="0"/>
          <w:pgNumType w:fmt="decimal"/>
          <w:cols w:space="720" w:num="1"/>
        </w:sectPr>
      </w:pPr>
    </w:p>
    <w:p w14:paraId="791366C0">
      <w:pPr>
        <w:rPr>
          <w:rFonts w:hint="eastAsia"/>
          <w:color w:val="000000" w:themeColor="text1"/>
          <w:lang w:eastAsia="zh-CN"/>
          <w14:textFill>
            <w14:solidFill>
              <w14:schemeClr w14:val="tx1"/>
            </w14:solidFill>
          </w14:textFill>
        </w:rPr>
      </w:pPr>
    </w:p>
    <w:p w14:paraId="4CDF9C73">
      <w:pPr>
        <w:jc w:val="left"/>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附：</w:t>
      </w:r>
    </w:p>
    <w:p w14:paraId="1147CE4C">
      <w:pPr>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中小微企业划型标准</w:t>
      </w:r>
    </w:p>
    <w:tbl>
      <w:tblPr>
        <w:tblStyle w:val="50"/>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65DDA239">
        <w:tblPrEx>
          <w:tblCellMar>
            <w:top w:w="0" w:type="dxa"/>
            <w:left w:w="108" w:type="dxa"/>
            <w:bottom w:w="0" w:type="dxa"/>
            <w:right w:w="108" w:type="dxa"/>
          </w:tblCellMar>
        </w:tblPrEx>
        <w:trPr>
          <w:trHeight w:val="451"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521B367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行业名称</w:t>
            </w:r>
          </w:p>
        </w:tc>
        <w:tc>
          <w:tcPr>
            <w:tcW w:w="1660" w:type="dxa"/>
            <w:tcBorders>
              <w:top w:val="single" w:color="auto" w:sz="4" w:space="0"/>
              <w:left w:val="nil"/>
              <w:bottom w:val="single" w:color="auto" w:sz="4" w:space="0"/>
              <w:right w:val="single" w:color="auto" w:sz="4" w:space="0"/>
            </w:tcBorders>
            <w:noWrap w:val="0"/>
            <w:vAlign w:val="center"/>
          </w:tcPr>
          <w:p w14:paraId="0D0FAD5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指标名称</w:t>
            </w:r>
          </w:p>
        </w:tc>
        <w:tc>
          <w:tcPr>
            <w:tcW w:w="1466" w:type="dxa"/>
            <w:tcBorders>
              <w:top w:val="single" w:color="auto" w:sz="4" w:space="0"/>
              <w:left w:val="nil"/>
              <w:bottom w:val="single" w:color="auto" w:sz="4" w:space="0"/>
              <w:right w:val="single" w:color="auto" w:sz="4" w:space="0"/>
            </w:tcBorders>
            <w:noWrap w:val="0"/>
            <w:vAlign w:val="center"/>
          </w:tcPr>
          <w:p w14:paraId="563083B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计量单位</w:t>
            </w:r>
          </w:p>
        </w:tc>
        <w:tc>
          <w:tcPr>
            <w:tcW w:w="1903" w:type="dxa"/>
            <w:tcBorders>
              <w:top w:val="single" w:color="auto" w:sz="4" w:space="0"/>
              <w:left w:val="nil"/>
              <w:bottom w:val="single" w:color="auto" w:sz="4" w:space="0"/>
              <w:right w:val="single" w:color="auto" w:sz="4" w:space="0"/>
            </w:tcBorders>
            <w:noWrap w:val="0"/>
            <w:vAlign w:val="center"/>
          </w:tcPr>
          <w:p w14:paraId="2CAD7DA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中型</w:t>
            </w:r>
          </w:p>
        </w:tc>
        <w:tc>
          <w:tcPr>
            <w:tcW w:w="1692" w:type="dxa"/>
            <w:tcBorders>
              <w:top w:val="single" w:color="auto" w:sz="4" w:space="0"/>
              <w:left w:val="nil"/>
              <w:bottom w:val="single" w:color="auto" w:sz="4" w:space="0"/>
              <w:right w:val="single" w:color="auto" w:sz="4" w:space="0"/>
            </w:tcBorders>
            <w:noWrap w:val="0"/>
            <w:vAlign w:val="center"/>
          </w:tcPr>
          <w:p w14:paraId="737BB12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小型</w:t>
            </w:r>
          </w:p>
        </w:tc>
        <w:tc>
          <w:tcPr>
            <w:tcW w:w="1087" w:type="dxa"/>
            <w:tcBorders>
              <w:top w:val="single" w:color="auto" w:sz="4" w:space="0"/>
              <w:left w:val="nil"/>
              <w:bottom w:val="single" w:color="auto" w:sz="4" w:space="0"/>
              <w:right w:val="single" w:color="auto" w:sz="4" w:space="0"/>
            </w:tcBorders>
            <w:noWrap w:val="0"/>
            <w:vAlign w:val="center"/>
          </w:tcPr>
          <w:p w14:paraId="3CEDA84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color w:val="000000" w:themeColor="text1"/>
                <w:kern w:val="0"/>
                <w:sz w:val="22"/>
                <w:szCs w:val="22"/>
                <w:highlight w:val="none"/>
                <w14:textFill>
                  <w14:solidFill>
                    <w14:schemeClr w14:val="tx1"/>
                  </w14:solidFill>
                </w14:textFill>
              </w:rPr>
              <w:t>微型</w:t>
            </w:r>
          </w:p>
        </w:tc>
      </w:tr>
      <w:tr w14:paraId="65B536DA">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09502E2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农、林、牧、渔</w:t>
            </w:r>
          </w:p>
        </w:tc>
        <w:tc>
          <w:tcPr>
            <w:tcW w:w="1660" w:type="dxa"/>
            <w:tcBorders>
              <w:top w:val="nil"/>
              <w:left w:val="nil"/>
              <w:bottom w:val="single" w:color="auto" w:sz="4" w:space="0"/>
              <w:right w:val="single" w:color="auto" w:sz="4" w:space="0"/>
            </w:tcBorders>
            <w:noWrap w:val="0"/>
            <w:vAlign w:val="center"/>
          </w:tcPr>
          <w:p w14:paraId="71AE002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36696A2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22CDB00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500≤Y＜20000</w:t>
            </w:r>
          </w:p>
        </w:tc>
        <w:tc>
          <w:tcPr>
            <w:tcW w:w="1692" w:type="dxa"/>
            <w:tcBorders>
              <w:top w:val="nil"/>
              <w:left w:val="nil"/>
              <w:bottom w:val="single" w:color="auto" w:sz="4" w:space="0"/>
              <w:right w:val="single" w:color="auto" w:sz="4" w:space="0"/>
            </w:tcBorders>
            <w:noWrap w:val="0"/>
            <w:vAlign w:val="center"/>
          </w:tcPr>
          <w:p w14:paraId="4B84C9A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50≤Y＜500</w:t>
            </w:r>
          </w:p>
        </w:tc>
        <w:tc>
          <w:tcPr>
            <w:tcW w:w="1087" w:type="dxa"/>
            <w:tcBorders>
              <w:top w:val="nil"/>
              <w:left w:val="nil"/>
              <w:bottom w:val="single" w:color="auto" w:sz="4" w:space="0"/>
              <w:right w:val="single" w:color="auto" w:sz="4" w:space="0"/>
            </w:tcBorders>
            <w:noWrap w:val="0"/>
            <w:vAlign w:val="center"/>
          </w:tcPr>
          <w:p w14:paraId="164EFBB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Y＜50</w:t>
            </w:r>
          </w:p>
        </w:tc>
      </w:tr>
      <w:tr w14:paraId="3EDC2F4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2B690D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工业</w:t>
            </w:r>
          </w:p>
        </w:tc>
        <w:tc>
          <w:tcPr>
            <w:tcW w:w="1660" w:type="dxa"/>
            <w:tcBorders>
              <w:top w:val="nil"/>
              <w:left w:val="nil"/>
              <w:bottom w:val="single" w:color="auto" w:sz="4" w:space="0"/>
              <w:right w:val="single" w:color="auto" w:sz="4" w:space="0"/>
            </w:tcBorders>
            <w:noWrap w:val="0"/>
            <w:vAlign w:val="center"/>
          </w:tcPr>
          <w:p w14:paraId="21A96E7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48F4794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677CE7F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300≤X＜1000</w:t>
            </w:r>
          </w:p>
        </w:tc>
        <w:tc>
          <w:tcPr>
            <w:tcW w:w="1692" w:type="dxa"/>
            <w:tcBorders>
              <w:top w:val="nil"/>
              <w:left w:val="nil"/>
              <w:bottom w:val="single" w:color="auto" w:sz="4" w:space="0"/>
              <w:right w:val="single" w:color="auto" w:sz="4" w:space="0"/>
            </w:tcBorders>
            <w:noWrap w:val="0"/>
            <w:vAlign w:val="center"/>
          </w:tcPr>
          <w:p w14:paraId="46AA54D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20≤X＜300</w:t>
            </w:r>
          </w:p>
        </w:tc>
        <w:tc>
          <w:tcPr>
            <w:tcW w:w="1087" w:type="dxa"/>
            <w:tcBorders>
              <w:top w:val="nil"/>
              <w:left w:val="nil"/>
              <w:bottom w:val="single" w:color="auto" w:sz="4" w:space="0"/>
              <w:right w:val="single" w:color="auto" w:sz="4" w:space="0"/>
            </w:tcBorders>
            <w:noWrap w:val="0"/>
            <w:vAlign w:val="center"/>
          </w:tcPr>
          <w:p w14:paraId="253E290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X＜20</w:t>
            </w:r>
          </w:p>
        </w:tc>
      </w:tr>
      <w:tr w14:paraId="02B8DA7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61E7A7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0DE3473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42FD688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69D0825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2000≤Y＜40000</w:t>
            </w:r>
          </w:p>
        </w:tc>
        <w:tc>
          <w:tcPr>
            <w:tcW w:w="1692" w:type="dxa"/>
            <w:tcBorders>
              <w:top w:val="nil"/>
              <w:left w:val="nil"/>
              <w:bottom w:val="single" w:color="auto" w:sz="4" w:space="0"/>
              <w:right w:val="single" w:color="auto" w:sz="4" w:space="0"/>
            </w:tcBorders>
            <w:noWrap w:val="0"/>
            <w:vAlign w:val="center"/>
          </w:tcPr>
          <w:p w14:paraId="153B61A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300≤Y＜2000</w:t>
            </w:r>
          </w:p>
        </w:tc>
        <w:tc>
          <w:tcPr>
            <w:tcW w:w="1087" w:type="dxa"/>
            <w:tcBorders>
              <w:top w:val="nil"/>
              <w:left w:val="nil"/>
              <w:bottom w:val="single" w:color="auto" w:sz="4" w:space="0"/>
              <w:right w:val="single" w:color="auto" w:sz="4" w:space="0"/>
            </w:tcBorders>
            <w:noWrap w:val="0"/>
            <w:vAlign w:val="center"/>
          </w:tcPr>
          <w:p w14:paraId="209588A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Y＜300</w:t>
            </w:r>
          </w:p>
        </w:tc>
      </w:tr>
      <w:tr w14:paraId="5D17417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464727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建筑业</w:t>
            </w:r>
          </w:p>
        </w:tc>
        <w:tc>
          <w:tcPr>
            <w:tcW w:w="1660" w:type="dxa"/>
            <w:tcBorders>
              <w:top w:val="nil"/>
              <w:left w:val="nil"/>
              <w:bottom w:val="single" w:color="auto" w:sz="4" w:space="0"/>
              <w:right w:val="single" w:color="auto" w:sz="4" w:space="0"/>
            </w:tcBorders>
            <w:noWrap w:val="0"/>
            <w:vAlign w:val="center"/>
          </w:tcPr>
          <w:p w14:paraId="0095280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1BC0173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5A43193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6000≤Y＜80000</w:t>
            </w:r>
          </w:p>
        </w:tc>
        <w:tc>
          <w:tcPr>
            <w:tcW w:w="1692" w:type="dxa"/>
            <w:tcBorders>
              <w:top w:val="nil"/>
              <w:left w:val="nil"/>
              <w:bottom w:val="single" w:color="auto" w:sz="4" w:space="0"/>
              <w:right w:val="single" w:color="auto" w:sz="4" w:space="0"/>
            </w:tcBorders>
            <w:noWrap w:val="0"/>
            <w:vAlign w:val="center"/>
          </w:tcPr>
          <w:p w14:paraId="2E74EF2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300≤Y＜6000</w:t>
            </w:r>
          </w:p>
        </w:tc>
        <w:tc>
          <w:tcPr>
            <w:tcW w:w="1087" w:type="dxa"/>
            <w:tcBorders>
              <w:top w:val="nil"/>
              <w:left w:val="nil"/>
              <w:bottom w:val="single" w:color="auto" w:sz="4" w:space="0"/>
              <w:right w:val="single" w:color="auto" w:sz="4" w:space="0"/>
            </w:tcBorders>
            <w:noWrap w:val="0"/>
            <w:vAlign w:val="center"/>
          </w:tcPr>
          <w:p w14:paraId="431BD6C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Y＜300</w:t>
            </w:r>
          </w:p>
        </w:tc>
      </w:tr>
      <w:tr w14:paraId="5F998D8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80254B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799E35D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资产总额（Z）</w:t>
            </w:r>
          </w:p>
        </w:tc>
        <w:tc>
          <w:tcPr>
            <w:tcW w:w="1466" w:type="dxa"/>
            <w:tcBorders>
              <w:top w:val="nil"/>
              <w:left w:val="nil"/>
              <w:bottom w:val="single" w:color="auto" w:sz="4" w:space="0"/>
              <w:right w:val="single" w:color="auto" w:sz="4" w:space="0"/>
            </w:tcBorders>
            <w:noWrap w:val="0"/>
            <w:vAlign w:val="center"/>
          </w:tcPr>
          <w:p w14:paraId="294423D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6180111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5000≤Z＜80000</w:t>
            </w:r>
          </w:p>
        </w:tc>
        <w:tc>
          <w:tcPr>
            <w:tcW w:w="1692" w:type="dxa"/>
            <w:tcBorders>
              <w:top w:val="nil"/>
              <w:left w:val="nil"/>
              <w:bottom w:val="single" w:color="auto" w:sz="4" w:space="0"/>
              <w:right w:val="single" w:color="auto" w:sz="4" w:space="0"/>
            </w:tcBorders>
            <w:noWrap w:val="0"/>
            <w:vAlign w:val="center"/>
          </w:tcPr>
          <w:p w14:paraId="2961213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300≤Z＜5000</w:t>
            </w:r>
          </w:p>
        </w:tc>
        <w:tc>
          <w:tcPr>
            <w:tcW w:w="1087" w:type="dxa"/>
            <w:tcBorders>
              <w:top w:val="nil"/>
              <w:left w:val="nil"/>
              <w:bottom w:val="single" w:color="auto" w:sz="4" w:space="0"/>
              <w:right w:val="single" w:color="auto" w:sz="4" w:space="0"/>
            </w:tcBorders>
            <w:noWrap w:val="0"/>
            <w:vAlign w:val="center"/>
          </w:tcPr>
          <w:p w14:paraId="249176C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Z＜300</w:t>
            </w:r>
          </w:p>
        </w:tc>
      </w:tr>
      <w:tr w14:paraId="39C3769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2280E1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批发业</w:t>
            </w:r>
          </w:p>
        </w:tc>
        <w:tc>
          <w:tcPr>
            <w:tcW w:w="1660" w:type="dxa"/>
            <w:tcBorders>
              <w:top w:val="nil"/>
              <w:left w:val="nil"/>
              <w:bottom w:val="single" w:color="auto" w:sz="4" w:space="0"/>
              <w:right w:val="single" w:color="auto" w:sz="4" w:space="0"/>
            </w:tcBorders>
            <w:noWrap w:val="0"/>
            <w:vAlign w:val="center"/>
          </w:tcPr>
          <w:p w14:paraId="7C95AD4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0EF8030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0D47CDD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20≤X＜200</w:t>
            </w:r>
          </w:p>
        </w:tc>
        <w:tc>
          <w:tcPr>
            <w:tcW w:w="1692" w:type="dxa"/>
            <w:tcBorders>
              <w:top w:val="nil"/>
              <w:left w:val="nil"/>
              <w:bottom w:val="single" w:color="auto" w:sz="4" w:space="0"/>
              <w:right w:val="single" w:color="auto" w:sz="4" w:space="0"/>
            </w:tcBorders>
            <w:noWrap w:val="0"/>
            <w:vAlign w:val="center"/>
          </w:tcPr>
          <w:p w14:paraId="67789CC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5≤X＜20</w:t>
            </w:r>
          </w:p>
        </w:tc>
        <w:tc>
          <w:tcPr>
            <w:tcW w:w="1087" w:type="dxa"/>
            <w:tcBorders>
              <w:top w:val="nil"/>
              <w:left w:val="nil"/>
              <w:bottom w:val="single" w:color="auto" w:sz="4" w:space="0"/>
              <w:right w:val="single" w:color="auto" w:sz="4" w:space="0"/>
            </w:tcBorders>
            <w:noWrap w:val="0"/>
            <w:vAlign w:val="center"/>
          </w:tcPr>
          <w:p w14:paraId="5E530E7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X＜5</w:t>
            </w:r>
          </w:p>
        </w:tc>
      </w:tr>
      <w:tr w14:paraId="08B792D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765020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0B15204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7F939F7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505199F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5000≤Y＜40000</w:t>
            </w:r>
          </w:p>
        </w:tc>
        <w:tc>
          <w:tcPr>
            <w:tcW w:w="1692" w:type="dxa"/>
            <w:tcBorders>
              <w:top w:val="nil"/>
              <w:left w:val="nil"/>
              <w:bottom w:val="single" w:color="auto" w:sz="4" w:space="0"/>
              <w:right w:val="single" w:color="auto" w:sz="4" w:space="0"/>
            </w:tcBorders>
            <w:noWrap w:val="0"/>
            <w:vAlign w:val="center"/>
          </w:tcPr>
          <w:p w14:paraId="30C7449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1000≤Y＜5000</w:t>
            </w:r>
          </w:p>
        </w:tc>
        <w:tc>
          <w:tcPr>
            <w:tcW w:w="1087" w:type="dxa"/>
            <w:tcBorders>
              <w:top w:val="nil"/>
              <w:left w:val="nil"/>
              <w:bottom w:val="single" w:color="auto" w:sz="4" w:space="0"/>
              <w:right w:val="single" w:color="auto" w:sz="4" w:space="0"/>
            </w:tcBorders>
            <w:noWrap w:val="0"/>
            <w:vAlign w:val="center"/>
          </w:tcPr>
          <w:p w14:paraId="04CE2B8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Y＜1000</w:t>
            </w:r>
          </w:p>
        </w:tc>
      </w:tr>
      <w:tr w14:paraId="1E960AA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6BA8DD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零售业</w:t>
            </w:r>
          </w:p>
        </w:tc>
        <w:tc>
          <w:tcPr>
            <w:tcW w:w="1660" w:type="dxa"/>
            <w:tcBorders>
              <w:top w:val="nil"/>
              <w:left w:val="nil"/>
              <w:bottom w:val="single" w:color="auto" w:sz="4" w:space="0"/>
              <w:right w:val="single" w:color="auto" w:sz="4" w:space="0"/>
            </w:tcBorders>
            <w:noWrap w:val="0"/>
            <w:vAlign w:val="center"/>
          </w:tcPr>
          <w:p w14:paraId="13434C5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58C8C52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97BAE6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50≤X＜300</w:t>
            </w:r>
          </w:p>
        </w:tc>
        <w:tc>
          <w:tcPr>
            <w:tcW w:w="1692" w:type="dxa"/>
            <w:tcBorders>
              <w:top w:val="nil"/>
              <w:left w:val="nil"/>
              <w:bottom w:val="single" w:color="auto" w:sz="4" w:space="0"/>
              <w:right w:val="single" w:color="auto" w:sz="4" w:space="0"/>
            </w:tcBorders>
            <w:noWrap w:val="0"/>
            <w:vAlign w:val="center"/>
          </w:tcPr>
          <w:p w14:paraId="76491B5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10≤X＜50</w:t>
            </w:r>
          </w:p>
        </w:tc>
        <w:tc>
          <w:tcPr>
            <w:tcW w:w="1087" w:type="dxa"/>
            <w:tcBorders>
              <w:top w:val="nil"/>
              <w:left w:val="nil"/>
              <w:bottom w:val="single" w:color="auto" w:sz="4" w:space="0"/>
              <w:right w:val="single" w:color="auto" w:sz="4" w:space="0"/>
            </w:tcBorders>
            <w:noWrap w:val="0"/>
            <w:vAlign w:val="center"/>
          </w:tcPr>
          <w:p w14:paraId="31E3E57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w:t>
            </w:r>
          </w:p>
        </w:tc>
      </w:tr>
      <w:tr w14:paraId="090A53D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86029D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0CBC706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657C7DE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7EC0E0E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500≤Y＜20000</w:t>
            </w:r>
          </w:p>
        </w:tc>
        <w:tc>
          <w:tcPr>
            <w:tcW w:w="1692" w:type="dxa"/>
            <w:tcBorders>
              <w:top w:val="nil"/>
              <w:left w:val="nil"/>
              <w:bottom w:val="single" w:color="auto" w:sz="4" w:space="0"/>
              <w:right w:val="single" w:color="auto" w:sz="4" w:space="0"/>
            </w:tcBorders>
            <w:noWrap w:val="0"/>
            <w:vAlign w:val="center"/>
          </w:tcPr>
          <w:p w14:paraId="227BA8D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100≤Y＜500</w:t>
            </w:r>
          </w:p>
        </w:tc>
        <w:tc>
          <w:tcPr>
            <w:tcW w:w="1087" w:type="dxa"/>
            <w:tcBorders>
              <w:top w:val="nil"/>
              <w:left w:val="nil"/>
              <w:bottom w:val="single" w:color="auto" w:sz="4" w:space="0"/>
              <w:right w:val="single" w:color="auto" w:sz="4" w:space="0"/>
            </w:tcBorders>
            <w:noWrap w:val="0"/>
            <w:vAlign w:val="center"/>
          </w:tcPr>
          <w:p w14:paraId="7F14AA0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538A6FF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F14126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交通运输业</w:t>
            </w:r>
          </w:p>
        </w:tc>
        <w:tc>
          <w:tcPr>
            <w:tcW w:w="1660" w:type="dxa"/>
            <w:tcBorders>
              <w:top w:val="nil"/>
              <w:left w:val="nil"/>
              <w:bottom w:val="single" w:color="auto" w:sz="4" w:space="0"/>
              <w:right w:val="single" w:color="auto" w:sz="4" w:space="0"/>
            </w:tcBorders>
            <w:noWrap w:val="0"/>
            <w:vAlign w:val="center"/>
          </w:tcPr>
          <w:p w14:paraId="7AB24A2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089C627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C6F4D4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300≤X＜1000</w:t>
            </w:r>
          </w:p>
        </w:tc>
        <w:tc>
          <w:tcPr>
            <w:tcW w:w="1692" w:type="dxa"/>
            <w:tcBorders>
              <w:top w:val="nil"/>
              <w:left w:val="nil"/>
              <w:bottom w:val="single" w:color="auto" w:sz="4" w:space="0"/>
              <w:right w:val="single" w:color="auto" w:sz="4" w:space="0"/>
            </w:tcBorders>
            <w:noWrap w:val="0"/>
            <w:vAlign w:val="center"/>
          </w:tcPr>
          <w:p w14:paraId="0770E24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20≤X＜300</w:t>
            </w:r>
          </w:p>
        </w:tc>
        <w:tc>
          <w:tcPr>
            <w:tcW w:w="1087" w:type="dxa"/>
            <w:tcBorders>
              <w:top w:val="nil"/>
              <w:left w:val="nil"/>
              <w:bottom w:val="single" w:color="auto" w:sz="4" w:space="0"/>
              <w:right w:val="single" w:color="auto" w:sz="4" w:space="0"/>
            </w:tcBorders>
            <w:noWrap w:val="0"/>
            <w:vAlign w:val="center"/>
          </w:tcPr>
          <w:p w14:paraId="049A558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X＜20</w:t>
            </w:r>
          </w:p>
        </w:tc>
      </w:tr>
      <w:tr w14:paraId="3D72E50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F91ED4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6BAD4B3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594132D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012EAC4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3000≤Y＜30000</w:t>
            </w:r>
          </w:p>
        </w:tc>
        <w:tc>
          <w:tcPr>
            <w:tcW w:w="1692" w:type="dxa"/>
            <w:tcBorders>
              <w:top w:val="nil"/>
              <w:left w:val="nil"/>
              <w:bottom w:val="single" w:color="auto" w:sz="4" w:space="0"/>
              <w:right w:val="single" w:color="auto" w:sz="4" w:space="0"/>
            </w:tcBorders>
            <w:noWrap w:val="0"/>
            <w:vAlign w:val="center"/>
          </w:tcPr>
          <w:p w14:paraId="16DD0F3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200≤Y＜3000</w:t>
            </w:r>
          </w:p>
        </w:tc>
        <w:tc>
          <w:tcPr>
            <w:tcW w:w="1087" w:type="dxa"/>
            <w:tcBorders>
              <w:top w:val="nil"/>
              <w:left w:val="nil"/>
              <w:bottom w:val="single" w:color="auto" w:sz="4" w:space="0"/>
              <w:right w:val="single" w:color="auto" w:sz="4" w:space="0"/>
            </w:tcBorders>
            <w:noWrap w:val="0"/>
            <w:vAlign w:val="center"/>
          </w:tcPr>
          <w:p w14:paraId="571F5AA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Y＜200</w:t>
            </w:r>
          </w:p>
        </w:tc>
      </w:tr>
      <w:tr w14:paraId="5DC7F9C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6994BC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仓储业</w:t>
            </w:r>
          </w:p>
        </w:tc>
        <w:tc>
          <w:tcPr>
            <w:tcW w:w="1660" w:type="dxa"/>
            <w:tcBorders>
              <w:top w:val="nil"/>
              <w:left w:val="nil"/>
              <w:bottom w:val="single" w:color="auto" w:sz="4" w:space="0"/>
              <w:right w:val="single" w:color="auto" w:sz="4" w:space="0"/>
            </w:tcBorders>
            <w:noWrap w:val="0"/>
            <w:vAlign w:val="center"/>
          </w:tcPr>
          <w:p w14:paraId="200393E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3AF693C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05198E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100≤X＜200</w:t>
            </w:r>
          </w:p>
        </w:tc>
        <w:tc>
          <w:tcPr>
            <w:tcW w:w="1692" w:type="dxa"/>
            <w:tcBorders>
              <w:top w:val="nil"/>
              <w:left w:val="nil"/>
              <w:bottom w:val="single" w:color="auto" w:sz="4" w:space="0"/>
              <w:right w:val="single" w:color="auto" w:sz="4" w:space="0"/>
            </w:tcBorders>
            <w:noWrap w:val="0"/>
            <w:vAlign w:val="center"/>
          </w:tcPr>
          <w:p w14:paraId="1BE0F01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20≤X＜100</w:t>
            </w:r>
          </w:p>
        </w:tc>
        <w:tc>
          <w:tcPr>
            <w:tcW w:w="1087" w:type="dxa"/>
            <w:tcBorders>
              <w:top w:val="nil"/>
              <w:left w:val="nil"/>
              <w:bottom w:val="single" w:color="auto" w:sz="4" w:space="0"/>
              <w:right w:val="single" w:color="auto" w:sz="4" w:space="0"/>
            </w:tcBorders>
            <w:noWrap w:val="0"/>
            <w:vAlign w:val="center"/>
          </w:tcPr>
          <w:p w14:paraId="4F7DA91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X＜20</w:t>
            </w:r>
          </w:p>
        </w:tc>
      </w:tr>
      <w:tr w14:paraId="04BA8106">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8A8F07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7458CA0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25D045C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4249144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1000≤Y＜30000</w:t>
            </w:r>
          </w:p>
        </w:tc>
        <w:tc>
          <w:tcPr>
            <w:tcW w:w="1692" w:type="dxa"/>
            <w:tcBorders>
              <w:top w:val="nil"/>
              <w:left w:val="nil"/>
              <w:bottom w:val="single" w:color="auto" w:sz="4" w:space="0"/>
              <w:right w:val="single" w:color="auto" w:sz="4" w:space="0"/>
            </w:tcBorders>
            <w:noWrap w:val="0"/>
            <w:vAlign w:val="center"/>
          </w:tcPr>
          <w:p w14:paraId="48FC6DC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100≤Y＜1000</w:t>
            </w:r>
          </w:p>
        </w:tc>
        <w:tc>
          <w:tcPr>
            <w:tcW w:w="1087" w:type="dxa"/>
            <w:tcBorders>
              <w:top w:val="nil"/>
              <w:left w:val="nil"/>
              <w:bottom w:val="single" w:color="auto" w:sz="4" w:space="0"/>
              <w:right w:val="single" w:color="auto" w:sz="4" w:space="0"/>
            </w:tcBorders>
            <w:noWrap w:val="0"/>
            <w:vAlign w:val="center"/>
          </w:tcPr>
          <w:p w14:paraId="6068A1A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32621BA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20D077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邮政业</w:t>
            </w:r>
          </w:p>
        </w:tc>
        <w:tc>
          <w:tcPr>
            <w:tcW w:w="1660" w:type="dxa"/>
            <w:tcBorders>
              <w:top w:val="nil"/>
              <w:left w:val="nil"/>
              <w:bottom w:val="single" w:color="auto" w:sz="4" w:space="0"/>
              <w:right w:val="single" w:color="auto" w:sz="4" w:space="0"/>
            </w:tcBorders>
            <w:noWrap w:val="0"/>
            <w:vAlign w:val="center"/>
          </w:tcPr>
          <w:p w14:paraId="406D2F5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4A19C73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76A3DA3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300≤X＜1000</w:t>
            </w:r>
          </w:p>
        </w:tc>
        <w:tc>
          <w:tcPr>
            <w:tcW w:w="1692" w:type="dxa"/>
            <w:tcBorders>
              <w:top w:val="nil"/>
              <w:left w:val="nil"/>
              <w:bottom w:val="single" w:color="auto" w:sz="4" w:space="0"/>
              <w:right w:val="single" w:color="auto" w:sz="4" w:space="0"/>
            </w:tcBorders>
            <w:noWrap w:val="0"/>
            <w:vAlign w:val="center"/>
          </w:tcPr>
          <w:p w14:paraId="2B65135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20≤X＜300</w:t>
            </w:r>
          </w:p>
        </w:tc>
        <w:tc>
          <w:tcPr>
            <w:tcW w:w="1087" w:type="dxa"/>
            <w:tcBorders>
              <w:top w:val="nil"/>
              <w:left w:val="nil"/>
              <w:bottom w:val="single" w:color="auto" w:sz="4" w:space="0"/>
              <w:right w:val="single" w:color="auto" w:sz="4" w:space="0"/>
            </w:tcBorders>
            <w:noWrap w:val="0"/>
            <w:vAlign w:val="center"/>
          </w:tcPr>
          <w:p w14:paraId="050239C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X＜20</w:t>
            </w:r>
          </w:p>
        </w:tc>
      </w:tr>
      <w:tr w14:paraId="075617E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767A35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6AAC7D6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3C50BAA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04329AA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2000≤Y＜30000</w:t>
            </w:r>
          </w:p>
        </w:tc>
        <w:tc>
          <w:tcPr>
            <w:tcW w:w="1692" w:type="dxa"/>
            <w:tcBorders>
              <w:top w:val="nil"/>
              <w:left w:val="nil"/>
              <w:bottom w:val="single" w:color="auto" w:sz="4" w:space="0"/>
              <w:right w:val="single" w:color="auto" w:sz="4" w:space="0"/>
            </w:tcBorders>
            <w:noWrap w:val="0"/>
            <w:vAlign w:val="center"/>
          </w:tcPr>
          <w:p w14:paraId="44A1369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100≤Y＜2000</w:t>
            </w:r>
          </w:p>
        </w:tc>
        <w:tc>
          <w:tcPr>
            <w:tcW w:w="1087" w:type="dxa"/>
            <w:tcBorders>
              <w:top w:val="nil"/>
              <w:left w:val="nil"/>
              <w:bottom w:val="single" w:color="auto" w:sz="4" w:space="0"/>
              <w:right w:val="single" w:color="auto" w:sz="4" w:space="0"/>
            </w:tcBorders>
            <w:noWrap w:val="0"/>
            <w:vAlign w:val="center"/>
          </w:tcPr>
          <w:p w14:paraId="060BFE7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47F5F9A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30DBC6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住宿业</w:t>
            </w:r>
          </w:p>
        </w:tc>
        <w:tc>
          <w:tcPr>
            <w:tcW w:w="1660" w:type="dxa"/>
            <w:tcBorders>
              <w:top w:val="nil"/>
              <w:left w:val="nil"/>
              <w:bottom w:val="single" w:color="auto" w:sz="4" w:space="0"/>
              <w:right w:val="single" w:color="auto" w:sz="4" w:space="0"/>
            </w:tcBorders>
            <w:noWrap w:val="0"/>
            <w:vAlign w:val="center"/>
          </w:tcPr>
          <w:p w14:paraId="407DEE9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5D80C43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2377DA4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100≤X＜300</w:t>
            </w:r>
          </w:p>
        </w:tc>
        <w:tc>
          <w:tcPr>
            <w:tcW w:w="1692" w:type="dxa"/>
            <w:tcBorders>
              <w:top w:val="nil"/>
              <w:left w:val="nil"/>
              <w:bottom w:val="single" w:color="auto" w:sz="4" w:space="0"/>
              <w:right w:val="single" w:color="auto" w:sz="4" w:space="0"/>
            </w:tcBorders>
            <w:noWrap w:val="0"/>
            <w:vAlign w:val="center"/>
          </w:tcPr>
          <w:p w14:paraId="58FBFFF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1636653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w:t>
            </w:r>
          </w:p>
        </w:tc>
      </w:tr>
      <w:tr w14:paraId="302BBB3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782E18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5272629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48D1005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171B87E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2000≤Y＜10000</w:t>
            </w:r>
          </w:p>
        </w:tc>
        <w:tc>
          <w:tcPr>
            <w:tcW w:w="1692" w:type="dxa"/>
            <w:tcBorders>
              <w:top w:val="nil"/>
              <w:left w:val="nil"/>
              <w:bottom w:val="single" w:color="auto" w:sz="4" w:space="0"/>
              <w:right w:val="single" w:color="auto" w:sz="4" w:space="0"/>
            </w:tcBorders>
            <w:noWrap w:val="0"/>
            <w:vAlign w:val="center"/>
          </w:tcPr>
          <w:p w14:paraId="21FBCD7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100≤Y＜2000</w:t>
            </w:r>
          </w:p>
        </w:tc>
        <w:tc>
          <w:tcPr>
            <w:tcW w:w="1087" w:type="dxa"/>
            <w:tcBorders>
              <w:top w:val="nil"/>
              <w:left w:val="nil"/>
              <w:bottom w:val="single" w:color="auto" w:sz="4" w:space="0"/>
              <w:right w:val="single" w:color="auto" w:sz="4" w:space="0"/>
            </w:tcBorders>
            <w:noWrap w:val="0"/>
            <w:vAlign w:val="center"/>
          </w:tcPr>
          <w:p w14:paraId="50E9E29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2FE9DFF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0C855B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餐饮业</w:t>
            </w:r>
          </w:p>
        </w:tc>
        <w:tc>
          <w:tcPr>
            <w:tcW w:w="1660" w:type="dxa"/>
            <w:tcBorders>
              <w:top w:val="nil"/>
              <w:left w:val="nil"/>
              <w:bottom w:val="single" w:color="auto" w:sz="4" w:space="0"/>
              <w:right w:val="single" w:color="auto" w:sz="4" w:space="0"/>
            </w:tcBorders>
            <w:noWrap w:val="0"/>
            <w:vAlign w:val="center"/>
          </w:tcPr>
          <w:p w14:paraId="70A4E94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557E58E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1713B6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100≤X＜300</w:t>
            </w:r>
          </w:p>
        </w:tc>
        <w:tc>
          <w:tcPr>
            <w:tcW w:w="1692" w:type="dxa"/>
            <w:tcBorders>
              <w:top w:val="nil"/>
              <w:left w:val="nil"/>
              <w:bottom w:val="single" w:color="auto" w:sz="4" w:space="0"/>
              <w:right w:val="single" w:color="auto" w:sz="4" w:space="0"/>
            </w:tcBorders>
            <w:noWrap w:val="0"/>
            <w:vAlign w:val="center"/>
          </w:tcPr>
          <w:p w14:paraId="29357D3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26E392D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w:t>
            </w:r>
          </w:p>
        </w:tc>
      </w:tr>
      <w:tr w14:paraId="0A35D3D4">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BA4378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4B07858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372D601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51DFA15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2000≤Y＜10000</w:t>
            </w:r>
          </w:p>
        </w:tc>
        <w:tc>
          <w:tcPr>
            <w:tcW w:w="1692" w:type="dxa"/>
            <w:tcBorders>
              <w:top w:val="nil"/>
              <w:left w:val="nil"/>
              <w:bottom w:val="single" w:color="auto" w:sz="4" w:space="0"/>
              <w:right w:val="single" w:color="auto" w:sz="4" w:space="0"/>
            </w:tcBorders>
            <w:noWrap w:val="0"/>
            <w:vAlign w:val="center"/>
          </w:tcPr>
          <w:p w14:paraId="50CD5A7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100≤Y＜2000</w:t>
            </w:r>
          </w:p>
        </w:tc>
        <w:tc>
          <w:tcPr>
            <w:tcW w:w="1087" w:type="dxa"/>
            <w:tcBorders>
              <w:top w:val="nil"/>
              <w:left w:val="nil"/>
              <w:bottom w:val="single" w:color="auto" w:sz="4" w:space="0"/>
              <w:right w:val="single" w:color="auto" w:sz="4" w:space="0"/>
            </w:tcBorders>
            <w:noWrap w:val="0"/>
            <w:vAlign w:val="center"/>
          </w:tcPr>
          <w:p w14:paraId="3AE15C6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48C8CD0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881E35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信息传输业</w:t>
            </w:r>
          </w:p>
        </w:tc>
        <w:tc>
          <w:tcPr>
            <w:tcW w:w="1660" w:type="dxa"/>
            <w:tcBorders>
              <w:top w:val="nil"/>
              <w:left w:val="nil"/>
              <w:bottom w:val="single" w:color="auto" w:sz="4" w:space="0"/>
              <w:right w:val="single" w:color="auto" w:sz="4" w:space="0"/>
            </w:tcBorders>
            <w:noWrap w:val="0"/>
            <w:vAlign w:val="center"/>
          </w:tcPr>
          <w:p w14:paraId="5F78C2B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1454D70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4168122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100≤X＜2000</w:t>
            </w:r>
          </w:p>
        </w:tc>
        <w:tc>
          <w:tcPr>
            <w:tcW w:w="1692" w:type="dxa"/>
            <w:tcBorders>
              <w:top w:val="nil"/>
              <w:left w:val="nil"/>
              <w:bottom w:val="single" w:color="auto" w:sz="4" w:space="0"/>
              <w:right w:val="single" w:color="auto" w:sz="4" w:space="0"/>
            </w:tcBorders>
            <w:noWrap w:val="0"/>
            <w:vAlign w:val="center"/>
          </w:tcPr>
          <w:p w14:paraId="179A58F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0F14B3F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X＜10</w:t>
            </w:r>
          </w:p>
        </w:tc>
      </w:tr>
      <w:tr w14:paraId="22D4E98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CE851C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28B2808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200F243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29C14D9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1000≤Y＜100000</w:t>
            </w:r>
          </w:p>
        </w:tc>
        <w:tc>
          <w:tcPr>
            <w:tcW w:w="1692" w:type="dxa"/>
            <w:tcBorders>
              <w:top w:val="nil"/>
              <w:left w:val="nil"/>
              <w:bottom w:val="single" w:color="auto" w:sz="4" w:space="0"/>
              <w:right w:val="single" w:color="auto" w:sz="4" w:space="0"/>
            </w:tcBorders>
            <w:noWrap w:val="0"/>
            <w:vAlign w:val="center"/>
          </w:tcPr>
          <w:p w14:paraId="06B0730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100≤Y＜1000</w:t>
            </w:r>
          </w:p>
        </w:tc>
        <w:tc>
          <w:tcPr>
            <w:tcW w:w="1087" w:type="dxa"/>
            <w:tcBorders>
              <w:top w:val="nil"/>
              <w:left w:val="nil"/>
              <w:bottom w:val="single" w:color="auto" w:sz="4" w:space="0"/>
              <w:right w:val="single" w:color="auto" w:sz="4" w:space="0"/>
            </w:tcBorders>
            <w:noWrap w:val="0"/>
            <w:vAlign w:val="center"/>
          </w:tcPr>
          <w:p w14:paraId="6D29452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Y＜100</w:t>
            </w:r>
          </w:p>
        </w:tc>
      </w:tr>
      <w:tr w14:paraId="50D78615">
        <w:tblPrEx>
          <w:tblCellMar>
            <w:top w:w="0" w:type="dxa"/>
            <w:left w:w="108" w:type="dxa"/>
            <w:bottom w:w="0" w:type="dxa"/>
            <w:right w:w="108" w:type="dxa"/>
          </w:tblCellMar>
        </w:tblPrEx>
        <w:trPr>
          <w:trHeight w:val="394"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503E0B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软件和信息技术服务业</w:t>
            </w:r>
          </w:p>
        </w:tc>
        <w:tc>
          <w:tcPr>
            <w:tcW w:w="1660" w:type="dxa"/>
            <w:tcBorders>
              <w:top w:val="nil"/>
              <w:left w:val="nil"/>
              <w:bottom w:val="single" w:color="auto" w:sz="4" w:space="0"/>
              <w:right w:val="single" w:color="auto" w:sz="4" w:space="0"/>
            </w:tcBorders>
            <w:noWrap w:val="0"/>
            <w:vAlign w:val="center"/>
          </w:tcPr>
          <w:p w14:paraId="2A2D354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009970B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3A21BA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100≤X＜300</w:t>
            </w:r>
          </w:p>
        </w:tc>
        <w:tc>
          <w:tcPr>
            <w:tcW w:w="1692" w:type="dxa"/>
            <w:tcBorders>
              <w:top w:val="nil"/>
              <w:left w:val="nil"/>
              <w:bottom w:val="single" w:color="auto" w:sz="4" w:space="0"/>
              <w:right w:val="single" w:color="auto" w:sz="4" w:space="0"/>
            </w:tcBorders>
            <w:noWrap w:val="0"/>
            <w:vAlign w:val="center"/>
          </w:tcPr>
          <w:p w14:paraId="7D0D158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51D4532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X＜10</w:t>
            </w:r>
          </w:p>
        </w:tc>
      </w:tr>
      <w:tr w14:paraId="379897E8">
        <w:tblPrEx>
          <w:tblCellMar>
            <w:top w:w="0" w:type="dxa"/>
            <w:left w:w="108" w:type="dxa"/>
            <w:bottom w:w="0" w:type="dxa"/>
            <w:right w:w="108" w:type="dxa"/>
          </w:tblCellMar>
        </w:tblPrEx>
        <w:trPr>
          <w:trHeight w:val="377"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2CF435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6CDE813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00E1C20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7F51ED8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1000≤Y＜10000</w:t>
            </w:r>
          </w:p>
        </w:tc>
        <w:tc>
          <w:tcPr>
            <w:tcW w:w="1692" w:type="dxa"/>
            <w:tcBorders>
              <w:top w:val="nil"/>
              <w:left w:val="nil"/>
              <w:bottom w:val="single" w:color="auto" w:sz="4" w:space="0"/>
              <w:right w:val="single" w:color="auto" w:sz="4" w:space="0"/>
            </w:tcBorders>
            <w:noWrap w:val="0"/>
            <w:vAlign w:val="center"/>
          </w:tcPr>
          <w:p w14:paraId="2AB063F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50≤Y＜1000</w:t>
            </w:r>
          </w:p>
        </w:tc>
        <w:tc>
          <w:tcPr>
            <w:tcW w:w="1087" w:type="dxa"/>
            <w:tcBorders>
              <w:top w:val="nil"/>
              <w:left w:val="nil"/>
              <w:bottom w:val="single" w:color="auto" w:sz="4" w:space="0"/>
              <w:right w:val="single" w:color="auto" w:sz="4" w:space="0"/>
            </w:tcBorders>
            <w:noWrap w:val="0"/>
            <w:vAlign w:val="center"/>
          </w:tcPr>
          <w:p w14:paraId="4B23232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val="0"/>
                <w:bCs w:val="0"/>
                <w:color w:val="000000" w:themeColor="text1"/>
                <w:kern w:val="0"/>
                <w:sz w:val="22"/>
                <w:szCs w:val="22"/>
                <w:highlight w:val="none"/>
                <w14:textFill>
                  <w14:solidFill>
                    <w14:schemeClr w14:val="tx1"/>
                  </w14:solidFill>
                </w14:textFill>
              </w:rPr>
              <w:t>Y＜50</w:t>
            </w:r>
          </w:p>
        </w:tc>
      </w:tr>
      <w:tr w14:paraId="1A24935E">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04673B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房地产开发经营</w:t>
            </w:r>
          </w:p>
        </w:tc>
        <w:tc>
          <w:tcPr>
            <w:tcW w:w="1660" w:type="dxa"/>
            <w:tcBorders>
              <w:top w:val="nil"/>
              <w:left w:val="nil"/>
              <w:bottom w:val="single" w:color="auto" w:sz="4" w:space="0"/>
              <w:right w:val="single" w:color="auto" w:sz="4" w:space="0"/>
            </w:tcBorders>
            <w:noWrap w:val="0"/>
            <w:vAlign w:val="center"/>
          </w:tcPr>
          <w:p w14:paraId="22B01B6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41366D6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2A5193D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1000≤Y＜200000</w:t>
            </w:r>
          </w:p>
        </w:tc>
        <w:tc>
          <w:tcPr>
            <w:tcW w:w="1692" w:type="dxa"/>
            <w:tcBorders>
              <w:top w:val="nil"/>
              <w:left w:val="nil"/>
              <w:bottom w:val="single" w:color="auto" w:sz="4" w:space="0"/>
              <w:right w:val="single" w:color="auto" w:sz="4" w:space="0"/>
            </w:tcBorders>
            <w:noWrap w:val="0"/>
            <w:vAlign w:val="center"/>
          </w:tcPr>
          <w:p w14:paraId="6E98827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100≤X＜1000</w:t>
            </w:r>
          </w:p>
        </w:tc>
        <w:tc>
          <w:tcPr>
            <w:tcW w:w="1087" w:type="dxa"/>
            <w:tcBorders>
              <w:top w:val="nil"/>
              <w:left w:val="nil"/>
              <w:bottom w:val="single" w:color="auto" w:sz="4" w:space="0"/>
              <w:right w:val="single" w:color="auto" w:sz="4" w:space="0"/>
            </w:tcBorders>
            <w:noWrap w:val="0"/>
            <w:vAlign w:val="center"/>
          </w:tcPr>
          <w:p w14:paraId="6E9D65E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X＜100</w:t>
            </w:r>
          </w:p>
        </w:tc>
      </w:tr>
      <w:tr w14:paraId="41B3727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CFEB9F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0F23A74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资产总额（Z）</w:t>
            </w:r>
          </w:p>
        </w:tc>
        <w:tc>
          <w:tcPr>
            <w:tcW w:w="1466" w:type="dxa"/>
            <w:tcBorders>
              <w:top w:val="nil"/>
              <w:left w:val="nil"/>
              <w:bottom w:val="single" w:color="auto" w:sz="4" w:space="0"/>
              <w:right w:val="single" w:color="auto" w:sz="4" w:space="0"/>
            </w:tcBorders>
            <w:noWrap w:val="0"/>
            <w:vAlign w:val="center"/>
          </w:tcPr>
          <w:p w14:paraId="61D37DC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28F2117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5000≤Z＜10000</w:t>
            </w:r>
          </w:p>
        </w:tc>
        <w:tc>
          <w:tcPr>
            <w:tcW w:w="1692" w:type="dxa"/>
            <w:tcBorders>
              <w:top w:val="nil"/>
              <w:left w:val="nil"/>
              <w:bottom w:val="single" w:color="auto" w:sz="4" w:space="0"/>
              <w:right w:val="single" w:color="auto" w:sz="4" w:space="0"/>
            </w:tcBorders>
            <w:noWrap w:val="0"/>
            <w:vAlign w:val="center"/>
          </w:tcPr>
          <w:p w14:paraId="0D30FBA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2000≤Y＜5000</w:t>
            </w:r>
          </w:p>
        </w:tc>
        <w:tc>
          <w:tcPr>
            <w:tcW w:w="1087" w:type="dxa"/>
            <w:tcBorders>
              <w:top w:val="nil"/>
              <w:left w:val="nil"/>
              <w:bottom w:val="single" w:color="auto" w:sz="4" w:space="0"/>
              <w:right w:val="single" w:color="auto" w:sz="4" w:space="0"/>
            </w:tcBorders>
            <w:noWrap w:val="0"/>
            <w:vAlign w:val="center"/>
          </w:tcPr>
          <w:p w14:paraId="14B7260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Y＜2000</w:t>
            </w:r>
          </w:p>
        </w:tc>
      </w:tr>
      <w:tr w14:paraId="3E08EF6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44B0FC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物业管理</w:t>
            </w:r>
          </w:p>
        </w:tc>
        <w:tc>
          <w:tcPr>
            <w:tcW w:w="1660" w:type="dxa"/>
            <w:tcBorders>
              <w:top w:val="nil"/>
              <w:left w:val="nil"/>
              <w:bottom w:val="single" w:color="auto" w:sz="4" w:space="0"/>
              <w:right w:val="single" w:color="auto" w:sz="4" w:space="0"/>
            </w:tcBorders>
            <w:noWrap w:val="0"/>
            <w:vAlign w:val="center"/>
          </w:tcPr>
          <w:p w14:paraId="38B4F2C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46E2696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4381F77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300≤X＜1000</w:t>
            </w:r>
          </w:p>
        </w:tc>
        <w:tc>
          <w:tcPr>
            <w:tcW w:w="1692" w:type="dxa"/>
            <w:tcBorders>
              <w:top w:val="nil"/>
              <w:left w:val="nil"/>
              <w:bottom w:val="single" w:color="auto" w:sz="4" w:space="0"/>
              <w:right w:val="single" w:color="auto" w:sz="4" w:space="0"/>
            </w:tcBorders>
            <w:noWrap w:val="0"/>
            <w:vAlign w:val="center"/>
          </w:tcPr>
          <w:p w14:paraId="5DFB220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100≤X＜300</w:t>
            </w:r>
          </w:p>
        </w:tc>
        <w:tc>
          <w:tcPr>
            <w:tcW w:w="1087" w:type="dxa"/>
            <w:tcBorders>
              <w:top w:val="nil"/>
              <w:left w:val="nil"/>
              <w:bottom w:val="single" w:color="auto" w:sz="4" w:space="0"/>
              <w:right w:val="single" w:color="auto" w:sz="4" w:space="0"/>
            </w:tcBorders>
            <w:noWrap w:val="0"/>
            <w:vAlign w:val="center"/>
          </w:tcPr>
          <w:p w14:paraId="1D4C59B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X＜100</w:t>
            </w:r>
          </w:p>
        </w:tc>
      </w:tr>
      <w:tr w14:paraId="32B35982">
        <w:tblPrEx>
          <w:tblCellMar>
            <w:top w:w="0" w:type="dxa"/>
            <w:left w:w="108" w:type="dxa"/>
            <w:bottom w:w="0" w:type="dxa"/>
            <w:right w:w="108" w:type="dxa"/>
          </w:tblCellMar>
        </w:tblPrEx>
        <w:trPr>
          <w:trHeight w:val="90"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19A57C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3EBC25A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营业收入（Y）</w:t>
            </w:r>
          </w:p>
        </w:tc>
        <w:tc>
          <w:tcPr>
            <w:tcW w:w="1466" w:type="dxa"/>
            <w:tcBorders>
              <w:top w:val="nil"/>
              <w:left w:val="nil"/>
              <w:bottom w:val="single" w:color="auto" w:sz="4" w:space="0"/>
              <w:right w:val="single" w:color="auto" w:sz="4" w:space="0"/>
            </w:tcBorders>
            <w:noWrap w:val="0"/>
            <w:vAlign w:val="center"/>
          </w:tcPr>
          <w:p w14:paraId="299B400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60A87EC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1000≤Y＜5000</w:t>
            </w:r>
          </w:p>
        </w:tc>
        <w:tc>
          <w:tcPr>
            <w:tcW w:w="1692" w:type="dxa"/>
            <w:tcBorders>
              <w:top w:val="nil"/>
              <w:left w:val="nil"/>
              <w:bottom w:val="single" w:color="auto" w:sz="4" w:space="0"/>
              <w:right w:val="single" w:color="auto" w:sz="4" w:space="0"/>
            </w:tcBorders>
            <w:noWrap w:val="0"/>
            <w:vAlign w:val="center"/>
          </w:tcPr>
          <w:p w14:paraId="170B7D8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500≤Y＜1000</w:t>
            </w:r>
          </w:p>
        </w:tc>
        <w:tc>
          <w:tcPr>
            <w:tcW w:w="1087" w:type="dxa"/>
            <w:tcBorders>
              <w:top w:val="nil"/>
              <w:left w:val="nil"/>
              <w:bottom w:val="single" w:color="auto" w:sz="4" w:space="0"/>
              <w:right w:val="single" w:color="auto" w:sz="4" w:space="0"/>
            </w:tcBorders>
            <w:noWrap w:val="0"/>
            <w:vAlign w:val="center"/>
          </w:tcPr>
          <w:p w14:paraId="45EDE47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Y＜500</w:t>
            </w:r>
          </w:p>
        </w:tc>
      </w:tr>
      <w:tr w14:paraId="46CF84F4">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15B57E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租赁和商务服务业</w:t>
            </w:r>
          </w:p>
        </w:tc>
        <w:tc>
          <w:tcPr>
            <w:tcW w:w="1660" w:type="dxa"/>
            <w:tcBorders>
              <w:top w:val="nil"/>
              <w:left w:val="nil"/>
              <w:bottom w:val="single" w:color="auto" w:sz="4" w:space="0"/>
              <w:right w:val="single" w:color="auto" w:sz="4" w:space="0"/>
            </w:tcBorders>
            <w:noWrap w:val="0"/>
            <w:vAlign w:val="center"/>
          </w:tcPr>
          <w:p w14:paraId="46DD56B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039E1C5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1E84623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100≤X＜300</w:t>
            </w:r>
          </w:p>
        </w:tc>
        <w:tc>
          <w:tcPr>
            <w:tcW w:w="1692" w:type="dxa"/>
            <w:tcBorders>
              <w:top w:val="nil"/>
              <w:left w:val="nil"/>
              <w:bottom w:val="single" w:color="auto" w:sz="4" w:space="0"/>
              <w:right w:val="single" w:color="auto" w:sz="4" w:space="0"/>
            </w:tcBorders>
            <w:noWrap w:val="0"/>
            <w:vAlign w:val="center"/>
          </w:tcPr>
          <w:p w14:paraId="5E31B77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6BD80BC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w:t>
            </w:r>
          </w:p>
        </w:tc>
      </w:tr>
      <w:tr w14:paraId="2062977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F33E84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p>
        </w:tc>
        <w:tc>
          <w:tcPr>
            <w:tcW w:w="1660" w:type="dxa"/>
            <w:tcBorders>
              <w:top w:val="nil"/>
              <w:left w:val="nil"/>
              <w:bottom w:val="single" w:color="auto" w:sz="4" w:space="0"/>
              <w:right w:val="single" w:color="auto" w:sz="4" w:space="0"/>
            </w:tcBorders>
            <w:noWrap w:val="0"/>
            <w:vAlign w:val="center"/>
          </w:tcPr>
          <w:p w14:paraId="6ACCE2A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资产总额（Z）</w:t>
            </w:r>
          </w:p>
        </w:tc>
        <w:tc>
          <w:tcPr>
            <w:tcW w:w="1466" w:type="dxa"/>
            <w:tcBorders>
              <w:top w:val="nil"/>
              <w:left w:val="nil"/>
              <w:bottom w:val="single" w:color="auto" w:sz="4" w:space="0"/>
              <w:right w:val="single" w:color="auto" w:sz="4" w:space="0"/>
            </w:tcBorders>
            <w:noWrap w:val="0"/>
            <w:vAlign w:val="center"/>
          </w:tcPr>
          <w:p w14:paraId="5253ADF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万元</w:t>
            </w:r>
          </w:p>
        </w:tc>
        <w:tc>
          <w:tcPr>
            <w:tcW w:w="1903" w:type="dxa"/>
            <w:tcBorders>
              <w:top w:val="nil"/>
              <w:left w:val="nil"/>
              <w:bottom w:val="single" w:color="auto" w:sz="4" w:space="0"/>
              <w:right w:val="single" w:color="auto" w:sz="4" w:space="0"/>
            </w:tcBorders>
            <w:noWrap w:val="0"/>
            <w:vAlign w:val="center"/>
          </w:tcPr>
          <w:p w14:paraId="21B04EE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8000≤Z＜120000</w:t>
            </w:r>
          </w:p>
        </w:tc>
        <w:tc>
          <w:tcPr>
            <w:tcW w:w="1692" w:type="dxa"/>
            <w:tcBorders>
              <w:top w:val="nil"/>
              <w:left w:val="nil"/>
              <w:bottom w:val="single" w:color="auto" w:sz="4" w:space="0"/>
              <w:right w:val="single" w:color="auto" w:sz="4" w:space="0"/>
            </w:tcBorders>
            <w:noWrap w:val="0"/>
            <w:vAlign w:val="center"/>
          </w:tcPr>
          <w:p w14:paraId="000283B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100≤Z＜8000</w:t>
            </w:r>
          </w:p>
        </w:tc>
        <w:tc>
          <w:tcPr>
            <w:tcW w:w="1087" w:type="dxa"/>
            <w:tcBorders>
              <w:top w:val="nil"/>
              <w:left w:val="nil"/>
              <w:bottom w:val="single" w:color="auto" w:sz="4" w:space="0"/>
              <w:right w:val="single" w:color="auto" w:sz="4" w:space="0"/>
            </w:tcBorders>
            <w:noWrap w:val="0"/>
            <w:vAlign w:val="center"/>
          </w:tcPr>
          <w:p w14:paraId="291B052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Y＜100</w:t>
            </w:r>
          </w:p>
        </w:tc>
      </w:tr>
      <w:tr w14:paraId="6522548C">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1903E88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b/>
                <w:bCs/>
                <w:color w:val="000000" w:themeColor="text1"/>
                <w:kern w:val="0"/>
                <w:sz w:val="22"/>
                <w:szCs w:val="22"/>
                <w:highlight w:val="none"/>
                <w14:textFill>
                  <w14:solidFill>
                    <w14:schemeClr w14:val="tx1"/>
                  </w14:solidFill>
                </w14:textFill>
              </w:rPr>
              <w:t>其他未列明行业</w:t>
            </w:r>
          </w:p>
        </w:tc>
        <w:tc>
          <w:tcPr>
            <w:tcW w:w="1660" w:type="dxa"/>
            <w:tcBorders>
              <w:top w:val="nil"/>
              <w:left w:val="nil"/>
              <w:bottom w:val="single" w:color="auto" w:sz="4" w:space="0"/>
              <w:right w:val="single" w:color="auto" w:sz="4" w:space="0"/>
            </w:tcBorders>
            <w:noWrap w:val="0"/>
            <w:vAlign w:val="center"/>
          </w:tcPr>
          <w:p w14:paraId="4327CEA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从业人员（X）</w:t>
            </w:r>
          </w:p>
        </w:tc>
        <w:tc>
          <w:tcPr>
            <w:tcW w:w="1466" w:type="dxa"/>
            <w:tcBorders>
              <w:top w:val="nil"/>
              <w:left w:val="nil"/>
              <w:bottom w:val="single" w:color="auto" w:sz="4" w:space="0"/>
              <w:right w:val="single" w:color="auto" w:sz="4" w:space="0"/>
            </w:tcBorders>
            <w:noWrap w:val="0"/>
            <w:vAlign w:val="center"/>
          </w:tcPr>
          <w:p w14:paraId="466ED16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人</w:t>
            </w:r>
          </w:p>
        </w:tc>
        <w:tc>
          <w:tcPr>
            <w:tcW w:w="1903" w:type="dxa"/>
            <w:tcBorders>
              <w:top w:val="nil"/>
              <w:left w:val="nil"/>
              <w:bottom w:val="single" w:color="auto" w:sz="4" w:space="0"/>
              <w:right w:val="single" w:color="auto" w:sz="4" w:space="0"/>
            </w:tcBorders>
            <w:noWrap w:val="0"/>
            <w:vAlign w:val="center"/>
          </w:tcPr>
          <w:p w14:paraId="640FA6A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100≤X＜300</w:t>
            </w:r>
          </w:p>
        </w:tc>
        <w:tc>
          <w:tcPr>
            <w:tcW w:w="1692" w:type="dxa"/>
            <w:tcBorders>
              <w:top w:val="nil"/>
              <w:left w:val="nil"/>
              <w:bottom w:val="single" w:color="auto" w:sz="4" w:space="0"/>
              <w:right w:val="single" w:color="auto" w:sz="4" w:space="0"/>
            </w:tcBorders>
            <w:noWrap w:val="0"/>
            <w:vAlign w:val="center"/>
          </w:tcPr>
          <w:p w14:paraId="61EFD62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10≤X＜100</w:t>
            </w:r>
          </w:p>
        </w:tc>
        <w:tc>
          <w:tcPr>
            <w:tcW w:w="1087" w:type="dxa"/>
            <w:tcBorders>
              <w:top w:val="nil"/>
              <w:left w:val="nil"/>
              <w:bottom w:val="single" w:color="auto" w:sz="4" w:space="0"/>
              <w:right w:val="single" w:color="auto" w:sz="4" w:space="0"/>
            </w:tcBorders>
            <w:noWrap w:val="0"/>
            <w:vAlign w:val="center"/>
          </w:tcPr>
          <w:p w14:paraId="4030C28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000000" w:themeColor="text1"/>
                <w:kern w:val="0"/>
                <w:sz w:val="22"/>
                <w:szCs w:val="22"/>
                <w:highlight w:val="none"/>
                <w14:textFill>
                  <w14:solidFill>
                    <w14:schemeClr w14:val="tx1"/>
                  </w14:solidFill>
                </w14:textFill>
              </w:rPr>
            </w:pPr>
            <w:r>
              <w:rPr>
                <w:rFonts w:hint="eastAsia" w:ascii="华文仿宋" w:hAnsi="华文仿宋" w:eastAsia="华文仿宋" w:cs="华文仿宋"/>
                <w:color w:val="000000" w:themeColor="text1"/>
                <w:kern w:val="0"/>
                <w:sz w:val="22"/>
                <w:szCs w:val="22"/>
                <w:highlight w:val="none"/>
                <w14:textFill>
                  <w14:solidFill>
                    <w14:schemeClr w14:val="tx1"/>
                  </w14:solidFill>
                </w14:textFill>
              </w:rPr>
              <w:t>X＜10</w:t>
            </w:r>
          </w:p>
        </w:tc>
      </w:tr>
    </w:tbl>
    <w:p w14:paraId="06FE922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4FB5E2AB">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35531861">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本招标文件所称中小企业，是指在中华人民共和国境内依法设立，依据国务院批准的</w:t>
      </w:r>
    </w:p>
    <w:p w14:paraId="5683DB7C">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32C124CD">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（1）在货物采购项目中，货物由中小企业制造，即货物由中小企业生产且使用该中小企业商号或者注册商标，不对其中涉及的工程承建商和服务的承接商作出要求；</w:t>
      </w:r>
    </w:p>
    <w:p w14:paraId="2E5EBE85">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（2）在工程采购项目中，工程由中小企业承建，即工程施工单位为中小企业，不对其中涉及的货物的制造商和服务的承接商作出要求；</w:t>
      </w:r>
    </w:p>
    <w:p w14:paraId="04DA0F88">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（3）在服务采购项目中，服务由中小企业承接，即提供服务的人员为中小企业依照《中华人民共和国劳动合同法》订立劳动合同的从业人员，不对其中涉及的货物的制造商和工程承建商作出要求。</w:t>
      </w:r>
    </w:p>
    <w:p w14:paraId="75175BA0">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51E22293">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依据本招标文件规定享受扶持政策获得政府采购合同的，小微企业不得将合同分包给大中型企业，中型企业不得将合同分包给大型企业。</w:t>
      </w:r>
    </w:p>
    <w:p w14:paraId="77DD38DD">
      <w:pPr>
        <w:spacing w:line="360" w:lineRule="auto"/>
        <w:ind w:firstLine="420" w:firstLineChars="200"/>
        <w:rPr>
          <w:rFonts w:hint="eastAsia" w:ascii="仿宋" w:hAnsi="仿宋" w:eastAsia="仿宋" w:cs="仿宋"/>
          <w:color w:val="000000" w:themeColor="text1"/>
          <w:highlight w:val="none"/>
          <w:lang w:eastAsia="zh-CN"/>
          <w14:textFill>
            <w14:solidFill>
              <w14:schemeClr w14:val="tx1"/>
            </w14:solidFill>
          </w14:textFill>
        </w:rPr>
        <w:sectPr>
          <w:footerReference r:id="rId17" w:type="default"/>
          <w:pgSz w:w="11907" w:h="16840"/>
          <w:pgMar w:top="1440" w:right="1080" w:bottom="1440" w:left="1080" w:header="0" w:footer="1087" w:gutter="0"/>
          <w:pgNumType w:fmt="decimal"/>
          <w:cols w:space="720" w:num="1"/>
        </w:sectPr>
      </w:pPr>
    </w:p>
    <w:p w14:paraId="10C0741C">
      <w:pPr>
        <w:rPr>
          <w:rFonts w:hint="eastAsia"/>
          <w:color w:val="000000" w:themeColor="text1"/>
          <w:lang w:val="en-US" w:eastAsia="zh-CN"/>
          <w14:textFill>
            <w14:solidFill>
              <w14:schemeClr w14:val="tx1"/>
            </w14:solidFill>
          </w14:textFill>
        </w:rPr>
      </w:pPr>
    </w:p>
    <w:p w14:paraId="56EB76D4">
      <w:pPr>
        <w:shd w:val="clear" w:color="auto" w:fill="auto"/>
        <w:rPr>
          <w:rFonts w:hint="eastAsia" w:ascii="宋体" w:hAnsi="宋体" w:eastAsia="宋体" w:cs="宋体"/>
          <w:color w:val="000000" w:themeColor="text1"/>
          <w:highlight w:val="none"/>
          <w:lang w:val="en-US" w:eastAsia="zh-CN"/>
          <w14:textFill>
            <w14:solidFill>
              <w14:schemeClr w14:val="tx1"/>
            </w14:solidFill>
          </w14:textFill>
        </w:rPr>
      </w:pPr>
    </w:p>
    <w:p w14:paraId="508180ED">
      <w:pPr>
        <w:shd w:val="clear" w:color="auto" w:fill="auto"/>
        <w:jc w:val="center"/>
        <w:outlineLvl w:val="2"/>
        <w:rPr>
          <w:rFonts w:hint="eastAsia" w:ascii="宋体" w:hAnsi="宋体" w:eastAsia="宋体" w:cs="宋体"/>
          <w:b/>
          <w:bCs/>
          <w:color w:val="000000" w:themeColor="text1"/>
          <w:sz w:val="24"/>
          <w:szCs w:val="32"/>
          <w:highlight w:val="none"/>
          <w14:textFill>
            <w14:solidFill>
              <w14:schemeClr w14:val="tx1"/>
            </w14:solidFill>
          </w14:textFill>
        </w:rPr>
      </w:pPr>
      <w:bookmarkStart w:id="201" w:name="_Toc12761"/>
      <w:r>
        <w:rPr>
          <w:rFonts w:hint="eastAsia" w:ascii="宋体" w:hAnsi="宋体" w:eastAsia="宋体" w:cs="宋体"/>
          <w:b/>
          <w:bCs/>
          <w:color w:val="000000" w:themeColor="text1"/>
          <w:sz w:val="24"/>
          <w:szCs w:val="32"/>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32"/>
          <w:highlight w:val="none"/>
          <w:lang w:eastAsia="zh-CN"/>
          <w14:textFill>
            <w14:solidFill>
              <w14:schemeClr w14:val="tx1"/>
            </w14:solidFill>
          </w14:textFill>
        </w:rPr>
        <w:t>、</w:t>
      </w:r>
      <w:r>
        <w:rPr>
          <w:rFonts w:hint="eastAsia" w:ascii="宋体" w:hAnsi="宋体" w:eastAsia="宋体" w:cs="宋体"/>
          <w:b/>
          <w:bCs/>
          <w:color w:val="000000" w:themeColor="text1"/>
          <w:sz w:val="24"/>
          <w:szCs w:val="32"/>
          <w:highlight w:val="none"/>
          <w14:textFill>
            <w14:solidFill>
              <w14:schemeClr w14:val="tx1"/>
            </w14:solidFill>
          </w14:textFill>
        </w:rPr>
        <w:t>残疾人福利性单位声明函</w:t>
      </w:r>
      <w:bookmarkEnd w:id="201"/>
    </w:p>
    <w:p w14:paraId="62A0DB3B">
      <w:pPr>
        <w:shd w:val="clear" w:color="auto" w:fill="auto"/>
        <w:rPr>
          <w:rFonts w:hint="eastAsia" w:ascii="宋体" w:hAnsi="宋体" w:eastAsia="宋体" w:cs="宋体"/>
          <w:color w:val="000000" w:themeColor="text1"/>
          <w:highlight w:val="none"/>
          <w14:textFill>
            <w14:solidFill>
              <w14:schemeClr w14:val="tx1"/>
            </w14:solidFill>
          </w14:textFill>
        </w:rPr>
      </w:pPr>
    </w:p>
    <w:p w14:paraId="1A3B51D5">
      <w:pPr>
        <w:widowControl/>
        <w:adjustRightInd w:val="0"/>
        <w:snapToGrid w:val="0"/>
        <w:spacing w:line="440" w:lineRule="exact"/>
        <w:ind w:firstLine="504" w:firstLineChars="200"/>
        <w:jc w:val="left"/>
        <w:rPr>
          <w:rFonts w:hint="eastAsia" w:ascii="仿宋" w:hAnsi="仿宋" w:eastAsia="仿宋" w:cs="仿宋"/>
          <w:color w:val="000000" w:themeColor="text1"/>
          <w:spacing w:val="6"/>
          <w:kern w:val="0"/>
          <w:sz w:val="24"/>
          <w:szCs w:val="24"/>
          <w:highlight w:val="none"/>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7B4F437">
      <w:pPr>
        <w:widowControl/>
        <w:adjustRightInd w:val="0"/>
        <w:snapToGrid w:val="0"/>
        <w:spacing w:line="440" w:lineRule="exact"/>
        <w:ind w:firstLine="504" w:firstLineChars="200"/>
        <w:jc w:val="left"/>
        <w:rPr>
          <w:rFonts w:hint="eastAsia" w:ascii="仿宋" w:hAnsi="仿宋" w:eastAsia="仿宋" w:cs="仿宋"/>
          <w:color w:val="000000" w:themeColor="text1"/>
          <w:spacing w:val="6"/>
          <w:kern w:val="0"/>
          <w:sz w:val="24"/>
          <w:szCs w:val="24"/>
          <w:highlight w:val="none"/>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本单位对上述声明的真实性负责。如有虚假，将依法承担相应责任。</w:t>
      </w:r>
    </w:p>
    <w:p w14:paraId="0D7F35B4">
      <w:pPr>
        <w:widowControl/>
        <w:adjustRightInd w:val="0"/>
        <w:snapToGrid w:val="0"/>
        <w:spacing w:line="440" w:lineRule="exact"/>
        <w:ind w:firstLine="504" w:firstLineChars="200"/>
        <w:jc w:val="left"/>
        <w:rPr>
          <w:rFonts w:hint="eastAsia" w:ascii="仿宋" w:hAnsi="仿宋" w:eastAsia="仿宋" w:cs="仿宋"/>
          <w:color w:val="000000" w:themeColor="text1"/>
          <w:spacing w:val="6"/>
          <w:kern w:val="0"/>
          <w:sz w:val="24"/>
          <w:szCs w:val="24"/>
          <w:highlight w:val="none"/>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 xml:space="preserve">                                     </w:t>
      </w:r>
    </w:p>
    <w:p w14:paraId="03C01F6E">
      <w:pPr>
        <w:widowControl/>
        <w:adjustRightInd w:val="0"/>
        <w:snapToGrid w:val="0"/>
        <w:spacing w:line="440" w:lineRule="exact"/>
        <w:ind w:firstLine="5544" w:firstLineChars="2200"/>
        <w:jc w:val="left"/>
        <w:rPr>
          <w:rFonts w:hint="eastAsia" w:ascii="仿宋" w:hAnsi="仿宋" w:eastAsia="仿宋" w:cs="仿宋"/>
          <w:color w:val="000000" w:themeColor="text1"/>
          <w:spacing w:val="6"/>
          <w:kern w:val="0"/>
          <w:sz w:val="24"/>
          <w:szCs w:val="24"/>
          <w:highlight w:val="none"/>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单位名称（盖章）：</w:t>
      </w:r>
    </w:p>
    <w:p w14:paraId="59B8E3A1">
      <w:pPr>
        <w:widowControl/>
        <w:adjustRightInd w:val="0"/>
        <w:snapToGrid w:val="0"/>
        <w:spacing w:line="440" w:lineRule="exact"/>
        <w:ind w:firstLine="504" w:firstLineChars="200"/>
        <w:jc w:val="left"/>
        <w:rPr>
          <w:rFonts w:hint="eastAsia" w:ascii="仿宋" w:hAnsi="仿宋" w:eastAsia="仿宋" w:cs="仿宋"/>
          <w:color w:val="000000" w:themeColor="text1"/>
          <w:spacing w:val="6"/>
          <w:kern w:val="0"/>
          <w:sz w:val="24"/>
          <w:szCs w:val="24"/>
          <w:highlight w:val="none"/>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 xml:space="preserve">                                      日  期：</w:t>
      </w:r>
    </w:p>
    <w:p w14:paraId="0D7BEA4E">
      <w:pPr>
        <w:shd w:val="clear" w:color="auto" w:fill="auto"/>
        <w:rPr>
          <w:rFonts w:hint="eastAsia" w:ascii="宋体" w:hAnsi="宋体" w:eastAsia="宋体" w:cs="宋体"/>
          <w:color w:val="000000" w:themeColor="text1"/>
          <w:highlight w:val="none"/>
          <w:lang w:val="en-US" w:eastAsia="zh-CN"/>
          <w14:textFill>
            <w14:solidFill>
              <w14:schemeClr w14:val="tx1"/>
            </w14:solidFill>
          </w14:textFill>
        </w:rPr>
      </w:pPr>
    </w:p>
    <w:p w14:paraId="77427E53">
      <w:pPr>
        <w:shd w:val="clear" w:color="auto" w:fill="auto"/>
        <w:rPr>
          <w:rFonts w:hint="eastAsia" w:ascii="宋体" w:hAnsi="宋体" w:eastAsia="宋体" w:cs="宋体"/>
          <w:color w:val="000000" w:themeColor="text1"/>
          <w:highlight w:val="none"/>
          <w:lang w:val="en-US" w:eastAsia="zh-CN"/>
          <w14:textFill>
            <w14:solidFill>
              <w14:schemeClr w14:val="tx1"/>
            </w14:solidFill>
          </w14:textFill>
        </w:rPr>
      </w:pPr>
    </w:p>
    <w:p w14:paraId="04F4CC5A">
      <w:pPr>
        <w:shd w:val="clear" w:color="auto" w:fill="auto"/>
        <w:rPr>
          <w:rFonts w:hint="eastAsia" w:ascii="宋体" w:hAnsi="宋体" w:eastAsia="宋体" w:cs="宋体"/>
          <w:color w:val="000000" w:themeColor="text1"/>
          <w:highlight w:val="none"/>
          <w:lang w:val="en-US" w:eastAsia="zh-CN"/>
          <w14:textFill>
            <w14:solidFill>
              <w14:schemeClr w14:val="tx1"/>
            </w14:solidFill>
          </w14:textFill>
        </w:rPr>
      </w:pPr>
    </w:p>
    <w:p w14:paraId="1BABE2F7">
      <w:pPr>
        <w:shd w:val="clear" w:color="auto" w:fill="auto"/>
        <w:rPr>
          <w:rFonts w:hint="eastAsia" w:ascii="宋体" w:hAnsi="宋体" w:eastAsia="宋体" w:cs="宋体"/>
          <w:color w:val="000000" w:themeColor="text1"/>
          <w:highlight w:val="none"/>
          <w:lang w:val="en-US" w:eastAsia="zh-CN"/>
          <w14:textFill>
            <w14:solidFill>
              <w14:schemeClr w14:val="tx1"/>
            </w14:solidFill>
          </w14:textFill>
        </w:rPr>
      </w:pPr>
    </w:p>
    <w:p w14:paraId="0421F9C5">
      <w:pPr>
        <w:shd w:val="clear" w:color="auto" w:fill="auto"/>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备注：不是残疾人福利性单位，无需提供声明函</w:t>
      </w:r>
    </w:p>
    <w:p w14:paraId="0271C5B8">
      <w:pPr>
        <w:shd w:val="clear" w:color="auto" w:fill="auto"/>
        <w:rPr>
          <w:rFonts w:hint="eastAsia" w:ascii="宋体" w:hAnsi="宋体" w:eastAsia="宋体" w:cs="宋体"/>
          <w:color w:val="000000" w:themeColor="text1"/>
          <w:highlight w:val="none"/>
          <w14:textFill>
            <w14:solidFill>
              <w14:schemeClr w14:val="tx1"/>
            </w14:solidFill>
          </w14:textFill>
        </w:rPr>
      </w:pPr>
    </w:p>
    <w:p w14:paraId="190E6981">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bookmarkStart w:id="202" w:name="_Toc17095"/>
      <w:bookmarkStart w:id="203" w:name="_Toc26381"/>
      <w:bookmarkStart w:id="204" w:name="_Toc17523_WPSOffice_Level1"/>
    </w:p>
    <w:p w14:paraId="03E27E83">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6D3A8B7">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67801B5">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F5D28B9">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027C5175">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50FCFED3">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9CF8F67">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1A0D3D4">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599E02A9">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220F01C4">
      <w:pPr>
        <w:pStyle w:val="24"/>
        <w:shd w:val="clear" w:color="auto" w:fill="auto"/>
        <w:ind w:left="0" w:leftChars="0" w:right="206" w:rightChars="98" w:firstLine="0" w:firstLineChars="0"/>
        <w:jc w:val="center"/>
        <w:outlineLvl w:val="9"/>
        <w:rPr>
          <w:rFonts w:hint="eastAsia" w:ascii="宋体" w:hAnsi="宋体" w:eastAsia="宋体" w:cs="宋体"/>
          <w:b/>
          <w:color w:val="000000" w:themeColor="text1"/>
          <w:sz w:val="44"/>
          <w:highlight w:val="none"/>
          <w14:textFill>
            <w14:solidFill>
              <w14:schemeClr w14:val="tx1"/>
            </w14:solidFill>
          </w14:textFill>
        </w:rPr>
      </w:pPr>
    </w:p>
    <w:p w14:paraId="7D6BB8ED">
      <w:pPr>
        <w:pStyle w:val="25"/>
        <w:rPr>
          <w:rFonts w:hint="eastAsia"/>
          <w:color w:val="000000" w:themeColor="text1"/>
          <w14:textFill>
            <w14:solidFill>
              <w14:schemeClr w14:val="tx1"/>
            </w14:solidFill>
          </w14:textFill>
        </w:rPr>
      </w:pPr>
    </w:p>
    <w:p w14:paraId="32A14A7B">
      <w:pPr>
        <w:numPr>
          <w:ilvl w:val="0"/>
          <w:numId w:val="0"/>
        </w:numPr>
        <w:shd w:val="clear" w:color="auto" w:fill="auto"/>
        <w:tabs>
          <w:tab w:val="left" w:pos="3600"/>
        </w:tabs>
        <w:adjustRightInd w:val="0"/>
        <w:snapToGrid w:val="0"/>
        <w:spacing w:line="440" w:lineRule="exact"/>
        <w:jc w:val="center"/>
        <w:rPr>
          <w:rFonts w:hint="eastAsia" w:ascii="仿宋" w:hAnsi="仿宋" w:eastAsia="仿宋" w:cs="仿宋"/>
          <w:b/>
          <w:bCs/>
          <w:color w:val="000000" w:themeColor="text1"/>
          <w:spacing w:val="0"/>
          <w:w w:val="100"/>
          <w:position w:val="0"/>
          <w:sz w:val="36"/>
          <w:szCs w:val="36"/>
          <w:highlight w:val="none"/>
          <w:lang w:val="en-US" w:eastAsia="zh-CN"/>
          <w14:textFill>
            <w14:solidFill>
              <w14:schemeClr w14:val="tx1"/>
            </w14:solidFill>
          </w14:textFill>
        </w:rPr>
      </w:pPr>
    </w:p>
    <w:p w14:paraId="51B66675">
      <w:pPr>
        <w:numPr>
          <w:ilvl w:val="0"/>
          <w:numId w:val="0"/>
        </w:numPr>
        <w:shd w:val="clear" w:color="auto" w:fill="auto"/>
        <w:tabs>
          <w:tab w:val="left" w:pos="3600"/>
        </w:tabs>
        <w:adjustRightInd w:val="0"/>
        <w:snapToGrid w:val="0"/>
        <w:spacing w:line="440" w:lineRule="exact"/>
        <w:jc w:val="center"/>
        <w:outlineLvl w:val="2"/>
        <w:rPr>
          <w:rFonts w:hint="eastAsia" w:ascii="仿宋" w:hAnsi="仿宋" w:eastAsia="仿宋" w:cs="仿宋"/>
          <w:b/>
          <w:bCs/>
          <w:color w:val="000000" w:themeColor="text1"/>
          <w:spacing w:val="0"/>
          <w:w w:val="100"/>
          <w:position w:val="0"/>
          <w:sz w:val="28"/>
          <w:szCs w:val="28"/>
          <w:highlight w:val="none"/>
          <w:lang w:val="en-US" w:eastAsia="zh-CN"/>
          <w14:textFill>
            <w14:solidFill>
              <w14:schemeClr w14:val="tx1"/>
            </w14:solidFill>
          </w14:textFill>
        </w:rPr>
      </w:pPr>
      <w:bookmarkStart w:id="205" w:name="_Toc8738"/>
      <w:r>
        <w:rPr>
          <w:rFonts w:hint="eastAsia" w:ascii="仿宋" w:hAnsi="仿宋" w:eastAsia="仿宋" w:cs="仿宋"/>
          <w:b/>
          <w:bCs/>
          <w:color w:val="000000" w:themeColor="text1"/>
          <w:spacing w:val="0"/>
          <w:w w:val="100"/>
          <w:position w:val="0"/>
          <w:sz w:val="28"/>
          <w:szCs w:val="28"/>
          <w:highlight w:val="none"/>
          <w:lang w:val="en-US" w:eastAsia="zh-CN"/>
          <w14:textFill>
            <w14:solidFill>
              <w14:schemeClr w14:val="tx1"/>
            </w14:solidFill>
          </w14:textFill>
        </w:rPr>
        <w:t>10.技术部分要求的其他资料</w:t>
      </w:r>
      <w:r>
        <w:rPr>
          <w:rFonts w:hint="eastAsia" w:ascii="仿宋" w:hAnsi="仿宋" w:eastAsia="仿宋" w:cs="仿宋"/>
          <w:b/>
          <w:bCs w:val="0"/>
          <w:color w:val="000000" w:themeColor="text1"/>
          <w:kern w:val="0"/>
          <w:sz w:val="24"/>
          <w:szCs w:val="22"/>
          <w:highlight w:val="none"/>
          <w:lang w:val="en-US" w:eastAsia="zh-CN" w:bidi="ar-SA"/>
          <w14:textFill>
            <w14:solidFill>
              <w14:schemeClr w14:val="tx1"/>
            </w14:solidFill>
          </w14:textFill>
        </w:rPr>
        <w:t>（格式自拟）</w:t>
      </w:r>
      <w:bookmarkEnd w:id="205"/>
    </w:p>
    <w:p w14:paraId="65AB8BFB">
      <w:pPr>
        <w:rPr>
          <w:rFonts w:hint="eastAsia"/>
          <w:color w:val="000000" w:themeColor="text1"/>
          <w:highlight w:val="none"/>
          <w:lang w:val="en-US" w:eastAsia="zh-CN"/>
          <w14:textFill>
            <w14:solidFill>
              <w14:schemeClr w14:val="tx1"/>
            </w14:solidFill>
          </w14:textFill>
        </w:rPr>
      </w:pPr>
    </w:p>
    <w:p w14:paraId="1F317D09">
      <w:pPr>
        <w:pStyle w:val="35"/>
        <w:numPr>
          <w:ilvl w:val="0"/>
          <w:numId w:val="0"/>
        </w:numPr>
        <w:rPr>
          <w:rFonts w:hint="eastAsia"/>
          <w:color w:val="000000" w:themeColor="text1"/>
          <w:highlight w:val="none"/>
          <w:lang w:val="en-US" w:eastAsia="zh-CN"/>
          <w14:textFill>
            <w14:solidFill>
              <w14:schemeClr w14:val="tx1"/>
            </w14:solidFill>
          </w14:textFill>
        </w:rPr>
      </w:pPr>
    </w:p>
    <w:p w14:paraId="5D100DE2">
      <w:pPr>
        <w:autoSpaceDE w:val="0"/>
        <w:autoSpaceDN w:val="0"/>
        <w:adjustRightInd w:val="0"/>
        <w:snapToGrid w:val="0"/>
        <w:spacing w:line="360" w:lineRule="auto"/>
        <w:ind w:firstLine="482"/>
        <w:jc w:val="left"/>
        <w:rPr>
          <w:rFonts w:ascii="仿宋_GB2312" w:hAnsi="仿宋" w:eastAsia="仿宋_GB2312"/>
          <w:color w:val="000000" w:themeColor="text1"/>
          <w:sz w:val="24"/>
          <w:highlight w:val="none"/>
          <w:lang w:val="zh-CN"/>
          <w14:textFill>
            <w14:solidFill>
              <w14:schemeClr w14:val="tx1"/>
            </w14:solidFill>
          </w14:textFill>
        </w:rPr>
      </w:pPr>
      <w:r>
        <w:rPr>
          <w:rFonts w:ascii="仿宋_GB2312" w:hAnsi="仿宋" w:eastAsia="仿宋_GB2312"/>
          <w:color w:val="000000" w:themeColor="text1"/>
          <w:sz w:val="24"/>
          <w:highlight w:val="none"/>
          <w:lang w:val="zh-CN"/>
          <w14:textFill>
            <w14:solidFill>
              <w14:schemeClr w14:val="tx1"/>
            </w14:solidFill>
          </w14:textFill>
        </w:rPr>
        <w:t>（1）项目总体架构以及技术解决方案；</w:t>
      </w:r>
    </w:p>
    <w:p w14:paraId="3F64EC3C">
      <w:pPr>
        <w:autoSpaceDE w:val="0"/>
        <w:autoSpaceDN w:val="0"/>
        <w:adjustRightInd w:val="0"/>
        <w:snapToGrid w:val="0"/>
        <w:spacing w:line="360" w:lineRule="auto"/>
        <w:ind w:firstLine="482"/>
        <w:jc w:val="left"/>
        <w:rPr>
          <w:rFonts w:ascii="仿宋_GB2312" w:hAnsi="仿宋" w:eastAsia="仿宋_GB2312"/>
          <w:color w:val="000000" w:themeColor="text1"/>
          <w:sz w:val="24"/>
          <w:highlight w:val="none"/>
          <w:lang w:val="zh-CN"/>
          <w14:textFill>
            <w14:solidFill>
              <w14:schemeClr w14:val="tx1"/>
            </w14:solidFill>
          </w14:textFill>
        </w:rPr>
      </w:pPr>
      <w:r>
        <w:rPr>
          <w:rFonts w:ascii="仿宋_GB2312" w:hAnsi="仿宋" w:eastAsia="仿宋_GB2312"/>
          <w:color w:val="000000" w:themeColor="text1"/>
          <w:sz w:val="24"/>
          <w:highlight w:val="none"/>
          <w:lang w:val="zh-CN"/>
          <w14:textFill>
            <w14:solidFill>
              <w14:schemeClr w14:val="tx1"/>
            </w14:solidFill>
          </w14:textFill>
        </w:rPr>
        <w:t>（2）保证供货周期的组织方案以及人力资源安排；</w:t>
      </w:r>
    </w:p>
    <w:p w14:paraId="59E21803">
      <w:pPr>
        <w:autoSpaceDE w:val="0"/>
        <w:autoSpaceDN w:val="0"/>
        <w:adjustRightInd w:val="0"/>
        <w:snapToGrid w:val="0"/>
        <w:spacing w:line="360" w:lineRule="auto"/>
        <w:ind w:firstLine="482"/>
        <w:jc w:val="left"/>
        <w:rPr>
          <w:rFonts w:ascii="仿宋_GB2312" w:hAnsi="仿宋" w:eastAsia="仿宋_GB2312"/>
          <w:color w:val="000000" w:themeColor="text1"/>
          <w:sz w:val="24"/>
          <w:highlight w:val="none"/>
          <w:lang w:val="zh-CN"/>
          <w14:textFill>
            <w14:solidFill>
              <w14:schemeClr w14:val="tx1"/>
            </w14:solidFill>
          </w14:textFill>
        </w:rPr>
      </w:pPr>
      <w:r>
        <w:rPr>
          <w:rFonts w:ascii="仿宋_GB2312" w:hAnsi="仿宋" w:eastAsia="仿宋_GB2312"/>
          <w:color w:val="000000" w:themeColor="text1"/>
          <w:sz w:val="24"/>
          <w:highlight w:val="none"/>
          <w:lang w:val="zh-CN"/>
          <w14:textFill>
            <w14:solidFill>
              <w14:schemeClr w14:val="tx1"/>
            </w14:solidFill>
          </w14:textFill>
        </w:rPr>
        <w:t>（3）</w:t>
      </w:r>
      <w:r>
        <w:rPr>
          <w:rFonts w:hint="eastAsia" w:ascii="仿宋_GB2312" w:hAnsi="仿宋" w:eastAsia="仿宋_GB2312"/>
          <w:color w:val="000000" w:themeColor="text1"/>
          <w:sz w:val="24"/>
          <w:highlight w:val="none"/>
          <w:lang w:val="en-US" w:eastAsia="zh-CN"/>
          <w14:textFill>
            <w14:solidFill>
              <w14:schemeClr w14:val="tx1"/>
            </w14:solidFill>
          </w14:textFill>
        </w:rPr>
        <w:t>售后方案</w:t>
      </w:r>
      <w:r>
        <w:rPr>
          <w:rFonts w:ascii="仿宋_GB2312" w:hAnsi="仿宋" w:eastAsia="仿宋_GB2312"/>
          <w:color w:val="000000" w:themeColor="text1"/>
          <w:sz w:val="24"/>
          <w:highlight w:val="none"/>
          <w:lang w:val="zh-CN"/>
          <w14:textFill>
            <w14:solidFill>
              <w14:schemeClr w14:val="tx1"/>
            </w14:solidFill>
          </w14:textFill>
        </w:rPr>
        <w:t>；</w:t>
      </w:r>
    </w:p>
    <w:p w14:paraId="0A24F1ED">
      <w:pPr>
        <w:autoSpaceDE w:val="0"/>
        <w:autoSpaceDN w:val="0"/>
        <w:adjustRightInd w:val="0"/>
        <w:snapToGrid w:val="0"/>
        <w:spacing w:line="360" w:lineRule="auto"/>
        <w:ind w:firstLine="482"/>
        <w:jc w:val="left"/>
        <w:rPr>
          <w:rFonts w:ascii="仿宋_GB2312" w:hAnsi="仿宋" w:eastAsia="仿宋_GB2312"/>
          <w:color w:val="000000" w:themeColor="text1"/>
          <w:sz w:val="24"/>
          <w:highlight w:val="none"/>
          <w:lang w:val="zh-CN"/>
          <w14:textFill>
            <w14:solidFill>
              <w14:schemeClr w14:val="tx1"/>
            </w14:solidFill>
          </w14:textFill>
        </w:rPr>
      </w:pPr>
      <w:r>
        <w:rPr>
          <w:rFonts w:ascii="仿宋_GB2312" w:hAnsi="仿宋" w:eastAsia="仿宋_GB2312"/>
          <w:color w:val="000000" w:themeColor="text1"/>
          <w:sz w:val="24"/>
          <w:highlight w:val="none"/>
          <w:lang w:val="zh-CN"/>
          <w14:textFill>
            <w14:solidFill>
              <w14:schemeClr w14:val="tx1"/>
            </w14:solidFill>
          </w14:textFill>
        </w:rPr>
        <w:t>（4）供应商需要说明的其他文件。</w:t>
      </w:r>
    </w:p>
    <w:p w14:paraId="24BBD042">
      <w:pPr>
        <w:autoSpaceDE w:val="0"/>
        <w:autoSpaceDN w:val="0"/>
        <w:adjustRightInd w:val="0"/>
        <w:snapToGrid w:val="0"/>
        <w:spacing w:line="360" w:lineRule="auto"/>
        <w:ind w:firstLine="482"/>
        <w:jc w:val="left"/>
        <w:rPr>
          <w:rFonts w:ascii="仿宋_GB2312" w:hAnsi="仿宋" w:eastAsia="仿宋_GB2312"/>
          <w:color w:val="000000" w:themeColor="text1"/>
          <w:sz w:val="24"/>
          <w:highlight w:val="none"/>
          <w:lang w:val="zh-CN"/>
          <w14:textFill>
            <w14:solidFill>
              <w14:schemeClr w14:val="tx1"/>
            </w14:solidFill>
          </w14:textFill>
        </w:rPr>
      </w:pPr>
    </w:p>
    <w:p w14:paraId="16F509AD">
      <w:pPr>
        <w:autoSpaceDE w:val="0"/>
        <w:autoSpaceDN w:val="0"/>
        <w:adjustRightInd w:val="0"/>
        <w:snapToGrid w:val="0"/>
        <w:spacing w:line="360" w:lineRule="auto"/>
        <w:ind w:firstLine="480"/>
        <w:rPr>
          <w:rFonts w:ascii="仿宋_GB2312" w:hAnsi="仿宋" w:eastAsia="仿宋_GB2312"/>
          <w:color w:val="000000" w:themeColor="text1"/>
          <w:sz w:val="24"/>
          <w:highlight w:val="none"/>
          <w:lang w:val="zh-CN"/>
          <w14:textFill>
            <w14:solidFill>
              <w14:schemeClr w14:val="tx1"/>
            </w14:solidFill>
          </w14:textFill>
        </w:rPr>
      </w:pPr>
      <w:r>
        <w:rPr>
          <w:rFonts w:ascii="仿宋_GB2312" w:hAnsi="仿宋" w:eastAsia="仿宋_GB2312"/>
          <w:color w:val="000000" w:themeColor="text1"/>
          <w:sz w:val="24"/>
          <w:highlight w:val="none"/>
          <w:lang w:val="zh-CN"/>
          <w14:textFill>
            <w14:solidFill>
              <w14:schemeClr w14:val="tx1"/>
            </w14:solidFill>
          </w14:textFill>
        </w:rPr>
        <w:t>注：以上文件格式由供应商自拟。</w:t>
      </w:r>
    </w:p>
    <w:p w14:paraId="66A242CE">
      <w:pPr>
        <w:adjustRightInd w:val="0"/>
        <w:spacing w:line="400" w:lineRule="exact"/>
        <w:ind w:firstLine="480" w:firstLineChars="200"/>
        <w:jc w:val="left"/>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p w14:paraId="4966D16A">
      <w:pPr>
        <w:rPr>
          <w:rFonts w:hint="eastAsia" w:ascii="仿宋" w:hAnsi="仿宋" w:eastAsia="仿宋" w:cs="仿宋"/>
          <w:b/>
          <w:bCs/>
          <w:color w:val="000000" w:themeColor="text1"/>
          <w:spacing w:val="0"/>
          <w:w w:val="100"/>
          <w:position w:val="0"/>
          <w:sz w:val="28"/>
          <w:szCs w:val="28"/>
          <w:highlight w:val="none"/>
          <w:lang w:val="en-US" w:eastAsia="zh-CN"/>
          <w14:textFill>
            <w14:solidFill>
              <w14:schemeClr w14:val="tx1"/>
            </w14:solidFill>
          </w14:textFill>
        </w:rPr>
      </w:pPr>
    </w:p>
    <w:p w14:paraId="076ABA88">
      <w:pPr>
        <w:pStyle w:val="49"/>
        <w:rPr>
          <w:rFonts w:hint="eastAsia"/>
          <w:color w:val="000000" w:themeColor="text1"/>
          <w:highlight w:val="none"/>
          <w:lang w:val="en-US" w:eastAsia="zh-CN"/>
          <w14:textFill>
            <w14:solidFill>
              <w14:schemeClr w14:val="tx1"/>
            </w14:solidFill>
          </w14:textFill>
        </w:rPr>
      </w:pPr>
    </w:p>
    <w:p w14:paraId="2184C8A4">
      <w:pPr>
        <w:pStyle w:val="49"/>
        <w:rPr>
          <w:rFonts w:hint="eastAsia"/>
          <w:color w:val="000000" w:themeColor="text1"/>
          <w:highlight w:val="none"/>
          <w:lang w:val="en-US" w:eastAsia="zh-CN"/>
          <w14:textFill>
            <w14:solidFill>
              <w14:schemeClr w14:val="tx1"/>
            </w14:solidFill>
          </w14:textFill>
        </w:rPr>
      </w:pPr>
    </w:p>
    <w:p w14:paraId="1B9F9AFF">
      <w:pPr>
        <w:pStyle w:val="49"/>
        <w:rPr>
          <w:rFonts w:hint="eastAsia"/>
          <w:color w:val="000000" w:themeColor="text1"/>
          <w:highlight w:val="none"/>
          <w:lang w:val="en-US" w:eastAsia="zh-CN"/>
          <w14:textFill>
            <w14:solidFill>
              <w14:schemeClr w14:val="tx1"/>
            </w14:solidFill>
          </w14:textFill>
        </w:rPr>
      </w:pPr>
    </w:p>
    <w:p w14:paraId="2E6D0562">
      <w:pPr>
        <w:pStyle w:val="49"/>
        <w:rPr>
          <w:rFonts w:hint="eastAsia"/>
          <w:color w:val="000000" w:themeColor="text1"/>
          <w:highlight w:val="none"/>
          <w:lang w:val="en-US" w:eastAsia="zh-CN"/>
          <w14:textFill>
            <w14:solidFill>
              <w14:schemeClr w14:val="tx1"/>
            </w14:solidFill>
          </w14:textFill>
        </w:rPr>
      </w:pPr>
    </w:p>
    <w:p w14:paraId="28AB54CC">
      <w:pPr>
        <w:pStyle w:val="49"/>
        <w:rPr>
          <w:rFonts w:hint="eastAsia"/>
          <w:color w:val="000000" w:themeColor="text1"/>
          <w:highlight w:val="none"/>
          <w:lang w:val="en-US" w:eastAsia="zh-CN"/>
          <w14:textFill>
            <w14:solidFill>
              <w14:schemeClr w14:val="tx1"/>
            </w14:solidFill>
          </w14:textFill>
        </w:rPr>
      </w:pPr>
    </w:p>
    <w:p w14:paraId="331BD4BD">
      <w:pPr>
        <w:pStyle w:val="49"/>
        <w:rPr>
          <w:rFonts w:hint="eastAsia"/>
          <w:color w:val="000000" w:themeColor="text1"/>
          <w:highlight w:val="none"/>
          <w:lang w:val="en-US" w:eastAsia="zh-CN"/>
          <w14:textFill>
            <w14:solidFill>
              <w14:schemeClr w14:val="tx1"/>
            </w14:solidFill>
          </w14:textFill>
        </w:rPr>
      </w:pPr>
    </w:p>
    <w:p w14:paraId="03FC25D8">
      <w:pPr>
        <w:pStyle w:val="49"/>
        <w:rPr>
          <w:rFonts w:hint="eastAsia"/>
          <w:color w:val="000000" w:themeColor="text1"/>
          <w:highlight w:val="none"/>
          <w:lang w:val="en-US" w:eastAsia="zh-CN"/>
          <w14:textFill>
            <w14:solidFill>
              <w14:schemeClr w14:val="tx1"/>
            </w14:solidFill>
          </w14:textFill>
        </w:rPr>
      </w:pPr>
    </w:p>
    <w:p w14:paraId="2B1C5592">
      <w:pPr>
        <w:pStyle w:val="49"/>
        <w:rPr>
          <w:rFonts w:hint="eastAsia"/>
          <w:color w:val="000000" w:themeColor="text1"/>
          <w:highlight w:val="none"/>
          <w:lang w:val="en-US" w:eastAsia="zh-CN"/>
          <w14:textFill>
            <w14:solidFill>
              <w14:schemeClr w14:val="tx1"/>
            </w14:solidFill>
          </w14:textFill>
        </w:rPr>
      </w:pPr>
    </w:p>
    <w:p w14:paraId="5A4E9747">
      <w:pPr>
        <w:pStyle w:val="49"/>
        <w:rPr>
          <w:rFonts w:hint="eastAsia"/>
          <w:color w:val="000000" w:themeColor="text1"/>
          <w:highlight w:val="none"/>
          <w:lang w:val="en-US" w:eastAsia="zh-CN"/>
          <w14:textFill>
            <w14:solidFill>
              <w14:schemeClr w14:val="tx1"/>
            </w14:solidFill>
          </w14:textFill>
        </w:rPr>
      </w:pPr>
    </w:p>
    <w:p w14:paraId="229DA09B">
      <w:pPr>
        <w:pStyle w:val="49"/>
        <w:rPr>
          <w:rFonts w:hint="eastAsia"/>
          <w:color w:val="000000" w:themeColor="text1"/>
          <w:highlight w:val="none"/>
          <w:lang w:val="en-US" w:eastAsia="zh-CN"/>
          <w14:textFill>
            <w14:solidFill>
              <w14:schemeClr w14:val="tx1"/>
            </w14:solidFill>
          </w14:textFill>
        </w:rPr>
      </w:pPr>
    </w:p>
    <w:p w14:paraId="133D0AA2">
      <w:pPr>
        <w:pStyle w:val="49"/>
        <w:ind w:left="0" w:leftChars="0" w:firstLine="0" w:firstLineChars="0"/>
        <w:rPr>
          <w:rFonts w:hint="eastAsia"/>
          <w:color w:val="000000" w:themeColor="text1"/>
          <w:highlight w:val="none"/>
          <w:lang w:val="en-US" w:eastAsia="zh-CN"/>
          <w14:textFill>
            <w14:solidFill>
              <w14:schemeClr w14:val="tx1"/>
            </w14:solidFill>
          </w14:textFill>
        </w:rPr>
      </w:pPr>
    </w:p>
    <w:p w14:paraId="6A4D2B5A">
      <w:pPr>
        <w:pStyle w:val="49"/>
        <w:rPr>
          <w:rFonts w:hint="eastAsia"/>
          <w:color w:val="000000" w:themeColor="text1"/>
          <w:highlight w:val="none"/>
          <w:lang w:val="en-US" w:eastAsia="zh-CN"/>
          <w14:textFill>
            <w14:solidFill>
              <w14:schemeClr w14:val="tx1"/>
            </w14:solidFill>
          </w14:textFill>
        </w:rPr>
      </w:pPr>
    </w:p>
    <w:p w14:paraId="6D3EDA0C">
      <w:pPr>
        <w:numPr>
          <w:ilvl w:val="0"/>
          <w:numId w:val="0"/>
        </w:numPr>
        <w:shd w:val="clear" w:color="auto" w:fill="auto"/>
        <w:tabs>
          <w:tab w:val="left" w:pos="3600"/>
        </w:tabs>
        <w:adjustRightInd w:val="0"/>
        <w:snapToGrid w:val="0"/>
        <w:spacing w:line="440" w:lineRule="exact"/>
        <w:jc w:val="left"/>
        <w:outlineLvl w:val="2"/>
        <w:rPr>
          <w:rFonts w:hint="eastAsia" w:ascii="仿宋" w:hAnsi="仿宋" w:eastAsia="仿宋" w:cs="仿宋"/>
          <w:b/>
          <w:bCs/>
          <w:color w:val="000000" w:themeColor="text1"/>
          <w:spacing w:val="0"/>
          <w:w w:val="90"/>
          <w:position w:val="0"/>
          <w:sz w:val="28"/>
          <w:szCs w:val="28"/>
          <w:highlight w:val="none"/>
          <w:lang w:val="en-US" w:eastAsia="zh-CN"/>
          <w14:textFill>
            <w14:solidFill>
              <w14:schemeClr w14:val="tx1"/>
            </w14:solidFill>
          </w14:textFill>
        </w:rPr>
      </w:pPr>
      <w:bookmarkStart w:id="206" w:name="_Toc24101"/>
      <w:r>
        <w:rPr>
          <w:rFonts w:hint="eastAsia" w:ascii="仿宋" w:hAnsi="仿宋" w:eastAsia="仿宋" w:cs="仿宋"/>
          <w:b/>
          <w:bCs/>
          <w:color w:val="000000" w:themeColor="text1"/>
          <w:spacing w:val="0"/>
          <w:w w:val="90"/>
          <w:position w:val="0"/>
          <w:sz w:val="28"/>
          <w:szCs w:val="28"/>
          <w:highlight w:val="none"/>
          <w:lang w:val="en-US" w:eastAsia="zh-CN"/>
          <w14:textFill>
            <w14:solidFill>
              <w14:schemeClr w14:val="tx1"/>
            </w14:solidFill>
          </w14:textFill>
        </w:rPr>
        <w:t>11、投标人认为有必要提供的其他证明材料</w:t>
      </w:r>
      <w:bookmarkEnd w:id="206"/>
    </w:p>
    <w:p w14:paraId="23A1304C">
      <w:pPr>
        <w:pStyle w:val="24"/>
        <w:shd w:val="clear" w:color="auto" w:fill="auto"/>
        <w:tabs>
          <w:tab w:val="left" w:pos="5580"/>
        </w:tabs>
        <w:spacing w:line="240" w:lineRule="atLeas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B196954">
      <w:pPr>
        <w:pStyle w:val="24"/>
        <w:shd w:val="clear" w:color="auto" w:fill="auto"/>
        <w:tabs>
          <w:tab w:val="left" w:pos="5580"/>
        </w:tabs>
        <w:spacing w:line="240" w:lineRule="atLeast"/>
        <w:ind w:left="-1260" w:leftChars="-600" w:firstLine="1898" w:firstLineChars="791"/>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说明：复印件上应加盖本单位章。</w:t>
      </w:r>
    </w:p>
    <w:p w14:paraId="75BBAEF0">
      <w:pPr>
        <w:pStyle w:val="25"/>
        <w:rPr>
          <w:rFonts w:hint="eastAsia"/>
          <w:color w:val="000000" w:themeColor="text1"/>
          <w:highlight w:val="none"/>
          <w14:textFill>
            <w14:solidFill>
              <w14:schemeClr w14:val="tx1"/>
            </w14:solidFill>
          </w14:textFill>
        </w:rPr>
      </w:pPr>
    </w:p>
    <w:p w14:paraId="0E9DD7C7">
      <w:pPr>
        <w:pStyle w:val="192"/>
        <w:tabs>
          <w:tab w:val="left" w:pos="826"/>
        </w:tabs>
        <w:spacing w:line="470" w:lineRule="exact"/>
        <w:ind w:firstLine="0"/>
        <w:jc w:val="both"/>
        <w:rPr>
          <w:rFonts w:ascii="仿宋" w:hAnsi="仿宋" w:eastAsia="仿宋" w:cs="仿宋"/>
          <w:color w:val="000000" w:themeColor="text1"/>
          <w:sz w:val="21"/>
          <w:szCs w:val="21"/>
          <w:highlight w:val="none"/>
          <w14:textFill>
            <w14:solidFill>
              <w14:schemeClr w14:val="tx1"/>
            </w14:solidFill>
          </w14:textFill>
        </w:rPr>
      </w:pPr>
    </w:p>
    <w:bookmarkEnd w:id="202"/>
    <w:bookmarkEnd w:id="203"/>
    <w:bookmarkEnd w:id="204"/>
    <w:p w14:paraId="42385147">
      <w:pPr>
        <w:pStyle w:val="13"/>
        <w:shd w:val="clear" w:color="auto" w:fill="auto"/>
        <w:ind w:left="0" w:leftChars="0" w:firstLine="0" w:firstLineChars="0"/>
        <w:rPr>
          <w:rFonts w:hint="eastAsia" w:ascii="宋体" w:hAnsi="宋体" w:eastAsia="宋体" w:cs="宋体"/>
          <w:color w:val="000000" w:themeColor="text1"/>
          <w:highlight w:val="none"/>
          <w14:textFill>
            <w14:solidFill>
              <w14:schemeClr w14:val="tx1"/>
            </w14:solidFill>
          </w14:textFill>
        </w:rPr>
      </w:pPr>
    </w:p>
    <w:sectPr>
      <w:footerReference r:id="rId18" w:type="default"/>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501E6E-2395-4F46-9927-488394E59F88}"/>
  </w:font>
  <w:font w:name="黑体">
    <w:panose1 w:val="02010609060101010101"/>
    <w:charset w:val="86"/>
    <w:family w:val="auto"/>
    <w:pitch w:val="default"/>
    <w:sig w:usb0="800002BF" w:usb1="38CF7CFA" w:usb2="00000016" w:usb3="00000000" w:csb0="00040001" w:csb1="00000000"/>
    <w:embedRegular r:id="rId2" w:fontKey="{5033856A-227F-4FB6-81FA-3AEF22ECD3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Helv">
    <w:altName w:val="Segoe Print"/>
    <w:panose1 w:val="020B060402020203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2DB9195B-C147-4773-9E20-2334D5D97EAE}"/>
  </w:font>
  <w:font w:name="仿宋">
    <w:panose1 w:val="02010609060101010101"/>
    <w:charset w:val="86"/>
    <w:family w:val="auto"/>
    <w:pitch w:val="default"/>
    <w:sig w:usb0="800002BF" w:usb1="38CF7CFA" w:usb2="00000016" w:usb3="00000000" w:csb0="00040001" w:csb1="00000000"/>
    <w:embedRegular r:id="rId4" w:fontKey="{CDDAFC44-6CB5-4D7F-BD6B-25F5A82A4E4B}"/>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5" w:fontKey="{5CD7B764-9AFE-4E19-A73F-5A70FFFC4404}"/>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2010600030101010101"/>
    <w:charset w:val="86"/>
    <w:family w:val="roman"/>
    <w:pitch w:val="default"/>
    <w:sig w:usb0="00000000" w:usb1="00000000" w:usb2="00000010" w:usb3="00000000" w:csb0="00040000" w:csb1="00000000"/>
  </w:font>
  <w:font w:name="ˎ̥">
    <w:altName w:val="宋体"/>
    <w:panose1 w:val="00000000000000000000"/>
    <w:charset w:val="01"/>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长城仿宋">
    <w:altName w:val="宋体"/>
    <w:panose1 w:val="02010609000101010101"/>
    <w:charset w:val="86"/>
    <w:family w:val="modern"/>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embedRegular r:id="rId6" w:fontKey="{2055B8A1-F1AB-40B4-9517-13EFA65AA97E}"/>
  </w:font>
  <w:font w:name="宋体-18030">
    <w:altName w:val="宋体"/>
    <w:panose1 w:val="00000000000000000000"/>
    <w:charset w:val="86"/>
    <w:family w:val="modern"/>
    <w:pitch w:val="default"/>
    <w:sig w:usb0="00000000" w:usb1="00000000" w:usb2="00000010" w:usb3="00000000" w:csb0="00040000" w:csb1="00000000"/>
    <w:embedRegular r:id="rId7" w:fontKey="{2B5ACBBA-1CE7-4A02-88D0-3E460D888C39}"/>
  </w:font>
  <w:font w:name="等线">
    <w:panose1 w:val="02010600030101010101"/>
    <w:charset w:val="86"/>
    <w:family w:val="auto"/>
    <w:pitch w:val="default"/>
    <w:sig w:usb0="A00002BF" w:usb1="38CF7CFA" w:usb2="00000016" w:usb3="00000000" w:csb0="0004000F" w:csb1="00000000"/>
    <w:embedRegular r:id="rId8" w:fontKey="{8D7A1AF9-5E2B-4DC1-A196-9C7C6628D3D0}"/>
  </w:font>
  <w:font w:name="方正仿宋_GB2312">
    <w:altName w:val="仿宋"/>
    <w:panose1 w:val="00000000000000000000"/>
    <w:charset w:val="00"/>
    <w:family w:val="auto"/>
    <w:pitch w:val="default"/>
    <w:sig w:usb0="00000000" w:usb1="00000000" w:usb2="00000000" w:usb3="00000000" w:csb0="00000000" w:csb1="00000000"/>
    <w:embedRegular r:id="rId9" w:fontKey="{1FD4AA80-2E15-469B-8502-1AEB41BCA3D5}"/>
  </w:font>
  <w:font w:name="华文仿宋">
    <w:panose1 w:val="02010600040101010101"/>
    <w:charset w:val="86"/>
    <w:family w:val="auto"/>
    <w:pitch w:val="default"/>
    <w:sig w:usb0="00000287" w:usb1="080F0000" w:usb2="00000000" w:usb3="00000000" w:csb0="0004009F" w:csb1="DFD70000"/>
    <w:embedRegular r:id="rId10" w:fontKey="{91E1FB1C-DD41-48EA-8920-A3EC14407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4636">
    <w:pPr>
      <w:pStyle w:val="30"/>
      <w:pBdr>
        <w:top w:val="single" w:color="auto" w:sz="4" w:space="1"/>
      </w:pBdr>
      <w:rPr>
        <w:rFonts w:hint="eastAsia"/>
        <w:color w:val="FF0000"/>
        <w:szCs w:val="21"/>
      </w:rPr>
    </w:pPr>
    <w:r>
      <w:rPr>
        <w:sz w:val="13"/>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52FDC66">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PL47Do&#10;AQAAygMAAA4AAAAAAAAAAQAgAAAAIgEAAGRycy9lMm9Eb2MueG1sUEsFBgAAAAAGAAYAWQEAAHwF&#10;AAAAAA==&#10;">
              <v:fill on="f" focussize="0,0"/>
              <v:stroke on="f" weight="1.25pt"/>
              <v:imagedata o:title=""/>
              <o:lock v:ext="edit" aspectratio="f"/>
              <v:textbox inset="0mm,0mm,0mm,0mm" style="mso-fit-shape-to-text:t;">
                <w:txbxContent>
                  <w:p w14:paraId="152FDC66">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3"/>
        <w:szCs w:val="13"/>
      </w:rPr>
      <w:t xml:space="preserve"> </w:t>
    </w:r>
    <w:r>
      <w:rPr>
        <w:rFonts w:hint="eastAsia"/>
        <w:sz w:val="13"/>
        <w:szCs w:val="13"/>
        <w:u w:val="none"/>
      </w:rPr>
      <w:t xml:space="preserve"> </w:t>
    </w:r>
    <w:r>
      <w:rPr>
        <w:rFonts w:hint="eastAsia"/>
        <w:color w:val="800000"/>
        <w:sz w:val="21"/>
        <w:szCs w:val="21"/>
        <w:u w:val="none"/>
      </w:rPr>
      <w:t>Add：</w:t>
    </w:r>
    <w:r>
      <w:rPr>
        <w:rFonts w:hint="eastAsia"/>
        <w:color w:val="800000"/>
        <w:szCs w:val="21"/>
        <w:u w:val="none"/>
        <w:lang w:eastAsia="zh-CN"/>
      </w:rPr>
      <w:t>阿图什市香港城西区8号楼2单元402室</w:t>
    </w:r>
    <w:r>
      <w:rPr>
        <w:rFonts w:hint="eastAsia"/>
        <w:color w:val="800000"/>
        <w:szCs w:val="21"/>
        <w:u w:val="none"/>
      </w:rPr>
      <w:t xml:space="preserve">                </w:t>
    </w:r>
    <w:r>
      <w:rPr>
        <w:rFonts w:hint="eastAsia"/>
        <w:color w:val="800000"/>
        <w:sz w:val="21"/>
        <w:szCs w:val="21"/>
        <w:u w:val="none"/>
      </w:rPr>
      <w:t>Tel：</w:t>
    </w:r>
    <w:r>
      <w:rPr>
        <w:rFonts w:hint="eastAsia"/>
        <w:color w:val="800000"/>
        <w:sz w:val="21"/>
        <w:szCs w:val="21"/>
        <w:u w:val="none"/>
        <w:lang w:eastAsia="zh-CN"/>
      </w:rPr>
      <w:t xml:space="preserve"> </w:t>
    </w:r>
    <w:r>
      <w:rPr>
        <w:rFonts w:hint="eastAsia"/>
        <w:color w:val="800000"/>
        <w:sz w:val="21"/>
        <w:szCs w:val="21"/>
        <w:u w:val="none"/>
      </w:rPr>
      <w:t xml:space="preserve"> </w:t>
    </w:r>
    <w:r>
      <w:rPr>
        <w:rFonts w:hint="eastAsia"/>
        <w:color w:val="800000"/>
        <w:sz w:val="21"/>
        <w:szCs w:val="21"/>
      </w:rPr>
      <w:t xml:space="preserve">  </w:t>
    </w:r>
    <w:r>
      <w:rPr>
        <w:rFonts w:hint="eastAsia"/>
        <w:sz w:val="21"/>
        <w:szCs w:val="21"/>
      </w:rPr>
      <w:t xml:space="preserve">   </w:t>
    </w:r>
  </w:p>
  <w:p w14:paraId="14F47BB5">
    <w:pPr>
      <w:pStyle w:val="30"/>
      <w:pBdr>
        <w:top w:val="single" w:color="auto" w:sz="4" w:space="1"/>
      </w:pBdr>
      <w:rPr>
        <w:color w:val="FF0000"/>
        <w:szCs w:val="21"/>
      </w:rPr>
    </w:pPr>
    <w:r>
      <w:rPr>
        <w:rFonts w:hint="eastAsia"/>
        <w:color w:val="FF0000"/>
        <w:szCs w:val="21"/>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D738E">
    <w:pPr>
      <w:spacing w:line="192" w:lineRule="auto"/>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C88FB90">
                          <w:pPr>
                            <w:pStyle w:val="30"/>
                          </w:pPr>
                          <w:r>
                            <w:fldChar w:fldCharType="begin"/>
                          </w:r>
                          <w:r>
                            <w:instrText xml:space="preserve"> PAGE  \* MERGEFORMAT </w:instrText>
                          </w:r>
                          <w:r>
                            <w:fldChar w:fldCharType="separate"/>
                          </w:r>
                          <w:r>
                            <w:t>79</w:t>
                          </w:r>
                          <w:r>
                            <w:fldChar w:fldCharType="end"/>
                          </w:r>
                        </w:p>
                      </w:txbxContent>
                    </wps:txbx>
                    <wps:bodyPr vert="horz" wrap="none" lIns="0" tIns="0" rIns="0" bIns="0" anchor="t" anchorCtr="0" upright="0">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hb5tY&#10;6QEAAMoDAAAOAAAAAAAAAAEAIAAAACIBAABkcnMvZTJvRG9jLnhtbFBLBQYAAAAABgAGAFkBAAB9&#10;BQAAAAA=&#10;">
              <v:fill on="f" focussize="0,0"/>
              <v:stroke on="f" weight="1.25pt"/>
              <v:imagedata o:title=""/>
              <o:lock v:ext="edit" aspectratio="f"/>
              <v:textbox inset="0mm,0mm,0mm,0mm" style="mso-fit-shape-to-text:t;">
                <w:txbxContent>
                  <w:p w14:paraId="6C88FB90">
                    <w:pPr>
                      <w:pStyle w:val="3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5890F">
    <w:pPr>
      <w:pStyle w:val="30"/>
      <w:tabs>
        <w:tab w:val="center" w:pos="4153"/>
        <w:tab w:val="right" w:pos="8306"/>
        <w:tab w:val="clear" w:pos="4320"/>
        <w:tab w:val="clear" w:pos="8640"/>
      </w:tabs>
      <w:ind w:right="360"/>
      <w:jc w:val="both"/>
    </w:pPr>
    <w:r>
      <w:rPr>
        <w:sz w:val="13"/>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AC77023">
                          <w:pPr>
                            <w:pStyle w:val="30"/>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hwm3Po&#10;AQAAygMAAA4AAAAAAAAAAQAgAAAAIgEAAGRycy9lMm9Eb2MueG1sUEsFBgAAAAAGAAYAWQEAAHwF&#10;AAAAAA==&#10;">
              <v:fill on="f" focussize="0,0"/>
              <v:stroke on="f" weight="1.25pt"/>
              <v:imagedata o:title=""/>
              <o:lock v:ext="edit" aspectratio="f"/>
              <v:textbox inset="0mm,0mm,0mm,0mm" style="mso-fit-shape-to-text:t;">
                <w:txbxContent>
                  <w:p w14:paraId="2AC77023">
                    <w:pPr>
                      <w:pStyle w:val="30"/>
                    </w:pPr>
                    <w:r>
                      <w:fldChar w:fldCharType="begin"/>
                    </w:r>
                    <w:r>
                      <w:instrText xml:space="preserve"> PAGE  \* MERGEFORMAT </w:instrText>
                    </w:r>
                    <w:r>
                      <w:fldChar w:fldCharType="separate"/>
                    </w:r>
                    <w:r>
                      <w:t>81</w:t>
                    </w:r>
                    <w:r>
                      <w:fldChar w:fldCharType="end"/>
                    </w:r>
                  </w:p>
                </w:txbxContent>
              </v:textbox>
            </v:shape>
          </w:pict>
        </mc:Fallback>
      </mc:AlternateContent>
    </w:r>
    <w:r>
      <w:rPr>
        <w:rFonts w:hint="eastAsia"/>
        <w:sz w:val="13"/>
        <w:szCs w:val="13"/>
      </w:rPr>
      <w:t xml:space="preserve"> </w:t>
    </w:r>
    <w:r>
      <w:rPr>
        <w:rFonts w:hint="eastAsia"/>
      </w:rPr>
      <w:t xml:space="preserve">  </w:t>
    </w:r>
  </w:p>
  <w:p w14:paraId="09233A7C">
    <w:pPr>
      <w:pStyle w:val="30"/>
      <w:tabs>
        <w:tab w:val="clear" w:pos="4320"/>
        <w:tab w:val="clear" w:pos="864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8BC0D">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5CBC">
    <w:pPr>
      <w:pStyle w:val="30"/>
      <w:tabs>
        <w:tab w:val="center" w:pos="4153"/>
        <w:tab w:val="right" w:pos="8306"/>
        <w:tab w:val="clear" w:pos="4320"/>
        <w:tab w:val="clear" w:pos="8640"/>
      </w:tabs>
      <w:rPr>
        <w:rFonts w:hint="default"/>
        <w:lang w:val="en-US"/>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F128CA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A3GRMbo&#10;AQAAygMAAA4AAAAAAAAAAQAgAAAAIgEAAGRycy9lMm9Eb2MueG1sUEsFBgAAAAAGAAYAWQEAAHwF&#10;AAAAAA==&#10;">
              <v:fill on="f" focussize="0,0"/>
              <v:stroke on="f" weight="1.25pt"/>
              <v:imagedata o:title=""/>
              <o:lock v:ext="edit" aspectratio="f"/>
              <v:textbox inset="0mm,0mm,0mm,0mm" style="mso-fit-shape-to-text:t;">
                <w:txbxContent>
                  <w:p w14:paraId="2F128CA1">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posOffset>5217795</wp:posOffset>
              </wp:positionH>
              <wp:positionV relativeFrom="paragraph">
                <wp:posOffset>0</wp:posOffset>
              </wp:positionV>
              <wp:extent cx="1828800" cy="1828800"/>
              <wp:effectExtent l="0" t="0" r="0" b="0"/>
              <wp:wrapNone/>
              <wp:docPr id="2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859308D">
                          <w:pPr>
                            <w:rPr>
                              <w:rFonts w:hint="eastAsia"/>
                              <w:lang w:eastAsia="zh-CN"/>
                            </w:rPr>
                          </w:pPr>
                        </w:p>
                      </w:txbxContent>
                    </wps:txbx>
                    <wps:bodyPr wrap="none" lIns="0" tIns="0" rIns="0" bIns="0" upright="0">
                      <a:spAutoFit/>
                    </wps:bodyPr>
                  </wps:wsp>
                </a:graphicData>
              </a:graphic>
            </wp:anchor>
          </w:drawing>
        </mc:Choice>
        <mc:Fallback>
          <w:pict>
            <v:shape id="文本框 1032" o:spid="_x0000_s1026" o:spt="202" type="#_x0000_t202" style="position:absolute;left:0pt;margin-left:410.85pt;margin-top:0pt;height:144pt;width:144pt;mso-position-horizontal-relative:margin;mso-wrap-style:none;z-index:251663360;mso-width-relative:page;mso-height-relative:page;" filled="f" stroked="f" coordsize="21600,21600" o:gfxdata="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jdNe9cAAAAJAQAADwAAAAAAAAABACAA&#10;AAAiAAAAZHJzL2Rvd25yZXYueG1sUEsBAhQAFAAAAAgAh07iQKea9KbVAQAApwMAAA4AAAAAAAAA&#10;AQAgAAAAJgEAAGRycy9lMm9Eb2MueG1sUEsFBgAAAAAGAAYAWQEAAG0FAAAAAA==&#10;">
              <v:fill on="f" focussize="0,0"/>
              <v:stroke on="f" weight="1.25pt"/>
              <v:imagedata o:title=""/>
              <o:lock v:ext="edit" aspectratio="f"/>
              <v:textbox inset="0mm,0mm,0mm,0mm" style="mso-fit-shape-to-text:t;">
                <w:txbxContent>
                  <w:p w14:paraId="6859308D">
                    <w:pPr>
                      <w:rPr>
                        <w:rFonts w:hint="eastAsia"/>
                        <w:lang w:eastAsia="zh-CN"/>
                      </w:rPr>
                    </w:pPr>
                  </w:p>
                </w:txbxContent>
              </v:textbox>
            </v:shape>
          </w:pict>
        </mc:Fallback>
      </mc:AlternateContent>
    </w:r>
    <w:r>
      <w:rPr>
        <w:rFonts w:hint="eastAsia"/>
        <w:color w:val="800000"/>
        <w:szCs w:val="21"/>
      </w:rPr>
      <w:t>Add：</w:t>
    </w:r>
    <w:r>
      <w:rPr>
        <w:rFonts w:hint="eastAsia"/>
        <w:color w:val="800000"/>
        <w:szCs w:val="21"/>
        <w:lang w:eastAsia="zh-CN"/>
      </w:rPr>
      <w:t>阿图什市香港城西区</w:t>
    </w:r>
    <w:r>
      <w:rPr>
        <w:rFonts w:hint="eastAsia"/>
        <w:color w:val="800000"/>
        <w:szCs w:val="21"/>
        <w:lang w:val="en-US" w:eastAsia="zh-CN"/>
      </w:rPr>
      <w:t>8号楼2单元401室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rPr>
      <w:t>Tel：</w:t>
    </w:r>
    <w:r>
      <w:rPr>
        <w:rFonts w:hint="eastAsia"/>
        <w:color w:val="800000"/>
        <w:szCs w:val="21"/>
        <w:lang w:val="en-US" w:eastAsia="zh-CN"/>
      </w:rPr>
      <w:t>0908-4222622</w:t>
    </w:r>
  </w:p>
  <w:p w14:paraId="049F6383">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B290">
    <w:pPr>
      <w:pStyle w:val="30"/>
      <w:tabs>
        <w:tab w:val="center" w:pos="4869"/>
        <w:tab w:val="right" w:pos="8306"/>
        <w:tab w:val="clear" w:pos="4320"/>
        <w:tab w:val="clear" w:pos="8640"/>
      </w:tabs>
      <w:ind w:right="360"/>
      <w:jc w:val="both"/>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8F4230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OpKZSHo&#10;AQAAygMAAA4AAAAAAAAAAQAgAAAAIgEAAGRycy9lMm9Eb2MueG1sUEsFBgAAAAAGAAYAWQEAAHwF&#10;AAAAAA==&#10;">
              <v:fill on="f" focussize="0,0"/>
              <v:stroke on="f" weight="1.25pt"/>
              <v:imagedata o:title=""/>
              <o:lock v:ext="edit" aspectratio="f"/>
              <v:textbox inset="0mm,0mm,0mm,0mm" style="mso-fit-shape-to-text:t;">
                <w:txbxContent>
                  <w:p w14:paraId="68F42304">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D5FC830">
                          <w:pPr>
                            <w:pStyle w:val="30"/>
                            <w:rPr>
                              <w:rFonts w:hint="eastAsia" w:eastAsia="宋体"/>
                              <w:lang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GC54S1AEAAKUDAAAOAAAAAAAAAAEAIAAA&#10;ACIBAABkcnMvZTJvRG9jLnhtbFBLBQYAAAAABgAGAFkBAABoBQAAAAA=&#10;">
              <v:fill on="f" focussize="0,0"/>
              <v:stroke on="f" weight="1.25pt"/>
              <v:imagedata o:title=""/>
              <o:lock v:ext="edit" aspectratio="f"/>
              <v:textbox inset="0mm,0mm,0mm,0mm" style="mso-fit-shape-to-text:t;">
                <w:txbxContent>
                  <w:p w14:paraId="2D5FC830">
                    <w:pPr>
                      <w:pStyle w:val="30"/>
                      <w:rPr>
                        <w:rFonts w:hint="eastAsia" w:eastAsia="宋体"/>
                        <w:lang w:eastAsia="zh-CN"/>
                      </w:rPr>
                    </w:pPr>
                  </w:p>
                </w:txbxContent>
              </v:textbox>
            </v:shape>
          </w:pict>
        </mc:Fallback>
      </mc:AlternateContent>
    </w:r>
    <w:r>
      <w:rPr>
        <w:rFonts w:hint="eastAsia"/>
        <w:color w:val="800000"/>
      </w:rPr>
      <w:t>Add：阿图什市香港城西区8号楼2单元402室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rPr>
      <w:t xml:space="preserve"> </w:t>
    </w:r>
    <w:r>
      <w:rPr>
        <w:rFonts w:hint="eastAsia"/>
        <w:color w:val="800000"/>
        <w:sz w:val="21"/>
        <w:szCs w:val="21"/>
      </w:rPr>
      <w:t>Tel：0908-4222622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1C0B4">
    <w:pPr>
      <w:pStyle w:val="30"/>
      <w:ind w:right="360"/>
      <w:rPr>
        <w:rFonts w:hint="eastAsia" w:eastAsia="宋体"/>
        <w:u w:val="none"/>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905BB1">
                          <w:pPr>
                            <w:pStyle w:val="30"/>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TPxZLo&#10;AQAAygMAAA4AAAAAAAAAAQAgAAAAIgEAAGRycy9lMm9Eb2MueG1sUEsFBgAAAAAGAAYAWQEAAHwF&#10;AAAAAA==&#10;">
              <v:fill on="f" focussize="0,0"/>
              <v:stroke on="f" weight="1.25pt"/>
              <v:imagedata o:title=""/>
              <o:lock v:ext="edit" aspectratio="f"/>
              <v:textbox inset="0mm,0mm,0mm,0mm" style="mso-fit-shape-to-text:t;">
                <w:txbxContent>
                  <w:p w14:paraId="5E905BB1">
                    <w:pPr>
                      <w:pStyle w:val="30"/>
                    </w:pPr>
                    <w:r>
                      <w:fldChar w:fldCharType="begin"/>
                    </w:r>
                    <w:r>
                      <w:instrText xml:space="preserve"> PAGE  \* MERGEFORMAT </w:instrText>
                    </w:r>
                    <w:r>
                      <w:fldChar w:fldCharType="separate"/>
                    </w:r>
                    <w:r>
                      <w:t>8</w:t>
                    </w:r>
                    <w:r>
                      <w:fldChar w:fldCharType="end"/>
                    </w:r>
                  </w:p>
                </w:txbxContent>
              </v:textbox>
            </v:shape>
          </w:pict>
        </mc:Fallback>
      </mc:AlternateContent>
    </w:r>
    <w:r>
      <w:rPr>
        <w:sz w:val="18"/>
        <w:u w:val="none"/>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2FF0932">
                          <w:pPr>
                            <w:rPr>
                              <w:rFonts w:hint="eastAsia"/>
                              <w:lang w:eastAsia="zh-CN"/>
                            </w:rPr>
                          </w:pP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NFxI+dUBAACnAwAADgAAAAAAAAABACAA&#10;AAAiAQAAZHJzL2Uyb0RvYy54bWxQSwUGAAAAAAYABgBZAQAAaQUAAAAA&#10;">
              <v:fill on="f" focussize="0,0"/>
              <v:stroke on="f" weight="1.25pt"/>
              <v:imagedata o:title=""/>
              <o:lock v:ext="edit" aspectratio="f"/>
              <v:textbox inset="0mm,0mm,0mm,0mm" style="mso-fit-shape-to-text:t;">
                <w:txbxContent>
                  <w:p w14:paraId="72FF0932">
                    <w:pPr>
                      <w:rPr>
                        <w:rFonts w:hint="eastAsia"/>
                        <w:lang w:eastAsia="zh-CN"/>
                      </w:rPr>
                    </w:pPr>
                  </w:p>
                </w:txbxContent>
              </v:textbox>
            </v:shape>
          </w:pict>
        </mc:Fallback>
      </mc:AlternateContent>
    </w:r>
    <w:r>
      <w:rPr>
        <w:u w:val="non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52592">
                          <w:pPr>
                            <w:snapToGrid w:val="0"/>
                            <w:rPr>
                              <w:rFonts w:hint="eastAsia"/>
                              <w:sz w:val="18"/>
                            </w:rPr>
                          </w:pP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tG5c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G0blyQEAAJoDAAAOAAAAAAAAAAEAIAAAAB4BAABkcnMvZTJvRG9j&#10;LnhtbFBLBQYAAAAABgAGAFkBAABZBQAAAAA=&#10;">
              <v:fill on="f" focussize="0,0"/>
              <v:stroke on="f"/>
              <v:imagedata o:title=""/>
              <o:lock v:ext="edit" aspectratio="f"/>
              <v:textbox inset="0mm,0mm,0mm,0mm" style="mso-fit-shape-to-text:t;">
                <w:txbxContent>
                  <w:p w14:paraId="20B52592">
                    <w:pPr>
                      <w:snapToGrid w:val="0"/>
                      <w:rPr>
                        <w:rFonts w:hint="eastAsia"/>
                        <w:sz w:val="18"/>
                      </w:rPr>
                    </w:pPr>
                  </w:p>
                </w:txbxContent>
              </v:textbox>
            </v:shape>
          </w:pict>
        </mc:Fallback>
      </mc:AlternateContent>
    </w:r>
    <w:r>
      <w:rPr>
        <w:rFonts w:hint="eastAsia"/>
        <w:u w:val="none"/>
      </w:rPr>
      <w:t xml:space="preserve">  </w:t>
    </w:r>
    <w:r>
      <w:rPr>
        <w:rFonts w:hint="eastAsia"/>
        <w:color w:val="800000"/>
        <w:sz w:val="21"/>
        <w:szCs w:val="21"/>
        <w:u w:val="none"/>
      </w:rPr>
      <w:t>Add：</w:t>
    </w:r>
    <w:r>
      <w:rPr>
        <w:rFonts w:hint="eastAsia"/>
        <w:color w:val="800000"/>
        <w:szCs w:val="21"/>
        <w:lang w:eastAsia="zh-CN"/>
      </w:rPr>
      <w:t>阿图什市香港城西区8号楼2单元402室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u w:val="none"/>
      </w:rPr>
      <w:t xml:space="preserve">    </w:t>
    </w:r>
    <w:r>
      <w:rPr>
        <w:rFonts w:hint="eastAsia"/>
        <w:color w:val="800000"/>
        <w:szCs w:val="21"/>
        <w:u w:val="none"/>
        <w:lang w:val="en-US" w:eastAsia="zh-CN"/>
      </w:rPr>
      <w:t xml:space="preserve">        </w:t>
    </w:r>
    <w:r>
      <w:rPr>
        <w:rFonts w:hint="eastAsia"/>
        <w:color w:val="800000"/>
        <w:szCs w:val="21"/>
        <w:u w:val="none"/>
      </w:rPr>
      <w:t xml:space="preserve">      </w:t>
    </w:r>
    <w:r>
      <w:rPr>
        <w:rFonts w:hint="eastAsia"/>
        <w:color w:val="800000"/>
        <w:sz w:val="18"/>
        <w:szCs w:val="18"/>
        <w:u w:val="none"/>
      </w:rPr>
      <w:t>Tel：</w:t>
    </w:r>
    <w:r>
      <w:rPr>
        <w:rFonts w:hint="eastAsia"/>
        <w:color w:val="800000"/>
        <w:sz w:val="18"/>
        <w:szCs w:val="18"/>
        <w:u w:val="none"/>
        <w:lang w:val="en-US" w:eastAsia="zh-CN"/>
      </w:rPr>
      <w:t xml:space="preserve">13179869852 </w:t>
    </w:r>
  </w:p>
  <w:p w14:paraId="7A5C8F02">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C93D">
    <w:pPr>
      <w:pStyle w:val="30"/>
      <w:tabs>
        <w:tab w:val="center" w:pos="4153"/>
        <w:tab w:val="right" w:pos="8306"/>
        <w:tab w:val="clear" w:pos="4320"/>
        <w:tab w:val="clear" w:pos="8640"/>
      </w:tabs>
      <w:ind w:right="360"/>
      <w:jc w:val="both"/>
    </w:pPr>
    <w:r>
      <w:rPr>
        <w:sz w:val="13"/>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73A2F29">
                          <w:pPr>
                            <w:pStyle w:val="30"/>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lF8Ob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Xy4psczgxM8/f5x/&#10;/Tn//k6uV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GlF8Obo&#10;AQAAygMAAA4AAAAAAAAAAQAgAAAAIgEAAGRycy9lMm9Eb2MueG1sUEsFBgAAAAAGAAYAWQEAAHwF&#10;AAAAAA==&#10;">
              <v:fill on="f" focussize="0,0"/>
              <v:stroke on="f" weight="1.25pt"/>
              <v:imagedata o:title=""/>
              <o:lock v:ext="edit" aspectratio="f"/>
              <v:textbox inset="0mm,0mm,0mm,0mm" style="mso-fit-shape-to-text:t;">
                <w:txbxContent>
                  <w:p w14:paraId="173A2F29">
                    <w:pPr>
                      <w:pStyle w:val="30"/>
                    </w:pPr>
                    <w:r>
                      <w:fldChar w:fldCharType="begin"/>
                    </w:r>
                    <w:r>
                      <w:instrText xml:space="preserve"> PAGE  \* MERGEFORMAT </w:instrText>
                    </w:r>
                    <w:r>
                      <w:fldChar w:fldCharType="separate"/>
                    </w:r>
                    <w:r>
                      <w:t>35</w:t>
                    </w:r>
                    <w:r>
                      <w:fldChar w:fldCharType="end"/>
                    </w:r>
                  </w:p>
                </w:txbxContent>
              </v:textbox>
            </v:shape>
          </w:pict>
        </mc:Fallback>
      </mc:AlternateContent>
    </w:r>
    <w:r>
      <w:rPr>
        <w:rFonts w:hint="eastAsia"/>
        <w:sz w:val="13"/>
        <w:szCs w:val="13"/>
      </w:rPr>
      <w:t xml:space="preserve"> </w:t>
    </w:r>
    <w:r>
      <w:rPr>
        <w:rFonts w:hint="eastAsia"/>
      </w:rPr>
      <w:t xml:space="preserve">  </w:t>
    </w:r>
  </w:p>
  <w:p w14:paraId="3BFD2A2B">
    <w:pPr>
      <w:pStyle w:val="30"/>
      <w:tabs>
        <w:tab w:val="clear" w:pos="4320"/>
        <w:tab w:val="clear" w:pos="8640"/>
      </w:tabs>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88388">
    <w:pPr>
      <w:pStyle w:val="30"/>
      <w:tabs>
        <w:tab w:val="center" w:pos="4153"/>
        <w:tab w:val="right" w:pos="8306"/>
        <w:tab w:val="clear" w:pos="4320"/>
        <w:tab w:val="clear" w:pos="8640"/>
      </w:tabs>
      <w:ind w:right="360"/>
      <w:jc w:val="both"/>
    </w:pPr>
    <w:r>
      <w:rPr>
        <w:sz w:val="13"/>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4194FEF">
                          <w:pPr>
                            <w:pStyle w:val="30"/>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6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QWvDN&#10;6QEAAMoDAAAOAAAAAAAAAAEAIAAAACIBAABkcnMvZTJvRG9jLnhtbFBLBQYAAAAABgAGAFkBAAB9&#10;BQAAAAA=&#10;">
              <v:fill on="f" focussize="0,0"/>
              <v:stroke on="f" weight="1.25pt"/>
              <v:imagedata o:title=""/>
              <o:lock v:ext="edit" aspectratio="f"/>
              <v:textbox inset="0mm,0mm,0mm,0mm" style="mso-fit-shape-to-text:t;">
                <w:txbxContent>
                  <w:p w14:paraId="54194FEF">
                    <w:pPr>
                      <w:pStyle w:val="30"/>
                    </w:pPr>
                    <w:r>
                      <w:fldChar w:fldCharType="begin"/>
                    </w:r>
                    <w:r>
                      <w:instrText xml:space="preserve"> PAGE  \* MERGEFORMAT </w:instrText>
                    </w:r>
                    <w:r>
                      <w:fldChar w:fldCharType="separate"/>
                    </w:r>
                    <w:r>
                      <w:t>52</w:t>
                    </w:r>
                    <w:r>
                      <w:fldChar w:fldCharType="end"/>
                    </w:r>
                  </w:p>
                </w:txbxContent>
              </v:textbox>
            </v:shape>
          </w:pict>
        </mc:Fallback>
      </mc:AlternateContent>
    </w:r>
    <w:r>
      <w:rPr>
        <w:rFonts w:hint="eastAsia"/>
        <w:sz w:val="13"/>
        <w:szCs w:val="13"/>
      </w:rPr>
      <w:t xml:space="preserve"> </w:t>
    </w:r>
    <w:r>
      <w:rPr>
        <w:rFonts w:hint="eastAsia"/>
      </w:rPr>
      <w:t xml:space="preserve">  </w:t>
    </w:r>
  </w:p>
  <w:p w14:paraId="26C01F04">
    <w:pPr>
      <w:pStyle w:val="30"/>
      <w:tabs>
        <w:tab w:val="clear" w:pos="4320"/>
        <w:tab w:val="clear" w:pos="8640"/>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FDF24">
    <w:pPr>
      <w:pStyle w:val="30"/>
      <w:tabs>
        <w:tab w:val="center" w:pos="4153"/>
        <w:tab w:val="right" w:pos="8306"/>
        <w:tab w:val="clear" w:pos="4320"/>
        <w:tab w:val="clear" w:pos="8640"/>
      </w:tabs>
      <w:ind w:right="360"/>
      <w:jc w:val="both"/>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1685828">
                          <w:pPr>
                            <w:pStyle w:val="30"/>
                          </w:pPr>
                          <w:r>
                            <w:fldChar w:fldCharType="begin"/>
                          </w:r>
                          <w:r>
                            <w:instrText xml:space="preserve"> PAGE  \* MERGEFORMAT </w:instrText>
                          </w:r>
                          <w:r>
                            <w:fldChar w:fldCharType="separate"/>
                          </w:r>
                          <w:r>
                            <w:t>68</w:t>
                          </w:r>
                          <w:r>
                            <w:fldChar w:fldCharType="end"/>
                          </w:r>
                        </w:p>
                      </w:txbxContent>
                    </wps:txbx>
                    <wps:bodyPr vert="horz" wrap="none" lIns="0" tIns="0" rIns="0" bIns="0" anchor="t" anchorCtr="0" upright="0">
                      <a:spAutoFit/>
                    </wps:bodyPr>
                  </wps:wsp>
                </a:graphicData>
              </a:graphic>
            </wp:anchor>
          </w:drawing>
        </mc:Choice>
        <mc:Fallback>
          <w:pict>
            <v:shape id="文本框 6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TUJsO&#10;6QEAAMoDAAAOAAAAAAAAAAEAIAAAACIBAABkcnMvZTJvRG9jLnhtbFBLBQYAAAAABgAGAFkBAAB9&#10;BQAAAAA=&#10;">
              <v:fill on="f" focussize="0,0"/>
              <v:stroke on="f" weight="1.25pt"/>
              <v:imagedata o:title=""/>
              <o:lock v:ext="edit" aspectratio="f"/>
              <v:textbox inset="0mm,0mm,0mm,0mm" style="mso-fit-shape-to-text:t;">
                <w:txbxContent>
                  <w:p w14:paraId="11685828">
                    <w:pPr>
                      <w:pStyle w:val="30"/>
                    </w:pPr>
                    <w:r>
                      <w:fldChar w:fldCharType="begin"/>
                    </w:r>
                    <w:r>
                      <w:instrText xml:space="preserve"> PAGE  \* MERGEFORMAT </w:instrText>
                    </w:r>
                    <w:r>
                      <w:fldChar w:fldCharType="separate"/>
                    </w:r>
                    <w:r>
                      <w:t>68</w:t>
                    </w:r>
                    <w:r>
                      <w:fldChar w:fldCharType="end"/>
                    </w:r>
                  </w:p>
                </w:txbxContent>
              </v:textbox>
            </v:shape>
          </w:pict>
        </mc:Fallback>
      </mc:AlternateContent>
    </w:r>
    <w:r>
      <w:rPr>
        <w:rFonts w:hint="eastAsia" w:ascii="宋体" w:hAnsi="宋体" w:eastAsia="宋体" w:cs="宋体"/>
        <w:color w:val="auto"/>
        <w:sz w:val="24"/>
        <w:lang w:eastAsia="zh-CN"/>
      </w:rPr>
      <w:t xml:space="preserve">  </w:t>
    </w:r>
    <w:r>
      <w:rPr>
        <w:rFonts w:hint="eastAsia"/>
        <w:sz w:val="13"/>
        <w:szCs w:val="13"/>
      </w:rPr>
      <w:t xml:space="preserve"> </w:t>
    </w:r>
    <w:r>
      <w:rPr>
        <w:rFonts w:hint="eastAsia"/>
      </w:rPr>
      <w:t xml:space="preserve"> </w:t>
    </w:r>
    <w:r>
      <w:rPr>
        <w:rFonts w:hint="eastAsia"/>
        <w:color w:val="800000"/>
        <w:sz w:val="16"/>
        <w:szCs w:val="20"/>
        <w:lang w:eastAsia="zh-CN"/>
      </w:rPr>
      <w:t xml:space="preserve">      </w:t>
    </w:r>
  </w:p>
  <w:p w14:paraId="36BEE047">
    <w:pPr>
      <w:pStyle w:val="30"/>
      <w:tabs>
        <w:tab w:val="center" w:pos="4153"/>
        <w:tab w:val="right" w:pos="8306"/>
        <w:tab w:val="clear" w:pos="4320"/>
        <w:tab w:val="clear" w:pos="8640"/>
      </w:tabs>
      <w:autoSpaceDE w:val="0"/>
      <w:autoSpaceDN w:val="0"/>
      <w:adjustRightInd w:val="0"/>
      <w:ind w:left="7200" w:hanging="7200" w:hangingChars="4000"/>
      <w:jc w:val="both"/>
    </w:pPr>
  </w:p>
  <w:p w14:paraId="706CDE3C">
    <w:pPr>
      <w:pStyle w:val="30"/>
      <w:tabs>
        <w:tab w:val="center" w:pos="4153"/>
        <w:tab w:val="right" w:pos="8306"/>
        <w:tab w:val="clear" w:pos="4320"/>
        <w:tab w:val="clear" w:pos="8640"/>
      </w:tabs>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1C00">
    <w:pPr>
      <w:spacing w:line="193" w:lineRule="auto"/>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CF6C0BA">
                          <w:pPr>
                            <w:pStyle w:val="30"/>
                          </w:pPr>
                          <w:r>
                            <w:fldChar w:fldCharType="begin"/>
                          </w:r>
                          <w:r>
                            <w:instrText xml:space="preserve"> PAGE  \* MERGEFORMAT </w:instrText>
                          </w:r>
                          <w:r>
                            <w:fldChar w:fldCharType="separate"/>
                          </w:r>
                          <w:r>
                            <w:t>73</w:t>
                          </w:r>
                          <w: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zlrizo&#10;AQAAygMAAA4AAAAAAAAAAQAgAAAAIgEAAGRycy9lMm9Eb2MueG1sUEsFBgAAAAAGAAYAWQEAAHwF&#10;AAAAAA==&#10;">
              <v:fill on="f" focussize="0,0"/>
              <v:stroke on="f" weight="1.25pt"/>
              <v:imagedata o:title=""/>
              <o:lock v:ext="edit" aspectratio="f"/>
              <v:textbox inset="0mm,0mm,0mm,0mm" style="mso-fit-shape-to-text:t;">
                <w:txbxContent>
                  <w:p w14:paraId="4CF6C0BA">
                    <w:pPr>
                      <w:pStyle w:val="3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9B111">
    <w:pPr>
      <w:widowControl/>
      <w:pBdr>
        <w:bottom w:val="none" w:color="auto" w:sz="0" w:space="0"/>
      </w:pBdr>
      <w:shd w:val="clear" w:color="auto" w:fill="FFFFFF"/>
      <w:jc w:val="left"/>
      <w:rPr>
        <w:rFonts w:hint="eastAsia" w:ascii="黑体" w:hAnsi="宋体" w:eastAsia="宋体"/>
        <w:b/>
        <w:sz w:val="21"/>
        <w:szCs w:val="21"/>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62C02">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E02D">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572D">
    <w:pPr>
      <w:widowControl/>
      <w:pBdr>
        <w:bottom w:val="none" w:color="auto" w:sz="0" w:space="0"/>
      </w:pBdr>
      <w:shd w:val="clear" w:color="auto" w:fill="FFFFFF"/>
      <w:spacing w:line="240" w:lineRule="atLeast"/>
      <w:ind w:left="7469" w:hanging="6510" w:hangingChars="3100"/>
      <w:jc w:val="left"/>
      <w:rPr>
        <w:rFonts w:hint="eastAsia" w:ascii="宋体" w:hAnsi="宋体" w:eastAsia="宋体" w:cs="宋体"/>
        <w:b/>
        <w:sz w:val="18"/>
        <w:szCs w:val="15"/>
        <w:u w:val="single"/>
        <w:lang w:eastAsia="zh-CN"/>
      </w:rPr>
    </w:pPr>
    <w:r>
      <w:rPr>
        <w:rFonts w:hint="eastAsia"/>
        <w:u w:val="single"/>
        <w:lang w:val="en-US" w:eastAsia="zh-CN"/>
      </w:rPr>
      <w:t xml:space="preserve">                                           </w:t>
    </w:r>
  </w:p>
  <w:p w14:paraId="7FC7FD77">
    <w:pPr>
      <w:pStyle w:val="3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CDCD">
    <w:pPr>
      <w:widowControl/>
      <w:pBdr>
        <w:bottom w:val="none" w:color="auto" w:sz="0" w:space="0"/>
      </w:pBdr>
      <w:shd w:val="clear" w:color="auto" w:fill="FFFFFF"/>
      <w:spacing w:line="240" w:lineRule="atLeast"/>
      <w:ind w:left="7469" w:hanging="6510" w:hangingChars="3100"/>
      <w:jc w:val="left"/>
      <w:rPr>
        <w:rFonts w:hint="eastAsia" w:ascii="宋体" w:hAnsi="宋体" w:eastAsia="宋体" w:cs="宋体"/>
        <w:b/>
        <w:sz w:val="18"/>
        <w:szCs w:val="15"/>
        <w:u w:val="single"/>
        <w:lang w:eastAsia="zh-CN"/>
      </w:rPr>
    </w:pPr>
    <w:r>
      <w:rPr>
        <w:rFonts w:hint="eastAsia"/>
        <w:u w:val="single"/>
        <w:lang w:val="en-US" w:eastAsia="zh-CN"/>
      </w:rPr>
      <w:t xml:space="preserve">                                           </w:t>
    </w:r>
  </w:p>
  <w:p w14:paraId="7DE2B20F">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0816F"/>
    <w:multiLevelType w:val="singleLevel"/>
    <w:tmpl w:val="AE00816F"/>
    <w:lvl w:ilvl="0" w:tentative="0">
      <w:start w:val="1"/>
      <w:numFmt w:val="decimal"/>
      <w:suff w:val="space"/>
      <w:lvlText w:val="%1."/>
      <w:lvlJc w:val="left"/>
    </w:lvl>
  </w:abstractNum>
  <w:abstractNum w:abstractNumId="1">
    <w:nsid w:val="CF0DAD01"/>
    <w:multiLevelType w:val="singleLevel"/>
    <w:tmpl w:val="CF0DAD01"/>
    <w:lvl w:ilvl="0" w:tentative="0">
      <w:start w:val="1"/>
      <w:numFmt w:val="decimal"/>
      <w:suff w:val="space"/>
      <w:lvlText w:val="%1."/>
      <w:lvlJc w:val="left"/>
    </w:lvl>
  </w:abstractNum>
  <w:abstractNum w:abstractNumId="2">
    <w:nsid w:val="00000000"/>
    <w:multiLevelType w:val="multilevel"/>
    <w:tmpl w:val="00000000"/>
    <w:lvl w:ilvl="0" w:tentative="0">
      <w:start w:val="1"/>
      <w:numFmt w:val="decimal"/>
      <w:pStyle w:val="92"/>
      <w:lvlText w:val="附件 %1"/>
      <w:lvlJc w:val="left"/>
      <w:pPr>
        <w:tabs>
          <w:tab w:val="left" w:pos="1080"/>
        </w:tabs>
        <w:ind w:left="720" w:hanging="720"/>
      </w:pPr>
      <w:rPr>
        <w:rFonts w:hint="eastAsia"/>
        <w:sz w:val="28"/>
      </w:rPr>
    </w:lvl>
    <w:lvl w:ilvl="1" w:tentative="0">
      <w:start w:val="1"/>
      <w:numFmt w:val="chineseCountingThousand"/>
      <w:lvlText w:val="%2、"/>
      <w:lvlJc w:val="left"/>
      <w:pPr>
        <w:tabs>
          <w:tab w:val="left" w:pos="1050"/>
        </w:tabs>
        <w:ind w:left="1050" w:hanging="630"/>
      </w:pPr>
      <w:rPr>
        <w:rFonts w:hint="eastAsia"/>
        <w:sz w:val="28"/>
      </w:r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decimal"/>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4">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5">
    <w:nsid w:val="37CD3E9F"/>
    <w:multiLevelType w:val="singleLevel"/>
    <w:tmpl w:val="37CD3E9F"/>
    <w:lvl w:ilvl="0" w:tentative="0">
      <w:start w:val="7"/>
      <w:numFmt w:val="decimal"/>
      <w:suff w:val="nothing"/>
      <w:lvlText w:val="%1、"/>
      <w:lvlJc w:val="left"/>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chineseCountingThousand"/>
      <w:lvlText w:val="%2、"/>
      <w:lvlJc w:val="right"/>
      <w:pPr>
        <w:ind w:left="1078" w:hanging="794"/>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vertAlign w:val="baseline"/>
      </w:rPr>
    </w:lvl>
    <w:lvl w:ilvl="2" w:tentative="0">
      <w:start w:val="1"/>
      <w:numFmt w:val="decimal"/>
      <w:lvlText w:val="%3.5.1."/>
      <w:lvlJc w:val="left"/>
      <w:pPr>
        <w:ind w:left="907" w:hanging="907"/>
      </w:pPr>
      <w:rPr>
        <w:rFonts w:hint="eastAsia"/>
      </w:rPr>
    </w:lvl>
    <w:lvl w:ilvl="3" w:tentative="0">
      <w:start w:val="1"/>
      <w:numFmt w:val="decimal"/>
      <w:lvlText w:val="1.4.3.%4."/>
      <w:lvlJc w:val="left"/>
      <w:pPr>
        <w:ind w:left="1021" w:hanging="1021"/>
      </w:pPr>
      <w:rPr>
        <w:rFonts w:hint="eastAsia"/>
      </w:rPr>
    </w:lvl>
    <w:lvl w:ilvl="4" w:tentative="0">
      <w:start w:val="1"/>
      <w:numFmt w:val="decimal"/>
      <w:pStyle w:val="182"/>
      <w:isLgl/>
      <w:suff w:val="space"/>
      <w:lvlText w:val="%1.%2.%3.%4.%5 "/>
      <w:lvlJc w:val="left"/>
      <w:pPr>
        <w:ind w:left="1134" w:hanging="1134"/>
      </w:pPr>
      <w:rPr>
        <w:rFonts w:hint="eastAsia" w:cs="Times New Roman"/>
      </w:rPr>
    </w:lvl>
    <w:lvl w:ilvl="5" w:tentative="0">
      <w:start w:val="1"/>
      <w:numFmt w:val="decimal"/>
      <w:isLgl/>
      <w:suff w:val="space"/>
      <w:lvlText w:val="%1.%2.%3.%4.%5.%6 "/>
      <w:lvlJc w:val="left"/>
      <w:pPr>
        <w:ind w:left="1247" w:hanging="1247"/>
      </w:pPr>
      <w:rPr>
        <w:rFonts w:hint="eastAsia" w:cs="Times New Roman"/>
      </w:rPr>
    </w:lvl>
    <w:lvl w:ilvl="6" w:tentative="0">
      <w:start w:val="1"/>
      <w:numFmt w:val="decimal"/>
      <w:lvlRestart w:val="0"/>
      <w:isLgl/>
      <w:suff w:val="space"/>
      <w:lvlText w:val="图 %1.%7 "/>
      <w:lvlJc w:val="left"/>
      <w:rPr>
        <w:rFonts w:hint="eastAsia" w:cs="Times New Roman"/>
      </w:rPr>
    </w:lvl>
    <w:lvl w:ilvl="7" w:tentative="0">
      <w:start w:val="1"/>
      <w:numFmt w:val="decimal"/>
      <w:lvlRestart w:val="0"/>
      <w:isLgl/>
      <w:suff w:val="space"/>
      <w:lvlText w:val="表 %1.%8 "/>
      <w:lvlJc w:val="left"/>
      <w:rPr>
        <w:rFonts w:hint="eastAsia" w:cs="Times New Roman"/>
      </w:rPr>
    </w:lvl>
    <w:lvl w:ilvl="8" w:tentative="0">
      <w:start w:val="0"/>
      <w:numFmt w:val="decimal"/>
      <w:lvlText w:val=""/>
      <w:lvlJc w:val="left"/>
      <w:rPr>
        <w:rFonts w:cs="Times New Roman"/>
      </w:rPr>
    </w:lvl>
  </w:abstractNum>
  <w:abstractNum w:abstractNumId="7">
    <w:nsid w:val="55CD4C99"/>
    <w:multiLevelType w:val="singleLevel"/>
    <w:tmpl w:val="55CD4C99"/>
    <w:lvl w:ilvl="0" w:tentative="0">
      <w:start w:val="1"/>
      <w:numFmt w:val="chineseCounting"/>
      <w:suff w:val="nothing"/>
      <w:lvlText w:val="%1、"/>
      <w:lvlJc w:val="left"/>
    </w:lvl>
  </w:abstractNum>
  <w:abstractNum w:abstractNumId="8">
    <w:nsid w:val="64AFE80F"/>
    <w:multiLevelType w:val="singleLevel"/>
    <w:tmpl w:val="64AFE80F"/>
    <w:lvl w:ilvl="0" w:tentative="0">
      <w:start w:val="1"/>
      <w:numFmt w:val="decimal"/>
      <w:suff w:val="nothing"/>
      <w:lvlText w:val="（%1）"/>
      <w:lvlJc w:val="left"/>
      <w:pPr>
        <w:ind w:left="635" w:firstLine="0"/>
      </w:pPr>
    </w:lvl>
  </w:abstractNum>
  <w:abstractNum w:abstractNumId="9">
    <w:nsid w:val="6EC8727B"/>
    <w:multiLevelType w:val="singleLevel"/>
    <w:tmpl w:val="6EC8727B"/>
    <w:lvl w:ilvl="0" w:tentative="0">
      <w:start w:val="1"/>
      <w:numFmt w:val="decimal"/>
      <w:suff w:val="nothing"/>
      <w:lvlText w:val="%1、"/>
      <w:lvlJc w:val="left"/>
    </w:lvl>
  </w:abstractNum>
  <w:abstractNum w:abstractNumId="10">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1">
    <w:nsid w:val="78DB85BA"/>
    <w:multiLevelType w:val="singleLevel"/>
    <w:tmpl w:val="78DB85BA"/>
    <w:lvl w:ilvl="0" w:tentative="0">
      <w:start w:val="1"/>
      <w:numFmt w:val="decimal"/>
      <w:suff w:val="nothing"/>
      <w:lvlText w:val="%1、"/>
      <w:lvlJc w:val="left"/>
    </w:lvl>
  </w:abstractNum>
  <w:num w:numId="1">
    <w:abstractNumId w:val="2"/>
  </w:num>
  <w:num w:numId="2">
    <w:abstractNumId w:val="6"/>
  </w:num>
  <w:num w:numId="3">
    <w:abstractNumId w:val="9"/>
  </w:num>
  <w:num w:numId="4">
    <w:abstractNumId w:val="3"/>
  </w:num>
  <w:num w:numId="5">
    <w:abstractNumId w:val="0"/>
  </w:num>
  <w:num w:numId="6">
    <w:abstractNumId w:val="11"/>
  </w:num>
  <w:num w:numId="7">
    <w:abstractNumId w:val="7"/>
  </w:num>
  <w:num w:numId="8">
    <w:abstractNumId w:val="4"/>
  </w:num>
  <w:num w:numId="9">
    <w:abstractNumId w:val="10"/>
  </w:num>
  <w:num w:numId="10">
    <w:abstractNumId w:val="8"/>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7"/>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EwNjEzNjQwOTQ3ODNkMTdjZTA2NzU2MTY2OTEifQ=="/>
  </w:docVars>
  <w:rsids>
    <w:rsidRoot w:val="00172A27"/>
    <w:rsid w:val="00021977"/>
    <w:rsid w:val="00064D69"/>
    <w:rsid w:val="0007010B"/>
    <w:rsid w:val="0007663D"/>
    <w:rsid w:val="00090EBF"/>
    <w:rsid w:val="00091C6F"/>
    <w:rsid w:val="000A29B4"/>
    <w:rsid w:val="000B3B64"/>
    <w:rsid w:val="000D2541"/>
    <w:rsid w:val="000D411D"/>
    <w:rsid w:val="001167E1"/>
    <w:rsid w:val="00131B35"/>
    <w:rsid w:val="001802DF"/>
    <w:rsid w:val="00212497"/>
    <w:rsid w:val="00265DC5"/>
    <w:rsid w:val="002C588C"/>
    <w:rsid w:val="002D169F"/>
    <w:rsid w:val="002D18E3"/>
    <w:rsid w:val="002E1AA5"/>
    <w:rsid w:val="002E1AC1"/>
    <w:rsid w:val="002F2274"/>
    <w:rsid w:val="00346020"/>
    <w:rsid w:val="00352BB0"/>
    <w:rsid w:val="0035520B"/>
    <w:rsid w:val="00383AE9"/>
    <w:rsid w:val="00390140"/>
    <w:rsid w:val="003C066C"/>
    <w:rsid w:val="003E368E"/>
    <w:rsid w:val="003E7EC0"/>
    <w:rsid w:val="00427DBD"/>
    <w:rsid w:val="00435D20"/>
    <w:rsid w:val="00472C1A"/>
    <w:rsid w:val="004E2B1B"/>
    <w:rsid w:val="00506388"/>
    <w:rsid w:val="00515E5C"/>
    <w:rsid w:val="00516E56"/>
    <w:rsid w:val="00535B72"/>
    <w:rsid w:val="00544D9D"/>
    <w:rsid w:val="00553463"/>
    <w:rsid w:val="00561719"/>
    <w:rsid w:val="00584849"/>
    <w:rsid w:val="00634F54"/>
    <w:rsid w:val="00661679"/>
    <w:rsid w:val="0067524D"/>
    <w:rsid w:val="006A6CBE"/>
    <w:rsid w:val="006C3CA9"/>
    <w:rsid w:val="006E09D9"/>
    <w:rsid w:val="007B2789"/>
    <w:rsid w:val="007B4269"/>
    <w:rsid w:val="007C23FF"/>
    <w:rsid w:val="008033C1"/>
    <w:rsid w:val="0081748B"/>
    <w:rsid w:val="00850B71"/>
    <w:rsid w:val="00855FEA"/>
    <w:rsid w:val="0086326E"/>
    <w:rsid w:val="008849D9"/>
    <w:rsid w:val="00886F24"/>
    <w:rsid w:val="00894217"/>
    <w:rsid w:val="008E74F6"/>
    <w:rsid w:val="009008AA"/>
    <w:rsid w:val="00920B28"/>
    <w:rsid w:val="0094775D"/>
    <w:rsid w:val="00971D96"/>
    <w:rsid w:val="00986D8D"/>
    <w:rsid w:val="009C2162"/>
    <w:rsid w:val="009E34F9"/>
    <w:rsid w:val="00A04D26"/>
    <w:rsid w:val="00A07821"/>
    <w:rsid w:val="00A26028"/>
    <w:rsid w:val="00A440D3"/>
    <w:rsid w:val="00A44EFB"/>
    <w:rsid w:val="00A63339"/>
    <w:rsid w:val="00A72E4F"/>
    <w:rsid w:val="00A80D31"/>
    <w:rsid w:val="00A85104"/>
    <w:rsid w:val="00A9020F"/>
    <w:rsid w:val="00A914B1"/>
    <w:rsid w:val="00A962ED"/>
    <w:rsid w:val="00AA62E5"/>
    <w:rsid w:val="00AB6967"/>
    <w:rsid w:val="00AC39AE"/>
    <w:rsid w:val="00AD0E94"/>
    <w:rsid w:val="00B00C09"/>
    <w:rsid w:val="00B12D96"/>
    <w:rsid w:val="00B36501"/>
    <w:rsid w:val="00B51F00"/>
    <w:rsid w:val="00B6612F"/>
    <w:rsid w:val="00B76763"/>
    <w:rsid w:val="00B941CB"/>
    <w:rsid w:val="00BF223E"/>
    <w:rsid w:val="00C0489C"/>
    <w:rsid w:val="00C20C08"/>
    <w:rsid w:val="00C263CF"/>
    <w:rsid w:val="00C30C6A"/>
    <w:rsid w:val="00C54258"/>
    <w:rsid w:val="00C7348C"/>
    <w:rsid w:val="00C774EC"/>
    <w:rsid w:val="00C85EF9"/>
    <w:rsid w:val="00C93B06"/>
    <w:rsid w:val="00CA1C61"/>
    <w:rsid w:val="00D345A3"/>
    <w:rsid w:val="00D92878"/>
    <w:rsid w:val="00DC07EF"/>
    <w:rsid w:val="00DC16C8"/>
    <w:rsid w:val="00DD48F6"/>
    <w:rsid w:val="00E43F27"/>
    <w:rsid w:val="00E52609"/>
    <w:rsid w:val="00E873A8"/>
    <w:rsid w:val="00E95C6A"/>
    <w:rsid w:val="00EC01F7"/>
    <w:rsid w:val="00EC7C41"/>
    <w:rsid w:val="00F14B4C"/>
    <w:rsid w:val="00F4341E"/>
    <w:rsid w:val="00F54CE3"/>
    <w:rsid w:val="00F64068"/>
    <w:rsid w:val="00F706F7"/>
    <w:rsid w:val="00FE6CF3"/>
    <w:rsid w:val="01687000"/>
    <w:rsid w:val="01AD5982"/>
    <w:rsid w:val="01B446F6"/>
    <w:rsid w:val="01F54D67"/>
    <w:rsid w:val="04494C6C"/>
    <w:rsid w:val="04C73678"/>
    <w:rsid w:val="04FD46C5"/>
    <w:rsid w:val="05AE431B"/>
    <w:rsid w:val="05F440F0"/>
    <w:rsid w:val="05FB7EC1"/>
    <w:rsid w:val="06380C2D"/>
    <w:rsid w:val="06676E67"/>
    <w:rsid w:val="06AF2578"/>
    <w:rsid w:val="06B36062"/>
    <w:rsid w:val="06BF13F2"/>
    <w:rsid w:val="06E72E8E"/>
    <w:rsid w:val="0750762A"/>
    <w:rsid w:val="077D0F86"/>
    <w:rsid w:val="09201E7D"/>
    <w:rsid w:val="099B4EB2"/>
    <w:rsid w:val="0AC67ABD"/>
    <w:rsid w:val="0B5A00BC"/>
    <w:rsid w:val="0B6B0F35"/>
    <w:rsid w:val="0BC824FA"/>
    <w:rsid w:val="0BD1309C"/>
    <w:rsid w:val="0C8D0CF4"/>
    <w:rsid w:val="0CC56899"/>
    <w:rsid w:val="0E2B2E4C"/>
    <w:rsid w:val="0E4138CD"/>
    <w:rsid w:val="0E5E6115"/>
    <w:rsid w:val="0F441CF9"/>
    <w:rsid w:val="0F8F0A41"/>
    <w:rsid w:val="0F9D0A1C"/>
    <w:rsid w:val="0FB118C6"/>
    <w:rsid w:val="0FFA5ACB"/>
    <w:rsid w:val="10A84A5E"/>
    <w:rsid w:val="10B11658"/>
    <w:rsid w:val="11162320"/>
    <w:rsid w:val="111E1A2C"/>
    <w:rsid w:val="11A279BB"/>
    <w:rsid w:val="12350E51"/>
    <w:rsid w:val="124B69B1"/>
    <w:rsid w:val="12697853"/>
    <w:rsid w:val="132C45BD"/>
    <w:rsid w:val="13333383"/>
    <w:rsid w:val="133F511C"/>
    <w:rsid w:val="139D252E"/>
    <w:rsid w:val="13C85C27"/>
    <w:rsid w:val="14003AC7"/>
    <w:rsid w:val="14033B2F"/>
    <w:rsid w:val="14445A75"/>
    <w:rsid w:val="148B5CC0"/>
    <w:rsid w:val="153A4CEC"/>
    <w:rsid w:val="15432B17"/>
    <w:rsid w:val="156709D7"/>
    <w:rsid w:val="15BD7BC5"/>
    <w:rsid w:val="15DB7D79"/>
    <w:rsid w:val="162F27FB"/>
    <w:rsid w:val="17986CE2"/>
    <w:rsid w:val="17D74ECD"/>
    <w:rsid w:val="17E9386C"/>
    <w:rsid w:val="18054C3C"/>
    <w:rsid w:val="180E6516"/>
    <w:rsid w:val="183E715B"/>
    <w:rsid w:val="189A5D1A"/>
    <w:rsid w:val="18C53105"/>
    <w:rsid w:val="19961AB8"/>
    <w:rsid w:val="19CA5AAE"/>
    <w:rsid w:val="19CD2498"/>
    <w:rsid w:val="1A9D6217"/>
    <w:rsid w:val="1AB175FE"/>
    <w:rsid w:val="1AD324B5"/>
    <w:rsid w:val="1B000B33"/>
    <w:rsid w:val="1B206067"/>
    <w:rsid w:val="1BDA5A78"/>
    <w:rsid w:val="1BF764B4"/>
    <w:rsid w:val="1C285142"/>
    <w:rsid w:val="1D225D77"/>
    <w:rsid w:val="1D2779A1"/>
    <w:rsid w:val="1D371EFA"/>
    <w:rsid w:val="1DAD6F64"/>
    <w:rsid w:val="1DCA1AE1"/>
    <w:rsid w:val="1E707768"/>
    <w:rsid w:val="1F38587A"/>
    <w:rsid w:val="1F473706"/>
    <w:rsid w:val="1F7E63D4"/>
    <w:rsid w:val="20A37680"/>
    <w:rsid w:val="20A62922"/>
    <w:rsid w:val="2124391E"/>
    <w:rsid w:val="217700EA"/>
    <w:rsid w:val="221A523A"/>
    <w:rsid w:val="22A253ED"/>
    <w:rsid w:val="23962339"/>
    <w:rsid w:val="24773115"/>
    <w:rsid w:val="25615A20"/>
    <w:rsid w:val="259A4B72"/>
    <w:rsid w:val="25B13E62"/>
    <w:rsid w:val="265A3DD2"/>
    <w:rsid w:val="26B13BC0"/>
    <w:rsid w:val="26BA64ED"/>
    <w:rsid w:val="26FF09DF"/>
    <w:rsid w:val="275B135F"/>
    <w:rsid w:val="27604350"/>
    <w:rsid w:val="27FF48A8"/>
    <w:rsid w:val="283C0E1E"/>
    <w:rsid w:val="2866243A"/>
    <w:rsid w:val="287F19C9"/>
    <w:rsid w:val="29172178"/>
    <w:rsid w:val="297B05C5"/>
    <w:rsid w:val="29924E12"/>
    <w:rsid w:val="2AAC0E49"/>
    <w:rsid w:val="2ACF3573"/>
    <w:rsid w:val="2AF6493B"/>
    <w:rsid w:val="2B2B112F"/>
    <w:rsid w:val="2B576213"/>
    <w:rsid w:val="2B935AE0"/>
    <w:rsid w:val="2BB95671"/>
    <w:rsid w:val="2BC35C86"/>
    <w:rsid w:val="2C4E26FA"/>
    <w:rsid w:val="2D5B1287"/>
    <w:rsid w:val="2DA77104"/>
    <w:rsid w:val="2DE55132"/>
    <w:rsid w:val="2E620EB2"/>
    <w:rsid w:val="2F322904"/>
    <w:rsid w:val="2FD3536E"/>
    <w:rsid w:val="2FFB4774"/>
    <w:rsid w:val="30201707"/>
    <w:rsid w:val="31C24ABF"/>
    <w:rsid w:val="31D63E17"/>
    <w:rsid w:val="31D71E51"/>
    <w:rsid w:val="321B082B"/>
    <w:rsid w:val="321F5693"/>
    <w:rsid w:val="3257477C"/>
    <w:rsid w:val="32E4633A"/>
    <w:rsid w:val="33220C96"/>
    <w:rsid w:val="34482049"/>
    <w:rsid w:val="34561D37"/>
    <w:rsid w:val="34AE478E"/>
    <w:rsid w:val="36415851"/>
    <w:rsid w:val="364844FC"/>
    <w:rsid w:val="36761230"/>
    <w:rsid w:val="36801012"/>
    <w:rsid w:val="372B48EC"/>
    <w:rsid w:val="37E740CA"/>
    <w:rsid w:val="38AA6A5A"/>
    <w:rsid w:val="38DC0ADF"/>
    <w:rsid w:val="39505938"/>
    <w:rsid w:val="39BA0187"/>
    <w:rsid w:val="3A045C5F"/>
    <w:rsid w:val="3ABA1F79"/>
    <w:rsid w:val="3B115588"/>
    <w:rsid w:val="3BEE1FD7"/>
    <w:rsid w:val="3BF06EFC"/>
    <w:rsid w:val="3C717F2F"/>
    <w:rsid w:val="3CC10759"/>
    <w:rsid w:val="3D8E6F9A"/>
    <w:rsid w:val="3DDF3FE8"/>
    <w:rsid w:val="3E061540"/>
    <w:rsid w:val="3E487B80"/>
    <w:rsid w:val="3E9C31FA"/>
    <w:rsid w:val="3EE12A3F"/>
    <w:rsid w:val="3F075649"/>
    <w:rsid w:val="3F172D86"/>
    <w:rsid w:val="3F2D4BEC"/>
    <w:rsid w:val="3F8752BC"/>
    <w:rsid w:val="3FD93316"/>
    <w:rsid w:val="409E3FD3"/>
    <w:rsid w:val="40D66AD4"/>
    <w:rsid w:val="41222A66"/>
    <w:rsid w:val="41C610A0"/>
    <w:rsid w:val="41DC76FF"/>
    <w:rsid w:val="41DE3409"/>
    <w:rsid w:val="42197E2D"/>
    <w:rsid w:val="4253448B"/>
    <w:rsid w:val="426F361F"/>
    <w:rsid w:val="42721B58"/>
    <w:rsid w:val="42771387"/>
    <w:rsid w:val="42F52935"/>
    <w:rsid w:val="43794EB7"/>
    <w:rsid w:val="44132CC8"/>
    <w:rsid w:val="443775B0"/>
    <w:rsid w:val="44887B8A"/>
    <w:rsid w:val="44EF53A8"/>
    <w:rsid w:val="44FF7E2A"/>
    <w:rsid w:val="453A754B"/>
    <w:rsid w:val="460F376F"/>
    <w:rsid w:val="46B64B89"/>
    <w:rsid w:val="46D31355"/>
    <w:rsid w:val="46E552DE"/>
    <w:rsid w:val="47475429"/>
    <w:rsid w:val="47CF2840"/>
    <w:rsid w:val="49345CCA"/>
    <w:rsid w:val="49EF47F3"/>
    <w:rsid w:val="4A020F5E"/>
    <w:rsid w:val="4A193361"/>
    <w:rsid w:val="4ABE5B3D"/>
    <w:rsid w:val="4B1D2286"/>
    <w:rsid w:val="4B2C6B1C"/>
    <w:rsid w:val="4B7B5DF0"/>
    <w:rsid w:val="4BA76F4E"/>
    <w:rsid w:val="4CAD1FB6"/>
    <w:rsid w:val="4D4D19A3"/>
    <w:rsid w:val="4E6228F9"/>
    <w:rsid w:val="4E9F7546"/>
    <w:rsid w:val="4ED84B4D"/>
    <w:rsid w:val="4EEB45D1"/>
    <w:rsid w:val="4F3E09A9"/>
    <w:rsid w:val="4F9E2C43"/>
    <w:rsid w:val="4FAA26B7"/>
    <w:rsid w:val="500E7FA0"/>
    <w:rsid w:val="503869B4"/>
    <w:rsid w:val="508637C9"/>
    <w:rsid w:val="51684F8E"/>
    <w:rsid w:val="521F519B"/>
    <w:rsid w:val="526F3AD7"/>
    <w:rsid w:val="52900663"/>
    <w:rsid w:val="52D8529F"/>
    <w:rsid w:val="53A32BF2"/>
    <w:rsid w:val="53CD5848"/>
    <w:rsid w:val="541E666C"/>
    <w:rsid w:val="54250EFE"/>
    <w:rsid w:val="54986BD4"/>
    <w:rsid w:val="54A84061"/>
    <w:rsid w:val="54D63807"/>
    <w:rsid w:val="55554C05"/>
    <w:rsid w:val="581D3ED9"/>
    <w:rsid w:val="582643AB"/>
    <w:rsid w:val="58296F94"/>
    <w:rsid w:val="58806786"/>
    <w:rsid w:val="590D02A9"/>
    <w:rsid w:val="5979543D"/>
    <w:rsid w:val="59AC6581"/>
    <w:rsid w:val="59E84CF9"/>
    <w:rsid w:val="5ADE2B9D"/>
    <w:rsid w:val="5AF2374C"/>
    <w:rsid w:val="5B86615A"/>
    <w:rsid w:val="5C397C4B"/>
    <w:rsid w:val="5C5017D8"/>
    <w:rsid w:val="5D3B214E"/>
    <w:rsid w:val="5D7907C0"/>
    <w:rsid w:val="5D88778A"/>
    <w:rsid w:val="5D8C4BE9"/>
    <w:rsid w:val="5DB04F43"/>
    <w:rsid w:val="5E002EDB"/>
    <w:rsid w:val="5EDB5A7A"/>
    <w:rsid w:val="5FB51690"/>
    <w:rsid w:val="60310561"/>
    <w:rsid w:val="60C546D6"/>
    <w:rsid w:val="611E1B93"/>
    <w:rsid w:val="61697EF5"/>
    <w:rsid w:val="61B72C25"/>
    <w:rsid w:val="622E3077"/>
    <w:rsid w:val="62336126"/>
    <w:rsid w:val="624272F8"/>
    <w:rsid w:val="62AF5B9D"/>
    <w:rsid w:val="62EF6E42"/>
    <w:rsid w:val="631C53BF"/>
    <w:rsid w:val="633601DF"/>
    <w:rsid w:val="633D31F8"/>
    <w:rsid w:val="63B82E1B"/>
    <w:rsid w:val="63FF31AD"/>
    <w:rsid w:val="6451558B"/>
    <w:rsid w:val="645B2050"/>
    <w:rsid w:val="64AD7890"/>
    <w:rsid w:val="65380BF4"/>
    <w:rsid w:val="6623754B"/>
    <w:rsid w:val="6643709D"/>
    <w:rsid w:val="6677008A"/>
    <w:rsid w:val="66F45975"/>
    <w:rsid w:val="671136C8"/>
    <w:rsid w:val="67231BEE"/>
    <w:rsid w:val="673003D3"/>
    <w:rsid w:val="676F218B"/>
    <w:rsid w:val="6784366C"/>
    <w:rsid w:val="681E4B1B"/>
    <w:rsid w:val="68C27182"/>
    <w:rsid w:val="68CE0DBC"/>
    <w:rsid w:val="68D67EF7"/>
    <w:rsid w:val="69BA5199"/>
    <w:rsid w:val="6AD34E13"/>
    <w:rsid w:val="6B06248A"/>
    <w:rsid w:val="6B16335E"/>
    <w:rsid w:val="6B2C680F"/>
    <w:rsid w:val="6BE95282"/>
    <w:rsid w:val="6C0B785A"/>
    <w:rsid w:val="6D0112BB"/>
    <w:rsid w:val="6D4D4C03"/>
    <w:rsid w:val="6E0E0133"/>
    <w:rsid w:val="6FD40BAF"/>
    <w:rsid w:val="6FD5414C"/>
    <w:rsid w:val="6FFD5A3A"/>
    <w:rsid w:val="704E2CE6"/>
    <w:rsid w:val="70985482"/>
    <w:rsid w:val="70C04FE9"/>
    <w:rsid w:val="70D35B58"/>
    <w:rsid w:val="716B012B"/>
    <w:rsid w:val="718B6DFE"/>
    <w:rsid w:val="71C0533E"/>
    <w:rsid w:val="71DD19B7"/>
    <w:rsid w:val="720753D7"/>
    <w:rsid w:val="721B052C"/>
    <w:rsid w:val="72300877"/>
    <w:rsid w:val="7272537D"/>
    <w:rsid w:val="72F74E04"/>
    <w:rsid w:val="732C27AC"/>
    <w:rsid w:val="73B419C8"/>
    <w:rsid w:val="740A59D1"/>
    <w:rsid w:val="742C42E4"/>
    <w:rsid w:val="749D3AD7"/>
    <w:rsid w:val="75475C22"/>
    <w:rsid w:val="75912ACE"/>
    <w:rsid w:val="759E2067"/>
    <w:rsid w:val="75C83406"/>
    <w:rsid w:val="77D37B64"/>
    <w:rsid w:val="78BC22CB"/>
    <w:rsid w:val="79387629"/>
    <w:rsid w:val="79487829"/>
    <w:rsid w:val="795C039A"/>
    <w:rsid w:val="798568DA"/>
    <w:rsid w:val="7A833C93"/>
    <w:rsid w:val="7AD03DAD"/>
    <w:rsid w:val="7AF6294A"/>
    <w:rsid w:val="7B58479C"/>
    <w:rsid w:val="7B6A18BA"/>
    <w:rsid w:val="7BAC6BF9"/>
    <w:rsid w:val="7C570CF1"/>
    <w:rsid w:val="7C981467"/>
    <w:rsid w:val="7CA044C8"/>
    <w:rsid w:val="7DF27CF8"/>
    <w:rsid w:val="7E072B16"/>
    <w:rsid w:val="7E8A6A24"/>
    <w:rsid w:val="7EC17FD1"/>
    <w:rsid w:val="7F497B2C"/>
    <w:rsid w:val="7F5A2382"/>
    <w:rsid w:val="7F8D7B78"/>
    <w:rsid w:val="7FCF69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Lines="0" w:afterLines="0" w:line="360" w:lineRule="auto"/>
      <w:jc w:val="center"/>
      <w:outlineLvl w:val="0"/>
    </w:pPr>
    <w:rPr>
      <w:rFonts w:ascii="Times New Roman" w:hAnsi="Times New Roman" w:eastAsia="宋体"/>
      <w:b/>
      <w:bCs/>
      <w:kern w:val="44"/>
      <w:sz w:val="44"/>
      <w:szCs w:val="44"/>
    </w:rPr>
  </w:style>
  <w:style w:type="paragraph" w:styleId="3">
    <w:name w:val="heading 2"/>
    <w:basedOn w:val="1"/>
    <w:next w:val="1"/>
    <w:link w:val="196"/>
    <w:qFormat/>
    <w:uiPriority w:val="0"/>
    <w:pPr>
      <w:keepNext/>
      <w:keepLines/>
      <w:adjustRightInd w:val="0"/>
      <w:spacing w:beforeLines="0" w:afterLines="0" w:line="240" w:lineRule="auto"/>
      <w:jc w:val="center"/>
      <w:textAlignment w:val="baseline"/>
      <w:outlineLvl w:val="1"/>
    </w:pPr>
    <w:rPr>
      <w:rFonts w:ascii="Arial" w:hAnsi="Arial" w:eastAsia="黑体"/>
      <w:b/>
      <w:kern w:val="0"/>
      <w:sz w:val="32"/>
      <w:szCs w:val="20"/>
    </w:rPr>
  </w:style>
  <w:style w:type="paragraph" w:styleId="4">
    <w:name w:val="heading 3"/>
    <w:basedOn w:val="1"/>
    <w:next w:val="1"/>
    <w:qFormat/>
    <w:uiPriority w:val="0"/>
    <w:pPr>
      <w:keepNext/>
      <w:keepLines/>
      <w:adjustRightInd w:val="0"/>
      <w:spacing w:before="260" w:beforeLines="0" w:after="260" w:afterLines="0" w:line="416" w:lineRule="atLeast"/>
      <w:textAlignment w:val="baseline"/>
      <w:outlineLvl w:val="2"/>
    </w:pPr>
    <w:rPr>
      <w:b/>
      <w:kern w:val="0"/>
      <w:sz w:val="32"/>
      <w:szCs w:val="20"/>
    </w:rPr>
  </w:style>
  <w:style w:type="paragraph" w:styleId="5">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6">
    <w:name w:val="heading 5"/>
    <w:basedOn w:val="1"/>
    <w:next w:val="1"/>
    <w:qFormat/>
    <w:uiPriority w:val="0"/>
    <w:pPr>
      <w:keepNext/>
      <w:keepLines/>
      <w:tabs>
        <w:tab w:val="left" w:pos="1953"/>
      </w:tabs>
      <w:spacing w:before="280" w:beforeLines="0" w:after="290" w:afterLines="0" w:line="374" w:lineRule="auto"/>
      <w:ind w:left="-567"/>
      <w:outlineLvl w:val="4"/>
    </w:pPr>
    <w:rPr>
      <w:b/>
      <w:bCs/>
      <w:sz w:val="28"/>
      <w:szCs w:val="28"/>
    </w:rPr>
  </w:style>
  <w:style w:type="paragraph" w:styleId="7">
    <w:name w:val="heading 6"/>
    <w:basedOn w:val="1"/>
    <w:next w:val="1"/>
    <w:qFormat/>
    <w:uiPriority w:val="0"/>
    <w:pPr>
      <w:keepNext/>
      <w:keepLines/>
      <w:widowControl/>
      <w:spacing w:before="240" w:beforeLines="0" w:after="64" w:afterLines="0" w:line="319" w:lineRule="auto"/>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spacing w:before="240" w:beforeLines="0" w:after="64" w:afterLines="0" w:line="319" w:lineRule="auto"/>
      <w:jc w:val="left"/>
      <w:outlineLvl w:val="6"/>
    </w:pPr>
    <w:rPr>
      <w:b/>
      <w:bCs/>
      <w:kern w:val="0"/>
      <w:sz w:val="24"/>
    </w:rPr>
  </w:style>
  <w:style w:type="paragraph" w:styleId="9">
    <w:name w:val="heading 8"/>
    <w:basedOn w:val="1"/>
    <w:next w:val="1"/>
    <w:qFormat/>
    <w:uiPriority w:val="0"/>
    <w:pPr>
      <w:keepNext/>
      <w:keepLines/>
      <w:widowControl/>
      <w:spacing w:before="240" w:beforeLines="0" w:after="64" w:afterLines="0" w:line="319" w:lineRule="auto"/>
      <w:jc w:val="left"/>
      <w:outlineLvl w:val="7"/>
    </w:pPr>
    <w:rPr>
      <w:rFonts w:ascii="Arial" w:hAnsi="Arial" w:eastAsia="黑体"/>
      <w:kern w:val="0"/>
      <w:sz w:val="24"/>
    </w:rPr>
  </w:style>
  <w:style w:type="paragraph" w:styleId="10">
    <w:name w:val="heading 9"/>
    <w:basedOn w:val="1"/>
    <w:next w:val="1"/>
    <w:qFormat/>
    <w:uiPriority w:val="0"/>
    <w:pPr>
      <w:keepNext/>
      <w:keepLines/>
      <w:widowControl/>
      <w:spacing w:before="240" w:beforeLines="0" w:after="64" w:afterLines="0" w:line="319" w:lineRule="auto"/>
      <w:jc w:val="left"/>
      <w:outlineLvl w:val="8"/>
    </w:pPr>
    <w:rPr>
      <w:rFonts w:ascii="Arial" w:hAnsi="Arial" w:eastAsia="黑体"/>
      <w:kern w:val="0"/>
      <w:szCs w:val="21"/>
    </w:rPr>
  </w:style>
  <w:style w:type="character" w:default="1" w:styleId="52">
    <w:name w:val="Default Paragraph Font"/>
    <w:qFormat/>
    <w:uiPriority w:val="0"/>
    <w:rPr>
      <w:szCs w:val="21"/>
    </w:rPr>
  </w:style>
  <w:style w:type="table" w:default="1" w:styleId="5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table of authorities"/>
    <w:basedOn w:val="1"/>
    <w:next w:val="1"/>
    <w:qFormat/>
    <w:uiPriority w:val="0"/>
    <w:pPr>
      <w:ind w:left="420" w:leftChars="200"/>
    </w:pPr>
    <w:rPr>
      <w:sz w:val="28"/>
      <w:szCs w:val="20"/>
    </w:rPr>
  </w:style>
  <w:style w:type="paragraph" w:styleId="13">
    <w:name w:val="Normal Indent"/>
    <w:basedOn w:val="1"/>
    <w:next w:val="1"/>
    <w:qFormat/>
    <w:uiPriority w:val="0"/>
    <w:pPr>
      <w:adjustRightInd w:val="0"/>
      <w:spacing w:line="312" w:lineRule="atLeast"/>
      <w:ind w:firstLine="420"/>
      <w:textAlignment w:val="baseline"/>
    </w:pPr>
    <w:rPr>
      <w:kern w:val="0"/>
      <w:szCs w:val="20"/>
    </w:rPr>
  </w:style>
  <w:style w:type="paragraph" w:styleId="14">
    <w:name w:val="caption"/>
    <w:basedOn w:val="1"/>
    <w:next w:val="1"/>
    <w:qFormat/>
    <w:uiPriority w:val="0"/>
    <w:pPr>
      <w:spacing w:before="152" w:beforeLines="0" w:after="160" w:afterLines="0"/>
    </w:pPr>
    <w:rPr>
      <w:rFonts w:ascii="Arial" w:hAnsi="Arial" w:eastAsia="黑体" w:cs="Arial"/>
      <w:sz w:val="20"/>
      <w:szCs w:val="20"/>
    </w:rPr>
  </w:style>
  <w:style w:type="paragraph" w:styleId="15">
    <w:name w:val="Document Map"/>
    <w:basedOn w:val="1"/>
    <w:qFormat/>
    <w:uiPriority w:val="0"/>
    <w:pPr>
      <w:shd w:val="clear" w:color="auto" w:fill="000080"/>
    </w:pPr>
  </w:style>
  <w:style w:type="paragraph" w:styleId="16">
    <w:name w:val="toa heading"/>
    <w:basedOn w:val="1"/>
    <w:next w:val="1"/>
    <w:qFormat/>
    <w:uiPriority w:val="0"/>
    <w:pPr>
      <w:autoSpaceDE w:val="0"/>
      <w:autoSpaceDN w:val="0"/>
      <w:adjustRightInd w:val="0"/>
      <w:snapToGrid w:val="0"/>
      <w:spacing w:before="120" w:beforeLines="0" w:line="360" w:lineRule="auto"/>
    </w:pPr>
    <w:rPr>
      <w:rFonts w:ascii="Arial" w:hAnsi="Arial"/>
      <w:snapToGrid w:val="0"/>
      <w:color w:val="000000"/>
      <w:kern w:val="0"/>
      <w:szCs w:val="20"/>
    </w:rPr>
  </w:style>
  <w:style w:type="paragraph" w:styleId="17">
    <w:name w:val="annotation text"/>
    <w:basedOn w:val="1"/>
    <w:qFormat/>
    <w:uiPriority w:val="0"/>
    <w:pPr>
      <w:jc w:val="left"/>
    </w:pPr>
  </w:style>
  <w:style w:type="paragraph" w:styleId="18">
    <w:name w:val="Body Text 3"/>
    <w:basedOn w:val="1"/>
    <w:qFormat/>
    <w:uiPriority w:val="0"/>
    <w:pPr>
      <w:spacing w:line="400" w:lineRule="atLeast"/>
    </w:pPr>
    <w:rPr>
      <w:rFonts w:ascii="宋体" w:hAnsi="宋体"/>
      <w:color w:val="800080"/>
      <w:sz w:val="24"/>
    </w:rPr>
  </w:style>
  <w:style w:type="paragraph" w:styleId="19">
    <w:name w:val="Body Text"/>
    <w:basedOn w:val="1"/>
    <w:qFormat/>
    <w:uiPriority w:val="0"/>
    <w:pPr>
      <w:tabs>
        <w:tab w:val="left" w:pos="562"/>
        <w:tab w:val="left" w:pos="3372"/>
        <w:tab w:val="left" w:pos="3653"/>
      </w:tabs>
    </w:pPr>
    <w:rPr>
      <w:sz w:val="24"/>
    </w:rPr>
  </w:style>
  <w:style w:type="paragraph" w:styleId="20">
    <w:name w:val="Body Text Indent"/>
    <w:basedOn w:val="1"/>
    <w:qFormat/>
    <w:uiPriority w:val="0"/>
    <w:pPr>
      <w:spacing w:line="400" w:lineRule="atLeast"/>
      <w:ind w:firstLine="432"/>
    </w:pPr>
    <w:rPr>
      <w:sz w:val="24"/>
    </w:rPr>
  </w:style>
  <w:style w:type="paragraph" w:styleId="21">
    <w:name w:val="Block Text"/>
    <w:basedOn w:val="1"/>
    <w:qFormat/>
    <w:uiPriority w:val="0"/>
    <w:pPr>
      <w:widowControl/>
      <w:autoSpaceDE w:val="0"/>
      <w:autoSpaceDN w:val="0"/>
      <w:adjustRightInd w:val="0"/>
      <w:spacing w:line="315" w:lineRule="atLeast"/>
      <w:ind w:left="-540" w:right="893"/>
      <w:jc w:val="left"/>
      <w:textAlignment w:val="bottom"/>
    </w:pPr>
    <w:rPr>
      <w:rFonts w:ascii="宋体"/>
      <w:kern w:val="0"/>
      <w:sz w:val="28"/>
      <w:szCs w:val="20"/>
    </w:rPr>
  </w:style>
  <w:style w:type="paragraph" w:styleId="22">
    <w:name w:val="toc 5"/>
    <w:basedOn w:val="1"/>
    <w:next w:val="1"/>
    <w:qFormat/>
    <w:uiPriority w:val="0"/>
    <w:pPr>
      <w:ind w:left="840"/>
      <w:jc w:val="left"/>
    </w:pPr>
    <w:rPr>
      <w:sz w:val="18"/>
      <w:szCs w:val="18"/>
    </w:rPr>
  </w:style>
  <w:style w:type="paragraph" w:styleId="23">
    <w:name w:val="toc 3"/>
    <w:basedOn w:val="1"/>
    <w:next w:val="1"/>
    <w:qFormat/>
    <w:uiPriority w:val="0"/>
    <w:pPr>
      <w:ind w:left="420"/>
      <w:jc w:val="left"/>
    </w:pPr>
    <w:rPr>
      <w:i/>
      <w:iCs/>
      <w:sz w:val="20"/>
      <w:szCs w:val="20"/>
    </w:rPr>
  </w:style>
  <w:style w:type="paragraph" w:styleId="24">
    <w:name w:val="Plain Text"/>
    <w:basedOn w:val="1"/>
    <w:next w:val="25"/>
    <w:qFormat/>
    <w:uiPriority w:val="0"/>
    <w:rPr>
      <w:rFonts w:ascii="宋体" w:hAnsi="Courier New"/>
      <w:szCs w:val="20"/>
    </w:rPr>
  </w:style>
  <w:style w:type="paragraph" w:styleId="25">
    <w:name w:val="index 7"/>
    <w:basedOn w:val="1"/>
    <w:next w:val="1"/>
    <w:qFormat/>
    <w:uiPriority w:val="0"/>
    <w:pPr>
      <w:ind w:left="1200" w:leftChars="1200"/>
    </w:pPr>
  </w:style>
  <w:style w:type="paragraph" w:styleId="26">
    <w:name w:val="toc 8"/>
    <w:basedOn w:val="1"/>
    <w:next w:val="1"/>
    <w:qFormat/>
    <w:uiPriority w:val="0"/>
    <w:pPr>
      <w:ind w:left="1470"/>
      <w:jc w:val="left"/>
    </w:pPr>
    <w:rPr>
      <w:sz w:val="18"/>
      <w:szCs w:val="18"/>
    </w:rPr>
  </w:style>
  <w:style w:type="paragraph" w:styleId="27">
    <w:name w:val="Date"/>
    <w:basedOn w:val="1"/>
    <w:next w:val="1"/>
    <w:qFormat/>
    <w:uiPriority w:val="0"/>
    <w:pPr>
      <w:ind w:left="100"/>
    </w:pPr>
    <w:rPr>
      <w:sz w:val="24"/>
      <w:szCs w:val="20"/>
    </w:rPr>
  </w:style>
  <w:style w:type="paragraph" w:styleId="28">
    <w:name w:val="Body Text Indent 2"/>
    <w:basedOn w:val="1"/>
    <w:qFormat/>
    <w:uiPriority w:val="0"/>
    <w:pPr>
      <w:widowControl/>
      <w:autoSpaceDE w:val="0"/>
      <w:autoSpaceDN w:val="0"/>
      <w:spacing w:line="320" w:lineRule="exact"/>
      <w:ind w:left="525" w:leftChars="250" w:firstLine="420" w:firstLineChars="200"/>
      <w:textAlignment w:val="bottom"/>
    </w:pPr>
    <w:rPr>
      <w:rFonts w:ascii="宋体" w:hAnsi="宋体"/>
    </w:rPr>
  </w:style>
  <w:style w:type="paragraph" w:styleId="29">
    <w:name w:val="Balloon Text"/>
    <w:basedOn w:val="1"/>
    <w:qFormat/>
    <w:uiPriority w:val="0"/>
    <w:rPr>
      <w:sz w:val="18"/>
      <w:szCs w:val="18"/>
    </w:rPr>
  </w:style>
  <w:style w:type="paragraph" w:styleId="30">
    <w:name w:val="footer"/>
    <w:basedOn w:val="1"/>
    <w:qFormat/>
    <w:uiPriority w:val="0"/>
    <w:pPr>
      <w:tabs>
        <w:tab w:val="center" w:pos="4320"/>
        <w:tab w:val="right" w:pos="8640"/>
      </w:tabs>
      <w:adjustRightInd w:val="0"/>
      <w:spacing w:line="240" w:lineRule="atLeast"/>
      <w:jc w:val="left"/>
      <w:textAlignment w:val="baseline"/>
    </w:pPr>
    <w:rPr>
      <w:rFonts w:ascii="宋体"/>
      <w:kern w:val="0"/>
      <w:sz w:val="18"/>
      <w:szCs w:val="20"/>
    </w:rPr>
  </w:style>
  <w:style w:type="paragraph" w:styleId="31">
    <w:name w:val="header"/>
    <w:basedOn w:val="1"/>
    <w:link w:val="60"/>
    <w:qFormat/>
    <w:uiPriority w:val="0"/>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uiPriority w:val="0"/>
    <w:pPr>
      <w:tabs>
        <w:tab w:val="left" w:pos="1260"/>
        <w:tab w:val="right" w:leader="dot" w:pos="9060"/>
      </w:tabs>
      <w:spacing w:before="120" w:beforeLines="0" w:after="120" w:afterLines="0" w:line="360" w:lineRule="auto"/>
      <w:ind w:firstLine="418"/>
    </w:pPr>
    <w:rPr>
      <w:rFonts w:ascii="宋体" w:hAnsi="宋体"/>
      <w:b/>
      <w:bCs/>
      <w:caps/>
      <w:color w:val="333300"/>
    </w:rPr>
  </w:style>
  <w:style w:type="paragraph" w:styleId="33">
    <w:name w:val="toc 4"/>
    <w:basedOn w:val="1"/>
    <w:next w:val="1"/>
    <w:qFormat/>
    <w:uiPriority w:val="0"/>
    <w:pPr>
      <w:ind w:left="630"/>
      <w:jc w:val="left"/>
    </w:pPr>
    <w:rPr>
      <w:sz w:val="18"/>
      <w:szCs w:val="18"/>
    </w:rPr>
  </w:style>
  <w:style w:type="paragraph" w:styleId="34">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next w:val="19"/>
    <w:qFormat/>
    <w:uiPriority w:val="99"/>
    <w:pPr>
      <w:snapToGrid w:val="0"/>
      <w:jc w:val="left"/>
    </w:pPr>
    <w:rPr>
      <w:sz w:val="18"/>
    </w:rPr>
  </w:style>
  <w:style w:type="paragraph" w:styleId="36">
    <w:name w:val="toc 6"/>
    <w:basedOn w:val="1"/>
    <w:next w:val="1"/>
    <w:qFormat/>
    <w:uiPriority w:val="0"/>
    <w:pPr>
      <w:ind w:left="1050"/>
      <w:jc w:val="left"/>
    </w:pPr>
    <w:rPr>
      <w:sz w:val="18"/>
      <w:szCs w:val="18"/>
    </w:rPr>
  </w:style>
  <w:style w:type="paragraph" w:styleId="37">
    <w:name w:val="Body Text Indent 3"/>
    <w:basedOn w:val="1"/>
    <w:qFormat/>
    <w:uiPriority w:val="0"/>
    <w:pPr>
      <w:widowControl/>
      <w:autoSpaceDE w:val="0"/>
      <w:autoSpaceDN w:val="0"/>
      <w:spacing w:line="300" w:lineRule="exact"/>
      <w:ind w:left="540" w:leftChars="250" w:hanging="15" w:hangingChars="7"/>
      <w:textAlignment w:val="bottom"/>
    </w:pPr>
    <w:rPr>
      <w:rFonts w:ascii="宋体" w:hAnsi="宋体"/>
      <w:color w:val="FF0000"/>
    </w:rPr>
  </w:style>
  <w:style w:type="paragraph" w:styleId="38">
    <w:name w:val="table of figures"/>
    <w:basedOn w:val="1"/>
    <w:next w:val="1"/>
    <w:unhideWhenUsed/>
    <w:qFormat/>
    <w:uiPriority w:val="99"/>
    <w:pPr>
      <w:ind w:left="200" w:leftChars="200" w:hanging="200" w:hangingChars="200"/>
    </w:pPr>
    <w:rPr>
      <w:rFonts w:ascii="Times New Roman" w:hAnsi="Times New Roman" w:eastAsia="宋体" w:cs="Times New Roman"/>
    </w:rPr>
  </w:style>
  <w:style w:type="paragraph" w:styleId="39">
    <w:name w:val="toc 2"/>
    <w:basedOn w:val="1"/>
    <w:next w:val="1"/>
    <w:qFormat/>
    <w:uiPriority w:val="0"/>
    <w:pPr>
      <w:ind w:left="210"/>
      <w:jc w:val="left"/>
    </w:pPr>
    <w:rPr>
      <w:smallCaps/>
      <w:sz w:val="20"/>
      <w:szCs w:val="20"/>
    </w:rPr>
  </w:style>
  <w:style w:type="paragraph" w:styleId="40">
    <w:name w:val="toc 9"/>
    <w:basedOn w:val="1"/>
    <w:next w:val="1"/>
    <w:qFormat/>
    <w:uiPriority w:val="0"/>
    <w:pPr>
      <w:ind w:left="1680"/>
      <w:jc w:val="left"/>
    </w:pPr>
    <w:rPr>
      <w:sz w:val="18"/>
      <w:szCs w:val="18"/>
    </w:rPr>
  </w:style>
  <w:style w:type="paragraph" w:styleId="41">
    <w:name w:val="Body Text 2"/>
    <w:basedOn w:val="1"/>
    <w:qFormat/>
    <w:uiPriority w:val="0"/>
    <w:pPr>
      <w:tabs>
        <w:tab w:val="left" w:pos="0"/>
      </w:tabs>
      <w:spacing w:line="400" w:lineRule="atLeast"/>
    </w:pPr>
    <w:rPr>
      <w:rFonts w:ascii="Arial" w:hAnsi="Arial"/>
      <w:color w:val="000000"/>
    </w:rPr>
  </w:style>
  <w:style w:type="paragraph" w:styleId="4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link w:val="6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
    </w:rPr>
  </w:style>
  <w:style w:type="paragraph" w:styleId="45">
    <w:name w:val="index 1"/>
    <w:basedOn w:val="1"/>
    <w:next w:val="1"/>
    <w:qFormat/>
    <w:uiPriority w:val="0"/>
    <w:rPr>
      <w:sz w:val="28"/>
      <w:szCs w:val="20"/>
    </w:rPr>
  </w:style>
  <w:style w:type="paragraph" w:styleId="46">
    <w:name w:val="Title"/>
    <w:basedOn w:val="1"/>
    <w:next w:val="1"/>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7">
    <w:name w:val="annotation subject"/>
    <w:basedOn w:val="17"/>
    <w:next w:val="17"/>
    <w:qFormat/>
    <w:uiPriority w:val="0"/>
    <w:rPr>
      <w:b/>
      <w:bCs/>
    </w:rPr>
  </w:style>
  <w:style w:type="paragraph" w:styleId="48">
    <w:name w:val="Body Text First Indent"/>
    <w:basedOn w:val="19"/>
    <w:link w:val="62"/>
    <w:qFormat/>
    <w:uiPriority w:val="0"/>
    <w:pPr>
      <w:tabs>
        <w:tab w:val="clear" w:pos="562"/>
        <w:tab w:val="clear" w:pos="3372"/>
        <w:tab w:val="clear" w:pos="3653"/>
      </w:tabs>
      <w:spacing w:after="120" w:afterLines="0"/>
      <w:ind w:firstLine="420" w:firstLineChars="100"/>
    </w:pPr>
    <w:rPr>
      <w:sz w:val="21"/>
    </w:rPr>
  </w:style>
  <w:style w:type="paragraph" w:styleId="49">
    <w:name w:val="Body Text First Indent 2"/>
    <w:basedOn w:val="20"/>
    <w:qFormat/>
    <w:uiPriority w:val="0"/>
    <w:pPr>
      <w:ind w:firstLine="420" w:firstLineChars="200"/>
    </w:p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Hyperlink"/>
    <w:qFormat/>
    <w:uiPriority w:val="0"/>
    <w:rPr>
      <w:color w:val="2D64B3"/>
      <w:szCs w:val="21"/>
      <w:u w:val="none"/>
    </w:rPr>
  </w:style>
  <w:style w:type="character" w:styleId="57">
    <w:name w:val="annotation reference"/>
    <w:qFormat/>
    <w:uiPriority w:val="0"/>
    <w:rPr>
      <w:sz w:val="21"/>
      <w:szCs w:val="21"/>
    </w:rPr>
  </w:style>
  <w:style w:type="character" w:styleId="58">
    <w:name w:val="HTML Sample"/>
    <w:basedOn w:val="52"/>
    <w:qFormat/>
    <w:uiPriority w:val="0"/>
    <w:rPr>
      <w:rFonts w:ascii="monospace" w:hAnsi="monospace" w:eastAsia="monospace" w:cs="monospace"/>
    </w:rPr>
  </w:style>
  <w:style w:type="character" w:customStyle="1" w:styleId="59">
    <w:name w:val="标题 1 Char"/>
    <w:link w:val="2"/>
    <w:qFormat/>
    <w:uiPriority w:val="0"/>
    <w:rPr>
      <w:rFonts w:ascii="Times New Roman" w:hAnsi="Times New Roman" w:eastAsia="宋体"/>
      <w:b/>
      <w:bCs/>
      <w:kern w:val="44"/>
      <w:sz w:val="44"/>
      <w:szCs w:val="44"/>
    </w:rPr>
  </w:style>
  <w:style w:type="character" w:customStyle="1" w:styleId="60">
    <w:name w:val="页眉 Char"/>
    <w:link w:val="31"/>
    <w:qFormat/>
    <w:uiPriority w:val="0"/>
    <w:rPr>
      <w:rFonts w:eastAsia="宋体"/>
      <w:kern w:val="2"/>
      <w:sz w:val="18"/>
      <w:lang w:val="en-US" w:eastAsia="zh-CN" w:bidi="ar-SA"/>
    </w:rPr>
  </w:style>
  <w:style w:type="character" w:customStyle="1" w:styleId="61">
    <w:name w:val="普通(网站) Char"/>
    <w:link w:val="44"/>
    <w:qFormat/>
    <w:uiPriority w:val="0"/>
    <w:rPr>
      <w:rFonts w:eastAsia="宋体"/>
      <w:kern w:val="2"/>
      <w:sz w:val="24"/>
      <w:szCs w:val="24"/>
      <w:lang w:val="en-US" w:eastAsia="zh-CN" w:bidi="ar-SA"/>
    </w:rPr>
  </w:style>
  <w:style w:type="character" w:customStyle="1" w:styleId="62">
    <w:name w:val="正文首行缩进 Char"/>
    <w:link w:val="48"/>
    <w:qFormat/>
    <w:uiPriority w:val="0"/>
    <w:rPr>
      <w:rFonts w:eastAsia="宋体"/>
      <w:kern w:val="2"/>
      <w:sz w:val="21"/>
      <w:szCs w:val="24"/>
      <w:lang w:val="en-US" w:eastAsia="zh-CN" w:bidi="ar-SA"/>
    </w:rPr>
  </w:style>
  <w:style w:type="paragraph" w:customStyle="1" w:styleId="63">
    <w:name w:val="样式 样式 左侧:  2 字符 + 左侧:  0.85 厘米 首行缩进:  2 字符1"/>
    <w:basedOn w:val="1"/>
    <w:qFormat/>
    <w:uiPriority w:val="0"/>
    <w:pPr>
      <w:ind w:left="482" w:firstLine="200" w:firstLineChars="200"/>
    </w:pPr>
    <w:rPr>
      <w:rFonts w:cs="宋体"/>
      <w:szCs w:val="20"/>
    </w:rPr>
  </w:style>
  <w:style w:type="paragraph" w:customStyle="1" w:styleId="64">
    <w:name w:val="_Style 2"/>
    <w:qFormat/>
    <w:uiPriority w:val="0"/>
    <w:rPr>
      <w:rFonts w:ascii="Calibri" w:hAnsi="Calibri" w:eastAsia="宋体" w:cs="Times New Roman"/>
      <w:sz w:val="22"/>
      <w:szCs w:val="22"/>
      <w:lang w:val="en-US" w:eastAsia="zh-CN" w:bidi="ar-SA"/>
    </w:rPr>
  </w:style>
  <w:style w:type="character" w:customStyle="1" w:styleId="65">
    <w:name w:val="font01"/>
    <w:basedOn w:val="52"/>
    <w:qFormat/>
    <w:uiPriority w:val="0"/>
    <w:rPr>
      <w:rFonts w:hint="default" w:ascii="Times New Roman" w:hAnsi="Times New Roman" w:cs="Times New Roman"/>
      <w:color w:val="000000"/>
      <w:sz w:val="16"/>
      <w:szCs w:val="16"/>
      <w:u w:val="none"/>
    </w:rPr>
  </w:style>
  <w:style w:type="character" w:customStyle="1" w:styleId="66">
    <w:name w:val="unnamed1"/>
    <w:basedOn w:val="52"/>
    <w:qFormat/>
    <w:uiPriority w:val="0"/>
  </w:style>
  <w:style w:type="character" w:customStyle="1" w:styleId="67">
    <w:name w:val="font71"/>
    <w:basedOn w:val="52"/>
    <w:qFormat/>
    <w:uiPriority w:val="0"/>
    <w:rPr>
      <w:rFonts w:hint="eastAsia" w:ascii="宋体" w:hAnsi="宋体" w:eastAsia="宋体" w:cs="宋体"/>
      <w:color w:val="FF0000"/>
      <w:sz w:val="16"/>
      <w:szCs w:val="16"/>
      <w:u w:val="none"/>
    </w:rPr>
  </w:style>
  <w:style w:type="character" w:customStyle="1" w:styleId="68">
    <w:name w:val="tcnt2"/>
    <w:basedOn w:val="52"/>
    <w:qFormat/>
    <w:uiPriority w:val="0"/>
  </w:style>
  <w:style w:type="character" w:customStyle="1" w:styleId="69">
    <w:name w:val="正文(首行缩进) Char Char"/>
    <w:link w:val="70"/>
    <w:qFormat/>
    <w:uiPriority w:val="0"/>
    <w:rPr>
      <w:rFonts w:ascii="宋体" w:hAnsi="宋体"/>
      <w:spacing w:val="20"/>
      <w:kern w:val="24"/>
      <w:sz w:val="21"/>
      <w:szCs w:val="21"/>
      <w:lang w:val="en-IE" w:eastAsia="zh-CN" w:bidi="ar-SA"/>
    </w:rPr>
  </w:style>
  <w:style w:type="paragraph" w:customStyle="1" w:styleId="70">
    <w:name w:val="正文(首行缩进)"/>
    <w:link w:val="69"/>
    <w:qFormat/>
    <w:uiPriority w:val="0"/>
    <w:pPr>
      <w:ind w:firstLine="500" w:firstLineChars="200"/>
      <w:jc w:val="both"/>
    </w:pPr>
    <w:rPr>
      <w:rFonts w:ascii="宋体" w:hAnsi="宋体" w:eastAsia="宋体" w:cs="Times New Roman"/>
      <w:spacing w:val="20"/>
      <w:kern w:val="24"/>
      <w:sz w:val="21"/>
      <w:szCs w:val="21"/>
      <w:lang w:val="en-IE" w:eastAsia="zh-CN" w:bidi="ar-SA"/>
    </w:rPr>
  </w:style>
  <w:style w:type="character" w:customStyle="1" w:styleId="71">
    <w:name w:val="zhou11"/>
    <w:qFormat/>
    <w:uiPriority w:val="0"/>
    <w:rPr>
      <w:color w:val="000000"/>
      <w:sz w:val="28"/>
      <w:szCs w:val="28"/>
    </w:rPr>
  </w:style>
  <w:style w:type="character" w:customStyle="1" w:styleId="72">
    <w:name w:val="black11"/>
    <w:qFormat/>
    <w:uiPriority w:val="0"/>
    <w:rPr>
      <w:color w:val="000000"/>
      <w:sz w:val="18"/>
      <w:szCs w:val="18"/>
    </w:rPr>
  </w:style>
  <w:style w:type="character" w:customStyle="1" w:styleId="73">
    <w:name w:val="unnamed31"/>
    <w:qFormat/>
    <w:uiPriority w:val="0"/>
    <w:rPr>
      <w:color w:val="000066"/>
      <w:sz w:val="20"/>
      <w:szCs w:val="20"/>
    </w:rPr>
  </w:style>
  <w:style w:type="character" w:customStyle="1" w:styleId="74">
    <w:name w:val="para"/>
    <w:basedOn w:val="52"/>
    <w:qFormat/>
    <w:uiPriority w:val="0"/>
  </w:style>
  <w:style w:type="character" w:customStyle="1" w:styleId="75">
    <w:name w:val="标题 3 Char Char"/>
    <w:qFormat/>
    <w:uiPriority w:val="0"/>
    <w:rPr>
      <w:rFonts w:eastAsia="宋体"/>
      <w:b/>
      <w:bCs/>
      <w:kern w:val="2"/>
      <w:sz w:val="32"/>
      <w:szCs w:val="32"/>
      <w:lang w:val="en-US" w:eastAsia="zh-CN" w:bidi="ar-SA"/>
    </w:rPr>
  </w:style>
  <w:style w:type="character" w:customStyle="1" w:styleId="76">
    <w:name w:val="样式 粉红"/>
    <w:qFormat/>
    <w:uiPriority w:val="0"/>
    <w:rPr>
      <w:color w:val="auto"/>
      <w:szCs w:val="21"/>
      <w:u w:val="none"/>
    </w:rPr>
  </w:style>
  <w:style w:type="character" w:customStyle="1" w:styleId="77">
    <w:name w:val="样式 标准正文 + 宋体 Char Char"/>
    <w:link w:val="78"/>
    <w:qFormat/>
    <w:uiPriority w:val="0"/>
    <w:rPr>
      <w:rFonts w:ascii="宋体" w:hAnsi="宋体" w:eastAsia="宋体"/>
      <w:kern w:val="2"/>
      <w:sz w:val="24"/>
      <w:szCs w:val="24"/>
      <w:lang w:val="en-US" w:eastAsia="zh-CN" w:bidi="ar-SA"/>
    </w:rPr>
  </w:style>
  <w:style w:type="paragraph" w:customStyle="1" w:styleId="78">
    <w:name w:val="样式 标准正文 + 宋体"/>
    <w:basedOn w:val="1"/>
    <w:link w:val="77"/>
    <w:qFormat/>
    <w:uiPriority w:val="0"/>
    <w:pPr>
      <w:spacing w:before="60" w:beforeLines="0" w:after="60" w:afterLines="0" w:line="360" w:lineRule="auto"/>
      <w:ind w:firstLine="482"/>
    </w:pPr>
    <w:rPr>
      <w:rFonts w:ascii="宋体" w:hAnsi="宋体"/>
      <w:sz w:val="24"/>
    </w:rPr>
  </w:style>
  <w:style w:type="character" w:customStyle="1" w:styleId="79">
    <w:name w:val="font61"/>
    <w:basedOn w:val="52"/>
    <w:qFormat/>
    <w:uiPriority w:val="0"/>
    <w:rPr>
      <w:rFonts w:hint="eastAsia" w:ascii="宋体" w:hAnsi="宋体" w:eastAsia="宋体" w:cs="宋体"/>
      <w:color w:val="000000"/>
      <w:sz w:val="16"/>
      <w:szCs w:val="16"/>
      <w:u w:val="none"/>
    </w:rPr>
  </w:style>
  <w:style w:type="character" w:customStyle="1" w:styleId="80">
    <w:name w:val="font81"/>
    <w:basedOn w:val="52"/>
    <w:qFormat/>
    <w:uiPriority w:val="0"/>
    <w:rPr>
      <w:rFonts w:hint="default" w:ascii="Tahoma" w:hAnsi="Tahoma" w:eastAsia="Tahoma" w:cs="Tahoma"/>
      <w:color w:val="000000"/>
      <w:sz w:val="16"/>
      <w:szCs w:val="16"/>
      <w:u w:val="none"/>
    </w:rPr>
  </w:style>
  <w:style w:type="character" w:customStyle="1" w:styleId="81">
    <w:name w:val="标题 2 Char Char"/>
    <w:qFormat/>
    <w:uiPriority w:val="0"/>
    <w:rPr>
      <w:rFonts w:ascii="Arial" w:hAnsi="Arial" w:eastAsia="黑体"/>
      <w:b/>
      <w:bCs/>
      <w:kern w:val="2"/>
      <w:sz w:val="32"/>
      <w:szCs w:val="32"/>
      <w:lang w:val="en-US" w:eastAsia="zh-CN" w:bidi="ar-SA"/>
    </w:rPr>
  </w:style>
  <w:style w:type="character" w:customStyle="1" w:styleId="82">
    <w:name w:val="font161"/>
    <w:qFormat/>
    <w:uiPriority w:val="0"/>
    <w:rPr>
      <w:b/>
      <w:bCs/>
      <w:sz w:val="32"/>
      <w:szCs w:val="32"/>
    </w:rPr>
  </w:style>
  <w:style w:type="character" w:customStyle="1" w:styleId="83">
    <w:name w:val="font91"/>
    <w:basedOn w:val="52"/>
    <w:qFormat/>
    <w:uiPriority w:val="0"/>
    <w:rPr>
      <w:rFonts w:hint="default" w:ascii="Arial" w:hAnsi="Arial" w:cs="Arial"/>
      <w:sz w:val="16"/>
      <w:szCs w:val="16"/>
    </w:rPr>
  </w:style>
  <w:style w:type="character" w:customStyle="1" w:styleId="84">
    <w:name w:val="ft71"/>
    <w:basedOn w:val="52"/>
    <w:qFormat/>
    <w:uiPriority w:val="0"/>
  </w:style>
  <w:style w:type="character" w:customStyle="1" w:styleId="85">
    <w:name w:val="font31"/>
    <w:qFormat/>
    <w:uiPriority w:val="0"/>
    <w:rPr>
      <w:rFonts w:hint="default" w:ascii="Arial" w:hAnsi="Arial" w:cs="Arial"/>
      <w:color w:val="C0C0C0"/>
      <w:sz w:val="18"/>
      <w:szCs w:val="18"/>
      <w:u w:val="none"/>
    </w:rPr>
  </w:style>
  <w:style w:type="character" w:customStyle="1" w:styleId="86">
    <w:name w:val="article1"/>
    <w:qFormat/>
    <w:uiPriority w:val="0"/>
    <w:rPr>
      <w:sz w:val="30"/>
      <w:szCs w:val="30"/>
    </w:rPr>
  </w:style>
  <w:style w:type="character" w:customStyle="1" w:styleId="87">
    <w:name w:val="font41"/>
    <w:qFormat/>
    <w:uiPriority w:val="0"/>
    <w:rPr>
      <w:rFonts w:hint="eastAsia" w:ascii="宋体" w:hAnsi="宋体" w:eastAsia="宋体"/>
      <w:color w:val="C0C0C0"/>
      <w:sz w:val="18"/>
      <w:szCs w:val="18"/>
      <w:u w:val="none"/>
    </w:rPr>
  </w:style>
  <w:style w:type="character" w:customStyle="1" w:styleId="88">
    <w:name w:val="apple-style-span"/>
    <w:basedOn w:val="52"/>
    <w:qFormat/>
    <w:uiPriority w:val="0"/>
  </w:style>
  <w:style w:type="character" w:customStyle="1" w:styleId="89">
    <w:name w:val="font21"/>
    <w:qFormat/>
    <w:uiPriority w:val="0"/>
    <w:rPr>
      <w:rFonts w:hint="eastAsia" w:ascii="宋体" w:hAnsi="宋体" w:eastAsia="宋体"/>
      <w:color w:val="000000"/>
      <w:sz w:val="20"/>
      <w:szCs w:val="20"/>
      <w:u w:val="none"/>
    </w:rPr>
  </w:style>
  <w:style w:type="paragraph" w:customStyle="1" w:styleId="90">
    <w:name w:val="表格"/>
    <w:basedOn w:val="1"/>
    <w:qFormat/>
    <w:uiPriority w:val="0"/>
    <w:pPr>
      <w:spacing w:line="400" w:lineRule="atLeast"/>
    </w:pPr>
    <w:rPr>
      <w:b/>
      <w:bCs/>
      <w:color w:val="000000"/>
      <w:sz w:val="24"/>
    </w:rPr>
  </w:style>
  <w:style w:type="paragraph" w:customStyle="1" w:styleId="91">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0"/>
      <w:szCs w:val="20"/>
    </w:rPr>
  </w:style>
  <w:style w:type="paragraph" w:customStyle="1" w:styleId="92">
    <w:name w:val="样式1"/>
    <w:basedOn w:val="3"/>
    <w:qFormat/>
    <w:uiPriority w:val="0"/>
    <w:pPr>
      <w:widowControl/>
      <w:numPr>
        <w:ilvl w:val="0"/>
        <w:numId w:val="1"/>
      </w:numPr>
      <w:snapToGrid w:val="0"/>
      <w:spacing w:before="0" w:beforeLines="0" w:after="0" w:afterLines="0" w:line="360" w:lineRule="auto"/>
      <w:jc w:val="left"/>
      <w:textAlignment w:val="auto"/>
    </w:pPr>
    <w:rPr>
      <w:rFonts w:ascii="宋体" w:eastAsia="宋体"/>
      <w:color w:val="000000"/>
    </w:rPr>
  </w:style>
  <w:style w:type="paragraph" w:customStyle="1" w:styleId="93">
    <w:name w:val="_Style 28"/>
    <w:basedOn w:val="1"/>
    <w:qFormat/>
    <w:uiPriority w:val="0"/>
    <w:rPr>
      <w:szCs w:val="21"/>
    </w:rPr>
  </w:style>
  <w:style w:type="paragraph" w:customStyle="1" w:styleId="94">
    <w:name w:val="È±Ê¡ÎÄ±¾"/>
    <w:basedOn w:val="1"/>
    <w:qFormat/>
    <w:uiPriority w:val="0"/>
    <w:pPr>
      <w:widowControl/>
      <w:overflowPunct w:val="0"/>
      <w:autoSpaceDE w:val="0"/>
      <w:autoSpaceDN w:val="0"/>
      <w:adjustRightInd w:val="0"/>
      <w:spacing w:line="360" w:lineRule="auto"/>
      <w:textAlignment w:val="baseline"/>
    </w:pPr>
    <w:rPr>
      <w:kern w:val="0"/>
      <w:szCs w:val="20"/>
    </w:rPr>
  </w:style>
  <w:style w:type="paragraph" w:customStyle="1" w:styleId="95">
    <w:name w:val="Level2Bullet"/>
    <w:basedOn w:val="1"/>
    <w:qFormat/>
    <w:uiPriority w:val="0"/>
    <w:pPr>
      <w:widowControl/>
      <w:numPr>
        <w:ilvl w:val="0"/>
        <w:numId w:val="0"/>
      </w:numPr>
      <w:tabs>
        <w:tab w:val="left" w:pos="3969"/>
        <w:tab w:val="left" w:pos="5954"/>
        <w:tab w:val="left" w:pos="7938"/>
      </w:tabs>
      <w:ind w:left="2268" w:hanging="283"/>
      <w:jc w:val="left"/>
    </w:pPr>
    <w:rPr>
      <w:rFonts w:ascii="Helv" w:hAnsi="Helv"/>
      <w:kern w:val="0"/>
      <w:sz w:val="20"/>
      <w:szCs w:val="20"/>
      <w:lang w:val="en-GB"/>
    </w:rPr>
  </w:style>
  <w:style w:type="paragraph" w:customStyle="1" w:styleId="96">
    <w:name w:val="样式 左侧:  0 厘米 悬挂缩进: 2.5 字符"/>
    <w:basedOn w:val="1"/>
    <w:qFormat/>
    <w:uiPriority w:val="0"/>
    <w:pPr>
      <w:ind w:left="525" w:hanging="525" w:hangingChars="250"/>
    </w:pPr>
    <w:rPr>
      <w:szCs w:val="20"/>
    </w:rPr>
  </w:style>
  <w:style w:type="paragraph" w:customStyle="1" w:styleId="9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98">
    <w:name w:val="样式 标题 2 + Times New Roman 四号 非加粗 段前: 5 磅 段后: 0 磅 行距: 固定值 20..."/>
    <w:basedOn w:val="3"/>
    <w:qFormat/>
    <w:uiPriority w:val="0"/>
    <w:pPr>
      <w:adjustRightInd/>
      <w:spacing w:before="100" w:beforeLines="0" w:after="0" w:afterLines="0" w:line="400" w:lineRule="exact"/>
      <w:textAlignment w:val="auto"/>
    </w:pPr>
    <w:rPr>
      <w:rFonts w:ascii="Times New Roman" w:hAnsi="Times New Roman" w:cs="宋体"/>
      <w:b w:val="0"/>
      <w:kern w:val="2"/>
      <w:sz w:val="28"/>
    </w:rPr>
  </w:style>
  <w:style w:type="paragraph" w:customStyle="1" w:styleId="99">
    <w:name w:val=" Char Char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10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01">
    <w:name w:val=" Char2"/>
    <w:basedOn w:val="1"/>
    <w:qFormat/>
    <w:uiPriority w:val="0"/>
    <w:pPr>
      <w:adjustRightInd w:val="0"/>
      <w:spacing w:line="360" w:lineRule="auto"/>
    </w:pPr>
    <w:rPr>
      <w:kern w:val="0"/>
      <w:sz w:val="24"/>
      <w:szCs w:val="20"/>
    </w:rPr>
  </w:style>
  <w:style w:type="paragraph" w:customStyle="1" w:styleId="102">
    <w:name w:val="正文1"/>
    <w:basedOn w:val="1"/>
    <w:qFormat/>
    <w:uiPriority w:val="0"/>
    <w:pPr>
      <w:spacing w:after="120" w:afterLines="0" w:line="360" w:lineRule="auto"/>
    </w:pPr>
    <w:rPr>
      <w:rFonts w:ascii="Arial" w:hAnsi="Arial"/>
      <w:sz w:val="24"/>
      <w:szCs w:val="20"/>
    </w:rPr>
  </w:style>
  <w:style w:type="paragraph" w:customStyle="1" w:styleId="10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4">
    <w:name w:val="样式 标题 3 + (中文) 黑体 小四 非加粗 段前: 7.8 磅 段后: 0 磅 行距: 固定值 20 磅"/>
    <w:basedOn w:val="4"/>
    <w:qFormat/>
    <w:uiPriority w:val="0"/>
    <w:pPr>
      <w:adjustRightInd/>
      <w:spacing w:before="0" w:beforeLines="0" w:after="0" w:afterLines="0" w:line="400" w:lineRule="exact"/>
      <w:textAlignment w:val="auto"/>
    </w:pPr>
    <w:rPr>
      <w:rFonts w:eastAsia="黑体"/>
      <w:b w:val="0"/>
      <w:kern w:val="2"/>
      <w:sz w:val="24"/>
    </w:rPr>
  </w:style>
  <w:style w:type="paragraph" w:customStyle="1" w:styleId="105">
    <w:name w:val="font7"/>
    <w:basedOn w:val="1"/>
    <w:qFormat/>
    <w:uiPriority w:val="0"/>
    <w:pPr>
      <w:widowControl/>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06">
    <w:name w:val="xl27"/>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0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09">
    <w:name w:val="font5"/>
    <w:basedOn w:val="1"/>
    <w:qFormat/>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10">
    <w:name w:val="xl32"/>
    <w:basedOn w:val="1"/>
    <w:qFormat/>
    <w:uiPriority w:val="0"/>
    <w:pPr>
      <w:widowControl/>
      <w:spacing w:before="100" w:beforeLines="0" w:beforeAutospacing="1" w:after="100" w:afterLines="0" w:afterAutospacing="1"/>
      <w:jc w:val="center"/>
      <w:textAlignment w:val="center"/>
    </w:pPr>
    <w:rPr>
      <w:rFonts w:hint="eastAsia" w:ascii="隶书" w:hAnsi="宋体" w:eastAsia="隶书"/>
      <w:kern w:val="0"/>
      <w:sz w:val="72"/>
      <w:szCs w:val="72"/>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12">
    <w:name w:val="金安桥正文"/>
    <w:basedOn w:val="20"/>
    <w:qFormat/>
    <w:uiPriority w:val="0"/>
    <w:pPr>
      <w:adjustRightInd w:val="0"/>
      <w:spacing w:line="300" w:lineRule="auto"/>
      <w:ind w:firstLine="200" w:firstLineChars="200"/>
      <w:jc w:val="left"/>
    </w:pPr>
    <w:rPr>
      <w:kern w:val="0"/>
      <w:szCs w:val="20"/>
    </w:rPr>
  </w:style>
  <w:style w:type="paragraph" w:customStyle="1" w:styleId="113">
    <w:name w:val="List Paragraph1"/>
    <w:basedOn w:val="1"/>
    <w:qFormat/>
    <w:uiPriority w:val="0"/>
    <w:pPr>
      <w:adjustRightInd w:val="0"/>
      <w:spacing w:line="312" w:lineRule="atLeast"/>
      <w:ind w:firstLine="200" w:firstLineChars="200"/>
      <w:textAlignment w:val="baseline"/>
    </w:pPr>
    <w:rPr>
      <w:rFonts w:eastAsia="仿宋_GB2312"/>
      <w:kern w:val="0"/>
      <w:sz w:val="28"/>
      <w:szCs w:val="20"/>
    </w:rPr>
  </w:style>
  <w:style w:type="paragraph" w:customStyle="1" w:styleId="114">
    <w:name w:val="ÆÕÍ¨"/>
    <w:basedOn w:val="1"/>
    <w:qFormat/>
    <w:uiPriority w:val="0"/>
    <w:pPr>
      <w:widowControl/>
      <w:tabs>
        <w:tab w:val="left" w:pos="1276"/>
      </w:tabs>
      <w:overflowPunct w:val="0"/>
      <w:autoSpaceDE w:val="0"/>
      <w:autoSpaceDN w:val="0"/>
      <w:adjustRightInd w:val="0"/>
      <w:ind w:left="851"/>
      <w:jc w:val="left"/>
      <w:textAlignment w:val="baseline"/>
    </w:pPr>
    <w:rPr>
      <w:rFonts w:ascii="Arial" w:hAnsi="Arial"/>
      <w:b/>
      <w:kern w:val="16"/>
      <w:sz w:val="20"/>
      <w:szCs w:val="20"/>
      <w:lang w:val="fr-FR"/>
    </w:rPr>
  </w:style>
  <w:style w:type="paragraph" w:customStyle="1" w:styleId="115">
    <w:name w:val="xl46"/>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cs="Arial Unicode MS"/>
      <w:kern w:val="0"/>
      <w:sz w:val="20"/>
      <w:szCs w:val="20"/>
    </w:rPr>
  </w:style>
  <w:style w:type="paragraph" w:customStyle="1" w:styleId="116">
    <w:name w:val="xl29"/>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17">
    <w:name w:val="font8"/>
    <w:basedOn w:val="1"/>
    <w:qFormat/>
    <w:uiPriority w:val="0"/>
    <w:pPr>
      <w:widowControl/>
      <w:spacing w:before="100" w:beforeLines="0" w:beforeAutospacing="1" w:after="100" w:afterLines="0" w:afterAutospacing="1"/>
      <w:jc w:val="left"/>
    </w:pPr>
    <w:rPr>
      <w:rFonts w:hint="eastAsia" w:ascii="仿宋_GB2312" w:hAnsi="宋体" w:eastAsia="仿宋_GB2312"/>
      <w:kern w:val="0"/>
      <w:sz w:val="24"/>
    </w:rPr>
  </w:style>
  <w:style w:type="paragraph" w:customStyle="1" w:styleId="11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19">
    <w:name w:val="表头"/>
    <w:basedOn w:val="14"/>
    <w:qFormat/>
    <w:uiPriority w:val="0"/>
    <w:pPr>
      <w:keepNext/>
      <w:keepLines/>
      <w:widowControl/>
      <w:spacing w:before="120" w:beforeLines="0" w:after="120" w:afterLines="0" w:line="300" w:lineRule="auto"/>
      <w:jc w:val="center"/>
      <w:textAlignment w:val="baseline"/>
    </w:pPr>
    <w:rPr>
      <w:rFonts w:cs="Times New Roman"/>
      <w:kern w:val="0"/>
      <w:sz w:val="21"/>
    </w:rPr>
  </w:style>
  <w:style w:type="paragraph" w:customStyle="1" w:styleId="120">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21">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122">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3">
    <w:name w:val="high15"/>
    <w:basedOn w:val="1"/>
    <w:qFormat/>
    <w:uiPriority w:val="0"/>
    <w:pPr>
      <w:widowControl/>
      <w:spacing w:before="100" w:beforeLines="0" w:beforeAutospacing="1" w:after="100" w:afterLines="0" w:afterAutospacing="1" w:line="300" w:lineRule="atLeast"/>
      <w:jc w:val="left"/>
    </w:pPr>
    <w:rPr>
      <w:rFonts w:ascii="宋体" w:cs="宋体"/>
      <w:kern w:val="0"/>
      <w:sz w:val="18"/>
      <w:szCs w:val="18"/>
    </w:rPr>
  </w:style>
  <w:style w:type="paragraph" w:customStyle="1" w:styleId="124">
    <w:name w:val="xl28"/>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25">
    <w:name w:val="xl31"/>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26">
    <w:name w:val="1册标题2"/>
    <w:basedOn w:val="1"/>
    <w:next w:val="1"/>
    <w:qFormat/>
    <w:uiPriority w:val="0"/>
    <w:pPr>
      <w:adjustRightInd w:val="0"/>
      <w:spacing w:before="156" w:beforeLines="50" w:after="156" w:afterLines="50" w:line="300" w:lineRule="auto"/>
      <w:jc w:val="center"/>
      <w:textAlignment w:val="baseline"/>
      <w:outlineLvl w:val="1"/>
    </w:pPr>
    <w:rPr>
      <w:rFonts w:ascii="Arial" w:hAnsi="Arial" w:eastAsia="黑体"/>
      <w:bCs/>
      <w:kern w:val="0"/>
      <w:sz w:val="32"/>
    </w:rPr>
  </w:style>
  <w:style w:type="paragraph" w:customStyle="1" w:styleId="127">
    <w:name w:val="font6"/>
    <w:basedOn w:val="1"/>
    <w:qFormat/>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28">
    <w:name w:val="tabletext"/>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30">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31">
    <w:name w:val="Char Char Char Char"/>
    <w:basedOn w:val="15"/>
    <w:qFormat/>
    <w:uiPriority w:val="0"/>
  </w:style>
  <w:style w:type="paragraph" w:customStyle="1" w:styleId="132">
    <w:name w:val="xl39"/>
    <w:basedOn w:val="1"/>
    <w:qFormat/>
    <w:uiPriority w:val="0"/>
    <w:pPr>
      <w:widowControl/>
      <w:spacing w:before="100" w:beforeLines="0" w:beforeAutospacing="1" w:after="100" w:afterLines="0" w:afterAutospacing="1"/>
      <w:jc w:val="center"/>
    </w:pPr>
    <w:rPr>
      <w:rFonts w:ascii="宋体" w:hAnsi="宋体"/>
      <w:kern w:val="0"/>
      <w:sz w:val="24"/>
    </w:rPr>
  </w:style>
  <w:style w:type="paragraph" w:customStyle="1" w:styleId="1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34">
    <w:name w:val="Graphics"/>
    <w:basedOn w:val="1"/>
    <w:qFormat/>
    <w:uiPriority w:val="0"/>
    <w:pPr>
      <w:widowControl/>
      <w:spacing w:before="120" w:beforeLines="0"/>
      <w:jc w:val="left"/>
    </w:pPr>
    <w:rPr>
      <w:color w:val="000000"/>
      <w:kern w:val="0"/>
      <w:sz w:val="20"/>
      <w:szCs w:val="20"/>
      <w:lang w:eastAsia="en-US"/>
    </w:rPr>
  </w:style>
  <w:style w:type="paragraph" w:customStyle="1" w:styleId="135">
    <w:name w:val="图例"/>
    <w:basedOn w:val="1"/>
    <w:qFormat/>
    <w:uiPriority w:val="0"/>
    <w:pPr>
      <w:spacing w:before="120" w:beforeLines="0" w:after="120" w:afterLines="0" w:line="360" w:lineRule="auto"/>
      <w:jc w:val="center"/>
    </w:pPr>
    <w:rPr>
      <w:rFonts w:eastAsia="仿宋_GB2312"/>
      <w:b/>
      <w:sz w:val="24"/>
    </w:rPr>
  </w:style>
  <w:style w:type="paragraph" w:customStyle="1" w:styleId="136">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仿宋_GB2312" w:hAnsi="宋体" w:eastAsia="仿宋_GB2312" w:cs="宋体"/>
      <w:kern w:val="0"/>
      <w:sz w:val="24"/>
    </w:rPr>
  </w:style>
  <w:style w:type="paragraph" w:customStyle="1" w:styleId="137">
    <w:name w:val="1"/>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38">
    <w:name w:val="WPS Plain"/>
    <w:qFormat/>
    <w:uiPriority w:val="0"/>
    <w:rPr>
      <w:rFonts w:ascii="Times New Roman" w:hAnsi="Times New Roman" w:eastAsia="宋体" w:cs="Times New Roman"/>
      <w:lang w:val="en-US" w:eastAsia="zh-CN" w:bidi="ar-SA"/>
    </w:rPr>
  </w:style>
  <w:style w:type="paragraph" w:customStyle="1" w:styleId="13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rPr>
  </w:style>
  <w:style w:type="paragraph" w:customStyle="1" w:styleId="140">
    <w:name w:val="font10"/>
    <w:basedOn w:val="1"/>
    <w:qFormat/>
    <w:uiPriority w:val="0"/>
    <w:pPr>
      <w:widowControl/>
      <w:spacing w:before="100" w:beforeLines="0" w:beforeAutospacing="1" w:after="100" w:afterLines="0" w:afterAutospacing="1"/>
      <w:jc w:val="left"/>
    </w:pPr>
    <w:rPr>
      <w:kern w:val="0"/>
      <w:sz w:val="20"/>
      <w:szCs w:val="20"/>
    </w:rPr>
  </w:style>
  <w:style w:type="paragraph" w:customStyle="1" w:styleId="141">
    <w:name w:val="Table Paragraph"/>
    <w:basedOn w:val="1"/>
    <w:qFormat/>
    <w:uiPriority w:val="1"/>
  </w:style>
  <w:style w:type="paragraph" w:customStyle="1" w:styleId="142">
    <w:name w:val="偶数页篇眉"/>
    <w:basedOn w:val="31"/>
    <w:qFormat/>
    <w:uiPriority w:val="0"/>
    <w:pPr>
      <w:keepLines/>
      <w:pBdr>
        <w:bottom w:val="none" w:color="auto" w:sz="0" w:space="0"/>
      </w:pBdr>
      <w:tabs>
        <w:tab w:val="right" w:pos="0"/>
        <w:tab w:val="center" w:pos="7200"/>
        <w:tab w:val="right" w:pos="14400"/>
        <w:tab w:val="clear" w:pos="4153"/>
        <w:tab w:val="clear" w:pos="8306"/>
      </w:tabs>
      <w:snapToGrid/>
      <w:jc w:val="right"/>
    </w:pPr>
    <w:rPr>
      <w:spacing w:val="80"/>
      <w:sz w:val="21"/>
      <w:szCs w:val="24"/>
    </w:rPr>
  </w:style>
  <w:style w:type="paragraph" w:customStyle="1" w:styleId="143">
    <w:name w:val=" Char Char Char"/>
    <w:basedOn w:val="1"/>
    <w:qFormat/>
    <w:uiPriority w:val="0"/>
    <w:pPr>
      <w:adjustRightInd w:val="0"/>
      <w:spacing w:line="360" w:lineRule="auto"/>
    </w:pPr>
    <w:rPr>
      <w:kern w:val="0"/>
      <w:sz w:val="24"/>
      <w:szCs w:val="20"/>
    </w:rPr>
  </w:style>
  <w:style w:type="paragraph" w:customStyle="1" w:styleId="144">
    <w:name w:val="table"/>
    <w:basedOn w:val="1"/>
    <w:qFormat/>
    <w:uiPriority w:val="0"/>
    <w:pPr>
      <w:widowControl/>
      <w:overflowPunct w:val="0"/>
      <w:autoSpaceDE w:val="0"/>
      <w:autoSpaceDN w:val="0"/>
      <w:adjustRightInd w:val="0"/>
      <w:spacing w:before="60" w:beforeLines="0" w:after="60" w:afterLines="0"/>
      <w:jc w:val="center"/>
      <w:textAlignment w:val="baseline"/>
    </w:pPr>
    <w:rPr>
      <w:rFonts w:ascii="仿宋体" w:eastAsia="仿宋体"/>
      <w:kern w:val="0"/>
      <w:sz w:val="24"/>
      <w:szCs w:val="20"/>
    </w:rPr>
  </w:style>
  <w:style w:type="paragraph" w:customStyle="1" w:styleId="145">
    <w:name w:val="需求书2"/>
    <w:basedOn w:val="1"/>
    <w:qFormat/>
    <w:uiPriority w:val="0"/>
    <w:pPr>
      <w:tabs>
        <w:tab w:val="left" w:pos="630"/>
      </w:tabs>
      <w:spacing w:line="360" w:lineRule="auto"/>
    </w:pPr>
    <w:rPr>
      <w:rFonts w:ascii="宋体"/>
      <w:b/>
      <w:sz w:val="24"/>
    </w:rPr>
  </w:style>
  <w:style w:type="paragraph" w:customStyle="1" w:styleId="146">
    <w:name w:val="XW正文"/>
    <w:basedOn w:val="20"/>
    <w:qFormat/>
    <w:uiPriority w:val="0"/>
    <w:pPr>
      <w:adjustRightInd w:val="0"/>
      <w:snapToGrid w:val="0"/>
      <w:spacing w:line="300" w:lineRule="auto"/>
      <w:ind w:firstLine="520" w:firstLineChars="200"/>
      <w:jc w:val="left"/>
    </w:pPr>
    <w:rPr>
      <w:kern w:val="0"/>
      <w:sz w:val="21"/>
    </w:rPr>
  </w:style>
  <w:style w:type="paragraph" w:customStyle="1" w:styleId="147">
    <w:name w:val=" Char1 Char Char Char1 Char Char Char Char Char Char Char Char Char"/>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48">
    <w:name w:val="font11"/>
    <w:basedOn w:val="1"/>
    <w:qFormat/>
    <w:uiPriority w:val="0"/>
    <w:pPr>
      <w:widowControl/>
      <w:spacing w:before="100" w:beforeLines="0" w:beforeAutospacing="1" w:after="100" w:afterLines="0" w:afterAutospacing="1"/>
      <w:jc w:val="left"/>
    </w:pPr>
    <w:rPr>
      <w:rFonts w:hint="eastAsia" w:ascii="宋体" w:hAnsi="宋体"/>
      <w:kern w:val="0"/>
      <w:sz w:val="20"/>
      <w:szCs w:val="20"/>
    </w:rPr>
  </w:style>
  <w:style w:type="paragraph" w:customStyle="1" w:styleId="149">
    <w:name w:val="xl33"/>
    <w:basedOn w:val="1"/>
    <w:qFormat/>
    <w:uiPriority w:val="0"/>
    <w:pPr>
      <w:widowControl/>
      <w:pBdr>
        <w:bottom w:val="single" w:color="auto" w:sz="4" w:space="0"/>
      </w:pBdr>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50">
    <w:name w:val="目录"/>
    <w:basedOn w:val="1"/>
    <w:qFormat/>
    <w:uiPriority w:val="0"/>
    <w:pPr>
      <w:widowControl/>
      <w:spacing w:line="480" w:lineRule="auto"/>
      <w:jc w:val="center"/>
    </w:pPr>
    <w:rPr>
      <w:rFonts w:ascii="宋体"/>
      <w:b/>
      <w:kern w:val="0"/>
      <w:sz w:val="24"/>
      <w:szCs w:val="20"/>
    </w:rPr>
  </w:style>
  <w:style w:type="paragraph" w:customStyle="1" w:styleId="151">
    <w:name w:val="p0"/>
    <w:basedOn w:val="1"/>
    <w:qFormat/>
    <w:uiPriority w:val="0"/>
    <w:pPr>
      <w:widowControl/>
    </w:pPr>
    <w:rPr>
      <w:kern w:val="0"/>
      <w:szCs w:val="21"/>
    </w:rPr>
  </w:style>
  <w:style w:type="paragraph" w:customStyle="1" w:styleId="15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53">
    <w:name w:val="xl43"/>
    <w:basedOn w:val="1"/>
    <w:qFormat/>
    <w:uiPriority w:val="0"/>
    <w:pPr>
      <w:widowControl/>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54">
    <w:name w:val="xl37"/>
    <w:basedOn w:val="1"/>
    <w:qFormat/>
    <w:uiPriority w:val="0"/>
    <w:pPr>
      <w:widowControl/>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55">
    <w:name w:val=" Char1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styleId="15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14 Char"/>
    <w:basedOn w:val="1"/>
    <w:qFormat/>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158">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159">
    <w:name w:val="缺省文本"/>
    <w:basedOn w:val="1"/>
    <w:qFormat/>
    <w:uiPriority w:val="0"/>
    <w:pPr>
      <w:autoSpaceDE w:val="0"/>
      <w:autoSpaceDN w:val="0"/>
      <w:adjustRightInd w:val="0"/>
      <w:jc w:val="left"/>
    </w:pPr>
    <w:rPr>
      <w:kern w:val="0"/>
      <w:sz w:val="24"/>
      <w:szCs w:val="20"/>
    </w:rPr>
  </w:style>
  <w:style w:type="paragraph" w:styleId="160">
    <w:name w:val="List Paragraph"/>
    <w:basedOn w:val="1"/>
    <w:qFormat/>
    <w:uiPriority w:val="0"/>
    <w:pPr>
      <w:ind w:firstLine="420" w:firstLineChars="200"/>
    </w:pPr>
    <w:rPr>
      <w:rFonts w:ascii="Calibri" w:hAnsi="Calibri"/>
      <w:szCs w:val="22"/>
    </w:rPr>
  </w:style>
  <w:style w:type="paragraph" w:customStyle="1" w:styleId="16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rPr>
  </w:style>
  <w:style w:type="paragraph" w:customStyle="1" w:styleId="162">
    <w:name w:val="font9"/>
    <w:basedOn w:val="1"/>
    <w:qFormat/>
    <w:uiPriority w:val="0"/>
    <w:pPr>
      <w:widowControl/>
      <w:spacing w:before="100" w:beforeLines="0" w:beforeAutospacing="1" w:after="100" w:afterLines="0" w:afterAutospacing="1"/>
      <w:jc w:val="left"/>
    </w:pPr>
    <w:rPr>
      <w:kern w:val="0"/>
      <w:sz w:val="24"/>
    </w:rPr>
  </w:style>
  <w:style w:type="paragraph" w:customStyle="1" w:styleId="163">
    <w:name w:val=" Char1"/>
    <w:basedOn w:val="1"/>
    <w:qFormat/>
    <w:uiPriority w:val="0"/>
    <w:pPr>
      <w:spacing w:line="360" w:lineRule="auto"/>
      <w:ind w:left="559" w:leftChars="266"/>
      <w:jc w:val="left"/>
    </w:pPr>
    <w:rPr>
      <w:rFonts w:ascii="ˎ̥" w:hAnsi="ˎ̥" w:cs="宋体"/>
      <w:kern w:val="0"/>
      <w:sz w:val="24"/>
    </w:rPr>
  </w:style>
  <w:style w:type="paragraph" w:customStyle="1" w:styleId="164">
    <w:name w:val="列出段落1"/>
    <w:basedOn w:val="1"/>
    <w:qFormat/>
    <w:uiPriority w:val="0"/>
    <w:pPr>
      <w:ind w:firstLine="420" w:firstLineChars="200"/>
    </w:pPr>
    <w:rPr>
      <w:rFonts w:ascii="Calibri" w:hAnsi="Calibri"/>
      <w:szCs w:val="22"/>
    </w:rPr>
  </w:style>
  <w:style w:type="paragraph" w:customStyle="1" w:styleId="165">
    <w:name w:val=" Char Char1"/>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66">
    <w:name w:val="font0"/>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customStyle="1" w:styleId="167">
    <w:name w:val="表格文字"/>
    <w:basedOn w:val="1"/>
    <w:qFormat/>
    <w:uiPriority w:val="0"/>
    <w:pPr>
      <w:adjustRightInd w:val="0"/>
      <w:spacing w:line="420" w:lineRule="atLeast"/>
      <w:jc w:val="left"/>
      <w:textAlignment w:val="baseline"/>
    </w:pPr>
    <w:rPr>
      <w:kern w:val="0"/>
      <w:szCs w:val="20"/>
    </w:rPr>
  </w:style>
  <w:style w:type="paragraph" w:customStyle="1" w:styleId="168">
    <w:name w:val="xl30"/>
    <w:basedOn w:val="1"/>
    <w:qFormat/>
    <w:uiPriority w:val="0"/>
    <w:pPr>
      <w:widowControl/>
      <w:pBdr>
        <w:top w:val="single" w:color="auto" w:sz="4" w:space="0"/>
        <w:bottom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69">
    <w:name w:val="2册标题2"/>
    <w:basedOn w:val="1"/>
    <w:next w:val="1"/>
    <w:qFormat/>
    <w:uiPriority w:val="0"/>
    <w:pPr>
      <w:spacing w:before="156" w:beforeLines="50" w:after="156" w:afterLines="50"/>
      <w:ind w:left="-175" w:leftChars="-85" w:hanging="3" w:hangingChars="1"/>
      <w:outlineLvl w:val="1"/>
    </w:pPr>
    <w:rPr>
      <w:rFonts w:ascii="Arial" w:hAnsi="Arial" w:eastAsia="黑体" w:cs="Arial"/>
      <w:sz w:val="30"/>
      <w:szCs w:val="30"/>
    </w:rPr>
  </w:style>
  <w:style w:type="paragraph" w:customStyle="1" w:styleId="170">
    <w:name w:val="块引用"/>
    <w:basedOn w:val="1"/>
    <w:qFormat/>
    <w:uiPriority w:val="0"/>
    <w:pPr>
      <w:keepLines/>
      <w:ind w:left="360" w:right="360"/>
      <w:jc w:val="center"/>
    </w:pPr>
    <w:rPr>
      <w:i/>
    </w:rPr>
  </w:style>
  <w:style w:type="paragraph" w:customStyle="1" w:styleId="171">
    <w:name w:val=" Char"/>
    <w:basedOn w:val="1"/>
    <w:qFormat/>
    <w:uiPriority w:val="0"/>
    <w:rPr>
      <w:rFonts w:ascii="Tahoma" w:hAnsi="Tahoma"/>
      <w:sz w:val="24"/>
      <w:szCs w:val="20"/>
    </w:rPr>
  </w:style>
  <w:style w:type="paragraph" w:customStyle="1" w:styleId="172">
    <w:name w:val="默认段落字体 Para Char Char Char Char Char Char Char Char Char Char"/>
    <w:basedOn w:val="1"/>
    <w:qFormat/>
    <w:uiPriority w:val="0"/>
    <w:rPr>
      <w:rFonts w:ascii="Tahoma" w:hAnsi="Tahoma"/>
      <w:sz w:val="24"/>
      <w:szCs w:val="20"/>
    </w:rPr>
  </w:style>
  <w:style w:type="paragraph" w:customStyle="1" w:styleId="173">
    <w:name w:val="Char"/>
    <w:basedOn w:val="1"/>
    <w:qFormat/>
    <w:uiPriority w:val="0"/>
    <w:rPr>
      <w:szCs w:val="20"/>
    </w:rPr>
  </w:style>
  <w:style w:type="paragraph" w:customStyle="1" w:styleId="17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75">
    <w:name w:val="black1"/>
    <w:basedOn w:val="1"/>
    <w:qFormat/>
    <w:uiPriority w:val="0"/>
    <w:pPr>
      <w:widowControl/>
      <w:spacing w:before="100" w:beforeLines="0" w:beforeAutospacing="1" w:after="100" w:afterLines="0" w:afterAutospacing="1" w:line="280" w:lineRule="atLeast"/>
      <w:jc w:val="left"/>
    </w:pPr>
    <w:rPr>
      <w:rFonts w:ascii="_x000B__x000C_" w:hAnsi="_x000B__x000C_"/>
      <w:color w:val="000000"/>
      <w:kern w:val="0"/>
      <w:sz w:val="18"/>
      <w:szCs w:val="18"/>
    </w:rPr>
  </w:style>
  <w:style w:type="paragraph" w:customStyle="1" w:styleId="176">
    <w:name w:val="保留正文"/>
    <w:basedOn w:val="19"/>
    <w:qFormat/>
    <w:uiPriority w:val="0"/>
    <w:pPr>
      <w:keepNext/>
      <w:tabs>
        <w:tab w:val="clear" w:pos="562"/>
        <w:tab w:val="clear" w:pos="3372"/>
        <w:tab w:val="clear" w:pos="3653"/>
      </w:tabs>
      <w:spacing w:after="160" w:afterLines="0"/>
    </w:pPr>
    <w:rPr>
      <w:sz w:val="21"/>
    </w:rPr>
  </w:style>
  <w:style w:type="paragraph" w:customStyle="1" w:styleId="177">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178">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79">
    <w:name w:val="style1 style2"/>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80">
    <w:name w:val="!我的正文 Ctr+Q"/>
    <w:basedOn w:val="1"/>
    <w:qFormat/>
    <w:uiPriority w:val="0"/>
    <w:pPr>
      <w:adjustRightInd w:val="0"/>
      <w:snapToGrid w:val="0"/>
      <w:spacing w:line="360" w:lineRule="auto"/>
      <w:ind w:firstLine="480" w:firstLineChars="200"/>
    </w:pPr>
    <w:rPr>
      <w:rFonts w:ascii="Arial" w:hAnsi="Arial" w:eastAsia="宋体" w:cs="Times New Roman"/>
      <w:sz w:val="24"/>
      <w:szCs w:val="21"/>
    </w:rPr>
  </w:style>
  <w:style w:type="table" w:customStyle="1" w:styleId="181">
    <w:name w:val="Table Normal"/>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82">
    <w:name w:val="标题 5（有编号）（绿盟科技）"/>
    <w:basedOn w:val="1"/>
    <w:next w:val="183"/>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18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184">
    <w:name w:val="1标题4"/>
    <w:basedOn w:val="1"/>
    <w:qFormat/>
    <w:uiPriority w:val="0"/>
    <w:pPr>
      <w:keepNext/>
      <w:keepLines/>
      <w:spacing w:before="100" w:beforeAutospacing="1" w:after="100" w:afterAutospacing="1" w:line="360" w:lineRule="auto"/>
      <w:ind w:left="853" w:hanging="853" w:hangingChars="284"/>
      <w:jc w:val="left"/>
      <w:outlineLvl w:val="3"/>
    </w:pPr>
    <w:rPr>
      <w:rFonts w:ascii="黑体" w:hAnsi="宋体" w:eastAsia="黑体"/>
      <w:b/>
      <w:sz w:val="30"/>
    </w:rPr>
  </w:style>
  <w:style w:type="paragraph" w:customStyle="1" w:styleId="185">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Times New Roman"/>
      <w:color w:val="000000"/>
      <w:kern w:val="2"/>
      <w:sz w:val="21"/>
      <w:szCs w:val="21"/>
      <w:lang w:val="en-US" w:eastAsia="zh-CN" w:bidi="ar-SA"/>
    </w:rPr>
  </w:style>
  <w:style w:type="paragraph" w:customStyle="1" w:styleId="186">
    <w:name w:val="default"/>
    <w:basedOn w:val="1"/>
    <w:qFormat/>
    <w:uiPriority w:val="0"/>
    <w:pPr>
      <w:spacing w:line="360" w:lineRule="auto"/>
    </w:pPr>
    <w:rPr>
      <w:rFonts w:ascii="Arial" w:hAnsi="Arial" w:cs="Arial"/>
      <w:sz w:val="20"/>
    </w:rPr>
  </w:style>
  <w:style w:type="paragraph" w:customStyle="1" w:styleId="187">
    <w:name w:val="WPSOffice手动目录 1"/>
    <w:qFormat/>
    <w:uiPriority w:val="0"/>
    <w:pPr>
      <w:ind w:leftChars="0"/>
    </w:pPr>
    <w:rPr>
      <w:rFonts w:ascii="Times New Roman" w:hAnsi="Times New Roman" w:eastAsia="宋体" w:cs="Times New Roman"/>
      <w:sz w:val="20"/>
      <w:szCs w:val="20"/>
    </w:rPr>
  </w:style>
  <w:style w:type="paragraph" w:customStyle="1" w:styleId="188">
    <w:name w:val="WPSOffice手动目录 2"/>
    <w:qFormat/>
    <w:uiPriority w:val="0"/>
    <w:pPr>
      <w:ind w:leftChars="200"/>
    </w:pPr>
    <w:rPr>
      <w:rFonts w:ascii="Times New Roman" w:hAnsi="Times New Roman" w:eastAsia="宋体" w:cs="Times New Roman"/>
      <w:sz w:val="20"/>
      <w:szCs w:val="20"/>
    </w:rPr>
  </w:style>
  <w:style w:type="paragraph" w:customStyle="1" w:styleId="189">
    <w:name w:val="正文格式"/>
    <w:basedOn w:val="1"/>
    <w:qFormat/>
    <w:uiPriority w:val="99"/>
    <w:pPr>
      <w:widowControl/>
      <w:adjustRightInd w:val="0"/>
      <w:snapToGrid w:val="0"/>
      <w:spacing w:line="400" w:lineRule="atLeast"/>
      <w:ind w:firstLine="482"/>
      <w:textAlignment w:val="baseline"/>
    </w:pPr>
    <w:rPr>
      <w:kern w:val="0"/>
      <w:sz w:val="24"/>
    </w:rPr>
  </w:style>
  <w:style w:type="paragraph" w:customStyle="1" w:styleId="190">
    <w:name w:val="Heading #2|1"/>
    <w:basedOn w:val="1"/>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191">
    <w:name w:val="Body text|2"/>
    <w:basedOn w:val="1"/>
    <w:qFormat/>
    <w:uiPriority w:val="0"/>
    <w:pPr>
      <w:spacing w:after="260"/>
      <w:ind w:firstLine="140"/>
    </w:pPr>
    <w:rPr>
      <w:rFonts w:ascii="宋体" w:hAnsi="宋体" w:eastAsia="宋体" w:cs="宋体"/>
      <w:sz w:val="30"/>
      <w:szCs w:val="30"/>
      <w:lang w:val="zh-TW" w:eastAsia="zh-TW" w:bidi="zh-TW"/>
    </w:rPr>
  </w:style>
  <w:style w:type="paragraph" w:customStyle="1" w:styleId="192">
    <w:name w:val="Body text|1"/>
    <w:basedOn w:val="1"/>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paragraph" w:customStyle="1" w:styleId="193">
    <w:name w:val="Other|1"/>
    <w:basedOn w:val="1"/>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character" w:customStyle="1" w:styleId="194">
    <w:name w:val="font51"/>
    <w:basedOn w:val="52"/>
    <w:qFormat/>
    <w:uiPriority w:val="0"/>
    <w:rPr>
      <w:rFonts w:hint="default" w:ascii="Times New Roman" w:hAnsi="Times New Roman" w:cs="Times New Roman"/>
      <w:color w:val="000000"/>
      <w:sz w:val="20"/>
      <w:szCs w:val="20"/>
      <w:u w:val="none"/>
    </w:rPr>
  </w:style>
  <w:style w:type="character" w:customStyle="1" w:styleId="195">
    <w:name w:val="font101"/>
    <w:basedOn w:val="52"/>
    <w:qFormat/>
    <w:uiPriority w:val="0"/>
    <w:rPr>
      <w:rFonts w:ascii="Arial" w:hAnsi="Arial" w:cs="Arial"/>
      <w:color w:val="000000"/>
      <w:sz w:val="16"/>
      <w:szCs w:val="16"/>
      <w:u w:val="none"/>
    </w:rPr>
  </w:style>
  <w:style w:type="character" w:customStyle="1" w:styleId="196">
    <w:name w:val="标题 2 Char1"/>
    <w:link w:val="3"/>
    <w:qFormat/>
    <w:uiPriority w:val="0"/>
    <w:rPr>
      <w:rFonts w:ascii="Arial" w:hAnsi="Arial" w:eastAsia="黑体"/>
      <w:b/>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77</Pages>
  <Words>16439</Words>
  <Characters>17538</Characters>
  <Lines>1</Lines>
  <Paragraphs>1</Paragraphs>
  <TotalTime>3</TotalTime>
  <ScaleCrop>false</ScaleCrop>
  <LinksUpToDate>false</LinksUpToDate>
  <CharactersWithSpaces>17897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2016-10-24T10:33:00Z</dcterms:created>
  <dc:creator>YlmF</dc:creator>
  <cp:lastModifiedBy>年少怎能不多情</cp:lastModifiedBy>
  <cp:lastPrinted>2025-07-17T08:24:00Z</cp:lastPrinted>
  <dcterms:modified xsi:type="dcterms:W3CDTF">2025-07-17T10:51:07Z</dcterms:modified>
  <dc:title>东莞市人民医院书架及档案密集架采购项目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FE3D6C3AC17D4B2DABD57A3E1098BCAD_13</vt:lpwstr>
  </property>
  <property fmtid="{D5CDD505-2E9C-101B-9397-08002B2CF9AE}" pid="4" name="commondata">
    <vt:lpwstr>eyJoZGlkIjoiYjc3ODE2NGUyM2U5YzI2MjI0YWYwMzg3YjFkZjc2YWQifQ==</vt:lpwstr>
  </property>
  <property fmtid="{D5CDD505-2E9C-101B-9397-08002B2CF9AE}" pid="5" name="KSOTemplateDocerSaveRecord">
    <vt:lpwstr>eyJoZGlkIjoiZjllN2QzZTA5MzNmZjNkNThhOWI2MzUzNWU5ZmEwMmUiLCJ1c2VySWQiOiIyOTU1MjA4MzIifQ==</vt:lpwstr>
  </property>
</Properties>
</file>