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05D7F5">
      <w:pPr>
        <w:widowControl/>
        <w:shd w:val="clear" w:color="auto" w:fill="auto"/>
        <w:autoSpaceDE w:val="0"/>
        <w:autoSpaceDN w:val="0"/>
        <w:ind w:right="-26"/>
        <w:jc w:val="both"/>
        <w:textAlignment w:val="bottom"/>
        <w:rPr>
          <w:rFonts w:hint="eastAsia" w:ascii="宋体" w:hAnsi="宋体" w:eastAsia="宋体" w:cs="宋体"/>
          <w:b/>
          <w:color w:val="auto"/>
          <w:kern w:val="0"/>
          <w:sz w:val="52"/>
          <w:szCs w:val="52"/>
          <w:highlight w:val="none"/>
        </w:rPr>
      </w:pPr>
      <w:bookmarkStart w:id="74" w:name="_GoBack"/>
      <w:bookmarkEnd w:id="74"/>
    </w:p>
    <w:p w14:paraId="3F7BF98A">
      <w:pPr>
        <w:pStyle w:val="13"/>
        <w:shd w:val="clear" w:color="auto" w:fill="auto"/>
        <w:ind w:left="0" w:leftChars="0" w:firstLine="0" w:firstLineChars="0"/>
        <w:jc w:val="center"/>
        <w:outlineLvl w:val="0"/>
        <w:rPr>
          <w:rFonts w:hint="eastAsia" w:ascii="宋体" w:hAnsi="宋体" w:eastAsia="宋体" w:cs="宋体"/>
          <w:color w:val="auto"/>
          <w:sz w:val="20"/>
          <w:szCs w:val="18"/>
          <w:highlight w:val="none"/>
          <w:lang w:eastAsia="zh-CN"/>
        </w:rPr>
      </w:pPr>
      <w:r>
        <w:rPr>
          <w:rFonts w:hint="eastAsia" w:ascii="宋体" w:hAnsi="宋体" w:eastAsia="宋体" w:cs="宋体"/>
          <w:b/>
          <w:color w:val="auto"/>
          <w:kern w:val="0"/>
          <w:sz w:val="40"/>
          <w:szCs w:val="40"/>
          <w:highlight w:val="none"/>
          <w:lang w:eastAsia="zh-CN"/>
        </w:rPr>
        <w:t>克州疾病预防控制中心致病菌、新冠基因测序等监测试剂耗材采购项目（一包）</w:t>
      </w:r>
    </w:p>
    <w:p w14:paraId="6158CBF9">
      <w:pPr>
        <w:pStyle w:val="13"/>
        <w:shd w:val="clear" w:color="auto" w:fill="auto"/>
        <w:jc w:val="center"/>
        <w:rPr>
          <w:rFonts w:hint="eastAsia" w:ascii="宋体" w:hAnsi="宋体" w:eastAsia="宋体" w:cs="宋体"/>
          <w:b/>
          <w:color w:val="auto"/>
          <w:kern w:val="0"/>
          <w:sz w:val="40"/>
          <w:szCs w:val="40"/>
          <w:highlight w:val="none"/>
          <w:lang w:val="en-US" w:eastAsia="zh-CN" w:bidi="ar-SA"/>
        </w:rPr>
      </w:pPr>
    </w:p>
    <w:p w14:paraId="0CA14E07">
      <w:pPr>
        <w:pStyle w:val="13"/>
        <w:shd w:val="clear" w:color="auto" w:fill="auto"/>
        <w:jc w:val="center"/>
        <w:rPr>
          <w:rFonts w:hint="default"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项目编号：KZZB-2025103</w:t>
      </w:r>
    </w:p>
    <w:p w14:paraId="2437451F">
      <w:pPr>
        <w:widowControl/>
        <w:shd w:val="clear" w:color="auto" w:fill="auto"/>
        <w:autoSpaceDE w:val="0"/>
        <w:autoSpaceDN w:val="0"/>
        <w:ind w:right="-26"/>
        <w:jc w:val="center"/>
        <w:textAlignment w:val="bottom"/>
        <w:rPr>
          <w:rFonts w:hint="eastAsia" w:ascii="宋体" w:hAnsi="宋体" w:eastAsia="宋体" w:cs="宋体"/>
          <w:b/>
          <w:color w:val="auto"/>
          <w:sz w:val="72"/>
          <w:szCs w:val="72"/>
          <w:highlight w:val="none"/>
        </w:rPr>
      </w:pPr>
    </w:p>
    <w:p w14:paraId="3C6AB1D1">
      <w:pPr>
        <w:widowControl/>
        <w:shd w:val="clear" w:color="auto" w:fill="auto"/>
        <w:autoSpaceDE w:val="0"/>
        <w:autoSpaceDN w:val="0"/>
        <w:ind w:right="-26"/>
        <w:jc w:val="center"/>
        <w:textAlignment w:val="bottom"/>
        <w:outlineLvl w:val="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竞</w:t>
      </w:r>
    </w:p>
    <w:p w14:paraId="44D32447">
      <w:pPr>
        <w:widowControl/>
        <w:shd w:val="clear" w:color="auto" w:fill="auto"/>
        <w:autoSpaceDE w:val="0"/>
        <w:autoSpaceDN w:val="0"/>
        <w:ind w:right="-26"/>
        <w:jc w:val="center"/>
        <w:textAlignment w:val="bottom"/>
        <w:outlineLvl w:val="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争</w:t>
      </w:r>
    </w:p>
    <w:p w14:paraId="262CC575">
      <w:pPr>
        <w:widowControl/>
        <w:shd w:val="clear" w:color="auto" w:fill="auto"/>
        <w:autoSpaceDE w:val="0"/>
        <w:autoSpaceDN w:val="0"/>
        <w:ind w:right="-26"/>
        <w:jc w:val="center"/>
        <w:textAlignment w:val="bottom"/>
        <w:outlineLvl w:val="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性</w:t>
      </w:r>
    </w:p>
    <w:p w14:paraId="2E4CD9C0">
      <w:pPr>
        <w:widowControl/>
        <w:shd w:val="clear" w:color="auto" w:fill="auto"/>
        <w:autoSpaceDE w:val="0"/>
        <w:autoSpaceDN w:val="0"/>
        <w:ind w:right="-26"/>
        <w:jc w:val="center"/>
        <w:textAlignment w:val="bottom"/>
        <w:outlineLvl w:val="0"/>
        <w:rPr>
          <w:rFonts w:hint="eastAsia" w:ascii="宋体" w:hAnsi="宋体" w:eastAsia="宋体" w:cs="宋体"/>
          <w:b/>
          <w:color w:val="auto"/>
          <w:sz w:val="52"/>
          <w:szCs w:val="52"/>
          <w:highlight w:val="none"/>
          <w:lang w:val="en-US" w:eastAsia="zh-CN"/>
        </w:rPr>
      </w:pPr>
      <w:r>
        <w:rPr>
          <w:rFonts w:hint="eastAsia" w:ascii="宋体" w:hAnsi="宋体" w:eastAsia="宋体" w:cs="宋体"/>
          <w:b/>
          <w:color w:val="auto"/>
          <w:sz w:val="52"/>
          <w:szCs w:val="52"/>
          <w:highlight w:val="none"/>
          <w:lang w:val="en-US" w:eastAsia="zh-CN"/>
        </w:rPr>
        <w:t>谈</w:t>
      </w:r>
    </w:p>
    <w:p w14:paraId="5BF399E5">
      <w:pPr>
        <w:widowControl/>
        <w:shd w:val="clear" w:color="auto" w:fill="auto"/>
        <w:autoSpaceDE w:val="0"/>
        <w:autoSpaceDN w:val="0"/>
        <w:ind w:right="-26"/>
        <w:jc w:val="center"/>
        <w:textAlignment w:val="bottom"/>
        <w:outlineLvl w:val="0"/>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52"/>
          <w:szCs w:val="52"/>
          <w:highlight w:val="none"/>
          <w:lang w:val="en-US" w:eastAsia="zh-CN"/>
        </w:rPr>
        <w:t>判</w:t>
      </w:r>
    </w:p>
    <w:p w14:paraId="25240776">
      <w:pPr>
        <w:widowControl/>
        <w:shd w:val="clear" w:color="auto" w:fill="auto"/>
        <w:autoSpaceDE w:val="0"/>
        <w:autoSpaceDN w:val="0"/>
        <w:ind w:right="-26"/>
        <w:jc w:val="center"/>
        <w:textAlignment w:val="bottom"/>
        <w:outlineLvl w:val="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文</w:t>
      </w:r>
    </w:p>
    <w:p w14:paraId="477C5712">
      <w:pPr>
        <w:widowControl/>
        <w:shd w:val="clear" w:color="auto" w:fill="auto"/>
        <w:autoSpaceDE w:val="0"/>
        <w:autoSpaceDN w:val="0"/>
        <w:ind w:right="-26"/>
        <w:jc w:val="center"/>
        <w:textAlignment w:val="bottom"/>
        <w:outlineLvl w:val="0"/>
        <w:rPr>
          <w:rFonts w:hint="eastAsia" w:ascii="宋体" w:hAnsi="宋体" w:eastAsia="宋体" w:cs="宋体"/>
          <w:b/>
          <w:color w:val="auto"/>
          <w:sz w:val="22"/>
          <w:szCs w:val="20"/>
          <w:highlight w:val="none"/>
        </w:rPr>
      </w:pPr>
      <w:r>
        <w:rPr>
          <w:rFonts w:hint="eastAsia" w:ascii="宋体" w:hAnsi="宋体" w:eastAsia="宋体" w:cs="宋体"/>
          <w:b/>
          <w:color w:val="auto"/>
          <w:sz w:val="52"/>
          <w:szCs w:val="52"/>
          <w:highlight w:val="none"/>
        </w:rPr>
        <w:t>件</w:t>
      </w:r>
    </w:p>
    <w:p w14:paraId="2AC7DD6F">
      <w:pPr>
        <w:widowControl/>
        <w:shd w:val="clear" w:color="auto" w:fill="auto"/>
        <w:autoSpaceDE w:val="0"/>
        <w:autoSpaceDN w:val="0"/>
        <w:ind w:right="-26"/>
        <w:textAlignment w:val="bottom"/>
        <w:rPr>
          <w:rFonts w:hint="eastAsia" w:ascii="宋体" w:hAnsi="宋体" w:eastAsia="宋体" w:cs="宋体"/>
          <w:b/>
          <w:color w:val="auto"/>
          <w:sz w:val="32"/>
          <w:highlight w:val="none"/>
        </w:rPr>
      </w:pPr>
    </w:p>
    <w:p w14:paraId="593AE966">
      <w:pPr>
        <w:widowControl/>
        <w:shd w:val="clear" w:color="auto" w:fill="auto"/>
        <w:autoSpaceDE w:val="0"/>
        <w:autoSpaceDN w:val="0"/>
        <w:ind w:right="-26"/>
        <w:textAlignment w:val="bottom"/>
        <w:rPr>
          <w:rFonts w:hint="eastAsia" w:ascii="宋体" w:hAnsi="宋体" w:eastAsia="宋体" w:cs="宋体"/>
          <w:b/>
          <w:color w:val="auto"/>
          <w:sz w:val="32"/>
          <w:highlight w:val="none"/>
        </w:rPr>
      </w:pPr>
    </w:p>
    <w:p w14:paraId="53722439">
      <w:pPr>
        <w:widowControl/>
        <w:shd w:val="clear" w:color="auto" w:fill="auto"/>
        <w:autoSpaceDE w:val="0"/>
        <w:autoSpaceDN w:val="0"/>
        <w:ind w:right="-26" w:firstLine="630" w:firstLineChars="196"/>
        <w:textAlignment w:val="bottom"/>
        <w:rPr>
          <w:rFonts w:hint="eastAsia" w:ascii="宋体" w:hAnsi="宋体" w:eastAsia="宋体" w:cs="宋体"/>
          <w:b/>
          <w:color w:val="auto"/>
          <w:sz w:val="32"/>
          <w:highlight w:val="none"/>
        </w:rPr>
      </w:pPr>
    </w:p>
    <w:p w14:paraId="6487F885">
      <w:pPr>
        <w:widowControl/>
        <w:shd w:val="clear" w:color="auto" w:fill="auto"/>
        <w:autoSpaceDE w:val="0"/>
        <w:autoSpaceDN w:val="0"/>
        <w:ind w:right="-26" w:firstLine="321" w:firstLineChars="100"/>
        <w:textAlignment w:val="bottom"/>
        <w:rPr>
          <w:rFonts w:hint="eastAsia" w:ascii="宋体" w:hAnsi="宋体" w:eastAsia="宋体" w:cs="宋体"/>
          <w:b/>
          <w:color w:val="auto"/>
          <w:sz w:val="28"/>
          <w:szCs w:val="22"/>
          <w:highlight w:val="none"/>
          <w:lang w:val="en-US" w:eastAsia="zh-CN"/>
        </w:rPr>
      </w:pPr>
      <w:r>
        <w:rPr>
          <w:rFonts w:hint="eastAsia" w:ascii="宋体" w:hAnsi="宋体" w:eastAsia="宋体" w:cs="宋体"/>
          <w:b/>
          <w:color w:val="auto"/>
          <w:sz w:val="32"/>
          <w:szCs w:val="24"/>
          <w:highlight w:val="none"/>
          <w:lang w:eastAsia="zh-CN"/>
        </w:rPr>
        <w:t>招 标 人：</w:t>
      </w:r>
      <w:r>
        <w:rPr>
          <w:rFonts w:hint="eastAsia" w:ascii="宋体" w:hAnsi="宋体" w:eastAsia="宋体" w:cs="宋体"/>
          <w:b/>
          <w:color w:val="auto"/>
          <w:sz w:val="28"/>
          <w:szCs w:val="22"/>
          <w:highlight w:val="none"/>
          <w:lang w:eastAsia="zh-CN"/>
        </w:rPr>
        <w:t>克孜勒苏柯尔克孜自治州疾病预防控制中心（盖章）</w:t>
      </w:r>
      <w:r>
        <w:rPr>
          <w:rFonts w:hint="eastAsia" w:ascii="宋体" w:hAnsi="宋体" w:eastAsia="宋体" w:cs="宋体"/>
          <w:b/>
          <w:color w:val="auto"/>
          <w:sz w:val="28"/>
          <w:szCs w:val="22"/>
          <w:highlight w:val="none"/>
          <w:lang w:val="en-US" w:eastAsia="zh-CN"/>
        </w:rPr>
        <w:t xml:space="preserve"> </w:t>
      </w:r>
    </w:p>
    <w:p w14:paraId="607420C4">
      <w:pPr>
        <w:widowControl/>
        <w:shd w:val="clear" w:color="auto" w:fill="auto"/>
        <w:autoSpaceDE w:val="0"/>
        <w:autoSpaceDN w:val="0"/>
        <w:ind w:right="-26" w:firstLine="321" w:firstLineChars="100"/>
        <w:textAlignment w:val="bottom"/>
        <w:rPr>
          <w:rFonts w:hint="eastAsia" w:ascii="宋体" w:hAnsi="宋体" w:eastAsia="宋体" w:cs="宋体"/>
          <w:b/>
          <w:color w:val="auto"/>
          <w:sz w:val="32"/>
          <w:szCs w:val="24"/>
          <w:highlight w:val="none"/>
          <w:lang w:val="en-US" w:eastAsia="zh-CN"/>
        </w:rPr>
      </w:pPr>
    </w:p>
    <w:p w14:paraId="67CE9EE2">
      <w:pPr>
        <w:widowControl/>
        <w:shd w:val="clear" w:color="auto" w:fill="auto"/>
        <w:autoSpaceDE w:val="0"/>
        <w:autoSpaceDN w:val="0"/>
        <w:ind w:right="-26" w:firstLine="321" w:firstLineChars="100"/>
        <w:textAlignment w:val="bottom"/>
        <w:rPr>
          <w:rFonts w:hint="eastAsia" w:ascii="宋体" w:hAnsi="宋体" w:eastAsia="宋体" w:cs="宋体"/>
          <w:b/>
          <w:color w:val="auto"/>
          <w:sz w:val="32"/>
          <w:szCs w:val="24"/>
          <w:highlight w:val="none"/>
          <w:lang w:val="en-US" w:eastAsia="zh-CN"/>
        </w:rPr>
      </w:pPr>
      <w:r>
        <w:rPr>
          <w:rFonts w:hint="eastAsia" w:ascii="宋体" w:hAnsi="宋体" w:eastAsia="宋体" w:cs="宋体"/>
          <w:b/>
          <w:color w:val="auto"/>
          <w:sz w:val="32"/>
          <w:szCs w:val="24"/>
          <w:highlight w:val="none"/>
          <w:lang w:val="en-US" w:eastAsia="zh-CN"/>
        </w:rPr>
        <w:t>联 系 人：艾先生</w:t>
      </w:r>
      <w:r>
        <w:rPr>
          <w:rFonts w:hint="eastAsia" w:ascii="宋体" w:hAnsi="宋体" w:eastAsia="宋体" w:cs="宋体"/>
          <w:b/>
          <w:color w:val="auto"/>
          <w:sz w:val="32"/>
          <w:szCs w:val="24"/>
          <w:highlight w:val="none"/>
          <w:lang w:eastAsia="zh-CN"/>
        </w:rPr>
        <w:t xml:space="preserve"> </w:t>
      </w:r>
      <w:r>
        <w:rPr>
          <w:rFonts w:hint="eastAsia" w:ascii="宋体" w:hAnsi="宋体" w:eastAsia="宋体" w:cs="宋体"/>
          <w:b/>
          <w:color w:val="auto"/>
          <w:sz w:val="32"/>
          <w:szCs w:val="24"/>
          <w:highlight w:val="none"/>
          <w:lang w:val="en-US" w:eastAsia="zh-CN"/>
        </w:rPr>
        <w:t xml:space="preserve">    联系电话：18997696567</w:t>
      </w:r>
    </w:p>
    <w:p w14:paraId="1F712010">
      <w:pPr>
        <w:widowControl/>
        <w:shd w:val="clear" w:color="auto" w:fill="auto"/>
        <w:autoSpaceDE w:val="0"/>
        <w:autoSpaceDN w:val="0"/>
        <w:ind w:right="-26" w:firstLine="321" w:firstLineChars="100"/>
        <w:textAlignment w:val="bottom"/>
        <w:rPr>
          <w:rFonts w:hint="eastAsia" w:ascii="宋体" w:hAnsi="宋体" w:eastAsia="宋体" w:cs="宋体"/>
          <w:b/>
          <w:color w:val="auto"/>
          <w:sz w:val="32"/>
          <w:szCs w:val="24"/>
          <w:highlight w:val="none"/>
          <w:lang w:eastAsia="zh-CN"/>
        </w:rPr>
      </w:pPr>
    </w:p>
    <w:p w14:paraId="7167E877">
      <w:pPr>
        <w:widowControl/>
        <w:shd w:val="clear" w:color="auto" w:fill="auto"/>
        <w:autoSpaceDE w:val="0"/>
        <w:autoSpaceDN w:val="0"/>
        <w:ind w:right="-26" w:firstLine="321" w:firstLineChars="100"/>
        <w:textAlignment w:val="bottom"/>
        <w:rPr>
          <w:rFonts w:hint="eastAsia" w:ascii="宋体" w:hAnsi="宋体" w:eastAsia="宋体" w:cs="宋体"/>
          <w:b/>
          <w:color w:val="auto"/>
          <w:sz w:val="32"/>
          <w:szCs w:val="24"/>
          <w:highlight w:val="none"/>
          <w:lang w:eastAsia="zh-CN"/>
        </w:rPr>
      </w:pPr>
      <w:r>
        <w:rPr>
          <w:rFonts w:hint="eastAsia" w:ascii="宋体" w:hAnsi="宋体" w:eastAsia="宋体" w:cs="宋体"/>
          <w:b/>
          <w:color w:val="auto"/>
          <w:sz w:val="32"/>
          <w:szCs w:val="24"/>
          <w:highlight w:val="none"/>
          <w:lang w:eastAsia="zh-CN"/>
        </w:rPr>
        <w:t>代理机构：新疆泽远工程项目管理有限公司</w:t>
      </w:r>
      <w:r>
        <w:rPr>
          <w:rFonts w:hint="eastAsia" w:ascii="宋体" w:hAnsi="宋体" w:eastAsia="宋体" w:cs="宋体"/>
          <w:b/>
          <w:color w:val="auto"/>
          <w:sz w:val="32"/>
          <w:szCs w:val="24"/>
          <w:highlight w:val="none"/>
          <w:lang w:val="zh-CN" w:eastAsia="zh-CN"/>
        </w:rPr>
        <w:t>（盖章）</w:t>
      </w:r>
    </w:p>
    <w:p w14:paraId="1A79D5E5">
      <w:pPr>
        <w:widowControl/>
        <w:shd w:val="clear" w:color="auto" w:fill="auto"/>
        <w:autoSpaceDE w:val="0"/>
        <w:autoSpaceDN w:val="0"/>
        <w:ind w:right="-26" w:firstLine="321" w:firstLineChars="100"/>
        <w:textAlignment w:val="bottom"/>
        <w:rPr>
          <w:rFonts w:hint="eastAsia" w:ascii="宋体" w:hAnsi="宋体" w:eastAsia="宋体" w:cs="宋体"/>
          <w:b/>
          <w:color w:val="auto"/>
          <w:sz w:val="32"/>
          <w:szCs w:val="24"/>
          <w:highlight w:val="none"/>
          <w:lang w:eastAsia="zh-CN"/>
        </w:rPr>
      </w:pPr>
    </w:p>
    <w:p w14:paraId="31FCEBD1">
      <w:pPr>
        <w:widowControl/>
        <w:shd w:val="clear" w:color="auto" w:fill="auto"/>
        <w:autoSpaceDE w:val="0"/>
        <w:autoSpaceDN w:val="0"/>
        <w:ind w:right="-26" w:firstLine="321" w:firstLineChars="100"/>
        <w:textAlignment w:val="bottom"/>
        <w:rPr>
          <w:rFonts w:hint="eastAsia" w:ascii="宋体" w:hAnsi="宋体" w:eastAsia="宋体" w:cs="宋体"/>
          <w:b/>
          <w:color w:val="auto"/>
          <w:sz w:val="32"/>
          <w:highlight w:val="none"/>
          <w:u w:val="single"/>
        </w:rPr>
        <w:sectPr>
          <w:headerReference r:id="rId5" w:type="first"/>
          <w:footerReference r:id="rId8" w:type="first"/>
          <w:headerReference r:id="rId3" w:type="default"/>
          <w:footerReference r:id="rId6" w:type="default"/>
          <w:headerReference r:id="rId4" w:type="even"/>
          <w:footerReference r:id="rId7" w:type="even"/>
          <w:pgSz w:w="11907" w:h="16840"/>
          <w:pgMar w:top="1401" w:right="1800" w:bottom="1440" w:left="1800" w:header="1007" w:footer="737" w:gutter="0"/>
          <w:pgBorders w:offsetFrom="page">
            <w:top w:val="none" w:sz="0" w:space="0"/>
            <w:left w:val="none" w:sz="0" w:space="0"/>
            <w:bottom w:val="none" w:sz="0" w:space="0"/>
            <w:right w:val="none" w:sz="0" w:space="0"/>
          </w:pgBorders>
          <w:pgNumType w:fmt="decimal" w:start="1"/>
          <w:cols w:space="720" w:num="1"/>
          <w:titlePg/>
          <w:docGrid w:linePitch="312" w:charSpace="0"/>
        </w:sectPr>
      </w:pPr>
      <w:r>
        <w:rPr>
          <w:rFonts w:hint="eastAsia" w:ascii="宋体" w:hAnsi="宋体" w:eastAsia="宋体" w:cs="宋体"/>
          <w:b/>
          <w:color w:val="auto"/>
          <w:sz w:val="32"/>
          <w:szCs w:val="24"/>
          <w:highlight w:val="none"/>
          <w:lang w:eastAsia="zh-CN"/>
        </w:rPr>
        <w:t>联 系 人：张女士</w:t>
      </w:r>
      <w:r>
        <w:rPr>
          <w:rFonts w:hint="eastAsia" w:ascii="宋体" w:hAnsi="宋体" w:eastAsia="宋体" w:cs="宋体"/>
          <w:b/>
          <w:color w:val="auto"/>
          <w:sz w:val="32"/>
          <w:szCs w:val="24"/>
          <w:highlight w:val="none"/>
          <w:lang w:val="en-US" w:eastAsia="zh-CN"/>
        </w:rPr>
        <w:t xml:space="preserve">     </w:t>
      </w:r>
      <w:r>
        <w:rPr>
          <w:rFonts w:hint="eastAsia" w:ascii="宋体" w:hAnsi="宋体" w:eastAsia="宋体" w:cs="宋体"/>
          <w:b/>
          <w:color w:val="auto"/>
          <w:sz w:val="32"/>
          <w:szCs w:val="24"/>
          <w:highlight w:val="none"/>
          <w:lang w:eastAsia="zh-CN"/>
        </w:rPr>
        <w:t xml:space="preserve">联系电话: </w:t>
      </w:r>
      <w:r>
        <w:rPr>
          <w:rFonts w:hint="eastAsia" w:ascii="宋体" w:hAnsi="宋体" w:eastAsia="宋体" w:cs="宋体"/>
          <w:b/>
          <w:color w:val="auto"/>
          <w:sz w:val="32"/>
          <w:szCs w:val="24"/>
          <w:highlight w:val="none"/>
          <w:lang w:val="en-US" w:eastAsia="zh-CN"/>
        </w:rPr>
        <w:t>13179869852</w:t>
      </w:r>
      <w:r>
        <w:rPr>
          <w:rFonts w:hint="eastAsia" w:ascii="宋体" w:hAnsi="宋体" w:eastAsia="宋体" w:cs="宋体"/>
          <w:b/>
          <w:color w:val="auto"/>
          <w:sz w:val="32"/>
          <w:szCs w:val="24"/>
          <w:highlight w:val="none"/>
          <w:lang w:eastAsia="zh-CN"/>
        </w:rPr>
        <w:t xml:space="preserve">     </w:t>
      </w:r>
      <w:r>
        <w:rPr>
          <w:rFonts w:hint="eastAsia" w:ascii="宋体" w:hAnsi="宋体" w:eastAsia="宋体" w:cs="宋体"/>
          <w:b/>
          <w:color w:val="auto"/>
          <w:sz w:val="48"/>
          <w:szCs w:val="48"/>
          <w:highlight w:val="none"/>
        </w:rPr>
        <w:t xml:space="preserve">  </w:t>
      </w:r>
      <w:r>
        <w:rPr>
          <w:rFonts w:hint="eastAsia" w:ascii="宋体" w:hAnsi="宋体" w:eastAsia="宋体" w:cs="宋体"/>
          <w:b/>
          <w:color w:val="auto"/>
          <w:sz w:val="44"/>
          <w:szCs w:val="44"/>
          <w:highlight w:val="none"/>
        </w:rPr>
        <w:t xml:space="preserve">            </w:t>
      </w:r>
    </w:p>
    <w:p w14:paraId="47CEA3F5">
      <w:pPr>
        <w:shd w:val="clear" w:color="auto" w:fill="auto"/>
        <w:jc w:val="center"/>
        <w:rPr>
          <w:rFonts w:hint="eastAsia" w:ascii="宋体" w:hAnsi="宋体" w:eastAsia="宋体" w:cs="宋体"/>
          <w:b/>
          <w:color w:val="auto"/>
          <w:sz w:val="36"/>
          <w:szCs w:val="36"/>
          <w:highlight w:val="none"/>
        </w:rPr>
      </w:pPr>
    </w:p>
    <w:p w14:paraId="5EE86013">
      <w:pPr>
        <w:shd w:val="clear" w:color="auto" w:fill="auto"/>
        <w:jc w:val="center"/>
        <w:rPr>
          <w:rFonts w:hint="eastAsia" w:ascii="宋体" w:hAnsi="宋体" w:eastAsia="宋体" w:cs="宋体"/>
          <w:b/>
          <w:color w:val="auto"/>
          <w:sz w:val="36"/>
          <w:szCs w:val="36"/>
          <w:highlight w:val="none"/>
        </w:rPr>
      </w:pPr>
    </w:p>
    <w:p w14:paraId="558620D5">
      <w:pPr>
        <w:shd w:val="clear" w:color="auto" w:fill="auto"/>
        <w:jc w:val="center"/>
        <w:rPr>
          <w:rFonts w:hint="eastAsia" w:ascii="宋体" w:hAnsi="宋体" w:eastAsia="宋体" w:cs="宋体"/>
          <w:b/>
          <w:color w:val="auto"/>
          <w:sz w:val="36"/>
          <w:szCs w:val="36"/>
          <w:highlight w:val="none"/>
        </w:rPr>
      </w:pPr>
    </w:p>
    <w:p w14:paraId="5451F991">
      <w:pPr>
        <w:shd w:val="clear" w:color="auto" w:fill="auto"/>
        <w:jc w:val="center"/>
        <w:rPr>
          <w:rFonts w:hint="eastAsia" w:ascii="宋体" w:hAnsi="宋体" w:eastAsia="宋体" w:cs="宋体"/>
          <w:b/>
          <w:color w:val="auto"/>
          <w:sz w:val="36"/>
          <w:szCs w:val="36"/>
          <w:highlight w:val="none"/>
        </w:rPr>
      </w:pPr>
    </w:p>
    <w:p w14:paraId="4C6AB88F">
      <w:pPr>
        <w:shd w:val="clear" w:color="auto" w:fill="auto"/>
        <w:jc w:val="center"/>
        <w:rPr>
          <w:rFonts w:hint="eastAsia" w:ascii="宋体" w:hAnsi="宋体" w:eastAsia="宋体" w:cs="宋体"/>
          <w:b/>
          <w:color w:val="auto"/>
          <w:sz w:val="36"/>
          <w:szCs w:val="36"/>
          <w:highlight w:val="none"/>
        </w:rPr>
      </w:pPr>
    </w:p>
    <w:p w14:paraId="697741F3">
      <w:pPr>
        <w:shd w:val="clear" w:color="auto" w:fill="auto"/>
        <w:jc w:val="center"/>
        <w:rPr>
          <w:rFonts w:hint="eastAsia" w:ascii="宋体" w:hAnsi="宋体" w:eastAsia="宋体" w:cs="宋体"/>
          <w:b/>
          <w:color w:val="auto"/>
          <w:sz w:val="36"/>
          <w:szCs w:val="36"/>
          <w:highlight w:val="none"/>
        </w:rPr>
      </w:pPr>
    </w:p>
    <w:p w14:paraId="6E48D24E">
      <w:pPr>
        <w:shd w:val="clear" w:color="auto" w:fill="auto"/>
        <w:jc w:val="center"/>
        <w:rPr>
          <w:rFonts w:hint="eastAsia" w:ascii="宋体" w:hAnsi="宋体" w:eastAsia="宋体" w:cs="宋体"/>
          <w:b/>
          <w:color w:val="auto"/>
          <w:sz w:val="36"/>
          <w:szCs w:val="36"/>
          <w:highlight w:val="none"/>
        </w:rPr>
      </w:pPr>
    </w:p>
    <w:p w14:paraId="04B85FC1">
      <w:pPr>
        <w:shd w:val="clear" w:color="auto" w:fill="auto"/>
        <w:jc w:val="center"/>
        <w:rPr>
          <w:rFonts w:hint="eastAsia" w:ascii="宋体" w:hAnsi="宋体" w:eastAsia="宋体" w:cs="宋体"/>
          <w:b/>
          <w:color w:val="auto"/>
          <w:sz w:val="36"/>
          <w:szCs w:val="36"/>
          <w:highlight w:val="none"/>
        </w:rPr>
      </w:pPr>
    </w:p>
    <w:p w14:paraId="689B8864">
      <w:pPr>
        <w:shd w:val="clear" w:color="auto" w:fill="auto"/>
        <w:jc w:val="center"/>
        <w:rPr>
          <w:rFonts w:hint="eastAsia" w:ascii="宋体" w:hAnsi="宋体" w:eastAsia="宋体" w:cs="宋体"/>
          <w:b/>
          <w:color w:val="auto"/>
          <w:sz w:val="36"/>
          <w:szCs w:val="36"/>
          <w:highlight w:val="none"/>
        </w:rPr>
      </w:pPr>
    </w:p>
    <w:p w14:paraId="6E9F46DF">
      <w:pPr>
        <w:shd w:val="clear" w:color="auto" w:fill="auto"/>
        <w:jc w:val="center"/>
        <w:rPr>
          <w:rFonts w:hint="eastAsia" w:ascii="宋体" w:hAnsi="宋体" w:eastAsia="宋体" w:cs="宋体"/>
          <w:b/>
          <w:color w:val="auto"/>
          <w:sz w:val="36"/>
          <w:szCs w:val="36"/>
          <w:highlight w:val="none"/>
        </w:rPr>
      </w:pPr>
    </w:p>
    <w:p w14:paraId="1B68EF7A">
      <w:pPr>
        <w:shd w:val="clear" w:color="auto" w:fill="auto"/>
        <w:jc w:val="center"/>
        <w:rPr>
          <w:rFonts w:hint="eastAsia" w:ascii="宋体" w:hAnsi="宋体" w:eastAsia="宋体" w:cs="宋体"/>
          <w:b/>
          <w:color w:val="auto"/>
          <w:sz w:val="36"/>
          <w:szCs w:val="36"/>
          <w:highlight w:val="none"/>
        </w:rPr>
      </w:pPr>
    </w:p>
    <w:p w14:paraId="4445C59B">
      <w:pPr>
        <w:shd w:val="clear" w:color="auto" w:fill="auto"/>
        <w:jc w:val="center"/>
        <w:rPr>
          <w:rFonts w:hint="eastAsia" w:ascii="宋体" w:hAnsi="宋体" w:eastAsia="宋体" w:cs="宋体"/>
          <w:b/>
          <w:color w:val="auto"/>
          <w:sz w:val="36"/>
          <w:szCs w:val="36"/>
          <w:highlight w:val="none"/>
        </w:rPr>
      </w:pPr>
    </w:p>
    <w:p w14:paraId="7280D171">
      <w:pPr>
        <w:shd w:val="clear" w:color="auto" w:fill="auto"/>
        <w:jc w:val="center"/>
        <w:rPr>
          <w:rFonts w:hint="eastAsia" w:ascii="宋体" w:hAnsi="宋体" w:eastAsia="宋体" w:cs="宋体"/>
          <w:b/>
          <w:color w:val="auto"/>
          <w:sz w:val="36"/>
          <w:szCs w:val="36"/>
          <w:highlight w:val="none"/>
        </w:rPr>
      </w:pPr>
    </w:p>
    <w:p w14:paraId="3D6E4A61">
      <w:pPr>
        <w:shd w:val="clear" w:color="auto" w:fill="auto"/>
        <w:jc w:val="center"/>
        <w:rPr>
          <w:rFonts w:hint="eastAsia" w:ascii="宋体" w:hAnsi="宋体" w:eastAsia="宋体" w:cs="宋体"/>
          <w:b/>
          <w:color w:val="auto"/>
          <w:sz w:val="36"/>
          <w:szCs w:val="36"/>
          <w:highlight w:val="none"/>
        </w:rPr>
      </w:pPr>
    </w:p>
    <w:p w14:paraId="50375EA4">
      <w:pPr>
        <w:shd w:val="clear" w:color="auto" w:fill="auto"/>
        <w:jc w:val="center"/>
        <w:rPr>
          <w:rFonts w:hint="eastAsia" w:ascii="宋体" w:hAnsi="宋体" w:eastAsia="宋体" w:cs="宋体"/>
          <w:b/>
          <w:color w:val="auto"/>
          <w:sz w:val="36"/>
          <w:szCs w:val="36"/>
          <w:highlight w:val="none"/>
        </w:rPr>
      </w:pPr>
    </w:p>
    <w:p w14:paraId="00334C37">
      <w:pPr>
        <w:shd w:val="clear" w:color="auto" w:fill="auto"/>
        <w:jc w:val="center"/>
        <w:rPr>
          <w:rFonts w:hint="eastAsia" w:ascii="宋体" w:hAnsi="宋体" w:eastAsia="宋体" w:cs="宋体"/>
          <w:b/>
          <w:color w:val="auto"/>
          <w:sz w:val="36"/>
          <w:szCs w:val="36"/>
          <w:highlight w:val="none"/>
        </w:rPr>
      </w:pPr>
    </w:p>
    <w:p w14:paraId="6E394EC1">
      <w:pPr>
        <w:shd w:val="clear" w:color="auto" w:fill="auto"/>
        <w:jc w:val="center"/>
        <w:rPr>
          <w:rFonts w:hint="eastAsia" w:ascii="宋体" w:hAnsi="宋体" w:eastAsia="宋体" w:cs="宋体"/>
          <w:b/>
          <w:color w:val="auto"/>
          <w:sz w:val="36"/>
          <w:szCs w:val="36"/>
          <w:highlight w:val="none"/>
        </w:rPr>
      </w:pPr>
    </w:p>
    <w:p w14:paraId="01AC08EE">
      <w:pPr>
        <w:shd w:val="clear" w:color="auto" w:fill="auto"/>
        <w:jc w:val="center"/>
        <w:rPr>
          <w:rFonts w:hint="eastAsia" w:ascii="宋体" w:hAnsi="宋体" w:eastAsia="宋体" w:cs="宋体"/>
          <w:b/>
          <w:color w:val="auto"/>
          <w:sz w:val="36"/>
          <w:szCs w:val="36"/>
          <w:highlight w:val="none"/>
        </w:rPr>
      </w:pPr>
    </w:p>
    <w:p w14:paraId="3793D82A">
      <w:pPr>
        <w:shd w:val="clear" w:color="auto" w:fill="auto"/>
        <w:jc w:val="center"/>
        <w:rPr>
          <w:rFonts w:hint="eastAsia" w:ascii="宋体" w:hAnsi="宋体" w:eastAsia="宋体" w:cs="宋体"/>
          <w:b/>
          <w:color w:val="auto"/>
          <w:sz w:val="36"/>
          <w:szCs w:val="36"/>
          <w:highlight w:val="none"/>
        </w:rPr>
      </w:pPr>
    </w:p>
    <w:p w14:paraId="03C4636B">
      <w:pPr>
        <w:shd w:val="clear" w:color="auto" w:fill="auto"/>
        <w:jc w:val="center"/>
        <w:rPr>
          <w:rFonts w:hint="eastAsia" w:ascii="宋体" w:hAnsi="宋体" w:eastAsia="宋体" w:cs="宋体"/>
          <w:b/>
          <w:color w:val="auto"/>
          <w:sz w:val="36"/>
          <w:szCs w:val="36"/>
          <w:highlight w:val="none"/>
        </w:rPr>
      </w:pPr>
    </w:p>
    <w:p w14:paraId="6C331B88">
      <w:pPr>
        <w:shd w:val="clear" w:color="auto" w:fill="auto"/>
        <w:jc w:val="center"/>
        <w:rPr>
          <w:rFonts w:hint="eastAsia" w:ascii="宋体" w:hAnsi="宋体" w:eastAsia="宋体" w:cs="宋体"/>
          <w:b/>
          <w:color w:val="auto"/>
          <w:sz w:val="36"/>
          <w:szCs w:val="36"/>
          <w:highlight w:val="none"/>
        </w:rPr>
      </w:pPr>
    </w:p>
    <w:p w14:paraId="6141A3E8">
      <w:pPr>
        <w:shd w:val="clear" w:color="auto" w:fill="auto"/>
        <w:jc w:val="center"/>
        <w:rPr>
          <w:rFonts w:hint="eastAsia" w:ascii="宋体" w:hAnsi="宋体" w:eastAsia="宋体" w:cs="宋体"/>
          <w:b/>
          <w:color w:val="auto"/>
          <w:sz w:val="36"/>
          <w:szCs w:val="36"/>
          <w:highlight w:val="none"/>
        </w:rPr>
      </w:pPr>
    </w:p>
    <w:p w14:paraId="53E07EE9">
      <w:pPr>
        <w:shd w:val="clear" w:color="auto" w:fill="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招投标监督管理机构备案登记栏</w:t>
      </w:r>
      <w:bookmarkStart w:id="0" w:name="_Hlt10524010"/>
      <w:bookmarkEnd w:id="0"/>
      <w:bookmarkStart w:id="1" w:name="_Hlt10529670"/>
      <w:bookmarkEnd w:id="1"/>
      <w:bookmarkStart w:id="2" w:name="_Hlt42956360"/>
      <w:bookmarkEnd w:id="2"/>
      <w:bookmarkStart w:id="3" w:name="_Hlt10462525"/>
      <w:bookmarkEnd w:id="3"/>
      <w:bookmarkStart w:id="4" w:name="_Hlt10524018"/>
      <w:bookmarkEnd w:id="4"/>
      <w:bookmarkStart w:id="5" w:name="_Hlt10524029"/>
      <w:bookmarkEnd w:id="5"/>
      <w:bookmarkStart w:id="6" w:name="_Hlt42956379"/>
      <w:bookmarkEnd w:id="6"/>
      <w:bookmarkStart w:id="7" w:name="_Hlt10519329"/>
      <w:bookmarkEnd w:id="7"/>
      <w:bookmarkStart w:id="8" w:name="_Hlt10567911"/>
      <w:bookmarkEnd w:id="8"/>
      <w:bookmarkStart w:id="9" w:name="_Hlt10523642"/>
      <w:bookmarkEnd w:id="9"/>
    </w:p>
    <w:tbl>
      <w:tblPr>
        <w:tblStyle w:val="50"/>
        <w:tblpPr w:leftFromText="180" w:rightFromText="180" w:vertAnchor="text" w:horzAnchor="page" w:tblpXSpec="center" w:tblpY="1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09C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0" w:hRule="atLeast"/>
          <w:jc w:val="center"/>
        </w:trPr>
        <w:tc>
          <w:tcPr>
            <w:tcW w:w="9080" w:type="dxa"/>
            <w:noWrap w:val="0"/>
            <w:vAlign w:val="top"/>
          </w:tcPr>
          <w:p w14:paraId="443F8DC1">
            <w:pPr>
              <w:shd w:val="clear" w:color="auto" w:fill="auto"/>
              <w:tabs>
                <w:tab w:val="left" w:pos="318"/>
                <w:tab w:val="center" w:pos="4745"/>
              </w:tabs>
              <w:autoSpaceDE w:val="0"/>
              <w:autoSpaceDN w:val="0"/>
              <w:rPr>
                <w:rFonts w:hint="eastAsia" w:ascii="宋体" w:hAnsi="宋体" w:eastAsia="宋体" w:cs="宋体"/>
                <w:color w:val="auto"/>
                <w:sz w:val="32"/>
                <w:szCs w:val="28"/>
                <w:highlight w:val="none"/>
              </w:rPr>
            </w:pPr>
          </w:p>
          <w:p w14:paraId="5DE91EE0">
            <w:pPr>
              <w:shd w:val="clear" w:color="auto" w:fill="auto"/>
              <w:tabs>
                <w:tab w:val="left" w:pos="318"/>
                <w:tab w:val="center" w:pos="4745"/>
              </w:tabs>
              <w:autoSpaceDE w:val="0"/>
              <w:autoSpaceDN w:val="0"/>
              <w:rPr>
                <w:rFonts w:hint="eastAsia" w:ascii="宋体" w:hAnsi="宋体" w:eastAsia="宋体" w:cs="宋体"/>
                <w:color w:val="auto"/>
                <w:sz w:val="28"/>
                <w:szCs w:val="24"/>
                <w:highlight w:val="none"/>
                <w:lang w:val="en-US" w:eastAsia="zh-CN"/>
              </w:rPr>
            </w:pPr>
            <w:r>
              <w:rPr>
                <w:rFonts w:hint="eastAsia" w:ascii="宋体" w:hAnsi="宋体" w:eastAsia="宋体" w:cs="宋体"/>
                <w:color w:val="auto"/>
                <w:sz w:val="32"/>
                <w:szCs w:val="28"/>
                <w:highlight w:val="none"/>
              </w:rPr>
              <w:t>采</w:t>
            </w:r>
            <w:r>
              <w:rPr>
                <w:rFonts w:hint="eastAsia" w:ascii="宋体" w:hAnsi="宋体" w:eastAsia="宋体" w:cs="宋体"/>
                <w:color w:val="auto"/>
                <w:sz w:val="28"/>
                <w:szCs w:val="24"/>
                <w:highlight w:val="none"/>
              </w:rPr>
              <w:t>购单位：</w:t>
            </w:r>
            <w:r>
              <w:rPr>
                <w:rFonts w:hint="eastAsia" w:ascii="宋体" w:hAnsi="宋体" w:eastAsia="宋体" w:cs="宋体"/>
                <w:color w:val="auto"/>
                <w:sz w:val="28"/>
                <w:szCs w:val="24"/>
                <w:highlight w:val="none"/>
                <w:lang w:eastAsia="zh-CN"/>
              </w:rPr>
              <w:t>克孜勒苏柯尔克孜自治州疾病预防控制中心</w:t>
            </w:r>
            <w:r>
              <w:rPr>
                <w:rFonts w:hint="eastAsia" w:ascii="宋体" w:hAnsi="宋体" w:eastAsia="宋体" w:cs="宋体"/>
                <w:color w:val="auto"/>
                <w:sz w:val="28"/>
                <w:szCs w:val="24"/>
                <w:highlight w:val="none"/>
                <w:lang w:val="en-US" w:eastAsia="zh-CN"/>
              </w:rPr>
              <w:t>（盖章）</w:t>
            </w:r>
          </w:p>
          <w:p w14:paraId="7D6E05F3">
            <w:pPr>
              <w:shd w:val="clear" w:color="auto" w:fill="auto"/>
              <w:spacing w:line="720" w:lineRule="auto"/>
              <w:rPr>
                <w:rFonts w:hint="eastAsia" w:ascii="宋体" w:hAnsi="宋体" w:eastAsia="宋体" w:cs="宋体"/>
                <w:b/>
                <w:color w:val="auto"/>
                <w:kern w:val="0"/>
                <w:sz w:val="48"/>
                <w:szCs w:val="48"/>
                <w:highlight w:val="none"/>
              </w:rPr>
            </w:pPr>
          </w:p>
          <w:p w14:paraId="7A4B52EC">
            <w:pPr>
              <w:pStyle w:val="38"/>
              <w:rPr>
                <w:rFonts w:hint="eastAsia" w:ascii="宋体" w:hAnsi="宋体" w:eastAsia="宋体" w:cs="宋体"/>
                <w:b/>
                <w:color w:val="auto"/>
                <w:kern w:val="0"/>
                <w:sz w:val="48"/>
                <w:szCs w:val="48"/>
                <w:highlight w:val="none"/>
              </w:rPr>
            </w:pPr>
          </w:p>
          <w:p w14:paraId="3FE72105">
            <w:pPr>
              <w:rPr>
                <w:rFonts w:hint="eastAsia"/>
                <w:sz w:val="20"/>
                <w:szCs w:val="22"/>
              </w:rPr>
            </w:pPr>
          </w:p>
          <w:p w14:paraId="2B18A3F7">
            <w:pPr>
              <w:shd w:val="clear" w:color="auto" w:fill="auto"/>
              <w:tabs>
                <w:tab w:val="left" w:pos="318"/>
                <w:tab w:val="center" w:pos="4745"/>
              </w:tabs>
              <w:autoSpaceDE w:val="0"/>
              <w:autoSpaceDN w:val="0"/>
              <w:ind w:left="2240" w:hanging="1960" w:hangingChars="700"/>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rPr>
              <w:t>采购项目名称：</w:t>
            </w:r>
            <w:r>
              <w:rPr>
                <w:rFonts w:hint="eastAsia" w:ascii="宋体" w:hAnsi="宋体" w:eastAsia="宋体" w:cs="宋体"/>
                <w:color w:val="auto"/>
                <w:sz w:val="28"/>
                <w:szCs w:val="24"/>
                <w:highlight w:val="none"/>
                <w:lang w:eastAsia="zh-CN"/>
              </w:rPr>
              <w:t>克州疾病预防控制中心致病菌、新冠基因测序等监测试剂耗材采购项目（一包）</w:t>
            </w:r>
          </w:p>
          <w:p w14:paraId="36E4E231">
            <w:pPr>
              <w:shd w:val="clear" w:color="auto" w:fill="auto"/>
              <w:tabs>
                <w:tab w:val="left" w:pos="318"/>
                <w:tab w:val="center" w:pos="4745"/>
              </w:tabs>
              <w:autoSpaceDE w:val="0"/>
              <w:autoSpaceDN w:val="0"/>
              <w:rPr>
                <w:rFonts w:hint="eastAsia" w:ascii="宋体" w:hAnsi="宋体" w:eastAsia="宋体" w:cs="宋体"/>
                <w:color w:val="auto"/>
                <w:sz w:val="28"/>
                <w:szCs w:val="24"/>
                <w:highlight w:val="none"/>
              </w:rPr>
            </w:pPr>
          </w:p>
          <w:p w14:paraId="681B166B">
            <w:pPr>
              <w:shd w:val="clear" w:color="auto" w:fill="auto"/>
              <w:tabs>
                <w:tab w:val="left" w:pos="318"/>
                <w:tab w:val="center" w:pos="4745"/>
              </w:tabs>
              <w:autoSpaceDE w:val="0"/>
              <w:autoSpaceDN w:val="0"/>
              <w:rPr>
                <w:rFonts w:hint="eastAsia" w:ascii="宋体" w:hAnsi="宋体" w:eastAsia="宋体" w:cs="宋体"/>
                <w:color w:val="auto"/>
                <w:sz w:val="28"/>
                <w:szCs w:val="24"/>
                <w:highlight w:val="none"/>
              </w:rPr>
            </w:pPr>
          </w:p>
          <w:p w14:paraId="569B8A3C">
            <w:pPr>
              <w:shd w:val="clear" w:color="auto" w:fill="auto"/>
              <w:tabs>
                <w:tab w:val="left" w:pos="318"/>
                <w:tab w:val="center" w:pos="4745"/>
              </w:tabs>
              <w:autoSpaceDE w:val="0"/>
              <w:autoSpaceDN w:val="0"/>
              <w:rPr>
                <w:rFonts w:hint="eastAsia" w:ascii="宋体" w:hAnsi="宋体" w:eastAsia="宋体" w:cs="宋体"/>
                <w:color w:val="auto"/>
                <w:sz w:val="28"/>
                <w:szCs w:val="24"/>
                <w:highlight w:val="none"/>
              </w:rPr>
            </w:pPr>
          </w:p>
          <w:p w14:paraId="129A402B">
            <w:pPr>
              <w:shd w:val="clear" w:color="auto" w:fill="auto"/>
              <w:tabs>
                <w:tab w:val="left" w:pos="318"/>
                <w:tab w:val="center" w:pos="4745"/>
              </w:tabs>
              <w:autoSpaceDE w:val="0"/>
              <w:autoSpaceDN w:val="0"/>
              <w:rPr>
                <w:rFonts w:hint="eastAsia" w:ascii="宋体" w:hAnsi="宋体" w:eastAsia="宋体" w:cs="宋体"/>
                <w:color w:val="auto"/>
                <w:sz w:val="28"/>
                <w:szCs w:val="24"/>
                <w:highlight w:val="none"/>
              </w:rPr>
            </w:pPr>
          </w:p>
          <w:p w14:paraId="12D8B649">
            <w:pPr>
              <w:shd w:val="clear" w:color="auto" w:fill="auto"/>
              <w:tabs>
                <w:tab w:val="left" w:pos="318"/>
                <w:tab w:val="center" w:pos="4745"/>
              </w:tabs>
              <w:autoSpaceDE w:val="0"/>
              <w:autoSpaceDN w:val="0"/>
              <w:rPr>
                <w:rFonts w:hint="eastAsia" w:ascii="宋体" w:hAnsi="宋体" w:eastAsia="宋体" w:cs="宋体"/>
                <w:color w:val="auto"/>
                <w:sz w:val="28"/>
                <w:szCs w:val="24"/>
                <w:highlight w:val="none"/>
              </w:rPr>
            </w:pPr>
          </w:p>
          <w:p w14:paraId="1C715347">
            <w:pPr>
              <w:shd w:val="clear" w:color="auto" w:fill="auto"/>
              <w:tabs>
                <w:tab w:val="left" w:pos="318"/>
                <w:tab w:val="center" w:pos="4745"/>
              </w:tabs>
              <w:autoSpaceDE w:val="0"/>
              <w:autoSpaceDN w:val="0"/>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rPr>
              <w:t>代理机构：</w:t>
            </w:r>
            <w:r>
              <w:rPr>
                <w:rFonts w:hint="eastAsia" w:ascii="宋体" w:hAnsi="宋体" w:eastAsia="宋体" w:cs="宋体"/>
                <w:color w:val="auto"/>
                <w:sz w:val="28"/>
                <w:szCs w:val="24"/>
                <w:highlight w:val="none"/>
                <w:lang w:eastAsia="zh-CN"/>
              </w:rPr>
              <w:t>新疆泽远工程项目管理有限公司（盖章）</w:t>
            </w:r>
          </w:p>
          <w:p w14:paraId="549B0D45">
            <w:pPr>
              <w:shd w:val="clear" w:color="auto" w:fill="auto"/>
              <w:spacing w:line="720" w:lineRule="auto"/>
              <w:rPr>
                <w:rFonts w:hint="eastAsia" w:ascii="宋体" w:hAnsi="宋体" w:eastAsia="宋体" w:cs="宋体"/>
                <w:color w:val="auto"/>
                <w:sz w:val="32"/>
                <w:szCs w:val="28"/>
                <w:highlight w:val="none"/>
              </w:rPr>
            </w:pPr>
          </w:p>
          <w:p w14:paraId="5B7720B4">
            <w:pPr>
              <w:shd w:val="clear" w:color="auto" w:fill="auto"/>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4483A0E0">
            <w:pPr>
              <w:shd w:val="clear" w:color="auto" w:fill="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本采购招标文件已报备</w:t>
            </w:r>
          </w:p>
          <w:p w14:paraId="41B6CC4D">
            <w:pPr>
              <w:shd w:val="clear" w:color="auto" w:fill="auto"/>
              <w:jc w:val="center"/>
              <w:rPr>
                <w:rFonts w:hint="eastAsia" w:ascii="宋体" w:hAnsi="宋体" w:eastAsia="宋体" w:cs="宋体"/>
                <w:b/>
                <w:color w:val="auto"/>
                <w:sz w:val="32"/>
                <w:szCs w:val="32"/>
                <w:highlight w:val="none"/>
              </w:rPr>
            </w:pPr>
          </w:p>
          <w:p w14:paraId="7D1DDABE">
            <w:pPr>
              <w:shd w:val="clear" w:color="auto" w:fill="auto"/>
              <w:ind w:firstLine="2240" w:firstLineChars="800"/>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 xml:space="preserve">         </w:t>
            </w:r>
          </w:p>
          <w:p w14:paraId="26217B58">
            <w:pPr>
              <w:shd w:val="clear" w:color="auto" w:fill="auto"/>
              <w:ind w:firstLine="2400" w:firstLineChars="750"/>
              <w:rPr>
                <w:rFonts w:hint="eastAsia" w:ascii="宋体" w:hAnsi="宋体" w:eastAsia="宋体" w:cs="宋体"/>
                <w:color w:val="auto"/>
                <w:sz w:val="32"/>
                <w:szCs w:val="32"/>
                <w:highlight w:val="none"/>
              </w:rPr>
            </w:pPr>
          </w:p>
        </w:tc>
      </w:tr>
    </w:tbl>
    <w:p w14:paraId="5A77A3AB">
      <w:pPr>
        <w:shd w:val="clear" w:color="auto" w:fill="auto"/>
        <w:spacing w:line="340" w:lineRule="exact"/>
        <w:jc w:val="both"/>
        <w:rPr>
          <w:rFonts w:hint="eastAsia" w:ascii="宋体" w:hAnsi="宋体" w:eastAsia="宋体" w:cs="宋体"/>
          <w:b/>
          <w:color w:val="auto"/>
          <w:sz w:val="28"/>
          <w:szCs w:val="28"/>
          <w:highlight w:val="none"/>
        </w:rPr>
      </w:pPr>
    </w:p>
    <w:p w14:paraId="3185C585">
      <w:pPr>
        <w:shd w:val="clear" w:color="auto" w:fill="auto"/>
        <w:spacing w:line="340" w:lineRule="exact"/>
        <w:rPr>
          <w:rFonts w:hint="eastAsia" w:ascii="宋体" w:hAnsi="宋体" w:eastAsia="宋体" w:cs="宋体"/>
          <w:b/>
          <w:color w:val="auto"/>
          <w:sz w:val="30"/>
          <w:szCs w:val="30"/>
          <w:highlight w:val="none"/>
        </w:rPr>
      </w:pPr>
    </w:p>
    <w:p w14:paraId="414A56B5">
      <w:pPr>
        <w:shd w:val="clear" w:color="auto" w:fill="auto"/>
        <w:rPr>
          <w:rFonts w:hint="eastAsia" w:ascii="宋体" w:hAnsi="宋体" w:eastAsia="宋体" w:cs="宋体"/>
          <w:color w:val="auto"/>
          <w:highlight w:val="none"/>
        </w:rPr>
      </w:pPr>
    </w:p>
    <w:p w14:paraId="22A10F15">
      <w:pPr>
        <w:pStyle w:val="13"/>
        <w:shd w:val="clear" w:color="auto" w:fill="auto"/>
        <w:rPr>
          <w:rFonts w:hint="eastAsia" w:ascii="宋体" w:hAnsi="宋体" w:eastAsia="宋体" w:cs="宋体"/>
          <w:color w:val="auto"/>
          <w:highlight w:val="none"/>
        </w:rPr>
      </w:pPr>
    </w:p>
    <w:p w14:paraId="6FBD5C1C">
      <w:pPr>
        <w:shd w:val="clear" w:color="auto" w:fill="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目    录</w:t>
      </w:r>
    </w:p>
    <w:p w14:paraId="68C66914">
      <w:pPr>
        <w:shd w:val="clear" w:color="auto" w:fill="auto"/>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129D7F7D">
      <w:pPr>
        <w:pStyle w:val="188"/>
        <w:shd w:val="clear" w:color="auto" w:fill="auto"/>
        <w:tabs>
          <w:tab w:val="right" w:leader="dot" w:pos="8620"/>
        </w:tabs>
        <w:rPr>
          <w:rFonts w:hint="eastAsia" w:ascii="宋体" w:hAnsi="宋体" w:eastAsia="宋体" w:cs="宋体"/>
          <w:b/>
          <w:color w:val="auto"/>
          <w:highlight w:val="none"/>
        </w:rPr>
      </w:pPr>
      <w:r>
        <w:rPr>
          <w:rFonts w:hint="eastAsia" w:ascii="宋体" w:hAnsi="宋体" w:eastAsia="宋体" w:cs="宋体"/>
          <w:b/>
          <w:color w:val="auto"/>
          <w:sz w:val="52"/>
          <w:szCs w:val="52"/>
          <w:highlight w:val="none"/>
        </w:rPr>
        <w:fldChar w:fldCharType="begin"/>
      </w:r>
      <w:r>
        <w:rPr>
          <w:rFonts w:hint="eastAsia" w:ascii="宋体" w:hAnsi="宋体" w:eastAsia="宋体" w:cs="宋体"/>
          <w:b/>
          <w:color w:val="auto"/>
          <w:sz w:val="52"/>
          <w:szCs w:val="52"/>
          <w:highlight w:val="none"/>
        </w:rPr>
        <w:instrText xml:space="preserve">TOC \o "1-2" \h \u </w:instrText>
      </w:r>
      <w:r>
        <w:rPr>
          <w:rFonts w:hint="eastAsia" w:ascii="宋体" w:hAnsi="宋体" w:eastAsia="宋体" w:cs="宋体"/>
          <w:b/>
          <w:color w:val="auto"/>
          <w:sz w:val="52"/>
          <w:szCs w:val="52"/>
          <w:highlight w:val="none"/>
        </w:rPr>
        <w:fldChar w:fldCharType="separate"/>
      </w:r>
      <w:r>
        <w:rPr>
          <w:rFonts w:hint="eastAsia" w:ascii="宋体" w:hAnsi="宋体" w:eastAsia="宋体" w:cs="宋体"/>
          <w:b/>
          <w:color w:val="auto"/>
          <w:szCs w:val="52"/>
          <w:highlight w:val="none"/>
        </w:rPr>
        <w:fldChar w:fldCharType="begin"/>
      </w:r>
      <w:r>
        <w:rPr>
          <w:rFonts w:hint="eastAsia" w:ascii="宋体" w:hAnsi="宋体" w:eastAsia="宋体" w:cs="宋体"/>
          <w:b/>
          <w:color w:val="auto"/>
          <w:szCs w:val="52"/>
          <w:highlight w:val="none"/>
        </w:rPr>
        <w:instrText xml:space="preserve"> HYPERLINK \l _Toc14725 </w:instrText>
      </w:r>
      <w:r>
        <w:rPr>
          <w:rFonts w:hint="eastAsia" w:ascii="宋体" w:hAnsi="宋体" w:eastAsia="宋体" w:cs="宋体"/>
          <w:b/>
          <w:color w:val="auto"/>
          <w:szCs w:val="52"/>
          <w:highlight w:val="none"/>
        </w:rPr>
        <w:fldChar w:fldCharType="separate"/>
      </w:r>
      <w:r>
        <w:rPr>
          <w:rFonts w:hint="eastAsia" w:ascii="宋体" w:hAnsi="宋体" w:eastAsia="宋体" w:cs="宋体"/>
          <w:b/>
          <w:color w:val="auto"/>
          <w:highlight w:val="none"/>
        </w:rPr>
        <w:t>第一章</w:t>
      </w:r>
      <w:r>
        <w:rPr>
          <w:rFonts w:hint="eastAsia" w:ascii="宋体" w:hAnsi="宋体" w:eastAsia="宋体" w:cs="宋体"/>
          <w:b/>
          <w:color w:val="auto"/>
          <w:highlight w:val="none"/>
          <w:lang w:val="en-US" w:eastAsia="zh-CN"/>
        </w:rPr>
        <w:t xml:space="preserve">  竞争性谈判公告</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_Toc14725 \h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5</w:t>
      </w:r>
      <w:r>
        <w:rPr>
          <w:rFonts w:hint="eastAsia" w:ascii="宋体" w:hAnsi="宋体" w:eastAsia="宋体" w:cs="宋体"/>
          <w:b/>
          <w:color w:val="auto"/>
          <w:highlight w:val="none"/>
        </w:rPr>
        <w:fldChar w:fldCharType="end"/>
      </w:r>
      <w:r>
        <w:rPr>
          <w:rFonts w:hint="eastAsia" w:ascii="宋体" w:hAnsi="宋体" w:eastAsia="宋体" w:cs="宋体"/>
          <w:b/>
          <w:color w:val="auto"/>
          <w:szCs w:val="52"/>
          <w:highlight w:val="none"/>
        </w:rPr>
        <w:fldChar w:fldCharType="end"/>
      </w:r>
    </w:p>
    <w:p w14:paraId="565C37C1">
      <w:pPr>
        <w:pStyle w:val="188"/>
        <w:shd w:val="clear" w:color="auto" w:fill="auto"/>
        <w:tabs>
          <w:tab w:val="right" w:leader="dot" w:pos="8620"/>
        </w:tabs>
        <w:rPr>
          <w:rFonts w:hint="eastAsia" w:ascii="宋体" w:hAnsi="宋体" w:eastAsia="宋体" w:cs="宋体"/>
          <w:b/>
          <w:color w:val="auto"/>
          <w:szCs w:val="52"/>
          <w:highlight w:val="none"/>
        </w:rPr>
      </w:pPr>
      <w:r>
        <w:rPr>
          <w:rFonts w:hint="eastAsia" w:ascii="宋体" w:hAnsi="宋体" w:eastAsia="宋体" w:cs="宋体"/>
          <w:b/>
          <w:color w:val="auto"/>
          <w:szCs w:val="52"/>
          <w:highlight w:val="none"/>
        </w:rPr>
        <w:fldChar w:fldCharType="begin"/>
      </w:r>
      <w:r>
        <w:rPr>
          <w:rFonts w:hint="eastAsia" w:ascii="宋体" w:hAnsi="宋体" w:eastAsia="宋体" w:cs="宋体"/>
          <w:b/>
          <w:color w:val="auto"/>
          <w:szCs w:val="52"/>
          <w:highlight w:val="none"/>
        </w:rPr>
        <w:instrText xml:space="preserve"> HYPERLINK \l _Toc22535 </w:instrText>
      </w:r>
      <w:r>
        <w:rPr>
          <w:rFonts w:hint="eastAsia" w:ascii="宋体" w:hAnsi="宋体" w:eastAsia="宋体" w:cs="宋体"/>
          <w:b/>
          <w:color w:val="auto"/>
          <w:szCs w:val="52"/>
          <w:highlight w:val="none"/>
        </w:rPr>
        <w:fldChar w:fldCharType="separate"/>
      </w:r>
      <w:r>
        <w:rPr>
          <w:rFonts w:hint="eastAsia" w:ascii="宋体" w:hAnsi="宋体" w:eastAsia="宋体" w:cs="宋体"/>
          <w:b/>
          <w:bCs w:val="0"/>
          <w:color w:val="auto"/>
          <w:highlight w:val="none"/>
        </w:rPr>
        <w:t xml:space="preserve">第二章  </w:t>
      </w:r>
      <w:r>
        <w:rPr>
          <w:rFonts w:hint="eastAsia" w:ascii="宋体" w:hAnsi="宋体" w:eastAsia="宋体" w:cs="宋体"/>
          <w:b/>
          <w:bCs w:val="0"/>
          <w:color w:val="auto"/>
          <w:highlight w:val="none"/>
          <w:lang w:eastAsia="zh-CN"/>
        </w:rPr>
        <w:t>供应商</w:t>
      </w:r>
      <w:r>
        <w:rPr>
          <w:rFonts w:hint="eastAsia" w:ascii="宋体" w:hAnsi="宋体" w:eastAsia="宋体" w:cs="宋体"/>
          <w:b/>
          <w:bCs w:val="0"/>
          <w:color w:val="auto"/>
          <w:highlight w:val="none"/>
        </w:rPr>
        <w:t>须知</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_Toc22535 \h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8</w:t>
      </w:r>
      <w:r>
        <w:rPr>
          <w:rFonts w:hint="eastAsia" w:ascii="宋体" w:hAnsi="宋体" w:eastAsia="宋体" w:cs="宋体"/>
          <w:b/>
          <w:color w:val="auto"/>
          <w:highlight w:val="none"/>
        </w:rPr>
        <w:fldChar w:fldCharType="end"/>
      </w:r>
      <w:r>
        <w:rPr>
          <w:rFonts w:hint="eastAsia" w:ascii="宋体" w:hAnsi="宋体" w:eastAsia="宋体" w:cs="宋体"/>
          <w:b/>
          <w:color w:val="auto"/>
          <w:szCs w:val="52"/>
          <w:highlight w:val="none"/>
        </w:rPr>
        <w:fldChar w:fldCharType="end"/>
      </w:r>
    </w:p>
    <w:p w14:paraId="173745CB">
      <w:pPr>
        <w:pStyle w:val="189"/>
        <w:shd w:val="clear" w:color="auto" w:fill="auto"/>
        <w:tabs>
          <w:tab w:val="right" w:leader="dot" w:pos="8620"/>
        </w:tabs>
        <w:rPr>
          <w:rFonts w:hint="eastAsia" w:ascii="宋体" w:hAnsi="宋体" w:eastAsia="宋体" w:cs="宋体"/>
          <w:color w:val="auto"/>
          <w:szCs w:val="52"/>
          <w:highlight w:val="none"/>
        </w:rPr>
      </w:pPr>
      <w:r>
        <w:rPr>
          <w:rFonts w:hint="eastAsia" w:ascii="宋体" w:hAnsi="宋体" w:eastAsia="宋体" w:cs="宋体"/>
          <w:color w:val="auto"/>
          <w:szCs w:val="52"/>
          <w:highlight w:val="none"/>
        </w:rPr>
        <w:fldChar w:fldCharType="begin"/>
      </w:r>
      <w:r>
        <w:rPr>
          <w:rFonts w:hint="eastAsia" w:ascii="宋体" w:hAnsi="宋体" w:eastAsia="宋体" w:cs="宋体"/>
          <w:color w:val="auto"/>
          <w:szCs w:val="52"/>
          <w:highlight w:val="none"/>
        </w:rPr>
        <w:instrText xml:space="preserve"> HYPERLINK \l _Toc60 </w:instrText>
      </w:r>
      <w:r>
        <w:rPr>
          <w:rFonts w:hint="eastAsia" w:ascii="宋体" w:hAnsi="宋体" w:eastAsia="宋体" w:cs="宋体"/>
          <w:color w:val="auto"/>
          <w:szCs w:val="52"/>
          <w:highlight w:val="none"/>
        </w:rPr>
        <w:fldChar w:fldCharType="separate"/>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响应人须知前附表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52"/>
          <w:highlight w:val="none"/>
        </w:rPr>
        <w:fldChar w:fldCharType="end"/>
      </w:r>
    </w:p>
    <w:p w14:paraId="3FE0F687">
      <w:pPr>
        <w:pStyle w:val="188"/>
        <w:shd w:val="clear" w:color="auto" w:fill="auto"/>
        <w:tabs>
          <w:tab w:val="right" w:leader="dot" w:pos="8620"/>
        </w:tabs>
        <w:rPr>
          <w:rFonts w:hint="eastAsia" w:ascii="宋体" w:hAnsi="宋体" w:eastAsia="宋体" w:cs="宋体"/>
          <w:color w:val="auto"/>
          <w:szCs w:val="52"/>
          <w:highlight w:val="none"/>
        </w:rPr>
      </w:pPr>
      <w:r>
        <w:rPr>
          <w:rFonts w:hint="eastAsia" w:ascii="宋体" w:hAnsi="宋体" w:eastAsia="宋体" w:cs="宋体"/>
          <w:b/>
          <w:color w:val="auto"/>
          <w:szCs w:val="52"/>
          <w:highlight w:val="none"/>
        </w:rPr>
        <w:fldChar w:fldCharType="begin"/>
      </w:r>
      <w:r>
        <w:rPr>
          <w:rFonts w:hint="eastAsia" w:ascii="宋体" w:hAnsi="宋体" w:eastAsia="宋体" w:cs="宋体"/>
          <w:b/>
          <w:color w:val="auto"/>
          <w:szCs w:val="52"/>
          <w:highlight w:val="none"/>
        </w:rPr>
        <w:instrText xml:space="preserve"> HYPERLINK \l _Toc9429 </w:instrText>
      </w:r>
      <w:r>
        <w:rPr>
          <w:rFonts w:hint="eastAsia" w:ascii="宋体" w:hAnsi="宋体" w:eastAsia="宋体" w:cs="宋体"/>
          <w:b/>
          <w:color w:val="auto"/>
          <w:szCs w:val="52"/>
          <w:highlight w:val="none"/>
        </w:rPr>
        <w:fldChar w:fldCharType="separate"/>
      </w:r>
      <w:r>
        <w:rPr>
          <w:rFonts w:hint="eastAsia" w:ascii="宋体" w:hAnsi="宋体" w:eastAsia="宋体" w:cs="宋体"/>
          <w:b/>
          <w:color w:val="auto"/>
          <w:szCs w:val="32"/>
          <w:highlight w:val="none"/>
          <w:lang w:eastAsia="zh-CN"/>
        </w:rPr>
        <w:t>第三章 总则</w:t>
      </w:r>
      <w:r>
        <w:rPr>
          <w:rFonts w:hint="eastAsia" w:ascii="宋体" w:hAnsi="宋体" w:eastAsia="宋体" w:cs="宋体"/>
          <w:b/>
          <w:color w:val="auto"/>
          <w:highlight w:val="none"/>
        </w:rPr>
        <w:tab/>
      </w:r>
      <w:r>
        <w:rPr>
          <w:rFonts w:hint="eastAsia" w:ascii="宋体" w:hAnsi="宋体" w:eastAsia="宋体" w:cs="宋体"/>
          <w:b/>
          <w:color w:val="auto"/>
          <w:highlight w:val="none"/>
          <w:lang w:val="en-US" w:eastAsia="zh-CN"/>
        </w:rPr>
        <w:t>9</w:t>
      </w:r>
      <w:r>
        <w:rPr>
          <w:rFonts w:hint="eastAsia" w:ascii="宋体" w:hAnsi="宋体" w:eastAsia="宋体" w:cs="宋体"/>
          <w:b/>
          <w:color w:val="auto"/>
          <w:szCs w:val="52"/>
          <w:highlight w:val="none"/>
        </w:rPr>
        <w:fldChar w:fldCharType="end"/>
      </w:r>
    </w:p>
    <w:p w14:paraId="68D7E2BE">
      <w:pPr>
        <w:pStyle w:val="189"/>
        <w:shd w:val="clear" w:color="auto" w:fill="auto"/>
        <w:tabs>
          <w:tab w:val="right" w:leader="dot" w:pos="8620"/>
        </w:tabs>
        <w:rPr>
          <w:rFonts w:hint="eastAsia" w:ascii="宋体" w:hAnsi="宋体" w:eastAsia="宋体" w:cs="宋体"/>
          <w:color w:val="auto"/>
          <w:highlight w:val="none"/>
        </w:rPr>
      </w:pPr>
      <w:r>
        <w:rPr>
          <w:rFonts w:hint="eastAsia" w:ascii="宋体" w:hAnsi="宋体" w:eastAsia="宋体" w:cs="宋体"/>
          <w:color w:val="auto"/>
          <w:szCs w:val="52"/>
          <w:highlight w:val="none"/>
        </w:rPr>
        <w:fldChar w:fldCharType="begin"/>
      </w:r>
      <w:r>
        <w:rPr>
          <w:rFonts w:hint="eastAsia" w:ascii="宋体" w:hAnsi="宋体" w:eastAsia="宋体" w:cs="宋体"/>
          <w:color w:val="auto"/>
          <w:szCs w:val="52"/>
          <w:highlight w:val="none"/>
        </w:rPr>
        <w:instrText xml:space="preserve"> HYPERLINK \l _Toc19037 </w:instrText>
      </w:r>
      <w:r>
        <w:rPr>
          <w:rFonts w:hint="eastAsia" w:ascii="宋体" w:hAnsi="宋体" w:eastAsia="宋体" w:cs="宋体"/>
          <w:color w:val="auto"/>
          <w:szCs w:val="52"/>
          <w:highlight w:val="none"/>
        </w:rPr>
        <w:fldChar w:fldCharType="separate"/>
      </w:r>
      <w:r>
        <w:rPr>
          <w:rFonts w:hint="eastAsia" w:ascii="宋体" w:hAnsi="宋体" w:eastAsia="宋体" w:cs="宋体"/>
          <w:color w:val="auto"/>
          <w:szCs w:val="32"/>
          <w:highlight w:val="none"/>
        </w:rPr>
        <w:t>一  总  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52"/>
          <w:highlight w:val="none"/>
        </w:rPr>
        <w:fldChar w:fldCharType="end"/>
      </w:r>
    </w:p>
    <w:p w14:paraId="75F37318">
      <w:pPr>
        <w:pStyle w:val="189"/>
        <w:shd w:val="clear" w:color="auto" w:fill="auto"/>
        <w:tabs>
          <w:tab w:val="right" w:leader="dot" w:pos="8620"/>
        </w:tabs>
        <w:rPr>
          <w:rFonts w:hint="eastAsia" w:ascii="宋体" w:hAnsi="宋体" w:eastAsia="宋体" w:cs="宋体"/>
          <w:color w:val="auto"/>
          <w:highlight w:val="none"/>
        </w:rPr>
      </w:pPr>
      <w:r>
        <w:rPr>
          <w:rFonts w:hint="eastAsia" w:ascii="宋体" w:hAnsi="宋体" w:eastAsia="宋体" w:cs="宋体"/>
          <w:color w:val="auto"/>
          <w:szCs w:val="52"/>
          <w:highlight w:val="none"/>
        </w:rPr>
        <w:fldChar w:fldCharType="begin"/>
      </w:r>
      <w:r>
        <w:rPr>
          <w:rFonts w:hint="eastAsia" w:ascii="宋体" w:hAnsi="宋体" w:eastAsia="宋体" w:cs="宋体"/>
          <w:color w:val="auto"/>
          <w:szCs w:val="52"/>
          <w:highlight w:val="none"/>
        </w:rPr>
        <w:instrText xml:space="preserve"> HYPERLINK \l _Toc31213 </w:instrText>
      </w:r>
      <w:r>
        <w:rPr>
          <w:rFonts w:hint="eastAsia" w:ascii="宋体" w:hAnsi="宋体" w:eastAsia="宋体" w:cs="宋体"/>
          <w:color w:val="auto"/>
          <w:szCs w:val="52"/>
          <w:highlight w:val="none"/>
        </w:rPr>
        <w:fldChar w:fldCharType="separate"/>
      </w:r>
      <w:r>
        <w:rPr>
          <w:rFonts w:hint="eastAsia" w:ascii="宋体" w:hAnsi="宋体" w:eastAsia="宋体" w:cs="宋体"/>
          <w:color w:val="auto"/>
          <w:szCs w:val="32"/>
          <w:highlight w:val="none"/>
        </w:rPr>
        <w:t xml:space="preserve">二  </w:t>
      </w:r>
      <w:r>
        <w:rPr>
          <w:rFonts w:hint="eastAsia" w:ascii="宋体" w:hAnsi="宋体" w:eastAsia="宋体" w:cs="宋体"/>
          <w:bCs/>
          <w:color w:val="auto"/>
          <w:szCs w:val="32"/>
          <w:highlight w:val="none"/>
        </w:rPr>
        <w:t>竞争性</w:t>
      </w:r>
      <w:r>
        <w:rPr>
          <w:rFonts w:hint="eastAsia" w:ascii="宋体" w:hAnsi="宋体" w:eastAsia="宋体" w:cs="宋体"/>
          <w:bCs/>
          <w:color w:val="auto"/>
          <w:szCs w:val="32"/>
          <w:highlight w:val="none"/>
          <w:lang w:eastAsia="zh-CN"/>
        </w:rPr>
        <w:t>谈判文件</w:t>
      </w:r>
      <w:r>
        <w:rPr>
          <w:rFonts w:hint="eastAsia" w:ascii="宋体" w:hAnsi="宋体" w:eastAsia="宋体" w:cs="宋体"/>
          <w:bCs/>
          <w:color w:val="auto"/>
          <w:szCs w:val="32"/>
          <w:highlight w:val="none"/>
        </w:rPr>
        <w:t>（简称</w:t>
      </w:r>
      <w:r>
        <w:rPr>
          <w:rFonts w:hint="eastAsia" w:ascii="宋体" w:hAnsi="宋体" w:eastAsia="宋体" w:cs="宋体"/>
          <w:bCs/>
          <w:color w:val="auto"/>
          <w:szCs w:val="32"/>
          <w:highlight w:val="none"/>
          <w:lang w:eastAsia="zh-CN"/>
        </w:rPr>
        <w:t>谈判文件</w:t>
      </w:r>
      <w:r>
        <w:rPr>
          <w:rFonts w:hint="eastAsia" w:ascii="宋体" w:hAnsi="宋体" w:eastAsia="宋体" w:cs="宋体"/>
          <w:bCs/>
          <w:color w:val="auto"/>
          <w:szCs w:val="32"/>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52"/>
          <w:highlight w:val="none"/>
        </w:rPr>
        <w:fldChar w:fldCharType="end"/>
      </w:r>
    </w:p>
    <w:p w14:paraId="407D88C9">
      <w:pPr>
        <w:pStyle w:val="189"/>
        <w:shd w:val="clear" w:color="auto" w:fill="auto"/>
        <w:tabs>
          <w:tab w:val="right" w:leader="dot" w:pos="8620"/>
        </w:tabs>
        <w:rPr>
          <w:rFonts w:hint="eastAsia" w:ascii="宋体" w:hAnsi="宋体" w:eastAsia="宋体" w:cs="宋体"/>
          <w:color w:val="auto"/>
          <w:highlight w:val="none"/>
        </w:rPr>
      </w:pPr>
      <w:r>
        <w:rPr>
          <w:rFonts w:hint="eastAsia" w:ascii="宋体" w:hAnsi="宋体" w:eastAsia="宋体" w:cs="宋体"/>
          <w:color w:val="auto"/>
          <w:szCs w:val="52"/>
          <w:highlight w:val="none"/>
        </w:rPr>
        <w:fldChar w:fldCharType="begin"/>
      </w:r>
      <w:r>
        <w:rPr>
          <w:rFonts w:hint="eastAsia" w:ascii="宋体" w:hAnsi="宋体" w:eastAsia="宋体" w:cs="宋体"/>
          <w:color w:val="auto"/>
          <w:szCs w:val="52"/>
          <w:highlight w:val="none"/>
        </w:rPr>
        <w:instrText xml:space="preserve"> HYPERLINK \l _Toc32475 </w:instrText>
      </w:r>
      <w:r>
        <w:rPr>
          <w:rFonts w:hint="eastAsia" w:ascii="宋体" w:hAnsi="宋体" w:eastAsia="宋体" w:cs="宋体"/>
          <w:color w:val="auto"/>
          <w:szCs w:val="52"/>
          <w:highlight w:val="none"/>
        </w:rPr>
        <w:fldChar w:fldCharType="separate"/>
      </w:r>
      <w:r>
        <w:rPr>
          <w:rFonts w:hint="eastAsia" w:ascii="宋体" w:hAnsi="宋体" w:eastAsia="宋体" w:cs="宋体"/>
          <w:bCs/>
          <w:color w:val="auto"/>
          <w:szCs w:val="36"/>
          <w:highlight w:val="none"/>
        </w:rPr>
        <w:t xml:space="preserve">三  </w:t>
      </w:r>
      <w:r>
        <w:rPr>
          <w:rFonts w:hint="eastAsia" w:ascii="宋体" w:hAnsi="宋体" w:eastAsia="宋体" w:cs="宋体"/>
          <w:bCs/>
          <w:color w:val="auto"/>
          <w:szCs w:val="36"/>
          <w:highlight w:val="none"/>
          <w:lang w:eastAsia="zh-CN"/>
        </w:rPr>
        <w:t>响应文件</w:t>
      </w:r>
      <w:r>
        <w:rPr>
          <w:rFonts w:hint="eastAsia" w:ascii="宋体" w:hAnsi="宋体" w:eastAsia="宋体" w:cs="宋体"/>
          <w:bCs/>
          <w:color w:val="auto"/>
          <w:szCs w:val="36"/>
          <w:highlight w:val="none"/>
        </w:rPr>
        <w:t>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_Toc32475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52"/>
          <w:highlight w:val="none"/>
        </w:rPr>
        <w:fldChar w:fldCharType="end"/>
      </w:r>
    </w:p>
    <w:p w14:paraId="41F70035">
      <w:pPr>
        <w:pStyle w:val="189"/>
        <w:shd w:val="clear" w:color="auto" w:fill="auto"/>
        <w:tabs>
          <w:tab w:val="right" w:leader="dot" w:pos="8620"/>
        </w:tabs>
        <w:rPr>
          <w:rFonts w:hint="eastAsia" w:ascii="宋体" w:hAnsi="宋体" w:eastAsia="宋体" w:cs="宋体"/>
          <w:b/>
          <w:color w:val="auto"/>
          <w:highlight w:val="none"/>
        </w:rPr>
      </w:pPr>
      <w:r>
        <w:rPr>
          <w:rFonts w:hint="eastAsia" w:ascii="宋体" w:hAnsi="宋体" w:eastAsia="宋体" w:cs="宋体"/>
          <w:color w:val="auto"/>
          <w:szCs w:val="52"/>
          <w:highlight w:val="none"/>
        </w:rPr>
        <w:fldChar w:fldCharType="begin"/>
      </w:r>
      <w:r>
        <w:rPr>
          <w:rFonts w:hint="eastAsia" w:ascii="宋体" w:hAnsi="宋体" w:eastAsia="宋体" w:cs="宋体"/>
          <w:color w:val="auto"/>
          <w:szCs w:val="52"/>
          <w:highlight w:val="none"/>
        </w:rPr>
        <w:instrText xml:space="preserve"> HYPERLINK \l _Toc15590 </w:instrText>
      </w:r>
      <w:r>
        <w:rPr>
          <w:rFonts w:hint="eastAsia" w:ascii="宋体" w:hAnsi="宋体" w:eastAsia="宋体" w:cs="宋体"/>
          <w:color w:val="auto"/>
          <w:szCs w:val="52"/>
          <w:highlight w:val="none"/>
        </w:rPr>
        <w:fldChar w:fldCharType="separate"/>
      </w:r>
      <w:r>
        <w:rPr>
          <w:rFonts w:hint="eastAsia" w:ascii="宋体" w:hAnsi="宋体" w:eastAsia="宋体" w:cs="宋体"/>
          <w:color w:val="auto"/>
          <w:szCs w:val="28"/>
          <w:highlight w:val="none"/>
        </w:rPr>
        <w:t xml:space="preserve">四  </w:t>
      </w:r>
      <w:r>
        <w:rPr>
          <w:rFonts w:hint="eastAsia" w:ascii="宋体" w:hAnsi="宋体" w:eastAsia="宋体" w:cs="宋体"/>
          <w:color w:val="auto"/>
          <w:szCs w:val="28"/>
          <w:highlight w:val="none"/>
          <w:lang w:eastAsia="zh-CN"/>
        </w:rPr>
        <w:t>响应文件</w:t>
      </w:r>
      <w:r>
        <w:rPr>
          <w:rFonts w:hint="eastAsia" w:ascii="宋体" w:hAnsi="宋体" w:eastAsia="宋体" w:cs="宋体"/>
          <w:color w:val="auto"/>
          <w:szCs w:val="28"/>
          <w:highlight w:val="none"/>
        </w:rPr>
        <w:t>的上传和递交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_Toc15590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52"/>
          <w:highlight w:val="none"/>
        </w:rPr>
        <w:fldChar w:fldCharType="end"/>
      </w:r>
    </w:p>
    <w:p w14:paraId="41E24E64">
      <w:pPr>
        <w:pStyle w:val="188"/>
        <w:shd w:val="clear" w:color="auto" w:fill="auto"/>
        <w:tabs>
          <w:tab w:val="right" w:leader="dot" w:pos="8620"/>
        </w:tabs>
        <w:rPr>
          <w:rFonts w:hint="eastAsia" w:ascii="宋体" w:hAnsi="宋体" w:eastAsia="宋体" w:cs="宋体"/>
          <w:b/>
          <w:color w:val="auto"/>
          <w:highlight w:val="none"/>
          <w:lang w:val="en-US" w:eastAsia="zh-CN"/>
        </w:rPr>
      </w:pPr>
      <w:r>
        <w:rPr>
          <w:rFonts w:hint="eastAsia" w:ascii="宋体" w:hAnsi="宋体" w:eastAsia="宋体" w:cs="宋体"/>
          <w:b/>
          <w:color w:val="auto"/>
          <w:szCs w:val="52"/>
          <w:highlight w:val="none"/>
        </w:rPr>
        <w:fldChar w:fldCharType="begin"/>
      </w:r>
      <w:r>
        <w:rPr>
          <w:rFonts w:hint="eastAsia" w:ascii="宋体" w:hAnsi="宋体" w:eastAsia="宋体" w:cs="宋体"/>
          <w:b/>
          <w:color w:val="auto"/>
          <w:szCs w:val="52"/>
          <w:highlight w:val="none"/>
        </w:rPr>
        <w:instrText xml:space="preserve"> HYPERLINK \l _Toc24938 </w:instrText>
      </w:r>
      <w:r>
        <w:rPr>
          <w:rFonts w:hint="eastAsia" w:ascii="宋体" w:hAnsi="宋体" w:eastAsia="宋体" w:cs="宋体"/>
          <w:b/>
          <w:color w:val="auto"/>
          <w:szCs w:val="52"/>
          <w:highlight w:val="none"/>
        </w:rPr>
        <w:fldChar w:fldCharType="separate"/>
      </w:r>
      <w:r>
        <w:rPr>
          <w:rFonts w:hint="eastAsia" w:ascii="宋体" w:hAnsi="宋体" w:eastAsia="宋体" w:cs="宋体"/>
          <w:b/>
          <w:bCs/>
          <w:color w:val="auto"/>
          <w:highlight w:val="none"/>
        </w:rPr>
        <w:t xml:space="preserve">第四章  </w:t>
      </w:r>
      <w:r>
        <w:rPr>
          <w:rFonts w:hint="eastAsia" w:ascii="宋体" w:hAnsi="宋体" w:eastAsia="宋体" w:cs="宋体"/>
          <w:b/>
          <w:bCs/>
          <w:color w:val="auto"/>
          <w:highlight w:val="none"/>
          <w:lang w:eastAsia="zh-CN"/>
        </w:rPr>
        <w:t>开标、评标和定标</w:t>
      </w:r>
      <w:r>
        <w:rPr>
          <w:rFonts w:hint="eastAsia" w:ascii="宋体" w:hAnsi="宋体" w:eastAsia="宋体" w:cs="宋体"/>
          <w:b/>
          <w:color w:val="auto"/>
          <w:highlight w:val="none"/>
        </w:rPr>
        <w:tab/>
      </w:r>
      <w:r>
        <w:rPr>
          <w:rFonts w:hint="eastAsia" w:ascii="宋体" w:hAnsi="宋体" w:eastAsia="宋体" w:cs="宋体"/>
          <w:b/>
          <w:color w:val="auto"/>
          <w:highlight w:val="none"/>
          <w:lang w:val="en-US" w:eastAsia="zh-CN"/>
        </w:rPr>
        <w:t>1</w:t>
      </w:r>
      <w:r>
        <w:rPr>
          <w:rFonts w:hint="eastAsia" w:ascii="宋体" w:hAnsi="宋体" w:eastAsia="宋体" w:cs="宋体"/>
          <w:b/>
          <w:color w:val="auto"/>
          <w:szCs w:val="52"/>
          <w:highlight w:val="none"/>
        </w:rPr>
        <w:fldChar w:fldCharType="end"/>
      </w:r>
      <w:r>
        <w:rPr>
          <w:rFonts w:hint="eastAsia" w:ascii="宋体" w:hAnsi="宋体" w:eastAsia="宋体" w:cs="宋体"/>
          <w:b/>
          <w:color w:val="auto"/>
          <w:szCs w:val="52"/>
          <w:highlight w:val="none"/>
          <w:lang w:val="en-US" w:eastAsia="zh-CN"/>
        </w:rPr>
        <w:t>7</w:t>
      </w:r>
    </w:p>
    <w:p w14:paraId="335D8D11">
      <w:pPr>
        <w:pStyle w:val="188"/>
        <w:shd w:val="clear" w:color="auto" w:fill="auto"/>
        <w:tabs>
          <w:tab w:val="right" w:leader="dot" w:pos="8620"/>
        </w:tabs>
        <w:rPr>
          <w:rFonts w:hint="eastAsia" w:ascii="宋体" w:hAnsi="宋体" w:eastAsia="宋体" w:cs="宋体"/>
          <w:b/>
          <w:color w:val="auto"/>
          <w:highlight w:val="none"/>
          <w:lang w:val="en-US" w:eastAsia="zh-CN"/>
        </w:rPr>
      </w:pPr>
      <w:r>
        <w:rPr>
          <w:rFonts w:hint="eastAsia" w:ascii="宋体" w:hAnsi="宋体" w:eastAsia="宋体" w:cs="宋体"/>
          <w:b/>
          <w:color w:val="auto"/>
          <w:szCs w:val="52"/>
          <w:highlight w:val="none"/>
        </w:rPr>
        <w:fldChar w:fldCharType="begin"/>
      </w:r>
      <w:r>
        <w:rPr>
          <w:rFonts w:hint="eastAsia" w:ascii="宋体" w:hAnsi="宋体" w:eastAsia="宋体" w:cs="宋体"/>
          <w:b/>
          <w:color w:val="auto"/>
          <w:szCs w:val="52"/>
          <w:highlight w:val="none"/>
        </w:rPr>
        <w:instrText xml:space="preserve"> HYPERLINK \l _Toc4283 </w:instrText>
      </w:r>
      <w:r>
        <w:rPr>
          <w:rFonts w:hint="eastAsia" w:ascii="宋体" w:hAnsi="宋体" w:eastAsia="宋体" w:cs="宋体"/>
          <w:b/>
          <w:color w:val="auto"/>
          <w:szCs w:val="52"/>
          <w:highlight w:val="none"/>
        </w:rPr>
        <w:fldChar w:fldCharType="separate"/>
      </w:r>
      <w:r>
        <w:rPr>
          <w:rFonts w:hint="eastAsia" w:ascii="宋体" w:hAnsi="宋体" w:eastAsia="宋体" w:cs="宋体"/>
          <w:b/>
          <w:bCs/>
          <w:color w:val="auto"/>
          <w:szCs w:val="36"/>
          <w:highlight w:val="none"/>
        </w:rPr>
        <w:t xml:space="preserve">第五章  </w:t>
      </w:r>
      <w:r>
        <w:rPr>
          <w:rFonts w:hint="eastAsia" w:ascii="宋体" w:hAnsi="宋体" w:eastAsia="宋体" w:cs="宋体"/>
          <w:b/>
          <w:bCs/>
          <w:color w:val="auto"/>
          <w:szCs w:val="36"/>
          <w:highlight w:val="none"/>
          <w:lang w:eastAsia="zh-CN"/>
        </w:rPr>
        <w:t>技术规格、数量与质量要求</w:t>
      </w:r>
      <w:r>
        <w:rPr>
          <w:rFonts w:hint="eastAsia" w:ascii="宋体" w:hAnsi="宋体" w:eastAsia="宋体" w:cs="宋体"/>
          <w:b/>
          <w:color w:val="auto"/>
          <w:highlight w:val="none"/>
        </w:rPr>
        <w:tab/>
      </w:r>
      <w:r>
        <w:rPr>
          <w:rFonts w:hint="eastAsia" w:ascii="宋体" w:hAnsi="宋体" w:eastAsia="宋体" w:cs="宋体"/>
          <w:b/>
          <w:color w:val="auto"/>
          <w:highlight w:val="none"/>
          <w:lang w:val="en-US" w:eastAsia="zh-CN"/>
        </w:rPr>
        <w:t>3</w:t>
      </w:r>
      <w:r>
        <w:rPr>
          <w:rFonts w:hint="eastAsia" w:ascii="宋体" w:hAnsi="宋体" w:eastAsia="宋体" w:cs="宋体"/>
          <w:b/>
          <w:color w:val="auto"/>
          <w:szCs w:val="52"/>
          <w:highlight w:val="none"/>
        </w:rPr>
        <w:fldChar w:fldCharType="end"/>
      </w:r>
      <w:r>
        <w:rPr>
          <w:rFonts w:hint="eastAsia" w:ascii="宋体" w:hAnsi="宋体" w:eastAsia="宋体" w:cs="宋体"/>
          <w:b/>
          <w:color w:val="auto"/>
          <w:szCs w:val="52"/>
          <w:highlight w:val="none"/>
          <w:lang w:val="en-US" w:eastAsia="zh-CN"/>
        </w:rPr>
        <w:t>2</w:t>
      </w:r>
    </w:p>
    <w:p w14:paraId="5046AC42">
      <w:pPr>
        <w:pStyle w:val="188"/>
        <w:shd w:val="clear" w:color="auto" w:fill="auto"/>
        <w:tabs>
          <w:tab w:val="right" w:leader="dot" w:pos="8620"/>
        </w:tabs>
        <w:rPr>
          <w:rFonts w:hint="eastAsia" w:ascii="宋体" w:hAnsi="宋体" w:eastAsia="宋体" w:cs="宋体"/>
          <w:b/>
          <w:color w:val="auto"/>
          <w:highlight w:val="none"/>
          <w:lang w:val="en-US" w:eastAsia="zh-CN"/>
        </w:rPr>
      </w:pPr>
      <w:r>
        <w:rPr>
          <w:rFonts w:hint="eastAsia" w:ascii="宋体" w:hAnsi="宋体" w:eastAsia="宋体" w:cs="宋体"/>
          <w:b/>
          <w:color w:val="auto"/>
          <w:szCs w:val="52"/>
          <w:highlight w:val="none"/>
        </w:rPr>
        <w:fldChar w:fldCharType="begin"/>
      </w:r>
      <w:r>
        <w:rPr>
          <w:rFonts w:hint="eastAsia" w:ascii="宋体" w:hAnsi="宋体" w:eastAsia="宋体" w:cs="宋体"/>
          <w:b/>
          <w:color w:val="auto"/>
          <w:szCs w:val="52"/>
          <w:highlight w:val="none"/>
        </w:rPr>
        <w:instrText xml:space="preserve"> HYPERLINK \l _Toc26381 </w:instrText>
      </w:r>
      <w:r>
        <w:rPr>
          <w:rFonts w:hint="eastAsia" w:ascii="宋体" w:hAnsi="宋体" w:eastAsia="宋体" w:cs="宋体"/>
          <w:b/>
          <w:color w:val="auto"/>
          <w:szCs w:val="52"/>
          <w:highlight w:val="none"/>
        </w:rPr>
        <w:fldChar w:fldCharType="separate"/>
      </w:r>
      <w:r>
        <w:rPr>
          <w:rFonts w:hint="eastAsia" w:ascii="宋体" w:hAnsi="宋体" w:eastAsia="宋体" w:cs="宋体"/>
          <w:b/>
          <w:color w:val="auto"/>
          <w:highlight w:val="none"/>
        </w:rPr>
        <w:t xml:space="preserve">第六章  </w:t>
      </w:r>
      <w:r>
        <w:rPr>
          <w:rFonts w:hint="eastAsia" w:ascii="宋体" w:hAnsi="宋体" w:eastAsia="宋体" w:cs="宋体"/>
          <w:b/>
          <w:color w:val="auto"/>
          <w:highlight w:val="none"/>
          <w:lang w:eastAsia="zh-CN"/>
        </w:rPr>
        <w:t>合同条框及格式</w:t>
      </w:r>
      <w:r>
        <w:rPr>
          <w:rFonts w:hint="eastAsia" w:ascii="宋体" w:hAnsi="宋体" w:eastAsia="宋体" w:cs="宋体"/>
          <w:b/>
          <w:color w:val="auto"/>
          <w:highlight w:val="none"/>
        </w:rPr>
        <w:tab/>
      </w:r>
      <w:r>
        <w:rPr>
          <w:rFonts w:hint="eastAsia" w:ascii="宋体" w:hAnsi="宋体" w:eastAsia="宋体" w:cs="宋体"/>
          <w:b/>
          <w:color w:val="auto"/>
          <w:highlight w:val="none"/>
          <w:lang w:val="en-US" w:eastAsia="zh-CN"/>
        </w:rPr>
        <w:t>5</w:t>
      </w:r>
      <w:r>
        <w:rPr>
          <w:rFonts w:hint="eastAsia" w:ascii="宋体" w:hAnsi="宋体" w:eastAsia="宋体" w:cs="宋体"/>
          <w:b/>
          <w:color w:val="auto"/>
          <w:szCs w:val="52"/>
          <w:highlight w:val="none"/>
        </w:rPr>
        <w:fldChar w:fldCharType="end"/>
      </w:r>
      <w:r>
        <w:rPr>
          <w:rFonts w:hint="eastAsia" w:ascii="宋体" w:hAnsi="宋体" w:eastAsia="宋体" w:cs="宋体"/>
          <w:b/>
          <w:color w:val="auto"/>
          <w:szCs w:val="52"/>
          <w:highlight w:val="none"/>
          <w:lang w:val="en-US" w:eastAsia="zh-CN"/>
        </w:rPr>
        <w:t>1</w:t>
      </w:r>
    </w:p>
    <w:p w14:paraId="7B594154">
      <w:pPr>
        <w:pStyle w:val="189"/>
        <w:shd w:val="clear" w:color="auto" w:fill="auto"/>
        <w:tabs>
          <w:tab w:val="right" w:leader="dot" w:pos="8620"/>
        </w:tabs>
        <w:rPr>
          <w:rFonts w:hint="eastAsia" w:ascii="宋体" w:hAnsi="宋体" w:eastAsia="宋体" w:cs="宋体"/>
          <w:color w:val="auto"/>
          <w:highlight w:val="none"/>
          <w:lang w:val="en-US" w:eastAsia="zh-CN"/>
        </w:rPr>
      </w:pPr>
      <w:r>
        <w:rPr>
          <w:rFonts w:hint="eastAsia" w:ascii="宋体" w:hAnsi="宋体" w:eastAsia="宋体" w:cs="宋体"/>
          <w:color w:val="auto"/>
          <w:szCs w:val="52"/>
          <w:highlight w:val="none"/>
        </w:rPr>
        <w:fldChar w:fldCharType="begin"/>
      </w:r>
      <w:r>
        <w:rPr>
          <w:rFonts w:hint="eastAsia" w:ascii="宋体" w:hAnsi="宋体" w:eastAsia="宋体" w:cs="宋体"/>
          <w:color w:val="auto"/>
          <w:szCs w:val="52"/>
          <w:highlight w:val="none"/>
        </w:rPr>
        <w:instrText xml:space="preserve"> HYPERLINK \l _Toc15605 </w:instrText>
      </w:r>
      <w:r>
        <w:rPr>
          <w:rFonts w:hint="eastAsia" w:ascii="宋体" w:hAnsi="宋体" w:eastAsia="宋体" w:cs="宋体"/>
          <w:color w:val="auto"/>
          <w:szCs w:val="52"/>
          <w:highlight w:val="none"/>
        </w:rPr>
        <w:fldChar w:fldCharType="separate"/>
      </w:r>
      <w:r>
        <w:rPr>
          <w:rFonts w:hint="eastAsia" w:ascii="宋体" w:hAnsi="宋体" w:eastAsia="宋体" w:cs="宋体"/>
          <w:bCs/>
          <w:color w:val="auto"/>
          <w:highlight w:val="none"/>
        </w:rPr>
        <w:t>一、</w:t>
      </w:r>
      <w:r>
        <w:rPr>
          <w:rFonts w:hint="eastAsia" w:ascii="宋体" w:hAnsi="宋体" w:eastAsia="宋体" w:cs="宋体"/>
          <w:bCs/>
          <w:color w:val="auto"/>
          <w:highlight w:val="none"/>
          <w:lang w:eastAsia="zh-CN"/>
        </w:rPr>
        <w:t>合同协议书</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5</w:t>
      </w:r>
      <w:r>
        <w:rPr>
          <w:rFonts w:hint="eastAsia" w:ascii="宋体" w:hAnsi="宋体" w:eastAsia="宋体" w:cs="宋体"/>
          <w:color w:val="auto"/>
          <w:szCs w:val="52"/>
          <w:highlight w:val="none"/>
        </w:rPr>
        <w:fldChar w:fldCharType="end"/>
      </w:r>
      <w:r>
        <w:rPr>
          <w:rFonts w:hint="eastAsia" w:ascii="宋体" w:hAnsi="宋体" w:eastAsia="宋体" w:cs="宋体"/>
          <w:color w:val="auto"/>
          <w:szCs w:val="52"/>
          <w:highlight w:val="none"/>
          <w:lang w:val="en-US" w:eastAsia="zh-CN"/>
        </w:rPr>
        <w:t>1</w:t>
      </w:r>
    </w:p>
    <w:p w14:paraId="37909086">
      <w:pPr>
        <w:pStyle w:val="189"/>
        <w:keepNext w:val="0"/>
        <w:keepLines w:val="0"/>
        <w:pageBreakBefore w:val="0"/>
        <w:widowControl/>
        <w:shd w:val="clear" w:color="auto" w:fill="auto"/>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52"/>
          <w:highlight w:val="none"/>
        </w:rPr>
        <w:fldChar w:fldCharType="begin"/>
      </w:r>
      <w:r>
        <w:rPr>
          <w:rFonts w:hint="eastAsia" w:ascii="宋体" w:hAnsi="宋体" w:eastAsia="宋体" w:cs="宋体"/>
          <w:color w:val="auto"/>
          <w:szCs w:val="52"/>
          <w:highlight w:val="none"/>
        </w:rPr>
        <w:instrText xml:space="preserve"> HYPERLINK \l _Toc24464 </w:instrText>
      </w:r>
      <w:r>
        <w:rPr>
          <w:rFonts w:hint="eastAsia" w:ascii="宋体" w:hAnsi="宋体" w:eastAsia="宋体" w:cs="宋体"/>
          <w:color w:val="auto"/>
          <w:szCs w:val="52"/>
          <w:highlight w:val="none"/>
        </w:rPr>
        <w:fldChar w:fldCharType="separate"/>
      </w:r>
      <w:r>
        <w:rPr>
          <w:rFonts w:hint="eastAsia" w:ascii="宋体" w:hAnsi="宋体" w:eastAsia="宋体" w:cs="宋体"/>
          <w:bCs/>
          <w:color w:val="auto"/>
          <w:highlight w:val="none"/>
        </w:rPr>
        <w:t>二、</w:t>
      </w:r>
      <w:r>
        <w:rPr>
          <w:rFonts w:hint="eastAsia" w:ascii="宋体" w:hAnsi="宋体" w:eastAsia="宋体" w:cs="宋体"/>
          <w:bCs/>
          <w:color w:val="auto"/>
          <w:highlight w:val="none"/>
          <w:lang w:eastAsia="zh-CN"/>
        </w:rPr>
        <w:t>合同条框</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5</w:t>
      </w:r>
      <w:r>
        <w:rPr>
          <w:rFonts w:hint="eastAsia" w:ascii="宋体" w:hAnsi="宋体" w:eastAsia="宋体" w:cs="宋体"/>
          <w:color w:val="auto"/>
          <w:szCs w:val="52"/>
          <w:highlight w:val="none"/>
        </w:rPr>
        <w:fldChar w:fldCharType="end"/>
      </w:r>
      <w:r>
        <w:rPr>
          <w:rFonts w:hint="eastAsia" w:ascii="宋体" w:hAnsi="宋体" w:eastAsia="宋体" w:cs="宋体"/>
          <w:color w:val="auto"/>
          <w:szCs w:val="52"/>
          <w:highlight w:val="none"/>
          <w:lang w:val="en-US" w:eastAsia="zh-CN"/>
        </w:rPr>
        <w:t>2</w:t>
      </w:r>
    </w:p>
    <w:p w14:paraId="18EDAAA3">
      <w:pPr>
        <w:pStyle w:val="189"/>
        <w:shd w:val="clear" w:color="auto" w:fill="auto"/>
        <w:tabs>
          <w:tab w:val="right" w:leader="dot" w:pos="8620"/>
        </w:tabs>
        <w:ind w:left="0" w:leftChars="0" w:firstLine="0" w:firstLineChars="0"/>
        <w:rPr>
          <w:rFonts w:hint="eastAsia" w:ascii="宋体" w:hAnsi="宋体" w:eastAsia="宋体" w:cs="宋体"/>
          <w:color w:val="auto"/>
          <w:highlight w:val="none"/>
        </w:rPr>
      </w:pPr>
      <w:r>
        <w:rPr>
          <w:rFonts w:hint="eastAsia" w:ascii="宋体" w:hAnsi="宋体" w:eastAsia="宋体" w:cs="宋体"/>
          <w:b/>
          <w:color w:val="auto"/>
          <w:szCs w:val="52"/>
          <w:highlight w:val="none"/>
        </w:rPr>
        <w:fldChar w:fldCharType="begin"/>
      </w:r>
      <w:r>
        <w:rPr>
          <w:rFonts w:hint="eastAsia" w:ascii="宋体" w:hAnsi="宋体" w:eastAsia="宋体" w:cs="宋体"/>
          <w:b/>
          <w:color w:val="auto"/>
          <w:szCs w:val="52"/>
          <w:highlight w:val="none"/>
        </w:rPr>
        <w:instrText xml:space="preserve"> HYPERLINK \l _Toc26381 </w:instrText>
      </w:r>
      <w:r>
        <w:rPr>
          <w:rFonts w:hint="eastAsia" w:ascii="宋体" w:hAnsi="宋体" w:eastAsia="宋体" w:cs="宋体"/>
          <w:b/>
          <w:color w:val="auto"/>
          <w:szCs w:val="52"/>
          <w:highlight w:val="none"/>
        </w:rPr>
        <w:fldChar w:fldCharType="separate"/>
      </w:r>
      <w:r>
        <w:rPr>
          <w:rFonts w:hint="eastAsia" w:ascii="宋体" w:hAnsi="宋体" w:eastAsia="宋体" w:cs="宋体"/>
          <w:b/>
          <w:color w:val="auto"/>
          <w:highlight w:val="none"/>
        </w:rPr>
        <w:t>第</w:t>
      </w:r>
      <w:r>
        <w:rPr>
          <w:rFonts w:hint="eastAsia" w:ascii="宋体" w:hAnsi="宋体" w:eastAsia="宋体" w:cs="宋体"/>
          <w:b/>
          <w:color w:val="auto"/>
          <w:highlight w:val="none"/>
          <w:lang w:eastAsia="zh-CN"/>
        </w:rPr>
        <w:t>七</w:t>
      </w:r>
      <w:r>
        <w:rPr>
          <w:rFonts w:hint="eastAsia" w:ascii="宋体" w:hAnsi="宋体" w:eastAsia="宋体" w:cs="宋体"/>
          <w:b/>
          <w:color w:val="auto"/>
          <w:highlight w:val="none"/>
        </w:rPr>
        <w:t xml:space="preserve">章 </w:t>
      </w:r>
      <w:r>
        <w:rPr>
          <w:rFonts w:hint="eastAsia" w:ascii="宋体" w:hAnsi="宋体" w:eastAsia="宋体" w:cs="宋体"/>
          <w:b/>
          <w:color w:val="auto"/>
          <w:highlight w:val="none"/>
          <w:lang w:eastAsia="zh-CN"/>
        </w:rPr>
        <w:t>响应文件格式</w:t>
      </w:r>
      <w:r>
        <w:rPr>
          <w:rFonts w:hint="eastAsia" w:ascii="宋体" w:hAnsi="宋体" w:eastAsia="宋体" w:cs="宋体"/>
          <w:b/>
          <w:color w:val="auto"/>
          <w:highlight w:val="none"/>
        </w:rPr>
        <w:tab/>
      </w:r>
      <w:r>
        <w:rPr>
          <w:rFonts w:hint="eastAsia" w:ascii="宋体" w:hAnsi="宋体" w:eastAsia="宋体" w:cs="宋体"/>
          <w:b/>
          <w:color w:val="auto"/>
          <w:highlight w:val="none"/>
          <w:lang w:val="en-US" w:eastAsia="zh-CN"/>
        </w:rPr>
        <w:t>5</w:t>
      </w:r>
      <w:r>
        <w:rPr>
          <w:rFonts w:hint="eastAsia" w:ascii="宋体" w:hAnsi="宋体" w:eastAsia="宋体" w:cs="宋体"/>
          <w:b/>
          <w:color w:val="auto"/>
          <w:szCs w:val="52"/>
          <w:highlight w:val="none"/>
        </w:rPr>
        <w:fldChar w:fldCharType="end"/>
      </w:r>
      <w:r>
        <w:rPr>
          <w:rFonts w:hint="eastAsia" w:ascii="宋体" w:hAnsi="宋体" w:eastAsia="宋体" w:cs="宋体"/>
          <w:b/>
          <w:color w:val="auto"/>
          <w:szCs w:val="52"/>
          <w:highlight w:val="none"/>
          <w:lang w:val="en-US" w:eastAsia="zh-CN"/>
        </w:rPr>
        <w:t>6</w:t>
      </w:r>
    </w:p>
    <w:p w14:paraId="781718AD">
      <w:pPr>
        <w:pStyle w:val="188"/>
        <w:shd w:val="clear" w:color="auto" w:fill="auto"/>
        <w:tabs>
          <w:tab w:val="right" w:leader="dot" w:pos="8620"/>
        </w:tabs>
        <w:rPr>
          <w:rFonts w:hint="eastAsia" w:ascii="宋体" w:hAnsi="宋体" w:eastAsia="宋体" w:cs="宋体"/>
          <w:b/>
          <w:color w:val="auto"/>
          <w:highlight w:val="none"/>
        </w:rPr>
      </w:pPr>
    </w:p>
    <w:p w14:paraId="6F6192BA">
      <w:pPr>
        <w:shd w:val="clear" w:color="auto" w:fill="auto"/>
        <w:jc w:val="left"/>
        <w:rPr>
          <w:rFonts w:hint="eastAsia" w:ascii="宋体" w:hAnsi="宋体" w:eastAsia="宋体" w:cs="宋体"/>
          <w:b/>
          <w:color w:val="auto"/>
          <w:sz w:val="52"/>
          <w:szCs w:val="52"/>
          <w:highlight w:val="none"/>
        </w:rPr>
      </w:pPr>
      <w:r>
        <w:rPr>
          <w:rFonts w:hint="eastAsia" w:ascii="宋体" w:hAnsi="宋体" w:eastAsia="宋体" w:cs="宋体"/>
          <w:b/>
          <w:color w:val="auto"/>
          <w:szCs w:val="52"/>
          <w:highlight w:val="none"/>
        </w:rPr>
        <w:fldChar w:fldCharType="end"/>
      </w:r>
    </w:p>
    <w:p w14:paraId="10FA4664">
      <w:pPr>
        <w:shd w:val="clear" w:color="auto" w:fill="auto"/>
        <w:bidi w:val="0"/>
        <w:rPr>
          <w:rFonts w:hint="eastAsia" w:ascii="宋体" w:hAnsi="宋体" w:eastAsia="宋体" w:cs="宋体"/>
          <w:color w:val="auto"/>
          <w:highlight w:val="none"/>
        </w:rPr>
        <w:sectPr>
          <w:footerReference r:id="rId9" w:type="default"/>
          <w:pgSz w:w="11905" w:h="16838"/>
          <w:pgMar w:top="1440" w:right="1083" w:bottom="1440" w:left="1083" w:header="850" w:footer="992" w:gutter="0"/>
          <w:pgNumType w:fmt="decimal"/>
          <w:cols w:space="720" w:num="1"/>
          <w:rtlGutter w:val="0"/>
          <w:docGrid w:type="lines" w:linePitch="314" w:charSpace="0"/>
        </w:sectPr>
      </w:pPr>
    </w:p>
    <w:p w14:paraId="2446612E">
      <w:pPr>
        <w:pStyle w:val="44"/>
        <w:keepNext w:val="0"/>
        <w:keepLines w:val="0"/>
        <w:widowControl/>
        <w:suppressLineNumbers w:val="0"/>
        <w:spacing w:before="255" w:beforeAutospacing="0" w:after="255" w:afterAutospacing="0" w:line="450" w:lineRule="atLeast"/>
        <w:ind w:left="0" w:right="0"/>
        <w:jc w:val="center"/>
        <w:rPr>
          <w:rStyle w:val="53"/>
          <w:rFonts w:ascii="黑体" w:hAnsi="宋体" w:eastAsia="黑体" w:cs="黑体"/>
          <w:sz w:val="27"/>
          <w:szCs w:val="27"/>
        </w:rPr>
      </w:pPr>
      <w:r>
        <w:rPr>
          <w:rStyle w:val="53"/>
          <w:rFonts w:hint="eastAsia" w:ascii="黑体" w:hAnsi="宋体" w:eastAsia="黑体" w:cs="黑体"/>
          <w:sz w:val="27"/>
          <w:szCs w:val="27"/>
        </w:rPr>
        <w:t>新疆泽远工程项目管理有限公司关于克州疾病预防控制中心致病菌、新冠基因测序等监测试剂耗材采购项目的更正公告</w:t>
      </w:r>
    </w:p>
    <w:p w14:paraId="10A0950A">
      <w:pPr>
        <w:pStyle w:val="44"/>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10" w:lineRule="atLeast"/>
        <w:ind w:left="0" w:right="0" w:firstLine="0"/>
        <w:jc w:val="both"/>
        <w:textAlignment w:val="auto"/>
        <w:rPr>
          <w:rFonts w:hint="eastAsia" w:ascii="仿宋" w:hAnsi="仿宋" w:eastAsia="仿宋" w:cs="仿宋"/>
          <w:i w:val="0"/>
          <w:iCs w:val="0"/>
          <w:caps w:val="0"/>
          <w:color w:val="000000"/>
          <w:spacing w:val="0"/>
          <w:sz w:val="27"/>
          <w:szCs w:val="27"/>
        </w:rPr>
      </w:pPr>
      <w:r>
        <w:rPr>
          <w:rStyle w:val="53"/>
          <w:rFonts w:hint="eastAsia" w:ascii="仿宋" w:hAnsi="仿宋" w:eastAsia="仿宋" w:cs="仿宋"/>
          <w:i w:val="0"/>
          <w:iCs w:val="0"/>
          <w:caps w:val="0"/>
          <w:color w:val="000000"/>
          <w:spacing w:val="0"/>
          <w:sz w:val="27"/>
          <w:szCs w:val="27"/>
        </w:rPr>
        <w:t>一、项目基本情况</w:t>
      </w:r>
    </w:p>
    <w:p w14:paraId="1F83D5DC">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原公告的采购项目编号：KZZB-2025103</w:t>
      </w:r>
    </w:p>
    <w:p w14:paraId="296B4019">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原公告的采购项目名称：克州疾病预防控制中心致病菌、新冠基因测序等监测试剂耗材采购项目</w:t>
      </w:r>
    </w:p>
    <w:p w14:paraId="0973F716">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首次公告日期：2025年07月01日  </w:t>
      </w:r>
    </w:p>
    <w:p w14:paraId="74316332">
      <w:pPr>
        <w:pStyle w:val="44"/>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10" w:lineRule="atLeast"/>
        <w:ind w:left="0" w:right="0" w:firstLine="0"/>
        <w:jc w:val="both"/>
        <w:textAlignment w:val="auto"/>
        <w:rPr>
          <w:rFonts w:hint="eastAsia" w:ascii="仿宋" w:hAnsi="仿宋" w:eastAsia="仿宋" w:cs="仿宋"/>
          <w:i w:val="0"/>
          <w:iCs w:val="0"/>
          <w:caps w:val="0"/>
          <w:color w:val="000000"/>
          <w:spacing w:val="0"/>
          <w:sz w:val="27"/>
          <w:szCs w:val="27"/>
        </w:rPr>
      </w:pPr>
      <w:r>
        <w:rPr>
          <w:rStyle w:val="53"/>
          <w:rFonts w:hint="eastAsia" w:ascii="仿宋" w:hAnsi="仿宋" w:eastAsia="仿宋" w:cs="仿宋"/>
          <w:i w:val="0"/>
          <w:iCs w:val="0"/>
          <w:caps w:val="0"/>
          <w:color w:val="000000"/>
          <w:spacing w:val="0"/>
          <w:sz w:val="27"/>
          <w:szCs w:val="27"/>
        </w:rPr>
        <w:t>二、更正信息</w:t>
      </w:r>
    </w:p>
    <w:p w14:paraId="7401C0DB">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更正事项：采购公告,谈判文件</w:t>
      </w:r>
    </w:p>
    <w:p w14:paraId="6247586D">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更正内容：</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w:t>
      </w:r>
    </w:p>
    <w:tbl>
      <w:tblPr>
        <w:tblStyle w:val="50"/>
        <w:tblW w:w="56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73"/>
        <w:gridCol w:w="3370"/>
        <w:gridCol w:w="3471"/>
        <w:gridCol w:w="3352"/>
      </w:tblGrid>
      <w:tr w14:paraId="65D4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476" w:type="pct"/>
            <w:noWrap w:val="0"/>
            <w:tcMar>
              <w:top w:w="75" w:type="dxa"/>
              <w:left w:w="150" w:type="dxa"/>
              <w:bottom w:w="75" w:type="dxa"/>
              <w:right w:w="150" w:type="dxa"/>
            </w:tcMar>
            <w:vAlign w:val="center"/>
          </w:tcPr>
          <w:p w14:paraId="312C3AB0">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序号</w:t>
            </w:r>
          </w:p>
        </w:tc>
        <w:tc>
          <w:tcPr>
            <w:tcW w:w="1495" w:type="pct"/>
            <w:noWrap w:val="0"/>
            <w:tcMar>
              <w:top w:w="75" w:type="dxa"/>
              <w:left w:w="150" w:type="dxa"/>
              <w:bottom w:w="75" w:type="dxa"/>
              <w:right w:w="150" w:type="dxa"/>
            </w:tcMar>
            <w:vAlign w:val="center"/>
          </w:tcPr>
          <w:p w14:paraId="26321424">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更正项</w:t>
            </w:r>
          </w:p>
        </w:tc>
        <w:tc>
          <w:tcPr>
            <w:tcW w:w="1540" w:type="pct"/>
            <w:noWrap w:val="0"/>
            <w:tcMar>
              <w:top w:w="75" w:type="dxa"/>
              <w:left w:w="150" w:type="dxa"/>
              <w:bottom w:w="75" w:type="dxa"/>
              <w:right w:w="150" w:type="dxa"/>
            </w:tcMar>
            <w:vAlign w:val="center"/>
          </w:tcPr>
          <w:p w14:paraId="77C8AF05">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更正前内容</w:t>
            </w:r>
          </w:p>
        </w:tc>
        <w:tc>
          <w:tcPr>
            <w:tcW w:w="1487" w:type="pct"/>
            <w:noWrap w:val="0"/>
            <w:tcMar>
              <w:top w:w="75" w:type="dxa"/>
              <w:left w:w="150" w:type="dxa"/>
              <w:bottom w:w="75" w:type="dxa"/>
              <w:right w:w="150" w:type="dxa"/>
            </w:tcMar>
            <w:vAlign w:val="center"/>
          </w:tcPr>
          <w:p w14:paraId="569A8A84">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更正后内容</w:t>
            </w:r>
          </w:p>
        </w:tc>
      </w:tr>
      <w:tr w14:paraId="1C9F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4" w:hRule="atLeast"/>
          <w:jc w:val="center"/>
        </w:trPr>
        <w:tc>
          <w:tcPr>
            <w:tcW w:w="476" w:type="pct"/>
            <w:noWrap w:val="0"/>
            <w:tcMar>
              <w:top w:w="75" w:type="dxa"/>
              <w:left w:w="150" w:type="dxa"/>
              <w:bottom w:w="75" w:type="dxa"/>
              <w:right w:w="150" w:type="dxa"/>
            </w:tcMar>
            <w:vAlign w:val="center"/>
          </w:tcPr>
          <w:p w14:paraId="068CF093">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1</w:t>
            </w:r>
          </w:p>
        </w:tc>
        <w:tc>
          <w:tcPr>
            <w:tcW w:w="1495" w:type="pct"/>
            <w:noWrap w:val="0"/>
            <w:tcMar>
              <w:top w:w="75" w:type="dxa"/>
              <w:left w:w="150" w:type="dxa"/>
              <w:bottom w:w="75" w:type="dxa"/>
              <w:right w:w="150" w:type="dxa"/>
            </w:tcMar>
            <w:vAlign w:val="center"/>
          </w:tcPr>
          <w:p w14:paraId="505F0F21">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克州疾病预防控制中心致病菌、新冠基因测序等监测试剂耗材采购项目（二包）P35技术参数</w:t>
            </w:r>
          </w:p>
        </w:tc>
        <w:tc>
          <w:tcPr>
            <w:tcW w:w="1540" w:type="pct"/>
            <w:noWrap w:val="0"/>
            <w:tcMar>
              <w:top w:w="75" w:type="dxa"/>
              <w:left w:w="150" w:type="dxa"/>
              <w:bottom w:w="75" w:type="dxa"/>
              <w:right w:w="150" w:type="dxa"/>
            </w:tcMar>
            <w:vAlign w:val="center"/>
          </w:tcPr>
          <w:p w14:paraId="05D0461B">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详见更正前谈判文件</w:t>
            </w:r>
          </w:p>
        </w:tc>
        <w:tc>
          <w:tcPr>
            <w:tcW w:w="1487" w:type="pct"/>
            <w:noWrap w:val="0"/>
            <w:tcMar>
              <w:top w:w="75" w:type="dxa"/>
              <w:left w:w="150" w:type="dxa"/>
              <w:bottom w:w="75" w:type="dxa"/>
              <w:right w:w="150" w:type="dxa"/>
            </w:tcMar>
            <w:vAlign w:val="center"/>
          </w:tcPr>
          <w:p w14:paraId="72A37EFF">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详见更正后谈判文件</w:t>
            </w:r>
          </w:p>
        </w:tc>
      </w:tr>
      <w:tr w14:paraId="310C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6" w:hRule="atLeast"/>
          <w:jc w:val="center"/>
        </w:trPr>
        <w:tc>
          <w:tcPr>
            <w:tcW w:w="476" w:type="pct"/>
            <w:noWrap w:val="0"/>
            <w:tcMar>
              <w:top w:w="75" w:type="dxa"/>
              <w:left w:w="150" w:type="dxa"/>
              <w:bottom w:w="75" w:type="dxa"/>
              <w:right w:w="150" w:type="dxa"/>
            </w:tcMar>
            <w:vAlign w:val="center"/>
          </w:tcPr>
          <w:p w14:paraId="7905A61D">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2</w:t>
            </w:r>
          </w:p>
        </w:tc>
        <w:tc>
          <w:tcPr>
            <w:tcW w:w="1495" w:type="pct"/>
            <w:noWrap w:val="0"/>
            <w:tcMar>
              <w:top w:w="75" w:type="dxa"/>
              <w:left w:w="150" w:type="dxa"/>
              <w:bottom w:w="75" w:type="dxa"/>
              <w:right w:w="150" w:type="dxa"/>
            </w:tcMar>
            <w:vAlign w:val="center"/>
          </w:tcPr>
          <w:p w14:paraId="746F568B">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克州疾病预防控制中心致病菌、新冠基因测序等监测试剂耗材采购项目（一包）P35技术参数</w:t>
            </w:r>
          </w:p>
        </w:tc>
        <w:tc>
          <w:tcPr>
            <w:tcW w:w="1540" w:type="pct"/>
            <w:noWrap w:val="0"/>
            <w:tcMar>
              <w:top w:w="75" w:type="dxa"/>
              <w:left w:w="150" w:type="dxa"/>
              <w:bottom w:w="75" w:type="dxa"/>
              <w:right w:w="150" w:type="dxa"/>
            </w:tcMar>
            <w:vAlign w:val="center"/>
          </w:tcPr>
          <w:p w14:paraId="55AF23F8">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详见更正前谈判文件</w:t>
            </w:r>
          </w:p>
        </w:tc>
        <w:tc>
          <w:tcPr>
            <w:tcW w:w="1487" w:type="pct"/>
            <w:noWrap w:val="0"/>
            <w:tcMar>
              <w:top w:w="75" w:type="dxa"/>
              <w:left w:w="150" w:type="dxa"/>
              <w:bottom w:w="75" w:type="dxa"/>
              <w:right w:w="150" w:type="dxa"/>
            </w:tcMar>
            <w:vAlign w:val="center"/>
          </w:tcPr>
          <w:p w14:paraId="7EF4E185">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详见更正后谈判文件</w:t>
            </w:r>
          </w:p>
        </w:tc>
      </w:tr>
      <w:tr w14:paraId="4723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jc w:val="center"/>
        </w:trPr>
        <w:tc>
          <w:tcPr>
            <w:tcW w:w="476" w:type="pct"/>
            <w:noWrap w:val="0"/>
            <w:tcMar>
              <w:top w:w="75" w:type="dxa"/>
              <w:left w:w="150" w:type="dxa"/>
              <w:bottom w:w="75" w:type="dxa"/>
              <w:right w:w="150" w:type="dxa"/>
            </w:tcMar>
            <w:vAlign w:val="center"/>
          </w:tcPr>
          <w:p w14:paraId="6CD7A282">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3</w:t>
            </w:r>
          </w:p>
        </w:tc>
        <w:tc>
          <w:tcPr>
            <w:tcW w:w="1495" w:type="pct"/>
            <w:noWrap w:val="0"/>
            <w:tcMar>
              <w:top w:w="75" w:type="dxa"/>
              <w:left w:w="150" w:type="dxa"/>
              <w:bottom w:w="75" w:type="dxa"/>
              <w:right w:w="150" w:type="dxa"/>
            </w:tcMar>
            <w:vAlign w:val="center"/>
          </w:tcPr>
          <w:p w14:paraId="1FF5C15A">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获取谈判文件时间</w:t>
            </w:r>
          </w:p>
        </w:tc>
        <w:tc>
          <w:tcPr>
            <w:tcW w:w="1540" w:type="pct"/>
            <w:noWrap w:val="0"/>
            <w:tcMar>
              <w:top w:w="75" w:type="dxa"/>
              <w:left w:w="150" w:type="dxa"/>
              <w:bottom w:w="75" w:type="dxa"/>
              <w:right w:w="150" w:type="dxa"/>
            </w:tcMar>
            <w:vAlign w:val="center"/>
          </w:tcPr>
          <w:p w14:paraId="522EE03C">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2025年07月03日至2025年 07月07日，每天上午10:00至14:00，下午16:00至20:00（北京时间，法定节假日除外）</w:t>
            </w:r>
          </w:p>
        </w:tc>
        <w:tc>
          <w:tcPr>
            <w:tcW w:w="1487" w:type="pct"/>
            <w:noWrap w:val="0"/>
            <w:tcMar>
              <w:top w:w="75" w:type="dxa"/>
              <w:left w:w="150" w:type="dxa"/>
              <w:bottom w:w="75" w:type="dxa"/>
              <w:right w:w="150" w:type="dxa"/>
            </w:tcMar>
            <w:vAlign w:val="center"/>
          </w:tcPr>
          <w:p w14:paraId="02A0EF30">
            <w:pPr>
              <w:keepNext w:val="0"/>
              <w:keepLines w:val="0"/>
              <w:pageBreakBefore w:val="0"/>
              <w:widowControl/>
              <w:suppressLineNumbers w:val="0"/>
              <w:kinsoku/>
              <w:wordWrap w:val="0"/>
              <w:overflowPunct/>
              <w:topLinePunct w:val="0"/>
              <w:autoSpaceDE/>
              <w:autoSpaceDN/>
              <w:bidi w:val="0"/>
              <w:adjustRightInd/>
              <w:snapToGrid/>
              <w:spacing w:line="10" w:lineRule="atLeast"/>
              <w:jc w:val="center"/>
              <w:textAlignment w:val="auto"/>
              <w:rPr>
                <w:rFonts w:hint="eastAsia" w:ascii="仿宋" w:hAnsi="仿宋" w:eastAsia="仿宋" w:cs="仿宋"/>
              </w:rPr>
            </w:pPr>
            <w:r>
              <w:rPr>
                <w:rFonts w:hint="eastAsia" w:ascii="仿宋" w:hAnsi="仿宋" w:eastAsia="仿宋" w:cs="仿宋"/>
                <w:kern w:val="0"/>
                <w:sz w:val="24"/>
                <w:szCs w:val="24"/>
                <w:lang w:val="en-US" w:eastAsia="zh-CN" w:bidi="ar"/>
              </w:rPr>
              <w:t>2025年07月04日至2025年 07月08日，每天上午10:00至14:00，下午16:00至20:00（北京时间，法定节假日除外）</w:t>
            </w:r>
          </w:p>
        </w:tc>
      </w:tr>
    </w:tbl>
    <w:p w14:paraId="5D91EA73">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更正日期：2025年07月03日</w:t>
      </w:r>
    </w:p>
    <w:p w14:paraId="2CF054EC">
      <w:pPr>
        <w:pStyle w:val="44"/>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10" w:lineRule="atLeast"/>
        <w:ind w:left="0" w:right="0" w:firstLine="0"/>
        <w:jc w:val="both"/>
        <w:textAlignment w:val="auto"/>
        <w:rPr>
          <w:rFonts w:hint="eastAsia" w:ascii="仿宋" w:hAnsi="仿宋" w:eastAsia="仿宋" w:cs="仿宋"/>
          <w:i w:val="0"/>
          <w:iCs w:val="0"/>
          <w:caps w:val="0"/>
          <w:color w:val="000000"/>
          <w:spacing w:val="0"/>
          <w:sz w:val="27"/>
          <w:szCs w:val="27"/>
        </w:rPr>
      </w:pPr>
      <w:r>
        <w:rPr>
          <w:rStyle w:val="53"/>
          <w:rFonts w:hint="eastAsia" w:ascii="仿宋" w:hAnsi="仿宋" w:eastAsia="仿宋" w:cs="仿宋"/>
          <w:i w:val="0"/>
          <w:iCs w:val="0"/>
          <w:caps w:val="0"/>
          <w:color w:val="000000"/>
          <w:spacing w:val="0"/>
          <w:sz w:val="27"/>
          <w:szCs w:val="27"/>
        </w:rPr>
        <w:t>三、其他补充事宜</w:t>
      </w:r>
    </w:p>
    <w:p w14:paraId="36B01040">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w:t>
      </w:r>
      <w:r>
        <w:rPr>
          <w:rStyle w:val="58"/>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rPr>
        <w:t> </w:t>
      </w:r>
    </w:p>
    <w:p w14:paraId="6E429BA7">
      <w:pPr>
        <w:pStyle w:val="44"/>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10" w:lineRule="atLeast"/>
        <w:ind w:left="0" w:right="0" w:firstLine="0"/>
        <w:jc w:val="both"/>
        <w:textAlignment w:val="auto"/>
        <w:rPr>
          <w:rFonts w:hint="eastAsia" w:ascii="仿宋" w:hAnsi="仿宋" w:eastAsia="仿宋" w:cs="仿宋"/>
          <w:i w:val="0"/>
          <w:iCs w:val="0"/>
          <w:caps w:val="0"/>
          <w:color w:val="000000"/>
          <w:spacing w:val="0"/>
          <w:sz w:val="27"/>
          <w:szCs w:val="27"/>
        </w:rPr>
      </w:pPr>
      <w:r>
        <w:rPr>
          <w:rStyle w:val="53"/>
          <w:rFonts w:hint="eastAsia" w:ascii="仿宋" w:hAnsi="仿宋" w:eastAsia="仿宋" w:cs="仿宋"/>
          <w:i w:val="0"/>
          <w:iCs w:val="0"/>
          <w:caps w:val="0"/>
          <w:color w:val="000000"/>
          <w:spacing w:val="0"/>
          <w:sz w:val="27"/>
          <w:szCs w:val="27"/>
        </w:rPr>
        <w:t>四、对本次采购提出询问，请按以下方式联系。</w:t>
      </w:r>
    </w:p>
    <w:p w14:paraId="5B3F66D7">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1.采购人信息</w:t>
      </w:r>
    </w:p>
    <w:p w14:paraId="24120E0E">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名 称：</w:t>
      </w:r>
      <w:r>
        <w:rPr>
          <w:rStyle w:val="58"/>
          <w:rFonts w:hint="eastAsia" w:ascii="仿宋" w:hAnsi="仿宋" w:eastAsia="仿宋" w:cs="仿宋"/>
          <w:i w:val="0"/>
          <w:iCs w:val="0"/>
          <w:caps w:val="0"/>
          <w:color w:val="000000"/>
          <w:spacing w:val="0"/>
          <w:sz w:val="27"/>
          <w:szCs w:val="27"/>
        </w:rPr>
        <w:t>克孜勒苏柯尔克孜自治州疾病预防控制中心</w:t>
      </w:r>
    </w:p>
    <w:p w14:paraId="31AE1D71">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地 址：新疆阿图什市站前路12号</w:t>
      </w:r>
    </w:p>
    <w:p w14:paraId="6B703602">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联系方式：18997696567</w:t>
      </w:r>
    </w:p>
    <w:p w14:paraId="0CE4AE13">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2.采购代理机构信息</w:t>
      </w:r>
    </w:p>
    <w:p w14:paraId="4A21E7AC">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名 称：新疆泽远工程项目管理有限公司</w:t>
      </w:r>
    </w:p>
    <w:p w14:paraId="7A69FF82">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地 址：阿图什市香港城西区8号楼2单元402室</w:t>
      </w:r>
    </w:p>
    <w:p w14:paraId="7408D483">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联系方式：13179869852</w:t>
      </w:r>
    </w:p>
    <w:p w14:paraId="479FA42C">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3.项目联系方式</w:t>
      </w:r>
    </w:p>
    <w:p w14:paraId="178A40F3">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项目联系人：</w:t>
      </w:r>
      <w:r>
        <w:rPr>
          <w:rStyle w:val="58"/>
          <w:rFonts w:hint="eastAsia" w:ascii="仿宋" w:hAnsi="仿宋" w:eastAsia="仿宋" w:cs="仿宋"/>
          <w:i w:val="0"/>
          <w:iCs w:val="0"/>
          <w:caps w:val="0"/>
          <w:color w:val="000000"/>
          <w:spacing w:val="0"/>
          <w:sz w:val="27"/>
          <w:szCs w:val="27"/>
        </w:rPr>
        <w:t>张女士</w:t>
      </w:r>
    </w:p>
    <w:p w14:paraId="266BAD0C">
      <w:pPr>
        <w:pStyle w:val="4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10" w:lineRule="atLeas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电 话：</w:t>
      </w:r>
      <w:r>
        <w:rPr>
          <w:rStyle w:val="58"/>
          <w:rFonts w:hint="eastAsia" w:ascii="仿宋" w:hAnsi="仿宋" w:eastAsia="仿宋" w:cs="仿宋"/>
          <w:i w:val="0"/>
          <w:iCs w:val="0"/>
          <w:caps w:val="0"/>
          <w:color w:val="000000"/>
          <w:spacing w:val="0"/>
          <w:sz w:val="27"/>
          <w:szCs w:val="27"/>
        </w:rPr>
        <w:t>13179869852</w:t>
      </w:r>
    </w:p>
    <w:p w14:paraId="53CC6EC9">
      <w:pPr>
        <w:pStyle w:val="38"/>
        <w:rPr>
          <w:rFonts w:hint="eastAsia"/>
        </w:rPr>
      </w:pPr>
    </w:p>
    <w:p w14:paraId="23193668">
      <w:pPr>
        <w:rPr>
          <w:rFonts w:hint="eastAsia"/>
        </w:rPr>
      </w:pPr>
    </w:p>
    <w:p w14:paraId="53AF7E3A">
      <w:pPr>
        <w:rPr>
          <w:rFonts w:hint="eastAsia"/>
        </w:rPr>
      </w:pPr>
    </w:p>
    <w:p w14:paraId="36B48FCB">
      <w:pPr>
        <w:rPr>
          <w:rFonts w:hint="eastAsia"/>
        </w:rPr>
      </w:pPr>
    </w:p>
    <w:p w14:paraId="63367996">
      <w:pPr>
        <w:rPr>
          <w:rFonts w:hint="eastAsia"/>
        </w:rPr>
      </w:pPr>
    </w:p>
    <w:p w14:paraId="67D9AA43">
      <w:pPr>
        <w:rPr>
          <w:rFonts w:hint="eastAsia"/>
        </w:rPr>
      </w:pPr>
    </w:p>
    <w:p w14:paraId="23EEEFA6">
      <w:pPr>
        <w:rPr>
          <w:rFonts w:hint="eastAsia"/>
        </w:rPr>
      </w:pPr>
    </w:p>
    <w:p w14:paraId="505E94EB">
      <w:pPr>
        <w:shd w:val="clear" w:color="auto" w:fill="auto"/>
        <w:jc w:val="center"/>
        <w:outlineLvl w:val="0"/>
        <w:rPr>
          <w:rFonts w:hint="eastAsia" w:ascii="宋体" w:hAnsi="宋体" w:eastAsia="宋体" w:cs="宋体"/>
          <w:b/>
          <w:color w:val="auto"/>
          <w:spacing w:val="40"/>
          <w:sz w:val="32"/>
          <w:szCs w:val="32"/>
          <w:highlight w:val="none"/>
        </w:rPr>
      </w:pPr>
      <w:bookmarkStart w:id="10" w:name="_Toc14725"/>
      <w:bookmarkStart w:id="11" w:name="_Toc25597"/>
      <w:r>
        <w:rPr>
          <w:rStyle w:val="59"/>
          <w:rFonts w:hint="eastAsia" w:ascii="宋体" w:hAnsi="宋体" w:eastAsia="宋体" w:cs="宋体"/>
          <w:color w:val="auto"/>
          <w:highlight w:val="none"/>
          <w:lang w:val="en-US" w:eastAsia="zh-CN"/>
        </w:rPr>
        <w:t xml:space="preserve"> 第一章 竞争性谈判公告</w:t>
      </w:r>
      <w:bookmarkEnd w:id="10"/>
      <w:bookmarkEnd w:id="11"/>
      <w:r>
        <w:rPr>
          <w:rFonts w:hint="eastAsia" w:ascii="宋体" w:hAnsi="宋体" w:eastAsia="宋体" w:cs="宋体"/>
          <w:b/>
          <w:color w:val="auto"/>
          <w:spacing w:val="40"/>
          <w:sz w:val="32"/>
          <w:szCs w:val="32"/>
          <w:highlight w:val="none"/>
        </w:rPr>
        <w:t xml:space="preserve">  </w:t>
      </w:r>
    </w:p>
    <w:p w14:paraId="3D457072">
      <w:pPr>
        <w:widowControl/>
        <w:shd w:val="clear" w:color="auto" w:fill="auto"/>
        <w:spacing w:before="75" w:after="75" w:line="240" w:lineRule="auto"/>
        <w:jc w:val="center"/>
        <w:outlineLvl w:val="1"/>
        <w:rPr>
          <w:rFonts w:hint="eastAsia" w:ascii="宋体" w:hAnsi="宋体" w:cs="宋体"/>
          <w:b/>
          <w:bCs/>
          <w:color w:val="auto"/>
          <w:kern w:val="0"/>
          <w:sz w:val="28"/>
          <w:szCs w:val="28"/>
          <w:highlight w:val="none"/>
          <w:u w:val="none"/>
          <w:lang w:val="en-US" w:eastAsia="zh-CN"/>
        </w:rPr>
      </w:pPr>
      <w:r>
        <w:rPr>
          <w:rFonts w:hint="eastAsia" w:ascii="宋体" w:hAnsi="宋体" w:cs="宋体"/>
          <w:b/>
          <w:bCs/>
          <w:color w:val="auto"/>
          <w:kern w:val="0"/>
          <w:sz w:val="28"/>
          <w:szCs w:val="28"/>
          <w:highlight w:val="none"/>
          <w:u w:val="none"/>
          <w:lang w:val="en-US" w:eastAsia="zh-CN"/>
        </w:rPr>
        <w:t>克州疾病预防控制中心致病菌、新冠基因测序等监测试剂耗材</w:t>
      </w:r>
    </w:p>
    <w:p w14:paraId="0D39EE81">
      <w:pPr>
        <w:widowControl/>
        <w:shd w:val="clear" w:color="auto" w:fill="auto"/>
        <w:spacing w:before="75" w:after="75" w:line="240" w:lineRule="auto"/>
        <w:jc w:val="center"/>
        <w:rPr>
          <w:rFonts w:hint="eastAsia" w:ascii="宋体" w:hAnsi="宋体" w:eastAsia="宋体" w:cs="宋体"/>
          <w:b/>
          <w:bCs/>
          <w:color w:val="auto"/>
          <w:kern w:val="0"/>
          <w:sz w:val="28"/>
          <w:szCs w:val="28"/>
          <w:highlight w:val="none"/>
          <w:vertAlign w:val="baseline"/>
        </w:rPr>
      </w:pPr>
      <w:r>
        <w:rPr>
          <w:rFonts w:hint="eastAsia" w:ascii="宋体" w:hAnsi="宋体" w:cs="宋体"/>
          <w:b/>
          <w:bCs/>
          <w:color w:val="auto"/>
          <w:kern w:val="0"/>
          <w:sz w:val="28"/>
          <w:szCs w:val="28"/>
          <w:highlight w:val="none"/>
          <w:u w:val="none"/>
          <w:lang w:val="en-US" w:eastAsia="zh-CN"/>
        </w:rPr>
        <w:t>采购项目</w:t>
      </w:r>
      <w:r>
        <w:rPr>
          <w:rFonts w:hint="eastAsia" w:ascii="宋体" w:hAnsi="宋体" w:eastAsia="宋体" w:cs="宋体"/>
          <w:b/>
          <w:bCs/>
          <w:color w:val="auto"/>
          <w:kern w:val="0"/>
          <w:sz w:val="28"/>
          <w:szCs w:val="28"/>
          <w:highlight w:val="none"/>
          <w:u w:val="none"/>
          <w:lang w:val="en-US" w:eastAsia="zh-CN"/>
        </w:rPr>
        <w:t>竞争性谈判公告</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5"/>
      </w:tblGrid>
      <w:tr w14:paraId="1D3B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9385" w:type="dxa"/>
            <w:noWrap w:val="0"/>
            <w:vAlign w:val="top"/>
          </w:tcPr>
          <w:p w14:paraId="3DBEDA2C">
            <w:pPr>
              <w:pStyle w:val="44"/>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 xml:space="preserve">项目概况 </w:t>
            </w:r>
          </w:p>
          <w:p w14:paraId="6BA5B353">
            <w:pPr>
              <w:pStyle w:val="44"/>
              <w:keepNext w:val="0"/>
              <w:keepLines w:val="0"/>
              <w:widowControl/>
              <w:suppressLineNumbers w:val="0"/>
              <w:shd w:val="clear" w:color="auto" w:fill="auto"/>
              <w:autoSpaceDE w:val="0"/>
              <w:autoSpaceDN/>
              <w:spacing w:before="75" w:beforeAutospacing="0" w:after="75" w:afterAutospacing="0" w:line="300" w:lineRule="exact"/>
              <w:ind w:left="0" w:right="0" w:firstLine="420" w:firstLineChars="200"/>
              <w:rPr>
                <w:rFonts w:hint="eastAsia" w:ascii="宋体" w:hAnsi="宋体" w:eastAsia="宋体" w:cs="宋体"/>
                <w:color w:val="auto"/>
                <w:sz w:val="28"/>
                <w:szCs w:val="28"/>
                <w:highlight w:val="none"/>
                <w:vertAlign w:val="baseline"/>
              </w:rPr>
            </w:pPr>
            <w:r>
              <w:rPr>
                <w:rFonts w:hint="eastAsia" w:ascii="新宋体" w:hAnsi="新宋体" w:eastAsia="新宋体" w:cs="新宋体"/>
                <w:color w:val="auto"/>
                <w:kern w:val="0"/>
                <w:sz w:val="21"/>
                <w:szCs w:val="21"/>
                <w:highlight w:val="none"/>
                <w:lang w:val="en-US" w:eastAsia="zh-CN" w:bidi="ar"/>
              </w:rPr>
              <w:t>克州疾病预防控制中心致病菌、新冠基因测序等监测试剂耗材采购项目</w:t>
            </w:r>
            <w:r>
              <w:rPr>
                <w:rFonts w:hint="eastAsia" w:ascii="新宋体" w:hAnsi="新宋体" w:eastAsia="新宋体" w:cs="新宋体"/>
                <w:color w:val="auto"/>
                <w:sz w:val="21"/>
                <w:szCs w:val="21"/>
                <w:highlight w:val="none"/>
              </w:rPr>
              <w:t>的潜在投标人应在政采云平台线上https://www.zcygov.cn/获取招标文件，并</w:t>
            </w:r>
            <w:r>
              <w:rPr>
                <w:rFonts w:hint="eastAsia" w:ascii="新宋体" w:hAnsi="新宋体" w:eastAsia="新宋体" w:cs="新宋体"/>
                <w:color w:val="0000FF"/>
                <w:sz w:val="21"/>
                <w:szCs w:val="21"/>
                <w:highlight w:val="none"/>
              </w:rPr>
              <w:t>于202</w:t>
            </w:r>
            <w:r>
              <w:rPr>
                <w:rFonts w:hint="eastAsia" w:ascii="新宋体" w:hAnsi="新宋体" w:eastAsia="新宋体" w:cs="新宋体"/>
                <w:color w:val="0000FF"/>
                <w:sz w:val="21"/>
                <w:szCs w:val="21"/>
                <w:highlight w:val="none"/>
                <w:lang w:val="en-US" w:eastAsia="zh-CN"/>
              </w:rPr>
              <w:t>5</w:t>
            </w:r>
            <w:r>
              <w:rPr>
                <w:rFonts w:hint="eastAsia" w:ascii="新宋体" w:hAnsi="新宋体" w:eastAsia="新宋体" w:cs="新宋体"/>
                <w:color w:val="0000FF"/>
                <w:sz w:val="21"/>
                <w:szCs w:val="21"/>
                <w:highlight w:val="none"/>
              </w:rPr>
              <w:t>年07月</w:t>
            </w:r>
            <w:r>
              <w:rPr>
                <w:rFonts w:hint="eastAsia" w:ascii="新宋体" w:hAnsi="新宋体" w:eastAsia="新宋体" w:cs="新宋体"/>
                <w:color w:val="0000FF"/>
                <w:sz w:val="21"/>
                <w:szCs w:val="21"/>
                <w:highlight w:val="none"/>
                <w:lang w:val="en-US" w:eastAsia="zh-CN"/>
              </w:rPr>
              <w:t>09</w:t>
            </w:r>
            <w:r>
              <w:rPr>
                <w:rFonts w:hint="eastAsia" w:ascii="新宋体" w:hAnsi="新宋体" w:eastAsia="新宋体" w:cs="新宋体"/>
                <w:color w:val="0000FF"/>
                <w:sz w:val="21"/>
                <w:szCs w:val="21"/>
                <w:highlight w:val="none"/>
              </w:rPr>
              <w:t>日 10:30</w:t>
            </w:r>
            <w:r>
              <w:rPr>
                <w:rFonts w:hint="eastAsia" w:ascii="新宋体" w:hAnsi="新宋体" w:eastAsia="新宋体" w:cs="新宋体"/>
                <w:color w:val="auto"/>
                <w:sz w:val="21"/>
                <w:szCs w:val="21"/>
                <w:highlight w:val="none"/>
              </w:rPr>
              <w:t>（北京时间）前递交投标文件。</w:t>
            </w:r>
          </w:p>
        </w:tc>
      </w:tr>
    </w:tbl>
    <w:p w14:paraId="7B5EA8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b/>
          <w:bCs/>
          <w:color w:val="auto"/>
          <w:kern w:val="0"/>
          <w:sz w:val="21"/>
          <w:szCs w:val="21"/>
          <w:highlight w:val="none"/>
          <w:lang w:val="en-US" w:eastAsia="zh-CN" w:bidi="ar"/>
        </w:rPr>
        <w:t xml:space="preserve">一、项目基本情况 </w:t>
      </w:r>
      <w:r>
        <w:rPr>
          <w:rFonts w:hint="eastAsia" w:ascii="新宋体" w:hAnsi="新宋体" w:eastAsia="新宋体" w:cs="新宋体"/>
          <w:color w:val="auto"/>
          <w:kern w:val="0"/>
          <w:sz w:val="21"/>
          <w:szCs w:val="21"/>
          <w:highlight w:val="none"/>
          <w:lang w:val="en-US" w:eastAsia="zh-CN" w:bidi="ar"/>
        </w:rPr>
        <w:t xml:space="preserve">                                           </w:t>
      </w:r>
    </w:p>
    <w:p w14:paraId="181D75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项目编号：</w:t>
      </w:r>
      <w:r>
        <w:rPr>
          <w:rFonts w:hint="default" w:ascii="新宋体" w:hAnsi="新宋体" w:eastAsia="新宋体" w:cs="新宋体"/>
          <w:color w:val="auto"/>
          <w:kern w:val="0"/>
          <w:sz w:val="21"/>
          <w:szCs w:val="21"/>
          <w:highlight w:val="none"/>
          <w:lang w:val="en-US" w:eastAsia="zh-CN" w:bidi="ar"/>
        </w:rPr>
        <w:t>KZZB-</w:t>
      </w:r>
      <w:r>
        <w:rPr>
          <w:rFonts w:hint="eastAsia" w:ascii="新宋体" w:hAnsi="新宋体" w:eastAsia="新宋体" w:cs="新宋体"/>
          <w:color w:val="auto"/>
          <w:kern w:val="0"/>
          <w:sz w:val="21"/>
          <w:szCs w:val="21"/>
          <w:highlight w:val="none"/>
          <w:lang w:val="en-US" w:eastAsia="zh-CN" w:bidi="ar"/>
        </w:rPr>
        <w:t>2025103</w:t>
      </w:r>
    </w:p>
    <w:p w14:paraId="779404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项目名称：克州疾病预防控制中心致病菌、新冠基因测序等监测试剂耗材采购项目</w:t>
      </w:r>
    </w:p>
    <w:p w14:paraId="4EA63A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采购方式：竞争性谈判</w:t>
      </w:r>
    </w:p>
    <w:p w14:paraId="2A9D3B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预算金额（元）：1500000元</w:t>
      </w:r>
    </w:p>
    <w:p w14:paraId="53DED7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最高限价（元）：1060000元，440000元</w:t>
      </w:r>
    </w:p>
    <w:p w14:paraId="5A22F9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采购需求：</w:t>
      </w:r>
    </w:p>
    <w:p w14:paraId="49FE3A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标项一</w:t>
      </w:r>
    </w:p>
    <w:p w14:paraId="018068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标项名称：克州疾病预防控制中心致病菌、新冠基因测序等监测试剂耗材采购项目（一包）</w:t>
      </w:r>
    </w:p>
    <w:p w14:paraId="0D7F8B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数量：1</w:t>
      </w:r>
    </w:p>
    <w:p w14:paraId="0899F1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 xml:space="preserve">预算金额（元）：1060000元    </w:t>
      </w:r>
    </w:p>
    <w:p w14:paraId="7A5C5C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单位：批</w:t>
      </w:r>
    </w:p>
    <w:p w14:paraId="79AADB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简要规格描述：致病菌、流感、手足口监测相关试剂、新冠基因测序试剂、新冠污水检测试剂</w:t>
      </w:r>
    </w:p>
    <w:p w14:paraId="3517DD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备注：具体详见参数附件或谈判文件</w:t>
      </w:r>
    </w:p>
    <w:p w14:paraId="0F34A0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标项二</w:t>
      </w:r>
    </w:p>
    <w:p w14:paraId="47F778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标项名称：克州疾病预防控制中心致病菌、新冠基因测序等监测试剂耗材采购项目（二包）</w:t>
      </w:r>
    </w:p>
    <w:p w14:paraId="23250D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数量：1</w:t>
      </w:r>
    </w:p>
    <w:p w14:paraId="1F690E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 xml:space="preserve">预算金额（元）：440000元    </w:t>
      </w:r>
    </w:p>
    <w:p w14:paraId="2D1415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单位：批</w:t>
      </w:r>
    </w:p>
    <w:p w14:paraId="611382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简要规格描述：致病菌、流感、手足口监测相关试剂耗材、急救及应急检测耗材</w:t>
      </w:r>
    </w:p>
    <w:p w14:paraId="2C51CF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备注：具体详见参数附件或谈判文件</w:t>
      </w:r>
    </w:p>
    <w:p w14:paraId="71A3C2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p>
    <w:p w14:paraId="2A4B35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合同履约期限：标项 1，标项 2，详见谈判文件。</w:t>
      </w:r>
    </w:p>
    <w:p w14:paraId="3497C6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本项目（否）接受联合体投标。</w:t>
      </w:r>
    </w:p>
    <w:p w14:paraId="35221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outlineLvl w:val="1"/>
        <w:rPr>
          <w:rFonts w:hint="eastAsia" w:ascii="新宋体" w:hAnsi="新宋体" w:eastAsia="新宋体" w:cs="新宋体"/>
          <w:b/>
          <w:bCs/>
          <w:color w:val="auto"/>
          <w:kern w:val="0"/>
          <w:sz w:val="21"/>
          <w:szCs w:val="21"/>
          <w:highlight w:val="none"/>
          <w:lang w:val="en-US" w:eastAsia="zh-CN" w:bidi="ar"/>
        </w:rPr>
      </w:pPr>
      <w:r>
        <w:rPr>
          <w:rFonts w:hint="eastAsia" w:ascii="新宋体" w:hAnsi="新宋体" w:eastAsia="新宋体" w:cs="新宋体"/>
          <w:b/>
          <w:bCs/>
          <w:color w:val="auto"/>
          <w:kern w:val="0"/>
          <w:sz w:val="21"/>
          <w:szCs w:val="21"/>
          <w:highlight w:val="none"/>
          <w:lang w:val="en-US" w:eastAsia="zh-CN" w:bidi="ar"/>
        </w:rPr>
        <w:t>二、申请人的资格要求：</w:t>
      </w:r>
    </w:p>
    <w:p w14:paraId="3A9B25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outlineLvl w:val="2"/>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1.满足《中华人民共和国政府采购法》第二十二条规定；</w:t>
      </w:r>
    </w:p>
    <w:p w14:paraId="4CF2F1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2.落实政府采购政策需满足的资格要求：标项 1，标项 2：</w:t>
      </w:r>
      <w:r>
        <w:rPr>
          <w:rFonts w:hint="eastAsia" w:ascii="仿宋" w:hAnsi="仿宋" w:eastAsia="仿宋" w:cs="仿宋"/>
          <w:sz w:val="24"/>
          <w:szCs w:val="24"/>
        </w:rPr>
        <w:t>供应商为中小企业</w:t>
      </w:r>
    </w:p>
    <w:p w14:paraId="5C6C1C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outlineLvl w:val="2"/>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3.本项目的特定资格要求：标项1，标项2：</w:t>
      </w:r>
    </w:p>
    <w:p w14:paraId="4CCD68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outlineLvl w:val="3"/>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1).具备三证合一营业执照；</w:t>
      </w:r>
    </w:p>
    <w:p w14:paraId="78AC75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2).法定代表人投标需提供法定代表人资格证明书，委托代理人投标需提供法定代表人授权委托书；</w:t>
      </w:r>
    </w:p>
    <w:p w14:paraId="46D011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3).投标企业须提供投标人（被授权本单位在职人员）近 6 个月内任意 1 个月社保证明；</w:t>
      </w:r>
    </w:p>
    <w:p w14:paraId="6DBC20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4).未被“信用中国”（www.creditchina.gov.cn）、中国政府采购网（www.ccgp.gov.cn）列入失信被执行人、重大税收违法案件当事人名单、政府采购严重违法失信行为记录名单；</w:t>
      </w:r>
    </w:p>
    <w:p w14:paraId="547FCE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5).投标人具有有效的《二类医疗器械生产许可证》或《二类医疗器械经营许可证》。</w:t>
      </w:r>
    </w:p>
    <w:p w14:paraId="2AF42B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23DE4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422" w:firstLineChars="200"/>
        <w:jc w:val="left"/>
        <w:textAlignment w:val="auto"/>
        <w:outlineLvl w:val="1"/>
        <w:rPr>
          <w:rFonts w:hint="eastAsia" w:ascii="新宋体" w:hAnsi="新宋体" w:eastAsia="新宋体" w:cs="新宋体"/>
          <w:b/>
          <w:bCs/>
          <w:color w:val="auto"/>
          <w:kern w:val="0"/>
          <w:sz w:val="21"/>
          <w:szCs w:val="21"/>
          <w:highlight w:val="none"/>
          <w:lang w:val="en-US" w:eastAsia="zh-CN" w:bidi="ar"/>
        </w:rPr>
      </w:pPr>
      <w:r>
        <w:rPr>
          <w:rFonts w:hint="eastAsia" w:ascii="新宋体" w:hAnsi="新宋体" w:eastAsia="新宋体" w:cs="新宋体"/>
          <w:b/>
          <w:bCs/>
          <w:color w:val="auto"/>
          <w:kern w:val="0"/>
          <w:sz w:val="21"/>
          <w:szCs w:val="21"/>
          <w:highlight w:val="none"/>
          <w:lang w:val="en-US" w:eastAsia="zh-CN" w:bidi="ar"/>
        </w:rPr>
        <w:t xml:space="preserve">三、获取谈判文件 </w:t>
      </w:r>
    </w:p>
    <w:p w14:paraId="5A77087A">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时间：</w:t>
      </w:r>
      <w:r>
        <w:rPr>
          <w:rFonts w:hint="eastAsia" w:ascii="新宋体" w:hAnsi="新宋体" w:eastAsia="新宋体" w:cs="新宋体"/>
          <w:color w:val="0000FF"/>
          <w:kern w:val="0"/>
          <w:sz w:val="21"/>
          <w:szCs w:val="21"/>
          <w:highlight w:val="none"/>
          <w:lang w:val="en-US" w:eastAsia="zh-CN" w:bidi="ar"/>
        </w:rPr>
        <w:t>2025年07月04日至2025年 07月08日，每天上午10:00至14:00</w:t>
      </w:r>
      <w:r>
        <w:rPr>
          <w:rFonts w:hint="eastAsia" w:ascii="新宋体" w:hAnsi="新宋体" w:eastAsia="新宋体" w:cs="新宋体"/>
          <w:color w:val="000000"/>
          <w:kern w:val="0"/>
          <w:sz w:val="21"/>
          <w:szCs w:val="21"/>
          <w:highlight w:val="none"/>
          <w:lang w:val="en-US" w:eastAsia="zh-CN" w:bidi="ar"/>
        </w:rPr>
        <w:t>，下午16:00至20:00（北京时间，法定节假日除外）</w:t>
      </w:r>
    </w:p>
    <w:p w14:paraId="4B1F207C">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地点：政采云平台线上  </w:t>
      </w:r>
    </w:p>
    <w:p w14:paraId="539AD882">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方式：供应商登录政采云平台https://www.zcygov.cn/在线申请获取采购文件（进入“项目采购”应用，在获取采购文件菜单中选择项目，申请获取采购文件）  </w:t>
      </w:r>
    </w:p>
    <w:p w14:paraId="64B76401">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售价（元）：0 </w:t>
      </w:r>
    </w:p>
    <w:p w14:paraId="22B56504">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四、响应文件提交</w:t>
      </w:r>
    </w:p>
    <w:p w14:paraId="3FC8AFB0">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b w:val="0"/>
          <w:bCs w:val="0"/>
          <w:color w:val="0000FF"/>
          <w:kern w:val="0"/>
          <w:sz w:val="21"/>
          <w:szCs w:val="21"/>
          <w:highlight w:val="none"/>
          <w:u w:val="none"/>
          <w:lang w:val="en-US" w:eastAsia="zh-CN" w:bidi="ar"/>
        </w:rPr>
      </w:pPr>
      <w:r>
        <w:rPr>
          <w:rFonts w:hint="eastAsia" w:ascii="新宋体" w:hAnsi="新宋体" w:eastAsia="新宋体" w:cs="新宋体"/>
          <w:b w:val="0"/>
          <w:bCs w:val="0"/>
          <w:color w:val="0000FF"/>
          <w:kern w:val="0"/>
          <w:sz w:val="21"/>
          <w:szCs w:val="21"/>
          <w:highlight w:val="none"/>
          <w:u w:val="none"/>
          <w:lang w:val="en-US" w:eastAsia="zh-CN" w:bidi="ar"/>
        </w:rPr>
        <w:t>截止时间：2025年07月09日 10:30（北京时间）</w:t>
      </w:r>
    </w:p>
    <w:p w14:paraId="73735031">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b w:val="0"/>
          <w:bCs w:val="0"/>
          <w:color w:val="0000FF"/>
          <w:kern w:val="0"/>
          <w:sz w:val="21"/>
          <w:szCs w:val="21"/>
          <w:highlight w:val="none"/>
          <w:u w:val="none"/>
          <w:lang w:val="en-US" w:eastAsia="zh-CN" w:bidi="ar"/>
        </w:rPr>
      </w:pPr>
      <w:r>
        <w:rPr>
          <w:rFonts w:hint="eastAsia" w:ascii="新宋体" w:hAnsi="新宋体" w:eastAsia="新宋体" w:cs="新宋体"/>
          <w:b w:val="0"/>
          <w:bCs w:val="0"/>
          <w:color w:val="0000FF"/>
          <w:kern w:val="0"/>
          <w:sz w:val="21"/>
          <w:szCs w:val="21"/>
          <w:highlight w:val="none"/>
          <w:u w:val="none"/>
          <w:lang w:val="en-US" w:eastAsia="zh-CN" w:bidi="ar"/>
        </w:rPr>
        <w:t>地点：政府采购云平台（www.zcygov.cn）供应商应于递交投标文件截止时间之前将电子投标文件上传到“政采云”平台。  </w:t>
      </w:r>
    </w:p>
    <w:p w14:paraId="261E279B">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bCs/>
          <w:color w:val="0000FF"/>
          <w:kern w:val="0"/>
          <w:sz w:val="21"/>
          <w:szCs w:val="21"/>
          <w:highlight w:val="none"/>
          <w:u w:val="none"/>
          <w:lang w:val="en-US" w:eastAsia="zh-CN" w:bidi="ar"/>
        </w:rPr>
      </w:pPr>
      <w:r>
        <w:rPr>
          <w:rFonts w:hint="eastAsia" w:ascii="新宋体" w:hAnsi="新宋体" w:eastAsia="新宋体" w:cs="新宋体"/>
          <w:b/>
          <w:bCs/>
          <w:color w:val="0000FF"/>
          <w:kern w:val="0"/>
          <w:sz w:val="21"/>
          <w:szCs w:val="21"/>
          <w:highlight w:val="none"/>
          <w:u w:val="none"/>
          <w:lang w:val="en-US" w:eastAsia="zh-CN" w:bidi="ar"/>
        </w:rPr>
        <w:t>五、响应文件开启 </w:t>
      </w:r>
    </w:p>
    <w:p w14:paraId="63B3E8B6">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b w:val="0"/>
          <w:bCs w:val="0"/>
          <w:color w:val="0000FF"/>
          <w:kern w:val="0"/>
          <w:sz w:val="21"/>
          <w:szCs w:val="21"/>
          <w:highlight w:val="none"/>
          <w:u w:val="none"/>
          <w:lang w:val="en-US" w:eastAsia="zh-CN" w:bidi="ar"/>
        </w:rPr>
      </w:pPr>
      <w:r>
        <w:rPr>
          <w:rFonts w:hint="eastAsia" w:ascii="新宋体" w:hAnsi="新宋体" w:eastAsia="新宋体" w:cs="新宋体"/>
          <w:b w:val="0"/>
          <w:bCs w:val="0"/>
          <w:color w:val="0000FF"/>
          <w:kern w:val="0"/>
          <w:sz w:val="21"/>
          <w:szCs w:val="21"/>
          <w:highlight w:val="none"/>
          <w:u w:val="none"/>
          <w:lang w:val="en-US" w:eastAsia="zh-CN" w:bidi="ar"/>
        </w:rPr>
        <w:t>开启时间：2025年07月09日 10:30（北京时间）</w:t>
      </w:r>
    </w:p>
    <w:p w14:paraId="2BEF2457">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b w:val="0"/>
          <w:bCs w:val="0"/>
          <w:color w:val="auto"/>
          <w:kern w:val="0"/>
          <w:sz w:val="21"/>
          <w:szCs w:val="21"/>
          <w:highlight w:val="none"/>
          <w:u w:val="none"/>
          <w:lang w:val="en-US" w:eastAsia="zh-CN" w:bidi="ar"/>
        </w:rPr>
      </w:pPr>
      <w:r>
        <w:rPr>
          <w:rFonts w:hint="eastAsia" w:ascii="新宋体" w:hAnsi="新宋体" w:eastAsia="新宋体" w:cs="新宋体"/>
          <w:b w:val="0"/>
          <w:bCs w:val="0"/>
          <w:color w:val="auto"/>
          <w:kern w:val="0"/>
          <w:sz w:val="21"/>
          <w:szCs w:val="21"/>
          <w:highlight w:val="none"/>
          <w:u w:val="none"/>
          <w:lang w:val="en-US" w:eastAsia="zh-CN" w:bidi="ar"/>
        </w:rPr>
        <w:t>地点：投标人登录政采云平台https://www.zcygov.cn/，进入“项目采购-开标评标-右边选择对应项目点击“进入项目”进入开标大厅。</w:t>
      </w:r>
    </w:p>
    <w:p w14:paraId="4E50599A">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六、公告期限 </w:t>
      </w:r>
    </w:p>
    <w:p w14:paraId="3D98A732">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val="0"/>
          <w:bCs w:val="0"/>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 xml:space="preserve">  </w:t>
      </w:r>
      <w:r>
        <w:rPr>
          <w:rFonts w:hint="eastAsia" w:ascii="新宋体" w:hAnsi="新宋体" w:eastAsia="新宋体" w:cs="新宋体"/>
          <w:b w:val="0"/>
          <w:bCs w:val="0"/>
          <w:color w:val="auto"/>
          <w:kern w:val="0"/>
          <w:sz w:val="21"/>
          <w:szCs w:val="21"/>
          <w:highlight w:val="none"/>
          <w:u w:val="none"/>
          <w:lang w:val="en-US" w:eastAsia="zh-CN" w:bidi="ar"/>
        </w:rPr>
        <w:t>自本公告发布之日起3个工作日。</w:t>
      </w:r>
    </w:p>
    <w:p w14:paraId="0C33B474">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default"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 xml:space="preserve">七、其他补充事宜 </w:t>
      </w:r>
    </w:p>
    <w:p w14:paraId="1499A8C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ascii="仿宋" w:hAnsi="仿宋" w:eastAsia="仿宋" w:cs="仿宋"/>
          <w:i w:val="0"/>
          <w:iCs w:val="0"/>
          <w:caps w:val="0"/>
          <w:color w:val="auto"/>
          <w:spacing w:val="0"/>
          <w:kern w:val="0"/>
          <w:sz w:val="21"/>
          <w:szCs w:val="21"/>
          <w:highlight w:val="none"/>
          <w:lang w:val="en-US" w:eastAsia="zh-CN" w:bidi="ar"/>
        </w:rPr>
        <w:t>1、本项目实行网上投标，采用电子投标文件。</w:t>
      </w:r>
    </w:p>
    <w:p w14:paraId="0414CE6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    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1A6C5C5C">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    3、供应商将政采云电子交易客户端下载、安装完成后，可通过账号密码或CA登录客户端进行投标文件的制作。在使用政采云投标客户端时，建议使用WIN7及以上操作系统。</w:t>
      </w:r>
    </w:p>
    <w:p w14:paraId="71E7BB32">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    4、其他事项：/  </w:t>
      </w:r>
    </w:p>
    <w:p w14:paraId="072035D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1、采购限额标准以上，200万元以下的货物和服务采购项目、400万元以下的工程采购项目，适宜由中小企业提供的，采购人应当专门面向中小企业采购。</w:t>
      </w:r>
    </w:p>
    <w:p w14:paraId="6AFDCD86">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2、超过200万元的货物和服务采购项目、超过400万元的工程采购项目中适宜由中小企业提供的，预留该部分采购项目预算总额的30%以上专门面向中小企业采购，其中预留给小微企业的比例不低于60%。</w:t>
      </w:r>
    </w:p>
    <w:p w14:paraId="2DABA5B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5A8ABA1">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新宋体" w:hAnsi="新宋体" w:eastAsia="新宋体" w:cs="新宋体"/>
          <w:b/>
          <w:bCs/>
          <w:color w:val="auto"/>
          <w:kern w:val="0"/>
          <w:sz w:val="24"/>
          <w:szCs w:val="24"/>
          <w:highlight w:val="none"/>
          <w:u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2C87DEA">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right="0" w:firstLine="422" w:firstLineChars="200"/>
        <w:jc w:val="left"/>
        <w:textAlignment w:val="auto"/>
        <w:outlineLvl w:val="1"/>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 xml:space="preserve">八、对本次采购提出询问，请按以下方式联系 </w:t>
      </w:r>
      <w:r>
        <w:rPr>
          <w:rFonts w:hint="eastAsia" w:ascii="新宋体" w:hAnsi="新宋体" w:eastAsia="新宋体" w:cs="新宋体"/>
          <w:color w:val="auto"/>
          <w:kern w:val="0"/>
          <w:sz w:val="21"/>
          <w:szCs w:val="21"/>
          <w:highlight w:val="none"/>
          <w:u w:val="none"/>
          <w:lang w:val="en-US" w:eastAsia="zh-CN" w:bidi="ar"/>
        </w:rPr>
        <w:t xml:space="preserve">        </w:t>
      </w:r>
    </w:p>
    <w:p w14:paraId="41EF7759">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outlineLvl w:val="2"/>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1.采购人信息</w:t>
      </w:r>
    </w:p>
    <w:p w14:paraId="20D57459">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名    称：</w:t>
      </w:r>
      <w:r>
        <w:rPr>
          <w:rFonts w:hint="eastAsia" w:cs="宋体"/>
          <w:color w:val="auto"/>
          <w:sz w:val="21"/>
          <w:szCs w:val="21"/>
          <w:highlight w:val="none"/>
          <w:lang w:val="en-US" w:eastAsia="zh-CN"/>
        </w:rPr>
        <w:t>克孜勒苏柯尔克孜自治州疾病预防控制中心</w:t>
      </w:r>
      <w:r>
        <w:rPr>
          <w:rFonts w:hint="eastAsia" w:ascii="新宋体" w:hAnsi="新宋体" w:eastAsia="新宋体" w:cs="新宋体"/>
          <w:color w:val="auto"/>
          <w:kern w:val="0"/>
          <w:sz w:val="21"/>
          <w:szCs w:val="21"/>
          <w:highlight w:val="none"/>
          <w:u w:val="none"/>
          <w:lang w:val="en-US" w:eastAsia="zh-CN" w:bidi="ar"/>
        </w:rPr>
        <w:t xml:space="preserve">         </w:t>
      </w:r>
    </w:p>
    <w:p w14:paraId="4CCF6EEE">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地    址：新疆阿图什市站前路12号</w:t>
      </w:r>
    </w:p>
    <w:p w14:paraId="7C94756F">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项目联系人：艾先生            </w:t>
      </w:r>
    </w:p>
    <w:p w14:paraId="74695086">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项目联系方式：18997696567  </w:t>
      </w:r>
    </w:p>
    <w:p w14:paraId="63E4F4BA">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outlineLvl w:val="2"/>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2.采购代理机构信息</w:t>
      </w:r>
    </w:p>
    <w:p w14:paraId="73C0A9EF">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名    称：新疆泽远工程项目管理有限公司    </w:t>
      </w:r>
    </w:p>
    <w:p w14:paraId="24408214">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地    址：阿图什市香港城西区8号楼2单元402室 </w:t>
      </w:r>
    </w:p>
    <w:p w14:paraId="114F479B">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联 系 人：张女士            </w:t>
      </w:r>
    </w:p>
    <w:p w14:paraId="4A1836B6">
      <w:pPr>
        <w:pStyle w:val="4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rPr>
      </w:pPr>
      <w:r>
        <w:rPr>
          <w:rFonts w:hint="eastAsia" w:ascii="新宋体" w:hAnsi="新宋体" w:eastAsia="新宋体" w:cs="新宋体"/>
          <w:color w:val="auto"/>
          <w:kern w:val="0"/>
          <w:sz w:val="21"/>
          <w:szCs w:val="21"/>
          <w:highlight w:val="none"/>
          <w:u w:val="none"/>
          <w:lang w:val="en-US" w:eastAsia="zh-CN" w:bidi="ar"/>
        </w:rPr>
        <w:t xml:space="preserve">项目联系方式：13179869852 </w:t>
      </w:r>
    </w:p>
    <w:p w14:paraId="54B20480">
      <w:pPr>
        <w:pStyle w:val="44"/>
        <w:keepNext w:val="0"/>
        <w:keepLines w:val="0"/>
        <w:pageBreakBefore w:val="0"/>
        <w:widowControl w:val="0"/>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sectPr>
          <w:footerReference r:id="rId10" w:type="default"/>
          <w:pgSz w:w="11905" w:h="16838"/>
          <w:pgMar w:top="1440" w:right="1083" w:bottom="1440" w:left="1083" w:header="850" w:footer="992" w:gutter="0"/>
          <w:pgNumType w:fmt="decimal"/>
          <w:cols w:space="720" w:num="1"/>
          <w:rtlGutter w:val="0"/>
          <w:docGrid w:type="lines" w:linePitch="314" w:charSpace="0"/>
        </w:sectPr>
      </w:pPr>
    </w:p>
    <w:p w14:paraId="0F12BA6A">
      <w:pPr>
        <w:shd w:val="clear" w:color="auto" w:fill="auto"/>
        <w:spacing w:line="360" w:lineRule="auto"/>
        <w:jc w:val="center"/>
        <w:outlineLvl w:val="0"/>
        <w:rPr>
          <w:rStyle w:val="75"/>
          <w:rFonts w:hint="eastAsia" w:ascii="宋体" w:hAnsi="宋体" w:eastAsia="宋体" w:cs="宋体"/>
          <w:bCs w:val="0"/>
          <w:color w:val="auto"/>
          <w:highlight w:val="none"/>
        </w:rPr>
      </w:pPr>
      <w:bookmarkStart w:id="12" w:name="_Toc14579"/>
      <w:bookmarkStart w:id="13" w:name="_Toc22535"/>
      <w:r>
        <w:rPr>
          <w:rStyle w:val="75"/>
          <w:rFonts w:hint="eastAsia" w:ascii="宋体" w:hAnsi="宋体" w:eastAsia="宋体" w:cs="宋体"/>
          <w:bCs w:val="0"/>
          <w:color w:val="auto"/>
          <w:highlight w:val="none"/>
        </w:rPr>
        <w:t>第二章  供应商须知</w:t>
      </w:r>
      <w:bookmarkEnd w:id="12"/>
      <w:bookmarkEnd w:id="13"/>
    </w:p>
    <w:p w14:paraId="77052661">
      <w:pPr>
        <w:shd w:val="clear" w:color="auto" w:fill="auto"/>
        <w:spacing w:line="360" w:lineRule="auto"/>
        <w:jc w:val="center"/>
        <w:outlineLvl w:val="1"/>
        <w:rPr>
          <w:rFonts w:hint="eastAsia" w:ascii="宋体" w:hAnsi="宋体" w:eastAsia="宋体" w:cs="宋体"/>
          <w:b/>
          <w:color w:val="auto"/>
          <w:sz w:val="28"/>
          <w:szCs w:val="28"/>
          <w:highlight w:val="none"/>
        </w:rPr>
      </w:pPr>
      <w:bookmarkStart w:id="14" w:name="_Toc10557"/>
      <w:bookmarkStart w:id="15" w:name="_Toc60"/>
      <w:bookmarkStart w:id="16" w:name="_Toc4760_WPSOffice_Level1"/>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须知前附表</w:t>
      </w:r>
      <w:bookmarkEnd w:id="14"/>
      <w:bookmarkEnd w:id="15"/>
    </w:p>
    <w:tbl>
      <w:tblPr>
        <w:tblStyle w:val="50"/>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14:paraId="5ABBD3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14:paraId="6EFA2F56">
            <w:pPr>
              <w:pStyle w:val="24"/>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2"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14:paraId="2B5FCC27">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14:paraId="06EB4B6E">
            <w:pPr>
              <w:pStyle w:val="24"/>
              <w:keepNext w:val="0"/>
              <w:keepLines w:val="0"/>
              <w:pageBreakBefore w:val="0"/>
              <w:shd w:val="clear" w:color="auto" w:fill="auto"/>
              <w:kinsoku/>
              <w:wordWrap/>
              <w:overflowPunct/>
              <w:topLinePunct w:val="0"/>
              <w:autoSpaceDE/>
              <w:autoSpaceDN/>
              <w:bidi w:val="0"/>
              <w:adjustRightInd/>
              <w:snapToGrid w:val="0"/>
              <w:spacing w:line="290" w:lineRule="exact"/>
              <w:ind w:firstLine="210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14:paraId="61A254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14:paraId="02FD593E">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14:paraId="3CD8613B">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14:paraId="2EC0E5BF">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default" w:eastAsia="宋体"/>
                <w:b w:val="0"/>
                <w:bCs/>
                <w:color w:val="auto"/>
                <w:sz w:val="21"/>
                <w:szCs w:val="21"/>
                <w:highlight w:val="none"/>
                <w:lang w:val="en-US" w:eastAsia="zh-CN"/>
              </w:rPr>
              <w:t>采购单位：</w:t>
            </w:r>
            <w:r>
              <w:rPr>
                <w:rFonts w:hint="eastAsia"/>
                <w:b w:val="0"/>
                <w:bCs/>
                <w:color w:val="auto"/>
                <w:sz w:val="21"/>
                <w:szCs w:val="21"/>
                <w:highlight w:val="none"/>
                <w:lang w:val="en-US" w:eastAsia="zh-CN"/>
              </w:rPr>
              <w:t>克孜勒苏柯尔克孜自治州疾病预防控制中心</w:t>
            </w:r>
          </w:p>
          <w:p w14:paraId="2BAB15F9">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default" w:eastAsia="宋体"/>
                <w:b w:val="0"/>
                <w:bCs/>
                <w:color w:val="auto"/>
                <w:sz w:val="21"/>
                <w:szCs w:val="21"/>
                <w:highlight w:val="none"/>
                <w:lang w:val="en-US" w:eastAsia="zh-CN"/>
              </w:rPr>
              <w:t>联 系 人：</w:t>
            </w:r>
            <w:r>
              <w:rPr>
                <w:rFonts w:hint="eastAsia"/>
                <w:b w:val="0"/>
                <w:bCs/>
                <w:color w:val="auto"/>
                <w:sz w:val="21"/>
                <w:szCs w:val="21"/>
                <w:highlight w:val="none"/>
                <w:lang w:val="en-US" w:eastAsia="zh-CN"/>
              </w:rPr>
              <w:t>艾先生</w:t>
            </w:r>
            <w:r>
              <w:rPr>
                <w:rFonts w:hint="default" w:eastAsia="宋体"/>
                <w:b w:val="0"/>
                <w:bCs/>
                <w:color w:val="auto"/>
                <w:sz w:val="21"/>
                <w:szCs w:val="21"/>
                <w:highlight w:val="none"/>
                <w:lang w:val="en-US" w:eastAsia="zh-CN"/>
              </w:rPr>
              <w:t xml:space="preserve">   联系电话</w:t>
            </w:r>
            <w:r>
              <w:rPr>
                <w:rFonts w:hint="default" w:ascii="Times New Roman" w:hAnsi="Times New Roman" w:eastAsia="宋体" w:cs="Times New Roman"/>
                <w:b w:val="0"/>
                <w:bCs/>
                <w:color w:val="auto"/>
                <w:sz w:val="21"/>
                <w:szCs w:val="21"/>
                <w:highlight w:val="none"/>
                <w:lang w:val="en-US" w:eastAsia="zh-CN"/>
              </w:rPr>
              <w:t>：</w:t>
            </w:r>
            <w:r>
              <w:rPr>
                <w:rFonts w:hint="eastAsia" w:ascii="Times New Roman" w:hAnsi="Times New Roman" w:eastAsia="宋体" w:cs="Times New Roman"/>
                <w:b w:val="0"/>
                <w:bCs/>
                <w:color w:val="auto"/>
                <w:sz w:val="21"/>
                <w:szCs w:val="21"/>
                <w:highlight w:val="none"/>
                <w:lang w:val="en-US" w:eastAsia="zh-CN"/>
              </w:rPr>
              <w:t>18997696567</w:t>
            </w:r>
            <w:r>
              <w:rPr>
                <w:rFonts w:hint="default" w:ascii="Times New Roman" w:hAnsi="Times New Roman" w:eastAsia="宋体" w:cs="Times New Roman"/>
                <w:b w:val="0"/>
                <w:bCs/>
                <w:color w:val="auto"/>
                <w:sz w:val="21"/>
                <w:szCs w:val="21"/>
                <w:highlight w:val="none"/>
                <w:lang w:val="en-US" w:eastAsia="zh-CN"/>
              </w:rPr>
              <w:t xml:space="preserve"> </w:t>
            </w:r>
          </w:p>
        </w:tc>
      </w:tr>
      <w:tr w14:paraId="3AF523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14:paraId="0AE955F3">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14:paraId="2C4622CF">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14:paraId="0C7BD14F">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cs="宋体"/>
                <w:color w:val="auto"/>
                <w:kern w:val="0"/>
                <w:sz w:val="21"/>
                <w:szCs w:val="21"/>
                <w:highlight w:val="none"/>
                <w:lang w:eastAsia="zh-CN"/>
              </w:rPr>
              <w:t>新疆泽远工程项目管理有限公司</w:t>
            </w:r>
          </w:p>
          <w:p w14:paraId="76AADA71">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val="en-US" w:eastAsia="zh-CN"/>
              </w:rPr>
              <w:t>阿图什市香港城西区8号楼2单元402室</w:t>
            </w:r>
            <w:r>
              <w:rPr>
                <w:rFonts w:hint="eastAsia" w:ascii="宋体" w:hAnsi="宋体" w:eastAsia="宋体" w:cs="宋体"/>
                <w:color w:val="auto"/>
                <w:kern w:val="0"/>
                <w:sz w:val="21"/>
                <w:szCs w:val="21"/>
                <w:highlight w:val="none"/>
                <w:lang w:val="en-US" w:eastAsia="zh-CN"/>
              </w:rPr>
              <w:t xml:space="preserve"> </w:t>
            </w:r>
          </w:p>
          <w:p w14:paraId="7EC02160">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张女士</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cs="宋体"/>
                <w:color w:val="auto"/>
                <w:kern w:val="2"/>
                <w:sz w:val="21"/>
                <w:szCs w:val="21"/>
                <w:highlight w:val="none"/>
                <w:lang w:val="en-US" w:eastAsia="zh-CN" w:bidi="ar"/>
              </w:rPr>
              <w:t>13179869852</w:t>
            </w:r>
          </w:p>
        </w:tc>
      </w:tr>
      <w:tr w14:paraId="376BDE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3F37F17A">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14:paraId="2E3F2A3D">
            <w:pPr>
              <w:pStyle w:val="44"/>
              <w:keepNext w:val="0"/>
              <w:keepLines w:val="0"/>
              <w:widowControl/>
              <w:suppressLineNumbers w:val="0"/>
              <w:shd w:val="clear" w:color="auto" w:fill="auto"/>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项目名称</w:t>
            </w:r>
          </w:p>
          <w:p w14:paraId="373F918B">
            <w:pPr>
              <w:pStyle w:val="44"/>
              <w:keepNext w:val="0"/>
              <w:keepLines w:val="0"/>
              <w:widowControl/>
              <w:suppressLineNumbers w:val="0"/>
              <w:shd w:val="clear" w:color="auto" w:fill="auto"/>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项目编号</w:t>
            </w:r>
          </w:p>
          <w:p w14:paraId="147939D5">
            <w:pPr>
              <w:pStyle w:val="44"/>
              <w:keepNext w:val="0"/>
              <w:keepLines w:val="0"/>
              <w:widowControl/>
              <w:suppressLineNumbers w:val="0"/>
              <w:shd w:val="clear" w:color="auto" w:fill="auto"/>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采购内容</w:t>
            </w:r>
          </w:p>
        </w:tc>
        <w:tc>
          <w:tcPr>
            <w:tcW w:w="7288" w:type="dxa"/>
            <w:noWrap w:val="0"/>
            <w:vAlign w:val="center"/>
          </w:tcPr>
          <w:p w14:paraId="0A9D292E">
            <w:pPr>
              <w:pStyle w:val="44"/>
              <w:keepNext w:val="0"/>
              <w:keepLines w:val="0"/>
              <w:widowControl/>
              <w:suppressLineNumbers w:val="0"/>
              <w:shd w:val="clear" w:color="auto" w:fill="auto"/>
              <w:spacing w:before="0" w:beforeAutospacing="0" w:after="0" w:afterAutospacing="0" w:line="510" w:lineRule="atLeast"/>
              <w:ind w:right="0"/>
              <w:jc w:val="both"/>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项目名称</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Times New Roman" w:hAnsi="Times New Roman" w:eastAsia="宋体" w:cs="Times New Roman"/>
                <w:b w:val="0"/>
                <w:bCs/>
                <w:color w:val="auto"/>
                <w:kern w:val="2"/>
                <w:sz w:val="21"/>
                <w:szCs w:val="21"/>
                <w:highlight w:val="none"/>
                <w:lang w:val="en-US" w:eastAsia="zh-CN" w:bidi="ar-SA"/>
              </w:rPr>
              <w:t xml:space="preserve">克州疾病预防控制中心致病菌、新冠基因测序等监测试剂耗材采购项目（一包） </w:t>
            </w:r>
          </w:p>
          <w:p w14:paraId="6D4DBA34">
            <w:pPr>
              <w:pStyle w:val="44"/>
              <w:keepNext w:val="0"/>
              <w:keepLines w:val="0"/>
              <w:widowControl/>
              <w:suppressLineNumbers w:val="0"/>
              <w:shd w:val="clear" w:color="auto" w:fill="auto"/>
              <w:spacing w:before="0" w:beforeAutospacing="0" w:after="0" w:afterAutospacing="0" w:line="510" w:lineRule="atLeast"/>
              <w:ind w:right="0"/>
              <w:jc w:val="both"/>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项目编号</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新宋体" w:hAnsi="新宋体" w:eastAsia="新宋体" w:cs="新宋体"/>
                <w:color w:val="auto"/>
                <w:kern w:val="0"/>
                <w:sz w:val="21"/>
                <w:szCs w:val="21"/>
                <w:highlight w:val="none"/>
                <w:u w:val="none"/>
                <w:lang w:val="en-US" w:eastAsia="zh-CN" w:bidi="ar"/>
              </w:rPr>
              <w:t>KZZB-2025103</w:t>
            </w:r>
          </w:p>
          <w:p w14:paraId="0BD384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leftChars="0" w:right="0" w:firstLine="0" w:firstLineChars="0"/>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采购内容：</w:t>
            </w:r>
            <w:r>
              <w:rPr>
                <w:rFonts w:hint="eastAsia" w:ascii="新宋体" w:hAnsi="新宋体" w:eastAsia="新宋体" w:cs="新宋体"/>
                <w:color w:val="auto"/>
                <w:kern w:val="0"/>
                <w:sz w:val="21"/>
                <w:szCs w:val="21"/>
                <w:highlight w:val="none"/>
                <w:lang w:val="en-US" w:eastAsia="zh-CN" w:bidi="ar"/>
              </w:rPr>
              <w:t>致病菌、流感、手足口监测相关试剂、新冠基因测序试剂、新冠污水检测试剂</w:t>
            </w:r>
          </w:p>
        </w:tc>
      </w:tr>
      <w:tr w14:paraId="5A649F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14:paraId="3F821670">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14:paraId="70180887">
            <w:pPr>
              <w:pStyle w:val="44"/>
              <w:keepNext w:val="0"/>
              <w:keepLines w:val="0"/>
              <w:widowControl/>
              <w:suppressLineNumbers w:val="0"/>
              <w:shd w:val="clear" w:color="auto" w:fill="auto"/>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采购预算</w:t>
            </w:r>
          </w:p>
          <w:p w14:paraId="3894D1D2">
            <w:pPr>
              <w:pStyle w:val="44"/>
              <w:keepNext w:val="0"/>
              <w:keepLines w:val="0"/>
              <w:widowControl/>
              <w:suppressLineNumbers w:val="0"/>
              <w:shd w:val="clear" w:color="auto" w:fill="auto"/>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最高投标限价</w:t>
            </w:r>
          </w:p>
        </w:tc>
        <w:tc>
          <w:tcPr>
            <w:tcW w:w="7288" w:type="dxa"/>
            <w:noWrap w:val="0"/>
            <w:vAlign w:val="center"/>
          </w:tcPr>
          <w:p w14:paraId="668E48F3">
            <w:pPr>
              <w:pStyle w:val="44"/>
              <w:keepNext w:val="0"/>
              <w:keepLines w:val="0"/>
              <w:widowControl/>
              <w:suppressLineNumbers w:val="0"/>
              <w:shd w:val="clear" w:color="auto" w:fill="auto"/>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highlight w:val="none"/>
                <w:lang w:val="en-US" w:eastAsia="zh-CN" w:bidi="ar-SA"/>
              </w:rPr>
            </w:pPr>
            <w:r>
              <w:rPr>
                <w:rFonts w:hint="eastAsia" w:ascii="宋体" w:hAnsi="宋体" w:cs="宋体"/>
                <w:color w:val="auto"/>
                <w:sz w:val="21"/>
                <w:szCs w:val="21"/>
                <w:highlight w:val="none"/>
              </w:rPr>
              <w:t>招标人设置投标报价最高上限：</w:t>
            </w:r>
            <w:r>
              <w:rPr>
                <w:rFonts w:hint="eastAsia" w:cs="宋体"/>
                <w:b/>
                <w:bCs/>
                <w:color w:val="0000FF"/>
                <w:sz w:val="21"/>
                <w:szCs w:val="21"/>
                <w:highlight w:val="none"/>
                <w:u w:val="single"/>
                <w:lang w:val="en-US" w:eastAsia="zh-CN"/>
              </w:rPr>
              <w:t>1060000</w:t>
            </w:r>
            <w:r>
              <w:rPr>
                <w:rFonts w:hint="eastAsia" w:ascii="宋体" w:hAnsi="宋体" w:cs="宋体"/>
                <w:b/>
                <w:bCs/>
                <w:color w:val="0000FF"/>
                <w:sz w:val="21"/>
                <w:szCs w:val="21"/>
                <w:highlight w:val="none"/>
                <w:u w:val="single"/>
                <w:lang w:val="en-US" w:eastAsia="zh-CN"/>
              </w:rPr>
              <w:t>元</w:t>
            </w:r>
            <w:r>
              <w:rPr>
                <w:rFonts w:hint="eastAsia" w:ascii="宋体" w:hAnsi="宋体" w:cs="宋体"/>
                <w:b/>
                <w:bCs/>
                <w:color w:val="0000FF"/>
                <w:sz w:val="21"/>
                <w:szCs w:val="21"/>
                <w:highlight w:val="none"/>
                <w:u w:val="single"/>
              </w:rPr>
              <w:t>，高于最高限价的</w:t>
            </w:r>
            <w:r>
              <w:rPr>
                <w:rFonts w:hint="eastAsia" w:ascii="宋体" w:hAnsi="宋体" w:cs="宋体"/>
                <w:b/>
                <w:bCs/>
                <w:color w:val="auto"/>
                <w:sz w:val="21"/>
                <w:szCs w:val="21"/>
                <w:highlight w:val="none"/>
                <w:u w:val="single"/>
              </w:rPr>
              <w:t>，</w:t>
            </w:r>
            <w:r>
              <w:rPr>
                <w:rFonts w:hint="eastAsia" w:ascii="宋体" w:hAnsi="宋体" w:cs="宋体"/>
                <w:color w:val="auto"/>
                <w:sz w:val="21"/>
                <w:szCs w:val="21"/>
                <w:highlight w:val="none"/>
              </w:rPr>
              <w:t>其</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按无效投标处理。</w:t>
            </w:r>
          </w:p>
        </w:tc>
      </w:tr>
      <w:tr w14:paraId="58F159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3" w:hRule="atLeast"/>
          <w:jc w:val="center"/>
        </w:trPr>
        <w:tc>
          <w:tcPr>
            <w:tcW w:w="1012" w:type="dxa"/>
            <w:noWrap w:val="0"/>
            <w:vAlign w:val="center"/>
          </w:tcPr>
          <w:p w14:paraId="4B947282">
            <w:pPr>
              <w:pStyle w:val="2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14:paraId="0F3BEA4F">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14:paraId="02E81567">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0000FF"/>
                <w:kern w:val="0"/>
                <w:sz w:val="21"/>
                <w:szCs w:val="21"/>
                <w:highlight w:val="none"/>
                <w:lang w:val="en-US" w:eastAsia="zh-CN"/>
              </w:rPr>
              <w:t>重点传染病及健康危害因素检测资金</w:t>
            </w:r>
          </w:p>
        </w:tc>
      </w:tr>
      <w:tr w14:paraId="1D16D3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noWrap w:val="0"/>
            <w:vAlign w:val="center"/>
          </w:tcPr>
          <w:p w14:paraId="75A097D1">
            <w:pPr>
              <w:pStyle w:val="2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14:paraId="17C5C7DE">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288" w:type="dxa"/>
            <w:noWrap w:val="0"/>
            <w:vAlign w:val="center"/>
          </w:tcPr>
          <w:p w14:paraId="1ECD1A67">
            <w:pPr>
              <w:pStyle w:val="44"/>
              <w:keepNext w:val="0"/>
              <w:keepLines w:val="0"/>
              <w:pageBreakBefore w:val="0"/>
              <w:widowControl/>
              <w:suppressLineNumbers w:val="0"/>
              <w:shd w:val="clear" w:color="auto" w:fill="auto"/>
              <w:kinsoku/>
              <w:wordWrap/>
              <w:overflowPunct/>
              <w:topLinePunct w:val="0"/>
              <w:autoSpaceDE/>
              <w:autoSpaceDN/>
              <w:bidi w:val="0"/>
              <w:adjustRightInd/>
              <w:snapToGrid/>
              <w:spacing w:before="256" w:beforeAutospacing="0" w:after="256" w:afterAutospacing="0" w:line="300" w:lineRule="exact"/>
              <w:ind w:left="0" w:leftChars="0" w:right="0" w:rightChars="0"/>
              <w:jc w:val="both"/>
              <w:textAlignment w:val="auto"/>
              <w:rPr>
                <w:rFonts w:hint="eastAsia" w:ascii="Times New Roman" w:hAnsi="Times New Roman" w:eastAsia="宋体" w:cs="Times New Roman"/>
                <w:b w:val="0"/>
                <w:bCs/>
                <w:color w:val="0000FF"/>
                <w:kern w:val="2"/>
                <w:sz w:val="21"/>
                <w:szCs w:val="21"/>
                <w:highlight w:val="none"/>
                <w:lang w:val="en-US" w:eastAsia="zh-CN" w:bidi="ar-SA"/>
              </w:rPr>
            </w:pPr>
            <w:r>
              <w:rPr>
                <w:rFonts w:hint="eastAsia" w:ascii="Times New Roman" w:hAnsi="Times New Roman" w:eastAsia="宋体" w:cs="Times New Roman"/>
                <w:color w:val="0000FF"/>
                <w:sz w:val="21"/>
                <w:szCs w:val="21"/>
                <w:highlight w:val="none"/>
                <w:lang w:val="en-US" w:eastAsia="zh-CN"/>
              </w:rPr>
              <w:t>送货时间由采购单位决定。</w:t>
            </w:r>
            <w:r>
              <w:rPr>
                <w:rFonts w:hint="eastAsia" w:ascii="宋体" w:hAnsi="宋体" w:eastAsia="宋体" w:cs="宋体"/>
                <w:color w:val="0000FF"/>
                <w:kern w:val="2"/>
                <w:sz w:val="21"/>
                <w:szCs w:val="21"/>
                <w:highlight w:val="none"/>
                <w:lang w:val="en-US" w:eastAsia="zh-CN" w:bidi="ar-SA"/>
              </w:rPr>
              <w:t>（具体以甲乙双方签订采购合同为准，严格按照采购单位的时间及要求按时供货）</w:t>
            </w:r>
          </w:p>
        </w:tc>
      </w:tr>
      <w:tr w14:paraId="588086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14:paraId="7148F735">
            <w:pPr>
              <w:pStyle w:val="2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14:paraId="2086286F">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14:paraId="379480EE">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FF"/>
                <w:sz w:val="21"/>
                <w:szCs w:val="21"/>
                <w:highlight w:val="none"/>
                <w:lang w:eastAsia="zh-CN"/>
              </w:rPr>
            </w:pPr>
            <w:r>
              <w:rPr>
                <w:rFonts w:hint="eastAsia" w:ascii="宋体" w:hAnsi="宋体" w:cs="宋体"/>
                <w:bCs/>
                <w:color w:val="0000FF"/>
                <w:szCs w:val="21"/>
                <w:highlight w:val="none"/>
                <w:lang w:val="en-US" w:eastAsia="zh-CN"/>
              </w:rPr>
              <w:t>按照</w:t>
            </w:r>
            <w:r>
              <w:rPr>
                <w:rFonts w:hint="eastAsia" w:ascii="宋体" w:hAnsi="宋体" w:cs="宋体"/>
                <w:bCs/>
                <w:color w:val="0000FF"/>
                <w:szCs w:val="21"/>
                <w:highlight w:val="none"/>
                <w:lang w:eastAsia="zh-CN"/>
              </w:rPr>
              <w:t>甲方</w:t>
            </w:r>
            <w:r>
              <w:rPr>
                <w:rFonts w:hint="eastAsia" w:ascii="宋体" w:hAnsi="宋体" w:cs="宋体"/>
                <w:bCs/>
                <w:color w:val="0000FF"/>
                <w:szCs w:val="21"/>
                <w:highlight w:val="none"/>
              </w:rPr>
              <w:t>指定的任何地</w:t>
            </w:r>
            <w:r>
              <w:rPr>
                <w:rFonts w:hint="eastAsia" w:ascii="宋体" w:hAnsi="宋体" w:eastAsia="宋体" w:cs="宋体"/>
                <w:bCs/>
                <w:color w:val="0000FF"/>
                <w:szCs w:val="21"/>
                <w:highlight w:val="none"/>
              </w:rPr>
              <w:t>点</w:t>
            </w:r>
            <w:r>
              <w:rPr>
                <w:rFonts w:hint="eastAsia" w:ascii="宋体" w:hAnsi="宋体" w:eastAsia="宋体" w:cs="宋体"/>
                <w:bCs/>
                <w:color w:val="0000FF"/>
                <w:szCs w:val="21"/>
                <w:highlight w:val="none"/>
                <w:lang w:val="en-US" w:eastAsia="zh-CN"/>
              </w:rPr>
              <w:t xml:space="preserve">供货  </w:t>
            </w:r>
          </w:p>
        </w:tc>
      </w:tr>
      <w:tr w14:paraId="43B663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2A06285A">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14:paraId="572C5965">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288" w:type="dxa"/>
            <w:noWrap w:val="0"/>
            <w:vAlign w:val="center"/>
          </w:tcPr>
          <w:p w14:paraId="4D87E40C">
            <w:pPr>
              <w:keepNext w:val="0"/>
              <w:keepLines w:val="0"/>
              <w:pageBreakBefore w:val="0"/>
              <w:widowControl w:val="0"/>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eastAsia="宋体" w:cs="宋体"/>
                <w:color w:val="0000FF"/>
                <w:kern w:val="0"/>
                <w:szCs w:val="21"/>
                <w:highlight w:val="none"/>
                <w:lang w:val="en-US" w:eastAsia="zh-CN"/>
              </w:rPr>
            </w:pPr>
            <w:r>
              <w:rPr>
                <w:rFonts w:hint="eastAsia" w:ascii="宋体" w:hAnsi="宋体" w:eastAsia="宋体" w:cs="宋体"/>
                <w:color w:val="0000FF"/>
                <w:kern w:val="0"/>
                <w:szCs w:val="21"/>
                <w:highlight w:val="none"/>
                <w:lang w:val="en-US" w:eastAsia="zh-CN"/>
              </w:rPr>
              <w:t>本项目的质保期</w:t>
            </w:r>
            <w:r>
              <w:rPr>
                <w:rFonts w:hint="eastAsia" w:ascii="宋体" w:hAnsi="宋体" w:cs="宋体"/>
                <w:color w:val="0000FF"/>
                <w:kern w:val="0"/>
                <w:szCs w:val="21"/>
                <w:highlight w:val="none"/>
                <w:lang w:val="en-US" w:eastAsia="zh-CN"/>
              </w:rPr>
              <w:t>不少于1</w:t>
            </w:r>
            <w:r>
              <w:rPr>
                <w:rFonts w:hint="eastAsia" w:ascii="宋体" w:hAnsi="宋体" w:eastAsia="宋体" w:cs="宋体"/>
                <w:color w:val="0000FF"/>
                <w:kern w:val="0"/>
                <w:szCs w:val="21"/>
                <w:highlight w:val="none"/>
                <w:lang w:val="en-US" w:eastAsia="zh-CN"/>
              </w:rPr>
              <w:t>年</w:t>
            </w:r>
            <w:r>
              <w:rPr>
                <w:rFonts w:hint="eastAsia" w:ascii="宋体" w:hAnsi="宋体" w:eastAsia="宋体" w:cs="宋体"/>
                <w:color w:val="0000FF"/>
                <w:kern w:val="2"/>
                <w:sz w:val="21"/>
                <w:szCs w:val="21"/>
                <w:highlight w:val="none"/>
                <w:lang w:val="en-US" w:eastAsia="zh-CN" w:bidi="ar-SA"/>
              </w:rPr>
              <w:t>（具体以甲乙双方签订采购合同为准）</w:t>
            </w:r>
            <w:r>
              <w:rPr>
                <w:rFonts w:hint="eastAsia" w:ascii="宋体" w:hAnsi="宋体" w:eastAsia="宋体" w:cs="宋体"/>
                <w:color w:val="0000FF"/>
                <w:kern w:val="0"/>
                <w:szCs w:val="21"/>
                <w:highlight w:val="none"/>
                <w:lang w:val="en-US" w:eastAsia="zh-CN"/>
              </w:rPr>
              <w:t>。</w:t>
            </w:r>
          </w:p>
          <w:p w14:paraId="6E664A31">
            <w:pPr>
              <w:keepNext w:val="0"/>
              <w:keepLines w:val="0"/>
              <w:pageBreakBefore w:val="0"/>
              <w:shd w:val="clear" w:color="auto" w:fill="auto"/>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color w:val="0000FF"/>
                <w:kern w:val="2"/>
                <w:sz w:val="21"/>
                <w:szCs w:val="21"/>
                <w:highlight w:val="none"/>
                <w:lang w:val="en-US" w:eastAsia="zh-CN" w:bidi="ar-SA"/>
              </w:rPr>
            </w:pPr>
            <w:r>
              <w:rPr>
                <w:rFonts w:hint="eastAsia" w:ascii="宋体" w:hAnsi="宋体" w:eastAsia="宋体" w:cs="宋体"/>
                <w:color w:val="0000FF"/>
                <w:kern w:val="0"/>
                <w:szCs w:val="21"/>
                <w:highlight w:val="none"/>
                <w:lang w:val="en-US" w:eastAsia="zh-CN"/>
              </w:rPr>
              <w:t>质保期自货物最终验收合格之日起算，质保期内中标人对所提供的货物实行包换、包退且不收取任何费用</w:t>
            </w:r>
            <w:r>
              <w:rPr>
                <w:rFonts w:hint="eastAsia"/>
                <w:color w:val="0000FF"/>
                <w:sz w:val="21"/>
                <w:szCs w:val="21"/>
                <w:highlight w:val="none"/>
                <w:lang w:val="en-US" w:eastAsia="zh-CN"/>
              </w:rPr>
              <w:t>。</w:t>
            </w:r>
          </w:p>
        </w:tc>
      </w:tr>
      <w:tr w14:paraId="3EFB4C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14:paraId="3E15F359">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14:paraId="4449A2E7">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14:paraId="2A18E85B">
            <w:pPr>
              <w:pStyle w:val="19"/>
              <w:shd w:val="clear" w:color="auto" w:fill="auto"/>
              <w:spacing w:line="360" w:lineRule="auto"/>
              <w:rPr>
                <w:rFonts w:hint="default" w:ascii="宋体" w:hAnsi="宋体" w:eastAsia="宋体" w:cs="宋体"/>
                <w:b w:val="0"/>
                <w:bCs/>
                <w:color w:val="0000FF"/>
                <w:sz w:val="21"/>
                <w:szCs w:val="21"/>
                <w:highlight w:val="none"/>
                <w:lang w:val="en-US" w:eastAsia="zh-CN"/>
              </w:rPr>
            </w:pPr>
            <w:r>
              <w:rPr>
                <w:rFonts w:hint="eastAsia" w:ascii="宋体" w:hAnsi="宋体" w:cs="宋体"/>
                <w:b w:val="0"/>
                <w:bCs/>
                <w:color w:val="0000FF"/>
                <w:sz w:val="21"/>
                <w:szCs w:val="21"/>
                <w:highlight w:val="none"/>
                <w:lang w:val="en-US" w:eastAsia="zh-CN"/>
              </w:rPr>
              <w:t>供货方与采购人签订合同后支付合同价款70%预付款，货物到达采购人指定地点，验收合格后，支付合同价款的30%。</w:t>
            </w:r>
          </w:p>
        </w:tc>
      </w:tr>
      <w:tr w14:paraId="1D7B20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14:paraId="01D0FCC0">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14:paraId="2E9F8ED0">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14:paraId="36BBA2EE">
            <w:pPr>
              <w:pStyle w:val="2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ascii="宋体" w:hAnsi="宋体" w:eastAsia="宋体" w:cs="宋体"/>
                <w:color w:val="auto"/>
                <w:sz w:val="21"/>
                <w:szCs w:val="21"/>
                <w:highlight w:val="none"/>
                <w:u w:val="none" w:color="000000"/>
                <w:lang w:val="en-US" w:eastAsia="zh-CN" w:bidi="en-US"/>
              </w:rPr>
              <w:t xml:space="preserve">竞争性谈判(本项目采用网上电子招投标) </w:t>
            </w:r>
            <w:r>
              <w:rPr>
                <w:rFonts w:hint="eastAsia"/>
                <w:b w:val="0"/>
                <w:bCs/>
                <w:color w:val="auto"/>
                <w:sz w:val="21"/>
                <w:szCs w:val="21"/>
                <w:highlight w:val="none"/>
                <w:lang w:val="en-US" w:eastAsia="zh-CN"/>
              </w:rPr>
              <w:t xml:space="preserve">            </w:t>
            </w:r>
          </w:p>
        </w:tc>
      </w:tr>
      <w:tr w14:paraId="6480B6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00C48A1E">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11</w:t>
            </w:r>
          </w:p>
        </w:tc>
        <w:tc>
          <w:tcPr>
            <w:tcW w:w="1536" w:type="dxa"/>
            <w:noWrap w:val="0"/>
            <w:vAlign w:val="center"/>
          </w:tcPr>
          <w:p w14:paraId="666FFBBA">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14:paraId="36534904">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1.满足《中华人民共和国政府采购法》第二十二条规定；</w:t>
            </w:r>
          </w:p>
          <w:p w14:paraId="63568104">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2.落实政府采购政策需满足的资格要求：</w:t>
            </w:r>
            <w:r>
              <w:rPr>
                <w:rFonts w:hint="eastAsia" w:ascii="新宋体" w:hAnsi="新宋体" w:eastAsia="新宋体" w:cs="新宋体"/>
                <w:color w:val="auto"/>
                <w:kern w:val="0"/>
                <w:sz w:val="21"/>
                <w:szCs w:val="21"/>
                <w:highlight w:val="none"/>
                <w:u w:val="none"/>
                <w:lang w:val="en-US" w:eastAsia="zh-CN" w:bidi="ar"/>
              </w:rPr>
              <w:t>标项1：</w:t>
            </w:r>
            <w:r>
              <w:rPr>
                <w:rFonts w:hint="eastAsia" w:ascii="新宋体" w:hAnsi="新宋体" w:eastAsia="新宋体" w:cs="新宋体"/>
                <w:color w:val="auto"/>
                <w:sz w:val="21"/>
                <w:szCs w:val="21"/>
                <w:highlight w:val="none"/>
                <w:lang w:val="en-US" w:eastAsia="zh-CN" w:bidi="ar"/>
              </w:rPr>
              <w:t>供应商为中小企业。</w:t>
            </w:r>
            <w:r>
              <w:rPr>
                <w:rFonts w:hint="eastAsia" w:cs="Times New Roman"/>
                <w:b w:val="0"/>
                <w:bCs/>
                <w:color w:val="auto"/>
                <w:sz w:val="21"/>
                <w:szCs w:val="21"/>
                <w:highlight w:val="none"/>
                <w:lang w:val="en-US" w:eastAsia="zh-CN"/>
              </w:rPr>
              <w:t> </w:t>
            </w:r>
          </w:p>
          <w:p w14:paraId="0C4DF949">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3.本项目的特定资格要求：标项1：</w:t>
            </w:r>
          </w:p>
          <w:p w14:paraId="2E641CB4">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1).具备三证合一营业执照；</w:t>
            </w:r>
          </w:p>
          <w:p w14:paraId="08AF950B">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2).法定代表人投标需提供法定代表人资格证明书，委托代理人投标需提供法定代表人授权委托书；</w:t>
            </w:r>
          </w:p>
          <w:p w14:paraId="374F7C5C">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3).投标企业须提供投标人（被授权本单位在职人员）近 6 个月内任意 1 个月社保证明；</w:t>
            </w:r>
          </w:p>
          <w:p w14:paraId="24A14572">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4).未被“信用中国”（www.creditchina.gov.cn）、中国政府采购网（www.ccgp.gov.cn）列入失信被执行人、重大税收违法案件当事人名单、政府采购严重违法失信行为记录名单；</w:t>
            </w:r>
          </w:p>
          <w:p w14:paraId="2FADA4BC">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w:t>
            </w:r>
            <w:r>
              <w:rPr>
                <w:rFonts w:hint="eastAsia" w:hAnsi="Times New Roman" w:cs="Times New Roman"/>
                <w:b w:val="0"/>
                <w:bCs/>
                <w:color w:val="auto"/>
                <w:sz w:val="21"/>
                <w:szCs w:val="21"/>
                <w:highlight w:val="none"/>
                <w:lang w:val="en-US" w:eastAsia="zh-CN"/>
              </w:rPr>
              <w:t>本项目不接受联合体投标。</w:t>
            </w:r>
          </w:p>
          <w:p w14:paraId="280753FC">
            <w:pPr>
              <w:pStyle w:val="25"/>
              <w:shd w:val="clear" w:color="auto" w:fill="auto"/>
              <w:ind w:left="0" w:leftChars="0" w:firstLine="0" w:firstLineChars="0"/>
              <w:rPr>
                <w:rFonts w:hint="eastAsia"/>
                <w:lang w:val="en-US" w:eastAsia="zh-CN"/>
              </w:rPr>
            </w:pPr>
            <w:r>
              <w:rPr>
                <w:rFonts w:hint="eastAsia" w:cs="Times New Roman"/>
                <w:b w:val="0"/>
                <w:bCs/>
                <w:color w:val="auto"/>
                <w:sz w:val="21"/>
                <w:szCs w:val="21"/>
                <w:highlight w:val="none"/>
                <w:lang w:val="en-US" w:eastAsia="zh-CN"/>
              </w:rPr>
              <w:t>6).</w:t>
            </w:r>
            <w:r>
              <w:rPr>
                <w:rFonts w:hint="eastAsia" w:ascii="宋体" w:hAnsi="宋体" w:cs="宋体"/>
                <w:color w:val="auto"/>
                <w:kern w:val="0"/>
                <w:szCs w:val="21"/>
              </w:rPr>
              <w:t>投标人</w:t>
            </w:r>
            <w:r>
              <w:rPr>
                <w:rFonts w:hint="eastAsia" w:ascii="宋体" w:hAnsi="宋体" w:cs="宋体"/>
                <w:color w:val="auto"/>
                <w:kern w:val="0"/>
                <w:szCs w:val="21"/>
                <w:lang w:val="en-US" w:eastAsia="zh-CN"/>
              </w:rPr>
              <w:t>具有有效的《二类医疗器械生产许可证》或《二类医疗器械经营许可证》</w:t>
            </w:r>
            <w:r>
              <w:rPr>
                <w:rFonts w:hint="eastAsia" w:ascii="宋体" w:hAnsi="宋体" w:cs="宋体"/>
                <w:color w:val="auto"/>
                <w:kern w:val="0"/>
                <w:szCs w:val="21"/>
              </w:rPr>
              <w:t>。</w:t>
            </w:r>
          </w:p>
          <w:p w14:paraId="506110BB">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highlight w:val="none"/>
                <w:lang w:val="en-US" w:eastAsia="zh-CN"/>
              </w:rPr>
            </w:pPr>
            <w:r>
              <w:rPr>
                <w:rFonts w:hint="eastAsia" w:cs="Times New Roman"/>
                <w:b w:val="0"/>
                <w:bCs/>
                <w:color w:val="auto"/>
                <w:sz w:val="21"/>
                <w:szCs w:val="21"/>
                <w:highlight w:val="none"/>
                <w:lang w:val="en-US" w:eastAsia="zh-CN"/>
              </w:rPr>
              <w:t>7).</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07A8B1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47" w:hRule="atLeast"/>
          <w:jc w:val="center"/>
        </w:trPr>
        <w:tc>
          <w:tcPr>
            <w:tcW w:w="1012" w:type="dxa"/>
            <w:noWrap w:val="0"/>
            <w:vAlign w:val="center"/>
          </w:tcPr>
          <w:p w14:paraId="5D7C8DF8">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12</w:t>
            </w:r>
          </w:p>
        </w:tc>
        <w:tc>
          <w:tcPr>
            <w:tcW w:w="1536" w:type="dxa"/>
            <w:noWrap w:val="0"/>
            <w:vAlign w:val="center"/>
          </w:tcPr>
          <w:p w14:paraId="1F6E6E30">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14:paraId="0A29D2C5">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14:paraId="067F342C">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14:paraId="1CC90265">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14:paraId="1AC2F8FD">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14:paraId="7F178E38">
            <w:pPr>
              <w:pStyle w:val="2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未提供不串通投标承诺书、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31E306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1012" w:type="dxa"/>
            <w:noWrap w:val="0"/>
            <w:vAlign w:val="center"/>
          </w:tcPr>
          <w:p w14:paraId="65FF527A">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14:paraId="06216D1B">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14:paraId="10C4A0A9">
            <w:pPr>
              <w:pStyle w:val="2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14:paraId="6ACC6C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5" w:hRule="atLeast"/>
          <w:jc w:val="center"/>
        </w:trPr>
        <w:tc>
          <w:tcPr>
            <w:tcW w:w="1012" w:type="dxa"/>
            <w:noWrap w:val="0"/>
            <w:vAlign w:val="center"/>
          </w:tcPr>
          <w:p w14:paraId="6D309400">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14</w:t>
            </w:r>
          </w:p>
        </w:tc>
        <w:tc>
          <w:tcPr>
            <w:tcW w:w="1536" w:type="dxa"/>
            <w:noWrap w:val="0"/>
            <w:vAlign w:val="center"/>
          </w:tcPr>
          <w:p w14:paraId="669FD822">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14:paraId="782D1C65">
            <w:pPr>
              <w:pStyle w:val="2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14:paraId="12D415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82" w:hRule="atLeast"/>
          <w:jc w:val="center"/>
        </w:trPr>
        <w:tc>
          <w:tcPr>
            <w:tcW w:w="1012" w:type="dxa"/>
            <w:noWrap w:val="0"/>
            <w:vAlign w:val="center"/>
          </w:tcPr>
          <w:p w14:paraId="171BE5D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14:paraId="5C1AB2D5">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14:paraId="4EE0CADE">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14:paraId="3AF111FD">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中提供联合体协议书，联合体所有成员不得超过2家，联合体的任何一方均不得再与其他投标单位联合。</w:t>
            </w:r>
          </w:p>
        </w:tc>
      </w:tr>
      <w:tr w14:paraId="36B237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33" w:hRule="atLeast"/>
          <w:jc w:val="center"/>
        </w:trPr>
        <w:tc>
          <w:tcPr>
            <w:tcW w:w="1012" w:type="dxa"/>
            <w:noWrap w:val="0"/>
            <w:vAlign w:val="center"/>
          </w:tcPr>
          <w:p w14:paraId="2B10E76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14:paraId="355A2ED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14:paraId="3050D94C">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eastAsia="宋体" w:cs="宋体"/>
                <w:b w:val="0"/>
                <w:bCs/>
                <w:color w:val="auto"/>
                <w:kern w:val="2"/>
                <w:sz w:val="21"/>
                <w:szCs w:val="21"/>
                <w:highlight w:val="none"/>
                <w:u w:val="none" w:color="000000"/>
                <w:lang w:val="en-US" w:eastAsia="zh-CN" w:bidi="ar-SA"/>
              </w:rPr>
              <w:t>中标（成交）人应按本招标文件的规定，在《中标（成交）通知书》核发时，向采购代理机构支付中标（成交）服务费。参照发改价格[2011]534号文计算的招标代理服务收费标准收费。按发改价格[2015]299号规定全面放开招标代理费，由实行政府指导价管理改为实行市场调节价，价格由双方协商确定。</w:t>
            </w:r>
          </w:p>
        </w:tc>
      </w:tr>
      <w:tr w14:paraId="0B24B4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14:paraId="78476B2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14:paraId="0D8C7D96">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14:paraId="13C7704A">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ascii="宋体" w:hAnsi="Times New Roman" w:eastAsia="宋体" w:cs="Times New Roman"/>
                <w:b/>
                <w:bCs w:val="0"/>
                <w:color w:val="auto"/>
                <w:sz w:val="21"/>
                <w:szCs w:val="21"/>
                <w:highlight w:val="none"/>
                <w:u w:val="single" w:color="auto"/>
                <w:lang w:val="en-US" w:eastAsia="zh-CN"/>
              </w:rPr>
              <w:t xml:space="preserve"> 60 日历</w:t>
            </w:r>
            <w:r>
              <w:rPr>
                <w:rFonts w:hint="eastAsia"/>
                <w:b/>
                <w:bCs w:val="0"/>
                <w:color w:val="auto"/>
                <w:sz w:val="21"/>
                <w:szCs w:val="21"/>
                <w:highlight w:val="none"/>
                <w:lang w:val="en-US" w:eastAsia="zh-CN"/>
              </w:rPr>
              <w:t>天（从投标截止之日算起）。在此期限内，凡符合本谈判文件要求的响应文件均保持有效。</w:t>
            </w:r>
          </w:p>
        </w:tc>
      </w:tr>
      <w:tr w14:paraId="202455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14:paraId="7225B1D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18</w:t>
            </w:r>
          </w:p>
        </w:tc>
        <w:tc>
          <w:tcPr>
            <w:tcW w:w="1536" w:type="dxa"/>
            <w:noWrap w:val="0"/>
            <w:vAlign w:val="center"/>
          </w:tcPr>
          <w:p w14:paraId="3ABC664A">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highlight w:val="none"/>
              </w:rPr>
            </w:pPr>
            <w:r>
              <w:rPr>
                <w:rFonts w:hint="eastAsia" w:ascii="宋体"/>
                <w:b/>
                <w:bCs w:val="0"/>
                <w:color w:val="auto"/>
                <w:szCs w:val="21"/>
                <w:highlight w:val="none"/>
              </w:rPr>
              <w:t>投标保证金</w:t>
            </w:r>
          </w:p>
        </w:tc>
        <w:tc>
          <w:tcPr>
            <w:tcW w:w="7288" w:type="dxa"/>
            <w:noWrap w:val="0"/>
            <w:vAlign w:val="center"/>
          </w:tcPr>
          <w:p w14:paraId="599A944E">
            <w:pPr>
              <w:shd w:val="clear" w:color="auto" w:fill="auto"/>
              <w:snapToGrid w:val="0"/>
              <w:spacing w:line="290" w:lineRule="exact"/>
              <w:rPr>
                <w:rFonts w:hint="eastAsia" w:ascii="宋体" w:hAnsi="宋体" w:cs="宋体-18030"/>
                <w:b w:val="0"/>
                <w:bCs/>
                <w:color w:val="auto"/>
                <w:szCs w:val="21"/>
                <w:highlight w:val="none"/>
              </w:rPr>
            </w:pPr>
            <w:r>
              <w:rPr>
                <w:rFonts w:hint="eastAsia" w:ascii="宋体" w:hAnsi="宋体" w:cs="宋体-18030"/>
                <w:b w:val="0"/>
                <w:bCs/>
                <w:color w:val="auto"/>
                <w:szCs w:val="21"/>
                <w:highlight w:val="none"/>
              </w:rPr>
              <w:t>投标保证金应当以支票、汇票、本票、网上银行支付或者金融机构、担保机构出具的保函等非现金形式缴纳。</w:t>
            </w:r>
          </w:p>
          <w:p w14:paraId="406E6AD9">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highlight w:val="none"/>
              </w:rPr>
            </w:pPr>
            <w:r>
              <w:rPr>
                <w:rFonts w:hint="eastAsia" w:ascii="宋体" w:hAnsi="宋体" w:cs="宋体-18030"/>
                <w:b/>
                <w:bCs w:val="0"/>
                <w:color w:val="auto"/>
                <w:szCs w:val="21"/>
                <w:highlight w:val="none"/>
              </w:rPr>
              <w:t>投标保证金的金额：</w:t>
            </w:r>
            <w:r>
              <w:rPr>
                <w:rFonts w:hint="eastAsia" w:hAnsi="宋体" w:cs="宋体-18030"/>
                <w:b/>
                <w:bCs w:val="0"/>
                <w:color w:val="auto"/>
                <w:szCs w:val="21"/>
                <w:highlight w:val="none"/>
                <w:lang w:val="en-US" w:eastAsia="zh-CN"/>
              </w:rPr>
              <w:t>20000.00</w:t>
            </w:r>
            <w:r>
              <w:rPr>
                <w:rFonts w:hint="eastAsia" w:ascii="宋体" w:hAnsi="宋体" w:cs="宋体-18030"/>
                <w:b/>
                <w:bCs w:val="0"/>
                <w:color w:val="auto"/>
                <w:szCs w:val="21"/>
                <w:highlight w:val="none"/>
              </w:rPr>
              <w:t>元（</w:t>
            </w:r>
            <w:r>
              <w:rPr>
                <w:rFonts w:hint="eastAsia" w:hAnsi="宋体" w:cs="宋体-18030"/>
                <w:b/>
                <w:bCs w:val="0"/>
                <w:color w:val="auto"/>
                <w:szCs w:val="21"/>
                <w:highlight w:val="none"/>
                <w:lang w:eastAsia="zh-CN"/>
              </w:rPr>
              <w:t>贰万元整</w:t>
            </w:r>
            <w:r>
              <w:rPr>
                <w:rFonts w:hint="eastAsia" w:ascii="宋体" w:hAnsi="宋体" w:cs="宋体-18030"/>
                <w:b/>
                <w:bCs w:val="0"/>
                <w:color w:val="auto"/>
                <w:szCs w:val="21"/>
                <w:highlight w:val="none"/>
              </w:rPr>
              <w:t>）</w:t>
            </w:r>
          </w:p>
        </w:tc>
      </w:tr>
      <w:tr w14:paraId="26AAD2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1012" w:type="dxa"/>
            <w:noWrap w:val="0"/>
            <w:vAlign w:val="center"/>
          </w:tcPr>
          <w:p w14:paraId="194FAD0C">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19</w:t>
            </w:r>
          </w:p>
        </w:tc>
        <w:tc>
          <w:tcPr>
            <w:tcW w:w="1536" w:type="dxa"/>
            <w:tcBorders>
              <w:bottom w:val="single" w:color="auto" w:sz="4" w:space="0"/>
            </w:tcBorders>
            <w:noWrap w:val="0"/>
            <w:vAlign w:val="center"/>
          </w:tcPr>
          <w:p w14:paraId="6F99538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highlight w:val="none"/>
                <w:lang w:eastAsia="zh-CN"/>
              </w:rPr>
              <w:t>投标保证金</w:t>
            </w:r>
          </w:p>
        </w:tc>
        <w:tc>
          <w:tcPr>
            <w:tcW w:w="7288" w:type="dxa"/>
            <w:tcBorders>
              <w:bottom w:val="single" w:color="auto" w:sz="4" w:space="0"/>
            </w:tcBorders>
            <w:noWrap w:val="0"/>
            <w:vAlign w:val="top"/>
          </w:tcPr>
          <w:p w14:paraId="634C5359">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投标保证金缴纳要求：</w:t>
            </w:r>
          </w:p>
          <w:p w14:paraId="7A81F27D">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2CCB6406">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2、其他特殊情况处理：有效投标保证金成功交纳后，截止开标时间，供应商无正当理由不参加该项目投标且不递交弃标函，投标保证金不予退还。</w:t>
            </w:r>
          </w:p>
          <w:p w14:paraId="3418B0D8">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户名：克孜勒苏柯尔克孜自治州政务服务和公共资源交易中心</w:t>
            </w:r>
          </w:p>
          <w:p w14:paraId="527CDAFE">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账号：30456301040005069</w:t>
            </w:r>
          </w:p>
          <w:p w14:paraId="147D2A0C">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行名：农行阿图什市天山分理处</w:t>
            </w:r>
          </w:p>
          <w:p w14:paraId="71480CC2">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行号：103893045636</w:t>
            </w:r>
          </w:p>
          <w:p w14:paraId="7957621A">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联系人：孙先生</w:t>
            </w:r>
          </w:p>
          <w:p w14:paraId="190F889B">
            <w:pPr>
              <w:shd w:val="clear" w:color="auto" w:fill="auto"/>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电话：0908-4220265  15155770782</w:t>
            </w:r>
          </w:p>
          <w:p w14:paraId="07C48FDA">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（备注：必须写清楚xx公司xx项目保证金）</w:t>
            </w:r>
          </w:p>
          <w:p w14:paraId="12AB3DA7">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二、申请退还投标保证金资料（招投标结束中标结果公示后）：</w:t>
            </w:r>
          </w:p>
          <w:p w14:paraId="44083C44">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1、投标企业：待开标完成后，未中标企业3-5个工作日内政资中心将收取的项目投标保证金按投标企业基本户退回。</w:t>
            </w:r>
          </w:p>
          <w:p w14:paraId="6B0FE65C">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2、中标企业：需提供已签订合同复印件一份，复印件每页需加盖企业鲜章（并携带合同原件，由中心工作人员核对后退还）。</w:t>
            </w:r>
          </w:p>
          <w:p w14:paraId="48925D48">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三、其他特殊情况处理：</w:t>
            </w:r>
          </w:p>
          <w:p w14:paraId="5E4FDF34">
            <w:pPr>
              <w:shd w:val="clear" w:color="auto" w:fill="auto"/>
              <w:rPr>
                <w:rFonts w:hint="eastAsia" w:ascii="宋体" w:hAnsi="宋体" w:cs="宋体-18030"/>
                <w:b w:val="0"/>
                <w:bCs/>
                <w:color w:val="auto"/>
                <w:sz w:val="21"/>
                <w:szCs w:val="21"/>
                <w:highlight w:val="none"/>
              </w:rPr>
            </w:pPr>
            <w:r>
              <w:rPr>
                <w:rFonts w:hint="eastAsia" w:ascii="宋体" w:hAnsi="宋体" w:eastAsia="宋体" w:cs="宋体"/>
                <w:b w:val="0"/>
                <w:bCs/>
                <w:color w:val="auto"/>
                <w:szCs w:val="21"/>
                <w:highlight w:val="none"/>
                <w:lang w:val="en-US" w:eastAsia="zh-CN"/>
              </w:rPr>
              <w:t>1、按照招标文件要求规定：投标企业无正当理由不参加该项目投标且在规定开标时间前不递交弃标函，投标保证金不予退还。</w:t>
            </w:r>
          </w:p>
        </w:tc>
      </w:tr>
      <w:tr w14:paraId="15F16A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14:paraId="7D9C1481">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20</w:t>
            </w:r>
          </w:p>
        </w:tc>
        <w:tc>
          <w:tcPr>
            <w:tcW w:w="1536" w:type="dxa"/>
            <w:noWrap w:val="0"/>
            <w:vAlign w:val="center"/>
          </w:tcPr>
          <w:p w14:paraId="63808C11">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响应文件形式</w:t>
            </w:r>
          </w:p>
        </w:tc>
        <w:tc>
          <w:tcPr>
            <w:tcW w:w="7288" w:type="dxa"/>
            <w:noWrap w:val="0"/>
            <w:vAlign w:val="center"/>
          </w:tcPr>
          <w:p w14:paraId="64138C49">
            <w:pPr>
              <w:pStyle w:val="2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电子响应文件包括“电子加密响应文件”和“备份响应文件”，在响应文件编制完成后同时生成。</w:t>
            </w:r>
          </w:p>
          <w:p w14:paraId="7F6508B9">
            <w:pPr>
              <w:pStyle w:val="2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1、“电子加密响应文件”是指通过“政采云电子交易客户端”完成响应文件编制后生成并加密的数据电文形式的响应文件。</w:t>
            </w:r>
          </w:p>
          <w:p w14:paraId="5DBDC8B9">
            <w:pPr>
              <w:pStyle w:val="25"/>
              <w:shd w:val="clear" w:color="auto" w:fill="auto"/>
              <w:ind w:left="0" w:leftChars="0" w:firstLine="0" w:firstLineChars="0"/>
              <w:rPr>
                <w:rFonts w:hint="eastAsia"/>
                <w:color w:val="auto"/>
                <w:highlight w:val="none"/>
                <w:lang w:val="en-US" w:eastAsia="zh-CN"/>
              </w:rPr>
            </w:pPr>
            <w:r>
              <w:rPr>
                <w:rFonts w:hint="eastAsia"/>
                <w:color w:val="auto"/>
                <w:sz w:val="21"/>
                <w:szCs w:val="21"/>
                <w:highlight w:val="none"/>
                <w:lang w:val="en-US" w:eastAsia="zh-CN"/>
              </w:rPr>
              <w:t>2、“备份响应文件”是指与“电子加密响应文件”同时生成的数据电文形式的电子文件（备份标书，用于供应商标书解密异常时应急使用），其他方式编制的备份响应文件视为无效备份响应文件。</w:t>
            </w:r>
          </w:p>
        </w:tc>
      </w:tr>
      <w:tr w14:paraId="50CF9C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14:paraId="15CB9549">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14:paraId="39C2D5C8">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响应文件份数及要求</w:t>
            </w:r>
          </w:p>
        </w:tc>
        <w:tc>
          <w:tcPr>
            <w:tcW w:w="7288" w:type="dxa"/>
            <w:noWrap w:val="0"/>
            <w:vAlign w:val="center"/>
          </w:tcPr>
          <w:p w14:paraId="4805A42C">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1、一份电子加密标书（“.jmbs”格式），一份备份标书文件（“.bfbs”格式）。</w:t>
            </w:r>
          </w:p>
          <w:p w14:paraId="0B7A02E0">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2、每份电子</w:t>
            </w:r>
            <w:r>
              <w:rPr>
                <w:rFonts w:hint="eastAsia"/>
                <w:color w:val="auto"/>
                <w:sz w:val="21"/>
                <w:szCs w:val="21"/>
                <w:highlight w:val="none"/>
                <w:lang w:val="en-US" w:eastAsia="zh-CN"/>
              </w:rPr>
              <w:t>响应</w:t>
            </w:r>
            <w:r>
              <w:rPr>
                <w:rFonts w:hint="default"/>
                <w:b w:val="0"/>
                <w:bCs/>
                <w:color w:val="auto"/>
                <w:sz w:val="21"/>
                <w:szCs w:val="21"/>
                <w:highlight w:val="none"/>
                <w:lang w:val="en-US" w:eastAsia="zh-CN"/>
              </w:rPr>
              <w:t>文件应包括资格证明文件和商务及技术文件两部分。</w:t>
            </w:r>
          </w:p>
        </w:tc>
      </w:tr>
      <w:tr w14:paraId="7FC18B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14:paraId="2FB7F370">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14:paraId="698334DC">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响应文件的上传和递交</w:t>
            </w:r>
          </w:p>
        </w:tc>
        <w:tc>
          <w:tcPr>
            <w:tcW w:w="7288" w:type="dxa"/>
            <w:noWrap w:val="0"/>
            <w:vAlign w:val="center"/>
          </w:tcPr>
          <w:p w14:paraId="12C3B017">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1.电子加密响应文件：响应文件制作完成并生成加密标书，在投标截止时间前，供应商需将加密的</w:t>
            </w:r>
            <w:r>
              <w:rPr>
                <w:rFonts w:hint="eastAsia"/>
                <w:color w:val="auto"/>
                <w:sz w:val="21"/>
                <w:szCs w:val="21"/>
                <w:highlight w:val="none"/>
                <w:lang w:val="en-US" w:eastAsia="zh-CN"/>
              </w:rPr>
              <w:t>响应</w:t>
            </w:r>
            <w:r>
              <w:rPr>
                <w:rFonts w:hint="eastAsia"/>
                <w:b w:val="0"/>
                <w:bCs/>
                <w:color w:val="auto"/>
                <w:sz w:val="21"/>
                <w:szCs w:val="21"/>
                <w:highlight w:val="none"/>
                <w:lang w:val="en-US" w:eastAsia="zh-CN"/>
              </w:rPr>
              <w:t>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w:t>
            </w:r>
            <w:r>
              <w:rPr>
                <w:rFonts w:hint="eastAsia"/>
                <w:color w:val="auto"/>
                <w:sz w:val="21"/>
                <w:szCs w:val="21"/>
                <w:highlight w:val="none"/>
                <w:lang w:val="en-US" w:eastAsia="zh-CN"/>
              </w:rPr>
              <w:t>响应</w:t>
            </w:r>
            <w:r>
              <w:rPr>
                <w:rFonts w:hint="eastAsia"/>
                <w:b w:val="0"/>
                <w:bCs/>
                <w:color w:val="auto"/>
                <w:sz w:val="21"/>
                <w:szCs w:val="21"/>
                <w:highlight w:val="none"/>
                <w:u w:val="single" w:color="auto"/>
                <w:lang w:val="en-US" w:eastAsia="zh-CN"/>
              </w:rPr>
              <w:t>文件。</w:t>
            </w:r>
          </w:p>
          <w:p w14:paraId="560026FD">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w:t>
            </w:r>
            <w:r>
              <w:rPr>
                <w:rFonts w:hint="eastAsia"/>
                <w:color w:val="auto"/>
                <w:sz w:val="21"/>
                <w:szCs w:val="21"/>
                <w:highlight w:val="none"/>
                <w:lang w:val="en-US" w:eastAsia="zh-CN"/>
              </w:rPr>
              <w:t>响应</w:t>
            </w:r>
            <w:r>
              <w:rPr>
                <w:rFonts w:hint="eastAsia"/>
                <w:b w:val="0"/>
                <w:bCs/>
                <w:color w:val="auto"/>
                <w:sz w:val="21"/>
                <w:szCs w:val="21"/>
                <w:highlight w:val="none"/>
                <w:lang w:val="en-US" w:eastAsia="zh-CN"/>
              </w:rPr>
              <w:t>文件的投标无效。</w:t>
            </w:r>
          </w:p>
          <w:p w14:paraId="3E97726F">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w:t>
            </w:r>
            <w:r>
              <w:rPr>
                <w:rFonts w:hint="eastAsia"/>
                <w:color w:val="auto"/>
                <w:sz w:val="21"/>
                <w:szCs w:val="21"/>
                <w:highlight w:val="none"/>
                <w:lang w:val="en-US" w:eastAsia="zh-CN"/>
              </w:rPr>
              <w:t>响应</w:t>
            </w:r>
            <w:r>
              <w:rPr>
                <w:rFonts w:hint="eastAsia"/>
                <w:b w:val="0"/>
                <w:bCs/>
                <w:color w:val="auto"/>
                <w:sz w:val="21"/>
                <w:szCs w:val="21"/>
                <w:highlight w:val="none"/>
                <w:lang w:val="en-US" w:eastAsia="zh-CN"/>
              </w:rPr>
              <w:t>文件后，可自行打印</w:t>
            </w:r>
            <w:r>
              <w:rPr>
                <w:rFonts w:hint="eastAsia"/>
                <w:color w:val="auto"/>
                <w:sz w:val="21"/>
                <w:szCs w:val="21"/>
                <w:highlight w:val="none"/>
                <w:lang w:val="en-US" w:eastAsia="zh-CN"/>
              </w:rPr>
              <w:t>响应</w:t>
            </w:r>
            <w:r>
              <w:rPr>
                <w:rFonts w:hint="eastAsia"/>
                <w:b w:val="0"/>
                <w:bCs/>
                <w:color w:val="auto"/>
                <w:sz w:val="21"/>
                <w:szCs w:val="21"/>
                <w:highlight w:val="none"/>
                <w:lang w:val="en-US" w:eastAsia="zh-CN"/>
              </w:rPr>
              <w:t>文件接收回执。</w:t>
            </w:r>
          </w:p>
        </w:tc>
      </w:tr>
      <w:tr w14:paraId="64FAF7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14:paraId="68EC43C5">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23</w:t>
            </w:r>
          </w:p>
        </w:tc>
        <w:tc>
          <w:tcPr>
            <w:tcW w:w="1536" w:type="dxa"/>
            <w:noWrap w:val="0"/>
            <w:vAlign w:val="center"/>
          </w:tcPr>
          <w:p w14:paraId="301EDB9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14:paraId="4EA79AFE">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0000FF"/>
                <w:sz w:val="21"/>
                <w:szCs w:val="21"/>
                <w:highlight w:val="none"/>
              </w:rPr>
            </w:pPr>
            <w:r>
              <w:rPr>
                <w:rFonts w:hint="eastAsia" w:ascii="Times New Roman" w:hAnsi="Times New Roman" w:cs="Times New Roman"/>
                <w:b w:val="0"/>
                <w:bCs/>
                <w:color w:val="0000FF"/>
                <w:sz w:val="21"/>
                <w:szCs w:val="21"/>
                <w:highlight w:val="none"/>
                <w:lang w:eastAsia="zh-CN"/>
              </w:rPr>
              <w:t>投标截止</w:t>
            </w:r>
            <w:r>
              <w:rPr>
                <w:rFonts w:hint="eastAsia" w:ascii="Times New Roman" w:hAnsi="Times New Roman" w:cs="Times New Roman"/>
                <w:b w:val="0"/>
                <w:bCs/>
                <w:color w:val="0000FF"/>
                <w:sz w:val="21"/>
                <w:szCs w:val="21"/>
                <w:highlight w:val="none"/>
              </w:rPr>
              <w:t>时间：</w:t>
            </w:r>
            <w:r>
              <w:rPr>
                <w:rFonts w:hint="eastAsia"/>
                <w:b w:val="0"/>
                <w:bCs/>
                <w:color w:val="0000FF"/>
                <w:sz w:val="21"/>
                <w:szCs w:val="21"/>
                <w:highlight w:val="none"/>
                <w:lang w:val="en-US" w:eastAsia="zh-CN"/>
              </w:rPr>
              <w:t>2025</w:t>
            </w:r>
            <w:r>
              <w:rPr>
                <w:rFonts w:hint="eastAsia"/>
                <w:b w:val="0"/>
                <w:bCs/>
                <w:color w:val="0000FF"/>
                <w:sz w:val="21"/>
                <w:szCs w:val="21"/>
                <w:highlight w:val="none"/>
              </w:rPr>
              <w:t>年</w:t>
            </w:r>
            <w:r>
              <w:rPr>
                <w:rFonts w:hint="eastAsia"/>
                <w:b w:val="0"/>
                <w:bCs/>
                <w:color w:val="0000FF"/>
                <w:sz w:val="21"/>
                <w:szCs w:val="21"/>
                <w:highlight w:val="none"/>
                <w:lang w:val="en-US" w:eastAsia="zh-CN"/>
              </w:rPr>
              <w:t>07</w:t>
            </w:r>
            <w:r>
              <w:rPr>
                <w:rFonts w:hint="eastAsia"/>
                <w:b w:val="0"/>
                <w:bCs/>
                <w:color w:val="0000FF"/>
                <w:sz w:val="21"/>
                <w:szCs w:val="21"/>
                <w:highlight w:val="none"/>
              </w:rPr>
              <w:t>月</w:t>
            </w:r>
            <w:r>
              <w:rPr>
                <w:rFonts w:hint="eastAsia"/>
                <w:b w:val="0"/>
                <w:bCs/>
                <w:color w:val="0000FF"/>
                <w:sz w:val="21"/>
                <w:szCs w:val="21"/>
                <w:highlight w:val="none"/>
                <w:lang w:val="en-US" w:eastAsia="zh-CN"/>
              </w:rPr>
              <w:t>09</w:t>
            </w:r>
            <w:r>
              <w:rPr>
                <w:rFonts w:hint="eastAsia"/>
                <w:b w:val="0"/>
                <w:bCs/>
                <w:color w:val="0000FF"/>
                <w:sz w:val="21"/>
                <w:szCs w:val="21"/>
                <w:highlight w:val="none"/>
              </w:rPr>
              <w:t>日</w:t>
            </w:r>
            <w:r>
              <w:rPr>
                <w:rFonts w:hint="eastAsia"/>
                <w:b w:val="0"/>
                <w:bCs/>
                <w:color w:val="0000FF"/>
                <w:sz w:val="21"/>
                <w:szCs w:val="21"/>
                <w:highlight w:val="none"/>
                <w:lang w:val="en-US" w:eastAsia="zh-CN"/>
              </w:rPr>
              <w:t>10</w:t>
            </w:r>
            <w:r>
              <w:rPr>
                <w:rFonts w:hint="eastAsia"/>
                <w:b w:val="0"/>
                <w:bCs/>
                <w:color w:val="0000FF"/>
                <w:sz w:val="21"/>
                <w:szCs w:val="21"/>
                <w:highlight w:val="none"/>
              </w:rPr>
              <w:t>时</w:t>
            </w:r>
            <w:r>
              <w:rPr>
                <w:rFonts w:hint="eastAsia"/>
                <w:b w:val="0"/>
                <w:bCs/>
                <w:color w:val="0000FF"/>
                <w:sz w:val="21"/>
                <w:szCs w:val="21"/>
                <w:highlight w:val="none"/>
                <w:lang w:val="en-US" w:eastAsia="zh-CN"/>
              </w:rPr>
              <w:t>30</w:t>
            </w:r>
            <w:r>
              <w:rPr>
                <w:rFonts w:hint="eastAsia"/>
                <w:b w:val="0"/>
                <w:bCs/>
                <w:color w:val="0000FF"/>
                <w:sz w:val="21"/>
                <w:szCs w:val="21"/>
                <w:highlight w:val="none"/>
              </w:rPr>
              <w:t>分（北京时间）</w:t>
            </w:r>
          </w:p>
          <w:p w14:paraId="5B5C92CF">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0000FF"/>
                <w:sz w:val="21"/>
                <w:szCs w:val="21"/>
                <w:highlight w:val="none"/>
              </w:rPr>
            </w:pPr>
            <w:r>
              <w:rPr>
                <w:rFonts w:hint="eastAsia"/>
                <w:b w:val="0"/>
                <w:bCs/>
                <w:color w:val="0000FF"/>
                <w:sz w:val="21"/>
                <w:szCs w:val="21"/>
                <w:highlight w:val="none"/>
                <w:lang w:eastAsia="zh-CN"/>
              </w:rPr>
              <w:t>投标</w:t>
            </w:r>
            <w:r>
              <w:rPr>
                <w:rFonts w:hint="eastAsia"/>
                <w:b w:val="0"/>
                <w:bCs/>
                <w:color w:val="0000FF"/>
                <w:sz w:val="21"/>
                <w:szCs w:val="21"/>
                <w:highlight w:val="none"/>
              </w:rPr>
              <w:t>地点：</w:t>
            </w:r>
            <w:r>
              <w:rPr>
                <w:rFonts w:hint="eastAsia"/>
                <w:b w:val="0"/>
                <w:bCs/>
                <w:color w:val="0000FF"/>
                <w:sz w:val="21"/>
                <w:szCs w:val="21"/>
                <w:highlight w:val="none"/>
                <w:lang w:eastAsia="zh-CN"/>
              </w:rPr>
              <w:t>新疆</w:t>
            </w:r>
            <w:r>
              <w:rPr>
                <w:rFonts w:hint="eastAsia"/>
                <w:b w:val="0"/>
                <w:bCs/>
                <w:color w:val="0000FF"/>
                <w:sz w:val="21"/>
                <w:szCs w:val="21"/>
                <w:highlight w:val="none"/>
              </w:rPr>
              <w:t>政府采购云平台（www.zcygov.cn）</w:t>
            </w:r>
          </w:p>
        </w:tc>
      </w:tr>
      <w:tr w14:paraId="3DE225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14:paraId="08C40070">
            <w:pPr>
              <w:pStyle w:val="2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24</w:t>
            </w:r>
          </w:p>
        </w:tc>
        <w:tc>
          <w:tcPr>
            <w:tcW w:w="1536" w:type="dxa"/>
            <w:noWrap w:val="0"/>
            <w:vAlign w:val="center"/>
          </w:tcPr>
          <w:p w14:paraId="597A489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14:paraId="6E7F9CF0">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0000FF"/>
                <w:sz w:val="21"/>
                <w:szCs w:val="21"/>
                <w:highlight w:val="none"/>
              </w:rPr>
            </w:pPr>
            <w:r>
              <w:rPr>
                <w:rFonts w:hint="eastAsia"/>
                <w:b w:val="0"/>
                <w:bCs/>
                <w:color w:val="0000FF"/>
                <w:sz w:val="21"/>
                <w:szCs w:val="21"/>
                <w:highlight w:val="none"/>
              </w:rPr>
              <w:t>开标时间：</w:t>
            </w:r>
            <w:r>
              <w:rPr>
                <w:rFonts w:hint="eastAsia"/>
                <w:b w:val="0"/>
                <w:bCs/>
                <w:color w:val="0000FF"/>
                <w:sz w:val="21"/>
                <w:szCs w:val="21"/>
                <w:highlight w:val="none"/>
                <w:lang w:val="en-US" w:eastAsia="zh-CN"/>
              </w:rPr>
              <w:t>2025</w:t>
            </w:r>
            <w:r>
              <w:rPr>
                <w:rFonts w:hint="eastAsia"/>
                <w:b w:val="0"/>
                <w:bCs/>
                <w:color w:val="0000FF"/>
                <w:sz w:val="21"/>
                <w:szCs w:val="21"/>
                <w:highlight w:val="none"/>
              </w:rPr>
              <w:t>年</w:t>
            </w:r>
            <w:r>
              <w:rPr>
                <w:rFonts w:hint="eastAsia"/>
                <w:b w:val="0"/>
                <w:bCs/>
                <w:color w:val="0000FF"/>
                <w:sz w:val="21"/>
                <w:szCs w:val="21"/>
                <w:highlight w:val="none"/>
                <w:lang w:val="en-US" w:eastAsia="zh-CN"/>
              </w:rPr>
              <w:t>07</w:t>
            </w:r>
            <w:r>
              <w:rPr>
                <w:rFonts w:hint="eastAsia"/>
                <w:b w:val="0"/>
                <w:bCs/>
                <w:color w:val="0000FF"/>
                <w:sz w:val="21"/>
                <w:szCs w:val="21"/>
                <w:highlight w:val="none"/>
              </w:rPr>
              <w:t>月</w:t>
            </w:r>
            <w:r>
              <w:rPr>
                <w:rFonts w:hint="eastAsia"/>
                <w:b w:val="0"/>
                <w:bCs/>
                <w:color w:val="0000FF"/>
                <w:sz w:val="21"/>
                <w:szCs w:val="21"/>
                <w:highlight w:val="none"/>
                <w:lang w:val="en-US" w:eastAsia="zh-CN"/>
              </w:rPr>
              <w:t>09</w:t>
            </w:r>
            <w:r>
              <w:rPr>
                <w:rFonts w:hint="eastAsia"/>
                <w:b w:val="0"/>
                <w:bCs/>
                <w:color w:val="0000FF"/>
                <w:sz w:val="21"/>
                <w:szCs w:val="21"/>
                <w:highlight w:val="none"/>
              </w:rPr>
              <w:t>日</w:t>
            </w:r>
            <w:r>
              <w:rPr>
                <w:rFonts w:hint="eastAsia"/>
                <w:b w:val="0"/>
                <w:bCs/>
                <w:color w:val="0000FF"/>
                <w:sz w:val="21"/>
                <w:szCs w:val="21"/>
                <w:highlight w:val="none"/>
                <w:lang w:val="en-US" w:eastAsia="zh-CN"/>
              </w:rPr>
              <w:t>10</w:t>
            </w:r>
            <w:r>
              <w:rPr>
                <w:rFonts w:hint="eastAsia"/>
                <w:b w:val="0"/>
                <w:bCs/>
                <w:color w:val="0000FF"/>
                <w:sz w:val="21"/>
                <w:szCs w:val="21"/>
                <w:highlight w:val="none"/>
              </w:rPr>
              <w:t>时</w:t>
            </w:r>
            <w:r>
              <w:rPr>
                <w:rFonts w:hint="eastAsia"/>
                <w:b w:val="0"/>
                <w:bCs/>
                <w:color w:val="0000FF"/>
                <w:sz w:val="21"/>
                <w:szCs w:val="21"/>
                <w:highlight w:val="none"/>
                <w:lang w:val="en-US" w:eastAsia="zh-CN"/>
              </w:rPr>
              <w:t>30</w:t>
            </w:r>
            <w:r>
              <w:rPr>
                <w:rFonts w:hint="eastAsia"/>
                <w:b w:val="0"/>
                <w:bCs/>
                <w:color w:val="0000FF"/>
                <w:sz w:val="21"/>
                <w:szCs w:val="21"/>
                <w:highlight w:val="none"/>
              </w:rPr>
              <w:t>分（北京时间）</w:t>
            </w:r>
          </w:p>
          <w:p w14:paraId="20256330">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eastAsia="宋体"/>
                <w:b w:val="0"/>
                <w:bCs/>
                <w:color w:val="0000FF"/>
                <w:sz w:val="21"/>
                <w:szCs w:val="21"/>
                <w:highlight w:val="none"/>
                <w:lang w:eastAsia="zh-CN"/>
              </w:rPr>
            </w:pPr>
            <w:r>
              <w:rPr>
                <w:rFonts w:hint="eastAsia"/>
                <w:b w:val="0"/>
                <w:bCs/>
                <w:color w:val="0000FF"/>
                <w:sz w:val="21"/>
                <w:szCs w:val="21"/>
                <w:highlight w:val="none"/>
              </w:rPr>
              <w:t>开标地点：在</w:t>
            </w:r>
            <w:r>
              <w:rPr>
                <w:rFonts w:hint="eastAsia"/>
                <w:b w:val="0"/>
                <w:bCs/>
                <w:color w:val="0000FF"/>
                <w:sz w:val="21"/>
                <w:szCs w:val="21"/>
                <w:highlight w:val="none"/>
                <w:lang w:eastAsia="zh-CN"/>
              </w:rPr>
              <w:t>新疆</w:t>
            </w:r>
            <w:r>
              <w:rPr>
                <w:rFonts w:hint="eastAsia"/>
                <w:b w:val="0"/>
                <w:bCs/>
                <w:color w:val="0000FF"/>
                <w:sz w:val="21"/>
                <w:szCs w:val="21"/>
                <w:highlight w:val="none"/>
              </w:rPr>
              <w:t>政府采购云平台（www.zcygov.cn）上开启</w:t>
            </w:r>
            <w:r>
              <w:rPr>
                <w:rFonts w:hint="eastAsia"/>
                <w:b w:val="0"/>
                <w:bCs/>
                <w:color w:val="0000FF"/>
                <w:sz w:val="21"/>
                <w:szCs w:val="21"/>
                <w:highlight w:val="none"/>
                <w:lang w:eastAsia="zh-CN"/>
              </w:rPr>
              <w:t>响应文件</w:t>
            </w:r>
          </w:p>
        </w:tc>
      </w:tr>
      <w:tr w14:paraId="357EFB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14:paraId="7150F692">
            <w:pPr>
              <w:pStyle w:val="2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14:paraId="31C34F76">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14:paraId="577E9652">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评标委员会由招标人依法组建；采购人代表1人，评审专家4人，共5人。</w:t>
            </w:r>
          </w:p>
          <w:p w14:paraId="77FCD4DE">
            <w:pPr>
              <w:pStyle w:val="2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14:paraId="07B5E6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3512DEC5">
            <w:pPr>
              <w:pStyle w:val="2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26</w:t>
            </w:r>
          </w:p>
        </w:tc>
        <w:tc>
          <w:tcPr>
            <w:tcW w:w="1536" w:type="dxa"/>
            <w:noWrap w:val="0"/>
            <w:vAlign w:val="center"/>
          </w:tcPr>
          <w:p w14:paraId="64A5501B">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14:paraId="24F0BE22">
            <w:pPr>
              <w:pStyle w:val="2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14:paraId="51AE16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0C9AA8AD">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27</w:t>
            </w:r>
          </w:p>
        </w:tc>
        <w:tc>
          <w:tcPr>
            <w:tcW w:w="1536" w:type="dxa"/>
            <w:noWrap w:val="0"/>
            <w:vAlign w:val="center"/>
          </w:tcPr>
          <w:p w14:paraId="5389D3A8">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14:paraId="0E16942E">
            <w:pPr>
              <w:pStyle w:val="2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14:paraId="25F915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2B00C3E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28</w:t>
            </w:r>
          </w:p>
        </w:tc>
        <w:tc>
          <w:tcPr>
            <w:tcW w:w="1536" w:type="dxa"/>
            <w:noWrap w:val="0"/>
            <w:vAlign w:val="center"/>
          </w:tcPr>
          <w:p w14:paraId="5249016C">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14:paraId="375D8D13">
            <w:pPr>
              <w:keepNext w:val="0"/>
              <w:keepLines w:val="0"/>
              <w:pageBreakBefore w:val="0"/>
              <w:numPr>
                <w:ilvl w:val="0"/>
                <w:numId w:val="3"/>
              </w:numPr>
              <w:shd w:val="clear" w:color="auto" w:fill="auto"/>
              <w:kinsoku/>
              <w:wordWrap/>
              <w:overflowPunct/>
              <w:topLinePunct w:val="0"/>
              <w:autoSpaceDE/>
              <w:autoSpaceDN/>
              <w:bidi w:val="0"/>
              <w:adjustRightInd/>
              <w:snapToGrid w:val="0"/>
              <w:spacing w:line="360" w:lineRule="auto"/>
              <w:textAlignment w:val="auto"/>
              <w:outlineLvl w:val="9"/>
              <w:rPr>
                <w:rFonts w:hint="eastAsia" w:ascii="宋体"/>
                <w:b w:val="0"/>
                <w:bCs/>
                <w:color w:val="auto"/>
                <w:szCs w:val="21"/>
                <w:highlight w:val="none"/>
                <w:lang w:val="en-US" w:eastAsia="zh-CN"/>
              </w:rPr>
            </w:pPr>
            <w:r>
              <w:rPr>
                <w:rFonts w:hint="eastAsia"/>
                <w:b w:val="0"/>
                <w:bCs/>
                <w:color w:val="auto"/>
                <w:highlight w:val="none"/>
                <w:lang w:val="en-US" w:eastAsia="zh-CN"/>
              </w:rPr>
              <w:t>中标供应商在合同签订后5个工作日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14:paraId="7D02A61F">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textAlignment w:val="auto"/>
              <w:outlineLvl w:val="9"/>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14:paraId="514A4FD1">
            <w:pPr>
              <w:shd w:val="clear" w:color="auto" w:fill="auto"/>
              <w:spacing w:line="440" w:lineRule="exact"/>
              <w:jc w:val="left"/>
              <w:rPr>
                <w:rFonts w:hint="eastAsia"/>
                <w:b w:val="0"/>
                <w:bCs/>
                <w:color w:val="auto"/>
                <w:highlight w:val="none"/>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14:paraId="614D49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012" w:type="dxa"/>
            <w:noWrap w:val="0"/>
            <w:vAlign w:val="center"/>
          </w:tcPr>
          <w:p w14:paraId="7B01E89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29</w:t>
            </w:r>
          </w:p>
        </w:tc>
        <w:tc>
          <w:tcPr>
            <w:tcW w:w="1536" w:type="dxa"/>
            <w:noWrap w:val="0"/>
            <w:vAlign w:val="center"/>
          </w:tcPr>
          <w:p w14:paraId="1E017B4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谈判</w:t>
            </w:r>
            <w:r>
              <w:rPr>
                <w:rFonts w:hint="eastAsia" w:ascii="宋体" w:hAnsi="宋体" w:cs="宋体"/>
                <w:b/>
                <w:bCs w:val="0"/>
                <w:color w:val="auto"/>
                <w:sz w:val="21"/>
                <w:szCs w:val="21"/>
                <w:highlight w:val="none"/>
              </w:rPr>
              <w:t>文件领取</w:t>
            </w:r>
          </w:p>
        </w:tc>
        <w:tc>
          <w:tcPr>
            <w:tcW w:w="7288" w:type="dxa"/>
            <w:noWrap w:val="0"/>
            <w:vAlign w:val="top"/>
          </w:tcPr>
          <w:p w14:paraId="0B0B19E4">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0000FF"/>
                <w:sz w:val="21"/>
                <w:szCs w:val="21"/>
                <w:highlight w:val="none"/>
                <w:lang w:val="en-US" w:eastAsia="zh-CN"/>
              </w:rPr>
            </w:pPr>
            <w:r>
              <w:rPr>
                <w:rFonts w:hint="eastAsia" w:ascii="宋体" w:hAnsi="宋体" w:cs="宋体"/>
                <w:b w:val="0"/>
                <w:bCs/>
                <w:color w:val="auto"/>
                <w:sz w:val="21"/>
                <w:szCs w:val="21"/>
                <w:highlight w:val="none"/>
                <w:lang w:val="en-US" w:eastAsia="zh-CN"/>
              </w:rPr>
              <w:t>时间：</w:t>
            </w:r>
            <w:r>
              <w:rPr>
                <w:rFonts w:hint="eastAsia" w:ascii="宋体" w:hAnsi="宋体" w:cs="宋体"/>
                <w:b w:val="0"/>
                <w:bCs/>
                <w:color w:val="0000FF"/>
                <w:sz w:val="21"/>
                <w:szCs w:val="21"/>
                <w:highlight w:val="none"/>
                <w:lang w:val="en-US" w:eastAsia="zh-CN"/>
              </w:rPr>
              <w:t>2025年07月04日至2025年07月08日，每天上午10:00至14:00，下午16:00至20：00（北京时间，法定节假日除外）</w:t>
            </w:r>
          </w:p>
          <w:p w14:paraId="49ECFA26">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w:t>
            </w:r>
            <w:r>
              <w:rPr>
                <w:rFonts w:hint="eastAsia" w:ascii="宋体" w:hAnsi="宋体" w:cs="宋体"/>
                <w:b w:val="0"/>
                <w:bCs/>
                <w:color w:val="auto"/>
                <w:sz w:val="21"/>
                <w:szCs w:val="21"/>
                <w:highlight w:val="none"/>
                <w:lang w:val="en-US" w:eastAsia="zh-CN"/>
              </w:rPr>
              <w:t>供应商登陆政采云平台http://www.zcygov.cn/，在线申请获取</w:t>
            </w:r>
            <w:r>
              <w:rPr>
                <w:rFonts w:hint="eastAsia"/>
                <w:color w:val="auto"/>
                <w:sz w:val="21"/>
                <w:szCs w:val="21"/>
                <w:highlight w:val="none"/>
                <w:lang w:val="en-US" w:eastAsia="zh-CN"/>
              </w:rPr>
              <w:t>谈判</w:t>
            </w:r>
            <w:r>
              <w:rPr>
                <w:rFonts w:hint="eastAsia" w:ascii="宋体" w:hAnsi="宋体" w:cs="宋体"/>
                <w:b w:val="0"/>
                <w:bCs/>
                <w:color w:val="auto"/>
                <w:sz w:val="21"/>
                <w:szCs w:val="21"/>
                <w:highlight w:val="none"/>
                <w:lang w:val="en-US" w:eastAsia="zh-CN"/>
              </w:rPr>
              <w:t>文件（登录政府采购云平台 → 项目采购 → 获取谈判文件，如有操作性问题，可与政采云在线客服进行咨询，咨询电话：95763）。</w:t>
            </w:r>
          </w:p>
          <w:p w14:paraId="4D75BAE8">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w:t>
            </w:r>
            <w:r>
              <w:rPr>
                <w:rFonts w:hint="eastAsia" w:ascii="宋体" w:hAnsi="宋体" w:cs="宋体"/>
                <w:b w:val="0"/>
                <w:bCs/>
                <w:color w:val="auto"/>
                <w:sz w:val="21"/>
                <w:szCs w:val="21"/>
                <w:highlight w:val="none"/>
                <w:lang w:val="en-US" w:eastAsia="zh-CN"/>
              </w:rPr>
              <w:t>（1）线上获取（登录政府采购云平台 → 项目采购 → 获取谈判文件）。本次招标不提供纸质版谈判文件。</w:t>
            </w:r>
          </w:p>
          <w:p w14:paraId="530B2B24">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14:paraId="65F4C7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1" w:hRule="atLeast"/>
          <w:jc w:val="center"/>
        </w:trPr>
        <w:tc>
          <w:tcPr>
            <w:tcW w:w="1012" w:type="dxa"/>
            <w:noWrap w:val="0"/>
            <w:vAlign w:val="center"/>
          </w:tcPr>
          <w:p w14:paraId="556248F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30</w:t>
            </w:r>
          </w:p>
        </w:tc>
        <w:tc>
          <w:tcPr>
            <w:tcW w:w="1536" w:type="dxa"/>
            <w:noWrap w:val="0"/>
            <w:vAlign w:val="center"/>
          </w:tcPr>
          <w:p w14:paraId="60E5AC0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报价要求</w:t>
            </w:r>
          </w:p>
        </w:tc>
        <w:tc>
          <w:tcPr>
            <w:tcW w:w="7288" w:type="dxa"/>
            <w:noWrap w:val="0"/>
            <w:vAlign w:val="top"/>
          </w:tcPr>
          <w:p w14:paraId="50DF8790">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供应商报价低于采购预算75%或者低于其他有效供应商报价算术平均价 90%，有可能影响设备质量或者不能诚信履约的，应当要求其在评审现场合理的时间内提供书面说明，必要时提交相关证明材料（中标通知书及合同）;供应商不能证明其报价合理性的，评标小组应当将其响应文件作为无效处理。</w:t>
            </w:r>
          </w:p>
        </w:tc>
      </w:tr>
      <w:tr w14:paraId="3AB9FB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1012" w:type="dxa"/>
            <w:vMerge w:val="restart"/>
            <w:noWrap w:val="0"/>
            <w:vAlign w:val="center"/>
          </w:tcPr>
          <w:p w14:paraId="34B8AC7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31</w:t>
            </w:r>
          </w:p>
        </w:tc>
        <w:tc>
          <w:tcPr>
            <w:tcW w:w="1536" w:type="dxa"/>
            <w:vMerge w:val="restart"/>
            <w:noWrap w:val="0"/>
            <w:vAlign w:val="center"/>
          </w:tcPr>
          <w:p w14:paraId="4781E0E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rPr>
              <w:t>中小微企业政策文件</w:t>
            </w:r>
          </w:p>
        </w:tc>
        <w:tc>
          <w:tcPr>
            <w:tcW w:w="7288" w:type="dxa"/>
            <w:noWrap w:val="0"/>
            <w:vAlign w:val="top"/>
          </w:tcPr>
          <w:p w14:paraId="0983E1E4">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（1）根据财政部、工业和信息化部关于印发《政府采购促进中小企业发展管理办法》的通知（财库[2020]46号）和</w:t>
            </w:r>
            <w:r>
              <w:rPr>
                <w:rFonts w:hint="eastAsia" w:ascii="宋体" w:hAnsi="宋体" w:eastAsia="宋体" w:cs="宋体"/>
                <w:b w:val="0"/>
                <w:bCs/>
                <w:color w:val="auto"/>
                <w:sz w:val="21"/>
                <w:szCs w:val="21"/>
                <w:highlight w:val="none"/>
                <w:lang w:val="en-US" w:eastAsia="zh-CN"/>
              </w:rPr>
              <w:t>关于进一步加大政府采购支持中小企业力度的通知-</w:t>
            </w:r>
            <w:r>
              <w:rPr>
                <w:rFonts w:hint="eastAsia" w:ascii="宋体" w:hAnsi="宋体" w:eastAsia="宋体" w:cs="宋体"/>
                <w:b w:val="0"/>
                <w:bCs/>
                <w:color w:val="auto"/>
                <w:sz w:val="21"/>
                <w:szCs w:val="21"/>
                <w:highlight w:val="none"/>
                <w:lang w:eastAsia="zh-CN"/>
              </w:rPr>
              <w:t>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lang w:eastAsia="zh-CN"/>
              </w:rPr>
              <w:t>）》。</w:t>
            </w:r>
          </w:p>
        </w:tc>
      </w:tr>
      <w:tr w14:paraId="6D88D5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14:paraId="4BAF2DA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14:paraId="4F95110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14:paraId="7C90454C">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42EC9A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14:paraId="7F017B5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14:paraId="2E77E3FD">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14:paraId="79416FF5">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2B492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8" w:hRule="atLeast"/>
          <w:jc w:val="center"/>
        </w:trPr>
        <w:tc>
          <w:tcPr>
            <w:tcW w:w="1012" w:type="dxa"/>
            <w:noWrap w:val="0"/>
            <w:vAlign w:val="center"/>
          </w:tcPr>
          <w:p w14:paraId="445F8EC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32</w:t>
            </w:r>
          </w:p>
        </w:tc>
        <w:tc>
          <w:tcPr>
            <w:tcW w:w="1536" w:type="dxa"/>
            <w:noWrap w:val="0"/>
            <w:vAlign w:val="center"/>
          </w:tcPr>
          <w:p w14:paraId="1E07034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lang w:val="en-US" w:eastAsia="zh-CN"/>
              </w:rPr>
              <w:t>中小微企业政策文件说明</w:t>
            </w:r>
          </w:p>
        </w:tc>
        <w:tc>
          <w:tcPr>
            <w:tcW w:w="7288" w:type="dxa"/>
            <w:noWrap w:val="0"/>
            <w:vAlign w:val="top"/>
          </w:tcPr>
          <w:p w14:paraId="2DF63FA9">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支持中小企业发展：给予小型和微型企业产品的价格10%-20%的扣除，用扣除后的价格参与评审，本项目具体扣除比例为10%。用扣除后的价格参与评审。残疾人福利性单位视同小型、微型企业，享受同等价格扣除，但同时属于残疾人福利性单位和小微企业的，不重复价格扣除。</w:t>
            </w:r>
          </w:p>
          <w:p w14:paraId="25BCB237">
            <w:pPr>
              <w:pStyle w:val="48"/>
              <w:shd w:val="clear" w:color="auto" w:fill="auto"/>
              <w:ind w:left="0" w:leftChars="0" w:firstLine="0" w:firstLineChars="0"/>
              <w:rPr>
                <w:rFonts w:hint="eastAsia"/>
                <w:color w:val="auto"/>
                <w:highlight w:val="none"/>
                <w:lang w:val="en-US" w:eastAsia="zh-CN"/>
              </w:rPr>
            </w:pPr>
            <w:r>
              <w:rPr>
                <w:rFonts w:hint="eastAsia"/>
                <w:color w:val="auto"/>
                <w:highlight w:val="none"/>
                <w:lang w:val="en-US" w:eastAsia="zh-CN"/>
              </w:rPr>
              <w:t>（2）不符合上述适用情形的供应商无需提供上述声明函件。</w:t>
            </w:r>
          </w:p>
          <w:p w14:paraId="18798EE1">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rPr>
            </w:pP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lang w:val="en-US" w:eastAsia="zh-CN"/>
              </w:rPr>
              <w:t>本采购项目中小企业划分标准所属行业为：</w:t>
            </w:r>
            <w:r>
              <w:rPr>
                <w:rFonts w:hint="eastAsia" w:ascii="宋体" w:hAnsi="宋体" w:eastAsia="宋体" w:cs="宋体"/>
                <w:b w:val="0"/>
                <w:bCs/>
                <w:color w:val="auto"/>
                <w:szCs w:val="21"/>
                <w:highlight w:val="yellow"/>
                <w:shd w:val="clear" w:color="auto" w:fill="auto"/>
                <w:lang w:val="en-US" w:eastAsia="zh-CN"/>
              </w:rPr>
              <w:t>工业</w:t>
            </w:r>
            <w:r>
              <w:rPr>
                <w:rFonts w:hint="eastAsia" w:ascii="宋体" w:hAnsi="宋体" w:cs="宋体"/>
                <w:b w:val="0"/>
                <w:bCs/>
                <w:color w:val="auto"/>
                <w:szCs w:val="21"/>
                <w:highlight w:val="yellow"/>
                <w:shd w:val="clear" w:color="auto" w:fill="auto"/>
                <w:lang w:val="en-US" w:eastAsia="zh-CN"/>
              </w:rPr>
              <w:t>。</w:t>
            </w:r>
          </w:p>
        </w:tc>
      </w:tr>
      <w:tr w14:paraId="649863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14:paraId="5C513BA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rPr>
            </w:pPr>
            <w:r>
              <w:rPr>
                <w:rFonts w:hint="eastAsia"/>
                <w:b/>
                <w:bCs w:val="0"/>
                <w:color w:val="auto"/>
                <w:sz w:val="21"/>
                <w:szCs w:val="21"/>
                <w:highlight w:val="none"/>
              </w:rPr>
              <w:t>备注</w:t>
            </w:r>
          </w:p>
        </w:tc>
        <w:tc>
          <w:tcPr>
            <w:tcW w:w="8824" w:type="dxa"/>
            <w:gridSpan w:val="2"/>
            <w:noWrap w:val="0"/>
            <w:vAlign w:val="center"/>
          </w:tcPr>
          <w:p w14:paraId="0CECE665">
            <w:pPr>
              <w:numPr>
                <w:ilvl w:val="0"/>
                <w:numId w:val="0"/>
              </w:numPr>
              <w:shd w:val="clear" w:color="auto" w:fill="auto"/>
              <w:spacing w:line="400" w:lineRule="exact"/>
              <w:ind w:leftChars="0"/>
              <w:jc w:val="left"/>
              <w:rPr>
                <w:rFonts w:hint="eastAsia"/>
                <w:color w:val="auto"/>
                <w:highlight w:val="none"/>
              </w:rPr>
            </w:pPr>
            <w:r>
              <w:rPr>
                <w:rFonts w:hint="eastAsia"/>
                <w:b/>
                <w:bCs w:val="0"/>
                <w:color w:val="auto"/>
                <w:sz w:val="21"/>
                <w:szCs w:val="21"/>
                <w:highlight w:val="none"/>
              </w:rPr>
              <w:t>投标人使用相同IP地址的，一经发现，</w:t>
            </w:r>
            <w:r>
              <w:rPr>
                <w:rFonts w:hint="eastAsia"/>
                <w:b/>
                <w:bCs w:val="0"/>
                <w:color w:val="auto"/>
                <w:sz w:val="21"/>
                <w:szCs w:val="21"/>
                <w:highlight w:val="none"/>
                <w:lang w:eastAsia="zh-CN"/>
              </w:rPr>
              <w:t>相关</w:t>
            </w:r>
            <w:r>
              <w:rPr>
                <w:rFonts w:hint="eastAsia"/>
                <w:b/>
                <w:bCs w:val="0"/>
                <w:color w:val="auto"/>
                <w:sz w:val="21"/>
                <w:szCs w:val="21"/>
                <w:highlight w:val="none"/>
              </w:rPr>
              <w:t>部门将进一步核实，查实后按串通投标处理</w:t>
            </w:r>
            <w:r>
              <w:rPr>
                <w:rFonts w:hint="eastAsia"/>
                <w:b/>
                <w:bCs w:val="0"/>
                <w:color w:val="auto"/>
                <w:sz w:val="21"/>
                <w:szCs w:val="21"/>
                <w:highlight w:val="none"/>
                <w:lang w:eastAsia="zh-CN"/>
              </w:rPr>
              <w:t>。</w:t>
            </w:r>
          </w:p>
        </w:tc>
      </w:tr>
      <w:bookmarkEnd w:id="16"/>
    </w:tbl>
    <w:p w14:paraId="44EFE1A7">
      <w:pPr>
        <w:rPr>
          <w:rFonts w:hint="eastAsia"/>
          <w:color w:val="auto"/>
        </w:rPr>
      </w:pPr>
      <w:bookmarkStart w:id="17" w:name="_Toc9681"/>
      <w:bookmarkStart w:id="18" w:name="_Toc19037"/>
      <w:bookmarkStart w:id="19" w:name="_Toc12812_WPSOffice_Level2"/>
    </w:p>
    <w:p w14:paraId="69200C20">
      <w:pPr>
        <w:pStyle w:val="25"/>
        <w:rPr>
          <w:rFonts w:hint="eastAsia"/>
          <w:color w:val="auto"/>
        </w:rPr>
      </w:pPr>
    </w:p>
    <w:p w14:paraId="2126F89F">
      <w:pPr>
        <w:pStyle w:val="24"/>
        <w:shd w:val="clear" w:color="auto" w:fill="auto"/>
        <w:snapToGrid w:val="0"/>
        <w:spacing w:line="410" w:lineRule="exact"/>
        <w:ind w:left="0" w:leftChars="0" w:right="206" w:rightChars="98" w:firstLine="0" w:firstLineChars="0"/>
        <w:jc w:val="center"/>
        <w:outlineLvl w:val="9"/>
        <w:rPr>
          <w:rFonts w:hint="eastAsia" w:ascii="宋体" w:hAnsi="宋体" w:eastAsia="宋体" w:cs="宋体"/>
          <w:b/>
          <w:color w:val="auto"/>
          <w:sz w:val="32"/>
          <w:szCs w:val="32"/>
          <w:highlight w:val="none"/>
        </w:rPr>
      </w:pPr>
    </w:p>
    <w:p w14:paraId="1200776D">
      <w:pPr>
        <w:pStyle w:val="24"/>
        <w:shd w:val="clear" w:color="auto" w:fill="auto"/>
        <w:snapToGrid w:val="0"/>
        <w:spacing w:line="410" w:lineRule="exact"/>
        <w:ind w:left="0" w:leftChars="0" w:right="206" w:rightChars="98" w:firstLine="0" w:firstLineChars="0"/>
        <w:jc w:val="center"/>
        <w:outlineLvl w:val="9"/>
        <w:rPr>
          <w:rFonts w:hint="eastAsia" w:ascii="宋体" w:hAnsi="宋体" w:eastAsia="宋体" w:cs="宋体"/>
          <w:b/>
          <w:color w:val="auto"/>
          <w:sz w:val="32"/>
          <w:szCs w:val="32"/>
          <w:highlight w:val="none"/>
        </w:rPr>
      </w:pPr>
    </w:p>
    <w:p w14:paraId="6F29D747">
      <w:pPr>
        <w:pStyle w:val="24"/>
        <w:shd w:val="clear" w:color="auto" w:fill="auto"/>
        <w:snapToGrid w:val="0"/>
        <w:spacing w:line="410" w:lineRule="exact"/>
        <w:ind w:left="0" w:leftChars="0" w:right="206" w:rightChars="98" w:firstLine="0" w:firstLineChars="0"/>
        <w:jc w:val="center"/>
        <w:outlineLvl w:val="9"/>
        <w:rPr>
          <w:rFonts w:hint="eastAsia" w:ascii="宋体" w:hAnsi="宋体" w:eastAsia="宋体" w:cs="宋体"/>
          <w:b/>
          <w:color w:val="auto"/>
          <w:sz w:val="32"/>
          <w:szCs w:val="32"/>
          <w:highlight w:val="none"/>
        </w:rPr>
      </w:pPr>
    </w:p>
    <w:p w14:paraId="43586F66">
      <w:pPr>
        <w:pStyle w:val="24"/>
        <w:shd w:val="clear" w:color="auto" w:fill="auto"/>
        <w:snapToGrid w:val="0"/>
        <w:spacing w:line="410" w:lineRule="exact"/>
        <w:ind w:left="0" w:leftChars="0" w:right="206" w:rightChars="98" w:firstLine="0" w:firstLineChars="0"/>
        <w:jc w:val="center"/>
        <w:outlineLvl w:val="9"/>
        <w:rPr>
          <w:rFonts w:hint="eastAsia" w:ascii="宋体" w:hAnsi="宋体" w:eastAsia="宋体" w:cs="宋体"/>
          <w:b/>
          <w:color w:val="auto"/>
          <w:sz w:val="32"/>
          <w:szCs w:val="32"/>
          <w:highlight w:val="none"/>
        </w:rPr>
      </w:pPr>
    </w:p>
    <w:p w14:paraId="7E734CEC">
      <w:pPr>
        <w:pStyle w:val="24"/>
        <w:shd w:val="clear" w:color="auto" w:fill="auto"/>
        <w:snapToGrid w:val="0"/>
        <w:spacing w:line="410" w:lineRule="exact"/>
        <w:ind w:left="0" w:leftChars="0" w:right="206" w:rightChars="98" w:firstLine="0" w:firstLineChars="0"/>
        <w:jc w:val="center"/>
        <w:outlineLvl w:val="9"/>
        <w:rPr>
          <w:rFonts w:hint="eastAsia" w:ascii="宋体" w:hAnsi="宋体" w:eastAsia="宋体" w:cs="宋体"/>
          <w:b/>
          <w:color w:val="auto"/>
          <w:sz w:val="32"/>
          <w:szCs w:val="32"/>
          <w:highlight w:val="none"/>
        </w:rPr>
      </w:pPr>
    </w:p>
    <w:p w14:paraId="4C6C5808">
      <w:pPr>
        <w:pStyle w:val="24"/>
        <w:shd w:val="clear" w:color="auto" w:fill="auto"/>
        <w:snapToGrid w:val="0"/>
        <w:spacing w:line="410" w:lineRule="exact"/>
        <w:ind w:left="0" w:leftChars="0" w:right="206" w:rightChars="98" w:firstLine="0" w:firstLineChars="0"/>
        <w:jc w:val="center"/>
        <w:outlineLvl w:val="9"/>
        <w:rPr>
          <w:rFonts w:hint="eastAsia" w:ascii="宋体" w:hAnsi="宋体" w:eastAsia="宋体" w:cs="宋体"/>
          <w:b/>
          <w:color w:val="auto"/>
          <w:sz w:val="32"/>
          <w:szCs w:val="32"/>
          <w:highlight w:val="none"/>
        </w:rPr>
      </w:pPr>
    </w:p>
    <w:p w14:paraId="2BF37762">
      <w:pPr>
        <w:pStyle w:val="24"/>
        <w:shd w:val="clear" w:color="auto" w:fill="auto"/>
        <w:snapToGrid w:val="0"/>
        <w:spacing w:line="410" w:lineRule="exact"/>
        <w:ind w:left="0" w:leftChars="0" w:right="206" w:rightChars="98" w:firstLine="0" w:firstLineChars="0"/>
        <w:jc w:val="both"/>
        <w:outlineLvl w:val="9"/>
        <w:rPr>
          <w:rFonts w:hint="eastAsia" w:ascii="宋体" w:hAnsi="宋体" w:eastAsia="宋体" w:cs="宋体"/>
          <w:b/>
          <w:color w:val="auto"/>
          <w:sz w:val="32"/>
          <w:szCs w:val="32"/>
          <w:highlight w:val="none"/>
        </w:rPr>
      </w:pPr>
    </w:p>
    <w:p w14:paraId="695A6895">
      <w:pPr>
        <w:pStyle w:val="24"/>
        <w:shd w:val="clear" w:color="auto" w:fill="auto"/>
        <w:snapToGrid w:val="0"/>
        <w:spacing w:line="410" w:lineRule="exact"/>
        <w:ind w:left="0" w:leftChars="0" w:right="206" w:rightChars="98" w:firstLine="0" w:firstLineChars="0"/>
        <w:jc w:val="center"/>
        <w:outlineLvl w:val="9"/>
        <w:rPr>
          <w:rFonts w:hint="eastAsia" w:ascii="宋体" w:hAnsi="宋体" w:eastAsia="宋体" w:cs="宋体"/>
          <w:b/>
          <w:color w:val="auto"/>
          <w:sz w:val="32"/>
          <w:szCs w:val="32"/>
          <w:highlight w:val="none"/>
        </w:rPr>
      </w:pPr>
    </w:p>
    <w:p w14:paraId="4E42962E">
      <w:pPr>
        <w:pStyle w:val="24"/>
        <w:shd w:val="clear" w:color="auto" w:fill="auto"/>
        <w:snapToGrid w:val="0"/>
        <w:spacing w:line="410" w:lineRule="exact"/>
        <w:ind w:left="0" w:leftChars="0" w:right="206" w:rightChars="98" w:firstLine="0" w:firstLineChars="0"/>
        <w:jc w:val="center"/>
        <w:outlineLvl w:val="0"/>
        <w:rPr>
          <w:rFonts w:hint="eastAsia" w:hAnsi="宋体" w:eastAsia="宋体" w:cs="宋体"/>
          <w:b/>
          <w:color w:val="auto"/>
          <w:sz w:val="32"/>
          <w:szCs w:val="32"/>
          <w:highlight w:val="none"/>
          <w:lang w:eastAsia="zh-CN"/>
        </w:rPr>
      </w:pPr>
      <w:r>
        <w:rPr>
          <w:rFonts w:hint="eastAsia" w:hAnsi="宋体" w:eastAsia="宋体" w:cs="宋体"/>
          <w:b/>
          <w:color w:val="auto"/>
          <w:sz w:val="32"/>
          <w:szCs w:val="32"/>
          <w:highlight w:val="none"/>
          <w:lang w:eastAsia="zh-CN"/>
        </w:rPr>
        <w:t>第三章</w:t>
      </w:r>
    </w:p>
    <w:p w14:paraId="51FA5C75">
      <w:pPr>
        <w:pStyle w:val="25"/>
        <w:rPr>
          <w:rFonts w:hint="eastAsia"/>
          <w:lang w:eastAsia="zh-CN"/>
        </w:rPr>
      </w:pPr>
    </w:p>
    <w:p w14:paraId="16ADA383">
      <w:pPr>
        <w:pStyle w:val="24"/>
        <w:shd w:val="clear" w:color="auto" w:fill="auto"/>
        <w:snapToGrid w:val="0"/>
        <w:spacing w:line="410" w:lineRule="exact"/>
        <w:ind w:left="0" w:leftChars="0" w:right="206" w:rightChars="98" w:firstLine="0" w:firstLineChars="0"/>
        <w:jc w:val="center"/>
        <w:outlineLvl w:val="1"/>
        <w:rPr>
          <w:rFonts w:hint="eastAsia" w:ascii="宋体" w:hAnsi="宋体" w:eastAsia="宋体" w:cs="宋体"/>
          <w:b/>
          <w:color w:val="auto"/>
          <w:sz w:val="32"/>
          <w:szCs w:val="32"/>
          <w:highlight w:val="none"/>
        </w:rPr>
      </w:pPr>
      <w:r>
        <w:rPr>
          <w:rFonts w:hint="eastAsia" w:hAnsi="宋体" w:eastAsia="宋体" w:cs="宋体"/>
          <w:b/>
          <w:color w:val="auto"/>
          <w:sz w:val="32"/>
          <w:szCs w:val="32"/>
          <w:highlight w:val="none"/>
          <w:lang w:eastAsia="zh-CN"/>
        </w:rPr>
        <w:t>一、</w:t>
      </w:r>
      <w:r>
        <w:rPr>
          <w:rFonts w:hint="eastAsia" w:ascii="宋体" w:hAnsi="宋体" w:eastAsia="宋体" w:cs="宋体"/>
          <w:b/>
          <w:color w:val="auto"/>
          <w:sz w:val="32"/>
          <w:szCs w:val="32"/>
          <w:highlight w:val="none"/>
        </w:rPr>
        <w:t xml:space="preserve">  总  则</w:t>
      </w:r>
      <w:bookmarkEnd w:id="17"/>
      <w:bookmarkEnd w:id="18"/>
      <w:bookmarkEnd w:id="19"/>
    </w:p>
    <w:p w14:paraId="67A5631A">
      <w:pPr>
        <w:pStyle w:val="25"/>
        <w:rPr>
          <w:rFonts w:hint="eastAsia"/>
        </w:rPr>
      </w:pPr>
    </w:p>
    <w:p w14:paraId="4F0E62B2">
      <w:pPr>
        <w:pStyle w:val="24"/>
        <w:numPr>
          <w:ilvl w:val="0"/>
          <w:numId w:val="0"/>
        </w:numPr>
        <w:shd w:val="clear" w:color="auto" w:fill="auto"/>
        <w:snapToGrid w:val="0"/>
        <w:spacing w:line="410" w:lineRule="exact"/>
        <w:ind w:leftChars="0" w:right="206" w:rightChars="98" w:firstLine="420" w:firstLineChars="20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rPr>
        <w:t>项目名称：</w:t>
      </w:r>
      <w:r>
        <w:rPr>
          <w:rFonts w:hint="eastAsia" w:ascii="宋体" w:hAnsi="宋体" w:eastAsia="宋体" w:cs="宋体"/>
          <w:color w:val="auto"/>
          <w:szCs w:val="24"/>
          <w:highlight w:val="none"/>
          <w:lang w:val="en-US" w:eastAsia="zh-CN"/>
        </w:rPr>
        <w:t>克州疾病预防控制中心致病菌、新冠基因测序等监测试剂耗材采购项目（一包）</w:t>
      </w:r>
    </w:p>
    <w:p w14:paraId="1A1872EB">
      <w:pPr>
        <w:pStyle w:val="24"/>
        <w:numPr>
          <w:ilvl w:val="0"/>
          <w:numId w:val="0"/>
        </w:numPr>
        <w:shd w:val="clear" w:color="auto" w:fill="auto"/>
        <w:snapToGrid w:val="0"/>
        <w:spacing w:line="410" w:lineRule="exact"/>
        <w:ind w:leftChars="0" w:right="206" w:rightChars="98"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rPr>
        <w:t>采购方式</w:t>
      </w:r>
      <w:r>
        <w:rPr>
          <w:rFonts w:hint="eastAsia" w:ascii="宋体" w:hAnsi="宋体" w:eastAsia="宋体" w:cs="宋体"/>
          <w:color w:val="auto"/>
          <w:szCs w:val="24"/>
          <w:highlight w:val="none"/>
          <w:lang w:val="zh-CN" w:eastAsia="zh-CN"/>
        </w:rPr>
        <w:t>：</w:t>
      </w:r>
      <w:r>
        <w:rPr>
          <w:rFonts w:hint="eastAsia" w:ascii="宋体" w:hAnsi="宋体" w:eastAsia="宋体" w:cs="宋体"/>
          <w:color w:val="auto"/>
          <w:szCs w:val="24"/>
          <w:highlight w:val="none"/>
          <w:lang w:val="zh-CN"/>
        </w:rPr>
        <w:t>本项目采取</w:t>
      </w:r>
      <w:r>
        <w:rPr>
          <w:rFonts w:hint="eastAsia" w:ascii="宋体" w:hAnsi="宋体" w:eastAsia="宋体" w:cs="宋体"/>
          <w:color w:val="auto"/>
          <w:szCs w:val="24"/>
          <w:highlight w:val="none"/>
          <w:lang w:val="zh-CN" w:eastAsia="zh-CN"/>
        </w:rPr>
        <w:t>竞争性谈判</w:t>
      </w:r>
      <w:r>
        <w:rPr>
          <w:rFonts w:hint="eastAsia" w:ascii="宋体" w:hAnsi="宋体" w:eastAsia="宋体" w:cs="宋体"/>
          <w:color w:val="auto"/>
          <w:szCs w:val="24"/>
          <w:highlight w:val="none"/>
          <w:lang w:val="zh-CN"/>
        </w:rPr>
        <w:t>方式采购。</w:t>
      </w:r>
    </w:p>
    <w:p w14:paraId="068EA513">
      <w:pPr>
        <w:pStyle w:val="24"/>
        <w:numPr>
          <w:ilvl w:val="1"/>
          <w:numId w:val="4"/>
        </w:numPr>
        <w:shd w:val="clear" w:color="auto" w:fill="auto"/>
        <w:snapToGrid w:val="0"/>
        <w:spacing w:line="41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rPr>
        <w:t>适用法律</w:t>
      </w:r>
    </w:p>
    <w:p w14:paraId="21D850F9">
      <w:pPr>
        <w:pStyle w:val="24"/>
        <w:numPr>
          <w:ilvl w:val="1"/>
          <w:numId w:val="4"/>
        </w:numPr>
        <w:shd w:val="clear" w:color="auto" w:fill="auto"/>
        <w:snapToGrid w:val="0"/>
        <w:spacing w:line="41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本次招标及由本次招标产生的合同受</w:t>
      </w:r>
      <w:r>
        <w:rPr>
          <w:rFonts w:hint="eastAsia" w:ascii="宋体" w:hAnsi="宋体" w:eastAsia="宋体" w:cs="宋体"/>
          <w:color w:val="auto"/>
          <w:szCs w:val="24"/>
          <w:highlight w:val="none"/>
          <w:lang w:val="zh-CN" w:eastAsia="zh-CN"/>
        </w:rPr>
        <w:t>《</w:t>
      </w:r>
      <w:r>
        <w:rPr>
          <w:rFonts w:hint="eastAsia" w:ascii="宋体" w:hAnsi="宋体" w:eastAsia="宋体" w:cs="宋体"/>
          <w:color w:val="auto"/>
          <w:szCs w:val="24"/>
          <w:highlight w:val="none"/>
          <w:lang w:val="zh-CN"/>
        </w:rPr>
        <w:t>中华人民共和国政府采购法》、《</w:t>
      </w:r>
      <w:r>
        <w:rPr>
          <w:rFonts w:hint="eastAsia" w:ascii="宋体" w:hAnsi="宋体" w:eastAsia="宋体" w:cs="宋体"/>
          <w:color w:val="auto"/>
          <w:szCs w:val="24"/>
          <w:highlight w:val="none"/>
          <w:lang w:val="zh-CN" w:eastAsia="zh-CN"/>
        </w:rPr>
        <w:t>政府采购非招标采购方式管理办法【74号】</w:t>
      </w:r>
      <w:r>
        <w:rPr>
          <w:rFonts w:hint="eastAsia" w:ascii="宋体" w:hAnsi="宋体" w:eastAsia="宋体" w:cs="宋体"/>
          <w:color w:val="auto"/>
          <w:szCs w:val="24"/>
          <w:highlight w:val="none"/>
          <w:lang w:val="zh-CN"/>
        </w:rPr>
        <w:t>》等相关法律、法规制约和保护。</w:t>
      </w:r>
    </w:p>
    <w:p w14:paraId="1D951F0D">
      <w:pPr>
        <w:pStyle w:val="24"/>
        <w:numPr>
          <w:ilvl w:val="1"/>
          <w:numId w:val="4"/>
        </w:numPr>
        <w:shd w:val="clear" w:color="auto" w:fill="auto"/>
        <w:snapToGrid w:val="0"/>
        <w:spacing w:line="410" w:lineRule="exact"/>
        <w:ind w:left="0" w:leftChars="0" w:right="206" w:rightChars="98" w:firstLine="0" w:firstLineChars="0"/>
        <w:outlineLvl w:val="1"/>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val="zh-CN"/>
        </w:rPr>
        <w:t>招标费用</w:t>
      </w:r>
    </w:p>
    <w:p w14:paraId="70F1843D">
      <w:pPr>
        <w:pStyle w:val="24"/>
        <w:numPr>
          <w:ilvl w:val="1"/>
          <w:numId w:val="4"/>
        </w:numPr>
        <w:shd w:val="clear" w:color="auto" w:fill="auto"/>
        <w:snapToGrid w:val="0"/>
        <w:spacing w:line="41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供应商应自行承担所有参加招标有关的费用。</w:t>
      </w:r>
    </w:p>
    <w:p w14:paraId="1BA308D1">
      <w:pPr>
        <w:pStyle w:val="24"/>
        <w:numPr>
          <w:ilvl w:val="1"/>
          <w:numId w:val="4"/>
        </w:numPr>
        <w:shd w:val="clear" w:color="auto" w:fill="auto"/>
        <w:snapToGrid w:val="0"/>
        <w:spacing w:line="410" w:lineRule="exact"/>
        <w:ind w:left="0" w:leftChars="0" w:right="206" w:rightChars="98" w:firstLine="0" w:firstLineChars="0"/>
        <w:outlineLvl w:val="1"/>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val="zh-CN"/>
        </w:rPr>
        <w:t>.质疑</w:t>
      </w:r>
    </w:p>
    <w:p w14:paraId="27DD143A">
      <w:pPr>
        <w:pStyle w:val="24"/>
        <w:numPr>
          <w:ilvl w:val="1"/>
          <w:numId w:val="4"/>
        </w:numPr>
        <w:shd w:val="clear" w:color="auto" w:fill="auto"/>
        <w:snapToGrid w:val="0"/>
        <w:spacing w:line="410" w:lineRule="exact"/>
        <w:ind w:left="0" w:leftChars="0" w:right="206" w:rightChars="98" w:firstLine="0" w:firstLineChars="0"/>
        <w:rPr>
          <w:rFonts w:hint="eastAsia" w:ascii="宋体" w:hAnsi="宋体" w:eastAsia="宋体" w:cs="宋体"/>
          <w:color w:val="auto"/>
          <w:szCs w:val="24"/>
          <w:highlight w:val="none"/>
          <w:lang w:val="zh-CN"/>
        </w:rPr>
      </w:pPr>
      <w:r>
        <w:rPr>
          <w:rFonts w:hint="eastAsia" w:hAnsi="宋体" w:eastAsia="宋体" w:cs="宋体"/>
          <w:color w:val="auto"/>
          <w:szCs w:val="24"/>
          <w:highlight w:val="none"/>
          <w:lang w:val="en-US" w:eastAsia="zh-CN"/>
        </w:rPr>
        <w:t>5.1</w:t>
      </w:r>
      <w:r>
        <w:rPr>
          <w:rFonts w:hint="eastAsia" w:ascii="宋体" w:hAnsi="宋体" w:eastAsia="宋体" w:cs="宋体"/>
          <w:color w:val="auto"/>
          <w:szCs w:val="24"/>
          <w:highlight w:val="none"/>
          <w:lang w:val="zh-CN"/>
        </w:rPr>
        <w:t>供应商对政府采购活动事项有疑问的，在公示期内可以向代理机构提出询问，代理机构应当及时作出答复，但答复的内容不得涉及商业秘密。供应商认为</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采购过程和成交、成交结果使自己的权益受到损害的，可以在公示期的三个工作日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14:paraId="3B26C05C">
      <w:pPr>
        <w:pStyle w:val="24"/>
        <w:numPr>
          <w:ilvl w:val="1"/>
          <w:numId w:val="4"/>
        </w:numPr>
        <w:shd w:val="clear" w:color="auto" w:fill="auto"/>
        <w:snapToGrid w:val="0"/>
        <w:spacing w:line="410" w:lineRule="exact"/>
        <w:ind w:left="0" w:leftChars="0" w:right="206" w:rightChars="98" w:firstLine="0" w:firstLineChars="0"/>
        <w:rPr>
          <w:rFonts w:hint="eastAsia" w:ascii="宋体" w:hAnsi="宋体" w:eastAsia="宋体" w:cs="宋体"/>
          <w:color w:val="auto"/>
          <w:szCs w:val="24"/>
          <w:highlight w:val="none"/>
          <w:lang w:val="zh-CN"/>
        </w:rPr>
      </w:pPr>
      <w:r>
        <w:rPr>
          <w:rFonts w:hint="eastAsia" w:hAnsi="宋体" w:eastAsia="宋体" w:cs="宋体"/>
          <w:color w:val="auto"/>
          <w:szCs w:val="24"/>
          <w:highlight w:val="none"/>
          <w:lang w:val="en-US" w:eastAsia="zh-CN"/>
        </w:rPr>
        <w:t>5.2</w:t>
      </w:r>
      <w:r>
        <w:rPr>
          <w:rFonts w:hint="eastAsia" w:ascii="宋体" w:hAnsi="宋体" w:eastAsia="宋体" w:cs="宋体"/>
          <w:color w:val="auto"/>
          <w:szCs w:val="24"/>
          <w:highlight w:val="none"/>
          <w:lang w:val="zh-CN"/>
        </w:rPr>
        <w:t>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p>
    <w:p w14:paraId="434E58A5">
      <w:pPr>
        <w:pStyle w:val="24"/>
        <w:shd w:val="clear" w:color="auto" w:fill="auto"/>
        <w:snapToGrid w:val="0"/>
        <w:spacing w:line="410" w:lineRule="exact"/>
        <w:ind w:left="0" w:leftChars="0" w:right="206" w:rightChars="98" w:firstLine="0" w:firstLineChars="0"/>
        <w:outlineLvl w:val="1"/>
        <w:rPr>
          <w:rFonts w:hint="eastAsia" w:ascii="宋体" w:hAnsi="宋体" w:eastAsia="宋体" w:cs="宋体"/>
          <w:b/>
          <w:color w:val="auto"/>
          <w:highlight w:val="none"/>
        </w:rPr>
      </w:pPr>
      <w:r>
        <w:rPr>
          <w:rFonts w:hint="eastAsia" w:ascii="宋体" w:hAnsi="宋体" w:eastAsia="宋体" w:cs="宋体"/>
          <w:b/>
          <w:color w:val="auto"/>
          <w:highlight w:val="none"/>
        </w:rPr>
        <w:t>6．投诉</w:t>
      </w:r>
    </w:p>
    <w:p w14:paraId="63CD0CF1">
      <w:pPr>
        <w:pStyle w:val="24"/>
        <w:numPr>
          <w:ilvl w:val="1"/>
          <w:numId w:val="4"/>
        </w:numPr>
        <w:shd w:val="clear" w:color="auto" w:fill="auto"/>
        <w:snapToGrid w:val="0"/>
        <w:spacing w:line="410" w:lineRule="exact"/>
        <w:ind w:left="0" w:leftChars="0" w:right="206" w:rightChars="98" w:firstLine="0" w:firstLineChars="0"/>
        <w:rPr>
          <w:rFonts w:hint="eastAsia" w:ascii="宋体" w:hAnsi="宋体" w:eastAsia="宋体" w:cs="宋体"/>
          <w:b/>
          <w:color w:val="auto"/>
          <w:sz w:val="32"/>
          <w:szCs w:val="32"/>
          <w:highlight w:val="none"/>
        </w:rPr>
      </w:pPr>
      <w:r>
        <w:rPr>
          <w:rFonts w:hint="eastAsia" w:ascii="宋体" w:hAnsi="宋体" w:eastAsia="宋体" w:cs="宋体"/>
          <w:color w:val="auto"/>
          <w:sz w:val="18"/>
          <w:szCs w:val="18"/>
          <w:highlight w:val="none"/>
          <w:shd w:val="clear" w:color="auto" w:fill="FFFFFF"/>
        </w:rPr>
        <w:t xml:space="preserve"> </w:t>
      </w:r>
      <w:r>
        <w:rPr>
          <w:rFonts w:hint="eastAsia" w:ascii="宋体" w:hAnsi="宋体" w:eastAsia="宋体" w:cs="宋体"/>
          <w:color w:val="auto"/>
          <w:szCs w:val="24"/>
          <w:highlight w:val="none"/>
          <w:lang w:val="zh-CN"/>
        </w:rPr>
        <w:t>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p>
    <w:p w14:paraId="579ACFF0">
      <w:pPr>
        <w:pStyle w:val="24"/>
        <w:shd w:val="clear" w:color="auto" w:fill="auto"/>
        <w:snapToGrid w:val="0"/>
        <w:spacing w:line="360" w:lineRule="exact"/>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7.投标人应注意的事项</w:t>
      </w:r>
    </w:p>
    <w:p w14:paraId="42186179">
      <w:pPr>
        <w:shd w:val="clear" w:color="auto" w:fill="auto"/>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7.1投标人一旦按规定缴纳了投标保证金并参加投标，即被认为接受了本谈判文件中的所有条件和规定。投标人必须严格按谈判文件的要求编制</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宜编制页码和目录，以便评委审核。否则，由此产生的一切后果由投标人承担。</w:t>
      </w:r>
    </w:p>
    <w:p w14:paraId="2A2081DC">
      <w:pPr>
        <w:shd w:val="clear" w:color="auto" w:fill="auto"/>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 投标人对采购内容中规定的技术参数、规格等要求必须完全响应或优于谈判文件中的要求。</w:t>
      </w:r>
    </w:p>
    <w:p w14:paraId="576CB14E">
      <w:pPr>
        <w:shd w:val="clear" w:color="auto" w:fill="auto"/>
        <w:spacing w:line="440" w:lineRule="exact"/>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7.3所有投标人的投标保证金都应在谈判文件规定的投标保证金缴纳截止日期前缴纳。</w:t>
      </w:r>
    </w:p>
    <w:p w14:paraId="4BA83234">
      <w:pPr>
        <w:shd w:val="clear" w:color="auto" w:fill="auto"/>
        <w:spacing w:line="440" w:lineRule="exact"/>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7.4单位负责人为同一人或者存在直接控股、管理关系的不同供应商，不得参加同一合同项下的政府采购活动。</w:t>
      </w:r>
      <w:r>
        <w:rPr>
          <w:rFonts w:hint="eastAsia" w:ascii="宋体" w:hAnsi="宋体" w:eastAsia="宋体" w:cs="宋体"/>
          <w:color w:val="auto"/>
          <w:szCs w:val="21"/>
          <w:highlight w:val="none"/>
        </w:rPr>
        <w:t>为采购项目提供整体设计、规范编制或者项目管理、监理、检测等服务的供应商，不得再参加该采购项目的其他采购活动。</w:t>
      </w:r>
    </w:p>
    <w:p w14:paraId="04A56E5E">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7.5本项目只接受</w:t>
      </w:r>
      <w:r>
        <w:rPr>
          <w:rFonts w:hint="eastAsia" w:ascii="宋体" w:hAnsi="宋体" w:eastAsia="宋体" w:cs="宋体"/>
          <w:color w:val="auto"/>
          <w:szCs w:val="21"/>
          <w:highlight w:val="none"/>
        </w:rPr>
        <w:t>成为新疆维吾尔自治区政府采购网正式注册入库并完成CA数字证书申领供应商参与投标。因未注册入库、未办理CA数字证书等原因造成无法投标或投标失败等后果由供应商自行承担。</w:t>
      </w:r>
    </w:p>
    <w:p w14:paraId="2634F70C">
      <w:pPr>
        <w:pStyle w:val="38"/>
        <w:rPr>
          <w:rFonts w:hint="eastAsia"/>
        </w:rPr>
      </w:pPr>
    </w:p>
    <w:p w14:paraId="0E803FB9">
      <w:pPr>
        <w:pStyle w:val="24"/>
        <w:shd w:val="clear" w:color="auto" w:fill="auto"/>
        <w:snapToGrid w:val="0"/>
        <w:spacing w:line="440" w:lineRule="exact"/>
        <w:ind w:left="0" w:leftChars="0" w:right="206" w:rightChars="98" w:firstLine="0" w:firstLineChars="0"/>
        <w:jc w:val="center"/>
        <w:outlineLvl w:val="2"/>
        <w:rPr>
          <w:rFonts w:hint="eastAsia" w:ascii="宋体" w:hAnsi="宋体" w:eastAsia="宋体" w:cs="宋体"/>
          <w:b/>
          <w:bCs/>
          <w:color w:val="auto"/>
          <w:sz w:val="32"/>
          <w:szCs w:val="32"/>
          <w:highlight w:val="none"/>
        </w:rPr>
      </w:pPr>
      <w:bookmarkStart w:id="20" w:name="_Toc31213"/>
      <w:bookmarkStart w:id="21" w:name="_Toc14061"/>
      <w:bookmarkStart w:id="22" w:name="_Toc16306_WPSOffice_Level2"/>
      <w:r>
        <w:rPr>
          <w:rFonts w:hint="eastAsia" w:ascii="宋体" w:hAnsi="宋体" w:eastAsia="宋体" w:cs="宋体"/>
          <w:b/>
          <w:color w:val="auto"/>
          <w:sz w:val="32"/>
          <w:szCs w:val="32"/>
          <w:highlight w:val="none"/>
        </w:rPr>
        <w:t xml:space="preserve">二 </w:t>
      </w:r>
      <w:r>
        <w:rPr>
          <w:rFonts w:hint="eastAsia"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 xml:space="preserve"> </w:t>
      </w:r>
      <w:r>
        <w:rPr>
          <w:rFonts w:hint="eastAsia" w:ascii="宋体" w:hAnsi="宋体" w:eastAsia="宋体" w:cs="宋体"/>
          <w:b/>
          <w:bCs/>
          <w:color w:val="auto"/>
          <w:sz w:val="32"/>
          <w:szCs w:val="32"/>
          <w:highlight w:val="none"/>
        </w:rPr>
        <w:t>竞争性谈判</w:t>
      </w:r>
      <w:r>
        <w:rPr>
          <w:rFonts w:hint="eastAsia" w:hAnsi="宋体" w:eastAsia="宋体" w:cs="宋体"/>
          <w:b/>
          <w:bCs/>
          <w:color w:val="auto"/>
          <w:sz w:val="32"/>
          <w:szCs w:val="32"/>
          <w:highlight w:val="none"/>
          <w:lang w:eastAsia="zh-CN"/>
        </w:rPr>
        <w:t>谈判文件</w:t>
      </w:r>
      <w:r>
        <w:rPr>
          <w:rFonts w:hint="eastAsia" w:ascii="宋体" w:hAnsi="宋体" w:eastAsia="宋体" w:cs="宋体"/>
          <w:b/>
          <w:bCs/>
          <w:color w:val="auto"/>
          <w:sz w:val="32"/>
          <w:szCs w:val="32"/>
          <w:highlight w:val="none"/>
        </w:rPr>
        <w:t>（简称</w:t>
      </w:r>
      <w:r>
        <w:rPr>
          <w:rFonts w:hint="eastAsia" w:hAnsi="宋体" w:eastAsia="宋体" w:cs="宋体"/>
          <w:b/>
          <w:bCs/>
          <w:color w:val="auto"/>
          <w:sz w:val="32"/>
          <w:szCs w:val="32"/>
          <w:highlight w:val="none"/>
          <w:lang w:eastAsia="zh-CN"/>
        </w:rPr>
        <w:t>谈判文件</w:t>
      </w:r>
      <w:r>
        <w:rPr>
          <w:rFonts w:hint="eastAsia" w:ascii="宋体" w:hAnsi="宋体" w:eastAsia="宋体" w:cs="宋体"/>
          <w:b/>
          <w:bCs/>
          <w:color w:val="auto"/>
          <w:sz w:val="32"/>
          <w:szCs w:val="32"/>
          <w:highlight w:val="none"/>
        </w:rPr>
        <w:t>）</w:t>
      </w:r>
      <w:bookmarkEnd w:id="20"/>
      <w:bookmarkEnd w:id="21"/>
      <w:bookmarkEnd w:id="22"/>
    </w:p>
    <w:p w14:paraId="31DD5138">
      <w:pPr>
        <w:pStyle w:val="25"/>
        <w:rPr>
          <w:rFonts w:hint="eastAsia"/>
        </w:rPr>
      </w:pPr>
    </w:p>
    <w:p w14:paraId="1763F8B2">
      <w:pPr>
        <w:pStyle w:val="24"/>
        <w:shd w:val="clear" w:color="auto" w:fill="auto"/>
        <w:snapToGrid w:val="0"/>
        <w:spacing w:line="440" w:lineRule="exact"/>
        <w:ind w:left="0" w:leftChars="0" w:right="206" w:rightChars="98" w:firstLine="0" w:firstLineChars="0"/>
        <w:outlineLvl w:val="1"/>
        <w:rPr>
          <w:rFonts w:hint="eastAsia" w:ascii="宋体" w:hAnsi="宋体" w:eastAsia="宋体" w:cs="宋体"/>
          <w:color w:val="auto"/>
          <w:highlight w:val="none"/>
        </w:rPr>
      </w:pP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rPr>
        <w:t>.</w:t>
      </w:r>
      <w:r>
        <w:rPr>
          <w:rFonts w:hint="eastAsia" w:hAnsi="宋体" w:eastAsia="宋体" w:cs="宋体"/>
          <w:b/>
          <w:color w:val="auto"/>
          <w:highlight w:val="none"/>
          <w:lang w:eastAsia="zh-CN"/>
        </w:rPr>
        <w:t>谈判文件</w:t>
      </w:r>
      <w:r>
        <w:rPr>
          <w:rFonts w:hint="eastAsia" w:ascii="宋体" w:hAnsi="宋体" w:eastAsia="宋体" w:cs="宋体"/>
          <w:b/>
          <w:color w:val="auto"/>
          <w:highlight w:val="none"/>
        </w:rPr>
        <w:t>构成</w:t>
      </w:r>
    </w:p>
    <w:p w14:paraId="261A05E4">
      <w:pPr>
        <w:pStyle w:val="24"/>
        <w:numPr>
          <w:ilvl w:val="1"/>
          <w:numId w:val="4"/>
        </w:numPr>
        <w:shd w:val="clear" w:color="auto" w:fill="auto"/>
        <w:snapToGrid w:val="0"/>
        <w:spacing w:line="440" w:lineRule="exact"/>
        <w:ind w:left="0" w:leftChars="0" w:right="206" w:rightChars="98" w:firstLine="0" w:firstLineChars="0"/>
        <w:outlineLvl w:val="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lang w:val="zh-CN"/>
        </w:rPr>
        <w:t>.1</w:t>
      </w:r>
      <w:r>
        <w:rPr>
          <w:rFonts w:hint="eastAsia" w:hAnsi="宋体" w:eastAsia="宋体" w:cs="宋体"/>
          <w:color w:val="auto"/>
          <w:szCs w:val="24"/>
          <w:highlight w:val="none"/>
          <w:lang w:val="zh-CN"/>
        </w:rPr>
        <w:t>谈判</w:t>
      </w:r>
      <w:r>
        <w:rPr>
          <w:rFonts w:hint="eastAsia" w:ascii="宋体" w:hAnsi="宋体" w:eastAsia="宋体" w:cs="宋体"/>
          <w:color w:val="auto"/>
          <w:szCs w:val="24"/>
          <w:highlight w:val="none"/>
          <w:lang w:val="zh-CN"/>
        </w:rPr>
        <w:t>文件由下列文件及采购过程的补充文件构成：</w:t>
      </w:r>
    </w:p>
    <w:p w14:paraId="146E0AC2">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hint="eastAsia" w:hAnsi="宋体" w:eastAsia="宋体" w:cs="宋体"/>
          <w:color w:val="auto"/>
          <w:szCs w:val="24"/>
          <w:highlight w:val="none"/>
          <w:lang w:val="zh-CN"/>
        </w:rPr>
        <w:t>竞争性谈判</w:t>
      </w:r>
      <w:r>
        <w:rPr>
          <w:rFonts w:hint="eastAsia" w:ascii="宋体" w:hAnsi="宋体" w:eastAsia="宋体" w:cs="宋体"/>
          <w:color w:val="auto"/>
          <w:szCs w:val="24"/>
          <w:highlight w:val="none"/>
          <w:lang w:val="zh-CN"/>
        </w:rPr>
        <w:t>公告；</w:t>
      </w:r>
    </w:p>
    <w:p w14:paraId="5999CCD3">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（2）投标人须知及前附表；</w:t>
      </w:r>
    </w:p>
    <w:p w14:paraId="31882934">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w:t>
      </w:r>
      <w:r>
        <w:rPr>
          <w:rFonts w:hint="eastAsia" w:ascii="宋体" w:hAnsi="宋体" w:eastAsia="宋体" w:cs="宋体"/>
          <w:color w:val="auto"/>
          <w:szCs w:val="24"/>
          <w:highlight w:val="none"/>
          <w:lang w:val="zh-CN" w:eastAsia="zh-CN"/>
        </w:rPr>
        <w:t>技术规格、数量及质量要求</w:t>
      </w:r>
      <w:r>
        <w:rPr>
          <w:rFonts w:hint="eastAsia" w:ascii="宋体" w:hAnsi="宋体" w:eastAsia="宋体" w:cs="宋体"/>
          <w:color w:val="auto"/>
          <w:szCs w:val="24"/>
          <w:highlight w:val="none"/>
          <w:lang w:val="zh-CN"/>
        </w:rPr>
        <w:t>；</w:t>
      </w:r>
    </w:p>
    <w:p w14:paraId="108EFF7B">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（4）合同基本条款；</w:t>
      </w:r>
    </w:p>
    <w:p w14:paraId="47B26B73">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（5）合同书；</w:t>
      </w:r>
    </w:p>
    <w:p w14:paraId="3068BA14">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（6）投标相关文件；</w:t>
      </w:r>
    </w:p>
    <w:p w14:paraId="6685B19F">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（7）评定成交标准。</w:t>
      </w:r>
    </w:p>
    <w:p w14:paraId="0F03D9B7">
      <w:pPr>
        <w:pStyle w:val="24"/>
        <w:numPr>
          <w:ilvl w:val="1"/>
          <w:numId w:val="4"/>
        </w:numPr>
        <w:shd w:val="clear" w:color="auto" w:fill="auto"/>
        <w:snapToGrid w:val="0"/>
        <w:spacing w:line="440" w:lineRule="exact"/>
        <w:ind w:left="0" w:leftChars="0" w:right="206" w:rightChars="98" w:firstLine="0" w:firstLineChars="0"/>
        <w:outlineLvl w:val="2"/>
        <w:rPr>
          <w:rFonts w:hint="eastAsia" w:ascii="宋体" w:hAnsi="宋体" w:eastAsia="宋体" w:cs="宋体"/>
          <w:color w:val="auto"/>
          <w:szCs w:val="24"/>
          <w:highlight w:val="none"/>
          <w:lang w:val="zh-CN"/>
        </w:rPr>
      </w:pPr>
      <w:r>
        <w:rPr>
          <w:rFonts w:hint="eastAsia" w:hAnsi="宋体" w:eastAsia="宋体" w:cs="宋体"/>
          <w:color w:val="auto"/>
          <w:szCs w:val="24"/>
          <w:highlight w:val="none"/>
          <w:lang w:val="en-US" w:eastAsia="zh-CN"/>
        </w:rPr>
        <w:t>8</w:t>
      </w:r>
      <w:r>
        <w:rPr>
          <w:rFonts w:hint="eastAsia" w:ascii="宋体" w:hAnsi="宋体" w:eastAsia="宋体" w:cs="宋体"/>
          <w:color w:val="auto"/>
          <w:szCs w:val="24"/>
          <w:highlight w:val="none"/>
          <w:lang w:val="zh-CN"/>
        </w:rPr>
        <w:t>.2本</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以纸质文件为准。</w:t>
      </w:r>
    </w:p>
    <w:p w14:paraId="4143DEA3">
      <w:pPr>
        <w:pStyle w:val="24"/>
        <w:shd w:val="clear" w:color="auto" w:fill="auto"/>
        <w:snapToGrid w:val="0"/>
        <w:spacing w:line="440" w:lineRule="exact"/>
        <w:ind w:left="0" w:leftChars="0" w:right="206" w:rightChars="98" w:firstLine="0" w:firstLineChars="0"/>
        <w:outlineLvl w:val="1"/>
        <w:rPr>
          <w:rFonts w:hint="eastAsia" w:ascii="宋体" w:hAnsi="宋体" w:eastAsia="宋体" w:cs="宋体"/>
          <w:color w:val="auto"/>
          <w:highlight w:val="none"/>
        </w:rPr>
      </w:pP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r>
        <w:rPr>
          <w:rFonts w:hint="eastAsia" w:hAnsi="宋体" w:eastAsia="宋体" w:cs="宋体"/>
          <w:b/>
          <w:color w:val="auto"/>
          <w:highlight w:val="none"/>
          <w:lang w:eastAsia="zh-CN"/>
        </w:rPr>
        <w:t>谈判文件</w:t>
      </w:r>
      <w:r>
        <w:rPr>
          <w:rFonts w:hint="eastAsia" w:ascii="宋体" w:hAnsi="宋体" w:eastAsia="宋体" w:cs="宋体"/>
          <w:b/>
          <w:color w:val="auto"/>
          <w:highlight w:val="none"/>
        </w:rPr>
        <w:t>的澄清和修改</w:t>
      </w:r>
    </w:p>
    <w:p w14:paraId="50F5BB28">
      <w:pPr>
        <w:pStyle w:val="24"/>
        <w:shd w:val="clear" w:color="auto" w:fill="auto"/>
        <w:snapToGrid w:val="0"/>
        <w:spacing w:line="440" w:lineRule="exact"/>
        <w:ind w:left="0" w:leftChars="0" w:right="206" w:rightChars="98" w:firstLine="42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9</w:t>
      </w:r>
      <w:r>
        <w:rPr>
          <w:rFonts w:hint="eastAsia" w:ascii="宋体" w:hAnsi="宋体" w:eastAsia="宋体" w:cs="宋体"/>
          <w:b w:val="0"/>
          <w:bCs/>
          <w:color w:val="auto"/>
          <w:highlight w:val="none"/>
        </w:rPr>
        <w:t>.1投标人要认真审核招标内容及技术要求中的技术参数、配置及要求，如发现表中技术参数、配置有误或存在倾向性或排他性的内容及要求不合理的，投标人必须在投标前要求澄清，否则，由此产生的后果由投标人负责。</w:t>
      </w:r>
    </w:p>
    <w:p w14:paraId="652F473F">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lang w:val="zh-CN"/>
        </w:rPr>
        <w:t>2任何要求澄清</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的投标人，均应在投标截止日期3天前以书面形式通知采购代理机构，同时认定其他澄清方式为无效。采购代理机构将以书面形式予以答复，过期则不予受理。</w:t>
      </w:r>
    </w:p>
    <w:p w14:paraId="5B03B774">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lang w:val="zh-CN"/>
        </w:rPr>
        <w:t>3在投标截止日期前的任何时候，无论出于何种原因，采购代理机构可主动地或在解答投标人提出的澄清问题时对</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进行澄清或修改。该澄清或修改的内容为</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的组成部分。</w:t>
      </w:r>
    </w:p>
    <w:p w14:paraId="1745DDAF">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lang w:val="zh-CN"/>
        </w:rPr>
        <w:t>.4</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的澄清或修改将以书面形式通知所有购买</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的投标人，并对其具有约束力。</w:t>
      </w:r>
    </w:p>
    <w:p w14:paraId="2A59A239">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lang w:val="zh-CN"/>
        </w:rPr>
        <w:t>.5采购代理机构可视具体情况，延长投标截止日期，并将澄清或修改通知所有购买</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的投标人。</w:t>
      </w:r>
    </w:p>
    <w:p w14:paraId="52628E80">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lang w:val="zh-CN"/>
        </w:rPr>
        <w:t>.6请投标人接通知后到</w:t>
      </w:r>
      <w:r>
        <w:rPr>
          <w:rFonts w:hint="eastAsia" w:ascii="宋体" w:hAnsi="宋体" w:eastAsia="宋体" w:cs="宋体"/>
          <w:color w:val="auto"/>
          <w:szCs w:val="24"/>
          <w:highlight w:val="none"/>
          <w:lang w:val="en-US" w:eastAsia="zh-CN"/>
        </w:rPr>
        <w:t>新疆政府采购网</w:t>
      </w:r>
      <w:r>
        <w:rPr>
          <w:rFonts w:hint="eastAsia" w:ascii="宋体" w:hAnsi="宋体" w:eastAsia="宋体" w:cs="宋体"/>
          <w:color w:val="auto"/>
          <w:szCs w:val="24"/>
          <w:highlight w:val="none"/>
          <w:lang w:val="zh-CN"/>
        </w:rPr>
        <w:t>领取以上澄清答复（或补充、更改通知），或在网上查询，如在电话通知后24小时内不上门领取的，则视为已在网上查询收到；投标人在每一次收到澄清答复或补充通知后应立即以书面形式（含传真方式）通知采购代理机构，确认已收到该澄清答复（或补充、更改通知）；否则，由此造成的一切后果由投标人承担。</w:t>
      </w:r>
    </w:p>
    <w:p w14:paraId="0BE5A92B">
      <w:pPr>
        <w:pStyle w:val="24"/>
        <w:shd w:val="clear" w:color="auto" w:fill="auto"/>
        <w:snapToGrid w:val="0"/>
        <w:spacing w:line="440" w:lineRule="exact"/>
        <w:ind w:left="0" w:leftChars="0" w:right="206" w:rightChars="98" w:firstLine="0" w:firstLineChars="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、资料</w:t>
      </w:r>
    </w:p>
    <w:p w14:paraId="730235AE">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10</w:t>
      </w:r>
      <w:r>
        <w:rPr>
          <w:rFonts w:hint="eastAsia" w:ascii="宋体" w:hAnsi="宋体" w:eastAsia="宋体" w:cs="宋体"/>
          <w:color w:val="auto"/>
          <w:szCs w:val="24"/>
          <w:highlight w:val="none"/>
          <w:lang w:val="zh-CN"/>
        </w:rPr>
        <w:t>.1</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中提供的资料和数据，是为使投标人能够充分正确地理解</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进行投标。投标人自行做出的推断、解释和结论，采购代理机构概不负责。</w:t>
      </w:r>
    </w:p>
    <w:p w14:paraId="03EAC03D">
      <w:pPr>
        <w:pStyle w:val="24"/>
        <w:numPr>
          <w:ilvl w:val="1"/>
          <w:numId w:val="4"/>
        </w:numPr>
        <w:shd w:val="clear" w:color="auto" w:fill="auto"/>
        <w:snapToGrid w:val="0"/>
        <w:spacing w:line="440" w:lineRule="exact"/>
        <w:ind w:left="0" w:leftChars="0" w:right="206" w:rightChars="98"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10</w:t>
      </w:r>
      <w:r>
        <w:rPr>
          <w:rFonts w:hint="eastAsia" w:ascii="宋体" w:hAnsi="宋体" w:eastAsia="宋体" w:cs="宋体"/>
          <w:color w:val="auto"/>
          <w:szCs w:val="24"/>
          <w:highlight w:val="none"/>
          <w:lang w:val="zh-CN"/>
        </w:rPr>
        <w:t>.2投标人为编制</w:t>
      </w:r>
      <w:r>
        <w:rPr>
          <w:rFonts w:hint="eastAsia" w:hAnsi="宋体" w:eastAsia="宋体" w:cs="宋体"/>
          <w:color w:val="auto"/>
          <w:szCs w:val="24"/>
          <w:highlight w:val="none"/>
          <w:lang w:val="zh-CN"/>
        </w:rPr>
        <w:t>响应文件</w:t>
      </w:r>
      <w:r>
        <w:rPr>
          <w:rFonts w:hint="eastAsia" w:ascii="宋体" w:hAnsi="宋体" w:eastAsia="宋体" w:cs="宋体"/>
          <w:color w:val="auto"/>
          <w:szCs w:val="24"/>
          <w:highlight w:val="none"/>
          <w:lang w:val="zh-CN"/>
        </w:rPr>
        <w:t>，而获取</w:t>
      </w:r>
      <w:r>
        <w:rPr>
          <w:rFonts w:hint="eastAsia" w:hAnsi="宋体" w:eastAsia="宋体" w:cs="宋体"/>
          <w:color w:val="auto"/>
          <w:szCs w:val="24"/>
          <w:highlight w:val="none"/>
          <w:lang w:val="zh-CN"/>
        </w:rPr>
        <w:t>谈判文件</w:t>
      </w:r>
      <w:r>
        <w:rPr>
          <w:rFonts w:hint="eastAsia" w:ascii="宋体" w:hAnsi="宋体" w:eastAsia="宋体" w:cs="宋体"/>
          <w:color w:val="auto"/>
          <w:szCs w:val="24"/>
          <w:highlight w:val="none"/>
          <w:lang w:val="zh-CN"/>
        </w:rPr>
        <w:t>以外的其他资料，其费用和责任均由投标人承担。</w:t>
      </w:r>
    </w:p>
    <w:p w14:paraId="43B989C7">
      <w:pPr>
        <w:shd w:val="clear" w:color="auto" w:fill="auto"/>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谈判文件的修改、补充、解释</w:t>
      </w:r>
    </w:p>
    <w:p w14:paraId="2C49B769">
      <w:pPr>
        <w:shd w:val="clear" w:color="auto" w:fill="auto"/>
        <w:wordWrap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1谈判文件发出后，招标人在规定的投标截止时间前可对谈判文件进行必要的修改和补充，并以更正公告形式在政采云平台 “更正公告”栏目予以公告，请各位投标人注意查看有关澄清内容，如不及时查看造成后果由投标人自负。谈判文件的修改、补充等内容作为谈判文件的组成部分，具有约束作用。</w:t>
      </w:r>
    </w:p>
    <w:p w14:paraId="05E8C854">
      <w:pPr>
        <w:shd w:val="clear" w:color="auto" w:fill="auto"/>
        <w:wordWrap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采购代理机构可视采购具体情况对已发出的谈判文件进行必要的澄清、修改或者补充。澄清、修改或者补充的内容可能影响</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编制的，应当在投标截止时间至少</w:t>
      </w:r>
      <w:r>
        <w:rPr>
          <w:rFonts w:hint="eastAsia" w:ascii="宋体" w:hAnsi="宋体" w:eastAsia="宋体" w:cs="宋体"/>
          <w:color w:val="auto"/>
          <w:szCs w:val="21"/>
          <w:highlight w:val="none"/>
          <w:lang w:val="en-US" w:eastAsia="zh-CN"/>
        </w:rPr>
        <w:t>3个工作日前</w:t>
      </w:r>
      <w:r>
        <w:rPr>
          <w:rFonts w:hint="eastAsia" w:ascii="宋体" w:hAnsi="宋体" w:eastAsia="宋体" w:cs="宋体"/>
          <w:color w:val="auto"/>
          <w:szCs w:val="21"/>
          <w:highlight w:val="none"/>
        </w:rPr>
        <w:t>，在原公告发布媒体上发布澄清公告，澄清或者修改的内容为谈判文件的组成部分；不足</w:t>
      </w:r>
      <w:r>
        <w:rPr>
          <w:rFonts w:hint="eastAsia" w:ascii="宋体" w:hAnsi="宋体" w:eastAsia="宋体" w:cs="宋体"/>
          <w:color w:val="auto"/>
          <w:szCs w:val="21"/>
          <w:highlight w:val="none"/>
          <w:lang w:val="en-US" w:eastAsia="zh-CN"/>
        </w:rPr>
        <w:t>3个工作日前</w:t>
      </w:r>
      <w:r>
        <w:rPr>
          <w:rFonts w:hint="eastAsia" w:ascii="宋体" w:hAnsi="宋体" w:eastAsia="宋体" w:cs="宋体"/>
          <w:color w:val="auto"/>
          <w:szCs w:val="21"/>
          <w:highlight w:val="none"/>
        </w:rPr>
        <w:t>，应当顺延提交</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的截止时间。</w:t>
      </w:r>
    </w:p>
    <w:p w14:paraId="3E45AD15">
      <w:pPr>
        <w:shd w:val="clear" w:color="auto" w:fill="auto"/>
        <w:wordWrap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 xml:space="preserve">3 </w:t>
      </w:r>
      <w:r>
        <w:rPr>
          <w:rFonts w:hint="eastAsia" w:ascii="宋体" w:hAnsi="宋体" w:eastAsia="宋体" w:cs="宋体"/>
          <w:color w:val="auto"/>
          <w:szCs w:val="21"/>
          <w:highlight w:val="none"/>
        </w:rPr>
        <w:t>供应商在规定的时间内未对谈判文件提出疑问、质疑或要求澄清的，将视其为无异议。</w:t>
      </w:r>
    </w:p>
    <w:p w14:paraId="1C0AC808">
      <w:pPr>
        <w:shd w:val="clear" w:color="auto" w:fill="auto"/>
        <w:spacing w:line="400" w:lineRule="exact"/>
        <w:ind w:firstLine="420" w:firstLineChars="200"/>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 谈判文件的解释</w:t>
      </w:r>
    </w:p>
    <w:p w14:paraId="1D895DC1">
      <w:pPr>
        <w:pStyle w:val="25"/>
        <w:shd w:val="clear" w:color="auto" w:fill="auto"/>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本谈判文件由招标人（或其委托的招标代理机构）负责解释。</w:t>
      </w:r>
    </w:p>
    <w:p w14:paraId="7797A2BB">
      <w:pPr>
        <w:pStyle w:val="25"/>
        <w:shd w:val="clear" w:color="auto" w:fill="auto"/>
        <w:ind w:left="0" w:leftChars="0" w:firstLine="0" w:firstLineChars="0"/>
        <w:rPr>
          <w:rFonts w:hint="eastAsia" w:ascii="宋体" w:hAnsi="宋体" w:eastAsia="宋体" w:cs="宋体"/>
          <w:color w:val="auto"/>
          <w:highlight w:val="none"/>
          <w:lang w:val="zh-CN"/>
        </w:rPr>
      </w:pPr>
    </w:p>
    <w:p w14:paraId="1780421F">
      <w:pPr>
        <w:pStyle w:val="24"/>
        <w:shd w:val="clear" w:color="auto" w:fill="auto"/>
        <w:ind w:left="0" w:leftChars="0" w:right="206" w:rightChars="98" w:firstLine="0" w:firstLineChars="0"/>
        <w:jc w:val="center"/>
        <w:outlineLvl w:val="9"/>
        <w:rPr>
          <w:rFonts w:hint="eastAsia" w:ascii="宋体" w:hAnsi="宋体" w:eastAsia="宋体" w:cs="宋体"/>
          <w:b/>
          <w:bCs/>
          <w:color w:val="auto"/>
          <w:sz w:val="36"/>
          <w:szCs w:val="36"/>
          <w:highlight w:val="none"/>
        </w:rPr>
      </w:pPr>
      <w:bookmarkStart w:id="23" w:name="_Toc32475"/>
      <w:bookmarkStart w:id="24" w:name="_Toc11179_WPSOffice_Level2"/>
      <w:bookmarkStart w:id="25" w:name="_Toc24957"/>
    </w:p>
    <w:p w14:paraId="7924F1BF">
      <w:pPr>
        <w:pStyle w:val="25"/>
        <w:ind w:left="0" w:leftChars="0" w:firstLine="0" w:firstLineChars="0"/>
        <w:rPr>
          <w:rFonts w:hint="eastAsia"/>
        </w:rPr>
      </w:pPr>
    </w:p>
    <w:p w14:paraId="291E0229">
      <w:pPr>
        <w:pStyle w:val="24"/>
        <w:shd w:val="clear" w:color="auto" w:fill="auto"/>
        <w:ind w:left="0" w:leftChars="0" w:right="206" w:rightChars="98" w:firstLine="0" w:firstLineChars="0"/>
        <w:jc w:val="center"/>
        <w:outlineLvl w:val="2"/>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三</w:t>
      </w:r>
      <w:r>
        <w:rPr>
          <w:rFonts w:hint="eastAsia"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w:t>
      </w:r>
      <w:r>
        <w:rPr>
          <w:rFonts w:hint="eastAsia" w:hAnsi="宋体" w:eastAsia="宋体" w:cs="宋体"/>
          <w:b/>
          <w:bCs/>
          <w:color w:val="auto"/>
          <w:sz w:val="36"/>
          <w:szCs w:val="36"/>
          <w:highlight w:val="none"/>
          <w:lang w:eastAsia="zh-CN"/>
        </w:rPr>
        <w:t>响应</w:t>
      </w:r>
      <w:r>
        <w:rPr>
          <w:rFonts w:hint="eastAsia" w:ascii="宋体" w:hAnsi="宋体" w:eastAsia="宋体" w:cs="宋体"/>
          <w:b/>
          <w:bCs/>
          <w:color w:val="auto"/>
          <w:sz w:val="36"/>
          <w:szCs w:val="36"/>
          <w:highlight w:val="none"/>
        </w:rPr>
        <w:t>文件的编制</w:t>
      </w:r>
      <w:bookmarkEnd w:id="23"/>
      <w:bookmarkEnd w:id="24"/>
      <w:bookmarkEnd w:id="25"/>
    </w:p>
    <w:p w14:paraId="05CC6277">
      <w:pPr>
        <w:pStyle w:val="24"/>
        <w:shd w:val="clear" w:color="auto" w:fill="auto"/>
        <w:snapToGrid w:val="0"/>
        <w:spacing w:line="360" w:lineRule="exact"/>
        <w:ind w:left="0" w:leftChars="0" w:right="206" w:rightChars="98" w:firstLine="0" w:firstLineChars="0"/>
        <w:jc w:val="center"/>
        <w:rPr>
          <w:rFonts w:hint="eastAsia" w:ascii="宋体" w:hAnsi="宋体" w:eastAsia="宋体" w:cs="宋体"/>
          <w:b/>
          <w:color w:val="auto"/>
          <w:sz w:val="32"/>
          <w:szCs w:val="32"/>
          <w:highlight w:val="none"/>
        </w:rPr>
      </w:pPr>
    </w:p>
    <w:p w14:paraId="73F430DF">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11.</w:t>
      </w:r>
      <w:r>
        <w:rPr>
          <w:rFonts w:hint="eastAsia" w:hAnsi="宋体" w:eastAsia="宋体" w:cs="宋体"/>
          <w:b/>
          <w:color w:val="auto"/>
          <w:highlight w:val="none"/>
          <w:lang w:eastAsia="zh-CN"/>
        </w:rPr>
        <w:t>响应文件</w:t>
      </w:r>
      <w:r>
        <w:rPr>
          <w:rFonts w:hint="eastAsia" w:ascii="宋体" w:hAnsi="宋体" w:eastAsia="宋体" w:cs="宋体"/>
          <w:b/>
          <w:color w:val="auto"/>
          <w:highlight w:val="none"/>
        </w:rPr>
        <w:t>编写注意事项</w:t>
      </w:r>
    </w:p>
    <w:p w14:paraId="06FF08D0">
      <w:pPr>
        <w:pStyle w:val="24"/>
        <w:shd w:val="clear" w:color="auto" w:fill="auto"/>
        <w:snapToGrid w:val="0"/>
        <w:spacing w:line="36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rPr>
        <w:t>1</w:t>
      </w:r>
      <w:r>
        <w:rPr>
          <w:rFonts w:hint="eastAsia" w:ascii="宋体" w:hAnsi="宋体" w:eastAsia="宋体" w:cs="宋体"/>
          <w:color w:val="auto"/>
          <w:highlight w:val="none"/>
          <w:lang w:val="zh-CN"/>
        </w:rPr>
        <w:t>.1投标人应仔细阅读</w:t>
      </w:r>
      <w:r>
        <w:rPr>
          <w:rFonts w:hint="eastAsia" w:hAnsi="宋体" w:eastAsia="宋体" w:cs="宋体"/>
          <w:color w:val="auto"/>
          <w:highlight w:val="none"/>
          <w:lang w:val="zh-CN"/>
        </w:rPr>
        <w:t>谈判文件</w:t>
      </w:r>
      <w:r>
        <w:rPr>
          <w:rFonts w:hint="eastAsia" w:ascii="宋体" w:hAnsi="宋体" w:eastAsia="宋体" w:cs="宋体"/>
          <w:color w:val="auto"/>
          <w:highlight w:val="none"/>
          <w:lang w:val="zh-CN"/>
        </w:rPr>
        <w:t>，在完全了解</w:t>
      </w:r>
      <w:r>
        <w:rPr>
          <w:rFonts w:hint="eastAsia" w:hAnsi="宋体" w:eastAsia="宋体" w:cs="宋体"/>
          <w:color w:val="auto"/>
          <w:highlight w:val="none"/>
          <w:lang w:val="zh-CN"/>
        </w:rPr>
        <w:t>谈判文件</w:t>
      </w:r>
      <w:r>
        <w:rPr>
          <w:rFonts w:hint="eastAsia" w:ascii="宋体" w:hAnsi="宋体" w:eastAsia="宋体" w:cs="宋体"/>
          <w:color w:val="auto"/>
          <w:highlight w:val="none"/>
          <w:lang w:val="zh-CN"/>
        </w:rPr>
        <w:t>的内容、要求后，编写</w:t>
      </w:r>
      <w:r>
        <w:rPr>
          <w:rFonts w:hint="eastAsia" w:hAnsi="宋体" w:eastAsia="宋体" w:cs="宋体"/>
          <w:color w:val="auto"/>
          <w:highlight w:val="none"/>
          <w:lang w:val="zh-CN"/>
        </w:rPr>
        <w:t>响应文件</w:t>
      </w:r>
      <w:r>
        <w:rPr>
          <w:rFonts w:hint="eastAsia" w:ascii="宋体" w:hAnsi="宋体" w:eastAsia="宋体" w:cs="宋体"/>
          <w:color w:val="auto"/>
          <w:highlight w:val="none"/>
          <w:lang w:val="zh-CN"/>
        </w:rPr>
        <w:t>。</w:t>
      </w:r>
    </w:p>
    <w:p w14:paraId="6B052686">
      <w:pPr>
        <w:pStyle w:val="24"/>
        <w:shd w:val="clear" w:color="auto" w:fill="auto"/>
        <w:snapToGrid w:val="0"/>
        <w:spacing w:line="36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rPr>
        <w:t>1</w:t>
      </w:r>
      <w:r>
        <w:rPr>
          <w:rFonts w:hint="eastAsia" w:ascii="宋体" w:hAnsi="宋体" w:eastAsia="宋体" w:cs="宋体"/>
          <w:color w:val="auto"/>
          <w:highlight w:val="none"/>
          <w:lang w:val="zh-CN"/>
        </w:rPr>
        <w:t>.2对</w:t>
      </w:r>
      <w:r>
        <w:rPr>
          <w:rFonts w:hint="eastAsia" w:hAnsi="宋体" w:eastAsia="宋体" w:cs="宋体"/>
          <w:color w:val="auto"/>
          <w:highlight w:val="none"/>
          <w:lang w:val="zh-CN"/>
        </w:rPr>
        <w:t>谈判文件</w:t>
      </w:r>
      <w:r>
        <w:rPr>
          <w:rFonts w:hint="eastAsia" w:ascii="宋体" w:hAnsi="宋体" w:eastAsia="宋体" w:cs="宋体"/>
          <w:color w:val="auto"/>
          <w:highlight w:val="none"/>
          <w:lang w:val="zh-CN"/>
        </w:rPr>
        <w:t>提出的实质性要求和条件做出响应是指投标人必须对</w:t>
      </w:r>
      <w:r>
        <w:rPr>
          <w:rFonts w:hint="eastAsia" w:hAnsi="宋体" w:eastAsia="宋体" w:cs="宋体"/>
          <w:color w:val="auto"/>
          <w:highlight w:val="none"/>
          <w:lang w:val="zh-CN"/>
        </w:rPr>
        <w:t>响应</w:t>
      </w:r>
      <w:r>
        <w:rPr>
          <w:rFonts w:hint="eastAsia" w:ascii="宋体" w:hAnsi="宋体" w:eastAsia="宋体" w:cs="宋体"/>
          <w:color w:val="auto"/>
          <w:highlight w:val="none"/>
          <w:lang w:val="zh-CN"/>
        </w:rPr>
        <w:t>文件中投标人资格、投标项目所涉及的价格、技术参数及性能配置、数量、售后服务及其它要求、合同条款等内容做出响应。</w:t>
      </w:r>
    </w:p>
    <w:p w14:paraId="46ED2345">
      <w:pPr>
        <w:pStyle w:val="24"/>
        <w:shd w:val="clear" w:color="auto" w:fill="auto"/>
        <w:snapToGrid w:val="0"/>
        <w:spacing w:line="360" w:lineRule="exact"/>
        <w:outlineLvl w:val="1"/>
        <w:rPr>
          <w:rFonts w:hint="eastAsia" w:ascii="宋体" w:hAnsi="宋体" w:eastAsia="宋体" w:cs="宋体"/>
          <w:color w:val="auto"/>
          <w:highlight w:val="none"/>
        </w:rPr>
      </w:pPr>
      <w:r>
        <w:rPr>
          <w:rFonts w:hint="eastAsia" w:ascii="宋体" w:hAnsi="宋体" w:eastAsia="宋体" w:cs="宋体"/>
          <w:b/>
          <w:color w:val="auto"/>
          <w:highlight w:val="none"/>
        </w:rPr>
        <w:t>12.</w:t>
      </w:r>
      <w:r>
        <w:rPr>
          <w:rFonts w:hint="eastAsia" w:hAnsi="宋体" w:eastAsia="宋体" w:cs="宋体"/>
          <w:b/>
          <w:color w:val="auto"/>
          <w:highlight w:val="none"/>
          <w:lang w:eastAsia="zh-CN"/>
        </w:rPr>
        <w:t>响应文件</w:t>
      </w:r>
      <w:r>
        <w:rPr>
          <w:rFonts w:hint="eastAsia" w:ascii="宋体" w:hAnsi="宋体" w:eastAsia="宋体" w:cs="宋体"/>
          <w:b/>
          <w:color w:val="auto"/>
          <w:highlight w:val="none"/>
        </w:rPr>
        <w:t>的语言</w:t>
      </w:r>
    </w:p>
    <w:p w14:paraId="6CFC6AD6">
      <w:pPr>
        <w:pStyle w:val="24"/>
        <w:shd w:val="clear" w:color="auto" w:fill="auto"/>
        <w:snapToGrid w:val="0"/>
        <w:spacing w:line="36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rPr>
        <w:t>2</w:t>
      </w:r>
      <w:r>
        <w:rPr>
          <w:rFonts w:hint="eastAsia" w:ascii="宋体" w:hAnsi="宋体" w:eastAsia="宋体" w:cs="宋体"/>
          <w:color w:val="auto"/>
          <w:highlight w:val="none"/>
          <w:lang w:val="zh-CN"/>
        </w:rPr>
        <w:t>.1投标人的</w:t>
      </w:r>
      <w:r>
        <w:rPr>
          <w:rFonts w:hint="eastAsia" w:hAnsi="宋体" w:eastAsia="宋体" w:cs="宋体"/>
          <w:color w:val="auto"/>
          <w:highlight w:val="none"/>
          <w:lang w:val="zh-CN"/>
        </w:rPr>
        <w:t>响应文件</w:t>
      </w:r>
      <w:r>
        <w:rPr>
          <w:rFonts w:hint="eastAsia" w:ascii="宋体" w:hAnsi="宋体" w:eastAsia="宋体" w:cs="宋体"/>
          <w:color w:val="auto"/>
          <w:highlight w:val="none"/>
          <w:lang w:val="zh-CN"/>
        </w:rPr>
        <w:t>以及投标人与采购代理机构所有来往函电统一使用中文(特别规定除外)。</w:t>
      </w:r>
    </w:p>
    <w:p w14:paraId="14A8BC0B">
      <w:pPr>
        <w:pStyle w:val="24"/>
        <w:shd w:val="clear" w:color="auto" w:fill="auto"/>
        <w:snapToGrid w:val="0"/>
        <w:spacing w:line="360" w:lineRule="exact"/>
        <w:outlineLvl w:val="1"/>
        <w:rPr>
          <w:rFonts w:hint="eastAsia" w:ascii="宋体" w:hAnsi="宋体" w:eastAsia="宋体" w:cs="宋体"/>
          <w:color w:val="auto"/>
          <w:highlight w:val="none"/>
        </w:rPr>
      </w:pPr>
      <w:r>
        <w:rPr>
          <w:rFonts w:hint="eastAsia" w:ascii="宋体" w:hAnsi="宋体" w:eastAsia="宋体" w:cs="宋体"/>
          <w:b/>
          <w:color w:val="auto"/>
          <w:highlight w:val="none"/>
        </w:rPr>
        <w:t>13.</w:t>
      </w:r>
      <w:r>
        <w:rPr>
          <w:rFonts w:hint="eastAsia" w:hAnsi="宋体" w:eastAsia="宋体" w:cs="宋体"/>
          <w:b/>
          <w:color w:val="auto"/>
          <w:highlight w:val="none"/>
          <w:lang w:eastAsia="zh-CN"/>
        </w:rPr>
        <w:t>响应文件</w:t>
      </w:r>
      <w:r>
        <w:rPr>
          <w:rFonts w:hint="eastAsia" w:ascii="宋体" w:hAnsi="宋体" w:eastAsia="宋体" w:cs="宋体"/>
          <w:b/>
          <w:color w:val="auto"/>
          <w:highlight w:val="none"/>
        </w:rPr>
        <w:t>的计量单位</w:t>
      </w:r>
    </w:p>
    <w:p w14:paraId="4681A542">
      <w:pPr>
        <w:pStyle w:val="24"/>
        <w:shd w:val="clear" w:color="auto" w:fill="auto"/>
        <w:snapToGrid w:val="0"/>
        <w:spacing w:line="36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rPr>
        <w:t>3</w:t>
      </w:r>
      <w:r>
        <w:rPr>
          <w:rFonts w:hint="eastAsia" w:ascii="宋体" w:hAnsi="宋体" w:eastAsia="宋体" w:cs="宋体"/>
          <w:color w:val="auto"/>
          <w:highlight w:val="none"/>
          <w:lang w:val="zh-CN"/>
        </w:rPr>
        <w:t>.1</w:t>
      </w:r>
      <w:r>
        <w:rPr>
          <w:rFonts w:hint="eastAsia" w:hAnsi="宋体" w:eastAsia="宋体" w:cs="宋体"/>
          <w:color w:val="auto"/>
          <w:highlight w:val="none"/>
          <w:lang w:val="zh-CN"/>
        </w:rPr>
        <w:t>响应文件</w:t>
      </w:r>
      <w:r>
        <w:rPr>
          <w:rFonts w:hint="eastAsia" w:ascii="宋体" w:hAnsi="宋体" w:eastAsia="宋体" w:cs="宋体"/>
          <w:color w:val="auto"/>
          <w:highlight w:val="none"/>
          <w:lang w:val="zh-CN"/>
        </w:rPr>
        <w:t>中使用的计量单位除</w:t>
      </w:r>
      <w:r>
        <w:rPr>
          <w:rFonts w:hint="eastAsia" w:hAnsi="宋体" w:eastAsia="宋体" w:cs="宋体"/>
          <w:color w:val="auto"/>
          <w:highlight w:val="none"/>
          <w:lang w:val="zh-CN"/>
        </w:rPr>
        <w:t>谈判文件</w:t>
      </w:r>
      <w:r>
        <w:rPr>
          <w:rFonts w:hint="eastAsia" w:ascii="宋体" w:hAnsi="宋体" w:eastAsia="宋体" w:cs="宋体"/>
          <w:color w:val="auto"/>
          <w:highlight w:val="none"/>
          <w:lang w:val="zh-CN"/>
        </w:rPr>
        <w:t>中有特殊规定外，一律使用法定计量单位。</w:t>
      </w:r>
    </w:p>
    <w:p w14:paraId="54C75477">
      <w:pPr>
        <w:pStyle w:val="24"/>
        <w:shd w:val="clear" w:color="auto" w:fill="auto"/>
        <w:snapToGrid w:val="0"/>
        <w:spacing w:line="360" w:lineRule="exact"/>
        <w:outlineLvl w:val="1"/>
        <w:rPr>
          <w:rFonts w:hint="eastAsia" w:ascii="宋体" w:hAnsi="宋体" w:eastAsia="宋体" w:cs="宋体"/>
          <w:color w:val="auto"/>
          <w:highlight w:val="none"/>
        </w:rPr>
      </w:pPr>
      <w:r>
        <w:rPr>
          <w:rFonts w:hint="eastAsia" w:ascii="宋体" w:hAnsi="宋体" w:eastAsia="宋体" w:cs="宋体"/>
          <w:b/>
          <w:color w:val="auto"/>
          <w:highlight w:val="none"/>
        </w:rPr>
        <w:t>14.</w:t>
      </w:r>
      <w:r>
        <w:rPr>
          <w:rFonts w:hint="eastAsia" w:hAnsi="宋体" w:eastAsia="宋体" w:cs="宋体"/>
          <w:b/>
          <w:color w:val="auto"/>
          <w:highlight w:val="none"/>
          <w:lang w:eastAsia="zh-CN"/>
        </w:rPr>
        <w:t>响应文件</w:t>
      </w:r>
      <w:r>
        <w:rPr>
          <w:rFonts w:hint="eastAsia" w:ascii="宋体" w:hAnsi="宋体" w:eastAsia="宋体" w:cs="宋体"/>
          <w:b/>
          <w:color w:val="auto"/>
          <w:highlight w:val="none"/>
        </w:rPr>
        <w:t>构成</w:t>
      </w:r>
    </w:p>
    <w:p w14:paraId="3D56710E">
      <w:pPr>
        <w:pStyle w:val="24"/>
        <w:shd w:val="clear" w:color="auto" w:fill="auto"/>
        <w:snapToGrid w:val="0"/>
        <w:spacing w:line="360" w:lineRule="exact"/>
        <w:ind w:firstLine="420" w:firstLineChars="200"/>
        <w:outlineLvl w:val="2"/>
        <w:rPr>
          <w:rFonts w:hint="eastAsia" w:ascii="宋体" w:hAnsi="宋体" w:eastAsia="宋体" w:cs="宋体"/>
          <w:color w:val="auto"/>
          <w:highlight w:val="none"/>
        </w:rPr>
      </w:pPr>
      <w:r>
        <w:rPr>
          <w:rFonts w:hint="eastAsia" w:ascii="宋体" w:hAnsi="宋体" w:eastAsia="宋体" w:cs="宋体"/>
          <w:color w:val="auto"/>
          <w:highlight w:val="none"/>
        </w:rPr>
        <w:t>14</w:t>
      </w:r>
      <w:r>
        <w:rPr>
          <w:rFonts w:hint="eastAsia" w:ascii="宋体" w:hAnsi="宋体" w:eastAsia="宋体" w:cs="宋体"/>
          <w:color w:val="auto"/>
          <w:highlight w:val="none"/>
          <w:lang w:val="zh-CN"/>
        </w:rPr>
        <w:t>.1投标人编写的</w:t>
      </w:r>
      <w:r>
        <w:rPr>
          <w:rFonts w:hint="eastAsia" w:hAnsi="宋体" w:eastAsia="宋体" w:cs="宋体"/>
          <w:color w:val="auto"/>
          <w:highlight w:val="none"/>
          <w:lang w:val="zh-CN"/>
        </w:rPr>
        <w:t>响应文件</w:t>
      </w:r>
      <w:r>
        <w:rPr>
          <w:rFonts w:hint="eastAsia" w:ascii="宋体" w:hAnsi="宋体" w:eastAsia="宋体" w:cs="宋体"/>
          <w:color w:val="auto"/>
          <w:highlight w:val="none"/>
          <w:lang w:val="zh-CN"/>
        </w:rPr>
        <w:t>应包括下列内容</w:t>
      </w:r>
      <w:r>
        <w:rPr>
          <w:rFonts w:hint="eastAsia" w:hAnsi="宋体" w:eastAsia="宋体" w:cs="宋体"/>
          <w:color w:val="auto"/>
          <w:highlight w:val="none"/>
          <w:lang w:val="zh-CN"/>
        </w:rPr>
        <w:t>：</w:t>
      </w:r>
    </w:p>
    <w:p w14:paraId="3AE05227">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投标函(格式)；</w:t>
      </w:r>
    </w:p>
    <w:p w14:paraId="1EC4C948">
      <w:pPr>
        <w:pStyle w:val="24"/>
        <w:shd w:val="clear" w:color="auto" w:fill="auto"/>
        <w:snapToGrid w:val="0"/>
        <w:spacing w:line="360" w:lineRule="exact"/>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2、开标一览表（格式）</w:t>
      </w:r>
    </w:p>
    <w:p w14:paraId="2974F22A">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分项报价明细表(格式)；</w:t>
      </w:r>
    </w:p>
    <w:p w14:paraId="4BACBB7A">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4、技术要求偏离表</w:t>
      </w:r>
      <w:r>
        <w:rPr>
          <w:rFonts w:hint="eastAsia" w:ascii="宋体" w:hAnsi="宋体" w:eastAsia="宋体" w:cs="宋体"/>
          <w:b/>
          <w:bCs/>
          <w:color w:val="auto"/>
          <w:highlight w:val="none"/>
        </w:rPr>
        <w:t>(格式)；</w:t>
      </w:r>
    </w:p>
    <w:p w14:paraId="0F651593">
      <w:pPr>
        <w:pStyle w:val="25"/>
        <w:ind w:left="0" w:leftChars="0" w:firstLine="0" w:firstLineChars="0"/>
        <w:rPr>
          <w:rFonts w:hint="default" w:ascii="宋体" w:hAnsi="宋体" w:eastAsia="宋体" w:cs="宋体"/>
          <w:b/>
          <w:bCs/>
          <w:color w:val="auto"/>
          <w:kern w:val="2"/>
          <w:sz w:val="21"/>
          <w:szCs w:val="20"/>
          <w:highlight w:val="none"/>
          <w:lang w:val="en-US" w:eastAsia="zh-CN" w:bidi="ar-SA"/>
        </w:rPr>
      </w:pPr>
      <w:r>
        <w:rPr>
          <w:rFonts w:hint="eastAsia"/>
          <w:lang w:val="en-US" w:eastAsia="zh-CN"/>
        </w:rPr>
        <w:t xml:space="preserve">   </w:t>
      </w:r>
      <w:r>
        <w:rPr>
          <w:rFonts w:hint="eastAsia" w:ascii="宋体" w:hAnsi="宋体" w:eastAsia="宋体" w:cs="宋体"/>
          <w:b/>
          <w:bCs/>
          <w:color w:val="auto"/>
          <w:kern w:val="2"/>
          <w:sz w:val="21"/>
          <w:szCs w:val="20"/>
          <w:highlight w:val="none"/>
          <w:lang w:val="en-US" w:eastAsia="zh-CN" w:bidi="ar-SA"/>
        </w:rPr>
        <w:t xml:space="preserve"> 5、商务要求偏离表</w:t>
      </w:r>
    </w:p>
    <w:p w14:paraId="56C65B72">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hAnsi="宋体" w:eastAsia="宋体" w:cs="宋体"/>
          <w:b/>
          <w:bCs/>
          <w:color w:val="auto"/>
          <w:highlight w:val="none"/>
          <w:lang w:val="en-US" w:eastAsia="zh-CN"/>
        </w:rPr>
        <w:t>6</w:t>
      </w:r>
      <w:r>
        <w:rPr>
          <w:rFonts w:hint="eastAsia" w:ascii="宋体" w:hAnsi="宋体" w:eastAsia="宋体" w:cs="宋体"/>
          <w:b/>
          <w:bCs/>
          <w:color w:val="auto"/>
          <w:highlight w:val="none"/>
          <w:lang w:val="en-US" w:eastAsia="zh-CN"/>
        </w:rPr>
        <w:t>、投标详细实施方案</w:t>
      </w:r>
      <w:r>
        <w:rPr>
          <w:rFonts w:hint="eastAsia" w:ascii="宋体" w:hAnsi="宋体" w:eastAsia="宋体" w:cs="宋体"/>
          <w:b/>
          <w:bCs/>
          <w:color w:val="auto"/>
          <w:highlight w:val="none"/>
        </w:rPr>
        <w:t>；</w:t>
      </w:r>
    </w:p>
    <w:p w14:paraId="653786F7">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hAnsi="宋体" w:eastAsia="宋体" w:cs="宋体"/>
          <w:b/>
          <w:bCs/>
          <w:color w:val="auto"/>
          <w:highlight w:val="none"/>
          <w:lang w:val="en-US" w:eastAsia="zh-CN"/>
        </w:rPr>
        <w:t>7</w:t>
      </w:r>
      <w:r>
        <w:rPr>
          <w:rFonts w:hint="eastAsia" w:ascii="宋体" w:hAnsi="宋体" w:eastAsia="宋体" w:cs="宋体"/>
          <w:b/>
          <w:bCs/>
          <w:color w:val="auto"/>
          <w:highlight w:val="none"/>
          <w:lang w:val="en-US" w:eastAsia="zh-CN"/>
        </w:rPr>
        <w:t>、</w:t>
      </w:r>
      <w:r>
        <w:rPr>
          <w:rFonts w:hint="eastAsia" w:hAnsi="宋体" w:eastAsia="宋体" w:cs="宋体"/>
          <w:b/>
          <w:bCs/>
          <w:color w:val="auto"/>
          <w:highlight w:val="none"/>
          <w:lang w:val="en-US" w:eastAsia="zh-CN"/>
        </w:rPr>
        <w:t>售后</w:t>
      </w:r>
      <w:r>
        <w:rPr>
          <w:rFonts w:hint="eastAsia" w:ascii="宋体" w:hAnsi="宋体" w:eastAsia="宋体" w:cs="宋体"/>
          <w:b/>
          <w:bCs/>
          <w:color w:val="auto"/>
          <w:highlight w:val="none"/>
        </w:rPr>
        <w:t>服务承诺书；</w:t>
      </w:r>
    </w:p>
    <w:p w14:paraId="456BA5D4">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hAnsi="宋体" w:eastAsia="宋体" w:cs="宋体"/>
          <w:b/>
          <w:bCs/>
          <w:color w:val="auto"/>
          <w:highlight w:val="none"/>
          <w:lang w:val="en-US" w:eastAsia="zh-CN"/>
        </w:rPr>
        <w:t>8</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法人授权委托书(格式)；</w:t>
      </w:r>
    </w:p>
    <w:p w14:paraId="2C47F7D4">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hAnsi="宋体" w:eastAsia="宋体" w:cs="宋体"/>
          <w:b/>
          <w:bCs/>
          <w:color w:val="auto"/>
          <w:highlight w:val="none"/>
          <w:lang w:val="en-US" w:eastAsia="zh-CN"/>
        </w:rPr>
        <w:t>9</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投标保证金转款证明（按</w:t>
      </w:r>
      <w:r>
        <w:rPr>
          <w:rFonts w:hint="eastAsia" w:hAnsi="宋体" w:eastAsia="宋体" w:cs="宋体"/>
          <w:b/>
          <w:bCs/>
          <w:color w:val="auto"/>
          <w:highlight w:val="none"/>
          <w:lang w:eastAsia="zh-CN"/>
        </w:rPr>
        <w:t>响应文件</w:t>
      </w:r>
      <w:r>
        <w:rPr>
          <w:rFonts w:hint="eastAsia" w:ascii="宋体" w:hAnsi="宋体" w:eastAsia="宋体" w:cs="宋体"/>
          <w:b/>
          <w:bCs/>
          <w:color w:val="auto"/>
          <w:highlight w:val="none"/>
        </w:rPr>
        <w:t xml:space="preserve">加放）； </w:t>
      </w:r>
    </w:p>
    <w:p w14:paraId="7F6B31F3">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hAnsi="宋体" w:eastAsia="宋体" w:cs="宋体"/>
          <w:b/>
          <w:bCs/>
          <w:color w:val="auto"/>
          <w:highlight w:val="none"/>
          <w:lang w:val="en-US" w:eastAsia="zh-CN"/>
        </w:rPr>
        <w:t>10</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资格证明文件（</w:t>
      </w:r>
      <w:r>
        <w:rPr>
          <w:rFonts w:hint="eastAsia" w:ascii="宋体" w:hAnsi="宋体" w:eastAsia="宋体" w:cs="宋体"/>
          <w:b/>
          <w:bCs/>
          <w:color w:val="auto"/>
          <w:highlight w:val="none"/>
          <w:lang w:val="en-US" w:eastAsia="zh-CN"/>
        </w:rPr>
        <w:t>按照投标人须知第十</w:t>
      </w:r>
      <w:r>
        <w:rPr>
          <w:rFonts w:hint="eastAsia" w:hAnsi="宋体" w:eastAsia="宋体" w:cs="宋体"/>
          <w:b/>
          <w:bCs/>
          <w:color w:val="auto"/>
          <w:highlight w:val="none"/>
          <w:lang w:val="en-US" w:eastAsia="zh-CN"/>
        </w:rPr>
        <w:t>一</w:t>
      </w:r>
      <w:r>
        <w:rPr>
          <w:rFonts w:hint="eastAsia" w:ascii="宋体" w:hAnsi="宋体" w:eastAsia="宋体" w:cs="宋体"/>
          <w:b/>
          <w:bCs/>
          <w:color w:val="auto"/>
          <w:highlight w:val="none"/>
          <w:lang w:val="en-US" w:eastAsia="zh-CN"/>
        </w:rPr>
        <w:t>条要求提供资格证明文件及人员证件和社保，并附详细名单</w:t>
      </w:r>
      <w:r>
        <w:rPr>
          <w:rFonts w:hint="eastAsia" w:ascii="宋体" w:hAnsi="宋体" w:eastAsia="宋体" w:cs="宋体"/>
          <w:b/>
          <w:bCs/>
          <w:color w:val="auto"/>
          <w:highlight w:val="none"/>
        </w:rPr>
        <w:t>）；</w:t>
      </w:r>
    </w:p>
    <w:p w14:paraId="4F10C251">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上有关材料须加盖投标人公章，否则视同投标无效。</w:t>
      </w:r>
    </w:p>
    <w:p w14:paraId="3B299952">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bCs/>
          <w:color w:val="auto"/>
          <w:highlight w:val="none"/>
        </w:rPr>
        <w:t>15.</w:t>
      </w:r>
      <w:r>
        <w:rPr>
          <w:rFonts w:hint="eastAsia" w:hAnsi="宋体" w:eastAsia="宋体" w:cs="宋体"/>
          <w:b/>
          <w:bCs/>
          <w:color w:val="auto"/>
          <w:highlight w:val="none"/>
          <w:lang w:eastAsia="zh-CN"/>
        </w:rPr>
        <w:t>响应文件</w:t>
      </w:r>
      <w:r>
        <w:rPr>
          <w:rFonts w:hint="eastAsia" w:ascii="宋体" w:hAnsi="宋体" w:eastAsia="宋体" w:cs="宋体"/>
          <w:b/>
          <w:bCs/>
          <w:color w:val="auto"/>
          <w:highlight w:val="none"/>
        </w:rPr>
        <w:t>的</w:t>
      </w:r>
      <w:r>
        <w:rPr>
          <w:rFonts w:hint="eastAsia" w:ascii="宋体" w:hAnsi="宋体" w:eastAsia="宋体" w:cs="宋体"/>
          <w:b/>
          <w:color w:val="auto"/>
          <w:highlight w:val="none"/>
        </w:rPr>
        <w:t>编制要求</w:t>
      </w:r>
    </w:p>
    <w:p w14:paraId="6EB50FC2">
      <w:pPr>
        <w:pStyle w:val="24"/>
        <w:shd w:val="clear" w:color="auto" w:fill="auto"/>
        <w:snapToGrid w:val="0"/>
        <w:spacing w:line="360" w:lineRule="exact"/>
        <w:ind w:firstLine="413"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15.1投标人应按</w:t>
      </w:r>
      <w:r>
        <w:rPr>
          <w:rFonts w:hint="eastAsia" w:hAnsi="宋体" w:eastAsia="宋体" w:cs="宋体"/>
          <w:b/>
          <w:bCs/>
          <w:color w:val="auto"/>
          <w:highlight w:val="none"/>
          <w:lang w:eastAsia="zh-CN"/>
        </w:rPr>
        <w:t>谈判文件</w:t>
      </w:r>
      <w:r>
        <w:rPr>
          <w:rFonts w:hint="eastAsia" w:ascii="宋体" w:hAnsi="宋体" w:eastAsia="宋体" w:cs="宋体"/>
          <w:b/>
          <w:bCs/>
          <w:color w:val="auto"/>
          <w:highlight w:val="none"/>
        </w:rPr>
        <w:t>提供的投标函、投标报价表、技术规格偏离表等格式详细完整地填写各项内容，同时标明所提供的货物的名称、产地、生产厂家及数量等，否则，其投标将被拒绝。</w:t>
      </w:r>
    </w:p>
    <w:p w14:paraId="161E8961">
      <w:pPr>
        <w:pStyle w:val="24"/>
        <w:shd w:val="clear" w:color="auto" w:fill="auto"/>
        <w:snapToGrid w:val="0"/>
        <w:spacing w:line="360" w:lineRule="exact"/>
        <w:ind w:firstLine="413"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15.2投标的项目有技术要求的，投标人均需提供完整的技术方案，且技术方案必须满足或高于原技术要求，否则，其投标将被拒绝。</w:t>
      </w:r>
    </w:p>
    <w:p w14:paraId="69B9B96A">
      <w:pPr>
        <w:pStyle w:val="24"/>
        <w:shd w:val="clear" w:color="auto" w:fill="auto"/>
        <w:snapToGrid w:val="0"/>
        <w:spacing w:line="360" w:lineRule="exact"/>
        <w:ind w:firstLine="413" w:firstLineChars="196"/>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15.3投标的货物必须相当于或者高于</w:t>
      </w:r>
      <w:r>
        <w:rPr>
          <w:rFonts w:hint="eastAsia" w:hAnsi="宋体" w:eastAsia="宋体" w:cs="宋体"/>
          <w:b/>
          <w:bCs/>
          <w:color w:val="auto"/>
          <w:highlight w:val="none"/>
          <w:u w:val="single"/>
          <w:lang w:eastAsia="zh-CN"/>
        </w:rPr>
        <w:t>响应文件</w:t>
      </w:r>
      <w:r>
        <w:rPr>
          <w:rFonts w:hint="eastAsia" w:ascii="宋体" w:hAnsi="宋体" w:eastAsia="宋体" w:cs="宋体"/>
          <w:b/>
          <w:bCs/>
          <w:color w:val="auto"/>
          <w:highlight w:val="none"/>
          <w:u w:val="single"/>
        </w:rPr>
        <w:t>公布的标注为实质性要求和条件的配置、技术要求和功能，否则，其投标将被拒绝。</w:t>
      </w:r>
    </w:p>
    <w:p w14:paraId="29C5B370">
      <w:pPr>
        <w:pStyle w:val="13"/>
        <w:shd w:val="clear" w:color="auto" w:fill="auto"/>
        <w:snapToGrid w:val="0"/>
        <w:spacing w:line="360" w:lineRule="auto"/>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（1）供应商应按照</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组成内容及项目招标需求和新疆政府采购云平台要求制作</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，不按</w:t>
      </w:r>
      <w:r>
        <w:rPr>
          <w:rFonts w:hint="eastAsia" w:ascii="宋体" w:hAnsi="宋体" w:eastAsia="宋体" w:cs="宋体"/>
          <w:b/>
          <w:bCs/>
          <w:color w:val="auto"/>
          <w:kern w:val="2"/>
          <w:sz w:val="21"/>
          <w:highlight w:val="none"/>
          <w:lang w:eastAsia="zh-CN"/>
        </w:rPr>
        <w:t>谈判文件</w:t>
      </w:r>
      <w:r>
        <w:rPr>
          <w:rFonts w:hint="eastAsia" w:ascii="宋体" w:hAnsi="宋体" w:eastAsia="宋体" w:cs="宋体"/>
          <w:b/>
          <w:bCs/>
          <w:color w:val="auto"/>
          <w:kern w:val="2"/>
          <w:sz w:val="21"/>
          <w:highlight w:val="none"/>
        </w:rPr>
        <w:t>和新疆政府采购云平台要求制作</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的将视情况处理（拒收等），由此产生的责任由供应商自行承担。</w:t>
      </w:r>
    </w:p>
    <w:p w14:paraId="7B0490B3">
      <w:pPr>
        <w:pStyle w:val="13"/>
        <w:shd w:val="clear" w:color="auto" w:fill="auto"/>
        <w:snapToGrid w:val="0"/>
        <w:spacing w:line="360" w:lineRule="auto"/>
        <w:ind w:firstLine="422" w:firstLineChars="200"/>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电子</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部分：供应商应根据“政采云供应商项目采购-电子招投标操作指南”及本</w:t>
      </w:r>
      <w:r>
        <w:rPr>
          <w:rFonts w:hint="eastAsia" w:ascii="宋体" w:hAnsi="宋体" w:eastAsia="宋体" w:cs="宋体"/>
          <w:b/>
          <w:bCs/>
          <w:color w:val="auto"/>
          <w:kern w:val="2"/>
          <w:sz w:val="21"/>
          <w:highlight w:val="none"/>
          <w:lang w:eastAsia="zh-CN"/>
        </w:rPr>
        <w:t>谈判文件</w:t>
      </w:r>
      <w:r>
        <w:rPr>
          <w:rFonts w:hint="eastAsia" w:ascii="宋体" w:hAnsi="宋体" w:eastAsia="宋体" w:cs="宋体"/>
          <w:b/>
          <w:bCs/>
          <w:color w:val="auto"/>
          <w:kern w:val="2"/>
          <w:sz w:val="21"/>
          <w:highlight w:val="none"/>
        </w:rPr>
        <w:t>规定的格式和顺序编制电子</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并进行关联定位。本文件《第五章  投标相关文件（格式）中有提供格式的，供应商应按照格式进行编制（格式中要求提供相关证明材料的还需后附相关证明材料），并按格式要求在指定位置根据要求进行签章，否则视为未提供；本文件《第六章</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格式》未提供格式的，请供应商自行拟定格式，并加盖单位公章，否则视为未提供。</w:t>
      </w:r>
    </w:p>
    <w:p w14:paraId="0E3292E6">
      <w:pPr>
        <w:pStyle w:val="13"/>
        <w:shd w:val="clear" w:color="auto" w:fill="auto"/>
        <w:snapToGrid w:val="0"/>
        <w:spacing w:line="360" w:lineRule="auto"/>
        <w:ind w:firstLine="422" w:firstLineChars="200"/>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备份电子</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：通过“政采云”平台电子投标工具制作</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所产生的备份文件。</w:t>
      </w:r>
    </w:p>
    <w:p w14:paraId="74EC6E1C">
      <w:pPr>
        <w:pStyle w:val="13"/>
        <w:shd w:val="clear" w:color="auto" w:fill="auto"/>
        <w:snapToGrid w:val="0"/>
        <w:spacing w:line="360" w:lineRule="auto"/>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（2）供应商应对所提供的全部资料的真实性、有效性承担法律责任，电子</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中所须加盖公章部分均采用CA签章。</w:t>
      </w:r>
    </w:p>
    <w:p w14:paraId="43851016">
      <w:pPr>
        <w:pStyle w:val="13"/>
        <w:shd w:val="clear" w:color="auto" w:fill="auto"/>
        <w:snapToGrid w:val="0"/>
        <w:spacing w:line="360" w:lineRule="auto"/>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（3）</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以及供应商与采购组织机构就有关投标事宜的所有来往函电，均应以中文汉语书写。除签字、盖章、专用名称等特殊情形外，以中文汉语以外的文字表述的</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视同未提供。</w:t>
      </w:r>
    </w:p>
    <w:p w14:paraId="56B61982">
      <w:pPr>
        <w:pStyle w:val="13"/>
        <w:shd w:val="clear" w:color="auto" w:fill="auto"/>
        <w:snapToGrid w:val="0"/>
        <w:spacing w:line="360" w:lineRule="auto"/>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（4）投标计量单位，</w:t>
      </w:r>
      <w:r>
        <w:rPr>
          <w:rFonts w:hint="eastAsia" w:ascii="宋体" w:hAnsi="宋体" w:eastAsia="宋体" w:cs="宋体"/>
          <w:b/>
          <w:bCs/>
          <w:color w:val="auto"/>
          <w:kern w:val="2"/>
          <w:sz w:val="21"/>
          <w:highlight w:val="none"/>
          <w:lang w:eastAsia="zh-CN"/>
        </w:rPr>
        <w:t>谈判文件</w:t>
      </w:r>
      <w:r>
        <w:rPr>
          <w:rFonts w:hint="eastAsia" w:ascii="宋体" w:hAnsi="宋体" w:eastAsia="宋体" w:cs="宋体"/>
          <w:b/>
          <w:bCs/>
          <w:color w:val="auto"/>
          <w:kern w:val="2"/>
          <w:sz w:val="21"/>
          <w:highlight w:val="none"/>
        </w:rPr>
        <w:t>已有明确规定的，使用</w:t>
      </w:r>
      <w:r>
        <w:rPr>
          <w:rFonts w:hint="eastAsia" w:ascii="宋体" w:hAnsi="宋体" w:eastAsia="宋体" w:cs="宋体"/>
          <w:b/>
          <w:bCs/>
          <w:color w:val="auto"/>
          <w:kern w:val="2"/>
          <w:sz w:val="21"/>
          <w:highlight w:val="none"/>
          <w:lang w:eastAsia="zh-CN"/>
        </w:rPr>
        <w:t>谈判文件</w:t>
      </w:r>
      <w:r>
        <w:rPr>
          <w:rFonts w:hint="eastAsia" w:ascii="宋体" w:hAnsi="宋体" w:eastAsia="宋体" w:cs="宋体"/>
          <w:b/>
          <w:bCs/>
          <w:color w:val="auto"/>
          <w:kern w:val="2"/>
          <w:sz w:val="21"/>
          <w:highlight w:val="none"/>
        </w:rPr>
        <w:t>规定的计量单位；</w:t>
      </w:r>
      <w:r>
        <w:rPr>
          <w:rFonts w:hint="eastAsia" w:ascii="宋体" w:hAnsi="宋体" w:eastAsia="宋体" w:cs="宋体"/>
          <w:b/>
          <w:bCs/>
          <w:color w:val="auto"/>
          <w:kern w:val="2"/>
          <w:sz w:val="21"/>
          <w:highlight w:val="none"/>
          <w:lang w:eastAsia="zh-CN"/>
        </w:rPr>
        <w:t>谈判文件</w:t>
      </w:r>
      <w:r>
        <w:rPr>
          <w:rFonts w:hint="eastAsia" w:ascii="宋体" w:hAnsi="宋体" w:eastAsia="宋体" w:cs="宋体"/>
          <w:b/>
          <w:bCs/>
          <w:color w:val="auto"/>
          <w:kern w:val="2"/>
          <w:sz w:val="21"/>
          <w:highlight w:val="none"/>
        </w:rPr>
        <w:t>没有规定的，应采用中华人民共和国法定计量单位（货币单位：人民币元）。</w:t>
      </w:r>
    </w:p>
    <w:p w14:paraId="6B7D5ED5">
      <w:pPr>
        <w:pStyle w:val="13"/>
        <w:shd w:val="clear" w:color="auto" w:fill="auto"/>
        <w:snapToGrid w:val="0"/>
        <w:spacing w:line="360" w:lineRule="auto"/>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（5）若供应商不按</w:t>
      </w:r>
      <w:r>
        <w:rPr>
          <w:rFonts w:hint="eastAsia" w:ascii="宋体" w:hAnsi="宋体" w:eastAsia="宋体" w:cs="宋体"/>
          <w:b/>
          <w:bCs/>
          <w:color w:val="auto"/>
          <w:kern w:val="2"/>
          <w:sz w:val="21"/>
          <w:highlight w:val="none"/>
          <w:lang w:eastAsia="zh-CN"/>
        </w:rPr>
        <w:t>谈判文件</w:t>
      </w:r>
      <w:r>
        <w:rPr>
          <w:rFonts w:hint="eastAsia" w:ascii="宋体" w:hAnsi="宋体" w:eastAsia="宋体" w:cs="宋体"/>
          <w:b/>
          <w:bCs/>
          <w:color w:val="auto"/>
          <w:kern w:val="2"/>
          <w:sz w:val="21"/>
          <w:highlight w:val="none"/>
        </w:rPr>
        <w:t>的要求提供资格审查材料，其风险由供应商自行承担。</w:t>
      </w:r>
    </w:p>
    <w:p w14:paraId="73A92E0C">
      <w:pPr>
        <w:pStyle w:val="13"/>
        <w:shd w:val="clear" w:color="auto" w:fill="auto"/>
        <w:snapToGrid w:val="0"/>
        <w:spacing w:line="360" w:lineRule="auto"/>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（6）与本次投标无关的内容请不要制作在内，确保</w:t>
      </w:r>
      <w:r>
        <w:rPr>
          <w:rFonts w:hint="eastAsia" w:ascii="宋体" w:hAnsi="宋体" w:eastAsia="宋体" w:cs="宋体"/>
          <w:b/>
          <w:bCs/>
          <w:color w:val="auto"/>
          <w:kern w:val="2"/>
          <w:sz w:val="21"/>
          <w:highlight w:val="none"/>
          <w:lang w:eastAsia="zh-CN"/>
        </w:rPr>
        <w:t>响应文件</w:t>
      </w:r>
      <w:r>
        <w:rPr>
          <w:rFonts w:hint="eastAsia" w:ascii="宋体" w:hAnsi="宋体" w:eastAsia="宋体" w:cs="宋体"/>
          <w:b/>
          <w:bCs/>
          <w:color w:val="auto"/>
          <w:kern w:val="2"/>
          <w:sz w:val="21"/>
          <w:highlight w:val="none"/>
        </w:rPr>
        <w:t>有针对性、简洁明了。</w:t>
      </w:r>
    </w:p>
    <w:p w14:paraId="48BD000E">
      <w:pPr>
        <w:pStyle w:val="13"/>
        <w:shd w:val="clear" w:color="auto" w:fill="auto"/>
        <w:snapToGrid w:val="0"/>
        <w:spacing w:line="360" w:lineRule="auto"/>
        <w:outlineLvl w:val="1"/>
        <w:rPr>
          <w:rFonts w:hint="eastAsia" w:ascii="宋体" w:hAnsi="宋体" w:eastAsia="宋体" w:cs="宋体"/>
          <w:b/>
          <w:color w:val="auto"/>
          <w:highlight w:val="none"/>
        </w:rPr>
      </w:pPr>
      <w:r>
        <w:rPr>
          <w:rFonts w:hint="eastAsia" w:ascii="宋体" w:hAnsi="宋体" w:eastAsia="宋体" w:cs="宋体"/>
          <w:b/>
          <w:color w:val="auto"/>
          <w:highlight w:val="none"/>
        </w:rPr>
        <w:t>16.投标报价</w:t>
      </w:r>
    </w:p>
    <w:p w14:paraId="20F5EE5C">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16.1投标人应在表上标明单价和总价。如单价和总价不符，以单价累计为准，小写与大写不符的，以大写为准。如果投标人不接受对其错误的更正，其投标将被拒绝。</w:t>
      </w:r>
    </w:p>
    <w:p w14:paraId="6C17896B">
      <w:pPr>
        <w:pStyle w:val="24"/>
        <w:shd w:val="clear" w:color="auto" w:fill="auto"/>
        <w:snapToGrid w:val="0"/>
        <w:spacing w:line="36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color w:val="auto"/>
          <w:highlight w:val="none"/>
        </w:rPr>
        <w:t>16.2投标报价：</w:t>
      </w:r>
      <w:r>
        <w:rPr>
          <w:rFonts w:hint="eastAsia" w:ascii="宋体" w:hAnsi="宋体" w:eastAsia="宋体" w:cs="宋体"/>
          <w:b/>
          <w:bCs/>
          <w:color w:val="auto"/>
          <w:szCs w:val="21"/>
          <w:highlight w:val="none"/>
        </w:rPr>
        <w:t>投标人必须就《投标货物需求一览表》中所有货物和服务内容分别作完整唯一报价，否则，其报价将被拒绝。</w:t>
      </w:r>
    </w:p>
    <w:p w14:paraId="2E1C3AE1">
      <w:pPr>
        <w:pStyle w:val="24"/>
        <w:shd w:val="clear" w:color="auto" w:fill="auto"/>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16.3投标报价指货物、随配附件、备品备件、工具、运抵指定交货地点、验收的各种费用和税金及其他所有成本费用的总和。</w:t>
      </w:r>
    </w:p>
    <w:p w14:paraId="34845E95">
      <w:pPr>
        <w:pStyle w:val="24"/>
        <w:shd w:val="clear" w:color="auto" w:fill="auto"/>
        <w:snapToGrid w:val="0"/>
        <w:spacing w:line="360" w:lineRule="exact"/>
        <w:outlineLvl w:val="1"/>
        <w:rPr>
          <w:rFonts w:hint="eastAsia" w:ascii="宋体" w:hAnsi="宋体" w:eastAsia="宋体" w:cs="宋体"/>
          <w:color w:val="auto"/>
          <w:highlight w:val="none"/>
        </w:rPr>
      </w:pPr>
      <w:r>
        <w:rPr>
          <w:rFonts w:hint="eastAsia" w:ascii="宋体" w:hAnsi="宋体" w:eastAsia="宋体" w:cs="宋体"/>
          <w:b/>
          <w:color w:val="auto"/>
          <w:highlight w:val="none"/>
        </w:rPr>
        <w:t>17. 投标货币</w:t>
      </w:r>
    </w:p>
    <w:p w14:paraId="1E68C4A3">
      <w:pPr>
        <w:pStyle w:val="24"/>
        <w:shd w:val="clear" w:color="auto" w:fill="auto"/>
        <w:snapToGrid w:val="0"/>
        <w:spacing w:line="360" w:lineRule="exact"/>
        <w:ind w:firstLine="420" w:firstLineChars="200"/>
        <w:outlineLvl w:val="2"/>
        <w:rPr>
          <w:rFonts w:hint="eastAsia" w:ascii="宋体" w:hAnsi="宋体" w:eastAsia="宋体" w:cs="宋体"/>
          <w:color w:val="auto"/>
          <w:highlight w:val="none"/>
        </w:rPr>
      </w:pPr>
      <w:r>
        <w:rPr>
          <w:rFonts w:hint="eastAsia" w:ascii="宋体" w:hAnsi="宋体" w:eastAsia="宋体" w:cs="宋体"/>
          <w:color w:val="auto"/>
          <w:highlight w:val="none"/>
        </w:rPr>
        <w:t>17.1投标应以人民币报价。</w:t>
      </w:r>
    </w:p>
    <w:p w14:paraId="3336B2CE">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18. 资格证明文件</w:t>
      </w:r>
    </w:p>
    <w:p w14:paraId="15D8F62C">
      <w:pPr>
        <w:pStyle w:val="24"/>
        <w:shd w:val="clear" w:color="auto" w:fill="auto"/>
        <w:snapToGrid w:val="0"/>
        <w:spacing w:line="360" w:lineRule="exact"/>
        <w:ind w:firstLine="42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18.1下述资格证明文件必须提交审查，如</w:t>
      </w:r>
      <w:r>
        <w:rPr>
          <w:rFonts w:hint="eastAsia" w:hAnsi="宋体" w:eastAsia="宋体" w:cs="宋体"/>
          <w:b w:val="0"/>
          <w:bCs/>
          <w:color w:val="auto"/>
          <w:highlight w:val="none"/>
          <w:lang w:eastAsia="zh-CN"/>
        </w:rPr>
        <w:t>响应文件</w:t>
      </w:r>
      <w:r>
        <w:rPr>
          <w:rFonts w:hint="eastAsia" w:ascii="宋体" w:hAnsi="宋体" w:eastAsia="宋体" w:cs="宋体"/>
          <w:b w:val="0"/>
          <w:bCs/>
          <w:color w:val="auto"/>
          <w:highlight w:val="none"/>
        </w:rPr>
        <w:t xml:space="preserve">内提供的材料不完备，将被当作资格审查不合格： </w:t>
      </w:r>
    </w:p>
    <w:p w14:paraId="325623AE">
      <w:pPr>
        <w:shd w:val="clear" w:color="auto" w:fill="auto"/>
        <w:spacing w:line="360" w:lineRule="exact"/>
        <w:ind w:firstLine="420" w:firstLineChars="200"/>
        <w:rPr>
          <w:rFonts w:hint="eastAsia" w:ascii="宋体" w:hAnsi="宋体" w:eastAsia="宋体" w:cs="宋体"/>
          <w:b w:val="0"/>
          <w:bCs/>
          <w:color w:val="auto"/>
          <w:szCs w:val="20"/>
          <w:highlight w:val="none"/>
        </w:rPr>
      </w:pPr>
      <w:r>
        <w:rPr>
          <w:rFonts w:hint="eastAsia" w:ascii="宋体" w:hAnsi="宋体" w:eastAsia="宋体" w:cs="宋体"/>
          <w:b w:val="0"/>
          <w:bCs/>
          <w:color w:val="auto"/>
          <w:szCs w:val="20"/>
          <w:highlight w:val="none"/>
        </w:rPr>
        <w:t>1.满足《中华人民共和国政府采购法》第二十二条规定；</w:t>
      </w:r>
    </w:p>
    <w:p w14:paraId="117B6D36">
      <w:pPr>
        <w:shd w:val="clear" w:color="auto" w:fill="auto"/>
        <w:spacing w:line="360" w:lineRule="exact"/>
        <w:ind w:firstLine="420" w:firstLineChars="200"/>
        <w:rPr>
          <w:rFonts w:hint="eastAsia" w:ascii="宋体" w:hAnsi="宋体" w:eastAsia="宋体" w:cs="宋体"/>
          <w:b w:val="0"/>
          <w:bCs/>
          <w:color w:val="auto"/>
          <w:szCs w:val="20"/>
          <w:highlight w:val="none"/>
        </w:rPr>
      </w:pPr>
      <w:r>
        <w:rPr>
          <w:rFonts w:hint="eastAsia" w:ascii="宋体" w:hAnsi="宋体" w:eastAsia="宋体" w:cs="宋体"/>
          <w:b w:val="0"/>
          <w:bCs/>
          <w:color w:val="auto"/>
          <w:szCs w:val="20"/>
          <w:highlight w:val="none"/>
          <w:lang w:val="en-US" w:eastAsia="zh-CN"/>
        </w:rPr>
        <w:t>2</w:t>
      </w:r>
      <w:r>
        <w:rPr>
          <w:rFonts w:hint="eastAsia" w:ascii="宋体" w:hAnsi="宋体" w:eastAsia="宋体" w:cs="宋体"/>
          <w:b w:val="0"/>
          <w:bCs/>
          <w:color w:val="auto"/>
          <w:szCs w:val="20"/>
          <w:highlight w:val="none"/>
        </w:rPr>
        <w:t>.本项目的特定资格要求：</w:t>
      </w:r>
    </w:p>
    <w:p w14:paraId="768512DA">
      <w:pPr>
        <w:pStyle w:val="24"/>
        <w:shd w:val="clear" w:color="auto" w:fill="auto"/>
        <w:snapToGrid w:val="0"/>
        <w:spacing w:line="360" w:lineRule="exact"/>
        <w:ind w:firstLine="420" w:firstLineChars="200"/>
        <w:outlineLvl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1).具备三证合一营业执照；</w:t>
      </w:r>
    </w:p>
    <w:p w14:paraId="4D51C374">
      <w:pPr>
        <w:pStyle w:val="24"/>
        <w:shd w:val="clear" w:color="auto" w:fill="auto"/>
        <w:snapToGrid w:val="0"/>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2).法定代表人投标需提供法定代表人资格证明书，委托代理人投标需提供法定代表人授权委托书；</w:t>
      </w:r>
    </w:p>
    <w:p w14:paraId="0E3AF8F6">
      <w:pPr>
        <w:pStyle w:val="24"/>
        <w:shd w:val="clear" w:color="auto" w:fill="auto"/>
        <w:snapToGrid w:val="0"/>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3).投标企业须提供投标人（被授权本单位在职人员）近 6 个月内任意 1 个月社保证明；</w:t>
      </w:r>
    </w:p>
    <w:p w14:paraId="0A3E179E">
      <w:pPr>
        <w:pStyle w:val="24"/>
        <w:shd w:val="clear" w:color="auto" w:fill="auto"/>
        <w:snapToGrid w:val="0"/>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4).未被“信用中国”（www.creditchina.gov.cn）、中国政府采购网（www.ccgp.gov.cn）列入失信被执行人、重大税收违法案件当事人名单、政府采购严重违法失信行为记录名单；</w:t>
      </w:r>
    </w:p>
    <w:p w14:paraId="6231A1D4">
      <w:pPr>
        <w:pStyle w:val="24"/>
        <w:shd w:val="clear" w:color="auto" w:fill="auto"/>
        <w:snapToGrid w:val="0"/>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5).投标人具有有效的《二类医疗器械生产许可证》或《二类医疗器械经营许可证》。</w:t>
      </w:r>
    </w:p>
    <w:p w14:paraId="453BD962">
      <w:pPr>
        <w:pStyle w:val="24"/>
        <w:shd w:val="clear" w:color="auto" w:fill="auto"/>
        <w:snapToGrid w:val="0"/>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8F1B87F">
      <w:pPr>
        <w:pStyle w:val="24"/>
        <w:shd w:val="clear" w:color="auto" w:fill="auto"/>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18.2如投标人为联合体，则联合体应分别按要求提供资格文件原件（关于对联合体的要求遵循《中华人民共和国政府采购法》的有关条款），同时提供联合体协议书并注明牵头人，联合体协议书必须提供原件；并遵循以下规定：</w:t>
      </w:r>
    </w:p>
    <w:p w14:paraId="232A36F5">
      <w:pPr>
        <w:widowControl/>
        <w:shd w:val="clear" w:color="auto" w:fill="auto"/>
        <w:snapToGrid w:val="0"/>
        <w:spacing w:line="360" w:lineRule="exact"/>
        <w:ind w:firstLine="420" w:firstLineChars="20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rPr>
        <w:t>（1）两个以上供应商可以组成一个投标联合体，以一个投标人的身份投标。</w:t>
      </w:r>
    </w:p>
    <w:p w14:paraId="2CFEF7C6">
      <w:pPr>
        <w:widowControl/>
        <w:shd w:val="clear" w:color="auto" w:fill="auto"/>
        <w:snapToGrid w:val="0"/>
        <w:spacing w:line="360" w:lineRule="exact"/>
        <w:ind w:firstLine="420" w:firstLineChars="20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rPr>
        <w:t>（2）以联合体形式参加投标的，联合体各方均应当符合“具有独立承担民事责任的能力”的条件。本项目有特殊要求规定投标人特定条件的，联合体各方中至少应当有一方符合</w:t>
      </w:r>
      <w:r>
        <w:rPr>
          <w:rFonts w:hint="eastAsia" w:ascii="宋体" w:hAnsi="宋体" w:eastAsia="宋体" w:cs="宋体"/>
          <w:color w:val="auto"/>
          <w:szCs w:val="20"/>
          <w:highlight w:val="none"/>
          <w:lang w:eastAsia="zh-CN"/>
        </w:rPr>
        <w:t>谈判文件</w:t>
      </w:r>
      <w:r>
        <w:rPr>
          <w:rFonts w:hint="eastAsia" w:ascii="宋体" w:hAnsi="宋体" w:eastAsia="宋体" w:cs="宋体"/>
          <w:color w:val="auto"/>
          <w:szCs w:val="20"/>
          <w:highlight w:val="none"/>
        </w:rPr>
        <w:t>规定的特定条件。</w:t>
      </w:r>
    </w:p>
    <w:p w14:paraId="4737A064">
      <w:pPr>
        <w:pStyle w:val="24"/>
        <w:shd w:val="clear" w:color="auto" w:fill="auto"/>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（3）联合体各方之间应当签订共同投标协议，明确约定联合体各方承担的工作和相应的责任，并将共同投标协议原件连同</w:t>
      </w:r>
      <w:r>
        <w:rPr>
          <w:rFonts w:hint="eastAsia" w:hAnsi="宋体" w:eastAsia="宋体" w:cs="宋体"/>
          <w:color w:val="auto"/>
          <w:highlight w:val="none"/>
          <w:lang w:eastAsia="zh-CN"/>
        </w:rPr>
        <w:t>响应文件</w:t>
      </w:r>
      <w:r>
        <w:rPr>
          <w:rFonts w:hint="eastAsia" w:ascii="宋体" w:hAnsi="宋体" w:eastAsia="宋体" w:cs="宋体"/>
          <w:color w:val="auto"/>
          <w:highlight w:val="none"/>
        </w:rPr>
        <w:t>一并提交。联合体各方签订共同投标协议后，不得再以自己名义单独在同一项目中投标，也不得组成新的联合体参加同一项目投标。</w:t>
      </w:r>
    </w:p>
    <w:p w14:paraId="31B7E1B4">
      <w:pPr>
        <w:pStyle w:val="24"/>
        <w:shd w:val="clear" w:color="auto" w:fill="auto"/>
        <w:snapToGrid w:val="0"/>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（4）联合体投标的，可以由联合体中的一方或者共同提交投标保证金，以一方名义提交投标保证金的，对联合体各方均有约束力。</w:t>
      </w:r>
    </w:p>
    <w:p w14:paraId="1F66492F">
      <w:pPr>
        <w:shd w:val="clear" w:color="auto" w:fill="auto"/>
        <w:snapToGrid w:val="0"/>
        <w:spacing w:line="360" w:lineRule="exact"/>
        <w:ind w:firstLine="525" w:firstLineChars="250"/>
        <w:outlineLvl w:val="9"/>
        <w:rPr>
          <w:rFonts w:hint="eastAsia" w:ascii="宋体" w:hAnsi="宋体" w:eastAsia="宋体" w:cs="宋体"/>
          <w:color w:val="auto"/>
          <w:szCs w:val="20"/>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0"/>
          <w:highlight w:val="none"/>
        </w:rPr>
        <w:t>8.3 投标人的证明文件可以是（</w:t>
      </w:r>
      <w:r>
        <w:rPr>
          <w:rFonts w:hint="eastAsia" w:ascii="宋体" w:hAnsi="宋体" w:eastAsia="宋体" w:cs="宋体"/>
          <w:color w:val="auto"/>
          <w:highlight w:val="none"/>
        </w:rPr>
        <w:t>若《投标货物需求一览表》要求提供的，必须提供）（如有）</w:t>
      </w:r>
      <w:r>
        <w:rPr>
          <w:rFonts w:hint="eastAsia" w:ascii="宋体" w:hAnsi="宋体" w:eastAsia="宋体" w:cs="宋体"/>
          <w:color w:val="auto"/>
          <w:szCs w:val="20"/>
          <w:highlight w:val="none"/>
        </w:rPr>
        <w:t>：</w:t>
      </w:r>
    </w:p>
    <w:p w14:paraId="0750BEA9">
      <w:pPr>
        <w:shd w:val="clear" w:color="auto" w:fill="auto"/>
        <w:snapToGrid w:val="0"/>
        <w:spacing w:line="360" w:lineRule="exact"/>
        <w:ind w:firstLine="525" w:firstLineChars="250"/>
        <w:outlineLvl w:val="9"/>
        <w:rPr>
          <w:rFonts w:hint="eastAsia" w:ascii="宋体" w:hAnsi="宋体" w:eastAsia="宋体" w:cs="宋体"/>
          <w:color w:val="auto"/>
          <w:szCs w:val="20"/>
          <w:highlight w:val="none"/>
        </w:rPr>
      </w:pPr>
      <w:r>
        <w:rPr>
          <w:rFonts w:hint="eastAsia" w:ascii="宋体" w:hAnsi="宋体" w:eastAsia="宋体" w:cs="宋体"/>
          <w:color w:val="auto"/>
          <w:szCs w:val="20"/>
          <w:highlight w:val="none"/>
        </w:rPr>
        <w:t>（1）</w:t>
      </w:r>
      <w:r>
        <w:rPr>
          <w:rFonts w:hint="eastAsia" w:ascii="宋体" w:hAnsi="宋体" w:eastAsia="宋体" w:cs="宋体"/>
          <w:color w:val="auto"/>
          <w:highlight w:val="none"/>
        </w:rPr>
        <w:t>生产厂家的有关资格和生产许可证、产品强制标准认证证书、产品质量检验证复印件并加盖公章（</w:t>
      </w:r>
      <w:r>
        <w:rPr>
          <w:rFonts w:hint="eastAsia" w:ascii="宋体" w:hAnsi="宋体" w:eastAsia="宋体" w:cs="宋体"/>
          <w:color w:val="auto"/>
          <w:szCs w:val="20"/>
          <w:highlight w:val="none"/>
        </w:rPr>
        <w:t>凡国家实行生产或经营许可证制度的和强制标准认证的产品，投标人必须提供生产厂家相关许可证或相关认证复印件并加盖公章）。</w:t>
      </w:r>
    </w:p>
    <w:p w14:paraId="0A25D524">
      <w:pPr>
        <w:shd w:val="clear" w:color="auto" w:fill="auto"/>
        <w:snapToGrid w:val="0"/>
        <w:spacing w:line="360" w:lineRule="exact"/>
        <w:ind w:firstLine="525" w:firstLineChars="250"/>
        <w:outlineLvl w:val="9"/>
        <w:rPr>
          <w:rFonts w:hint="eastAsia" w:ascii="宋体" w:hAnsi="宋体" w:eastAsia="宋体" w:cs="宋体"/>
          <w:color w:val="auto"/>
          <w:szCs w:val="20"/>
          <w:highlight w:val="none"/>
        </w:rPr>
      </w:pPr>
      <w:r>
        <w:rPr>
          <w:rFonts w:hint="eastAsia" w:ascii="宋体" w:hAnsi="宋体" w:eastAsia="宋体" w:cs="宋体"/>
          <w:color w:val="auto"/>
          <w:szCs w:val="20"/>
          <w:highlight w:val="none"/>
        </w:rPr>
        <w:t>（2）投标人相关获奖证书、认证证书等。</w:t>
      </w:r>
    </w:p>
    <w:p w14:paraId="31E6CF10">
      <w:pPr>
        <w:shd w:val="clear" w:color="auto" w:fill="auto"/>
        <w:snapToGrid w:val="0"/>
        <w:spacing w:line="360" w:lineRule="exact"/>
        <w:ind w:firstLine="525" w:firstLineChars="250"/>
        <w:outlineLvl w:val="9"/>
        <w:rPr>
          <w:rFonts w:hint="eastAsia" w:ascii="宋体" w:hAnsi="宋体" w:eastAsia="宋体" w:cs="宋体"/>
          <w:color w:val="auto"/>
          <w:szCs w:val="20"/>
          <w:highlight w:val="none"/>
        </w:rPr>
      </w:pPr>
      <w:r>
        <w:rPr>
          <w:rFonts w:hint="eastAsia" w:ascii="宋体" w:hAnsi="宋体" w:eastAsia="宋体" w:cs="宋体"/>
          <w:color w:val="auto"/>
          <w:szCs w:val="20"/>
          <w:highlight w:val="none"/>
        </w:rPr>
        <w:t>（3）投标人认为必要提供的声明及文件资料。</w:t>
      </w:r>
    </w:p>
    <w:p w14:paraId="3348DE33">
      <w:pPr>
        <w:shd w:val="clear" w:color="auto" w:fill="auto"/>
        <w:snapToGrid w:val="0"/>
        <w:spacing w:line="360" w:lineRule="exact"/>
        <w:ind w:firstLine="420" w:firstLineChars="200"/>
        <w:outlineLvl w:val="9"/>
        <w:rPr>
          <w:rFonts w:hint="eastAsia" w:ascii="宋体" w:hAnsi="宋体" w:eastAsia="宋体" w:cs="宋体"/>
          <w:color w:val="auto"/>
          <w:szCs w:val="20"/>
          <w:highlight w:val="none"/>
        </w:rPr>
      </w:pPr>
      <w:r>
        <w:rPr>
          <w:rFonts w:hint="eastAsia" w:ascii="宋体" w:hAnsi="宋体" w:eastAsia="宋体" w:cs="宋体"/>
          <w:color w:val="auto"/>
          <w:szCs w:val="20"/>
          <w:highlight w:val="none"/>
        </w:rPr>
        <w:t>18.4证明货物的合格性和符合</w:t>
      </w:r>
      <w:r>
        <w:rPr>
          <w:rFonts w:hint="eastAsia" w:ascii="宋体" w:hAnsi="宋体" w:eastAsia="宋体" w:cs="宋体"/>
          <w:color w:val="auto"/>
          <w:szCs w:val="20"/>
          <w:highlight w:val="none"/>
          <w:lang w:eastAsia="zh-CN"/>
        </w:rPr>
        <w:t>谈判文件</w:t>
      </w:r>
      <w:r>
        <w:rPr>
          <w:rFonts w:hint="eastAsia" w:ascii="宋体" w:hAnsi="宋体" w:eastAsia="宋体" w:cs="宋体"/>
          <w:color w:val="auto"/>
          <w:szCs w:val="20"/>
          <w:highlight w:val="none"/>
        </w:rPr>
        <w:t>规定的证明文件可以是（</w:t>
      </w:r>
      <w:r>
        <w:rPr>
          <w:rFonts w:hint="eastAsia" w:ascii="宋体" w:hAnsi="宋体" w:eastAsia="宋体" w:cs="宋体"/>
          <w:color w:val="auto"/>
          <w:highlight w:val="none"/>
        </w:rPr>
        <w:t>若《投标货物需求一览表》中要求提供的，则必须提供）</w:t>
      </w:r>
      <w:r>
        <w:rPr>
          <w:rFonts w:hint="eastAsia" w:ascii="宋体" w:hAnsi="宋体" w:eastAsia="宋体" w:cs="宋体"/>
          <w:color w:val="auto"/>
          <w:szCs w:val="20"/>
          <w:highlight w:val="none"/>
        </w:rPr>
        <w:t>：</w:t>
      </w:r>
    </w:p>
    <w:p w14:paraId="6A1F85AD">
      <w:pPr>
        <w:shd w:val="clear" w:color="auto" w:fill="auto"/>
        <w:snapToGrid w:val="0"/>
        <w:spacing w:line="360" w:lineRule="exact"/>
        <w:ind w:firstLine="420" w:firstLineChars="200"/>
        <w:outlineLvl w:val="9"/>
        <w:rPr>
          <w:rFonts w:hint="eastAsia" w:ascii="宋体" w:hAnsi="宋体" w:eastAsia="宋体" w:cs="宋体"/>
          <w:color w:val="auto"/>
          <w:szCs w:val="20"/>
          <w:highlight w:val="none"/>
        </w:rPr>
      </w:pPr>
      <w:r>
        <w:rPr>
          <w:rFonts w:hint="eastAsia" w:ascii="宋体" w:hAnsi="宋体" w:eastAsia="宋体" w:cs="宋体"/>
          <w:color w:val="auto"/>
          <w:szCs w:val="20"/>
          <w:highlight w:val="none"/>
        </w:rPr>
        <w:t>（1）产品样本、使用说明书、图纸等技术资料及产品质量获奖证书（复印件）。</w:t>
      </w:r>
    </w:p>
    <w:p w14:paraId="10CD6FB2">
      <w:pPr>
        <w:shd w:val="clear" w:color="auto" w:fill="auto"/>
        <w:snapToGrid w:val="0"/>
        <w:spacing w:line="360" w:lineRule="exact"/>
        <w:ind w:firstLine="420" w:firstLineChars="200"/>
        <w:outlineLvl w:val="9"/>
        <w:rPr>
          <w:rFonts w:hint="eastAsia" w:ascii="宋体" w:hAnsi="宋体" w:eastAsia="宋体" w:cs="宋体"/>
          <w:color w:val="auto"/>
          <w:szCs w:val="20"/>
          <w:highlight w:val="none"/>
        </w:rPr>
      </w:pPr>
      <w:r>
        <w:rPr>
          <w:rFonts w:hint="eastAsia" w:ascii="宋体" w:hAnsi="宋体" w:eastAsia="宋体" w:cs="宋体"/>
          <w:color w:val="auto"/>
          <w:szCs w:val="20"/>
          <w:highlight w:val="none"/>
        </w:rPr>
        <w:t>（2）产品保证供货有效证明</w:t>
      </w:r>
      <w:r>
        <w:rPr>
          <w:rFonts w:hint="eastAsia" w:ascii="宋体" w:hAnsi="宋体" w:eastAsia="宋体" w:cs="宋体"/>
          <w:color w:val="auto"/>
          <w:highlight w:val="none"/>
        </w:rPr>
        <w:t>（指由投标货物生产厂家针对本项目出具的保证按</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承诺的时间、数量、价格供应货物的证明）</w:t>
      </w:r>
      <w:r>
        <w:rPr>
          <w:rFonts w:hint="eastAsia" w:ascii="宋体" w:hAnsi="宋体" w:eastAsia="宋体" w:cs="宋体"/>
          <w:color w:val="auto"/>
          <w:szCs w:val="20"/>
          <w:highlight w:val="none"/>
        </w:rPr>
        <w:t>。</w:t>
      </w:r>
    </w:p>
    <w:p w14:paraId="259813BE">
      <w:pPr>
        <w:pStyle w:val="24"/>
        <w:shd w:val="clear" w:color="auto" w:fill="auto"/>
        <w:snapToGrid w:val="0"/>
        <w:spacing w:line="360" w:lineRule="exact"/>
        <w:ind w:firstLine="420" w:firstLineChars="200"/>
        <w:outlineLvl w:val="3"/>
        <w:rPr>
          <w:rFonts w:hint="eastAsia" w:ascii="宋体" w:hAnsi="宋体" w:eastAsia="宋体" w:cs="宋体"/>
          <w:color w:val="auto"/>
          <w:highlight w:val="none"/>
        </w:rPr>
      </w:pPr>
      <w:r>
        <w:rPr>
          <w:rFonts w:hint="eastAsia" w:ascii="宋体" w:hAnsi="宋体" w:eastAsia="宋体" w:cs="宋体"/>
          <w:color w:val="auto"/>
          <w:highlight w:val="none"/>
        </w:rPr>
        <w:t>（3）产品销售授权书或代理证书（若有，请提供原件）。</w:t>
      </w:r>
    </w:p>
    <w:p w14:paraId="1B8087C3">
      <w:pPr>
        <w:shd w:val="clear" w:color="auto" w:fill="auto"/>
        <w:snapToGrid w:val="0"/>
        <w:spacing w:line="360" w:lineRule="exact"/>
        <w:ind w:firstLine="525" w:firstLineChars="249"/>
        <w:outlineLvl w:val="9"/>
        <w:rPr>
          <w:rFonts w:hint="eastAsia" w:ascii="宋体" w:hAnsi="宋体" w:eastAsia="宋体" w:cs="宋体"/>
          <w:color w:val="auto"/>
          <w:szCs w:val="20"/>
          <w:highlight w:val="none"/>
        </w:rPr>
      </w:pPr>
      <w:r>
        <w:rPr>
          <w:rFonts w:hint="eastAsia" w:ascii="宋体" w:hAnsi="宋体" w:eastAsia="宋体" w:cs="宋体"/>
          <w:b/>
          <w:color w:val="auto"/>
          <w:highlight w:val="none"/>
        </w:rPr>
        <w:t>以上第18条要求提供的所有证明文件应真实有效，否则投标无效。</w:t>
      </w:r>
    </w:p>
    <w:p w14:paraId="3D02660F">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19.投标的有效期</w:t>
      </w:r>
    </w:p>
    <w:p w14:paraId="13210401">
      <w:pPr>
        <w:shd w:val="clear" w:color="auto" w:fill="auto"/>
        <w:snapToGrid w:val="0"/>
        <w:spacing w:line="3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文件从投标截止之日起，投标有效期60天；当采购代理机构认为有必要时，有权向投标人提出延长投标有效期，但延长时间不得超过30天，并及时以书面形式或传真方式通知所有投标人。</w:t>
      </w:r>
    </w:p>
    <w:p w14:paraId="58C961FF">
      <w:pPr>
        <w:pStyle w:val="24"/>
        <w:shd w:val="clear" w:color="auto" w:fill="auto"/>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19.2</w:t>
      </w:r>
      <w:r>
        <w:rPr>
          <w:rFonts w:hint="eastAsia" w:ascii="宋体" w:hAnsi="宋体" w:eastAsia="宋体" w:cs="宋体"/>
          <w:color w:val="auto"/>
          <w:highlight w:val="none"/>
        </w:rPr>
        <w:t>在投标有效期内，不能要求对原</w:t>
      </w:r>
      <w:r>
        <w:rPr>
          <w:rFonts w:hint="eastAsia" w:ascii="宋体" w:hAnsi="宋体" w:eastAsia="宋体" w:cs="宋体"/>
          <w:color w:val="auto"/>
          <w:szCs w:val="21"/>
          <w:highlight w:val="none"/>
          <w:lang w:eastAsia="zh-CN"/>
        </w:rPr>
        <w:t>响应</w:t>
      </w:r>
      <w:r>
        <w:rPr>
          <w:rFonts w:hint="eastAsia" w:ascii="宋体" w:hAnsi="宋体" w:eastAsia="宋体" w:cs="宋体"/>
          <w:color w:val="auto"/>
          <w:highlight w:val="none"/>
        </w:rPr>
        <w:t>文件（经谈判小组确认有效且没有超出</w:t>
      </w:r>
      <w:r>
        <w:rPr>
          <w:rFonts w:hint="eastAsia" w:hAnsi="宋体" w:eastAsia="宋体" w:cs="宋体"/>
          <w:color w:val="auto"/>
          <w:highlight w:val="none"/>
          <w:lang w:eastAsia="zh-CN"/>
        </w:rPr>
        <w:t>谈判文件</w:t>
      </w:r>
      <w:r>
        <w:rPr>
          <w:rFonts w:hint="eastAsia" w:ascii="宋体" w:hAnsi="宋体" w:eastAsia="宋体" w:cs="宋体"/>
          <w:color w:val="auto"/>
          <w:highlight w:val="none"/>
        </w:rPr>
        <w:t>的范围或改变采购的实质内容的澄清或说明作为</w:t>
      </w:r>
      <w:r>
        <w:rPr>
          <w:rFonts w:hint="eastAsia" w:ascii="宋体" w:hAnsi="宋体" w:eastAsia="宋体" w:cs="宋体"/>
          <w:color w:val="auto"/>
          <w:szCs w:val="21"/>
          <w:highlight w:val="none"/>
          <w:lang w:eastAsia="zh-CN"/>
        </w:rPr>
        <w:t>响应</w:t>
      </w:r>
      <w:r>
        <w:rPr>
          <w:rFonts w:hint="eastAsia" w:ascii="宋体" w:hAnsi="宋体" w:eastAsia="宋体" w:cs="宋体"/>
          <w:color w:val="auto"/>
          <w:highlight w:val="none"/>
        </w:rPr>
        <w:t>文件的组成部分）作任何改变，</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后不得拖延或拒签合同。</w:t>
      </w:r>
    </w:p>
    <w:p w14:paraId="716C11FC">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20.</w:t>
      </w:r>
      <w:r>
        <w:rPr>
          <w:rFonts w:hint="eastAsia" w:hAnsi="宋体" w:eastAsia="宋体" w:cs="宋体"/>
          <w:b/>
          <w:color w:val="auto"/>
          <w:highlight w:val="none"/>
          <w:lang w:eastAsia="zh-CN"/>
        </w:rPr>
        <w:t>响应文件</w:t>
      </w:r>
      <w:r>
        <w:rPr>
          <w:rFonts w:hint="eastAsia" w:ascii="宋体" w:hAnsi="宋体" w:eastAsia="宋体" w:cs="宋体"/>
          <w:b/>
          <w:color w:val="auto"/>
          <w:highlight w:val="none"/>
        </w:rPr>
        <w:t>的形式</w:t>
      </w:r>
    </w:p>
    <w:p w14:paraId="5685BA09">
      <w:pPr>
        <w:pStyle w:val="24"/>
        <w:shd w:val="clear" w:color="auto" w:fill="auto"/>
        <w:snapToGrid w:val="0"/>
        <w:spacing w:line="29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电子</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包括“电子加密</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”和“备份</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”，在</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编制完成后同时生成。</w:t>
      </w:r>
    </w:p>
    <w:p w14:paraId="6A4D9C92">
      <w:pPr>
        <w:pStyle w:val="24"/>
        <w:shd w:val="clear" w:color="auto" w:fill="auto"/>
        <w:snapToGrid w:val="0"/>
        <w:spacing w:line="29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1、“电子加密</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”是指通过“政采云电子交易客户端”完成</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编制后生成并加密的数据电文形式的</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w:t>
      </w:r>
    </w:p>
    <w:p w14:paraId="0B8D9B2B">
      <w:pPr>
        <w:pStyle w:val="25"/>
        <w:shd w:val="clear" w:color="auto" w:fill="auto"/>
        <w:ind w:left="0" w:leftChars="0"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2、“备份</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”是指与“电子加密</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”同时生成的数据电文形式的电子文件（备份标书，用于供应商标书解密异常时应急使用），其他方式编制的备份</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视为无效备份</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w:t>
      </w:r>
    </w:p>
    <w:p w14:paraId="4EE1B4C7">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21.</w:t>
      </w:r>
      <w:r>
        <w:rPr>
          <w:rFonts w:hint="eastAsia" w:hAnsi="宋体" w:eastAsia="宋体" w:cs="宋体"/>
          <w:b/>
          <w:color w:val="auto"/>
          <w:highlight w:val="none"/>
          <w:lang w:eastAsia="zh-CN"/>
        </w:rPr>
        <w:t>响应</w:t>
      </w:r>
      <w:r>
        <w:rPr>
          <w:rFonts w:hint="eastAsia" w:ascii="宋体" w:hAnsi="宋体" w:eastAsia="宋体" w:cs="宋体"/>
          <w:b/>
          <w:color w:val="auto"/>
          <w:highlight w:val="none"/>
        </w:rPr>
        <w:t>文件份数及要求</w:t>
      </w:r>
    </w:p>
    <w:p w14:paraId="406CB195">
      <w:pPr>
        <w:pStyle w:val="24"/>
        <w:shd w:val="clear" w:color="auto" w:fill="auto"/>
        <w:snapToGrid w:val="0"/>
        <w:spacing w:line="29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21.1</w:t>
      </w:r>
      <w:r>
        <w:rPr>
          <w:rFonts w:hint="eastAsia" w:ascii="宋体" w:hAnsi="宋体" w:eastAsia="宋体" w:cs="宋体"/>
          <w:b/>
          <w:bCs/>
          <w:color w:val="auto"/>
          <w:szCs w:val="21"/>
          <w:highlight w:val="none"/>
        </w:rPr>
        <w:t>、一份电子加密</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（“.jmbs”格式），一份备份标书文件（“.bfbs”格式）。</w:t>
      </w:r>
    </w:p>
    <w:p w14:paraId="240DBB34">
      <w:pPr>
        <w:pStyle w:val="24"/>
        <w:shd w:val="clear" w:color="auto" w:fill="auto"/>
        <w:snapToGrid w:val="0"/>
        <w:spacing w:line="29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21.2、每份电子</w:t>
      </w:r>
      <w:r>
        <w:rPr>
          <w:rFonts w:hint="eastAsia"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应包括资格证明文件和商务及技术文件两部分。</w:t>
      </w:r>
    </w:p>
    <w:p w14:paraId="048A5FC9">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22.投标保证金</w:t>
      </w:r>
    </w:p>
    <w:p w14:paraId="5D5B0BB6">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22.1按投标须知前附表要求缴纳。</w:t>
      </w:r>
    </w:p>
    <w:p w14:paraId="2A2E210A">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22.2请务必一次性足额缴纳。</w:t>
      </w:r>
    </w:p>
    <w:p w14:paraId="496FA893">
      <w:pPr>
        <w:pStyle w:val="24"/>
        <w:shd w:val="clear" w:color="auto" w:fill="auto"/>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22.3对未提交投标保证金(足额) 的</w:t>
      </w:r>
      <w:r>
        <w:rPr>
          <w:rFonts w:hint="eastAsia" w:hAnsi="宋体" w:eastAsia="宋体" w:cs="宋体"/>
          <w:b/>
          <w:bCs/>
          <w:color w:val="auto"/>
          <w:highlight w:val="none"/>
          <w:lang w:eastAsia="zh-CN"/>
        </w:rPr>
        <w:t>响应文件</w:t>
      </w:r>
      <w:r>
        <w:rPr>
          <w:rFonts w:hint="eastAsia" w:ascii="宋体" w:hAnsi="宋体" w:eastAsia="宋体" w:cs="宋体"/>
          <w:b/>
          <w:bCs/>
          <w:color w:val="auto"/>
          <w:highlight w:val="none"/>
        </w:rPr>
        <w:t>由谈判小组现场核定该投标无效。若投标人被列入成交候选供应商名单，则取消其成交候选资格。</w:t>
      </w:r>
    </w:p>
    <w:p w14:paraId="42EA18E1">
      <w:pPr>
        <w:shd w:val="clear" w:color="auto" w:fill="auto"/>
        <w:snapToGrid w:val="0"/>
        <w:spacing w:line="360" w:lineRule="exact"/>
        <w:ind w:firstLine="422" w:firstLineChars="200"/>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22.4如发生下列任何事件，投标保证金将被没收：</w:t>
      </w:r>
    </w:p>
    <w:p w14:paraId="4F653D27">
      <w:pPr>
        <w:shd w:val="clear" w:color="auto" w:fill="auto"/>
        <w:snapToGrid w:val="0"/>
        <w:spacing w:line="360" w:lineRule="exact"/>
        <w:ind w:firstLine="527" w:firstLineChars="25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(1)投标人在投标有效期内撤回其</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w:t>
      </w:r>
    </w:p>
    <w:p w14:paraId="51564B8B">
      <w:pPr>
        <w:pStyle w:val="24"/>
        <w:shd w:val="clear" w:color="auto" w:fill="auto"/>
        <w:snapToGrid w:val="0"/>
        <w:spacing w:line="360" w:lineRule="exact"/>
        <w:ind w:firstLine="527" w:firstLineChars="2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(2)成交供应商在规定的期限内：</w:t>
      </w:r>
    </w:p>
    <w:p w14:paraId="78940DDD">
      <w:pPr>
        <w:pStyle w:val="24"/>
        <w:shd w:val="clear" w:color="auto" w:fill="auto"/>
        <w:snapToGrid w:val="0"/>
        <w:spacing w:line="360" w:lineRule="exact"/>
        <w:ind w:firstLine="632" w:firstLineChars="3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①未根据本须知规定签订合同；</w:t>
      </w:r>
    </w:p>
    <w:p w14:paraId="2D54C9A6">
      <w:pPr>
        <w:pStyle w:val="24"/>
        <w:shd w:val="clear" w:color="auto" w:fill="auto"/>
        <w:snapToGrid w:val="0"/>
        <w:spacing w:line="360" w:lineRule="exact"/>
        <w:ind w:firstLine="632" w:firstLineChars="300"/>
        <w:rPr>
          <w:rFonts w:hint="eastAsia"/>
        </w:rPr>
      </w:pPr>
      <w:r>
        <w:rPr>
          <w:rFonts w:hint="eastAsia" w:ascii="宋体" w:hAnsi="宋体" w:eastAsia="宋体" w:cs="宋体"/>
          <w:b/>
          <w:bCs/>
          <w:color w:val="000000"/>
          <w:szCs w:val="21"/>
          <w:highlight w:val="none"/>
        </w:rPr>
        <w:t>②未根据本须知规定提交履约保证金。</w:t>
      </w:r>
    </w:p>
    <w:p w14:paraId="5F8990E7">
      <w:pPr>
        <w:widowControl/>
        <w:shd w:val="clear" w:color="auto" w:fill="auto"/>
        <w:spacing w:line="440" w:lineRule="exact"/>
        <w:ind w:firstLine="480"/>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23、报价范围：</w:t>
      </w:r>
    </w:p>
    <w:p w14:paraId="11E301D3">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项目报价采用人民币综合报价，投标供应商应严格按照“开标一览表”和“分项报价明细表”的格式认真填写。</w:t>
      </w:r>
    </w:p>
    <w:p w14:paraId="5EF14C24">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应包括：货物本身价格、保险费用、包装费、运输费用、二次搬运费、损耗、技术指导、税金费用、随产品备品备件费、专用工具费、随产品资料费、技术服务费、技术考察费、培训费、安装费、调试费、自检费及验收合格前和质保期内发生的一切费用、应当提供的伴随服务/售后服务费用。</w:t>
      </w:r>
    </w:p>
    <w:p w14:paraId="0049432D">
      <w:pPr>
        <w:pStyle w:val="24"/>
        <w:shd w:val="clear" w:color="auto" w:fill="auto"/>
        <w:snapToGrid w:val="0"/>
        <w:spacing w:line="360" w:lineRule="exact"/>
        <w:jc w:val="both"/>
        <w:outlineLvl w:val="9"/>
        <w:rPr>
          <w:rFonts w:hint="eastAsia" w:ascii="宋体" w:hAnsi="宋体" w:eastAsia="宋体" w:cs="宋体"/>
          <w:b/>
          <w:color w:val="auto"/>
          <w:sz w:val="32"/>
          <w:szCs w:val="28"/>
          <w:highlight w:val="none"/>
        </w:rPr>
      </w:pPr>
      <w:bookmarkStart w:id="26" w:name="_Toc15590"/>
      <w:bookmarkStart w:id="27" w:name="_Toc12501"/>
    </w:p>
    <w:p w14:paraId="2644ADB3">
      <w:pPr>
        <w:pStyle w:val="25"/>
        <w:shd w:val="clear" w:color="auto" w:fill="auto"/>
        <w:rPr>
          <w:rFonts w:hint="eastAsia" w:ascii="宋体" w:hAnsi="宋体" w:eastAsia="宋体" w:cs="宋体"/>
          <w:b/>
          <w:color w:val="auto"/>
          <w:sz w:val="32"/>
          <w:szCs w:val="28"/>
          <w:highlight w:val="none"/>
        </w:rPr>
      </w:pPr>
    </w:p>
    <w:p w14:paraId="22833DA1">
      <w:pPr>
        <w:shd w:val="clear" w:color="auto" w:fill="auto"/>
        <w:rPr>
          <w:rFonts w:hint="eastAsia" w:ascii="宋体" w:hAnsi="宋体" w:eastAsia="宋体" w:cs="宋体"/>
          <w:color w:val="auto"/>
          <w:highlight w:val="none"/>
        </w:rPr>
      </w:pPr>
    </w:p>
    <w:p w14:paraId="0E3D6966">
      <w:pPr>
        <w:pStyle w:val="24"/>
        <w:shd w:val="clear" w:color="auto" w:fill="auto"/>
        <w:snapToGrid w:val="0"/>
        <w:spacing w:line="360" w:lineRule="exact"/>
        <w:jc w:val="center"/>
        <w:outlineLvl w:val="9"/>
        <w:rPr>
          <w:rFonts w:hint="eastAsia" w:ascii="宋体" w:hAnsi="宋体" w:eastAsia="宋体" w:cs="宋体"/>
          <w:b/>
          <w:color w:val="auto"/>
          <w:sz w:val="32"/>
          <w:szCs w:val="28"/>
          <w:highlight w:val="none"/>
        </w:rPr>
      </w:pPr>
    </w:p>
    <w:p w14:paraId="7DF1A1DF">
      <w:pPr>
        <w:pStyle w:val="24"/>
        <w:shd w:val="clear" w:color="auto" w:fill="auto"/>
        <w:snapToGrid w:val="0"/>
        <w:spacing w:line="360" w:lineRule="exact"/>
        <w:jc w:val="center"/>
        <w:outlineLvl w:val="9"/>
        <w:rPr>
          <w:rFonts w:hint="eastAsia" w:ascii="宋体" w:hAnsi="宋体" w:eastAsia="宋体" w:cs="宋体"/>
          <w:b/>
          <w:color w:val="auto"/>
          <w:sz w:val="32"/>
          <w:szCs w:val="28"/>
          <w:highlight w:val="none"/>
        </w:rPr>
      </w:pPr>
    </w:p>
    <w:p w14:paraId="56D3EE4F">
      <w:pPr>
        <w:pStyle w:val="25"/>
        <w:rPr>
          <w:rFonts w:hint="eastAsia" w:ascii="宋体" w:hAnsi="宋体" w:eastAsia="宋体" w:cs="宋体"/>
          <w:b/>
          <w:color w:val="auto"/>
          <w:sz w:val="32"/>
          <w:szCs w:val="28"/>
          <w:highlight w:val="none"/>
        </w:rPr>
      </w:pPr>
    </w:p>
    <w:p w14:paraId="4DF99D37">
      <w:pPr>
        <w:rPr>
          <w:rFonts w:hint="eastAsia" w:ascii="宋体" w:hAnsi="宋体" w:eastAsia="宋体" w:cs="宋体"/>
          <w:b/>
          <w:color w:val="auto"/>
          <w:sz w:val="32"/>
          <w:szCs w:val="28"/>
          <w:highlight w:val="none"/>
        </w:rPr>
      </w:pPr>
    </w:p>
    <w:p w14:paraId="4CD5B0AF">
      <w:pPr>
        <w:pStyle w:val="38"/>
        <w:rPr>
          <w:rFonts w:hint="eastAsia" w:ascii="宋体" w:hAnsi="宋体" w:eastAsia="宋体" w:cs="宋体"/>
          <w:b/>
          <w:color w:val="auto"/>
          <w:sz w:val="32"/>
          <w:szCs w:val="28"/>
          <w:highlight w:val="none"/>
        </w:rPr>
      </w:pPr>
    </w:p>
    <w:p w14:paraId="411B106A">
      <w:pPr>
        <w:rPr>
          <w:rFonts w:hint="eastAsia" w:ascii="宋体" w:hAnsi="宋体" w:eastAsia="宋体" w:cs="宋体"/>
          <w:b/>
          <w:color w:val="auto"/>
          <w:sz w:val="32"/>
          <w:szCs w:val="28"/>
          <w:highlight w:val="none"/>
        </w:rPr>
      </w:pPr>
    </w:p>
    <w:p w14:paraId="0169C5BD">
      <w:pPr>
        <w:pStyle w:val="38"/>
        <w:rPr>
          <w:rFonts w:hint="eastAsia" w:ascii="宋体" w:hAnsi="宋体" w:eastAsia="宋体" w:cs="宋体"/>
          <w:b/>
          <w:color w:val="auto"/>
          <w:sz w:val="32"/>
          <w:szCs w:val="28"/>
          <w:highlight w:val="none"/>
        </w:rPr>
      </w:pPr>
    </w:p>
    <w:p w14:paraId="089F30A3">
      <w:pPr>
        <w:rPr>
          <w:rFonts w:hint="eastAsia" w:ascii="宋体" w:hAnsi="宋体" w:eastAsia="宋体" w:cs="宋体"/>
          <w:b/>
          <w:color w:val="auto"/>
          <w:sz w:val="32"/>
          <w:szCs w:val="28"/>
          <w:highlight w:val="none"/>
        </w:rPr>
      </w:pPr>
    </w:p>
    <w:p w14:paraId="1B048DE2">
      <w:pPr>
        <w:pStyle w:val="38"/>
        <w:rPr>
          <w:rFonts w:hint="eastAsia" w:ascii="宋体" w:hAnsi="宋体" w:eastAsia="宋体" w:cs="宋体"/>
          <w:b/>
          <w:color w:val="auto"/>
          <w:sz w:val="32"/>
          <w:szCs w:val="28"/>
          <w:highlight w:val="none"/>
        </w:rPr>
      </w:pPr>
    </w:p>
    <w:p w14:paraId="110E826F">
      <w:pPr>
        <w:rPr>
          <w:rFonts w:hint="eastAsia" w:ascii="宋体" w:hAnsi="宋体" w:eastAsia="宋体" w:cs="宋体"/>
          <w:b/>
          <w:color w:val="auto"/>
          <w:sz w:val="32"/>
          <w:szCs w:val="28"/>
          <w:highlight w:val="none"/>
        </w:rPr>
      </w:pPr>
    </w:p>
    <w:p w14:paraId="7F5CCE71">
      <w:pPr>
        <w:pStyle w:val="38"/>
        <w:rPr>
          <w:rFonts w:hint="eastAsia" w:ascii="宋体" w:hAnsi="宋体" w:eastAsia="宋体" w:cs="宋体"/>
          <w:b/>
          <w:color w:val="auto"/>
          <w:sz w:val="32"/>
          <w:szCs w:val="28"/>
          <w:highlight w:val="none"/>
        </w:rPr>
      </w:pPr>
    </w:p>
    <w:p w14:paraId="7D5C0429">
      <w:pPr>
        <w:rPr>
          <w:rFonts w:hint="eastAsia" w:ascii="宋体" w:hAnsi="宋体" w:eastAsia="宋体" w:cs="宋体"/>
          <w:b/>
          <w:color w:val="auto"/>
          <w:sz w:val="32"/>
          <w:szCs w:val="28"/>
          <w:highlight w:val="none"/>
        </w:rPr>
      </w:pPr>
    </w:p>
    <w:p w14:paraId="5B365A9E">
      <w:pPr>
        <w:pStyle w:val="38"/>
        <w:rPr>
          <w:rFonts w:hint="eastAsia"/>
        </w:rPr>
      </w:pPr>
    </w:p>
    <w:p w14:paraId="69BAF3CE">
      <w:pPr>
        <w:pStyle w:val="38"/>
        <w:rPr>
          <w:rFonts w:hint="eastAsia"/>
        </w:rPr>
      </w:pPr>
    </w:p>
    <w:p w14:paraId="62F3BBE6">
      <w:pPr>
        <w:rPr>
          <w:rFonts w:hint="eastAsia"/>
        </w:rPr>
      </w:pPr>
    </w:p>
    <w:p w14:paraId="1BF4B353">
      <w:pPr>
        <w:pStyle w:val="24"/>
        <w:shd w:val="clear" w:color="auto" w:fill="auto"/>
        <w:snapToGrid w:val="0"/>
        <w:spacing w:line="360" w:lineRule="exact"/>
        <w:jc w:val="center"/>
        <w:outlineLvl w:val="9"/>
        <w:rPr>
          <w:rFonts w:hint="eastAsia" w:ascii="宋体" w:hAnsi="宋体" w:eastAsia="宋体" w:cs="宋体"/>
          <w:b/>
          <w:color w:val="auto"/>
          <w:sz w:val="32"/>
          <w:szCs w:val="28"/>
          <w:highlight w:val="none"/>
        </w:rPr>
      </w:pPr>
    </w:p>
    <w:p w14:paraId="10135AA4">
      <w:pPr>
        <w:pStyle w:val="24"/>
        <w:shd w:val="clear" w:color="auto" w:fill="auto"/>
        <w:snapToGrid w:val="0"/>
        <w:spacing w:line="360" w:lineRule="exact"/>
        <w:jc w:val="center"/>
        <w:outlineLvl w:val="2"/>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四</w:t>
      </w:r>
      <w:r>
        <w:rPr>
          <w:rFonts w:hint="eastAsia" w:hAnsi="宋体" w:eastAsia="宋体" w:cs="宋体"/>
          <w:b/>
          <w:color w:val="auto"/>
          <w:sz w:val="32"/>
          <w:szCs w:val="28"/>
          <w:highlight w:val="none"/>
          <w:lang w:eastAsia="zh-CN"/>
        </w:rPr>
        <w:t>、</w:t>
      </w:r>
      <w:r>
        <w:rPr>
          <w:rFonts w:hint="eastAsia" w:ascii="宋体" w:hAnsi="宋体" w:eastAsia="宋体" w:cs="宋体"/>
          <w:b/>
          <w:color w:val="auto"/>
          <w:sz w:val="32"/>
          <w:szCs w:val="28"/>
          <w:highlight w:val="none"/>
        </w:rPr>
        <w:t xml:space="preserve"> </w:t>
      </w:r>
      <w:r>
        <w:rPr>
          <w:rFonts w:hint="eastAsia" w:hAnsi="宋体" w:eastAsia="宋体" w:cs="宋体"/>
          <w:b/>
          <w:color w:val="auto"/>
          <w:sz w:val="32"/>
          <w:szCs w:val="28"/>
          <w:highlight w:val="none"/>
          <w:lang w:eastAsia="zh-CN"/>
        </w:rPr>
        <w:t>响应</w:t>
      </w:r>
      <w:r>
        <w:rPr>
          <w:rFonts w:hint="eastAsia" w:ascii="宋体" w:hAnsi="宋体" w:eastAsia="宋体" w:cs="宋体"/>
          <w:b/>
          <w:color w:val="auto"/>
          <w:sz w:val="32"/>
          <w:szCs w:val="28"/>
          <w:highlight w:val="none"/>
        </w:rPr>
        <w:t>文件的上传和递交</w:t>
      </w:r>
      <w:bookmarkEnd w:id="26"/>
      <w:bookmarkEnd w:id="27"/>
    </w:p>
    <w:p w14:paraId="15CDB5DC">
      <w:pPr>
        <w:pStyle w:val="24"/>
        <w:shd w:val="clear" w:color="auto" w:fill="auto"/>
        <w:snapToGrid w:val="0"/>
        <w:spacing w:line="36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24.</w:t>
      </w:r>
      <w:r>
        <w:rPr>
          <w:rFonts w:hint="eastAsia" w:hAnsi="宋体" w:eastAsia="宋体" w:cs="宋体"/>
          <w:b/>
          <w:color w:val="auto"/>
          <w:highlight w:val="none"/>
          <w:lang w:eastAsia="zh-CN"/>
        </w:rPr>
        <w:t>响应文件</w:t>
      </w:r>
      <w:r>
        <w:rPr>
          <w:rFonts w:hint="eastAsia" w:ascii="宋体" w:hAnsi="宋体" w:eastAsia="宋体" w:cs="宋体"/>
          <w:b/>
          <w:color w:val="auto"/>
          <w:highlight w:val="none"/>
        </w:rPr>
        <w:t>的上传和递交</w:t>
      </w:r>
    </w:p>
    <w:p w14:paraId="2561842F">
      <w:pPr>
        <w:pStyle w:val="24"/>
        <w:shd w:val="clear" w:color="auto" w:fill="auto"/>
        <w:snapToGrid w:val="0"/>
        <w:spacing w:line="340" w:lineRule="exact"/>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24.1.</w:t>
      </w:r>
      <w:r>
        <w:rPr>
          <w:rFonts w:hint="eastAsia" w:ascii="宋体" w:hAnsi="宋体" w:eastAsia="宋体" w:cs="宋体"/>
          <w:b/>
          <w:bCs/>
          <w:color w:val="auto"/>
          <w:szCs w:val="21"/>
          <w:highlight w:val="none"/>
          <w:lang w:bidi="zh-CN"/>
        </w:rPr>
        <w:t>电子加密</w:t>
      </w:r>
      <w:r>
        <w:rPr>
          <w:rFonts w:hint="eastAsia" w:hAnsi="宋体" w:eastAsia="宋体" w:cs="宋体"/>
          <w:b/>
          <w:bCs/>
          <w:color w:val="auto"/>
          <w:szCs w:val="21"/>
          <w:highlight w:val="none"/>
          <w:lang w:bidi="zh-CN"/>
        </w:rPr>
        <w:t>响应文件</w:t>
      </w:r>
      <w:r>
        <w:rPr>
          <w:rFonts w:hint="eastAsia" w:ascii="宋体" w:hAnsi="宋体" w:eastAsia="宋体" w:cs="宋体"/>
          <w:b/>
          <w:bCs/>
          <w:color w:val="auto"/>
          <w:szCs w:val="21"/>
          <w:highlight w:val="none"/>
          <w:lang w:bidi="zh-CN"/>
        </w:rPr>
        <w:t>（“.jmbs”格式）</w:t>
      </w:r>
      <w:r>
        <w:rPr>
          <w:rFonts w:hint="eastAsia" w:ascii="宋体" w:hAnsi="宋体" w:eastAsia="宋体" w:cs="宋体"/>
          <w:color w:val="auto"/>
          <w:szCs w:val="21"/>
          <w:highlight w:val="none"/>
        </w:rPr>
        <w:t>，</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制作完成并生成加密标书，在投标截止时间前，供应商需将加密的</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上传至政采云平台，</w:t>
      </w:r>
      <w:r>
        <w:rPr>
          <w:rFonts w:hint="eastAsia" w:ascii="宋体" w:hAnsi="宋体" w:eastAsia="宋体" w:cs="宋体"/>
          <w:b/>
          <w:bCs/>
          <w:color w:val="auto"/>
          <w:szCs w:val="21"/>
          <w:highlight w:val="none"/>
          <w:u w:val="single"/>
        </w:rPr>
        <w:t>在开标时间开始后，待采购组织机构发出解密通知后30分钟内解密</w:t>
      </w:r>
      <w:r>
        <w:rPr>
          <w:rFonts w:hint="eastAsia" w:hAnsi="宋体" w:eastAsia="宋体" w:cs="宋体"/>
          <w:b/>
          <w:bCs/>
          <w:color w:val="auto"/>
          <w:szCs w:val="21"/>
          <w:highlight w:val="none"/>
          <w:u w:val="single"/>
          <w:lang w:eastAsia="zh-CN"/>
        </w:rPr>
        <w:t>响应文件</w:t>
      </w:r>
      <w:r>
        <w:rPr>
          <w:rFonts w:hint="eastAsia" w:ascii="宋体" w:hAnsi="宋体" w:eastAsia="宋体" w:cs="宋体"/>
          <w:b/>
          <w:bCs/>
          <w:color w:val="auto"/>
          <w:szCs w:val="21"/>
          <w:highlight w:val="none"/>
          <w:u w:val="single"/>
        </w:rPr>
        <w:t>。</w:t>
      </w:r>
    </w:p>
    <w:p w14:paraId="60D4FD92">
      <w:pPr>
        <w:pStyle w:val="24"/>
        <w:shd w:val="clear" w:color="auto" w:fill="auto"/>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a.供应商未能在投标截止时间前成功上传电子加密</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的投标无效。</w:t>
      </w:r>
    </w:p>
    <w:p w14:paraId="2DB046BF">
      <w:pPr>
        <w:pStyle w:val="25"/>
        <w:shd w:val="clear" w:color="auto" w:fill="auto"/>
        <w:spacing w:line="34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b.供应商成功上传电子加密</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后，可自行打印</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接收回执。</w:t>
      </w:r>
    </w:p>
    <w:p w14:paraId="34135518">
      <w:pPr>
        <w:pStyle w:val="24"/>
        <w:shd w:val="clear" w:color="auto" w:fill="auto"/>
        <w:snapToGrid w:val="0"/>
        <w:spacing w:line="340" w:lineRule="exact"/>
        <w:ind w:firstLine="420" w:firstLineChars="200"/>
        <w:outlineLvl w:val="2"/>
        <w:rPr>
          <w:rFonts w:hint="eastAsia" w:ascii="宋体" w:hAnsi="宋体" w:eastAsia="宋体" w:cs="宋体"/>
          <w:b/>
          <w:bCs/>
          <w:color w:val="auto"/>
          <w:szCs w:val="21"/>
          <w:highlight w:val="none"/>
          <w:lang w:bidi="zh-CN"/>
        </w:rPr>
      </w:pPr>
      <w:r>
        <w:rPr>
          <w:rFonts w:hint="eastAsia" w:ascii="宋体" w:hAnsi="宋体" w:eastAsia="宋体" w:cs="宋体"/>
          <w:color w:val="auto"/>
          <w:szCs w:val="21"/>
          <w:highlight w:val="none"/>
        </w:rPr>
        <w:t>24.2.</w:t>
      </w:r>
      <w:r>
        <w:rPr>
          <w:rFonts w:hint="eastAsia" w:ascii="宋体" w:hAnsi="宋体" w:eastAsia="宋体" w:cs="宋体"/>
          <w:b/>
          <w:bCs/>
          <w:color w:val="auto"/>
          <w:szCs w:val="21"/>
          <w:highlight w:val="none"/>
          <w:lang w:bidi="zh-CN"/>
        </w:rPr>
        <w:t>备份</w:t>
      </w:r>
      <w:r>
        <w:rPr>
          <w:rFonts w:hint="eastAsia" w:hAnsi="宋体" w:eastAsia="宋体" w:cs="宋体"/>
          <w:b/>
          <w:bCs/>
          <w:color w:val="auto"/>
          <w:szCs w:val="21"/>
          <w:highlight w:val="none"/>
          <w:lang w:bidi="zh-CN"/>
        </w:rPr>
        <w:t>响应文件</w:t>
      </w:r>
      <w:r>
        <w:rPr>
          <w:rFonts w:hint="eastAsia" w:ascii="宋体" w:hAnsi="宋体" w:eastAsia="宋体" w:cs="宋体"/>
          <w:b/>
          <w:bCs/>
          <w:color w:val="auto"/>
          <w:szCs w:val="21"/>
          <w:highlight w:val="none"/>
          <w:lang w:bidi="zh-CN"/>
        </w:rPr>
        <w:t>（“.bfbs”格式）：</w:t>
      </w:r>
    </w:p>
    <w:p w14:paraId="59827F3B">
      <w:pPr>
        <w:pStyle w:val="24"/>
        <w:shd w:val="clear" w:color="auto" w:fill="auto"/>
        <w:snapToGrid w:val="0"/>
        <w:spacing w:line="340" w:lineRule="exact"/>
        <w:ind w:firstLine="420" w:firstLineChars="200"/>
        <w:rPr>
          <w:rFonts w:hint="eastAsia" w:ascii="宋体" w:hAnsi="宋体" w:eastAsia="宋体" w:cs="宋体"/>
          <w:color w:val="auto"/>
          <w:szCs w:val="21"/>
          <w:highlight w:val="none"/>
          <w:lang w:bidi="zh-CN"/>
        </w:rPr>
      </w:pPr>
      <w:r>
        <w:rPr>
          <w:rFonts w:hint="eastAsia" w:ascii="宋体" w:hAnsi="宋体" w:eastAsia="宋体" w:cs="宋体"/>
          <w:bCs/>
          <w:color w:val="auto"/>
          <w:szCs w:val="21"/>
          <w:highlight w:val="none"/>
          <w:lang w:bidi="zh-CN"/>
        </w:rPr>
        <w:t>a.供应商可以将备份</w:t>
      </w:r>
      <w:r>
        <w:rPr>
          <w:rFonts w:hint="eastAsia" w:hAnsi="宋体" w:eastAsia="宋体" w:cs="宋体"/>
          <w:bCs/>
          <w:color w:val="auto"/>
          <w:szCs w:val="21"/>
          <w:highlight w:val="none"/>
          <w:lang w:bidi="zh-CN"/>
        </w:rPr>
        <w:t>响应文件</w:t>
      </w:r>
      <w:r>
        <w:rPr>
          <w:rFonts w:hint="eastAsia" w:ascii="宋体" w:hAnsi="宋体" w:eastAsia="宋体" w:cs="宋体"/>
          <w:bCs/>
          <w:color w:val="auto"/>
          <w:szCs w:val="21"/>
          <w:highlight w:val="none"/>
          <w:lang w:bidi="zh-CN"/>
        </w:rPr>
        <w:t>打包压缩并加密，压缩包命名为“XX单位备份</w:t>
      </w:r>
      <w:r>
        <w:rPr>
          <w:rFonts w:hint="eastAsia" w:hAnsi="宋体" w:eastAsia="宋体" w:cs="宋体"/>
          <w:bCs/>
          <w:color w:val="auto"/>
          <w:szCs w:val="21"/>
          <w:highlight w:val="none"/>
          <w:lang w:bidi="zh-CN"/>
        </w:rPr>
        <w:t>响应文件</w:t>
      </w:r>
      <w:r>
        <w:rPr>
          <w:rFonts w:hint="eastAsia" w:ascii="宋体" w:hAnsi="宋体" w:eastAsia="宋体" w:cs="宋体"/>
          <w:bCs/>
          <w:color w:val="auto"/>
          <w:szCs w:val="21"/>
          <w:highlight w:val="none"/>
          <w:lang w:bidi="zh-CN"/>
        </w:rPr>
        <w:t>”，加密密码由供应商自行保管；送达时间以采购代理机构实际接收时间为准。</w:t>
      </w:r>
      <w:r>
        <w:rPr>
          <w:rFonts w:hint="eastAsia" w:ascii="宋体" w:hAnsi="宋体" w:eastAsia="宋体" w:cs="宋体"/>
          <w:color w:val="auto"/>
          <w:szCs w:val="21"/>
          <w:highlight w:val="none"/>
          <w:lang w:bidi="zh-CN"/>
        </w:rPr>
        <w:t>“备份</w:t>
      </w:r>
      <w:r>
        <w:rPr>
          <w:rFonts w:hint="eastAsia" w:hAnsi="宋体" w:eastAsia="宋体" w:cs="宋体"/>
          <w:color w:val="auto"/>
          <w:szCs w:val="21"/>
          <w:highlight w:val="none"/>
          <w:lang w:bidi="zh-CN"/>
        </w:rPr>
        <w:t>响应文件</w:t>
      </w:r>
      <w:r>
        <w:rPr>
          <w:rFonts w:hint="eastAsia" w:ascii="宋体" w:hAnsi="宋体" w:eastAsia="宋体" w:cs="宋体"/>
          <w:color w:val="auto"/>
          <w:szCs w:val="21"/>
          <w:highlight w:val="none"/>
          <w:lang w:bidi="zh-CN"/>
        </w:rPr>
        <w:t>”以投标截止时间前指定接收邮箱最终收到的文件为准，逾期或未按要求提供的视为未提供，建议供应商提前1日办理邮件提供事宜</w:t>
      </w:r>
      <w:r>
        <w:rPr>
          <w:rFonts w:hint="eastAsia" w:ascii="宋体" w:hAnsi="宋体" w:eastAsia="宋体" w:cs="宋体"/>
          <w:color w:val="auto"/>
          <w:szCs w:val="21"/>
          <w:highlight w:val="none"/>
        </w:rPr>
        <w:t>（接收人邮箱：</w:t>
      </w:r>
      <w:r>
        <w:rPr>
          <w:rFonts w:hint="eastAsia" w:hAnsi="宋体" w:eastAsia="宋体" w:cs="宋体"/>
          <w:color w:val="auto"/>
          <w:szCs w:val="21"/>
          <w:highlight w:val="none"/>
          <w:lang w:val="en-US" w:eastAsia="zh-CN"/>
        </w:rPr>
        <w:t>981638475@qq.com</w:t>
      </w:r>
      <w:r>
        <w:rPr>
          <w:rFonts w:hint="eastAsia" w:ascii="宋体" w:hAnsi="宋体" w:eastAsia="宋体" w:cs="宋体"/>
          <w:color w:val="auto"/>
          <w:szCs w:val="21"/>
          <w:highlight w:val="none"/>
        </w:rPr>
        <w:t>，接收人：</w:t>
      </w:r>
      <w:r>
        <w:rPr>
          <w:rFonts w:hint="eastAsia" w:hAnsi="宋体" w:eastAsia="宋体" w:cs="宋体"/>
          <w:color w:val="auto"/>
          <w:szCs w:val="21"/>
          <w:highlight w:val="none"/>
          <w:lang w:val="en-US" w:eastAsia="zh-CN"/>
        </w:rPr>
        <w:t>张女士</w:t>
      </w:r>
      <w:r>
        <w:rPr>
          <w:rFonts w:hint="eastAsia" w:ascii="宋体" w:hAnsi="宋体" w:eastAsia="宋体" w:cs="宋体"/>
          <w:color w:val="auto"/>
          <w:szCs w:val="21"/>
          <w:highlight w:val="none"/>
        </w:rPr>
        <w:t>，电话：</w:t>
      </w:r>
      <w:r>
        <w:rPr>
          <w:rFonts w:hint="eastAsia" w:hAnsi="宋体" w:eastAsia="宋体" w:cs="宋体"/>
          <w:color w:val="auto"/>
          <w:kern w:val="0"/>
          <w:szCs w:val="21"/>
          <w:highlight w:val="none"/>
          <w:lang w:val="en-US" w:eastAsia="zh-CN"/>
        </w:rPr>
        <w:t>13179869852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bidi="zh-CN"/>
        </w:rPr>
        <w:t>；</w:t>
      </w:r>
      <w:r>
        <w:rPr>
          <w:rFonts w:hint="eastAsia" w:ascii="宋体" w:hAnsi="宋体" w:eastAsia="宋体" w:cs="宋体"/>
          <w:color w:val="auto"/>
          <w:szCs w:val="21"/>
          <w:highlight w:val="none"/>
        </w:rPr>
        <w:t>“备份</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”由供应商自愿提供，</w:t>
      </w:r>
      <w:r>
        <w:rPr>
          <w:rFonts w:hint="eastAsia" w:hAnsi="宋体" w:eastAsia="宋体" w:cs="宋体"/>
          <w:color w:val="auto"/>
          <w:szCs w:val="21"/>
          <w:highlight w:val="none"/>
          <w:lang w:eastAsia="zh-CN"/>
        </w:rPr>
        <w:t>谈判文件</w:t>
      </w:r>
      <w:r>
        <w:rPr>
          <w:rFonts w:hint="eastAsia" w:ascii="宋体" w:hAnsi="宋体" w:eastAsia="宋体" w:cs="宋体"/>
          <w:color w:val="auto"/>
          <w:szCs w:val="21"/>
          <w:highlight w:val="none"/>
        </w:rPr>
        <w:t>不作强制性要求；如不提供或未按要求提供的，当电子</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无法解密时，将导致无备份</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而失去投标资格。</w:t>
      </w:r>
    </w:p>
    <w:p w14:paraId="431874FE">
      <w:pPr>
        <w:shd w:val="clear" w:color="auto" w:fill="auto"/>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b.通过“政府采购云平台”成功上传递交的“电子加密</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”已按时解密的，“备份</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”自动失效。投标截止时间前，投标供应商仅提供了“备份</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”而未将“电子加密</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”成功上传至“政府采购云平台”的，投标无效。</w:t>
      </w:r>
    </w:p>
    <w:p w14:paraId="0C57BCD0">
      <w:pPr>
        <w:shd w:val="clear" w:color="auto" w:fill="auto"/>
        <w:snapToGrid w:val="0"/>
        <w:spacing w:line="360"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w:t>
      </w:r>
      <w:r>
        <w:rPr>
          <w:rFonts w:hint="eastAsia" w:ascii="宋体" w:hAnsi="宋体" w:eastAsia="宋体" w:cs="宋体"/>
          <w:b/>
          <w:color w:val="auto"/>
          <w:szCs w:val="21"/>
          <w:highlight w:val="none"/>
          <w:lang w:eastAsia="zh-CN"/>
        </w:rPr>
        <w:t>响应文件</w:t>
      </w:r>
      <w:r>
        <w:rPr>
          <w:rFonts w:hint="eastAsia" w:ascii="宋体" w:hAnsi="宋体" w:eastAsia="宋体" w:cs="宋体"/>
          <w:b/>
          <w:color w:val="auto"/>
          <w:szCs w:val="21"/>
          <w:highlight w:val="none"/>
        </w:rPr>
        <w:t>的递交要求</w:t>
      </w:r>
    </w:p>
    <w:p w14:paraId="136D0E0E">
      <w:pPr>
        <w:shd w:val="clear" w:color="auto" w:fill="auto"/>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（1）供应商须按照</w:t>
      </w:r>
      <w:r>
        <w:rPr>
          <w:rFonts w:hint="eastAsia" w:ascii="宋体" w:hAnsi="宋体" w:eastAsia="宋体" w:cs="宋体"/>
          <w:color w:val="auto"/>
          <w:szCs w:val="21"/>
          <w:highlight w:val="none"/>
          <w:lang w:eastAsia="zh-CN"/>
        </w:rPr>
        <w:t>谈判文件</w:t>
      </w:r>
      <w:r>
        <w:rPr>
          <w:rFonts w:hint="eastAsia" w:ascii="宋体" w:hAnsi="宋体" w:eastAsia="宋体" w:cs="宋体"/>
          <w:color w:val="auto"/>
          <w:szCs w:val="21"/>
          <w:highlight w:val="none"/>
        </w:rPr>
        <w:t>和政采云平台的要求编制并加密</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递交截止时间以前完成</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的传输递交，截止时间后递交的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，将被拒收。</w:t>
      </w:r>
    </w:p>
    <w:p w14:paraId="50FDD70B">
      <w:pPr>
        <w:shd w:val="clear" w:color="auto" w:fill="auto"/>
        <w:tabs>
          <w:tab w:val="left" w:pos="1418"/>
        </w:tabs>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（2）备份电子</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必须在投标截止时间前送达指定的投标地点。备份电子</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在截止时间后提交，采购组织机构将拒绝接收。</w:t>
      </w:r>
    </w:p>
    <w:p w14:paraId="0CBABF7E">
      <w:pPr>
        <w:shd w:val="clear" w:color="auto" w:fill="auto"/>
        <w:tabs>
          <w:tab w:val="left" w:pos="1418"/>
        </w:tabs>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（3）如有特殊情况，采购组织机构延长截止时间和开标时间，采购组织机构和供应商的权利和义务将受到新的截止时间和开标时间的约束。</w:t>
      </w:r>
    </w:p>
    <w:p w14:paraId="3B2FE2EB">
      <w:pPr>
        <w:pStyle w:val="24"/>
        <w:shd w:val="clear" w:color="auto" w:fill="auto"/>
        <w:snapToGrid w:val="0"/>
        <w:spacing w:line="360" w:lineRule="exact"/>
        <w:outlineLvl w:val="1"/>
        <w:rPr>
          <w:rFonts w:hint="eastAsia" w:ascii="宋体" w:hAnsi="宋体" w:eastAsia="宋体" w:cs="宋体"/>
          <w:color w:val="auto"/>
          <w:highlight w:val="none"/>
        </w:rPr>
      </w:pPr>
      <w:r>
        <w:rPr>
          <w:rFonts w:hint="eastAsia" w:ascii="宋体" w:hAnsi="宋体" w:eastAsia="宋体" w:cs="宋体"/>
          <w:b/>
          <w:color w:val="auto"/>
          <w:highlight w:val="none"/>
        </w:rPr>
        <w:t>26.</w:t>
      </w:r>
      <w:r>
        <w:rPr>
          <w:rFonts w:hint="eastAsia" w:hAnsi="宋体" w:eastAsia="宋体" w:cs="宋体"/>
          <w:b/>
          <w:color w:val="auto"/>
          <w:highlight w:val="none"/>
          <w:lang w:eastAsia="zh-CN"/>
        </w:rPr>
        <w:t>响应文件</w:t>
      </w:r>
      <w:r>
        <w:rPr>
          <w:rFonts w:hint="eastAsia" w:ascii="宋体" w:hAnsi="宋体" w:eastAsia="宋体" w:cs="宋体"/>
          <w:b/>
          <w:color w:val="auto"/>
          <w:highlight w:val="none"/>
        </w:rPr>
        <w:t>的修改及撤回</w:t>
      </w:r>
    </w:p>
    <w:p w14:paraId="3A69A212">
      <w:pPr>
        <w:pStyle w:val="24"/>
        <w:shd w:val="clear" w:color="auto" w:fill="auto"/>
        <w:snapToGrid w:val="0"/>
        <w:spacing w:line="360" w:lineRule="exact"/>
        <w:ind w:firstLine="447" w:firstLineChars="2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撤回。投标截止时间后传输递交的</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，“政府采购云平台”将予以拒收。投标截止时间后，供应商不得修改（补充）或撤回其</w:t>
      </w:r>
      <w:r>
        <w:rPr>
          <w:rFonts w:hint="eastAsia" w:hAnsi="宋体" w:eastAsia="宋体" w:cs="宋体"/>
          <w:color w:val="auto"/>
          <w:szCs w:val="21"/>
          <w:highlight w:val="none"/>
          <w:lang w:eastAsia="zh-CN"/>
        </w:rPr>
        <w:t>响应文件</w:t>
      </w:r>
      <w:r>
        <w:rPr>
          <w:rFonts w:hint="eastAsia" w:ascii="宋体" w:hAnsi="宋体" w:eastAsia="宋体" w:cs="宋体"/>
          <w:color w:val="auto"/>
          <w:szCs w:val="21"/>
          <w:highlight w:val="none"/>
        </w:rPr>
        <w:t>。</w:t>
      </w:r>
    </w:p>
    <w:p w14:paraId="2F317E55">
      <w:pPr>
        <w:pStyle w:val="25"/>
        <w:shd w:val="clear" w:color="auto" w:fill="auto"/>
        <w:ind w:left="2520"/>
        <w:rPr>
          <w:rFonts w:hint="eastAsia" w:ascii="宋体" w:hAnsi="宋体" w:eastAsia="宋体" w:cs="宋体"/>
          <w:color w:val="auto"/>
          <w:highlight w:val="none"/>
        </w:rPr>
      </w:pPr>
    </w:p>
    <w:p w14:paraId="3680345A">
      <w:pPr>
        <w:pStyle w:val="24"/>
        <w:shd w:val="clear" w:color="auto" w:fill="auto"/>
        <w:snapToGrid w:val="0"/>
        <w:spacing w:line="360" w:lineRule="exact"/>
        <w:ind w:firstLine="48" w:firstLineChars="15"/>
        <w:jc w:val="center"/>
        <w:outlineLvl w:val="9"/>
        <w:rPr>
          <w:rFonts w:hint="eastAsia" w:ascii="宋体" w:hAnsi="宋体" w:eastAsia="宋体" w:cs="宋体"/>
          <w:b/>
          <w:color w:val="auto"/>
          <w:sz w:val="32"/>
          <w:szCs w:val="28"/>
          <w:highlight w:val="none"/>
        </w:rPr>
      </w:pPr>
      <w:bookmarkStart w:id="28" w:name="_Toc23459"/>
      <w:bookmarkStart w:id="29" w:name="_Toc17714"/>
    </w:p>
    <w:p w14:paraId="74EF00C5">
      <w:pPr>
        <w:pStyle w:val="25"/>
        <w:rPr>
          <w:rFonts w:hint="eastAsia" w:ascii="宋体" w:hAnsi="宋体" w:eastAsia="宋体" w:cs="宋体"/>
          <w:b/>
          <w:color w:val="auto"/>
          <w:sz w:val="32"/>
          <w:szCs w:val="28"/>
          <w:highlight w:val="none"/>
        </w:rPr>
      </w:pPr>
    </w:p>
    <w:p w14:paraId="4D646DD5">
      <w:pPr>
        <w:pStyle w:val="25"/>
        <w:ind w:left="0" w:leftChars="0" w:firstLine="0" w:firstLineChars="0"/>
        <w:rPr>
          <w:rFonts w:hint="eastAsia"/>
        </w:rPr>
      </w:pPr>
    </w:p>
    <w:p w14:paraId="752B1143">
      <w:pPr>
        <w:rPr>
          <w:rFonts w:hint="eastAsia"/>
        </w:rPr>
      </w:pPr>
    </w:p>
    <w:p w14:paraId="7598E496">
      <w:pPr>
        <w:pStyle w:val="24"/>
        <w:shd w:val="clear" w:color="auto" w:fill="auto"/>
        <w:snapToGrid w:val="0"/>
        <w:spacing w:line="360" w:lineRule="exact"/>
        <w:jc w:val="both"/>
        <w:outlineLvl w:val="9"/>
        <w:rPr>
          <w:rFonts w:hint="eastAsia" w:ascii="宋体" w:hAnsi="宋体" w:eastAsia="宋体" w:cs="宋体"/>
          <w:b/>
          <w:color w:val="auto"/>
          <w:sz w:val="32"/>
          <w:szCs w:val="28"/>
          <w:highlight w:val="none"/>
        </w:rPr>
      </w:pPr>
    </w:p>
    <w:bookmarkEnd w:id="28"/>
    <w:bookmarkEnd w:id="29"/>
    <w:p w14:paraId="5922BE43">
      <w:pPr>
        <w:pStyle w:val="25"/>
        <w:rPr>
          <w:rFonts w:hint="eastAsia"/>
        </w:rPr>
      </w:pPr>
      <w:r>
        <w:rPr>
          <w:rFonts w:hint="eastAsia" w:ascii="宋体" w:hAnsi="宋体" w:eastAsia="宋体" w:cs="宋体"/>
          <w:b/>
          <w:color w:val="auto"/>
          <w:sz w:val="32"/>
          <w:szCs w:val="28"/>
          <w:highlight w:val="none"/>
          <w:lang w:eastAsia="zh-CN"/>
        </w:rPr>
        <w:t>第四章</w:t>
      </w:r>
      <w:r>
        <w:rPr>
          <w:rFonts w:hint="eastAsia" w:ascii="宋体" w:hAnsi="宋体" w:eastAsia="宋体" w:cs="宋体"/>
          <w:b/>
          <w:color w:val="auto"/>
          <w:sz w:val="32"/>
          <w:szCs w:val="28"/>
          <w:highlight w:val="none"/>
        </w:rPr>
        <w:t xml:space="preserve">  开标</w:t>
      </w:r>
      <w:r>
        <w:rPr>
          <w:rFonts w:hint="eastAsia" w:ascii="宋体" w:hAnsi="宋体" w:eastAsia="宋体" w:cs="宋体"/>
          <w:b/>
          <w:color w:val="auto"/>
          <w:sz w:val="32"/>
          <w:szCs w:val="28"/>
          <w:highlight w:val="none"/>
          <w:lang w:eastAsia="zh-CN"/>
        </w:rPr>
        <w:t>、评标和定标</w:t>
      </w:r>
    </w:p>
    <w:p w14:paraId="728A2109">
      <w:pPr>
        <w:snapToGrid w:val="0"/>
        <w:spacing w:line="360" w:lineRule="auto"/>
        <w:ind w:firstLine="354" w:firstLineChars="147"/>
        <w:rPr>
          <w:rFonts w:hint="eastAsia" w:ascii="仿宋" w:hAnsi="仿宋" w:eastAsia="仿宋" w:cs="仿宋"/>
          <w:b/>
          <w:bCs/>
          <w:color w:val="auto"/>
          <w:sz w:val="24"/>
          <w:szCs w:val="24"/>
          <w:highlight w:val="none"/>
        </w:rPr>
      </w:pPr>
      <w:bookmarkStart w:id="30" w:name="_Toc73975822"/>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开标程序</w:t>
      </w:r>
    </w:p>
    <w:p w14:paraId="7FF57108">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开标时间到后，主持人宣布开标会议开始。</w:t>
      </w:r>
    </w:p>
    <w:p w14:paraId="4A6506D9">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（2）响应文件</w:t>
      </w:r>
      <w:r>
        <w:rPr>
          <w:rFonts w:hint="eastAsia" w:ascii="仿宋" w:hAnsi="仿宋" w:eastAsia="仿宋" w:cs="仿宋"/>
          <w:color w:val="auto"/>
          <w:sz w:val="24"/>
          <w:szCs w:val="24"/>
          <w:highlight w:val="none"/>
        </w:rPr>
        <w:t>解密（</w:t>
      </w:r>
      <w:r>
        <w:rPr>
          <w:rFonts w:hint="eastAsia" w:ascii="仿宋" w:hAnsi="仿宋" w:eastAsia="仿宋" w:cs="仿宋"/>
          <w:b/>
          <w:color w:val="auto"/>
          <w:sz w:val="24"/>
          <w:szCs w:val="24"/>
          <w:highlight w:val="none"/>
        </w:rPr>
        <w:t>解密规定见《供应商须知前附表》</w:t>
      </w:r>
      <w:r>
        <w:rPr>
          <w:rFonts w:hint="eastAsia" w:ascii="仿宋" w:hAnsi="仿宋" w:eastAsia="仿宋" w:cs="仿宋"/>
          <w:color w:val="auto"/>
          <w:sz w:val="24"/>
          <w:szCs w:val="24"/>
          <w:highlight w:val="none"/>
        </w:rPr>
        <w:t>）。</w:t>
      </w:r>
    </w:p>
    <w:p w14:paraId="54EA6BD3">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（3）响应文件</w:t>
      </w:r>
      <w:r>
        <w:rPr>
          <w:rFonts w:hint="eastAsia" w:ascii="仿宋" w:hAnsi="仿宋" w:eastAsia="仿宋" w:cs="仿宋"/>
          <w:color w:val="auto"/>
          <w:sz w:val="24"/>
          <w:szCs w:val="24"/>
          <w:highlight w:val="none"/>
        </w:rPr>
        <w:t>解密异常情况处理（</w:t>
      </w:r>
      <w:r>
        <w:rPr>
          <w:rFonts w:hint="eastAsia" w:ascii="仿宋" w:hAnsi="仿宋" w:eastAsia="仿宋" w:cs="仿宋"/>
          <w:b/>
          <w:color w:val="auto"/>
          <w:sz w:val="24"/>
          <w:szCs w:val="24"/>
          <w:highlight w:val="none"/>
        </w:rPr>
        <w:t>处理办法见《供应商须知前附表》</w:t>
      </w:r>
      <w:r>
        <w:rPr>
          <w:rFonts w:hint="eastAsia" w:ascii="仿宋" w:hAnsi="仿宋" w:eastAsia="仿宋" w:cs="仿宋"/>
          <w:color w:val="auto"/>
          <w:sz w:val="24"/>
          <w:szCs w:val="24"/>
          <w:highlight w:val="none"/>
        </w:rPr>
        <w:t>）。</w:t>
      </w:r>
    </w:p>
    <w:p w14:paraId="5D26D183">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公布</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解密情况（</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成功解密的供应商名单等信息），组织签署</w:t>
      </w:r>
      <w:r>
        <w:rPr>
          <w:rFonts w:hint="eastAsia" w:ascii="仿宋" w:hAnsi="仿宋" w:eastAsia="仿宋" w:cs="仿宋"/>
          <w:b/>
          <w:bCs/>
          <w:color w:val="auto"/>
          <w:sz w:val="24"/>
          <w:szCs w:val="24"/>
          <w:highlight w:val="none"/>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auto"/>
          <w:sz w:val="24"/>
          <w:szCs w:val="24"/>
          <w:highlight w:val="none"/>
          <w:lang w:val="en-US" w:eastAsia="zh-CN"/>
        </w:rPr>
        <w:t>981638475</w:t>
      </w:r>
      <w:r>
        <w:rPr>
          <w:rFonts w:hint="eastAsia" w:ascii="仿宋" w:hAnsi="仿宋" w:eastAsia="仿宋" w:cs="仿宋"/>
          <w:b/>
          <w:bCs/>
          <w:color w:val="auto"/>
          <w:sz w:val="24"/>
          <w:szCs w:val="24"/>
          <w:highlight w:val="none"/>
          <w:lang w:eastAsia="zh-CN"/>
        </w:rPr>
        <w:t>@qq.com</w:t>
      </w:r>
      <w:r>
        <w:rPr>
          <w:rFonts w:hint="eastAsia" w:ascii="仿宋" w:hAnsi="仿宋" w:eastAsia="仿宋" w:cs="仿宋"/>
          <w:b/>
          <w:bCs/>
          <w:color w:val="auto"/>
          <w:sz w:val="24"/>
          <w:szCs w:val="24"/>
          <w:highlight w:val="none"/>
        </w:rPr>
        <w:t xml:space="preserve"> ，逾期发送或未发送的视为无异议</w:t>
      </w:r>
      <w:r>
        <w:rPr>
          <w:rFonts w:hint="eastAsia" w:ascii="仿宋" w:hAnsi="仿宋" w:eastAsia="仿宋" w:cs="仿宋"/>
          <w:color w:val="auto"/>
          <w:sz w:val="24"/>
          <w:szCs w:val="24"/>
          <w:highlight w:val="none"/>
        </w:rPr>
        <w:t>。</w:t>
      </w:r>
    </w:p>
    <w:p w14:paraId="691F06B7">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开启标书信息（资格</w:t>
      </w:r>
      <w:r>
        <w:rPr>
          <w:rFonts w:hint="eastAsia" w:ascii="仿宋" w:hAnsi="仿宋" w:eastAsia="仿宋" w:cs="仿宋"/>
          <w:color w:val="auto"/>
          <w:sz w:val="24"/>
          <w:szCs w:val="24"/>
          <w:highlight w:val="none"/>
          <w:lang w:eastAsia="zh-CN"/>
        </w:rPr>
        <w:t>证明</w:t>
      </w:r>
      <w:r>
        <w:rPr>
          <w:rFonts w:hint="eastAsia" w:ascii="仿宋" w:hAnsi="仿宋" w:eastAsia="仿宋" w:cs="仿宋"/>
          <w:color w:val="auto"/>
          <w:sz w:val="24"/>
          <w:szCs w:val="24"/>
          <w:highlight w:val="none"/>
        </w:rPr>
        <w:t>文件、商务技术文件）。标书信息开启后，首先由采购人或采购代理机构</w:t>
      </w:r>
      <w:r>
        <w:rPr>
          <w:rFonts w:hint="eastAsia" w:ascii="仿宋" w:hAnsi="仿宋" w:eastAsia="仿宋" w:cs="仿宋"/>
          <w:color w:val="auto"/>
          <w:sz w:val="24"/>
          <w:szCs w:val="24"/>
          <w:highlight w:val="none"/>
          <w:lang w:eastAsia="zh-CN"/>
        </w:rPr>
        <w:t>或评审小组</w:t>
      </w:r>
      <w:r>
        <w:rPr>
          <w:rFonts w:hint="eastAsia" w:ascii="仿宋" w:hAnsi="仿宋" w:eastAsia="仿宋" w:cs="仿宋"/>
          <w:color w:val="auto"/>
          <w:sz w:val="24"/>
          <w:szCs w:val="24"/>
          <w:highlight w:val="none"/>
        </w:rPr>
        <w:t>依法对投标供应商的资格</w:t>
      </w:r>
      <w:r>
        <w:rPr>
          <w:rFonts w:hint="eastAsia" w:ascii="仿宋" w:hAnsi="仿宋" w:eastAsia="仿宋" w:cs="仿宋"/>
          <w:color w:val="auto"/>
          <w:sz w:val="24"/>
          <w:szCs w:val="24"/>
          <w:highlight w:val="none"/>
          <w:lang w:eastAsia="zh-CN"/>
        </w:rPr>
        <w:t>证明</w:t>
      </w:r>
      <w:r>
        <w:rPr>
          <w:rFonts w:hint="eastAsia" w:ascii="仿宋" w:hAnsi="仿宋" w:eastAsia="仿宋" w:cs="仿宋"/>
          <w:color w:val="auto"/>
          <w:sz w:val="24"/>
          <w:szCs w:val="24"/>
          <w:highlight w:val="none"/>
        </w:rPr>
        <w:t>文件进行审查（具体见资格性检查）， 审查结束公布投标供应商的资格符合情况。资格审查未获通过的供应商，其商务技术文件及报价文件不再进入评审。</w:t>
      </w:r>
    </w:p>
    <w:p w14:paraId="698F4F11">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并【开启签章时段】，供应商对开标记录进行在线签章确认（不予确认的应说明理由，否则视为无异议）</w:t>
      </w:r>
      <w:r>
        <w:rPr>
          <w:rFonts w:hint="eastAsia" w:ascii="仿宋" w:hAnsi="仿宋" w:eastAsia="仿宋" w:cs="仿宋"/>
          <w:color w:val="auto"/>
          <w:sz w:val="24"/>
          <w:szCs w:val="24"/>
          <w:highlight w:val="none"/>
        </w:rPr>
        <w:t>。开标结束后，由评标委员会对报价的合理性、准确性等进行审查核实。</w:t>
      </w:r>
    </w:p>
    <w:p w14:paraId="16B02149">
      <w:pPr>
        <w:snapToGrid w:val="0"/>
        <w:spacing w:line="360" w:lineRule="auto"/>
        <w:ind w:firstLine="480" w:firstLineChars="200"/>
        <w:rPr>
          <w:color w:val="auto"/>
          <w:sz w:val="24"/>
          <w:szCs w:val="24"/>
          <w:highlight w:val="none"/>
        </w:rPr>
      </w:pPr>
      <w:r>
        <w:rPr>
          <w:rFonts w:hint="eastAsia" w:ascii="仿宋" w:hAnsi="仿宋" w:eastAsia="仿宋" w:cs="仿宋"/>
          <w:color w:val="auto"/>
          <w:sz w:val="24"/>
          <w:szCs w:val="24"/>
          <w:highlight w:val="none"/>
          <w:lang w:eastAsia="zh-CN"/>
        </w:rPr>
        <w:t>（7）商务技术评审结束后，主持人公布商务技术评审无效投标供应商名单和商务技术评审有效投标供应商名单。商务技术评审无效的供应商，其报价不再进入评审。</w:t>
      </w:r>
    </w:p>
    <w:p w14:paraId="0DE2F1C4">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评审结束后，采购代理机构在系统上公布评审结果。</w:t>
      </w:r>
    </w:p>
    <w:p w14:paraId="7DF03D76">
      <w:pPr>
        <w:snapToGrid w:val="0"/>
        <w:spacing w:line="360" w:lineRule="auto"/>
        <w:ind w:left="48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3DA8215F">
      <w:pPr>
        <w:snapToGrid w:val="0"/>
        <w:spacing w:line="360" w:lineRule="auto"/>
        <w:ind w:firstLine="426" w:firstLineChars="17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（1）本项目采用电子交易，如遇“</w:t>
      </w:r>
      <w:r>
        <w:rPr>
          <w:rFonts w:hint="eastAsia" w:ascii="仿宋" w:hAnsi="仿宋" w:eastAsia="仿宋" w:cs="仿宋"/>
          <w:b/>
          <w:color w:val="auto"/>
          <w:sz w:val="24"/>
          <w:szCs w:val="24"/>
          <w:highlight w:val="none"/>
          <w:lang w:eastAsia="zh-CN"/>
        </w:rPr>
        <w:t>新疆</w:t>
      </w:r>
      <w:r>
        <w:rPr>
          <w:rFonts w:hint="eastAsia" w:ascii="仿宋" w:hAnsi="仿宋" w:eastAsia="仿宋" w:cs="仿宋"/>
          <w:b/>
          <w:color w:val="auto"/>
          <w:sz w:val="24"/>
          <w:szCs w:val="24"/>
          <w:highlight w:val="none"/>
        </w:rPr>
        <w:t>政府采购云平台”电子化开标或评审程序调整的，按调整后程序执行。</w:t>
      </w:r>
    </w:p>
    <w:p w14:paraId="3E0696AD">
      <w:pPr>
        <w:snapToGrid w:val="0"/>
        <w:spacing w:line="360" w:lineRule="auto"/>
        <w:ind w:firstLine="426" w:firstLineChars="17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（2）开标过程中需要相关当事人进行</w:t>
      </w:r>
      <w:r>
        <w:rPr>
          <w:rFonts w:hint="eastAsia" w:ascii="仿宋" w:hAnsi="仿宋" w:eastAsia="仿宋" w:cs="仿宋"/>
          <w:b/>
          <w:color w:val="auto"/>
          <w:sz w:val="24"/>
          <w:szCs w:val="24"/>
          <w:highlight w:val="none"/>
          <w:lang w:eastAsia="zh-CN"/>
        </w:rPr>
        <w:t>签章</w:t>
      </w:r>
      <w:r>
        <w:rPr>
          <w:rFonts w:hint="eastAsia" w:ascii="仿宋" w:hAnsi="仿宋" w:eastAsia="仿宋" w:cs="仿宋"/>
          <w:b/>
          <w:color w:val="auto"/>
          <w:sz w:val="24"/>
          <w:szCs w:val="24"/>
          <w:highlight w:val="none"/>
        </w:rPr>
        <w:t>或盖章确认的材料将通过“政府采购云平台”进行，若因“政府采购云平台”技术问题无法进行</w:t>
      </w:r>
      <w:r>
        <w:rPr>
          <w:rFonts w:hint="eastAsia" w:ascii="仿宋" w:hAnsi="仿宋" w:eastAsia="仿宋" w:cs="仿宋"/>
          <w:b/>
          <w:color w:val="auto"/>
          <w:sz w:val="24"/>
          <w:szCs w:val="24"/>
          <w:highlight w:val="none"/>
          <w:lang w:eastAsia="zh-CN"/>
        </w:rPr>
        <w:t>签章</w:t>
      </w:r>
      <w:r>
        <w:rPr>
          <w:rFonts w:hint="eastAsia" w:ascii="仿宋" w:hAnsi="仿宋" w:eastAsia="仿宋" w:cs="仿宋"/>
          <w:b/>
          <w:color w:val="auto"/>
          <w:sz w:val="24"/>
          <w:szCs w:val="24"/>
          <w:highlight w:val="none"/>
        </w:rPr>
        <w:t>或盖章确认的，采购组织机构将通过电子邮件等形式予以确认，</w:t>
      </w:r>
      <w:r>
        <w:rPr>
          <w:rFonts w:hint="eastAsia" w:ascii="仿宋" w:hAnsi="仿宋" w:eastAsia="仿宋" w:cs="仿宋"/>
          <w:b/>
          <w:color w:val="auto"/>
          <w:sz w:val="24"/>
          <w:szCs w:val="24"/>
          <w:highlight w:val="none"/>
          <w:u w:val="single"/>
        </w:rPr>
        <w:t>请供应商保证办理投标事宜人员电话畅通、网络在线，</w:t>
      </w:r>
      <w:r>
        <w:rPr>
          <w:rFonts w:hint="eastAsia" w:ascii="仿宋" w:hAnsi="仿宋" w:eastAsia="仿宋" w:cs="仿宋"/>
          <w:b/>
          <w:color w:val="auto"/>
          <w:sz w:val="24"/>
          <w:szCs w:val="24"/>
          <w:highlight w:val="none"/>
          <w:u w:val="single"/>
          <w:lang w:eastAsia="zh-CN"/>
        </w:rPr>
        <w:t>签章</w:t>
      </w:r>
      <w:r>
        <w:rPr>
          <w:rFonts w:hint="eastAsia" w:ascii="仿宋" w:hAnsi="仿宋" w:eastAsia="仿宋" w:cs="仿宋"/>
          <w:b/>
          <w:color w:val="auto"/>
          <w:sz w:val="24"/>
          <w:szCs w:val="24"/>
          <w:highlight w:val="none"/>
          <w:u w:val="single"/>
        </w:rPr>
        <w:t>或盖章确认的时间为20分钟。如未及时</w:t>
      </w:r>
      <w:r>
        <w:rPr>
          <w:rFonts w:hint="eastAsia" w:ascii="仿宋" w:hAnsi="仿宋" w:eastAsia="仿宋" w:cs="仿宋"/>
          <w:b/>
          <w:color w:val="auto"/>
          <w:sz w:val="24"/>
          <w:szCs w:val="24"/>
          <w:highlight w:val="none"/>
          <w:u w:val="single"/>
          <w:lang w:eastAsia="zh-CN"/>
        </w:rPr>
        <w:t>签章</w:t>
      </w:r>
      <w:r>
        <w:rPr>
          <w:rFonts w:hint="eastAsia" w:ascii="仿宋" w:hAnsi="仿宋" w:eastAsia="仿宋" w:cs="仿宋"/>
          <w:b/>
          <w:color w:val="auto"/>
          <w:sz w:val="24"/>
          <w:szCs w:val="24"/>
          <w:highlight w:val="none"/>
          <w:u w:val="single"/>
        </w:rPr>
        <w:t>或盖章确认的，视为无异议</w:t>
      </w:r>
      <w:r>
        <w:rPr>
          <w:rFonts w:hint="eastAsia" w:ascii="仿宋" w:hAnsi="仿宋" w:eastAsia="仿宋" w:cs="仿宋"/>
          <w:b/>
          <w:color w:val="auto"/>
          <w:sz w:val="24"/>
          <w:szCs w:val="24"/>
          <w:highlight w:val="none"/>
        </w:rPr>
        <w:t>。</w:t>
      </w:r>
    </w:p>
    <w:p w14:paraId="1F35877F">
      <w:pPr>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rPr>
        <w:t>投标供应商资格审查：</w:t>
      </w:r>
    </w:p>
    <w:p w14:paraId="619CCD8D">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开标（标书信息开启）后，采购人或采购代理机构</w:t>
      </w:r>
      <w:r>
        <w:rPr>
          <w:rFonts w:hint="eastAsia" w:ascii="仿宋" w:hAnsi="仿宋" w:eastAsia="仿宋" w:cs="仿宋"/>
          <w:bCs/>
          <w:color w:val="auto"/>
          <w:sz w:val="24"/>
          <w:szCs w:val="24"/>
          <w:highlight w:val="none"/>
          <w:lang w:eastAsia="zh-CN"/>
        </w:rPr>
        <w:t>或</w:t>
      </w:r>
      <w:r>
        <w:rPr>
          <w:rFonts w:hint="eastAsia" w:ascii="仿宋" w:hAnsi="仿宋" w:eastAsia="仿宋" w:cs="仿宋"/>
          <w:color w:val="auto"/>
          <w:sz w:val="24"/>
          <w:szCs w:val="24"/>
          <w:highlight w:val="none"/>
          <w:lang w:eastAsia="zh-CN"/>
        </w:rPr>
        <w:t>评审小组</w:t>
      </w:r>
      <w:r>
        <w:rPr>
          <w:rFonts w:hint="eastAsia" w:ascii="仿宋" w:hAnsi="仿宋" w:eastAsia="仿宋" w:cs="仿宋"/>
          <w:bCs/>
          <w:color w:val="auto"/>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sz w:val="24"/>
          <w:szCs w:val="24"/>
          <w:highlight w:val="none"/>
          <w:lang w:eastAsia="zh-CN"/>
        </w:rPr>
        <w:t>或</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资格并追究投标供应商的法律责任。</w:t>
      </w:r>
    </w:p>
    <w:p w14:paraId="33FC9BE0">
      <w:pPr>
        <w:pStyle w:val="13"/>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（2）投标供应商提交的资格证明材料无法证明其符合</w:t>
      </w:r>
      <w:r>
        <w:rPr>
          <w:rFonts w:hint="eastAsia" w:ascii="仿宋" w:hAnsi="仿宋" w:eastAsia="仿宋" w:cs="仿宋"/>
          <w:bCs/>
          <w:color w:val="auto"/>
          <w:sz w:val="24"/>
          <w:szCs w:val="24"/>
          <w:highlight w:val="none"/>
          <w:lang w:eastAsia="zh-CN"/>
        </w:rPr>
        <w:t xml:space="preserve">谈判文件 </w:t>
      </w:r>
      <w:r>
        <w:rPr>
          <w:rFonts w:hint="eastAsia" w:ascii="仿宋" w:hAnsi="仿宋" w:eastAsia="仿宋" w:cs="仿宋"/>
          <w:bCs/>
          <w:color w:val="auto"/>
          <w:sz w:val="24"/>
          <w:szCs w:val="24"/>
          <w:highlight w:val="none"/>
        </w:rPr>
        <w:t>规定的“投标供应商资格要求”的，采购人或采购代理机构将对其作“资格审查不合格”处理（无效投标），并不再将其投标提交评标委员会进行后续评审。</w:t>
      </w:r>
    </w:p>
    <w:p w14:paraId="39C1F046">
      <w:pPr>
        <w:pStyle w:val="13"/>
        <w:keepNext w:val="0"/>
        <w:keepLines w:val="0"/>
        <w:pageBreakBefore w:val="0"/>
        <w:widowControl w:val="0"/>
        <w:kinsoku/>
        <w:wordWrap/>
        <w:overflowPunct/>
        <w:topLinePunct w:val="0"/>
        <w:bidi w:val="0"/>
        <w:snapToGrid w:val="0"/>
        <w:spacing w:line="324"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（3）供应商信用记录查询与使用：见《供应商须知前附表》。</w:t>
      </w:r>
    </w:p>
    <w:p w14:paraId="230CC5D0">
      <w:pPr>
        <w:keepNext w:val="0"/>
        <w:keepLines w:val="0"/>
        <w:pageBreakBefore w:val="0"/>
        <w:widowControl w:val="0"/>
        <w:kinsoku/>
        <w:wordWrap/>
        <w:overflowPunct/>
        <w:topLinePunct w:val="0"/>
        <w:bidi w:val="0"/>
        <w:snapToGrid w:val="0"/>
        <w:spacing w:line="324" w:lineRule="auto"/>
        <w:ind w:firstLine="352" w:firstLineChars="147"/>
        <w:textAlignment w:val="auto"/>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eastAsia="zh-CN"/>
        </w:rPr>
        <w:t>二、</w:t>
      </w:r>
      <w:r>
        <w:rPr>
          <w:rFonts w:hint="eastAsia" w:ascii="仿宋" w:hAnsi="仿宋" w:eastAsia="仿宋" w:cs="仿宋"/>
          <w:b/>
          <w:color w:val="auto"/>
          <w:sz w:val="24"/>
          <w:szCs w:val="24"/>
          <w:highlight w:val="none"/>
          <w:lang w:eastAsia="zh-CN"/>
        </w:rPr>
        <w:t>谈判</w:t>
      </w:r>
      <w:r>
        <w:rPr>
          <w:rFonts w:hint="eastAsia" w:ascii="仿宋" w:hAnsi="仿宋" w:eastAsia="仿宋" w:cs="仿宋"/>
          <w:b/>
          <w:color w:val="auto"/>
          <w:sz w:val="24"/>
          <w:szCs w:val="24"/>
          <w:highlight w:val="none"/>
        </w:rPr>
        <w:t>报价方式</w:t>
      </w:r>
    </w:p>
    <w:p w14:paraId="36EF255C">
      <w:pPr>
        <w:keepNext w:val="0"/>
        <w:keepLines w:val="0"/>
        <w:pageBreakBefore w:val="0"/>
        <w:widowControl w:val="0"/>
        <w:kinsoku/>
        <w:wordWrap/>
        <w:overflowPunct/>
        <w:topLinePunct w:val="0"/>
        <w:bidi w:val="0"/>
        <w:snapToGrid w:val="0"/>
        <w:spacing w:line="324" w:lineRule="auto"/>
        <w:ind w:firstLine="352" w:firstLineChars="147"/>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1、供应商提交的响应性文件中的报价，该报价只允许有一个报价，任何有选择性的报价将不予接受。</w:t>
      </w:r>
    </w:p>
    <w:p w14:paraId="22421A5C">
      <w:pPr>
        <w:keepNext w:val="0"/>
        <w:keepLines w:val="0"/>
        <w:pageBreakBefore w:val="0"/>
        <w:widowControl w:val="0"/>
        <w:kinsoku/>
        <w:wordWrap/>
        <w:overflowPunct/>
        <w:topLinePunct w:val="0"/>
        <w:bidi w:val="0"/>
        <w:snapToGrid w:val="0"/>
        <w:spacing w:line="324" w:lineRule="auto"/>
        <w:ind w:firstLine="352" w:firstLineChars="147"/>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谈判小组</w:t>
      </w:r>
      <w:r>
        <w:rPr>
          <w:rFonts w:hint="eastAsia" w:ascii="仿宋" w:hAnsi="仿宋" w:eastAsia="仿宋" w:cs="仿宋"/>
          <w:color w:val="auto"/>
          <w:sz w:val="24"/>
          <w:szCs w:val="24"/>
          <w:highlight w:val="none"/>
        </w:rPr>
        <w:t>所有成员与供应商进行单独</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的任何一方不得透露与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有关的其他供应商的技术资料、价格和其他信息。</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有实质性变动的，</w:t>
      </w:r>
      <w:r>
        <w:rPr>
          <w:rFonts w:hint="eastAsia" w:ascii="仿宋" w:hAnsi="仿宋" w:eastAsia="仿宋" w:cs="仿宋"/>
          <w:color w:val="auto"/>
          <w:sz w:val="24"/>
          <w:szCs w:val="24"/>
          <w:highlight w:val="none"/>
          <w:lang w:eastAsia="zh-CN"/>
        </w:rPr>
        <w:t>谈判小组</w:t>
      </w:r>
      <w:r>
        <w:rPr>
          <w:rFonts w:hint="eastAsia" w:ascii="仿宋" w:hAnsi="仿宋" w:eastAsia="仿宋" w:cs="仿宋"/>
          <w:color w:val="auto"/>
          <w:sz w:val="24"/>
          <w:szCs w:val="24"/>
          <w:highlight w:val="none"/>
        </w:rPr>
        <w:t>应以书面形式通知所有参加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w:t>
      </w:r>
    </w:p>
    <w:p w14:paraId="54892F3E">
      <w:pPr>
        <w:keepNext w:val="0"/>
        <w:keepLines w:val="0"/>
        <w:pageBreakBefore w:val="0"/>
        <w:widowControl w:val="0"/>
        <w:kinsoku/>
        <w:wordWrap/>
        <w:overflowPunct/>
        <w:topLinePunct w:val="0"/>
        <w:bidi w:val="0"/>
        <w:snapToGrid w:val="0"/>
        <w:spacing w:line="324" w:lineRule="auto"/>
        <w:ind w:firstLine="352" w:firstLineChars="147"/>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结束后，供应商可根据</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情况，进行第二次报价</w:t>
      </w:r>
      <w:r>
        <w:rPr>
          <w:rFonts w:hint="eastAsia" w:ascii="仿宋" w:hAnsi="仿宋" w:eastAsia="仿宋" w:cs="仿宋"/>
          <w:color w:val="auto"/>
          <w:sz w:val="24"/>
          <w:szCs w:val="24"/>
          <w:highlight w:val="none"/>
          <w:lang w:eastAsia="zh-CN"/>
        </w:rPr>
        <w:t>，采购人也可以根据谈判情况开启多轮报价，</w:t>
      </w:r>
      <w:r>
        <w:rPr>
          <w:rFonts w:hint="eastAsia" w:ascii="仿宋" w:hAnsi="仿宋" w:eastAsia="仿宋" w:cs="仿宋"/>
          <w:color w:val="auto"/>
          <w:sz w:val="24"/>
          <w:szCs w:val="24"/>
          <w:highlight w:val="none"/>
        </w:rPr>
        <w:t>该报价为</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的最终报价。</w:t>
      </w:r>
    </w:p>
    <w:p w14:paraId="69766F6B">
      <w:pPr>
        <w:keepNext w:val="0"/>
        <w:keepLines w:val="0"/>
        <w:pageBreakBefore w:val="0"/>
        <w:widowControl w:val="0"/>
        <w:kinsoku/>
        <w:wordWrap/>
        <w:overflowPunct/>
        <w:topLinePunct w:val="0"/>
        <w:bidi w:val="0"/>
        <w:snapToGrid w:val="0"/>
        <w:spacing w:line="324" w:lineRule="auto"/>
        <w:ind w:firstLine="352" w:firstLineChars="147"/>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4、第二次报价</w:t>
      </w:r>
      <w:r>
        <w:rPr>
          <w:rFonts w:hint="eastAsia" w:ascii="仿宋" w:hAnsi="仿宋" w:eastAsia="仿宋" w:cs="仿宋"/>
          <w:color w:val="auto"/>
          <w:sz w:val="24"/>
          <w:szCs w:val="24"/>
          <w:highlight w:val="none"/>
          <w:lang w:eastAsia="zh-CN"/>
        </w:rPr>
        <w:t>在政采云不见面开评标系统</w:t>
      </w:r>
      <w:r>
        <w:rPr>
          <w:rFonts w:hint="eastAsia" w:ascii="仿宋" w:hAnsi="仿宋" w:eastAsia="仿宋" w:cs="仿宋"/>
          <w:color w:val="auto"/>
          <w:sz w:val="24"/>
          <w:szCs w:val="24"/>
          <w:highlight w:val="none"/>
        </w:rPr>
        <w:t>填写提交。所有供应商的二次报价收集齐全后，二次报价不进行公开唱标</w:t>
      </w:r>
      <w:r>
        <w:rPr>
          <w:rFonts w:hint="eastAsia" w:ascii="仿宋" w:hAnsi="仿宋" w:eastAsia="仿宋" w:cs="仿宋"/>
          <w:color w:val="auto"/>
          <w:sz w:val="24"/>
          <w:szCs w:val="24"/>
          <w:highlight w:val="none"/>
          <w:lang w:eastAsia="zh-CN"/>
        </w:rPr>
        <w:t>，依次类推。</w:t>
      </w:r>
    </w:p>
    <w:p w14:paraId="01AA71FC">
      <w:pPr>
        <w:keepNext w:val="0"/>
        <w:keepLines w:val="0"/>
        <w:pageBreakBefore w:val="0"/>
        <w:widowControl w:val="0"/>
        <w:kinsoku/>
        <w:wordWrap/>
        <w:overflowPunct/>
        <w:topLinePunct w:val="0"/>
        <w:bidi w:val="0"/>
        <w:snapToGrid w:val="0"/>
        <w:spacing w:line="324" w:lineRule="auto"/>
        <w:ind w:firstLine="352" w:firstLineChars="14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p>
    <w:p w14:paraId="0AF2C4A3">
      <w:pPr>
        <w:pStyle w:val="3"/>
        <w:tabs>
          <w:tab w:val="left" w:pos="540"/>
        </w:tabs>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、评标</w:t>
      </w:r>
      <w:r>
        <w:rPr>
          <w:rFonts w:hint="eastAsia" w:ascii="仿宋" w:hAnsi="仿宋" w:eastAsia="仿宋" w:cs="仿宋"/>
          <w:color w:val="auto"/>
          <w:sz w:val="28"/>
          <w:szCs w:val="28"/>
          <w:highlight w:val="none"/>
          <w:lang w:eastAsia="zh-CN"/>
        </w:rPr>
        <w:t>程序</w:t>
      </w:r>
    </w:p>
    <w:p w14:paraId="405FEF78">
      <w:pPr>
        <w:snapToGrid w:val="0"/>
        <w:spacing w:line="360" w:lineRule="auto"/>
        <w:ind w:firstLine="472" w:firstLineChars="196"/>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）评标原则</w:t>
      </w:r>
    </w:p>
    <w:p w14:paraId="4B016816">
      <w:pPr>
        <w:adjustRightInd w:val="0"/>
        <w:snapToGrid w:val="0"/>
        <w:spacing w:line="360"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“公开、公平、公正、客观、择优”为评标的基本原则，</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小组将根据这一原则，公正、平等地对待各供应商。</w:t>
      </w:r>
    </w:p>
    <w:p w14:paraId="38AC85CB">
      <w:pPr>
        <w:adjustRightInd w:val="0"/>
        <w:snapToGrid w:val="0"/>
        <w:spacing w:line="360" w:lineRule="auto"/>
        <w:ind w:firstLine="354" w:firstLineChars="147"/>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lang w:eastAsia="zh-CN"/>
        </w:rPr>
        <w:t>谈判</w:t>
      </w:r>
      <w:r>
        <w:rPr>
          <w:rFonts w:hint="eastAsia" w:ascii="仿宋" w:hAnsi="仿宋" w:eastAsia="仿宋" w:cs="仿宋"/>
          <w:b/>
          <w:color w:val="auto"/>
          <w:sz w:val="24"/>
          <w:szCs w:val="24"/>
          <w:highlight w:val="none"/>
        </w:rPr>
        <w:t>小组</w:t>
      </w:r>
    </w:p>
    <w:p w14:paraId="22125716">
      <w:pPr>
        <w:snapToGrid w:val="0"/>
        <w:spacing w:line="360"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评标委员会成员由招标人的代表1名和随机抽取的有关方面的专家</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名组成，成员共为</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人，评标委员会的成员在评标过程中必须严格遵守政府采购的有关规定。专家从</w:t>
      </w:r>
      <w:r>
        <w:rPr>
          <w:rFonts w:hint="eastAsia" w:ascii="仿宋" w:hAnsi="仿宋" w:eastAsia="仿宋" w:cs="仿宋"/>
          <w:color w:val="auto"/>
          <w:sz w:val="24"/>
          <w:szCs w:val="24"/>
          <w:highlight w:val="none"/>
          <w:lang w:eastAsia="zh-CN"/>
        </w:rPr>
        <w:t>政采云</w:t>
      </w:r>
      <w:r>
        <w:rPr>
          <w:rFonts w:hint="eastAsia" w:ascii="仿宋" w:hAnsi="仿宋" w:eastAsia="仿宋" w:cs="仿宋"/>
          <w:color w:val="auto"/>
          <w:sz w:val="24"/>
          <w:szCs w:val="24"/>
          <w:highlight w:val="none"/>
        </w:rPr>
        <w:t>专家库中随机抽取产生，负责对响应文件进行审查、质询、评审、推选</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w:t>
      </w:r>
    </w:p>
    <w:p w14:paraId="217246C9">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1、评标事务由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小组负责，并独立履行下列职责：</w:t>
      </w:r>
    </w:p>
    <w:p w14:paraId="3A6E49CC">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（a）审查响应文件是否符合本文件要求，并做出评价；</w:t>
      </w:r>
    </w:p>
    <w:p w14:paraId="1D7615F8">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（b）要求供应商对响应文件有关事项做出澄清或答复；</w:t>
      </w:r>
    </w:p>
    <w:p w14:paraId="4CCF5625">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（c）推荐</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候选人名单，或者直接确定</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w:t>
      </w:r>
    </w:p>
    <w:p w14:paraId="19B130D1">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（d）向招标采购单位或者有关部门报告非法干预评标工作的行为。</w:t>
      </w:r>
    </w:p>
    <w:p w14:paraId="3FDDDDC8">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小组成员的义务</w:t>
      </w:r>
    </w:p>
    <w:p w14:paraId="38F4EA55">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（a）遵纪守法，客观、公正、廉洁地履行职责；</w:t>
      </w:r>
    </w:p>
    <w:p w14:paraId="2523D2B3">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规定的评标方法和标准进行评标，对评审意见承担个人责任；</w:t>
      </w:r>
    </w:p>
    <w:p w14:paraId="633F4ADE">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（c）对评标过程和结果，以及供应商的商业秘密保密；</w:t>
      </w:r>
    </w:p>
    <w:p w14:paraId="30CF14C0">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（d）参与评标报告的起草；</w:t>
      </w:r>
    </w:p>
    <w:p w14:paraId="3EF63136">
      <w:pPr>
        <w:keepNext w:val="0"/>
        <w:keepLines w:val="0"/>
        <w:pageBreakBefore w:val="0"/>
        <w:kinsoku/>
        <w:wordWrap/>
        <w:overflowPunct/>
        <w:topLinePunct w:val="0"/>
        <w:autoSpaceDE/>
        <w:autoSpaceDN/>
        <w:bidi w:val="0"/>
        <w:snapToGrid w:val="0"/>
        <w:spacing w:line="305" w:lineRule="auto"/>
        <w:ind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（e）配合财政部门的投诉处理工作；</w:t>
      </w:r>
    </w:p>
    <w:p w14:paraId="2A9EE8C2">
      <w:pPr>
        <w:keepNext w:val="0"/>
        <w:keepLines w:val="0"/>
        <w:pageBreakBefore w:val="0"/>
        <w:kinsoku/>
        <w:wordWrap/>
        <w:overflowPunct/>
        <w:topLinePunct w:val="0"/>
        <w:autoSpaceDE/>
        <w:autoSpaceDN/>
        <w:bidi w:val="0"/>
        <w:snapToGrid w:val="0"/>
        <w:spacing w:line="305" w:lineRule="auto"/>
        <w:ind w:firstLine="352" w:firstLineChars="14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（f）配合招标采购单位答复供应商提出的质疑。</w:t>
      </w:r>
    </w:p>
    <w:p w14:paraId="29FA5C8C">
      <w:pPr>
        <w:pStyle w:val="190"/>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sz w:val="24"/>
          <w:szCs w:val="24"/>
          <w:highlight w:val="none"/>
          <w:lang w:val="en-US" w:eastAsia="zh-CN" w:bidi="en-US"/>
        </w:rPr>
        <w:t>3.评标程序</w:t>
      </w:r>
    </w:p>
    <w:p w14:paraId="245CA0AE">
      <w:pPr>
        <w:pStyle w:val="190"/>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sz w:val="24"/>
          <w:szCs w:val="24"/>
          <w:highlight w:val="none"/>
          <w:lang w:val="en-US" w:eastAsia="zh-CN" w:bidi="en-US"/>
        </w:rPr>
        <w:t>本次评标首先由评标委员会对投标人的响应文件进行初审，对未能通过初审的响应文件作无效标处理；</w:t>
      </w:r>
    </w:p>
    <w:p w14:paraId="0EBED6F2">
      <w:pPr>
        <w:pStyle w:val="190"/>
        <w:keepNext w:val="0"/>
        <w:keepLines w:val="0"/>
        <w:pageBreakBefore w:val="0"/>
        <w:kinsoku/>
        <w:wordWrap/>
        <w:overflowPunct/>
        <w:topLinePunct w:val="0"/>
        <w:autoSpaceDE/>
        <w:autoSpaceDN/>
        <w:bidi w:val="0"/>
        <w:snapToGrid w:val="0"/>
        <w:spacing w:line="305" w:lineRule="auto"/>
        <w:rPr>
          <w:rFonts w:hint="eastAsia"/>
          <w:color w:val="auto"/>
          <w:sz w:val="24"/>
          <w:szCs w:val="24"/>
          <w:highlight w:val="none"/>
          <w:lang w:val="en-US" w:eastAsia="zh-CN"/>
        </w:rPr>
      </w:pPr>
      <w:r>
        <w:rPr>
          <w:rFonts w:hint="eastAsia" w:ascii="仿宋" w:hAnsi="仿宋" w:eastAsia="仿宋" w:cs="仿宋"/>
          <w:color w:val="auto"/>
          <w:sz w:val="24"/>
          <w:szCs w:val="24"/>
          <w:highlight w:val="none"/>
          <w:lang w:val="en-US" w:eastAsia="zh-CN" w:bidi="en-US"/>
        </w:rPr>
        <w:t>5对通过初审的投标人的响应文件进行详细的比较和评价。如需要，进行必要的澄清工作；</w:t>
      </w:r>
    </w:p>
    <w:p w14:paraId="6D8C0519">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center"/>
        <w:textAlignment w:val="auto"/>
        <w:rPr>
          <w:rFonts w:hint="eastAsia" w:ascii="仿宋" w:hAnsi="仿宋" w:eastAsia="仿宋" w:cs="仿宋"/>
          <w:b/>
          <w:color w:val="auto"/>
          <w:sz w:val="24"/>
          <w:szCs w:val="24"/>
          <w:highlight w:val="none"/>
          <w:lang w:val="en-US" w:eastAsia="zh-CN"/>
        </w:rPr>
      </w:pPr>
    </w:p>
    <w:p w14:paraId="21FF11B9">
      <w:pPr>
        <w:rPr>
          <w:rFonts w:hint="eastAsia" w:eastAsia="仿宋"/>
          <w:lang w:eastAsia="zh-CN"/>
        </w:rPr>
      </w:pPr>
    </w:p>
    <w:bookmarkEnd w:id="30"/>
    <w:p w14:paraId="353A3BE7">
      <w:pPr>
        <w:shd w:val="clear" w:color="auto" w:fill="auto"/>
        <w:tabs>
          <w:tab w:val="left" w:pos="900"/>
        </w:tabs>
        <w:ind w:left="0" w:leftChars="0" w:right="206" w:rightChars="98" w:firstLine="0" w:firstLineChars="0"/>
        <w:jc w:val="center"/>
        <w:outlineLvl w:val="9"/>
        <w:rPr>
          <w:rFonts w:hint="eastAsia" w:ascii="宋体" w:hAnsi="宋体" w:eastAsia="宋体" w:cs="宋体"/>
          <w:b/>
          <w:bCs/>
          <w:color w:val="auto"/>
          <w:sz w:val="28"/>
          <w:szCs w:val="28"/>
          <w:highlight w:val="none"/>
        </w:rPr>
      </w:pPr>
      <w:bookmarkStart w:id="31" w:name="_Toc18431"/>
      <w:bookmarkStart w:id="32" w:name="_Toc7696"/>
    </w:p>
    <w:p w14:paraId="710DBE4C">
      <w:pPr>
        <w:pStyle w:val="38"/>
        <w:rPr>
          <w:rFonts w:hint="eastAsia" w:ascii="宋体" w:hAnsi="宋体" w:eastAsia="宋体" w:cs="宋体"/>
          <w:b/>
          <w:bCs/>
          <w:color w:val="auto"/>
          <w:sz w:val="28"/>
          <w:szCs w:val="28"/>
          <w:highlight w:val="none"/>
        </w:rPr>
      </w:pPr>
    </w:p>
    <w:p w14:paraId="501A55FA">
      <w:pPr>
        <w:rPr>
          <w:rFonts w:hint="eastAsia" w:ascii="宋体" w:hAnsi="宋体" w:eastAsia="宋体" w:cs="宋体"/>
          <w:b/>
          <w:bCs/>
          <w:color w:val="auto"/>
          <w:sz w:val="28"/>
          <w:szCs w:val="28"/>
          <w:highlight w:val="none"/>
        </w:rPr>
      </w:pPr>
    </w:p>
    <w:p w14:paraId="4023188E">
      <w:pPr>
        <w:pStyle w:val="38"/>
        <w:rPr>
          <w:rFonts w:hint="eastAsia" w:ascii="宋体" w:hAnsi="宋体" w:eastAsia="宋体" w:cs="宋体"/>
          <w:b/>
          <w:bCs/>
          <w:color w:val="auto"/>
          <w:sz w:val="28"/>
          <w:szCs w:val="28"/>
          <w:highlight w:val="none"/>
        </w:rPr>
      </w:pPr>
    </w:p>
    <w:p w14:paraId="0170508F">
      <w:pPr>
        <w:rPr>
          <w:rFonts w:hint="eastAsia" w:ascii="宋体" w:hAnsi="宋体" w:eastAsia="宋体" w:cs="宋体"/>
          <w:b/>
          <w:bCs/>
          <w:color w:val="auto"/>
          <w:sz w:val="28"/>
          <w:szCs w:val="28"/>
          <w:highlight w:val="none"/>
        </w:rPr>
      </w:pPr>
    </w:p>
    <w:p w14:paraId="06BDEEFE">
      <w:pPr>
        <w:pStyle w:val="38"/>
        <w:rPr>
          <w:rFonts w:hint="eastAsia" w:ascii="宋体" w:hAnsi="宋体" w:eastAsia="宋体" w:cs="宋体"/>
          <w:b/>
          <w:bCs/>
          <w:color w:val="auto"/>
          <w:sz w:val="28"/>
          <w:szCs w:val="28"/>
          <w:highlight w:val="none"/>
        </w:rPr>
      </w:pPr>
    </w:p>
    <w:p w14:paraId="09B0924D">
      <w:pPr>
        <w:rPr>
          <w:rFonts w:hint="eastAsia" w:ascii="宋体" w:hAnsi="宋体" w:eastAsia="宋体" w:cs="宋体"/>
          <w:b/>
          <w:bCs/>
          <w:color w:val="auto"/>
          <w:sz w:val="28"/>
          <w:szCs w:val="28"/>
          <w:highlight w:val="none"/>
        </w:rPr>
      </w:pPr>
    </w:p>
    <w:p w14:paraId="75C58135">
      <w:pPr>
        <w:pStyle w:val="4"/>
        <w:rPr>
          <w:rFonts w:hint="eastAsia"/>
        </w:rPr>
      </w:pPr>
    </w:p>
    <w:p w14:paraId="6FE35690">
      <w:pPr>
        <w:pStyle w:val="38"/>
        <w:rPr>
          <w:rFonts w:hint="eastAsia" w:ascii="宋体" w:hAnsi="宋体" w:eastAsia="宋体" w:cs="宋体"/>
          <w:b/>
          <w:bCs/>
          <w:color w:val="auto"/>
          <w:sz w:val="28"/>
          <w:szCs w:val="28"/>
          <w:highlight w:val="none"/>
        </w:rPr>
      </w:pPr>
    </w:p>
    <w:p w14:paraId="1E0A7C9B">
      <w:pPr>
        <w:rPr>
          <w:rFonts w:hint="eastAsia" w:ascii="宋体" w:hAnsi="宋体" w:eastAsia="宋体" w:cs="宋体"/>
          <w:b/>
          <w:bCs/>
          <w:color w:val="auto"/>
          <w:sz w:val="28"/>
          <w:szCs w:val="28"/>
          <w:highlight w:val="none"/>
        </w:rPr>
      </w:pPr>
    </w:p>
    <w:p w14:paraId="47C7F190">
      <w:pPr>
        <w:pStyle w:val="38"/>
        <w:rPr>
          <w:rFonts w:hint="eastAsia" w:ascii="宋体" w:hAnsi="宋体" w:eastAsia="宋体" w:cs="宋体"/>
          <w:b/>
          <w:bCs/>
          <w:color w:val="auto"/>
          <w:sz w:val="28"/>
          <w:szCs w:val="28"/>
          <w:highlight w:val="none"/>
        </w:rPr>
      </w:pPr>
    </w:p>
    <w:p w14:paraId="5D67DC15">
      <w:pPr>
        <w:rPr>
          <w:rFonts w:hint="eastAsia" w:ascii="宋体" w:hAnsi="宋体" w:eastAsia="宋体" w:cs="宋体"/>
          <w:b/>
          <w:bCs/>
          <w:color w:val="auto"/>
          <w:sz w:val="28"/>
          <w:szCs w:val="28"/>
          <w:highlight w:val="none"/>
        </w:rPr>
      </w:pPr>
    </w:p>
    <w:p w14:paraId="112FD4C2">
      <w:pPr>
        <w:pStyle w:val="38"/>
        <w:rPr>
          <w:rFonts w:hint="eastAsia"/>
        </w:rPr>
      </w:pPr>
    </w:p>
    <w:bookmarkEnd w:id="31"/>
    <w:bookmarkEnd w:id="32"/>
    <w:p w14:paraId="1C501214">
      <w:pPr>
        <w:shd w:val="clear" w:color="auto" w:fill="auto"/>
        <w:tabs>
          <w:tab w:val="left" w:pos="900"/>
        </w:tabs>
        <w:ind w:left="0" w:leftChars="0" w:right="206" w:rightChars="98" w:firstLine="0" w:firstLineChars="0"/>
        <w:jc w:val="center"/>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（一）</w:t>
      </w:r>
      <w:r>
        <w:rPr>
          <w:rFonts w:hint="eastAsia" w:ascii="宋体" w:hAnsi="宋体" w:eastAsia="宋体" w:cs="宋体"/>
          <w:b/>
          <w:bCs/>
          <w:color w:val="auto"/>
          <w:sz w:val="28"/>
          <w:szCs w:val="28"/>
          <w:highlight w:val="none"/>
          <w:lang w:val="en-US" w:eastAsia="zh-CN"/>
        </w:rPr>
        <w:t>响应文件初审</w:t>
      </w:r>
    </w:p>
    <w:p w14:paraId="657E6F43">
      <w:pPr>
        <w:spacing w:line="400" w:lineRule="exact"/>
        <w:ind w:firstLine="354" w:firstLineChars="147"/>
        <w:outlineLvl w:val="1"/>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eastAsia="zh-CN"/>
        </w:rPr>
        <w:t>资格性审查:</w:t>
      </w:r>
    </w:p>
    <w:p w14:paraId="3DC113FD">
      <w:pPr>
        <w:spacing w:line="400" w:lineRule="exact"/>
        <w:ind w:firstLine="352" w:firstLineChars="147"/>
        <w:outlineLvl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1评审细则</w:t>
      </w:r>
    </w:p>
    <w:p w14:paraId="7811897A">
      <w:pPr>
        <w:pStyle w:val="38"/>
        <w:rPr>
          <w:rFonts w:hint="eastAsia"/>
          <w:lang w:val="en-US" w:eastAsia="zh-CN"/>
        </w:rPr>
      </w:pPr>
    </w:p>
    <w:tbl>
      <w:tblPr>
        <w:tblStyle w:val="50"/>
        <w:tblpPr w:leftFromText="180" w:rightFromText="180" w:vertAnchor="text" w:horzAnchor="page" w:tblpX="1417" w:tblpY="38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5281"/>
        <w:gridCol w:w="1304"/>
        <w:gridCol w:w="1273"/>
      </w:tblGrid>
      <w:tr w14:paraId="786D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81" w:type="dxa"/>
            <w:vMerge w:val="restart"/>
            <w:noWrap w:val="0"/>
            <w:vAlign w:val="center"/>
          </w:tcPr>
          <w:p w14:paraId="224D8117">
            <w:pPr>
              <w:shd w:val="clear" w:color="auto" w:fill="auto"/>
              <w:ind w:left="0" w:leftChars="0" w:right="206" w:rightChars="98" w:firstLine="0" w:firstLineChars="0"/>
              <w:jc w:val="center"/>
              <w:rPr>
                <w:rFonts w:hint="eastAsia" w:ascii="宋体" w:hAnsi="宋体" w:eastAsia="宋体" w:cs="宋体"/>
                <w:color w:val="auto"/>
                <w:szCs w:val="21"/>
                <w:highlight w:val="none"/>
              </w:rPr>
            </w:pPr>
            <w:bookmarkStart w:id="33" w:name="OLE_LINK12"/>
            <w:bookmarkStart w:id="34" w:name="_Toc26666_WPSOffice_Level1"/>
            <w:bookmarkStart w:id="35" w:name="_Toc24810_WPSOffice_Level1"/>
            <w:r>
              <w:rPr>
                <w:rFonts w:hint="eastAsia" w:ascii="宋体" w:hAnsi="宋体" w:eastAsia="宋体" w:cs="宋体"/>
                <w:color w:val="auto"/>
                <w:szCs w:val="21"/>
                <w:highlight w:val="none"/>
              </w:rPr>
              <w:t>审</w:t>
            </w:r>
          </w:p>
          <w:p w14:paraId="1ACDC01A">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14:paraId="0118EE5C">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14:paraId="32BAEF53">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p w14:paraId="0FA0C876">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w:t>
            </w:r>
          </w:p>
          <w:p w14:paraId="721C8DBC">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w:t>
            </w:r>
          </w:p>
          <w:p w14:paraId="51578F5B">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于</w:t>
            </w:r>
          </w:p>
          <w:p w14:paraId="2F93580E">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p>
          <w:p w14:paraId="3C47F962">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p w14:paraId="10AB79A7">
            <w:pPr>
              <w:shd w:val="clear" w:color="auto" w:fill="auto"/>
              <w:ind w:left="0" w:leftChars="0" w:right="206" w:rightChars="98"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w:t>
            </w:r>
          </w:p>
          <w:p w14:paraId="4688F445">
            <w:pPr>
              <w:jc w:val="center"/>
              <w:rPr>
                <w:rFonts w:ascii="仿宋" w:hAnsi="仿宋" w:eastAsia="仿宋" w:cs="仿宋"/>
                <w:b/>
                <w:color w:val="auto"/>
                <w:sz w:val="24"/>
                <w:szCs w:val="24"/>
                <w:highlight w:val="none"/>
              </w:rPr>
            </w:pPr>
            <w:r>
              <w:rPr>
                <w:rFonts w:hint="eastAsia" w:ascii="宋体" w:hAnsi="宋体" w:eastAsia="宋体" w:cs="宋体"/>
                <w:color w:val="auto"/>
                <w:szCs w:val="21"/>
                <w:highlight w:val="none"/>
              </w:rPr>
              <w:t>审</w:t>
            </w:r>
            <w:bookmarkEnd w:id="33"/>
            <w:r>
              <w:rPr>
                <w:rFonts w:hint="eastAsia" w:ascii="宋体" w:hAnsi="宋体" w:eastAsia="宋体" w:cs="宋体"/>
                <w:color w:val="auto"/>
                <w:szCs w:val="21"/>
                <w:highlight w:val="none"/>
              </w:rPr>
              <w:t>)</w:t>
            </w:r>
          </w:p>
        </w:tc>
        <w:tc>
          <w:tcPr>
            <w:tcW w:w="5828" w:type="dxa"/>
            <w:gridSpan w:val="2"/>
            <w:vMerge w:val="restart"/>
            <w:noWrap w:val="0"/>
            <w:vAlign w:val="center"/>
          </w:tcPr>
          <w:p w14:paraId="46B72C79">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2577" w:type="dxa"/>
            <w:gridSpan w:val="2"/>
            <w:noWrap w:val="0"/>
            <w:vAlign w:val="center"/>
          </w:tcPr>
          <w:p w14:paraId="326EF9A9">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14:paraId="4CF6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81" w:type="dxa"/>
            <w:vMerge w:val="continue"/>
            <w:noWrap w:val="0"/>
            <w:vAlign w:val="center"/>
          </w:tcPr>
          <w:p w14:paraId="1637D020">
            <w:pPr>
              <w:rPr>
                <w:rFonts w:ascii="仿宋" w:hAnsi="仿宋" w:eastAsia="仿宋" w:cs="仿宋"/>
                <w:color w:val="auto"/>
                <w:sz w:val="24"/>
                <w:szCs w:val="24"/>
                <w:highlight w:val="none"/>
              </w:rPr>
            </w:pPr>
          </w:p>
        </w:tc>
        <w:tc>
          <w:tcPr>
            <w:tcW w:w="5828" w:type="dxa"/>
            <w:gridSpan w:val="2"/>
            <w:vMerge w:val="continue"/>
            <w:noWrap w:val="0"/>
            <w:vAlign w:val="top"/>
          </w:tcPr>
          <w:p w14:paraId="3BA675DE">
            <w:pPr>
              <w:rPr>
                <w:rFonts w:ascii="仿宋" w:hAnsi="仿宋" w:eastAsia="仿宋" w:cs="仿宋"/>
                <w:color w:val="auto"/>
                <w:sz w:val="24"/>
                <w:szCs w:val="24"/>
                <w:highlight w:val="none"/>
              </w:rPr>
            </w:pPr>
          </w:p>
        </w:tc>
        <w:tc>
          <w:tcPr>
            <w:tcW w:w="1304" w:type="dxa"/>
            <w:noWrap w:val="0"/>
            <w:vAlign w:val="center"/>
          </w:tcPr>
          <w:p w14:paraId="3D372714">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1273" w:type="dxa"/>
            <w:noWrap w:val="0"/>
            <w:vAlign w:val="center"/>
          </w:tcPr>
          <w:p w14:paraId="5CE152E3">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14:paraId="7790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81" w:type="dxa"/>
            <w:vMerge w:val="continue"/>
            <w:noWrap w:val="0"/>
            <w:vAlign w:val="center"/>
          </w:tcPr>
          <w:p w14:paraId="7B0FF9CB">
            <w:pPr>
              <w:jc w:val="center"/>
              <w:rPr>
                <w:rFonts w:ascii="仿宋" w:hAnsi="仿宋" w:eastAsia="仿宋" w:cs="仿宋"/>
                <w:color w:val="auto"/>
                <w:sz w:val="24"/>
                <w:szCs w:val="24"/>
                <w:highlight w:val="none"/>
                <w:lang w:eastAsia="zh-CN"/>
              </w:rPr>
            </w:pPr>
          </w:p>
        </w:tc>
        <w:tc>
          <w:tcPr>
            <w:tcW w:w="547" w:type="dxa"/>
            <w:noWrap w:val="0"/>
            <w:vAlign w:val="center"/>
          </w:tcPr>
          <w:p w14:paraId="6BB46027">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5281" w:type="dxa"/>
            <w:noWrap w:val="0"/>
            <w:vAlign w:val="center"/>
          </w:tcPr>
          <w:p w14:paraId="412BC638">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具备三证合一营业执照副本；</w:t>
            </w:r>
            <w:r>
              <w:rPr>
                <w:rFonts w:hint="eastAsia" w:ascii="仿宋" w:hAnsi="仿宋" w:eastAsia="仿宋" w:cs="仿宋"/>
                <w:color w:val="auto"/>
                <w:highlight w:val="none"/>
                <w:lang w:val="en-US" w:eastAsia="zh-CN"/>
              </w:rPr>
              <w:tab/>
            </w:r>
          </w:p>
        </w:tc>
        <w:tc>
          <w:tcPr>
            <w:tcW w:w="1304" w:type="dxa"/>
            <w:noWrap w:val="0"/>
            <w:vAlign w:val="top"/>
          </w:tcPr>
          <w:p w14:paraId="7F900CD8">
            <w:pPr>
              <w:widowControl/>
              <w:shd w:val="clear" w:color="auto" w:fill="auto"/>
              <w:jc w:val="left"/>
              <w:textAlignment w:val="center"/>
              <w:rPr>
                <w:rFonts w:hint="eastAsia" w:ascii="仿宋" w:hAnsi="仿宋" w:eastAsia="仿宋" w:cs="仿宋"/>
                <w:color w:val="auto"/>
                <w:highlight w:val="none"/>
                <w:lang w:eastAsia="zh-CN"/>
              </w:rPr>
            </w:pPr>
          </w:p>
        </w:tc>
        <w:tc>
          <w:tcPr>
            <w:tcW w:w="1273" w:type="dxa"/>
            <w:noWrap w:val="0"/>
            <w:vAlign w:val="top"/>
          </w:tcPr>
          <w:p w14:paraId="117CA57B">
            <w:pPr>
              <w:widowControl/>
              <w:shd w:val="clear" w:color="auto" w:fill="auto"/>
              <w:jc w:val="left"/>
              <w:textAlignment w:val="center"/>
              <w:rPr>
                <w:rFonts w:hint="eastAsia" w:ascii="仿宋" w:hAnsi="仿宋" w:eastAsia="仿宋" w:cs="仿宋"/>
                <w:color w:val="auto"/>
                <w:highlight w:val="none"/>
                <w:lang w:eastAsia="zh-CN"/>
              </w:rPr>
            </w:pPr>
          </w:p>
        </w:tc>
      </w:tr>
      <w:tr w14:paraId="5882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81" w:type="dxa"/>
            <w:vMerge w:val="continue"/>
            <w:noWrap w:val="0"/>
            <w:vAlign w:val="center"/>
          </w:tcPr>
          <w:p w14:paraId="4DF268F4">
            <w:pPr>
              <w:rPr>
                <w:rFonts w:ascii="仿宋" w:hAnsi="仿宋" w:eastAsia="仿宋" w:cs="仿宋"/>
                <w:color w:val="auto"/>
                <w:sz w:val="24"/>
                <w:szCs w:val="24"/>
                <w:highlight w:val="none"/>
                <w:lang w:eastAsia="zh-CN"/>
              </w:rPr>
            </w:pPr>
          </w:p>
        </w:tc>
        <w:tc>
          <w:tcPr>
            <w:tcW w:w="547" w:type="dxa"/>
            <w:noWrap w:val="0"/>
            <w:vAlign w:val="center"/>
          </w:tcPr>
          <w:p w14:paraId="16EC4A6E">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5281" w:type="dxa"/>
            <w:noWrap w:val="0"/>
            <w:vAlign w:val="center"/>
          </w:tcPr>
          <w:p w14:paraId="66FE8184">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法定代表人投标需提供法定代表人资格证明书，委托代理人投标需提供法定代表人授权委托书；</w:t>
            </w:r>
          </w:p>
        </w:tc>
        <w:tc>
          <w:tcPr>
            <w:tcW w:w="1304" w:type="dxa"/>
            <w:noWrap w:val="0"/>
            <w:vAlign w:val="top"/>
          </w:tcPr>
          <w:p w14:paraId="39BDF58A">
            <w:pPr>
              <w:widowControl/>
              <w:shd w:val="clear" w:color="auto" w:fill="auto"/>
              <w:jc w:val="left"/>
              <w:textAlignment w:val="center"/>
              <w:rPr>
                <w:rFonts w:hint="eastAsia" w:ascii="仿宋" w:hAnsi="仿宋" w:eastAsia="仿宋" w:cs="仿宋"/>
                <w:color w:val="auto"/>
                <w:highlight w:val="none"/>
                <w:lang w:eastAsia="zh-CN"/>
              </w:rPr>
            </w:pPr>
          </w:p>
        </w:tc>
        <w:tc>
          <w:tcPr>
            <w:tcW w:w="1273" w:type="dxa"/>
            <w:noWrap w:val="0"/>
            <w:vAlign w:val="top"/>
          </w:tcPr>
          <w:p w14:paraId="0C081F03">
            <w:pPr>
              <w:widowControl/>
              <w:shd w:val="clear" w:color="auto" w:fill="auto"/>
              <w:jc w:val="left"/>
              <w:textAlignment w:val="center"/>
              <w:rPr>
                <w:rFonts w:hint="eastAsia" w:ascii="仿宋" w:hAnsi="仿宋" w:eastAsia="仿宋" w:cs="仿宋"/>
                <w:color w:val="auto"/>
                <w:highlight w:val="none"/>
                <w:lang w:eastAsia="zh-CN"/>
              </w:rPr>
            </w:pPr>
          </w:p>
        </w:tc>
      </w:tr>
      <w:tr w14:paraId="4A05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81" w:type="dxa"/>
            <w:vMerge w:val="continue"/>
            <w:noWrap w:val="0"/>
            <w:vAlign w:val="center"/>
          </w:tcPr>
          <w:p w14:paraId="4DF914EF">
            <w:pPr>
              <w:rPr>
                <w:rFonts w:ascii="仿宋" w:hAnsi="仿宋" w:eastAsia="仿宋" w:cs="仿宋"/>
                <w:color w:val="auto"/>
                <w:sz w:val="24"/>
                <w:szCs w:val="24"/>
                <w:highlight w:val="none"/>
                <w:lang w:eastAsia="zh-CN"/>
              </w:rPr>
            </w:pPr>
          </w:p>
        </w:tc>
        <w:tc>
          <w:tcPr>
            <w:tcW w:w="547" w:type="dxa"/>
            <w:noWrap w:val="0"/>
            <w:vAlign w:val="center"/>
          </w:tcPr>
          <w:p w14:paraId="14D51C22">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5281" w:type="dxa"/>
            <w:noWrap w:val="0"/>
            <w:vAlign w:val="center"/>
          </w:tcPr>
          <w:p w14:paraId="0FC24CA4">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投标企业须提供投标人（被授权在职人员）近6个月内任意一个月有效的社保证明；</w:t>
            </w:r>
          </w:p>
        </w:tc>
        <w:tc>
          <w:tcPr>
            <w:tcW w:w="1304" w:type="dxa"/>
            <w:noWrap w:val="0"/>
            <w:vAlign w:val="top"/>
          </w:tcPr>
          <w:p w14:paraId="7C20151B">
            <w:pPr>
              <w:widowControl/>
              <w:shd w:val="clear" w:color="auto" w:fill="auto"/>
              <w:jc w:val="left"/>
              <w:textAlignment w:val="center"/>
              <w:rPr>
                <w:rFonts w:hint="eastAsia" w:ascii="仿宋" w:hAnsi="仿宋" w:eastAsia="仿宋" w:cs="仿宋"/>
                <w:color w:val="auto"/>
                <w:highlight w:val="none"/>
                <w:lang w:eastAsia="zh-CN"/>
              </w:rPr>
            </w:pPr>
          </w:p>
        </w:tc>
        <w:tc>
          <w:tcPr>
            <w:tcW w:w="1273" w:type="dxa"/>
            <w:noWrap w:val="0"/>
            <w:vAlign w:val="top"/>
          </w:tcPr>
          <w:p w14:paraId="3DE93507">
            <w:pPr>
              <w:widowControl/>
              <w:shd w:val="clear" w:color="auto" w:fill="auto"/>
              <w:jc w:val="left"/>
              <w:textAlignment w:val="center"/>
              <w:rPr>
                <w:rFonts w:hint="eastAsia" w:ascii="仿宋" w:hAnsi="仿宋" w:eastAsia="仿宋" w:cs="仿宋"/>
                <w:color w:val="auto"/>
                <w:highlight w:val="none"/>
                <w:lang w:eastAsia="zh-CN"/>
              </w:rPr>
            </w:pPr>
          </w:p>
        </w:tc>
      </w:tr>
      <w:tr w14:paraId="368C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81" w:type="dxa"/>
            <w:vMerge w:val="continue"/>
            <w:noWrap w:val="0"/>
            <w:vAlign w:val="center"/>
          </w:tcPr>
          <w:p w14:paraId="0CE62E4E">
            <w:pPr>
              <w:rPr>
                <w:rFonts w:ascii="仿宋" w:hAnsi="仿宋" w:eastAsia="仿宋" w:cs="仿宋"/>
                <w:color w:val="auto"/>
                <w:sz w:val="24"/>
                <w:szCs w:val="24"/>
                <w:highlight w:val="none"/>
                <w:lang w:eastAsia="zh-CN"/>
              </w:rPr>
            </w:pPr>
          </w:p>
        </w:tc>
        <w:tc>
          <w:tcPr>
            <w:tcW w:w="547" w:type="dxa"/>
            <w:noWrap w:val="0"/>
            <w:vAlign w:val="center"/>
          </w:tcPr>
          <w:p w14:paraId="787F2374">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5281" w:type="dxa"/>
            <w:noWrap w:val="0"/>
            <w:vAlign w:val="center"/>
          </w:tcPr>
          <w:p w14:paraId="7AB80E23">
            <w:pPr>
              <w:widowControl/>
              <w:shd w:val="clear" w:color="auto" w:fill="auto"/>
              <w:jc w:val="left"/>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未被“信用中国”（www.creditchina.gov.cn）、中国政府采购网（www.ccgp.gov.cn）列入失信被执行人、重大税收违法案件当事人名单、政府采购严重违法失信行为记录名单；</w:t>
            </w:r>
          </w:p>
        </w:tc>
        <w:tc>
          <w:tcPr>
            <w:tcW w:w="1304" w:type="dxa"/>
            <w:noWrap w:val="0"/>
            <w:vAlign w:val="top"/>
          </w:tcPr>
          <w:p w14:paraId="338F9C7E">
            <w:pPr>
              <w:widowControl/>
              <w:shd w:val="clear" w:color="auto" w:fill="auto"/>
              <w:jc w:val="left"/>
              <w:textAlignment w:val="center"/>
              <w:rPr>
                <w:rFonts w:hint="eastAsia" w:ascii="仿宋" w:hAnsi="仿宋" w:eastAsia="仿宋" w:cs="仿宋"/>
                <w:color w:val="auto"/>
                <w:highlight w:val="none"/>
                <w:lang w:eastAsia="zh-CN"/>
              </w:rPr>
            </w:pPr>
          </w:p>
        </w:tc>
        <w:tc>
          <w:tcPr>
            <w:tcW w:w="1273" w:type="dxa"/>
            <w:noWrap w:val="0"/>
            <w:vAlign w:val="top"/>
          </w:tcPr>
          <w:p w14:paraId="30DAB714">
            <w:pPr>
              <w:widowControl/>
              <w:shd w:val="clear" w:color="auto" w:fill="auto"/>
              <w:jc w:val="left"/>
              <w:textAlignment w:val="center"/>
              <w:rPr>
                <w:rFonts w:hint="eastAsia" w:ascii="仿宋" w:hAnsi="仿宋" w:eastAsia="仿宋" w:cs="仿宋"/>
                <w:color w:val="auto"/>
                <w:highlight w:val="none"/>
                <w:lang w:eastAsia="zh-CN"/>
              </w:rPr>
            </w:pPr>
          </w:p>
        </w:tc>
      </w:tr>
      <w:tr w14:paraId="6576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81" w:type="dxa"/>
            <w:vMerge w:val="continue"/>
            <w:noWrap w:val="0"/>
            <w:vAlign w:val="center"/>
          </w:tcPr>
          <w:p w14:paraId="4CA381A4">
            <w:pPr>
              <w:rPr>
                <w:rFonts w:ascii="仿宋" w:hAnsi="仿宋" w:eastAsia="仿宋" w:cs="仿宋"/>
                <w:color w:val="auto"/>
                <w:sz w:val="24"/>
                <w:szCs w:val="24"/>
                <w:highlight w:val="none"/>
                <w:lang w:eastAsia="zh-CN"/>
              </w:rPr>
            </w:pPr>
          </w:p>
        </w:tc>
        <w:tc>
          <w:tcPr>
            <w:tcW w:w="547" w:type="dxa"/>
            <w:noWrap w:val="0"/>
            <w:vAlign w:val="center"/>
          </w:tcPr>
          <w:p w14:paraId="6FA00176">
            <w:pPr>
              <w:widowControl/>
              <w:shd w:val="clear" w:color="auto" w:fill="auto"/>
              <w:jc w:val="left"/>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5281" w:type="dxa"/>
            <w:noWrap w:val="0"/>
            <w:vAlign w:val="center"/>
          </w:tcPr>
          <w:p w14:paraId="3712C8E9">
            <w:pPr>
              <w:widowControl/>
              <w:shd w:val="clear" w:color="auto" w:fill="auto"/>
              <w:jc w:val="left"/>
              <w:textAlignment w:val="center"/>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投标保证金缴纳凭证或保函等票据</w:t>
            </w:r>
            <w:r>
              <w:rPr>
                <w:rFonts w:hint="eastAsia" w:ascii="仿宋" w:hAnsi="仿宋" w:eastAsia="仿宋" w:cs="仿宋"/>
                <w:color w:val="auto"/>
                <w:highlight w:val="none"/>
                <w:lang w:val="en-US" w:eastAsia="zh-CN"/>
              </w:rPr>
              <w:t>。</w:t>
            </w:r>
          </w:p>
        </w:tc>
        <w:tc>
          <w:tcPr>
            <w:tcW w:w="1304" w:type="dxa"/>
            <w:noWrap w:val="0"/>
            <w:vAlign w:val="top"/>
          </w:tcPr>
          <w:p w14:paraId="4E178D2C">
            <w:pPr>
              <w:widowControl/>
              <w:shd w:val="clear" w:color="auto" w:fill="auto"/>
              <w:jc w:val="left"/>
              <w:textAlignment w:val="center"/>
              <w:rPr>
                <w:rFonts w:hint="eastAsia" w:ascii="仿宋" w:hAnsi="仿宋" w:eastAsia="仿宋" w:cs="仿宋"/>
                <w:color w:val="auto"/>
                <w:highlight w:val="none"/>
                <w:lang w:eastAsia="zh-CN"/>
              </w:rPr>
            </w:pPr>
          </w:p>
        </w:tc>
        <w:tc>
          <w:tcPr>
            <w:tcW w:w="1273" w:type="dxa"/>
            <w:noWrap w:val="0"/>
            <w:vAlign w:val="top"/>
          </w:tcPr>
          <w:p w14:paraId="0EEE79A0">
            <w:pPr>
              <w:widowControl/>
              <w:shd w:val="clear" w:color="auto" w:fill="auto"/>
              <w:jc w:val="left"/>
              <w:textAlignment w:val="center"/>
              <w:rPr>
                <w:rFonts w:hint="eastAsia" w:ascii="仿宋" w:hAnsi="仿宋" w:eastAsia="仿宋" w:cs="仿宋"/>
                <w:color w:val="auto"/>
                <w:highlight w:val="none"/>
                <w:lang w:eastAsia="zh-CN"/>
              </w:rPr>
            </w:pPr>
          </w:p>
        </w:tc>
      </w:tr>
      <w:tr w14:paraId="2CB0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81" w:type="dxa"/>
            <w:vMerge w:val="continue"/>
            <w:noWrap w:val="0"/>
            <w:vAlign w:val="center"/>
          </w:tcPr>
          <w:p w14:paraId="5CE2FBF1">
            <w:pPr>
              <w:rPr>
                <w:rFonts w:ascii="仿宋" w:hAnsi="仿宋" w:eastAsia="仿宋" w:cs="仿宋"/>
                <w:color w:val="auto"/>
                <w:sz w:val="24"/>
                <w:szCs w:val="24"/>
                <w:highlight w:val="none"/>
                <w:lang w:eastAsia="zh-CN"/>
              </w:rPr>
            </w:pPr>
          </w:p>
        </w:tc>
        <w:tc>
          <w:tcPr>
            <w:tcW w:w="547" w:type="dxa"/>
            <w:noWrap w:val="0"/>
            <w:vAlign w:val="center"/>
          </w:tcPr>
          <w:p w14:paraId="50B9AC54">
            <w:pPr>
              <w:widowControl/>
              <w:shd w:val="clear" w:color="auto" w:fill="auto"/>
              <w:jc w:val="left"/>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5281" w:type="dxa"/>
            <w:noWrap w:val="0"/>
            <w:vAlign w:val="center"/>
          </w:tcPr>
          <w:p w14:paraId="62F8F068">
            <w:pPr>
              <w:widowControl/>
              <w:shd w:val="clear" w:color="auto" w:fill="auto"/>
              <w:jc w:val="left"/>
              <w:textAlignment w:val="center"/>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供应商需提供有效的《</w:t>
            </w:r>
            <w:r>
              <w:rPr>
                <w:rFonts w:hint="eastAsia" w:ascii="仿宋" w:hAnsi="仿宋" w:eastAsia="仿宋" w:cs="仿宋"/>
                <w:color w:val="auto"/>
                <w:highlight w:val="none"/>
                <w:lang w:val="en-US" w:eastAsia="zh-CN"/>
              </w:rPr>
              <w:t>二类</w:t>
            </w:r>
            <w:r>
              <w:rPr>
                <w:rFonts w:hint="default" w:ascii="仿宋" w:hAnsi="仿宋" w:eastAsia="仿宋" w:cs="仿宋"/>
                <w:color w:val="auto"/>
                <w:highlight w:val="none"/>
                <w:lang w:val="en-US" w:eastAsia="zh-CN"/>
              </w:rPr>
              <w:t>医疗器械生产许可证》或《</w:t>
            </w:r>
            <w:r>
              <w:rPr>
                <w:rFonts w:hint="eastAsia" w:ascii="仿宋" w:hAnsi="仿宋" w:eastAsia="仿宋" w:cs="仿宋"/>
                <w:color w:val="auto"/>
                <w:highlight w:val="none"/>
                <w:lang w:val="en-US" w:eastAsia="zh-CN"/>
              </w:rPr>
              <w:t>二类</w:t>
            </w:r>
            <w:r>
              <w:rPr>
                <w:rFonts w:hint="default" w:ascii="仿宋" w:hAnsi="仿宋" w:eastAsia="仿宋" w:cs="仿宋"/>
                <w:color w:val="auto"/>
                <w:highlight w:val="none"/>
                <w:lang w:val="en-US" w:eastAsia="zh-CN"/>
              </w:rPr>
              <w:t>医疗器械经营许可证》；</w:t>
            </w:r>
          </w:p>
        </w:tc>
        <w:tc>
          <w:tcPr>
            <w:tcW w:w="1304" w:type="dxa"/>
            <w:noWrap w:val="0"/>
            <w:vAlign w:val="top"/>
          </w:tcPr>
          <w:p w14:paraId="21578840">
            <w:pPr>
              <w:widowControl/>
              <w:shd w:val="clear" w:color="auto" w:fill="auto"/>
              <w:jc w:val="left"/>
              <w:textAlignment w:val="center"/>
              <w:rPr>
                <w:rFonts w:hint="eastAsia" w:ascii="仿宋" w:hAnsi="仿宋" w:eastAsia="仿宋" w:cs="仿宋"/>
                <w:color w:val="auto"/>
                <w:highlight w:val="none"/>
                <w:lang w:eastAsia="zh-CN"/>
              </w:rPr>
            </w:pPr>
          </w:p>
        </w:tc>
        <w:tc>
          <w:tcPr>
            <w:tcW w:w="1273" w:type="dxa"/>
            <w:noWrap w:val="0"/>
            <w:vAlign w:val="top"/>
          </w:tcPr>
          <w:p w14:paraId="79C3EB44">
            <w:pPr>
              <w:widowControl/>
              <w:shd w:val="clear" w:color="auto" w:fill="auto"/>
              <w:jc w:val="left"/>
              <w:textAlignment w:val="center"/>
              <w:rPr>
                <w:rFonts w:hint="eastAsia" w:ascii="仿宋" w:hAnsi="仿宋" w:eastAsia="仿宋" w:cs="仿宋"/>
                <w:color w:val="auto"/>
                <w:highlight w:val="none"/>
                <w:lang w:eastAsia="zh-CN"/>
              </w:rPr>
            </w:pPr>
          </w:p>
        </w:tc>
      </w:tr>
      <w:tr w14:paraId="2DF1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81" w:type="dxa"/>
            <w:vMerge w:val="continue"/>
            <w:noWrap w:val="0"/>
            <w:vAlign w:val="center"/>
          </w:tcPr>
          <w:p w14:paraId="54B5630F">
            <w:pPr>
              <w:rPr>
                <w:rFonts w:ascii="仿宋" w:hAnsi="仿宋" w:eastAsia="仿宋" w:cs="仿宋"/>
                <w:color w:val="auto"/>
                <w:sz w:val="24"/>
                <w:szCs w:val="24"/>
                <w:highlight w:val="none"/>
                <w:lang w:eastAsia="zh-CN"/>
              </w:rPr>
            </w:pPr>
          </w:p>
        </w:tc>
        <w:tc>
          <w:tcPr>
            <w:tcW w:w="547" w:type="dxa"/>
            <w:noWrap w:val="0"/>
            <w:vAlign w:val="center"/>
          </w:tcPr>
          <w:p w14:paraId="64EB0020">
            <w:pPr>
              <w:widowControl/>
              <w:shd w:val="clear" w:color="auto" w:fill="auto"/>
              <w:jc w:val="left"/>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5281" w:type="dxa"/>
            <w:noWrap w:val="0"/>
            <w:vAlign w:val="center"/>
          </w:tcPr>
          <w:p w14:paraId="12A29EF5">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供应商应为中小企业</w:t>
            </w:r>
          </w:p>
        </w:tc>
        <w:tc>
          <w:tcPr>
            <w:tcW w:w="2577" w:type="dxa"/>
            <w:gridSpan w:val="2"/>
            <w:noWrap w:val="0"/>
            <w:vAlign w:val="top"/>
          </w:tcPr>
          <w:p w14:paraId="4F47BC94">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请根据要求单独上传《中小企业声明函》。格式以采购文件要求为准。</w:t>
            </w:r>
          </w:p>
        </w:tc>
      </w:tr>
      <w:tr w14:paraId="4B09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81" w:type="dxa"/>
            <w:vMerge w:val="continue"/>
            <w:noWrap w:val="0"/>
            <w:vAlign w:val="center"/>
          </w:tcPr>
          <w:p w14:paraId="05F89ABF">
            <w:pPr>
              <w:jc w:val="center"/>
              <w:rPr>
                <w:rFonts w:ascii="仿宋" w:hAnsi="仿宋" w:eastAsia="仿宋" w:cs="仿宋"/>
                <w:color w:val="auto"/>
                <w:sz w:val="24"/>
                <w:szCs w:val="24"/>
                <w:highlight w:val="none"/>
                <w:lang w:eastAsia="zh-CN"/>
              </w:rPr>
            </w:pPr>
          </w:p>
        </w:tc>
        <w:tc>
          <w:tcPr>
            <w:tcW w:w="8405" w:type="dxa"/>
            <w:gridSpan w:val="4"/>
            <w:noWrap w:val="0"/>
            <w:vAlign w:val="top"/>
          </w:tcPr>
          <w:p w14:paraId="76D633DE">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结论：是否通过评审（须填写通过或不通过）</w:t>
            </w:r>
          </w:p>
          <w:p w14:paraId="66E97AB6">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注：如有一项不合格，作废标处理。</w:t>
            </w:r>
          </w:p>
        </w:tc>
      </w:tr>
      <w:bookmarkEnd w:id="34"/>
      <w:bookmarkEnd w:id="35"/>
    </w:tbl>
    <w:p w14:paraId="6CB8E220">
      <w:pPr>
        <w:shd w:val="clear" w:color="auto" w:fill="auto"/>
        <w:ind w:left="0" w:leftChars="0" w:right="206" w:rightChars="98" w:firstLine="0" w:firstLineChars="0"/>
        <w:rPr>
          <w:rFonts w:hint="eastAsia" w:ascii="宋体" w:hAnsi="宋体" w:eastAsia="宋体" w:cs="宋体"/>
          <w:color w:val="auto"/>
          <w:szCs w:val="21"/>
          <w:highlight w:val="none"/>
        </w:rPr>
      </w:pPr>
    </w:p>
    <w:p w14:paraId="66D505AC">
      <w:pPr>
        <w:shd w:val="clear" w:color="auto" w:fill="auto"/>
        <w:ind w:left="0" w:leftChars="0" w:right="206" w:rightChars="98" w:firstLine="0" w:firstLineChars="0"/>
        <w:rPr>
          <w:rFonts w:hint="eastAsia" w:ascii="宋体" w:hAnsi="宋体" w:eastAsia="宋体" w:cs="宋体"/>
          <w:color w:val="auto"/>
          <w:szCs w:val="21"/>
          <w:highlight w:val="none"/>
        </w:rPr>
      </w:pPr>
    </w:p>
    <w:p w14:paraId="40CEE4AA">
      <w:pPr>
        <w:shd w:val="clear" w:color="auto" w:fill="auto"/>
        <w:ind w:left="0" w:leftChars="0" w:right="206" w:rightChars="98" w:firstLine="0" w:firstLineChars="0"/>
        <w:rPr>
          <w:rFonts w:hint="eastAsia" w:ascii="宋体" w:hAnsi="宋体" w:eastAsia="宋体" w:cs="宋体"/>
          <w:color w:val="auto"/>
          <w:szCs w:val="21"/>
          <w:highlight w:val="none"/>
        </w:rPr>
      </w:pPr>
    </w:p>
    <w:p w14:paraId="314E3DBA">
      <w:pPr>
        <w:spacing w:line="400" w:lineRule="exact"/>
        <w:ind w:firstLine="506" w:firstLineChars="241"/>
        <w:rPr>
          <w:rFonts w:ascii="仿宋" w:hAnsi="仿宋" w:eastAsia="仿宋" w:cs="仿宋"/>
          <w:b/>
          <w:color w:val="auto"/>
          <w:sz w:val="24"/>
          <w:szCs w:val="24"/>
          <w:highlight w:val="none"/>
          <w:lang w:eastAsia="zh-CN"/>
        </w:rPr>
      </w:pPr>
      <w:r>
        <w:rPr>
          <w:rFonts w:hint="eastAsia" w:ascii="宋体" w:hAnsi="宋体" w:eastAsia="宋体" w:cs="宋体"/>
          <w:color w:val="auto"/>
          <w:szCs w:val="21"/>
          <w:highlight w:val="none"/>
          <w:lang w:val="en-US" w:eastAsia="zh-CN"/>
        </w:rPr>
        <w:t>1.2</w:t>
      </w:r>
      <w:r>
        <w:rPr>
          <w:rFonts w:hint="eastAsia" w:ascii="仿宋" w:hAnsi="仿宋" w:eastAsia="仿宋" w:cs="仿宋"/>
          <w:b/>
          <w:color w:val="auto"/>
          <w:sz w:val="24"/>
          <w:szCs w:val="24"/>
          <w:highlight w:val="none"/>
          <w:lang w:eastAsia="zh-CN"/>
        </w:rPr>
        <w:t>如评标专家在检验电子标书过程中，如果由于投标人自身原因导致评标专家无法查看并检验电子标书中以上相关资料的，否决其投标。即使投标单位将原件携带至现场的，同样按无效投标处理。</w:t>
      </w:r>
    </w:p>
    <w:p w14:paraId="39E438A9">
      <w:pPr>
        <w:shd w:val="clear" w:color="auto" w:fill="auto"/>
        <w:ind w:left="0" w:leftChars="0" w:right="206" w:rightChars="98" w:firstLine="0" w:firstLineChars="0"/>
        <w:rPr>
          <w:rFonts w:hint="default" w:ascii="宋体" w:hAnsi="宋体" w:eastAsia="宋体" w:cs="宋体"/>
          <w:color w:val="auto"/>
          <w:szCs w:val="21"/>
          <w:highlight w:val="none"/>
          <w:lang w:val="en-US" w:eastAsia="zh-CN"/>
        </w:rPr>
      </w:pPr>
    </w:p>
    <w:p w14:paraId="4599B54B">
      <w:pPr>
        <w:pStyle w:val="38"/>
        <w:rPr>
          <w:rFonts w:hint="default"/>
          <w:lang w:val="en-US" w:eastAsia="zh-CN"/>
        </w:rPr>
      </w:pPr>
    </w:p>
    <w:p w14:paraId="6D4A0776">
      <w:pPr>
        <w:shd w:val="clear" w:color="auto" w:fill="auto"/>
        <w:ind w:left="0" w:leftChars="0" w:right="206" w:rightChars="98" w:firstLine="0" w:firstLineChars="0"/>
        <w:rPr>
          <w:rFonts w:hint="eastAsia" w:ascii="宋体" w:hAnsi="宋体" w:eastAsia="宋体" w:cs="宋体"/>
          <w:color w:val="auto"/>
          <w:szCs w:val="21"/>
          <w:highlight w:val="none"/>
        </w:rPr>
      </w:pPr>
    </w:p>
    <w:p w14:paraId="6B103FEE">
      <w:pPr>
        <w:pStyle w:val="4"/>
        <w:outlineLvl w:val="9"/>
        <w:rPr>
          <w:rFonts w:hint="eastAsia" w:ascii="宋体" w:hAnsi="宋体" w:eastAsia="宋体" w:cs="宋体"/>
          <w:color w:val="auto"/>
          <w:szCs w:val="21"/>
          <w:highlight w:val="none"/>
        </w:rPr>
      </w:pPr>
    </w:p>
    <w:p w14:paraId="1FCA3319">
      <w:pPr>
        <w:rPr>
          <w:rFonts w:hint="eastAsia"/>
          <w:color w:val="auto"/>
        </w:rPr>
      </w:pPr>
    </w:p>
    <w:p w14:paraId="2A16C445">
      <w:pPr>
        <w:shd w:val="clear" w:color="auto" w:fill="auto"/>
        <w:ind w:left="0" w:leftChars="0" w:right="206" w:rightChars="98" w:firstLine="0" w:firstLineChars="0"/>
        <w:rPr>
          <w:rFonts w:hint="eastAsia" w:ascii="宋体" w:hAnsi="宋体" w:eastAsia="宋体" w:cs="宋体"/>
          <w:color w:val="auto"/>
          <w:szCs w:val="21"/>
          <w:highlight w:val="none"/>
        </w:rPr>
      </w:pPr>
    </w:p>
    <w:p w14:paraId="5BA24012">
      <w:pPr>
        <w:pStyle w:val="38"/>
        <w:rPr>
          <w:rFonts w:hint="eastAsia" w:ascii="宋体" w:hAnsi="宋体" w:eastAsia="宋体" w:cs="宋体"/>
          <w:color w:val="auto"/>
          <w:szCs w:val="21"/>
          <w:highlight w:val="none"/>
        </w:rPr>
      </w:pPr>
    </w:p>
    <w:p w14:paraId="4FA7B0C1">
      <w:pPr>
        <w:rPr>
          <w:rFonts w:hint="eastAsia" w:ascii="宋体" w:hAnsi="宋体" w:eastAsia="宋体" w:cs="宋体"/>
          <w:color w:val="auto"/>
          <w:szCs w:val="21"/>
          <w:highlight w:val="none"/>
        </w:rPr>
      </w:pPr>
    </w:p>
    <w:p w14:paraId="220A49DB">
      <w:pPr>
        <w:pStyle w:val="38"/>
        <w:rPr>
          <w:rFonts w:hint="eastAsia" w:ascii="宋体" w:hAnsi="宋体" w:eastAsia="宋体" w:cs="宋体"/>
          <w:color w:val="auto"/>
          <w:szCs w:val="21"/>
          <w:highlight w:val="none"/>
        </w:rPr>
      </w:pPr>
    </w:p>
    <w:p w14:paraId="629668ED">
      <w:pPr>
        <w:rPr>
          <w:rFonts w:hint="eastAsia" w:ascii="宋体" w:hAnsi="宋体" w:eastAsia="宋体" w:cs="宋体"/>
          <w:color w:val="auto"/>
          <w:szCs w:val="21"/>
          <w:highlight w:val="none"/>
        </w:rPr>
      </w:pPr>
    </w:p>
    <w:p w14:paraId="2789CB85">
      <w:pPr>
        <w:pStyle w:val="38"/>
        <w:rPr>
          <w:rFonts w:hint="eastAsia" w:ascii="宋体" w:hAnsi="宋体" w:eastAsia="宋体" w:cs="宋体"/>
          <w:color w:val="auto"/>
          <w:szCs w:val="21"/>
          <w:highlight w:val="none"/>
        </w:rPr>
      </w:pPr>
    </w:p>
    <w:p w14:paraId="7BA9186F">
      <w:pPr>
        <w:shd w:val="clear" w:color="auto" w:fill="auto"/>
        <w:ind w:left="0" w:leftChars="0" w:right="206" w:rightChars="98" w:firstLine="0" w:firstLineChars="0"/>
        <w:outlineLvl w:val="9"/>
        <w:rPr>
          <w:rFonts w:hint="eastAsia" w:ascii="宋体" w:hAnsi="宋体" w:eastAsia="宋体" w:cs="宋体"/>
          <w:color w:val="auto"/>
          <w:szCs w:val="21"/>
          <w:highlight w:val="none"/>
        </w:rPr>
      </w:pPr>
      <w:bookmarkStart w:id="36" w:name="_Toc3480"/>
      <w:bookmarkStart w:id="37" w:name="_Toc30333"/>
    </w:p>
    <w:p w14:paraId="0AEF6089">
      <w:pPr>
        <w:shd w:val="clear" w:color="auto" w:fill="auto"/>
        <w:ind w:left="0" w:leftChars="0" w:right="206" w:rightChars="98" w:firstLine="0" w:firstLineChars="0"/>
        <w:outlineLvl w:val="9"/>
        <w:rPr>
          <w:rFonts w:hint="eastAsia" w:ascii="宋体" w:hAnsi="宋体" w:eastAsia="宋体" w:cs="宋体"/>
          <w:b/>
          <w:bCs/>
          <w:color w:val="auto"/>
          <w:szCs w:val="21"/>
          <w:highlight w:val="none"/>
        </w:rPr>
      </w:pPr>
    </w:p>
    <w:bookmarkEnd w:id="36"/>
    <w:bookmarkEnd w:id="37"/>
    <w:p w14:paraId="16937F1C">
      <w:pPr>
        <w:shd w:val="clear" w:color="auto" w:fill="auto"/>
        <w:ind w:left="0" w:leftChars="0" w:right="206" w:rightChars="98" w:firstLine="0" w:firstLineChars="0"/>
        <w:jc w:val="center"/>
        <w:outlineLvl w:val="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符合性审查</w:t>
      </w:r>
    </w:p>
    <w:p w14:paraId="663DDCE9">
      <w:pPr>
        <w:pStyle w:val="38"/>
        <w:numPr>
          <w:ilvl w:val="0"/>
          <w:numId w:val="5"/>
        </w:numPr>
        <w:outlineLvl w:val="2"/>
        <w:rPr>
          <w:rFonts w:hint="default" w:eastAsia="仿宋"/>
          <w:b w:val="0"/>
          <w:bCs w:val="0"/>
          <w:lang w:val="en-US" w:eastAsia="zh-CN"/>
        </w:rPr>
      </w:pPr>
      <w:r>
        <w:rPr>
          <w:rFonts w:hint="eastAsia" w:eastAsia="仿宋"/>
          <w:b w:val="0"/>
          <w:bCs w:val="0"/>
          <w:lang w:val="en-US" w:eastAsia="zh-CN"/>
        </w:rPr>
        <w:t>1评审细则</w:t>
      </w:r>
    </w:p>
    <w:tbl>
      <w:tblPr>
        <w:tblStyle w:val="50"/>
        <w:tblpPr w:leftFromText="180" w:rightFromText="180" w:vertAnchor="text" w:horzAnchor="page" w:tblpXSpec="center" w:tblpY="544"/>
        <w:tblW w:w="94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6"/>
        <w:gridCol w:w="598"/>
        <w:gridCol w:w="6395"/>
        <w:gridCol w:w="750"/>
        <w:gridCol w:w="619"/>
      </w:tblGrid>
      <w:tr w14:paraId="76A86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1096" w:type="dxa"/>
            <w:vMerge w:val="restart"/>
            <w:tcBorders>
              <w:top w:val="single" w:color="auto" w:sz="4" w:space="0"/>
              <w:left w:val="single" w:color="auto" w:sz="4" w:space="0"/>
            </w:tcBorders>
            <w:noWrap w:val="0"/>
            <w:vAlign w:val="center"/>
          </w:tcPr>
          <w:p w14:paraId="35BFBAAA">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93" w:type="dxa"/>
            <w:gridSpan w:val="2"/>
            <w:vMerge w:val="restart"/>
            <w:tcBorders>
              <w:top w:val="single" w:color="auto" w:sz="4" w:space="0"/>
            </w:tcBorders>
            <w:noWrap w:val="0"/>
            <w:vAlign w:val="center"/>
          </w:tcPr>
          <w:p w14:paraId="4C01028F">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9" w:type="dxa"/>
            <w:gridSpan w:val="2"/>
            <w:tcBorders>
              <w:top w:val="single" w:color="auto" w:sz="4" w:space="0"/>
              <w:right w:val="single" w:color="auto" w:sz="4" w:space="0"/>
            </w:tcBorders>
            <w:noWrap w:val="0"/>
            <w:vAlign w:val="center"/>
          </w:tcPr>
          <w:p w14:paraId="4855E2AB">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45DE9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1096" w:type="dxa"/>
            <w:vMerge w:val="continue"/>
            <w:tcBorders>
              <w:left w:val="single" w:color="auto" w:sz="4" w:space="0"/>
              <w:bottom w:val="single" w:color="auto" w:sz="4" w:space="0"/>
            </w:tcBorders>
            <w:noWrap w:val="0"/>
            <w:vAlign w:val="center"/>
          </w:tcPr>
          <w:p w14:paraId="5A01FE30">
            <w:pPr>
              <w:spacing w:line="240" w:lineRule="auto"/>
              <w:rPr>
                <w:rFonts w:ascii="仿宋" w:hAnsi="仿宋" w:eastAsia="仿宋" w:cs="仿宋"/>
                <w:color w:val="auto"/>
                <w:highlight w:val="none"/>
              </w:rPr>
            </w:pPr>
          </w:p>
        </w:tc>
        <w:tc>
          <w:tcPr>
            <w:tcW w:w="6993" w:type="dxa"/>
            <w:gridSpan w:val="2"/>
            <w:vMerge w:val="continue"/>
            <w:tcBorders>
              <w:bottom w:val="single" w:color="auto" w:sz="4" w:space="0"/>
            </w:tcBorders>
            <w:noWrap w:val="0"/>
            <w:vAlign w:val="top"/>
          </w:tcPr>
          <w:p w14:paraId="27D68BF9">
            <w:pPr>
              <w:spacing w:line="240" w:lineRule="auto"/>
              <w:rPr>
                <w:rFonts w:ascii="仿宋" w:hAnsi="仿宋" w:eastAsia="仿宋" w:cs="仿宋"/>
                <w:color w:val="auto"/>
                <w:highlight w:val="none"/>
              </w:rPr>
            </w:pPr>
          </w:p>
        </w:tc>
        <w:tc>
          <w:tcPr>
            <w:tcW w:w="750" w:type="dxa"/>
            <w:noWrap w:val="0"/>
            <w:vAlign w:val="center"/>
          </w:tcPr>
          <w:p w14:paraId="60D649A3">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9" w:type="dxa"/>
            <w:tcBorders>
              <w:right w:val="single" w:color="auto" w:sz="4" w:space="0"/>
            </w:tcBorders>
            <w:noWrap w:val="0"/>
            <w:vAlign w:val="center"/>
          </w:tcPr>
          <w:p w14:paraId="2CF7C95D">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0A1C6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096" w:type="dxa"/>
            <w:vMerge w:val="restart"/>
            <w:tcBorders>
              <w:top w:val="single" w:color="auto" w:sz="4" w:space="0"/>
              <w:left w:val="single" w:color="auto" w:sz="4" w:space="0"/>
              <w:right w:val="single" w:color="auto" w:sz="4" w:space="0"/>
            </w:tcBorders>
            <w:noWrap w:val="0"/>
            <w:vAlign w:val="center"/>
          </w:tcPr>
          <w:p w14:paraId="548331DF">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08376A1D">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7C13E7DC">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31677E6D">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8" w:type="dxa"/>
            <w:tcBorders>
              <w:top w:val="single" w:color="auto" w:sz="4" w:space="0"/>
              <w:left w:val="single" w:color="auto" w:sz="4" w:space="0"/>
              <w:right w:val="single" w:color="auto" w:sz="4" w:space="0"/>
            </w:tcBorders>
            <w:noWrap w:val="0"/>
            <w:vAlign w:val="center"/>
          </w:tcPr>
          <w:p w14:paraId="40C8CE6C">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95" w:type="dxa"/>
            <w:tcBorders>
              <w:top w:val="single" w:color="auto" w:sz="4" w:space="0"/>
              <w:left w:val="single" w:color="auto" w:sz="4" w:space="0"/>
              <w:right w:val="single" w:color="auto" w:sz="4" w:space="0"/>
            </w:tcBorders>
            <w:noWrap w:val="0"/>
            <w:vAlign w:val="center"/>
          </w:tcPr>
          <w:p w14:paraId="37908AD4">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50" w:type="dxa"/>
            <w:tcBorders>
              <w:left w:val="single" w:color="auto" w:sz="4" w:space="0"/>
              <w:right w:val="single" w:color="auto" w:sz="4" w:space="0"/>
            </w:tcBorders>
            <w:noWrap w:val="0"/>
            <w:vAlign w:val="top"/>
          </w:tcPr>
          <w:p w14:paraId="0318806A">
            <w:pPr>
              <w:spacing w:line="240" w:lineRule="auto"/>
              <w:jc w:val="center"/>
              <w:rPr>
                <w:rFonts w:ascii="仿宋" w:hAnsi="仿宋" w:eastAsia="仿宋" w:cs="仿宋"/>
                <w:b/>
                <w:color w:val="auto"/>
                <w:szCs w:val="21"/>
                <w:highlight w:val="none"/>
                <w:lang w:eastAsia="zh-CN"/>
              </w:rPr>
            </w:pPr>
          </w:p>
        </w:tc>
        <w:tc>
          <w:tcPr>
            <w:tcW w:w="619" w:type="dxa"/>
            <w:tcBorders>
              <w:left w:val="single" w:color="auto" w:sz="4" w:space="0"/>
              <w:right w:val="single" w:color="auto" w:sz="4" w:space="0"/>
            </w:tcBorders>
            <w:noWrap w:val="0"/>
            <w:vAlign w:val="top"/>
          </w:tcPr>
          <w:p w14:paraId="479AD839">
            <w:pPr>
              <w:spacing w:line="240" w:lineRule="auto"/>
              <w:jc w:val="center"/>
              <w:rPr>
                <w:rFonts w:ascii="仿宋" w:hAnsi="仿宋" w:eastAsia="仿宋" w:cs="仿宋"/>
                <w:b/>
                <w:color w:val="auto"/>
                <w:szCs w:val="21"/>
                <w:highlight w:val="none"/>
                <w:lang w:eastAsia="zh-CN"/>
              </w:rPr>
            </w:pPr>
          </w:p>
        </w:tc>
      </w:tr>
      <w:tr w14:paraId="79C81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096" w:type="dxa"/>
            <w:vMerge w:val="continue"/>
            <w:tcBorders>
              <w:left w:val="single" w:color="auto" w:sz="4" w:space="0"/>
              <w:right w:val="single" w:color="auto" w:sz="4" w:space="0"/>
            </w:tcBorders>
            <w:noWrap w:val="0"/>
            <w:vAlign w:val="center"/>
          </w:tcPr>
          <w:p w14:paraId="6FC981B3">
            <w:pPr>
              <w:spacing w:line="240" w:lineRule="auto"/>
              <w:rPr>
                <w:rFonts w:ascii="仿宋" w:hAnsi="仿宋" w:eastAsia="仿宋" w:cs="仿宋"/>
                <w:color w:val="auto"/>
                <w:highlight w:val="none"/>
                <w:lang w:eastAsia="zh-CN"/>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3C492E39">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95" w:type="dxa"/>
            <w:tcBorders>
              <w:top w:val="single" w:color="auto" w:sz="4" w:space="0"/>
              <w:left w:val="single" w:color="auto" w:sz="4" w:space="0"/>
              <w:bottom w:val="single" w:color="auto" w:sz="4" w:space="0"/>
              <w:right w:val="single" w:color="auto" w:sz="4" w:space="0"/>
            </w:tcBorders>
            <w:noWrap w:val="0"/>
            <w:vAlign w:val="center"/>
          </w:tcPr>
          <w:p w14:paraId="56E2C10C">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法定代表人身份证明及授权委托书有效，且符合竞争性谈判文件规定的格式。</w:t>
            </w:r>
          </w:p>
        </w:tc>
        <w:tc>
          <w:tcPr>
            <w:tcW w:w="750" w:type="dxa"/>
            <w:tcBorders>
              <w:left w:val="single" w:color="auto" w:sz="4" w:space="0"/>
            </w:tcBorders>
            <w:noWrap w:val="0"/>
            <w:vAlign w:val="top"/>
          </w:tcPr>
          <w:p w14:paraId="4BD150D6">
            <w:pPr>
              <w:spacing w:line="240" w:lineRule="auto"/>
              <w:rPr>
                <w:rFonts w:ascii="仿宋" w:hAnsi="仿宋" w:eastAsia="仿宋" w:cs="仿宋"/>
                <w:color w:val="auto"/>
                <w:szCs w:val="21"/>
                <w:highlight w:val="none"/>
                <w:lang w:eastAsia="zh-CN"/>
              </w:rPr>
            </w:pPr>
          </w:p>
        </w:tc>
        <w:tc>
          <w:tcPr>
            <w:tcW w:w="619" w:type="dxa"/>
            <w:tcBorders>
              <w:right w:val="single" w:color="auto" w:sz="4" w:space="0"/>
            </w:tcBorders>
            <w:noWrap w:val="0"/>
            <w:vAlign w:val="top"/>
          </w:tcPr>
          <w:p w14:paraId="0F0B1250">
            <w:pPr>
              <w:spacing w:line="240" w:lineRule="auto"/>
              <w:rPr>
                <w:rFonts w:ascii="仿宋" w:hAnsi="仿宋" w:eastAsia="仿宋" w:cs="仿宋"/>
                <w:color w:val="auto"/>
                <w:szCs w:val="21"/>
                <w:highlight w:val="none"/>
                <w:lang w:eastAsia="zh-CN"/>
              </w:rPr>
            </w:pPr>
          </w:p>
        </w:tc>
      </w:tr>
      <w:tr w14:paraId="65498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96" w:type="dxa"/>
            <w:vMerge w:val="continue"/>
            <w:tcBorders>
              <w:left w:val="single" w:color="auto" w:sz="4" w:space="0"/>
              <w:right w:val="single" w:color="auto" w:sz="4" w:space="0"/>
            </w:tcBorders>
            <w:noWrap w:val="0"/>
            <w:vAlign w:val="center"/>
          </w:tcPr>
          <w:p w14:paraId="2B9BCF2F">
            <w:pPr>
              <w:spacing w:line="240" w:lineRule="auto"/>
              <w:rPr>
                <w:rFonts w:ascii="仿宋" w:hAnsi="仿宋" w:eastAsia="仿宋" w:cs="仿宋"/>
                <w:color w:val="auto"/>
                <w:highlight w:val="none"/>
                <w:lang w:eastAsia="zh-CN"/>
              </w:rPr>
            </w:pPr>
          </w:p>
        </w:tc>
        <w:tc>
          <w:tcPr>
            <w:tcW w:w="598" w:type="dxa"/>
            <w:tcBorders>
              <w:top w:val="single" w:color="auto" w:sz="4" w:space="0"/>
              <w:left w:val="single" w:color="auto" w:sz="4" w:space="0"/>
              <w:right w:val="single" w:color="auto" w:sz="4" w:space="0"/>
            </w:tcBorders>
            <w:noWrap w:val="0"/>
            <w:vAlign w:val="center"/>
          </w:tcPr>
          <w:p w14:paraId="06016185">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95" w:type="dxa"/>
            <w:tcBorders>
              <w:top w:val="single" w:color="auto" w:sz="4" w:space="0"/>
              <w:left w:val="single" w:color="auto" w:sz="4" w:space="0"/>
              <w:right w:val="single" w:color="auto" w:sz="4" w:space="0"/>
            </w:tcBorders>
            <w:noWrap w:val="0"/>
            <w:vAlign w:val="center"/>
          </w:tcPr>
          <w:p w14:paraId="14991766">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50" w:type="dxa"/>
            <w:tcBorders>
              <w:left w:val="single" w:color="auto" w:sz="4" w:space="0"/>
            </w:tcBorders>
            <w:noWrap w:val="0"/>
            <w:vAlign w:val="top"/>
          </w:tcPr>
          <w:p w14:paraId="09D41280">
            <w:pPr>
              <w:spacing w:line="240" w:lineRule="auto"/>
              <w:rPr>
                <w:rFonts w:ascii="仿宋" w:hAnsi="仿宋" w:eastAsia="仿宋" w:cs="仿宋"/>
                <w:color w:val="auto"/>
                <w:szCs w:val="21"/>
                <w:highlight w:val="none"/>
              </w:rPr>
            </w:pPr>
          </w:p>
        </w:tc>
        <w:tc>
          <w:tcPr>
            <w:tcW w:w="619" w:type="dxa"/>
            <w:tcBorders>
              <w:right w:val="single" w:color="auto" w:sz="4" w:space="0"/>
            </w:tcBorders>
            <w:noWrap w:val="0"/>
            <w:vAlign w:val="top"/>
          </w:tcPr>
          <w:p w14:paraId="5F9A91E6">
            <w:pPr>
              <w:spacing w:line="240" w:lineRule="auto"/>
              <w:rPr>
                <w:rFonts w:ascii="仿宋" w:hAnsi="仿宋" w:eastAsia="仿宋" w:cs="仿宋"/>
                <w:color w:val="auto"/>
                <w:szCs w:val="21"/>
                <w:highlight w:val="none"/>
              </w:rPr>
            </w:pPr>
          </w:p>
        </w:tc>
      </w:tr>
      <w:tr w14:paraId="6C57C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096" w:type="dxa"/>
            <w:vMerge w:val="continue"/>
            <w:tcBorders>
              <w:left w:val="single" w:color="auto" w:sz="4" w:space="0"/>
              <w:right w:val="single" w:color="auto" w:sz="4" w:space="0"/>
            </w:tcBorders>
            <w:noWrap w:val="0"/>
            <w:vAlign w:val="center"/>
          </w:tcPr>
          <w:p w14:paraId="358901E9">
            <w:pPr>
              <w:spacing w:line="240" w:lineRule="auto"/>
              <w:rPr>
                <w:rFonts w:ascii="仿宋" w:hAnsi="仿宋" w:eastAsia="仿宋" w:cs="仿宋"/>
                <w:color w:val="auto"/>
                <w:highlight w:val="none"/>
              </w:rPr>
            </w:pPr>
          </w:p>
        </w:tc>
        <w:tc>
          <w:tcPr>
            <w:tcW w:w="598" w:type="dxa"/>
            <w:tcBorders>
              <w:left w:val="single" w:color="auto" w:sz="4" w:space="0"/>
            </w:tcBorders>
            <w:noWrap w:val="0"/>
            <w:vAlign w:val="center"/>
          </w:tcPr>
          <w:p w14:paraId="45F29EFD">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95" w:type="dxa"/>
            <w:tcBorders>
              <w:right w:val="single" w:color="auto" w:sz="4" w:space="0"/>
            </w:tcBorders>
            <w:noWrap w:val="0"/>
            <w:vAlign w:val="center"/>
          </w:tcPr>
          <w:p w14:paraId="5EF17A0B">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响应文件内容齐全、无遗漏。</w:t>
            </w:r>
          </w:p>
        </w:tc>
        <w:tc>
          <w:tcPr>
            <w:tcW w:w="750" w:type="dxa"/>
            <w:tcBorders>
              <w:left w:val="single" w:color="auto" w:sz="4" w:space="0"/>
            </w:tcBorders>
            <w:noWrap w:val="0"/>
            <w:vAlign w:val="top"/>
          </w:tcPr>
          <w:p w14:paraId="56A9D8E2">
            <w:pPr>
              <w:spacing w:line="240" w:lineRule="auto"/>
              <w:rPr>
                <w:rFonts w:ascii="仿宋" w:hAnsi="仿宋" w:eastAsia="仿宋" w:cs="仿宋"/>
                <w:color w:val="auto"/>
                <w:szCs w:val="21"/>
                <w:highlight w:val="none"/>
                <w:lang w:eastAsia="zh-CN"/>
              </w:rPr>
            </w:pPr>
          </w:p>
        </w:tc>
        <w:tc>
          <w:tcPr>
            <w:tcW w:w="619" w:type="dxa"/>
            <w:tcBorders>
              <w:right w:val="single" w:color="auto" w:sz="4" w:space="0"/>
            </w:tcBorders>
            <w:noWrap w:val="0"/>
            <w:vAlign w:val="top"/>
          </w:tcPr>
          <w:p w14:paraId="00B595F9">
            <w:pPr>
              <w:spacing w:line="240" w:lineRule="auto"/>
              <w:rPr>
                <w:rFonts w:ascii="仿宋" w:hAnsi="仿宋" w:eastAsia="仿宋" w:cs="仿宋"/>
                <w:color w:val="auto"/>
                <w:szCs w:val="21"/>
                <w:highlight w:val="none"/>
                <w:lang w:eastAsia="zh-CN"/>
              </w:rPr>
            </w:pPr>
          </w:p>
        </w:tc>
      </w:tr>
      <w:tr w14:paraId="67B54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096" w:type="dxa"/>
            <w:vMerge w:val="continue"/>
            <w:tcBorders>
              <w:left w:val="single" w:color="auto" w:sz="4" w:space="0"/>
              <w:right w:val="single" w:color="auto" w:sz="4" w:space="0"/>
            </w:tcBorders>
            <w:noWrap w:val="0"/>
            <w:vAlign w:val="center"/>
          </w:tcPr>
          <w:p w14:paraId="0E8766DC">
            <w:pPr>
              <w:spacing w:line="240" w:lineRule="auto"/>
              <w:rPr>
                <w:rFonts w:ascii="仿宋" w:hAnsi="仿宋" w:eastAsia="仿宋" w:cs="仿宋"/>
                <w:color w:val="auto"/>
                <w:highlight w:val="none"/>
                <w:lang w:eastAsia="zh-CN"/>
              </w:rPr>
            </w:pPr>
          </w:p>
        </w:tc>
        <w:tc>
          <w:tcPr>
            <w:tcW w:w="598" w:type="dxa"/>
            <w:tcBorders>
              <w:left w:val="single" w:color="auto" w:sz="4" w:space="0"/>
              <w:bottom w:val="single" w:color="auto" w:sz="4" w:space="0"/>
            </w:tcBorders>
            <w:noWrap w:val="0"/>
            <w:vAlign w:val="center"/>
          </w:tcPr>
          <w:p w14:paraId="228CB341">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95" w:type="dxa"/>
            <w:tcBorders>
              <w:bottom w:val="single" w:color="auto" w:sz="4" w:space="0"/>
              <w:right w:val="single" w:color="auto" w:sz="4" w:space="0"/>
            </w:tcBorders>
            <w:noWrap w:val="0"/>
            <w:vAlign w:val="center"/>
          </w:tcPr>
          <w:p w14:paraId="49B1FF5C">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对竞争性谈判文件规定的招标内容全部作出响应。</w:t>
            </w:r>
          </w:p>
        </w:tc>
        <w:tc>
          <w:tcPr>
            <w:tcW w:w="750" w:type="dxa"/>
            <w:tcBorders>
              <w:left w:val="single" w:color="auto" w:sz="4" w:space="0"/>
              <w:bottom w:val="single" w:color="auto" w:sz="4" w:space="0"/>
            </w:tcBorders>
            <w:noWrap w:val="0"/>
            <w:vAlign w:val="top"/>
          </w:tcPr>
          <w:p w14:paraId="6FF0CF4D">
            <w:pPr>
              <w:spacing w:line="240" w:lineRule="auto"/>
              <w:rPr>
                <w:rFonts w:ascii="仿宋" w:hAnsi="仿宋" w:eastAsia="仿宋" w:cs="仿宋"/>
                <w:color w:val="auto"/>
                <w:szCs w:val="21"/>
                <w:highlight w:val="none"/>
                <w:lang w:eastAsia="zh-CN"/>
              </w:rPr>
            </w:pPr>
          </w:p>
        </w:tc>
        <w:tc>
          <w:tcPr>
            <w:tcW w:w="619" w:type="dxa"/>
            <w:tcBorders>
              <w:bottom w:val="single" w:color="auto" w:sz="4" w:space="0"/>
              <w:right w:val="single" w:color="auto" w:sz="4" w:space="0"/>
            </w:tcBorders>
            <w:noWrap w:val="0"/>
            <w:vAlign w:val="top"/>
          </w:tcPr>
          <w:p w14:paraId="066AD776">
            <w:pPr>
              <w:spacing w:line="240" w:lineRule="auto"/>
              <w:rPr>
                <w:rFonts w:ascii="仿宋" w:hAnsi="仿宋" w:eastAsia="仿宋" w:cs="仿宋"/>
                <w:color w:val="auto"/>
                <w:szCs w:val="21"/>
                <w:highlight w:val="none"/>
                <w:lang w:eastAsia="zh-CN"/>
              </w:rPr>
            </w:pPr>
          </w:p>
        </w:tc>
      </w:tr>
      <w:tr w14:paraId="2C5A9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096" w:type="dxa"/>
            <w:vMerge w:val="continue"/>
            <w:tcBorders>
              <w:left w:val="single" w:color="auto" w:sz="4" w:space="0"/>
              <w:right w:val="single" w:color="auto" w:sz="4" w:space="0"/>
            </w:tcBorders>
            <w:noWrap w:val="0"/>
            <w:vAlign w:val="center"/>
          </w:tcPr>
          <w:p w14:paraId="303F2480">
            <w:pPr>
              <w:spacing w:line="240" w:lineRule="auto"/>
              <w:rPr>
                <w:rFonts w:ascii="仿宋" w:hAnsi="仿宋" w:eastAsia="仿宋" w:cs="仿宋"/>
                <w:color w:val="auto"/>
                <w:highlight w:val="none"/>
                <w:lang w:eastAsia="zh-CN"/>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0F3515C6">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95" w:type="dxa"/>
            <w:tcBorders>
              <w:top w:val="single" w:color="auto" w:sz="4" w:space="0"/>
              <w:left w:val="single" w:color="auto" w:sz="4" w:space="0"/>
              <w:bottom w:val="single" w:color="auto" w:sz="4" w:space="0"/>
              <w:right w:val="single" w:color="auto" w:sz="4" w:space="0"/>
            </w:tcBorders>
            <w:noWrap w:val="0"/>
            <w:vAlign w:val="center"/>
          </w:tcPr>
          <w:p w14:paraId="37E7A12C">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满足竞争性谈判文件提出的技术和质量要求。</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AB438F0">
            <w:pPr>
              <w:spacing w:line="240" w:lineRule="auto"/>
              <w:rPr>
                <w:rFonts w:ascii="仿宋" w:hAnsi="仿宋" w:eastAsia="仿宋" w:cs="仿宋"/>
                <w:color w:val="auto"/>
                <w:szCs w:val="21"/>
                <w:highlight w:val="none"/>
                <w:lang w:eastAsia="zh-CN"/>
              </w:rPr>
            </w:pPr>
          </w:p>
        </w:tc>
        <w:tc>
          <w:tcPr>
            <w:tcW w:w="619" w:type="dxa"/>
            <w:tcBorders>
              <w:top w:val="single" w:color="auto" w:sz="4" w:space="0"/>
              <w:left w:val="single" w:color="auto" w:sz="4" w:space="0"/>
              <w:bottom w:val="single" w:color="auto" w:sz="4" w:space="0"/>
              <w:right w:val="single" w:color="auto" w:sz="4" w:space="0"/>
            </w:tcBorders>
            <w:noWrap w:val="0"/>
            <w:vAlign w:val="top"/>
          </w:tcPr>
          <w:p w14:paraId="37AA61EB">
            <w:pPr>
              <w:spacing w:line="240" w:lineRule="auto"/>
              <w:rPr>
                <w:rFonts w:ascii="仿宋" w:hAnsi="仿宋" w:eastAsia="仿宋" w:cs="仿宋"/>
                <w:color w:val="auto"/>
                <w:szCs w:val="21"/>
                <w:highlight w:val="none"/>
                <w:lang w:eastAsia="zh-CN"/>
              </w:rPr>
            </w:pPr>
          </w:p>
        </w:tc>
      </w:tr>
      <w:tr w14:paraId="3D48B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1096" w:type="dxa"/>
            <w:vMerge w:val="continue"/>
            <w:tcBorders>
              <w:left w:val="single" w:color="auto" w:sz="4" w:space="0"/>
              <w:right w:val="single" w:color="auto" w:sz="4" w:space="0"/>
            </w:tcBorders>
            <w:noWrap w:val="0"/>
            <w:vAlign w:val="center"/>
          </w:tcPr>
          <w:p w14:paraId="2F2FE6E8">
            <w:pPr>
              <w:spacing w:line="240" w:lineRule="auto"/>
              <w:rPr>
                <w:rFonts w:ascii="仿宋" w:hAnsi="仿宋" w:eastAsia="仿宋" w:cs="仿宋"/>
                <w:color w:val="auto"/>
                <w:highlight w:val="none"/>
                <w:lang w:eastAsia="zh-CN"/>
              </w:rPr>
            </w:pPr>
          </w:p>
        </w:tc>
        <w:tc>
          <w:tcPr>
            <w:tcW w:w="598" w:type="dxa"/>
            <w:tcBorders>
              <w:top w:val="single" w:color="auto" w:sz="4" w:space="0"/>
              <w:left w:val="single" w:color="auto" w:sz="4" w:space="0"/>
            </w:tcBorders>
            <w:noWrap w:val="0"/>
            <w:vAlign w:val="center"/>
          </w:tcPr>
          <w:p w14:paraId="5350ADA7">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95" w:type="dxa"/>
            <w:tcBorders>
              <w:top w:val="single" w:color="auto" w:sz="4" w:space="0"/>
              <w:right w:val="single" w:color="auto" w:sz="4" w:space="0"/>
            </w:tcBorders>
            <w:noWrap w:val="0"/>
            <w:vAlign w:val="center"/>
          </w:tcPr>
          <w:p w14:paraId="33A5D82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供货期限满足竞争性谈判文件要求。</w:t>
            </w:r>
          </w:p>
        </w:tc>
        <w:tc>
          <w:tcPr>
            <w:tcW w:w="750" w:type="dxa"/>
            <w:tcBorders>
              <w:top w:val="single" w:color="auto" w:sz="4" w:space="0"/>
              <w:left w:val="single" w:color="auto" w:sz="4" w:space="0"/>
            </w:tcBorders>
            <w:noWrap w:val="0"/>
            <w:vAlign w:val="top"/>
          </w:tcPr>
          <w:p w14:paraId="29D9EE26">
            <w:pPr>
              <w:spacing w:line="240" w:lineRule="auto"/>
              <w:rPr>
                <w:rFonts w:ascii="仿宋" w:hAnsi="仿宋" w:eastAsia="仿宋" w:cs="仿宋"/>
                <w:color w:val="auto"/>
                <w:szCs w:val="21"/>
                <w:highlight w:val="none"/>
                <w:lang w:eastAsia="zh-CN"/>
              </w:rPr>
            </w:pPr>
          </w:p>
        </w:tc>
        <w:tc>
          <w:tcPr>
            <w:tcW w:w="619" w:type="dxa"/>
            <w:tcBorders>
              <w:top w:val="single" w:color="auto" w:sz="4" w:space="0"/>
              <w:right w:val="single" w:color="auto" w:sz="4" w:space="0"/>
            </w:tcBorders>
            <w:noWrap w:val="0"/>
            <w:vAlign w:val="top"/>
          </w:tcPr>
          <w:p w14:paraId="0A75A725">
            <w:pPr>
              <w:spacing w:line="240" w:lineRule="auto"/>
              <w:rPr>
                <w:rFonts w:ascii="仿宋" w:hAnsi="仿宋" w:eastAsia="仿宋" w:cs="仿宋"/>
                <w:color w:val="auto"/>
                <w:szCs w:val="21"/>
                <w:highlight w:val="none"/>
                <w:lang w:eastAsia="zh-CN"/>
              </w:rPr>
            </w:pPr>
          </w:p>
        </w:tc>
      </w:tr>
      <w:tr w14:paraId="41440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1096" w:type="dxa"/>
            <w:vMerge w:val="continue"/>
            <w:tcBorders>
              <w:left w:val="single" w:color="auto" w:sz="4" w:space="0"/>
              <w:right w:val="single" w:color="auto" w:sz="4" w:space="0"/>
            </w:tcBorders>
            <w:noWrap w:val="0"/>
            <w:vAlign w:val="center"/>
          </w:tcPr>
          <w:p w14:paraId="459E2807">
            <w:pPr>
              <w:spacing w:line="240" w:lineRule="auto"/>
              <w:rPr>
                <w:rFonts w:ascii="仿宋" w:hAnsi="仿宋" w:eastAsia="仿宋" w:cs="仿宋"/>
                <w:color w:val="auto"/>
                <w:highlight w:val="none"/>
                <w:lang w:eastAsia="zh-CN"/>
              </w:rPr>
            </w:pPr>
          </w:p>
        </w:tc>
        <w:tc>
          <w:tcPr>
            <w:tcW w:w="598" w:type="dxa"/>
            <w:tcBorders>
              <w:left w:val="single" w:color="auto" w:sz="4" w:space="0"/>
            </w:tcBorders>
            <w:noWrap w:val="0"/>
            <w:vAlign w:val="center"/>
          </w:tcPr>
          <w:p w14:paraId="1C630AFC">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95" w:type="dxa"/>
            <w:tcBorders>
              <w:right w:val="single" w:color="auto" w:sz="4" w:space="0"/>
            </w:tcBorders>
            <w:noWrap w:val="0"/>
            <w:vAlign w:val="center"/>
          </w:tcPr>
          <w:p w14:paraId="4647EBB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售后服务满足竞争性谈判文件要求。</w:t>
            </w:r>
          </w:p>
        </w:tc>
        <w:tc>
          <w:tcPr>
            <w:tcW w:w="750" w:type="dxa"/>
            <w:tcBorders>
              <w:left w:val="single" w:color="auto" w:sz="4" w:space="0"/>
            </w:tcBorders>
            <w:noWrap w:val="0"/>
            <w:vAlign w:val="top"/>
          </w:tcPr>
          <w:p w14:paraId="24156CE7">
            <w:pPr>
              <w:spacing w:line="240" w:lineRule="auto"/>
              <w:rPr>
                <w:rFonts w:ascii="仿宋" w:hAnsi="仿宋" w:eastAsia="仿宋" w:cs="仿宋"/>
                <w:color w:val="auto"/>
                <w:szCs w:val="21"/>
                <w:highlight w:val="none"/>
                <w:lang w:eastAsia="zh-CN"/>
              </w:rPr>
            </w:pPr>
          </w:p>
        </w:tc>
        <w:tc>
          <w:tcPr>
            <w:tcW w:w="619" w:type="dxa"/>
            <w:tcBorders>
              <w:right w:val="single" w:color="auto" w:sz="4" w:space="0"/>
            </w:tcBorders>
            <w:noWrap w:val="0"/>
            <w:vAlign w:val="top"/>
          </w:tcPr>
          <w:p w14:paraId="73A2F6AD">
            <w:pPr>
              <w:spacing w:line="240" w:lineRule="auto"/>
              <w:rPr>
                <w:rFonts w:ascii="仿宋" w:hAnsi="仿宋" w:eastAsia="仿宋" w:cs="仿宋"/>
                <w:color w:val="auto"/>
                <w:szCs w:val="21"/>
                <w:highlight w:val="none"/>
                <w:lang w:eastAsia="zh-CN"/>
              </w:rPr>
            </w:pPr>
          </w:p>
        </w:tc>
      </w:tr>
      <w:tr w14:paraId="269AB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1096" w:type="dxa"/>
            <w:vMerge w:val="continue"/>
            <w:tcBorders>
              <w:left w:val="single" w:color="auto" w:sz="4" w:space="0"/>
              <w:right w:val="single" w:color="auto" w:sz="4" w:space="0"/>
            </w:tcBorders>
            <w:noWrap w:val="0"/>
            <w:vAlign w:val="center"/>
          </w:tcPr>
          <w:p w14:paraId="1CF26A99">
            <w:pPr>
              <w:spacing w:line="240" w:lineRule="auto"/>
              <w:rPr>
                <w:rFonts w:ascii="仿宋" w:hAnsi="仿宋" w:eastAsia="仿宋" w:cs="仿宋"/>
                <w:color w:val="auto"/>
                <w:highlight w:val="none"/>
                <w:lang w:eastAsia="zh-CN"/>
              </w:rPr>
            </w:pPr>
          </w:p>
        </w:tc>
        <w:tc>
          <w:tcPr>
            <w:tcW w:w="598" w:type="dxa"/>
            <w:tcBorders>
              <w:left w:val="single" w:color="auto" w:sz="4" w:space="0"/>
            </w:tcBorders>
            <w:noWrap w:val="0"/>
            <w:vAlign w:val="center"/>
          </w:tcPr>
          <w:p w14:paraId="256E9A0D">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95" w:type="dxa"/>
            <w:tcBorders>
              <w:right w:val="single" w:color="auto" w:sz="4" w:space="0"/>
            </w:tcBorders>
            <w:noWrap w:val="0"/>
            <w:vAlign w:val="center"/>
          </w:tcPr>
          <w:p w14:paraId="409EF88B">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投标有效期满足竞争性谈判文件要求。</w:t>
            </w:r>
          </w:p>
        </w:tc>
        <w:tc>
          <w:tcPr>
            <w:tcW w:w="750" w:type="dxa"/>
            <w:tcBorders>
              <w:left w:val="single" w:color="auto" w:sz="4" w:space="0"/>
            </w:tcBorders>
            <w:noWrap w:val="0"/>
            <w:vAlign w:val="top"/>
          </w:tcPr>
          <w:p w14:paraId="78798A5D">
            <w:pPr>
              <w:spacing w:line="240" w:lineRule="auto"/>
              <w:rPr>
                <w:rFonts w:ascii="仿宋" w:hAnsi="仿宋" w:eastAsia="仿宋" w:cs="仿宋"/>
                <w:color w:val="auto"/>
                <w:szCs w:val="21"/>
                <w:highlight w:val="none"/>
                <w:lang w:eastAsia="zh-CN"/>
              </w:rPr>
            </w:pPr>
          </w:p>
        </w:tc>
        <w:tc>
          <w:tcPr>
            <w:tcW w:w="619" w:type="dxa"/>
            <w:tcBorders>
              <w:right w:val="single" w:color="auto" w:sz="4" w:space="0"/>
            </w:tcBorders>
            <w:noWrap w:val="0"/>
            <w:vAlign w:val="top"/>
          </w:tcPr>
          <w:p w14:paraId="46B23A8D">
            <w:pPr>
              <w:spacing w:line="240" w:lineRule="auto"/>
              <w:rPr>
                <w:rFonts w:ascii="仿宋" w:hAnsi="仿宋" w:eastAsia="仿宋" w:cs="仿宋"/>
                <w:color w:val="auto"/>
                <w:szCs w:val="21"/>
                <w:highlight w:val="none"/>
                <w:lang w:eastAsia="zh-CN"/>
              </w:rPr>
            </w:pPr>
          </w:p>
        </w:tc>
      </w:tr>
      <w:tr w14:paraId="29E84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1096" w:type="dxa"/>
            <w:vMerge w:val="continue"/>
            <w:tcBorders>
              <w:left w:val="single" w:color="auto" w:sz="4" w:space="0"/>
              <w:right w:val="single" w:color="auto" w:sz="4" w:space="0"/>
            </w:tcBorders>
            <w:noWrap w:val="0"/>
            <w:vAlign w:val="center"/>
          </w:tcPr>
          <w:p w14:paraId="37812EAE">
            <w:pPr>
              <w:spacing w:line="240" w:lineRule="auto"/>
              <w:rPr>
                <w:rFonts w:ascii="仿宋" w:hAnsi="仿宋" w:eastAsia="仿宋" w:cs="仿宋"/>
                <w:color w:val="auto"/>
                <w:highlight w:val="none"/>
                <w:lang w:eastAsia="zh-CN"/>
              </w:rPr>
            </w:pPr>
          </w:p>
        </w:tc>
        <w:tc>
          <w:tcPr>
            <w:tcW w:w="598" w:type="dxa"/>
            <w:tcBorders>
              <w:left w:val="single" w:color="auto" w:sz="4" w:space="0"/>
            </w:tcBorders>
            <w:noWrap w:val="0"/>
            <w:vAlign w:val="center"/>
          </w:tcPr>
          <w:p w14:paraId="1F80D966">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95" w:type="dxa"/>
            <w:tcBorders>
              <w:right w:val="single" w:color="auto" w:sz="4" w:space="0"/>
            </w:tcBorders>
            <w:noWrap w:val="0"/>
            <w:vAlign w:val="center"/>
          </w:tcPr>
          <w:p w14:paraId="7B7FAF9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lang w:eastAsia="zh-CN"/>
              </w:rPr>
              <w:t>详细地址、联系人、电话。</w:t>
            </w:r>
          </w:p>
        </w:tc>
        <w:tc>
          <w:tcPr>
            <w:tcW w:w="750" w:type="dxa"/>
            <w:tcBorders>
              <w:left w:val="single" w:color="auto" w:sz="4" w:space="0"/>
            </w:tcBorders>
            <w:noWrap w:val="0"/>
            <w:vAlign w:val="top"/>
          </w:tcPr>
          <w:p w14:paraId="1E614A43">
            <w:pPr>
              <w:spacing w:line="240" w:lineRule="auto"/>
              <w:rPr>
                <w:rFonts w:ascii="仿宋" w:hAnsi="仿宋" w:eastAsia="仿宋" w:cs="仿宋"/>
                <w:color w:val="auto"/>
                <w:szCs w:val="21"/>
                <w:highlight w:val="none"/>
                <w:lang w:eastAsia="zh-CN"/>
              </w:rPr>
            </w:pPr>
          </w:p>
        </w:tc>
        <w:tc>
          <w:tcPr>
            <w:tcW w:w="619" w:type="dxa"/>
            <w:tcBorders>
              <w:right w:val="single" w:color="auto" w:sz="4" w:space="0"/>
            </w:tcBorders>
            <w:noWrap w:val="0"/>
            <w:vAlign w:val="top"/>
          </w:tcPr>
          <w:p w14:paraId="003012D6">
            <w:pPr>
              <w:spacing w:line="240" w:lineRule="auto"/>
              <w:rPr>
                <w:rFonts w:ascii="仿宋" w:hAnsi="仿宋" w:eastAsia="仿宋" w:cs="仿宋"/>
                <w:color w:val="auto"/>
                <w:szCs w:val="21"/>
                <w:highlight w:val="none"/>
                <w:lang w:eastAsia="zh-CN"/>
              </w:rPr>
            </w:pPr>
          </w:p>
        </w:tc>
      </w:tr>
      <w:tr w14:paraId="5FB38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1096" w:type="dxa"/>
            <w:tcBorders>
              <w:left w:val="single" w:color="auto" w:sz="4" w:space="0"/>
              <w:bottom w:val="single" w:color="auto" w:sz="4" w:space="0"/>
              <w:right w:val="single" w:color="auto" w:sz="4" w:space="0"/>
            </w:tcBorders>
            <w:noWrap w:val="0"/>
            <w:vAlign w:val="center"/>
          </w:tcPr>
          <w:p w14:paraId="5C14AB92">
            <w:pPr>
              <w:spacing w:line="240" w:lineRule="auto"/>
              <w:jc w:val="center"/>
              <w:rPr>
                <w:rFonts w:ascii="仿宋" w:hAnsi="仿宋" w:eastAsia="仿宋" w:cs="仿宋"/>
                <w:color w:val="auto"/>
                <w:szCs w:val="21"/>
                <w:highlight w:val="none"/>
                <w:lang w:eastAsia="zh-CN"/>
              </w:rPr>
            </w:pPr>
          </w:p>
        </w:tc>
        <w:tc>
          <w:tcPr>
            <w:tcW w:w="6993" w:type="dxa"/>
            <w:gridSpan w:val="2"/>
            <w:tcBorders>
              <w:left w:val="single" w:color="auto" w:sz="4" w:space="0"/>
              <w:bottom w:val="single" w:color="auto" w:sz="4" w:space="0"/>
              <w:right w:val="single" w:color="auto" w:sz="4" w:space="0"/>
            </w:tcBorders>
            <w:noWrap w:val="0"/>
            <w:vAlign w:val="top"/>
          </w:tcPr>
          <w:p w14:paraId="7948F251">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416CA215">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9" w:type="dxa"/>
            <w:gridSpan w:val="2"/>
            <w:tcBorders>
              <w:left w:val="single" w:color="auto" w:sz="4" w:space="0"/>
              <w:bottom w:val="single" w:color="auto" w:sz="4" w:space="0"/>
              <w:right w:val="single" w:color="auto" w:sz="4" w:space="0"/>
            </w:tcBorders>
            <w:noWrap w:val="0"/>
            <w:vAlign w:val="top"/>
          </w:tcPr>
          <w:p w14:paraId="7D18942F">
            <w:pPr>
              <w:spacing w:line="240" w:lineRule="auto"/>
              <w:rPr>
                <w:rFonts w:ascii="仿宋" w:hAnsi="仿宋" w:eastAsia="仿宋" w:cs="仿宋"/>
                <w:color w:val="auto"/>
                <w:szCs w:val="21"/>
                <w:highlight w:val="none"/>
                <w:lang w:eastAsia="zh-CN"/>
              </w:rPr>
            </w:pPr>
          </w:p>
        </w:tc>
      </w:tr>
    </w:tbl>
    <w:p w14:paraId="76A91725">
      <w:pPr>
        <w:pStyle w:val="38"/>
        <w:rPr>
          <w:rFonts w:hint="default" w:eastAsia="仿宋"/>
          <w:lang w:val="en-US" w:eastAsia="zh-CN"/>
        </w:rPr>
      </w:pPr>
    </w:p>
    <w:p w14:paraId="601219E8">
      <w:pPr>
        <w:shd w:val="clear" w:color="auto" w:fill="auto"/>
        <w:tabs>
          <w:tab w:val="left" w:pos="900"/>
        </w:tabs>
        <w:ind w:left="0" w:leftChars="0" w:right="206" w:rightChars="98" w:firstLine="0" w:firstLineChars="0"/>
        <w:rPr>
          <w:rFonts w:hint="eastAsia" w:ascii="宋体" w:hAnsi="宋体" w:eastAsia="宋体" w:cs="宋体"/>
          <w:color w:val="auto"/>
          <w:szCs w:val="21"/>
          <w:highlight w:val="none"/>
        </w:rPr>
      </w:pPr>
    </w:p>
    <w:p w14:paraId="52227832">
      <w:pPr>
        <w:shd w:val="clear" w:color="auto" w:fill="auto"/>
        <w:tabs>
          <w:tab w:val="left" w:pos="900"/>
        </w:tabs>
        <w:ind w:left="0" w:leftChars="0" w:right="206" w:rightChars="98" w:firstLine="0" w:firstLineChars="0"/>
        <w:rPr>
          <w:rFonts w:hint="eastAsia" w:ascii="宋体" w:hAnsi="宋体" w:eastAsia="宋体" w:cs="宋体"/>
          <w:color w:val="auto"/>
          <w:szCs w:val="21"/>
          <w:highlight w:val="none"/>
        </w:rPr>
      </w:pPr>
    </w:p>
    <w:p w14:paraId="5F5C63F4">
      <w:pPr>
        <w:numPr>
          <w:ilvl w:val="0"/>
          <w:numId w:val="0"/>
        </w:num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评委会判定</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的响应性只根据</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本身的内容，而不寻求外部的证</w:t>
      </w:r>
    </w:p>
    <w:p w14:paraId="1982ADE2">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据，但投标有不真实不正确的内容时除外。</w:t>
      </w:r>
    </w:p>
    <w:p w14:paraId="0926F422">
      <w:pPr>
        <w:spacing w:line="400" w:lineRule="exact"/>
        <w:ind w:left="420" w:left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实质上没有响应</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的要求，评委会将予以拒绝，投标人不得通过修正或撤销不符合要求的偏离或保留，而使其投标成为实质上响应的投标。</w:t>
      </w:r>
    </w:p>
    <w:p w14:paraId="1F8CAB27">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投标人可在现场20分钟内对评标委员会的评审结论提出异议，评标委员会根据</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及有关规定对投标人的异议进行复议</w:t>
      </w:r>
    </w:p>
    <w:p w14:paraId="55073836">
      <w:pPr>
        <w:spacing w:line="400" w:lineRule="exact"/>
        <w:ind w:firstLine="480" w:firstLineChars="200"/>
        <w:outlineLvl w:val="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只有通过初审的投标人才能进入下一步评标程序。</w:t>
      </w:r>
    </w:p>
    <w:p w14:paraId="48503F70">
      <w:pPr>
        <w:spacing w:beforeLines="50" w:line="400" w:lineRule="exact"/>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温馨提示：</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3B1E1D6C">
      <w:pPr>
        <w:spacing w:beforeLines="50" w:line="400" w:lineRule="exact"/>
        <w:jc w:val="center"/>
        <w:outlineLvl w:val="1"/>
        <w:rPr>
          <w:rFonts w:hint="eastAsia" w:ascii="仿宋" w:hAnsi="仿宋" w:eastAsia="仿宋" w:cs="仿宋"/>
          <w:b/>
          <w:color w:val="auto"/>
          <w:sz w:val="24"/>
          <w:szCs w:val="24"/>
          <w:highlight w:val="none"/>
        </w:rPr>
      </w:pPr>
    </w:p>
    <w:p w14:paraId="1E0C4D38">
      <w:pPr>
        <w:spacing w:beforeLines="50" w:line="400" w:lineRule="exact"/>
        <w:jc w:val="center"/>
        <w:outlineLvl w:val="1"/>
        <w:rPr>
          <w:rFonts w:hint="eastAsia" w:ascii="仿宋" w:hAnsi="仿宋" w:eastAsia="仿宋" w:cs="仿宋"/>
          <w:b/>
          <w:color w:val="auto"/>
          <w:sz w:val="24"/>
          <w:szCs w:val="24"/>
          <w:highlight w:val="none"/>
        </w:rPr>
      </w:pPr>
    </w:p>
    <w:p w14:paraId="6858F238">
      <w:pPr>
        <w:spacing w:beforeLines="50" w:line="400" w:lineRule="exact"/>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（二）响应文件</w:t>
      </w:r>
      <w:r>
        <w:rPr>
          <w:rFonts w:hint="eastAsia" w:ascii="仿宋" w:hAnsi="仿宋" w:eastAsia="仿宋" w:cs="仿宋"/>
          <w:b/>
          <w:color w:val="auto"/>
          <w:sz w:val="24"/>
          <w:szCs w:val="24"/>
          <w:highlight w:val="none"/>
        </w:rPr>
        <w:t>的澄清和补正</w:t>
      </w:r>
    </w:p>
    <w:p w14:paraId="32CD1C71">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5、澄清、说明或补正的形式</w:t>
      </w:r>
    </w:p>
    <w:p w14:paraId="59760436">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7F475B7">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60C21293">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F851DA9">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9．错误修正的原则</w:t>
      </w:r>
    </w:p>
    <w:p w14:paraId="50334737">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电子交易平台客户端里开标一览表录入的投标报价或优惠率与扫描上传的报价文件信息不一致的，以扫描上传的报价文件信息为准进行修正。</w:t>
      </w:r>
    </w:p>
    <w:p w14:paraId="623EBB84">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响应文件报价出现前后不一致的，除谈判文件 另有规定外，按照下列规定修正：</w:t>
      </w:r>
    </w:p>
    <w:p w14:paraId="2C3A70BA">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10、投标函中表述的内容与报价表中不一致的，以报价表为准；报价表中的内容与报价明细表不一致的，以报价表为准；</w:t>
      </w:r>
    </w:p>
    <w:p w14:paraId="6383F50D">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11、响应文件中的大写金额和小写金额不一致的，以大写金额为准；</w:t>
      </w:r>
    </w:p>
    <w:p w14:paraId="4C20F482">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12、单价金额小数点或者百分比有明显错位的，以开标一览表的总价为准，并修改单价；</w:t>
      </w:r>
    </w:p>
    <w:p w14:paraId="0271B321">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13、总价金额与按单价汇总金额不一致的，以单价金额计算结果为准；</w:t>
      </w:r>
    </w:p>
    <w:p w14:paraId="7BED4DB8">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14、若用文字表示的数值与用数字表示的数值不一致，以文字表示的数值为准；</w:t>
      </w:r>
    </w:p>
    <w:p w14:paraId="6032C70C">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15、如有多报（指数量超出谈判文件 需求）、重报（指同一货物重复报价），其投标总价在评标过程中不予调整，如其成交，其合同价按其投标单价予以调整；</w:t>
      </w:r>
    </w:p>
    <w:p w14:paraId="6353E22A">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16、对不同文字文本响应文件的解释发生异议的，以中文文本为准；</w:t>
      </w:r>
    </w:p>
    <w:p w14:paraId="506969C5">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3971D5EC">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17、供应商需要注意的其它事项：</w:t>
      </w:r>
    </w:p>
    <w:p w14:paraId="33D493B6">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67234E98">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2、供应商应遵守有关法律、法规，不得采取不正当的竞争手段，否则，其后果由供应商自负。</w:t>
      </w:r>
    </w:p>
    <w:p w14:paraId="7D2EF878">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3、在谈判会直至宣布结果之前，供应商不得向谈判评审专家询问谈判情况，不得进行旨在影响成交结果的活动，否则，其竞争性谈判无效并追究相应责任。</w:t>
      </w:r>
    </w:p>
    <w:p w14:paraId="7032FEE1">
      <w:pPr>
        <w:spacing w:line="440" w:lineRule="exact"/>
        <w:ind w:firstLine="480" w:firstLineChars="200"/>
        <w:rPr>
          <w:color w:val="auto"/>
          <w:sz w:val="24"/>
          <w:szCs w:val="24"/>
          <w:highlight w:val="none"/>
        </w:rPr>
      </w:pPr>
      <w:r>
        <w:rPr>
          <w:rFonts w:hint="eastAsia" w:ascii="仿宋" w:hAnsi="仿宋" w:eastAsia="仿宋" w:cs="仿宋"/>
          <w:color w:val="auto"/>
          <w:sz w:val="24"/>
          <w:szCs w:val="24"/>
          <w:highlight w:val="none"/>
          <w:lang w:eastAsia="zh-CN"/>
        </w:rPr>
        <w:t>4、本谈判文件的未尽事项，按现行的有关法律、法规及规章执行</w:t>
      </w:r>
    </w:p>
    <w:p w14:paraId="5FBF241F">
      <w:pPr>
        <w:pStyle w:val="3"/>
        <w:tabs>
          <w:tab w:val="left" w:pos="540"/>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、成交及合同签订</w:t>
      </w:r>
    </w:p>
    <w:p w14:paraId="24305A08">
      <w:pPr>
        <w:snapToGrid w:val="0"/>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）成交候选供应商推荐原则</w:t>
      </w:r>
    </w:p>
    <w:p w14:paraId="6B842324">
      <w:pPr>
        <w:numPr>
          <w:ilvl w:val="0"/>
          <w:numId w:val="6"/>
        </w:num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谈判小组”将根据评标价由低到高排列次序（若评标价相同的，按最低最终报价由低到高顺序排列；若评标价相同，且最低最终报价也相同时，按技术指标优劣顺序排列；如果技术指标也相同，评标委员会应按照少数服从多数的原则进行投票表决，确定成交候选人。）并推荐成交候选供应商名单，可推荐前三名为成交候选供应商，排名第一者为成交供应商，排名第二、第三者为成交候选供应商；</w:t>
      </w:r>
    </w:p>
    <w:p w14:paraId="7017D5BF">
      <w:pPr>
        <w:numPr>
          <w:ilvl w:val="0"/>
          <w:numId w:val="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第一</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候选供应商确定为成交供应商，如第一成交候选供应商放弃</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、或因不可抗力提出不能履行合同，或竞争性谈判采购文件规定应当提交履约保证金而在规定的期限内未能提交的，采购人可确定排名第二的成交候选供应商为成交供应商</w:t>
      </w:r>
      <w:r>
        <w:rPr>
          <w:rFonts w:hint="eastAsia" w:ascii="仿宋" w:hAnsi="仿宋" w:eastAsia="仿宋" w:cs="仿宋"/>
          <w:color w:val="auto"/>
          <w:sz w:val="24"/>
          <w:szCs w:val="24"/>
          <w:highlight w:val="none"/>
          <w:lang w:val="en-US" w:eastAsia="zh-CN"/>
        </w:rPr>
        <w:t>或重新组织采购活动</w:t>
      </w:r>
      <w:r>
        <w:rPr>
          <w:rFonts w:hint="eastAsia" w:ascii="仿宋" w:hAnsi="仿宋" w:eastAsia="仿宋" w:cs="仿宋"/>
          <w:color w:val="auto"/>
          <w:sz w:val="24"/>
          <w:szCs w:val="24"/>
          <w:highlight w:val="none"/>
        </w:rPr>
        <w:t>。</w:t>
      </w:r>
    </w:p>
    <w:p w14:paraId="6C37E4D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第二</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候选供应商因前款规定的同样原因不能签订合同的，可确定第三成交候选供应商为成交候应商</w:t>
      </w:r>
      <w:r>
        <w:rPr>
          <w:rFonts w:hint="eastAsia" w:ascii="仿宋" w:hAnsi="仿宋" w:eastAsia="仿宋" w:cs="仿宋"/>
          <w:color w:val="auto"/>
          <w:sz w:val="24"/>
          <w:szCs w:val="24"/>
          <w:highlight w:val="none"/>
          <w:lang w:val="en-US" w:eastAsia="zh-CN"/>
        </w:rPr>
        <w:t>或重新组织采购活动</w:t>
      </w:r>
      <w:r>
        <w:rPr>
          <w:rFonts w:hint="eastAsia" w:ascii="仿宋" w:hAnsi="仿宋" w:eastAsia="仿宋" w:cs="仿宋"/>
          <w:color w:val="auto"/>
          <w:sz w:val="24"/>
          <w:szCs w:val="24"/>
          <w:highlight w:val="none"/>
        </w:rPr>
        <w:t>。</w:t>
      </w:r>
    </w:p>
    <w:p w14:paraId="7346011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成交候选供应商中所投标商品为同一品牌、性能配置相同时，则以最终报价最低者成交。</w:t>
      </w:r>
    </w:p>
    <w:p w14:paraId="5DAB5B9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谈判小组认为，某投标人的有效报价明显不合理或者低于成本，有可能影响商品质量和不能诚信履约的，应要求其在规定的期限内提供书面文件予以解释说明，并提交相关证明材料，否则，谈判小组可以取消该投标人的成交候选资格，按顺序由排在后面的成交候选供应商递补，以此类推。</w:t>
      </w:r>
    </w:p>
    <w:p w14:paraId="47256E0A">
      <w:pPr>
        <w:snapToGrid w:val="0"/>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）资格条件</w:t>
      </w:r>
    </w:p>
    <w:p w14:paraId="28349B8C">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5EBC7051">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08BBFC0A">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3、如果成交候选供应商被确认为不具备执行合同的能力，采购人将考虑按同样的程序审查下一个成交候选供应商。</w:t>
      </w:r>
    </w:p>
    <w:p w14:paraId="1CBAFD82">
      <w:pPr>
        <w:snapToGrid w:val="0"/>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）成交通知书</w:t>
      </w:r>
    </w:p>
    <w:p w14:paraId="04069622">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1、定标后，经采购人同意，采购代理机构应当向</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发出成交通知书。</w:t>
      </w:r>
    </w:p>
    <w:p w14:paraId="066EA108">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应及时到采购代理机构领取成交通知书，成交通知书是签订合同的依据和组成部分。</w:t>
      </w:r>
    </w:p>
    <w:p w14:paraId="72F7655C">
      <w:pPr>
        <w:snapToGrid w:val="0"/>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）签订合同</w:t>
      </w:r>
    </w:p>
    <w:p w14:paraId="08AF7D01">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在自成交通知书发出之日起30日内，依据《中华人民共和国民法典》和有关法规及</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、响应文件与采购人签订合同。</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供应商的响应文件及服务承诺文件以及评标过程中有关澄清文件均作为合同附件，合同经采购人审核盖章后实施。</w:t>
      </w:r>
    </w:p>
    <w:p w14:paraId="47B4E9F9">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未能按</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要求与采购单位签订采购合同，逾期将视为自动放弃</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标资格，采购人将顺延下一</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候选人为</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，依次类推或依法重新进行采购。</w:t>
      </w:r>
    </w:p>
    <w:p w14:paraId="773CC89C">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采购人若发现</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w:t>
      </w:r>
      <w:bookmarkStart w:id="38" w:name="_bookmark10"/>
      <w:bookmarkEnd w:id="38"/>
      <w:r>
        <w:rPr>
          <w:rFonts w:hint="eastAsia" w:ascii="仿宋" w:hAnsi="仿宋" w:eastAsia="仿宋" w:cs="仿宋"/>
          <w:color w:val="auto"/>
          <w:sz w:val="24"/>
          <w:szCs w:val="24"/>
          <w:highlight w:val="none"/>
        </w:rPr>
        <w:t>选供应商在竞标过程中提供虚假证明文件，故意隐瞒不良信誉和财务状况，以及存在可能对合同圆满履行造成风险的其他因素等，则按规定取消其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资格，监管部门依法进行处理。</w:t>
      </w:r>
    </w:p>
    <w:p w14:paraId="1603A4DE">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候选供应商被确认为不具备执行合同的能力，采购人将考虑按同样的程序审查下一个</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候选供应商或依法重新招标。</w:t>
      </w:r>
    </w:p>
    <w:p w14:paraId="11BAE209">
      <w:pPr>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成交</w:t>
      </w:r>
      <w:r>
        <w:rPr>
          <w:rFonts w:hint="eastAsia" w:ascii="仿宋" w:hAnsi="仿宋" w:eastAsia="仿宋" w:cs="仿宋"/>
          <w:b/>
          <w:bCs/>
          <w:color w:val="auto"/>
          <w:sz w:val="24"/>
          <w:szCs w:val="24"/>
          <w:highlight w:val="none"/>
        </w:rPr>
        <w:t>服务费计算方法</w:t>
      </w:r>
    </w:p>
    <w:p w14:paraId="5CB422B8">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由</w:t>
      </w:r>
      <w:r>
        <w:rPr>
          <w:rFonts w:hint="eastAsia" w:ascii="仿宋" w:hAnsi="仿宋" w:eastAsia="仿宋" w:cs="仿宋"/>
          <w:b w:val="0"/>
          <w:bCs w:val="0"/>
          <w:color w:val="auto"/>
          <w:sz w:val="24"/>
          <w:szCs w:val="24"/>
          <w:highlight w:val="none"/>
          <w:lang w:eastAsia="zh-CN"/>
        </w:rPr>
        <w:t>成交</w:t>
      </w:r>
      <w:r>
        <w:rPr>
          <w:rFonts w:hint="eastAsia" w:ascii="仿宋" w:hAnsi="仿宋" w:eastAsia="仿宋" w:cs="仿宋"/>
          <w:b w:val="0"/>
          <w:bCs w:val="0"/>
          <w:color w:val="auto"/>
          <w:sz w:val="24"/>
          <w:szCs w:val="24"/>
          <w:highlight w:val="none"/>
        </w:rPr>
        <w:t>供应商向招标代理机构支付，详见前附表。</w:t>
      </w:r>
    </w:p>
    <w:p w14:paraId="3DE22828">
      <w:pPr>
        <w:pStyle w:val="3"/>
        <w:keepNext w:val="0"/>
        <w:keepLines w:val="0"/>
        <w:pageBreakBefore w:val="0"/>
        <w:widowControl w:val="0"/>
        <w:tabs>
          <w:tab w:val="left" w:pos="540"/>
        </w:tabs>
        <w:kinsoku/>
        <w:wordWrap/>
        <w:overflowPunct/>
        <w:topLinePunct w:val="0"/>
        <w:autoSpaceDE/>
        <w:autoSpaceDN/>
        <w:bidi w:val="0"/>
        <w:spacing w:line="336" w:lineRule="auto"/>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、法律责任</w:t>
      </w:r>
    </w:p>
    <w:p w14:paraId="203F5E41">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highlight w:val="none"/>
          <w:lang w:eastAsia="zh-CN"/>
        </w:rPr>
        <w:t>政府</w:t>
      </w:r>
      <w:r>
        <w:rPr>
          <w:rFonts w:hint="eastAsia" w:ascii="仿宋" w:hAnsi="仿宋" w:eastAsia="仿宋" w:cs="仿宋"/>
          <w:color w:val="auto"/>
          <w:sz w:val="24"/>
          <w:szCs w:val="24"/>
          <w:highlight w:val="none"/>
        </w:rPr>
        <w:t>采购活动，并予以公告，有违法所得的，并处没收违法所得，情节严重的，由行政管理机关吊销营业执照；构成犯罪的，依法追究刑事责任：</w:t>
      </w:r>
    </w:p>
    <w:p w14:paraId="7083D991">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的；</w:t>
      </w:r>
    </w:p>
    <w:p w14:paraId="7196B28F">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1F25BC50">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3、与采购人、其他供应商或采购代理机构恶意串通的；</w:t>
      </w:r>
    </w:p>
    <w:p w14:paraId="685F14E9">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4、向采购人、采购代理机构行贿或者提供其他不正当利益的；</w:t>
      </w:r>
    </w:p>
    <w:p w14:paraId="1AE85B2E">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5、在招标过程中与招标采购单位进行协商谈判、不按照</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的响应文件订立合同，或者与采购人另行订立背离合同实质性内容的协议的；</w:t>
      </w:r>
    </w:p>
    <w:p w14:paraId="355E0D02">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6、拒绝有关部门监督检查或者提供虚假情况的。供应商有前款情形之一的，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无效。</w:t>
      </w:r>
    </w:p>
    <w:p w14:paraId="4957D669">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有下列情形之一的，情节严重的，由财政部门将其列入不良行为记录名单，在一至三年内禁止参加</w:t>
      </w:r>
      <w:r>
        <w:rPr>
          <w:rFonts w:hint="eastAsia" w:ascii="仿宋" w:hAnsi="仿宋" w:eastAsia="仿宋" w:cs="仿宋"/>
          <w:color w:val="auto"/>
          <w:sz w:val="24"/>
          <w:szCs w:val="24"/>
          <w:highlight w:val="none"/>
          <w:lang w:eastAsia="zh-CN"/>
        </w:rPr>
        <w:t>政府</w:t>
      </w:r>
      <w:r>
        <w:rPr>
          <w:rFonts w:hint="eastAsia" w:ascii="仿宋" w:hAnsi="仿宋" w:eastAsia="仿宋" w:cs="仿宋"/>
          <w:color w:val="auto"/>
          <w:sz w:val="24"/>
          <w:szCs w:val="24"/>
          <w:highlight w:val="none"/>
        </w:rPr>
        <w:t>采购活动，并予以通报：</w:t>
      </w:r>
    </w:p>
    <w:p w14:paraId="2F78C941">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后无正当理由不与采购人签订合同，或者与采购人另行订立背离合同实质性内容的协议的；</w:t>
      </w:r>
    </w:p>
    <w:p w14:paraId="63C4CA01">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2、将</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项目转让给他人，或者在响应文件中未说明，且未经采购人同意，将</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项目分包给他人的；</w:t>
      </w:r>
    </w:p>
    <w:p w14:paraId="6207D04B">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3、拒绝履行合同义务的。</w:t>
      </w:r>
    </w:p>
    <w:p w14:paraId="30F90B02">
      <w:pPr>
        <w:snapToGrid w:val="0"/>
        <w:spacing w:line="360" w:lineRule="auto"/>
        <w:ind w:firstLine="480" w:firstLineChars="200"/>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有前款情形之一的，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无效。</w:t>
      </w:r>
    </w:p>
    <w:p w14:paraId="33DFDBBA">
      <w:pPr>
        <w:snapToGri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按照以上条款规定，经同级或其上级财政部门认定</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无效的，可按</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候选顺序重新确定，或重新进行采购。</w:t>
      </w:r>
    </w:p>
    <w:p w14:paraId="69914262">
      <w:pPr>
        <w:pStyle w:val="38"/>
        <w:rPr>
          <w:rFonts w:hint="eastAsia" w:ascii="仿宋" w:hAnsi="仿宋" w:eastAsia="仿宋" w:cs="仿宋"/>
          <w:color w:val="auto"/>
          <w:sz w:val="24"/>
          <w:szCs w:val="24"/>
          <w:highlight w:val="none"/>
        </w:rPr>
      </w:pPr>
    </w:p>
    <w:p w14:paraId="72B87411">
      <w:pPr>
        <w:rPr>
          <w:rFonts w:hint="eastAsia" w:ascii="仿宋" w:hAnsi="仿宋" w:eastAsia="仿宋" w:cs="仿宋"/>
          <w:color w:val="auto"/>
          <w:sz w:val="24"/>
          <w:szCs w:val="24"/>
          <w:highlight w:val="none"/>
        </w:rPr>
      </w:pPr>
    </w:p>
    <w:p w14:paraId="062F456F">
      <w:pPr>
        <w:pStyle w:val="38"/>
        <w:rPr>
          <w:rFonts w:hint="eastAsia" w:ascii="仿宋" w:hAnsi="仿宋" w:eastAsia="仿宋" w:cs="仿宋"/>
          <w:color w:val="auto"/>
          <w:sz w:val="24"/>
          <w:szCs w:val="24"/>
          <w:highlight w:val="none"/>
        </w:rPr>
      </w:pPr>
    </w:p>
    <w:p w14:paraId="29505E4D">
      <w:pPr>
        <w:rPr>
          <w:rFonts w:hint="eastAsia"/>
          <w:color w:val="auto"/>
          <w:highlight w:val="none"/>
        </w:rPr>
      </w:pPr>
    </w:p>
    <w:p w14:paraId="24462C21">
      <w:pPr>
        <w:pStyle w:val="3"/>
        <w:keepNext w:val="0"/>
        <w:keepLines w:val="0"/>
        <w:pageBreakBefore w:val="0"/>
        <w:widowControl w:val="0"/>
        <w:tabs>
          <w:tab w:val="left" w:pos="540"/>
        </w:tabs>
        <w:kinsoku/>
        <w:wordWrap/>
        <w:overflowPunct/>
        <w:topLinePunct w:val="0"/>
        <w:autoSpaceDE/>
        <w:autoSpaceDN/>
        <w:bidi w:val="0"/>
        <w:spacing w:line="336" w:lineRule="auto"/>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质疑与投诉</w:t>
      </w:r>
    </w:p>
    <w:p w14:paraId="7E535098">
      <w:pPr>
        <w:spacing w:line="36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．质疑和投诉</w:t>
      </w:r>
    </w:p>
    <w:p w14:paraId="256F2C86">
      <w:pPr>
        <w:spacing w:line="36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供应商认为采购文件、采购过程和成交、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76A2227">
      <w:pPr>
        <w:spacing w:line="36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6A4E4816">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28B14908">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（三）对成交或者成交结果提出质疑的，为成交或者成交结果公告期限届满之日。</w:t>
      </w:r>
    </w:p>
    <w:p w14:paraId="171CA5D7">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2A01FB19">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05D28FFB">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5C5E9738">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41366824">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.5供应商有下列情形之一的，采购代理机构上报至克州财政局政府采购办，将其列入不良行为记录名单：</w:t>
      </w:r>
    </w:p>
    <w:p w14:paraId="7883E683">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25E7A968">
      <w:pPr>
        <w:spacing w:line="440" w:lineRule="exact"/>
        <w:ind w:firstLine="21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6E6D6A5D">
      <w:pPr>
        <w:spacing w:line="440" w:lineRule="exact"/>
        <w:ind w:firstLine="21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604A497A">
      <w:pPr>
        <w:pStyle w:val="4"/>
        <w:rPr>
          <w:rFonts w:hint="eastAsia" w:ascii="仿宋" w:hAnsi="仿宋" w:eastAsia="仿宋" w:cs="仿宋"/>
          <w:color w:val="auto"/>
          <w:szCs w:val="21"/>
          <w:highlight w:val="none"/>
          <w:lang w:eastAsia="zh-CN"/>
        </w:rPr>
      </w:pPr>
    </w:p>
    <w:p w14:paraId="38780845">
      <w:pPr>
        <w:rPr>
          <w:rFonts w:hint="eastAsia"/>
          <w:lang w:eastAsia="zh-CN"/>
        </w:rPr>
      </w:pPr>
    </w:p>
    <w:p w14:paraId="787E7487">
      <w:pPr>
        <w:pStyle w:val="38"/>
        <w:rPr>
          <w:rFonts w:hint="eastAsia" w:ascii="仿宋" w:hAnsi="仿宋" w:eastAsia="仿宋" w:cs="仿宋"/>
          <w:color w:val="auto"/>
          <w:szCs w:val="21"/>
          <w:highlight w:val="none"/>
          <w:lang w:eastAsia="zh-CN"/>
        </w:rPr>
      </w:pPr>
    </w:p>
    <w:p w14:paraId="282AC54C">
      <w:pPr>
        <w:rPr>
          <w:rFonts w:hint="eastAsia" w:ascii="仿宋" w:hAnsi="仿宋" w:eastAsia="仿宋" w:cs="仿宋"/>
          <w:color w:val="auto"/>
          <w:szCs w:val="21"/>
          <w:highlight w:val="none"/>
          <w:lang w:eastAsia="zh-CN"/>
        </w:rPr>
      </w:pPr>
    </w:p>
    <w:p w14:paraId="010905E6">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53D1A1FC">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3926CADF">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183AF721">
      <w:pPr>
        <w:spacing w:line="400" w:lineRule="exact"/>
        <w:rPr>
          <w:rFonts w:ascii="仿宋" w:hAnsi="仿宋" w:eastAsia="仿宋" w:cs="仿宋"/>
          <w:color w:val="auto"/>
          <w:highlight w:val="none"/>
          <w:lang w:eastAsia="zh-CN"/>
        </w:rPr>
      </w:pPr>
    </w:p>
    <w:p w14:paraId="22F2BF2E">
      <w:pPr>
        <w:spacing w:line="400" w:lineRule="exact"/>
        <w:ind w:firstLine="42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6F654329">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77A0ED24">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49C4EBFB">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30F9175C">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2078B605">
      <w:pPr>
        <w:spacing w:line="400" w:lineRule="exact"/>
        <w:ind w:firstLine="42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30BC11F5">
      <w:pPr>
        <w:spacing w:line="400" w:lineRule="exact"/>
        <w:ind w:firstLine="420" w:firstLineChars="200"/>
        <w:rPr>
          <w:rFonts w:ascii="仿宋" w:hAnsi="仿宋" w:eastAsia="仿宋" w:cs="仿宋"/>
          <w:color w:val="auto"/>
          <w:highlight w:val="none"/>
          <w:lang w:eastAsia="zh-CN"/>
        </w:rPr>
      </w:pPr>
    </w:p>
    <w:p w14:paraId="348ED604">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（采购文件/采购过程/中标（成交）结果）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71831846">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0AA81DFA">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7CBAC69E">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73D055E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106BEAD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22BDDCE2">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0C45703F">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289E772F">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2FB216E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66DD8714">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3B15E3EF">
      <w:pPr>
        <w:spacing w:line="400" w:lineRule="exact"/>
        <w:jc w:val="center"/>
        <w:rPr>
          <w:rFonts w:ascii="仿宋" w:hAnsi="仿宋" w:eastAsia="仿宋" w:cs="仿宋"/>
          <w:color w:val="auto"/>
          <w:highlight w:val="none"/>
          <w:lang w:eastAsia="zh-CN"/>
        </w:rPr>
      </w:pPr>
    </w:p>
    <w:p w14:paraId="76DD98F0">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05912732">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4551F0CC">
      <w:pPr>
        <w:spacing w:line="400" w:lineRule="exact"/>
        <w:ind w:firstLine="3360"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6116C65F">
      <w:pPr>
        <w:spacing w:line="400" w:lineRule="exact"/>
        <w:rPr>
          <w:rFonts w:ascii="仿宋" w:hAnsi="仿宋" w:eastAsia="仿宋" w:cs="仿宋"/>
          <w:color w:val="auto"/>
          <w:highlight w:val="none"/>
          <w:lang w:eastAsia="zh-CN"/>
        </w:rPr>
      </w:pPr>
    </w:p>
    <w:p w14:paraId="4C02CE9C">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59695C9C">
      <w:pPr>
        <w:ind w:left="5783" w:hanging="5783" w:hangingChars="1800"/>
        <w:jc w:val="center"/>
        <w:outlineLvl w:val="0"/>
        <w:rPr>
          <w:rFonts w:hint="eastAsia" w:ascii="仿宋" w:hAnsi="仿宋" w:eastAsia="仿宋" w:cs="仿宋"/>
          <w:b/>
          <w:bCs/>
          <w:color w:val="auto"/>
          <w:sz w:val="32"/>
          <w:szCs w:val="32"/>
          <w:highlight w:val="none"/>
          <w:lang w:eastAsia="zh-CN"/>
        </w:rPr>
      </w:pPr>
      <w:bookmarkStart w:id="39" w:name="_Toc17515"/>
    </w:p>
    <w:p w14:paraId="7C4F457B">
      <w:pPr>
        <w:ind w:left="5783" w:hanging="5783" w:hangingChars="1800"/>
        <w:jc w:val="center"/>
        <w:outlineLvl w:val="0"/>
        <w:rPr>
          <w:rFonts w:hint="eastAsia" w:ascii="仿宋" w:hAnsi="仿宋" w:eastAsia="仿宋" w:cs="仿宋"/>
          <w:b/>
          <w:bCs/>
          <w:color w:val="auto"/>
          <w:sz w:val="32"/>
          <w:szCs w:val="32"/>
          <w:highlight w:val="none"/>
          <w:lang w:eastAsia="zh-CN"/>
        </w:rPr>
      </w:pPr>
    </w:p>
    <w:p w14:paraId="1E4F9051">
      <w:pPr>
        <w:ind w:left="5783" w:hanging="5783" w:hangingChars="1800"/>
        <w:jc w:val="center"/>
        <w:outlineLvl w:val="0"/>
        <w:rPr>
          <w:rFonts w:hint="eastAsia" w:ascii="仿宋" w:hAnsi="仿宋" w:eastAsia="仿宋" w:cs="仿宋"/>
          <w:b/>
          <w:bCs/>
          <w:color w:val="auto"/>
          <w:sz w:val="32"/>
          <w:szCs w:val="32"/>
          <w:highlight w:val="none"/>
          <w:lang w:eastAsia="zh-CN"/>
        </w:rPr>
      </w:pPr>
    </w:p>
    <w:p w14:paraId="1655F217">
      <w:pPr>
        <w:ind w:left="5783" w:hanging="5783"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39"/>
    </w:p>
    <w:p w14:paraId="69E112EA">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3BC31C15">
      <w:pPr>
        <w:numPr>
          <w:ilvl w:val="0"/>
          <w:numId w:val="7"/>
        </w:numPr>
        <w:spacing w:line="400" w:lineRule="exact"/>
        <w:ind w:left="4493" w:leftChars="304" w:hanging="3855" w:hangingChars="1600"/>
        <w:outlineLvl w:val="0"/>
        <w:rPr>
          <w:rFonts w:ascii="仿宋" w:hAnsi="仿宋" w:eastAsia="仿宋" w:cs="仿宋"/>
          <w:b/>
          <w:bCs/>
          <w:color w:val="auto"/>
          <w:sz w:val="24"/>
          <w:szCs w:val="24"/>
          <w:highlight w:val="none"/>
        </w:rPr>
      </w:pPr>
      <w:bookmarkStart w:id="40" w:name="_Toc11499"/>
      <w:r>
        <w:rPr>
          <w:rFonts w:hint="eastAsia" w:ascii="仿宋" w:hAnsi="仿宋" w:eastAsia="仿宋" w:cs="仿宋"/>
          <w:b/>
          <w:bCs/>
          <w:color w:val="auto"/>
          <w:sz w:val="24"/>
          <w:szCs w:val="24"/>
          <w:highlight w:val="none"/>
        </w:rPr>
        <w:t>质疑前置及时间要求</w:t>
      </w:r>
      <w:bookmarkEnd w:id="40"/>
    </w:p>
    <w:p w14:paraId="399DAB1A">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7F364A07">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第五十二条：供应商认为采购文件、采购过程和成交、成交结果使自己的权益受到损害的，可以在知道或者应知其权益受到损害之日起七个工作日内，以书面形式向采购人提出质疑。</w:t>
      </w:r>
    </w:p>
    <w:p w14:paraId="43E9FF11">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78EA0F60">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0C0344B7">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309D6F2C">
      <w:pPr>
        <w:spacing w:line="400" w:lineRule="exact"/>
        <w:ind w:left="3780" w:hanging="378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41" w:name="_Toc13508"/>
      <w:r>
        <w:rPr>
          <w:rFonts w:hint="eastAsia" w:ascii="仿宋" w:hAnsi="仿宋" w:eastAsia="仿宋" w:cs="仿宋"/>
          <w:b/>
          <w:bCs/>
          <w:color w:val="auto"/>
          <w:sz w:val="21"/>
          <w:szCs w:val="21"/>
          <w:highlight w:val="none"/>
          <w:lang w:eastAsia="zh-CN"/>
        </w:rPr>
        <w:t>二、书面方式</w:t>
      </w:r>
      <w:bookmarkEnd w:id="41"/>
    </w:p>
    <w:p w14:paraId="67D73DF3">
      <w:pPr>
        <w:spacing w:line="400" w:lineRule="exact"/>
        <w:ind w:left="3780" w:hanging="378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55DE9CFD">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73FDDCE6">
      <w:pPr>
        <w:spacing w:line="400" w:lineRule="exact"/>
        <w:ind w:left="4320" w:hanging="378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24867418">
      <w:pPr>
        <w:numPr>
          <w:ilvl w:val="0"/>
          <w:numId w:val="8"/>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7D35E59A">
      <w:pPr>
        <w:numPr>
          <w:ilvl w:val="0"/>
          <w:numId w:val="8"/>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2153F2A5">
      <w:pPr>
        <w:numPr>
          <w:ilvl w:val="0"/>
          <w:numId w:val="8"/>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0A363CC6">
      <w:pPr>
        <w:numPr>
          <w:ilvl w:val="0"/>
          <w:numId w:val="8"/>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1DCDB8D3">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7069A94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47046F42">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69C98BA1">
      <w:pPr>
        <w:numPr>
          <w:ilvl w:val="0"/>
          <w:numId w:val="9"/>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3C39411A">
      <w:pPr>
        <w:numPr>
          <w:ilvl w:val="0"/>
          <w:numId w:val="9"/>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1D84B199">
      <w:pPr>
        <w:numPr>
          <w:ilvl w:val="0"/>
          <w:numId w:val="9"/>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1577DE7C">
      <w:pPr>
        <w:numPr>
          <w:ilvl w:val="0"/>
          <w:numId w:val="9"/>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4E4DA86A">
      <w:pPr>
        <w:numPr>
          <w:ilvl w:val="0"/>
          <w:numId w:val="9"/>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4C5E4BB6">
      <w:pPr>
        <w:numPr>
          <w:ilvl w:val="0"/>
          <w:numId w:val="9"/>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B05289E">
      <w:pPr>
        <w:numPr>
          <w:ilvl w:val="0"/>
          <w:numId w:val="9"/>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150E26DA">
      <w:pPr>
        <w:spacing w:line="400" w:lineRule="exact"/>
        <w:ind w:left="4320" w:hanging="378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5B5930D4">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42" w:name="_Toc5978"/>
      <w:r>
        <w:rPr>
          <w:rFonts w:hint="eastAsia" w:ascii="仿宋" w:hAnsi="仿宋" w:eastAsia="仿宋" w:cs="仿宋"/>
          <w:b/>
          <w:bCs/>
          <w:color w:val="auto"/>
          <w:highlight w:val="none"/>
          <w:lang w:eastAsia="zh-CN"/>
        </w:rPr>
        <w:t>三、虚假、恶意投诉法律责任</w:t>
      </w:r>
      <w:bookmarkEnd w:id="42"/>
    </w:p>
    <w:p w14:paraId="310C61E2">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611114D1">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2417C8DA">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037806C3">
      <w:pPr>
        <w:spacing w:line="40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30059AF0">
      <w:pPr>
        <w:spacing w:line="400" w:lineRule="exact"/>
        <w:rPr>
          <w:rFonts w:ascii="仿宋" w:hAnsi="仿宋" w:eastAsia="仿宋" w:cs="仿宋"/>
          <w:color w:val="auto"/>
          <w:sz w:val="21"/>
          <w:szCs w:val="21"/>
          <w:highlight w:val="none"/>
          <w:lang w:eastAsia="zh-CN"/>
        </w:rPr>
      </w:pPr>
    </w:p>
    <w:p w14:paraId="33F7564B">
      <w:pPr>
        <w:spacing w:line="400" w:lineRule="exact"/>
        <w:rPr>
          <w:rFonts w:ascii="仿宋" w:hAnsi="仿宋" w:eastAsia="仿宋" w:cs="仿宋"/>
          <w:color w:val="auto"/>
          <w:sz w:val="21"/>
          <w:szCs w:val="21"/>
          <w:highlight w:val="none"/>
          <w:lang w:eastAsia="zh-CN"/>
        </w:rPr>
      </w:pPr>
    </w:p>
    <w:p w14:paraId="6C45B15B">
      <w:pPr>
        <w:ind w:firstLine="630" w:firstLineChars="300"/>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递交投诉书地址：克州财政局政府采购服务中心（新疆阿图什市天山路与经四路交叉口10楼1005）</w:t>
      </w:r>
    </w:p>
    <w:p w14:paraId="48C9E044">
      <w:pPr>
        <w:jc w:val="right"/>
        <w:rPr>
          <w:rFonts w:ascii="仿宋" w:hAnsi="仿宋" w:eastAsia="仿宋" w:cs="仿宋"/>
          <w:color w:val="auto"/>
          <w:sz w:val="32"/>
          <w:szCs w:val="32"/>
          <w:highlight w:val="none"/>
          <w:lang w:eastAsia="zh-CN"/>
        </w:rPr>
      </w:pPr>
    </w:p>
    <w:p w14:paraId="42DE0902">
      <w:pPr>
        <w:spacing w:line="540" w:lineRule="exact"/>
        <w:jc w:val="center"/>
        <w:rPr>
          <w:rFonts w:ascii="仿宋" w:hAnsi="仿宋" w:eastAsia="仿宋" w:cs="仿宋"/>
          <w:b/>
          <w:bCs/>
          <w:color w:val="auto"/>
          <w:sz w:val="44"/>
          <w:szCs w:val="44"/>
          <w:highlight w:val="none"/>
          <w:lang w:eastAsia="zh-CN"/>
        </w:rPr>
      </w:pPr>
    </w:p>
    <w:p w14:paraId="382F95F9">
      <w:pPr>
        <w:spacing w:line="540" w:lineRule="exact"/>
        <w:jc w:val="center"/>
        <w:rPr>
          <w:rFonts w:ascii="仿宋" w:hAnsi="仿宋" w:eastAsia="仿宋" w:cs="仿宋"/>
          <w:b/>
          <w:bCs/>
          <w:color w:val="auto"/>
          <w:sz w:val="44"/>
          <w:szCs w:val="44"/>
          <w:highlight w:val="none"/>
          <w:lang w:eastAsia="zh-CN"/>
        </w:rPr>
      </w:pPr>
    </w:p>
    <w:p w14:paraId="634BB9A8">
      <w:pPr>
        <w:spacing w:line="540" w:lineRule="exact"/>
        <w:jc w:val="center"/>
        <w:rPr>
          <w:rFonts w:ascii="仿宋" w:hAnsi="仿宋" w:eastAsia="仿宋" w:cs="仿宋"/>
          <w:b/>
          <w:bCs/>
          <w:color w:val="auto"/>
          <w:sz w:val="44"/>
          <w:szCs w:val="44"/>
          <w:highlight w:val="none"/>
          <w:lang w:eastAsia="zh-CN"/>
        </w:rPr>
      </w:pPr>
    </w:p>
    <w:p w14:paraId="35A3666F">
      <w:pPr>
        <w:spacing w:line="540" w:lineRule="exact"/>
        <w:jc w:val="center"/>
        <w:rPr>
          <w:rFonts w:ascii="仿宋" w:hAnsi="仿宋" w:eastAsia="仿宋" w:cs="仿宋"/>
          <w:b/>
          <w:bCs/>
          <w:color w:val="auto"/>
          <w:sz w:val="44"/>
          <w:szCs w:val="44"/>
          <w:highlight w:val="none"/>
          <w:lang w:eastAsia="zh-CN"/>
        </w:rPr>
      </w:pPr>
    </w:p>
    <w:p w14:paraId="502B3FAD">
      <w:pPr>
        <w:spacing w:line="540" w:lineRule="exact"/>
        <w:jc w:val="center"/>
        <w:rPr>
          <w:rFonts w:ascii="仿宋" w:hAnsi="仿宋" w:eastAsia="仿宋" w:cs="仿宋"/>
          <w:b/>
          <w:bCs/>
          <w:color w:val="auto"/>
          <w:sz w:val="44"/>
          <w:szCs w:val="44"/>
          <w:highlight w:val="none"/>
          <w:lang w:eastAsia="zh-CN"/>
        </w:rPr>
      </w:pPr>
    </w:p>
    <w:p w14:paraId="3A15D776">
      <w:pPr>
        <w:spacing w:line="540" w:lineRule="exact"/>
        <w:jc w:val="center"/>
        <w:rPr>
          <w:rFonts w:ascii="仿宋" w:hAnsi="仿宋" w:eastAsia="仿宋" w:cs="仿宋"/>
          <w:b/>
          <w:bCs/>
          <w:color w:val="auto"/>
          <w:sz w:val="44"/>
          <w:szCs w:val="44"/>
          <w:highlight w:val="none"/>
          <w:lang w:eastAsia="zh-CN"/>
        </w:rPr>
      </w:pPr>
    </w:p>
    <w:p w14:paraId="034FC9EA">
      <w:pPr>
        <w:spacing w:line="540" w:lineRule="exact"/>
        <w:jc w:val="center"/>
        <w:rPr>
          <w:rFonts w:ascii="仿宋" w:hAnsi="仿宋" w:eastAsia="仿宋" w:cs="仿宋"/>
          <w:b/>
          <w:bCs/>
          <w:color w:val="auto"/>
          <w:sz w:val="44"/>
          <w:szCs w:val="44"/>
          <w:highlight w:val="none"/>
          <w:lang w:eastAsia="zh-CN"/>
        </w:rPr>
      </w:pPr>
    </w:p>
    <w:p w14:paraId="51C8FC01">
      <w:pPr>
        <w:spacing w:line="540" w:lineRule="exact"/>
        <w:jc w:val="center"/>
        <w:outlineLvl w:val="0"/>
        <w:rPr>
          <w:rFonts w:hint="eastAsia" w:ascii="仿宋" w:hAnsi="仿宋" w:eastAsia="仿宋" w:cs="仿宋"/>
          <w:b/>
          <w:bCs/>
          <w:color w:val="auto"/>
          <w:sz w:val="32"/>
          <w:szCs w:val="32"/>
          <w:highlight w:val="none"/>
          <w:lang w:eastAsia="zh-CN"/>
        </w:rPr>
      </w:pPr>
    </w:p>
    <w:p w14:paraId="1125AC99">
      <w:pPr>
        <w:spacing w:line="540" w:lineRule="exact"/>
        <w:jc w:val="center"/>
        <w:outlineLvl w:val="0"/>
        <w:rPr>
          <w:rFonts w:hint="eastAsia" w:ascii="仿宋" w:hAnsi="仿宋" w:eastAsia="仿宋" w:cs="仿宋"/>
          <w:b/>
          <w:bCs/>
          <w:color w:val="auto"/>
          <w:sz w:val="32"/>
          <w:szCs w:val="32"/>
          <w:highlight w:val="none"/>
          <w:lang w:eastAsia="zh-CN"/>
        </w:rPr>
      </w:pPr>
    </w:p>
    <w:p w14:paraId="1C21B6A5">
      <w:pPr>
        <w:pStyle w:val="38"/>
        <w:rPr>
          <w:rFonts w:hint="eastAsia" w:ascii="仿宋" w:hAnsi="仿宋" w:eastAsia="仿宋" w:cs="仿宋"/>
          <w:b/>
          <w:bCs/>
          <w:color w:val="auto"/>
          <w:sz w:val="32"/>
          <w:szCs w:val="32"/>
          <w:highlight w:val="none"/>
          <w:lang w:eastAsia="zh-CN"/>
        </w:rPr>
      </w:pPr>
    </w:p>
    <w:p w14:paraId="08D013A6">
      <w:pPr>
        <w:rPr>
          <w:rFonts w:hint="eastAsia" w:ascii="仿宋" w:hAnsi="仿宋" w:eastAsia="仿宋" w:cs="仿宋"/>
          <w:b/>
          <w:bCs/>
          <w:color w:val="auto"/>
          <w:sz w:val="32"/>
          <w:szCs w:val="32"/>
          <w:highlight w:val="none"/>
          <w:lang w:eastAsia="zh-CN"/>
        </w:rPr>
      </w:pPr>
    </w:p>
    <w:p w14:paraId="15A07CAB">
      <w:pPr>
        <w:pStyle w:val="38"/>
        <w:rPr>
          <w:rFonts w:hint="eastAsia" w:ascii="仿宋" w:hAnsi="仿宋" w:eastAsia="仿宋" w:cs="仿宋"/>
          <w:b/>
          <w:bCs/>
          <w:color w:val="auto"/>
          <w:sz w:val="32"/>
          <w:szCs w:val="32"/>
          <w:highlight w:val="none"/>
          <w:lang w:eastAsia="zh-CN"/>
        </w:rPr>
      </w:pPr>
    </w:p>
    <w:p w14:paraId="640A1945">
      <w:pPr>
        <w:pStyle w:val="38"/>
        <w:rPr>
          <w:lang w:eastAsia="zh-CN"/>
        </w:rPr>
      </w:pPr>
    </w:p>
    <w:p w14:paraId="6C449E45">
      <w:pPr>
        <w:spacing w:line="400" w:lineRule="exact"/>
        <w:ind w:firstLine="480" w:firstLineChars="200"/>
        <w:rPr>
          <w:rFonts w:ascii="仿宋" w:hAnsi="仿宋" w:eastAsia="仿宋" w:cs="仿宋"/>
          <w:color w:val="auto"/>
          <w:sz w:val="24"/>
          <w:szCs w:val="24"/>
          <w:highlight w:val="none"/>
        </w:rPr>
      </w:pPr>
    </w:p>
    <w:p w14:paraId="0F9856F6">
      <w:pPr>
        <w:shd w:val="clear" w:color="auto" w:fill="auto"/>
        <w:tabs>
          <w:tab w:val="left" w:pos="900"/>
        </w:tabs>
        <w:ind w:left="0" w:leftChars="0" w:right="206" w:rightChars="98" w:firstLine="0" w:firstLineChars="0"/>
        <w:rPr>
          <w:rFonts w:hint="eastAsia" w:ascii="宋体" w:hAnsi="宋体" w:eastAsia="宋体" w:cs="宋体"/>
          <w:color w:val="auto"/>
          <w:szCs w:val="21"/>
          <w:highlight w:val="none"/>
        </w:rPr>
      </w:pPr>
    </w:p>
    <w:p w14:paraId="114F15CE">
      <w:pPr>
        <w:rPr>
          <w:rFonts w:hint="eastAsia"/>
          <w:color w:val="auto"/>
          <w:lang w:eastAsia="zh-CN"/>
        </w:rPr>
      </w:pPr>
    </w:p>
    <w:p w14:paraId="51214193">
      <w:pPr>
        <w:pStyle w:val="38"/>
        <w:rPr>
          <w:rFonts w:hint="eastAsia"/>
          <w:color w:val="auto"/>
          <w:lang w:eastAsia="zh-CN"/>
        </w:rPr>
      </w:pPr>
    </w:p>
    <w:p w14:paraId="71E8DF36">
      <w:pPr>
        <w:rPr>
          <w:rFonts w:hint="eastAsia"/>
          <w:color w:val="auto"/>
          <w:lang w:eastAsia="zh-CN"/>
        </w:rPr>
      </w:pPr>
    </w:p>
    <w:p w14:paraId="5E20022E">
      <w:pPr>
        <w:pStyle w:val="38"/>
        <w:rPr>
          <w:rFonts w:hint="eastAsia"/>
          <w:color w:val="auto"/>
          <w:lang w:eastAsia="zh-CN"/>
        </w:rPr>
      </w:pPr>
    </w:p>
    <w:p w14:paraId="307DDDE8">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p>
    <w:p w14:paraId="3CEEBA23">
      <w:pPr>
        <w:adjustRightInd w:val="0"/>
        <w:snapToGrid w:val="0"/>
        <w:spacing w:beforeLines="100" w:line="540" w:lineRule="exact"/>
        <w:ind w:firstLine="420" w:firstLineChars="200"/>
        <w:outlineLvl w:val="0"/>
        <w:rPr>
          <w:rFonts w:ascii="仿宋" w:hAnsi="仿宋" w:eastAsia="仿宋" w:cs="仿宋"/>
          <w:bCs/>
          <w:color w:val="auto"/>
          <w:highlight w:val="none"/>
          <w:lang w:eastAsia="zh-CN"/>
        </w:rPr>
      </w:pPr>
      <w:bookmarkStart w:id="43" w:name="_Toc9061"/>
      <w:r>
        <w:rPr>
          <w:rFonts w:hint="eastAsia" w:ascii="仿宋" w:hAnsi="仿宋" w:eastAsia="仿宋" w:cs="仿宋"/>
          <w:bCs/>
          <w:color w:val="auto"/>
          <w:highlight w:val="none"/>
          <w:lang w:eastAsia="zh-CN"/>
        </w:rPr>
        <w:t>一、质疑供应商基本信息</w:t>
      </w:r>
      <w:bookmarkEnd w:id="43"/>
    </w:p>
    <w:p w14:paraId="26B2F2C6">
      <w:pPr>
        <w:adjustRightInd w:val="0"/>
        <w:snapToGrid w:val="0"/>
        <w:spacing w:line="540" w:lineRule="exact"/>
        <w:ind w:firstLine="42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4777F51C">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7E3CD7D7">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0EE9ED8A">
      <w:pPr>
        <w:adjustRightInd w:val="0"/>
        <w:snapToGrid w:val="0"/>
        <w:spacing w:line="540" w:lineRule="exact"/>
        <w:ind w:firstLine="42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56DE8636">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58285BE9">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1B36E0E8">
      <w:pPr>
        <w:adjustRightInd w:val="0"/>
        <w:snapToGrid w:val="0"/>
        <w:spacing w:line="540" w:lineRule="exact"/>
        <w:ind w:firstLine="420" w:firstLineChars="200"/>
        <w:outlineLvl w:val="0"/>
        <w:rPr>
          <w:rFonts w:ascii="仿宋" w:hAnsi="仿宋" w:eastAsia="仿宋" w:cs="仿宋"/>
          <w:bCs/>
          <w:color w:val="auto"/>
          <w:highlight w:val="none"/>
          <w:lang w:eastAsia="zh-CN"/>
        </w:rPr>
      </w:pPr>
      <w:bookmarkStart w:id="44" w:name="_Toc15938"/>
      <w:r>
        <w:rPr>
          <w:rFonts w:hint="eastAsia" w:ascii="仿宋" w:hAnsi="仿宋" w:eastAsia="仿宋" w:cs="仿宋"/>
          <w:bCs/>
          <w:color w:val="auto"/>
          <w:highlight w:val="none"/>
          <w:lang w:eastAsia="zh-CN"/>
        </w:rPr>
        <w:t>二、质疑项目基本情况</w:t>
      </w:r>
      <w:bookmarkEnd w:id="44"/>
    </w:p>
    <w:p w14:paraId="3D913365">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4F0227C0">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5E143F69">
      <w:pPr>
        <w:adjustRightInd w:val="0"/>
        <w:snapToGrid w:val="0"/>
        <w:spacing w:line="540" w:lineRule="exact"/>
        <w:ind w:firstLine="42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270710E7">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71057811">
      <w:pPr>
        <w:adjustRightInd w:val="0"/>
        <w:snapToGrid w:val="0"/>
        <w:spacing w:line="540" w:lineRule="exact"/>
        <w:ind w:firstLine="420" w:firstLineChars="200"/>
        <w:outlineLvl w:val="0"/>
        <w:rPr>
          <w:rFonts w:ascii="仿宋" w:hAnsi="仿宋" w:eastAsia="仿宋" w:cs="仿宋"/>
          <w:bCs/>
          <w:color w:val="auto"/>
          <w:highlight w:val="none"/>
          <w:lang w:eastAsia="zh-CN"/>
        </w:rPr>
      </w:pPr>
      <w:bookmarkStart w:id="45" w:name="_Toc18271"/>
      <w:r>
        <w:rPr>
          <w:rFonts w:hint="eastAsia" w:ascii="仿宋" w:hAnsi="仿宋" w:eastAsia="仿宋" w:cs="仿宋"/>
          <w:bCs/>
          <w:color w:val="auto"/>
          <w:highlight w:val="none"/>
          <w:lang w:eastAsia="zh-CN"/>
        </w:rPr>
        <w:t>三、质疑事项具体内容</w:t>
      </w:r>
      <w:bookmarkEnd w:id="45"/>
    </w:p>
    <w:p w14:paraId="58FA7929">
      <w:pPr>
        <w:adjustRightInd w:val="0"/>
        <w:snapToGrid w:val="0"/>
        <w:spacing w:line="540" w:lineRule="exact"/>
        <w:ind w:firstLine="42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51D0ADAD">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573A932C">
      <w:pPr>
        <w:adjustRightInd w:val="0"/>
        <w:snapToGrid w:val="0"/>
        <w:spacing w:line="540" w:lineRule="exact"/>
        <w:ind w:firstLine="42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2B0133B0">
      <w:pPr>
        <w:adjustRightInd w:val="0"/>
        <w:snapToGrid w:val="0"/>
        <w:spacing w:line="540" w:lineRule="exact"/>
        <w:ind w:firstLine="42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2DADB965">
      <w:pPr>
        <w:adjustRightInd w:val="0"/>
        <w:snapToGrid w:val="0"/>
        <w:spacing w:line="5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4AEAEAB9">
      <w:pPr>
        <w:adjustRightInd w:val="0"/>
        <w:snapToGrid w:val="0"/>
        <w:spacing w:line="540" w:lineRule="exact"/>
        <w:ind w:firstLine="420" w:firstLineChars="200"/>
        <w:outlineLvl w:val="0"/>
        <w:rPr>
          <w:rFonts w:ascii="仿宋" w:hAnsi="仿宋" w:eastAsia="仿宋" w:cs="仿宋"/>
          <w:bCs/>
          <w:color w:val="auto"/>
          <w:highlight w:val="none"/>
          <w:lang w:eastAsia="zh-CN"/>
        </w:rPr>
      </w:pPr>
      <w:bookmarkStart w:id="46" w:name="_Toc22365"/>
      <w:r>
        <w:rPr>
          <w:rFonts w:hint="eastAsia" w:ascii="仿宋" w:hAnsi="仿宋" w:eastAsia="仿宋" w:cs="仿宋"/>
          <w:bCs/>
          <w:color w:val="auto"/>
          <w:highlight w:val="none"/>
          <w:lang w:eastAsia="zh-CN"/>
        </w:rPr>
        <w:t>四、与质疑事项相关的质疑请求</w:t>
      </w:r>
      <w:bookmarkEnd w:id="46"/>
    </w:p>
    <w:p w14:paraId="0295E09B">
      <w:pPr>
        <w:adjustRightInd w:val="0"/>
        <w:snapToGrid w:val="0"/>
        <w:spacing w:line="540" w:lineRule="exact"/>
        <w:ind w:firstLine="42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4AF04BFA">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highlight w:val="none"/>
          <w:lang w:eastAsia="zh-CN"/>
        </w:rPr>
        <w:t xml:space="preserve">签章(签章)：                   公章： </w:t>
      </w:r>
      <w:r>
        <w:rPr>
          <w:rFonts w:hint="eastAsia" w:ascii="仿宋" w:hAnsi="仿宋" w:eastAsia="仿宋" w:cs="仿宋"/>
          <w:color w:val="auto"/>
          <w:szCs w:val="24"/>
          <w:highlight w:val="none"/>
          <w:lang w:eastAsia="zh-CN"/>
        </w:rPr>
        <w:t xml:space="preserve">                     </w:t>
      </w:r>
    </w:p>
    <w:p w14:paraId="54434C16">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 xml:space="preserve">日期：    </w:t>
      </w:r>
    </w:p>
    <w:p w14:paraId="7933A9CD">
      <w:pPr>
        <w:pStyle w:val="13"/>
        <w:overflowPunct w:val="0"/>
        <w:spacing w:line="440" w:lineRule="exact"/>
        <w:rPr>
          <w:rFonts w:hint="eastAsia" w:ascii="仿宋" w:hAnsi="仿宋" w:eastAsia="仿宋" w:cs="仿宋"/>
          <w:color w:val="auto"/>
          <w:szCs w:val="24"/>
          <w:highlight w:val="none"/>
          <w:lang w:eastAsia="zh-CN"/>
        </w:rPr>
        <w:sectPr>
          <w:headerReference r:id="rId11" w:type="default"/>
          <w:footerReference r:id="rId12" w:type="default"/>
          <w:pgSz w:w="11907" w:h="16840"/>
          <w:pgMar w:top="1440" w:right="1800" w:bottom="1440" w:left="1800" w:header="567" w:footer="737" w:gutter="0"/>
          <w:pgBorders w:offsetFrom="page">
            <w:top w:val="none" w:sz="0" w:space="0"/>
            <w:left w:val="none" w:sz="0" w:space="0"/>
            <w:bottom w:val="none" w:sz="0" w:space="0"/>
            <w:right w:val="none" w:sz="0" w:space="0"/>
          </w:pgBorders>
          <w:pgNumType w:fmt="decimal"/>
          <w:cols w:space="720" w:num="1"/>
          <w:docGrid w:linePitch="312" w:charSpace="0"/>
        </w:sectPr>
      </w:pPr>
    </w:p>
    <w:p w14:paraId="3F056CD7">
      <w:pPr>
        <w:pStyle w:val="13"/>
        <w:overflowPunct w:val="0"/>
        <w:spacing w:line="440" w:lineRule="exact"/>
        <w:jc w:val="center"/>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lang w:val="en-US" w:eastAsia="zh-CN"/>
        </w:rPr>
        <w:t>第五章  技术规格、数量及质量要求</w:t>
      </w:r>
    </w:p>
    <w:p w14:paraId="65196AB5">
      <w:pPr>
        <w:pStyle w:val="13"/>
        <w:overflowPunct w:val="0"/>
        <w:spacing w:line="440" w:lineRule="exact"/>
        <w:ind w:left="0" w:leftChars="0" w:firstLine="0" w:firstLineChars="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1.1招标项目技术规格</w:t>
      </w:r>
    </w:p>
    <w:p w14:paraId="3AE0DAB1">
      <w:pPr>
        <w:spacing w:line="400" w:lineRule="exact"/>
        <w:rPr>
          <w:rFonts w:ascii="仿宋" w:hAnsi="仿宋" w:eastAsia="仿宋" w:cs="仿宋"/>
          <w:color w:val="auto"/>
          <w:highlight w:val="none"/>
          <w:lang w:eastAsia="zh-CN"/>
        </w:rPr>
      </w:pPr>
    </w:p>
    <w:p w14:paraId="1C60E0C3">
      <w:pPr>
        <w:pStyle w:val="13"/>
        <w:overflowPunct w:val="0"/>
        <w:spacing w:line="440" w:lineRule="exact"/>
        <w:jc w:val="center"/>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克州疾病预防控制中心致病菌、新冠基因测序等监测试剂耗材采购项目（一包）-清单</w:t>
      </w:r>
    </w:p>
    <w:p w14:paraId="4E28D05C">
      <w:pPr>
        <w:rPr>
          <w:rFonts w:hint="eastAsia"/>
          <w:lang w:val="en-US" w:eastAsia="zh-CN"/>
        </w:rPr>
      </w:pPr>
      <w:r>
        <w:rPr>
          <w:rFonts w:hint="eastAsia" w:ascii="仿宋" w:hAnsi="仿宋" w:eastAsia="仿宋" w:cs="仿宋"/>
          <w:b/>
          <w:bCs/>
          <w:color w:val="auto"/>
          <w:szCs w:val="24"/>
          <w:highlight w:val="none"/>
          <w:lang w:val="en-US" w:eastAsia="zh-CN"/>
        </w:rPr>
        <w:t>附件一：</w:t>
      </w:r>
    </w:p>
    <w:tbl>
      <w:tblPr>
        <w:tblStyle w:val="50"/>
        <w:tblW w:w="143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
        <w:gridCol w:w="3083"/>
        <w:gridCol w:w="1110"/>
        <w:gridCol w:w="563"/>
        <w:gridCol w:w="650"/>
        <w:gridCol w:w="1112"/>
        <w:gridCol w:w="888"/>
        <w:gridCol w:w="6325"/>
      </w:tblGrid>
      <w:tr w14:paraId="3450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307" w:type="dxa"/>
            <w:gridSpan w:val="8"/>
            <w:tcBorders>
              <w:top w:val="nil"/>
              <w:left w:val="nil"/>
              <w:bottom w:val="nil"/>
              <w:right w:val="nil"/>
            </w:tcBorders>
            <w:noWrap/>
            <w:vAlign w:val="center"/>
          </w:tcPr>
          <w:p w14:paraId="75ECC0A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20"/>
                <w:szCs w:val="20"/>
                <w:u w:val="none"/>
                <w:lang w:val="en-US" w:eastAsia="zh-CN" w:bidi="ar"/>
              </w:rPr>
              <w:t>致病菌、流感、手足口监测相关试剂耗材采购清单</w:t>
            </w:r>
          </w:p>
        </w:tc>
      </w:tr>
      <w:tr w14:paraId="76C90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5B09F35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序号</w:t>
            </w:r>
          </w:p>
        </w:tc>
        <w:tc>
          <w:tcPr>
            <w:tcW w:w="3083" w:type="dxa"/>
            <w:tcBorders>
              <w:top w:val="single" w:color="000000" w:sz="4" w:space="0"/>
              <w:left w:val="single" w:color="000000" w:sz="4" w:space="0"/>
              <w:bottom w:val="single" w:color="000000" w:sz="4" w:space="0"/>
              <w:right w:val="single" w:color="000000" w:sz="4" w:space="0"/>
            </w:tcBorders>
            <w:noWrap/>
            <w:vAlign w:val="bottom"/>
          </w:tcPr>
          <w:p w14:paraId="65EA2540">
            <w:pPr>
              <w:keepNext w:val="0"/>
              <w:keepLines w:val="0"/>
              <w:widowControl/>
              <w:suppressLineNumbers w:val="0"/>
              <w:jc w:val="center"/>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试剂/耗材名称</w:t>
            </w:r>
          </w:p>
        </w:tc>
        <w:tc>
          <w:tcPr>
            <w:tcW w:w="1110" w:type="dxa"/>
            <w:tcBorders>
              <w:top w:val="single" w:color="000000" w:sz="4" w:space="0"/>
              <w:left w:val="single" w:color="000000" w:sz="4" w:space="0"/>
              <w:bottom w:val="single" w:color="000000" w:sz="4" w:space="0"/>
              <w:right w:val="single" w:color="000000" w:sz="4" w:space="0"/>
            </w:tcBorders>
            <w:noWrap/>
            <w:vAlign w:val="bottom"/>
          </w:tcPr>
          <w:p w14:paraId="11097FD3">
            <w:pPr>
              <w:keepNext w:val="0"/>
              <w:keepLines w:val="0"/>
              <w:widowControl/>
              <w:suppressLineNumbers w:val="0"/>
              <w:jc w:val="center"/>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规格</w:t>
            </w:r>
          </w:p>
        </w:tc>
        <w:tc>
          <w:tcPr>
            <w:tcW w:w="563" w:type="dxa"/>
            <w:tcBorders>
              <w:top w:val="single" w:color="000000" w:sz="4" w:space="0"/>
              <w:left w:val="single" w:color="000000" w:sz="4" w:space="0"/>
              <w:bottom w:val="single" w:color="000000" w:sz="4" w:space="0"/>
              <w:right w:val="single" w:color="000000" w:sz="4" w:space="0"/>
            </w:tcBorders>
            <w:noWrap/>
            <w:vAlign w:val="bottom"/>
          </w:tcPr>
          <w:p w14:paraId="339C39D1">
            <w:pPr>
              <w:keepNext w:val="0"/>
              <w:keepLines w:val="0"/>
              <w:widowControl/>
              <w:suppressLineNumbers w:val="0"/>
              <w:jc w:val="center"/>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数量</w:t>
            </w:r>
          </w:p>
        </w:tc>
        <w:tc>
          <w:tcPr>
            <w:tcW w:w="650" w:type="dxa"/>
            <w:tcBorders>
              <w:top w:val="single" w:color="000000" w:sz="4" w:space="0"/>
              <w:left w:val="single" w:color="000000" w:sz="4" w:space="0"/>
              <w:bottom w:val="single" w:color="000000" w:sz="4" w:space="0"/>
              <w:right w:val="single" w:color="000000" w:sz="4" w:space="0"/>
            </w:tcBorders>
            <w:noWrap/>
            <w:vAlign w:val="bottom"/>
          </w:tcPr>
          <w:p w14:paraId="192364E6">
            <w:pPr>
              <w:keepNext w:val="0"/>
              <w:keepLines w:val="0"/>
              <w:widowControl/>
              <w:suppressLineNumbers w:val="0"/>
              <w:jc w:val="center"/>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单位</w:t>
            </w:r>
          </w:p>
        </w:tc>
        <w:tc>
          <w:tcPr>
            <w:tcW w:w="2000" w:type="dxa"/>
            <w:gridSpan w:val="2"/>
            <w:tcBorders>
              <w:top w:val="single" w:color="000000" w:sz="4" w:space="0"/>
              <w:left w:val="single" w:color="000000" w:sz="4" w:space="0"/>
              <w:bottom w:val="single" w:color="000000" w:sz="4" w:space="0"/>
              <w:right w:val="single" w:color="000000" w:sz="4" w:space="0"/>
            </w:tcBorders>
            <w:noWrap/>
            <w:vAlign w:val="bottom"/>
          </w:tcPr>
          <w:p w14:paraId="172F2ACB">
            <w:pPr>
              <w:keepNext w:val="0"/>
              <w:keepLines w:val="0"/>
              <w:widowControl/>
              <w:suppressLineNumbers w:val="0"/>
              <w:jc w:val="center"/>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技术参数</w:t>
            </w:r>
          </w:p>
        </w:tc>
        <w:tc>
          <w:tcPr>
            <w:tcW w:w="6325" w:type="dxa"/>
            <w:tcBorders>
              <w:top w:val="single" w:color="000000" w:sz="4" w:space="0"/>
              <w:left w:val="single" w:color="000000" w:sz="4" w:space="0"/>
              <w:bottom w:val="single" w:color="000000" w:sz="4" w:space="0"/>
              <w:right w:val="single" w:color="000000" w:sz="4" w:space="0"/>
            </w:tcBorders>
            <w:noWrap/>
            <w:vAlign w:val="bottom"/>
          </w:tcPr>
          <w:p w14:paraId="207DAB4C">
            <w:pPr>
              <w:keepNext w:val="0"/>
              <w:keepLines w:val="0"/>
              <w:widowControl/>
              <w:suppressLineNumbers w:val="0"/>
              <w:jc w:val="center"/>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备注</w:t>
            </w:r>
          </w:p>
        </w:tc>
      </w:tr>
      <w:tr w14:paraId="21F8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5BCE0757">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3083" w:type="dxa"/>
            <w:tcBorders>
              <w:top w:val="nil"/>
              <w:left w:val="nil"/>
              <w:bottom w:val="single" w:color="000000" w:sz="4" w:space="0"/>
              <w:right w:val="single" w:color="000000" w:sz="4" w:space="0"/>
            </w:tcBorders>
            <w:noWrap w:val="0"/>
            <w:vAlign w:val="center"/>
          </w:tcPr>
          <w:p w14:paraId="508835E3">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致病菌腹泻症候群核酸多重实时荧光PCR检测试剂盒（检测目标：霍乱弧菌、副溶血弧菌、沙门菌、志贺菌、致泻性大肠埃希菌、弯曲菌、小肠结肠耶尔森菌、艰难梭菌、阪崎克罗诺杆菌、嗜水气单胞菌、类志贺邻单胞菌、河弧菌）</w:t>
            </w:r>
          </w:p>
        </w:tc>
        <w:tc>
          <w:tcPr>
            <w:tcW w:w="1110" w:type="dxa"/>
            <w:tcBorders>
              <w:top w:val="nil"/>
              <w:left w:val="single" w:color="000000" w:sz="4" w:space="0"/>
              <w:bottom w:val="single" w:color="000000" w:sz="4" w:space="0"/>
              <w:right w:val="single" w:color="000000" w:sz="4" w:space="0"/>
            </w:tcBorders>
            <w:noWrap w:val="0"/>
            <w:vAlign w:val="center"/>
          </w:tcPr>
          <w:p w14:paraId="0927007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10T/盒</w:t>
            </w:r>
          </w:p>
        </w:tc>
        <w:tc>
          <w:tcPr>
            <w:tcW w:w="563" w:type="dxa"/>
            <w:tcBorders>
              <w:top w:val="nil"/>
              <w:left w:val="single" w:color="000000" w:sz="4" w:space="0"/>
              <w:bottom w:val="single" w:color="000000" w:sz="4" w:space="0"/>
              <w:right w:val="single" w:color="000000" w:sz="4" w:space="0"/>
            </w:tcBorders>
            <w:noWrap w:val="0"/>
            <w:vAlign w:val="center"/>
          </w:tcPr>
          <w:p w14:paraId="639C328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w:t>
            </w:r>
          </w:p>
        </w:tc>
        <w:tc>
          <w:tcPr>
            <w:tcW w:w="650" w:type="dxa"/>
            <w:tcBorders>
              <w:top w:val="nil"/>
              <w:left w:val="single" w:color="000000" w:sz="4" w:space="0"/>
              <w:bottom w:val="single" w:color="000000" w:sz="4" w:space="0"/>
              <w:right w:val="single" w:color="000000" w:sz="4" w:space="0"/>
            </w:tcBorders>
            <w:noWrap w:val="0"/>
            <w:vAlign w:val="center"/>
          </w:tcPr>
          <w:p w14:paraId="1E5DB7A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restart"/>
            <w:tcBorders>
              <w:top w:val="nil"/>
              <w:left w:val="single" w:color="000000" w:sz="4" w:space="0"/>
              <w:bottom w:val="single" w:color="000000" w:sz="4" w:space="0"/>
              <w:right w:val="single" w:color="000000" w:sz="4" w:space="0"/>
            </w:tcBorders>
            <w:noWrap w:val="0"/>
            <w:vAlign w:val="center"/>
          </w:tcPr>
          <w:p w14:paraId="66558766">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p w14:paraId="72129C3C">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p w14:paraId="4236FBD3">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p w14:paraId="19B80668">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p w14:paraId="223F5E26">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p w14:paraId="67AD99AD">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p w14:paraId="67EFFD1A">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p w14:paraId="4929149F">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p w14:paraId="74FB27AF">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p w14:paraId="12384FA9">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p w14:paraId="279B911C">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p w14:paraId="0D4D645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1.检测技术：试剂采用一步法多重实时荧光RT-PCR，试剂盒为同一厂家，试剂盒共用同一套反应体系及扩增程序，每管反应体系≤25ul，扩增时间≤70min。</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2.检测性能：灵敏度5*102copies/mL，线性范围：5*102-2*1010 copies/mL，精密度：检测精密度参考品的变异系数＜5％。</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3.质量控制：含有阴阳性对照，便于结果判定。</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4.包装及分装：采用预混液技术，反应液1管，酶混合液1管。</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5.生产厂家有甲型或甲乙流注册证。</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6.有效期：12个月，到货后质保期≥10个月。</w:t>
            </w:r>
          </w:p>
        </w:tc>
        <w:tc>
          <w:tcPr>
            <w:tcW w:w="888" w:type="dxa"/>
            <w:tcBorders>
              <w:top w:val="nil"/>
              <w:left w:val="single" w:color="000000" w:sz="4" w:space="0"/>
              <w:bottom w:val="single" w:color="000000" w:sz="4" w:space="0"/>
              <w:right w:val="single" w:color="000000" w:sz="4" w:space="0"/>
            </w:tcBorders>
            <w:noWrap w:val="0"/>
            <w:vAlign w:val="center"/>
          </w:tcPr>
          <w:p w14:paraId="31727B75">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腹泻症候群22种肠病原核酸多重实时荧光PCR检测试剂盒</w:t>
            </w:r>
          </w:p>
        </w:tc>
        <w:tc>
          <w:tcPr>
            <w:tcW w:w="6325" w:type="dxa"/>
            <w:vMerge w:val="restart"/>
            <w:tcBorders>
              <w:top w:val="nil"/>
              <w:left w:val="single" w:color="000000" w:sz="4" w:space="0"/>
              <w:bottom w:val="nil"/>
              <w:right w:val="single" w:color="000000" w:sz="4" w:space="0"/>
            </w:tcBorders>
            <w:noWrap w:val="0"/>
            <w:vAlign w:val="center"/>
          </w:tcPr>
          <w:p w14:paraId="2B5DCA4D">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1.适用机型：开放型平台，可适用于各种多通道校正的全自动荧光PCR检测仪。</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2.适用范围：适用于定性检测从于鼻咽拭子、口咽拭子、肺泡灌洗液、痰液等呼吸道样本中提取的甲/乙型流感病毒、新型冠状病毒（N、ORF1ab基因 ）、呼吸道合胞病毒、人偏肺病毒、腺病毒、肠道病毒、人副流感病毒、人冠状病毒、人博卡病毒、A组链球菌、鼻病毒、百日咳鲍特菌、肺炎支原体、流感嗜血杆菌、肺炎链球菌、肺炎衣原体、军团菌、鹦鹉热衣原体、曲霉菌、隐球菌、肺炎克雷伯菌。</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3.检测技术：多重实时荧光PCR技术。</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4.检测性能：灵敏度最低500copies/mL，与其他病原菌均无交叉反应。</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5.检测时间：最多采用7管一次性完成21个病原体基因型的定性检测。反应体系≤25μL，反应理论时长≤31分钟，反应全流程时长≤60min。</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6.荧光PCR反应程序：50℃ 7min；95℃ 30sec；95℃ 5sec，55℃ 30sec（单点采集荧光） 40个循环。PCR扩增不设置预循环，从第一个循环数开始读取荧光值。</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7.质量控制：含有阴性对照、阳性对照及内参，便于结果判定。采用人源的核糖核酸酶 P(RNP)作为内参基因，可以对样本采集和提取过程进行监控，最大程度避免假阴性的产生。</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8.试剂规格：每盒的检测量至少48T，并可同时提供24T包装。</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9.有效期：不少于12个月，到货后质保期不少于10个月</w:t>
            </w:r>
            <w:r>
              <w:rPr>
                <w:rFonts w:hint="eastAsia" w:ascii="新宋体" w:hAnsi="新宋体" w:eastAsia="新宋体" w:cs="新宋体"/>
                <w:i w:val="0"/>
                <w:iCs w:val="0"/>
                <w:color w:val="000000"/>
                <w:kern w:val="0"/>
                <w:sz w:val="18"/>
                <w:szCs w:val="18"/>
                <w:u w:val="none"/>
                <w:lang w:val="en-US" w:eastAsia="zh-CN" w:bidi="ar"/>
              </w:rPr>
              <w:br w:type="textWrapping"/>
            </w:r>
          </w:p>
        </w:tc>
      </w:tr>
      <w:tr w14:paraId="5277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2A95A860">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3083" w:type="dxa"/>
            <w:tcBorders>
              <w:top w:val="single" w:color="000000" w:sz="4" w:space="0"/>
              <w:left w:val="nil"/>
              <w:bottom w:val="single" w:color="000000" w:sz="4" w:space="0"/>
              <w:right w:val="single" w:color="000000" w:sz="4" w:space="0"/>
            </w:tcBorders>
            <w:noWrap w:val="0"/>
            <w:vAlign w:val="center"/>
          </w:tcPr>
          <w:p w14:paraId="0861754C">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致病菌呼吸道症候群核酸多重实时荧光PCR检测试剂盒（检测目标：肺炎链球菌、流感嗜血杆菌、百日咳鲍特菌、A族链球菌、肺炎支原体、肺炎衣原体、鹦鹉热衣原体、军团菌、肺炎克雷伯菌、曲霉菌、隐球菌、耶氏肺抱子菌）</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668800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1F77C0C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759B5B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nil"/>
              <w:left w:val="single" w:color="000000" w:sz="4" w:space="0"/>
              <w:bottom w:val="single" w:color="000000" w:sz="4" w:space="0"/>
              <w:right w:val="single" w:color="000000" w:sz="4" w:space="0"/>
            </w:tcBorders>
            <w:noWrap w:val="0"/>
            <w:vAlign w:val="center"/>
          </w:tcPr>
          <w:p w14:paraId="25049566">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83865D7">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国家急性呼吸道传染病多病源核酸检测试剂盒15+6TaqMan探针法</w:t>
            </w:r>
          </w:p>
        </w:tc>
        <w:tc>
          <w:tcPr>
            <w:tcW w:w="6325" w:type="dxa"/>
            <w:vMerge w:val="continue"/>
            <w:tcBorders>
              <w:top w:val="nil"/>
              <w:left w:val="single" w:color="000000" w:sz="4" w:space="0"/>
              <w:bottom w:val="nil"/>
              <w:right w:val="single" w:color="000000" w:sz="4" w:space="0"/>
            </w:tcBorders>
            <w:noWrap w:val="0"/>
            <w:vAlign w:val="center"/>
          </w:tcPr>
          <w:p w14:paraId="7461A173">
            <w:pPr>
              <w:jc w:val="left"/>
              <w:rPr>
                <w:rFonts w:hint="eastAsia" w:ascii="新宋体" w:hAnsi="新宋体" w:eastAsia="新宋体" w:cs="新宋体"/>
                <w:i w:val="0"/>
                <w:iCs w:val="0"/>
                <w:color w:val="000000"/>
                <w:sz w:val="18"/>
                <w:szCs w:val="18"/>
                <w:u w:val="none"/>
              </w:rPr>
            </w:pPr>
          </w:p>
        </w:tc>
      </w:tr>
      <w:tr w14:paraId="61C3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068695D1">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w:t>
            </w:r>
          </w:p>
        </w:tc>
        <w:tc>
          <w:tcPr>
            <w:tcW w:w="3083" w:type="dxa"/>
            <w:tcBorders>
              <w:top w:val="single" w:color="000000" w:sz="4" w:space="0"/>
              <w:left w:val="nil"/>
              <w:bottom w:val="single" w:color="000000" w:sz="4" w:space="0"/>
              <w:right w:val="single" w:color="000000" w:sz="4" w:space="0"/>
            </w:tcBorders>
            <w:noWrap w:val="0"/>
            <w:vAlign w:val="center"/>
          </w:tcPr>
          <w:p w14:paraId="34C1F685">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致病菌脑炎脑膜炎症候群核酸多重实时荧光PCR检测试剂盒（检测目标：脑膜炎奈瑟菌、流感嗜血杆菌、肺炎链球菌、A族链球菌、大肠杆菌、金黄色葡萄球菌、单增李斯特菌、无乳链球菌、猪链球菌、结核分枝杆菌、新型隐球菌）</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24E265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08A13CC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ED2FF4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nil"/>
              <w:left w:val="single" w:color="000000" w:sz="4" w:space="0"/>
              <w:bottom w:val="single" w:color="000000" w:sz="4" w:space="0"/>
              <w:right w:val="single" w:color="000000" w:sz="4" w:space="0"/>
            </w:tcBorders>
            <w:noWrap w:val="0"/>
            <w:vAlign w:val="center"/>
          </w:tcPr>
          <w:p w14:paraId="28A741A3">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40ED9B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c>
          <w:tcPr>
            <w:tcW w:w="6325" w:type="dxa"/>
            <w:vMerge w:val="continue"/>
            <w:tcBorders>
              <w:top w:val="nil"/>
              <w:left w:val="single" w:color="000000" w:sz="4" w:space="0"/>
              <w:bottom w:val="nil"/>
              <w:right w:val="single" w:color="000000" w:sz="4" w:space="0"/>
            </w:tcBorders>
            <w:noWrap w:val="0"/>
            <w:vAlign w:val="center"/>
          </w:tcPr>
          <w:p w14:paraId="0DC1FA98">
            <w:pPr>
              <w:jc w:val="left"/>
              <w:rPr>
                <w:rFonts w:hint="eastAsia" w:ascii="新宋体" w:hAnsi="新宋体" w:eastAsia="新宋体" w:cs="新宋体"/>
                <w:i w:val="0"/>
                <w:iCs w:val="0"/>
                <w:color w:val="000000"/>
                <w:sz w:val="18"/>
                <w:szCs w:val="18"/>
                <w:u w:val="none"/>
              </w:rPr>
            </w:pPr>
          </w:p>
        </w:tc>
      </w:tr>
      <w:tr w14:paraId="4AA3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39BA104B">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w:t>
            </w:r>
          </w:p>
        </w:tc>
        <w:tc>
          <w:tcPr>
            <w:tcW w:w="3083" w:type="dxa"/>
            <w:tcBorders>
              <w:top w:val="single" w:color="000000" w:sz="4" w:space="0"/>
              <w:left w:val="nil"/>
              <w:bottom w:val="single" w:color="000000" w:sz="4" w:space="0"/>
              <w:right w:val="single" w:color="000000" w:sz="4" w:space="0"/>
            </w:tcBorders>
            <w:noWrap w:val="0"/>
            <w:vAlign w:val="center"/>
          </w:tcPr>
          <w:p w14:paraId="40FDFE2E">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致病菌其他发热症候群核酸多重实时荧光PCR检测试剂盒（检测目标：伤寒沙门菌、副伤寒沙门菌、脑膜炎奈瑟菌、A族链球菌、伯氏疏螺旋体、立克次体、无形体、埃立克体、钩端螺旋体、猪链球菌、鼠疫耶尔森菌、布鲁氏菌、曲霉菌、隐球菌、耶氏肺孢子菌）</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FE913C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0DA9B3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77D4F27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nil"/>
              <w:left w:val="single" w:color="000000" w:sz="4" w:space="0"/>
              <w:bottom w:val="single" w:color="000000" w:sz="4" w:space="0"/>
              <w:right w:val="single" w:color="000000" w:sz="4" w:space="0"/>
            </w:tcBorders>
            <w:noWrap w:val="0"/>
            <w:vAlign w:val="center"/>
          </w:tcPr>
          <w:p w14:paraId="41094226">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0F75B6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c>
          <w:tcPr>
            <w:tcW w:w="6325" w:type="dxa"/>
            <w:vMerge w:val="continue"/>
            <w:tcBorders>
              <w:top w:val="nil"/>
              <w:left w:val="single" w:color="000000" w:sz="4" w:space="0"/>
              <w:bottom w:val="nil"/>
              <w:right w:val="single" w:color="000000" w:sz="4" w:space="0"/>
            </w:tcBorders>
            <w:noWrap w:val="0"/>
            <w:vAlign w:val="center"/>
          </w:tcPr>
          <w:p w14:paraId="5889635A">
            <w:pPr>
              <w:jc w:val="left"/>
              <w:rPr>
                <w:rFonts w:hint="eastAsia" w:ascii="新宋体" w:hAnsi="新宋体" w:eastAsia="新宋体" w:cs="新宋体"/>
                <w:i w:val="0"/>
                <w:iCs w:val="0"/>
                <w:color w:val="000000"/>
                <w:sz w:val="18"/>
                <w:szCs w:val="18"/>
                <w:u w:val="none"/>
              </w:rPr>
            </w:pPr>
          </w:p>
        </w:tc>
      </w:tr>
      <w:tr w14:paraId="328C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737C59EB">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w:t>
            </w:r>
          </w:p>
        </w:tc>
        <w:tc>
          <w:tcPr>
            <w:tcW w:w="3083" w:type="dxa"/>
            <w:tcBorders>
              <w:top w:val="single" w:color="000000" w:sz="4" w:space="0"/>
              <w:left w:val="nil"/>
              <w:bottom w:val="single" w:color="000000" w:sz="4" w:space="0"/>
              <w:right w:val="single" w:color="000000" w:sz="4" w:space="0"/>
            </w:tcBorders>
            <w:noWrap w:val="0"/>
            <w:vAlign w:val="center"/>
          </w:tcPr>
          <w:p w14:paraId="5B52B134">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志贺毒素大肠埃希氏菌（STEC）7种血清分型核酸多重实时荧光PCR检测试剂盒（检测目标：O26、O45、O103、O111、O121、O145和O157）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8053A0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60F2787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6F9107D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nil"/>
              <w:left w:val="single" w:color="000000" w:sz="4" w:space="0"/>
              <w:bottom w:val="single" w:color="000000" w:sz="4" w:space="0"/>
              <w:right w:val="single" w:color="000000" w:sz="4" w:space="0"/>
            </w:tcBorders>
            <w:noWrap w:val="0"/>
            <w:vAlign w:val="center"/>
          </w:tcPr>
          <w:p w14:paraId="07D39B48">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949B94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c>
          <w:tcPr>
            <w:tcW w:w="6325" w:type="dxa"/>
            <w:tcBorders>
              <w:top w:val="single" w:color="000000" w:sz="4" w:space="0"/>
              <w:left w:val="single" w:color="000000" w:sz="4" w:space="0"/>
              <w:bottom w:val="single" w:color="000000" w:sz="4" w:space="0"/>
              <w:right w:val="single" w:color="000000" w:sz="4" w:space="0"/>
            </w:tcBorders>
            <w:noWrap/>
            <w:vAlign w:val="bottom"/>
          </w:tcPr>
          <w:p w14:paraId="45EB0619">
            <w:pPr>
              <w:rPr>
                <w:rFonts w:hint="eastAsia" w:ascii="新宋体" w:hAnsi="新宋体" w:eastAsia="新宋体" w:cs="新宋体"/>
                <w:i w:val="0"/>
                <w:iCs w:val="0"/>
                <w:color w:val="000000"/>
                <w:sz w:val="18"/>
                <w:szCs w:val="18"/>
                <w:u w:val="none"/>
              </w:rPr>
            </w:pPr>
          </w:p>
        </w:tc>
      </w:tr>
      <w:tr w14:paraId="1479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3B59">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w:t>
            </w:r>
          </w:p>
        </w:tc>
        <w:tc>
          <w:tcPr>
            <w:tcW w:w="3083" w:type="dxa"/>
            <w:tcBorders>
              <w:top w:val="single" w:color="000000" w:sz="4" w:space="0"/>
              <w:left w:val="nil"/>
              <w:bottom w:val="single" w:color="000000" w:sz="4" w:space="0"/>
              <w:right w:val="single" w:color="000000" w:sz="4" w:space="0"/>
            </w:tcBorders>
            <w:shd w:val="clear" w:color="auto" w:fill="FFFFFF"/>
            <w:noWrap w:val="0"/>
            <w:vAlign w:val="center"/>
          </w:tcPr>
          <w:p w14:paraId="118697E5">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肺炎链球菌血清分型核酸多重实时荧光PCR检测试剂盒（检测目标：1、2、3、4、5、6B/6D、6A/6B、7F/7A、8、9V/9A、9L/9N、10A、11A/11D/11E、12F/44、14、15B/15C、17F、18C/18F/18B/18A、19A、19F、20、22F、23F、33A/33F/37）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6690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10T/盒</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5DF3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B3C2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6434D2D3">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73B1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c>
          <w:tcPr>
            <w:tcW w:w="6325" w:type="dxa"/>
            <w:tcBorders>
              <w:top w:val="single" w:color="000000" w:sz="4" w:space="0"/>
              <w:left w:val="single" w:color="000000" w:sz="4" w:space="0"/>
              <w:bottom w:val="single" w:color="000000" w:sz="4" w:space="0"/>
              <w:right w:val="single" w:color="000000" w:sz="4" w:space="0"/>
            </w:tcBorders>
            <w:noWrap/>
            <w:vAlign w:val="bottom"/>
          </w:tcPr>
          <w:p w14:paraId="4638E885">
            <w:pPr>
              <w:rPr>
                <w:rFonts w:hint="eastAsia" w:ascii="新宋体" w:hAnsi="新宋体" w:eastAsia="新宋体" w:cs="新宋体"/>
                <w:i w:val="0"/>
                <w:iCs w:val="0"/>
                <w:color w:val="000000"/>
                <w:sz w:val="18"/>
                <w:szCs w:val="18"/>
                <w:u w:val="none"/>
              </w:rPr>
            </w:pPr>
          </w:p>
        </w:tc>
      </w:tr>
      <w:tr w14:paraId="4ED8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4572550A">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7</w:t>
            </w:r>
          </w:p>
        </w:tc>
        <w:tc>
          <w:tcPr>
            <w:tcW w:w="3083" w:type="dxa"/>
            <w:tcBorders>
              <w:top w:val="single" w:color="000000" w:sz="4" w:space="0"/>
              <w:left w:val="nil"/>
              <w:bottom w:val="single" w:color="000000" w:sz="4" w:space="0"/>
              <w:right w:val="single" w:color="000000" w:sz="4" w:space="0"/>
            </w:tcBorders>
            <w:noWrap w:val="0"/>
            <w:vAlign w:val="center"/>
          </w:tcPr>
          <w:p w14:paraId="116B81F5">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流感嗜血杆菌6种血清分型核酸多重实时荧光PCR检测试剂盒(检测目标：血清型a、b、c、d、e、f)</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75AAA6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12D3B07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176925C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nil"/>
              <w:left w:val="single" w:color="000000" w:sz="4" w:space="0"/>
              <w:bottom w:val="single" w:color="000000" w:sz="4" w:space="0"/>
              <w:right w:val="single" w:color="000000" w:sz="4" w:space="0"/>
            </w:tcBorders>
            <w:noWrap w:val="0"/>
            <w:vAlign w:val="center"/>
          </w:tcPr>
          <w:p w14:paraId="2A9697C5">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265015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c>
          <w:tcPr>
            <w:tcW w:w="6325" w:type="dxa"/>
            <w:vMerge w:val="restart"/>
            <w:tcBorders>
              <w:top w:val="single" w:color="000000" w:sz="4" w:space="0"/>
              <w:left w:val="single" w:color="000000" w:sz="4" w:space="0"/>
              <w:bottom w:val="single" w:color="000000" w:sz="4" w:space="0"/>
              <w:right w:val="single" w:color="000000" w:sz="4" w:space="0"/>
            </w:tcBorders>
            <w:noWrap w:val="0"/>
            <w:vAlign w:val="bottom"/>
          </w:tcPr>
          <w:p w14:paraId="2EE4356F">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1、三管检测五种致泄大肠的12个毒力基因（ipaH、LT、stp、sth、bfp、escV、stx1、stx2、aggR、pic、astA、uidA）。</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2、-20±5℃以下冷冻保存，稳定性好，有效期12个月。</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3、试剂盒包装规格：24T/盒、48T/盒、25T/盒、50T/盒，可提供24T/盒、48T/盒石蜡预分装形式。</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4、试剂盒组分：PCR反应液、混合酶液、阴性对照、阳性对照、DNA提取液、说明书。阴性对照、阳性对照可直接使用，无需参与核酸提取。</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5、配液简便：PCR反应液19.5μL和混合酶液0.5μL；模板：5μL。总反应体系为25μL。</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6、反应程序为： 50℃ 2min；95℃ 3min；95℃ 5sec，55℃ 30sec（单点采集荧光） 40个循环。PCR扩增不设置预循环，从第一个循环数开始读取荧光值。</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7、所有DNA试剂盒反应程序要求一致可以同时在同一台PCR仪器上进行检测。</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8、检测灵敏度不低于500copies/mL。</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9、检测精密度：重复检测精密性，检测结果批内和批间变异系数（CV%）&lt;5%。</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10、开放性机型，适ABI系列仪器、Roche系列仪器等多种荧光PCR仪器。</w:t>
            </w:r>
          </w:p>
        </w:tc>
      </w:tr>
      <w:tr w14:paraId="7935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7050C899">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8</w:t>
            </w:r>
          </w:p>
        </w:tc>
        <w:tc>
          <w:tcPr>
            <w:tcW w:w="3083" w:type="dxa"/>
            <w:tcBorders>
              <w:top w:val="single" w:color="000000" w:sz="4" w:space="0"/>
              <w:left w:val="nil"/>
              <w:bottom w:val="single" w:color="000000" w:sz="4" w:space="0"/>
              <w:right w:val="single" w:color="000000" w:sz="4" w:space="0"/>
            </w:tcBorders>
            <w:noWrap w:val="0"/>
            <w:vAlign w:val="center"/>
          </w:tcPr>
          <w:p w14:paraId="45E0013E">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肺炎克雷伯菌血清分型核酸多重实时荧光PCR检测试剂盒(检测目标：血清型K1、K2、K5、K20、K54、K57)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888151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A7F8F1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752766A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nil"/>
              <w:left w:val="single" w:color="000000" w:sz="4" w:space="0"/>
              <w:bottom w:val="single" w:color="000000" w:sz="4" w:space="0"/>
              <w:right w:val="single" w:color="000000" w:sz="4" w:space="0"/>
            </w:tcBorders>
            <w:noWrap w:val="0"/>
            <w:vAlign w:val="center"/>
          </w:tcPr>
          <w:p w14:paraId="4727920E">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58979E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c>
          <w:tcPr>
            <w:tcW w:w="6325" w:type="dxa"/>
            <w:vMerge w:val="continue"/>
            <w:tcBorders>
              <w:top w:val="single" w:color="000000" w:sz="4" w:space="0"/>
              <w:left w:val="single" w:color="000000" w:sz="4" w:space="0"/>
              <w:bottom w:val="single" w:color="000000" w:sz="4" w:space="0"/>
              <w:right w:val="single" w:color="000000" w:sz="4" w:space="0"/>
            </w:tcBorders>
            <w:noWrap w:val="0"/>
            <w:vAlign w:val="bottom"/>
          </w:tcPr>
          <w:p w14:paraId="708DD76A">
            <w:pPr>
              <w:jc w:val="center"/>
              <w:rPr>
                <w:rFonts w:hint="eastAsia" w:ascii="新宋体" w:hAnsi="新宋体" w:eastAsia="新宋体" w:cs="新宋体"/>
                <w:i w:val="0"/>
                <w:iCs w:val="0"/>
                <w:color w:val="000000"/>
                <w:sz w:val="18"/>
                <w:szCs w:val="18"/>
                <w:u w:val="none"/>
              </w:rPr>
            </w:pPr>
          </w:p>
        </w:tc>
      </w:tr>
      <w:tr w14:paraId="0F02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F1C2">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9</w:t>
            </w:r>
          </w:p>
        </w:tc>
        <w:tc>
          <w:tcPr>
            <w:tcW w:w="3083" w:type="dxa"/>
            <w:tcBorders>
              <w:top w:val="single" w:color="000000" w:sz="4" w:space="0"/>
              <w:left w:val="nil"/>
              <w:bottom w:val="single" w:color="000000" w:sz="4" w:space="0"/>
              <w:right w:val="single" w:color="000000" w:sz="4" w:space="0"/>
            </w:tcBorders>
            <w:shd w:val="clear" w:color="auto" w:fill="FFFFFF"/>
            <w:noWrap w:val="0"/>
            <w:vAlign w:val="center"/>
          </w:tcPr>
          <w:p w14:paraId="38D88F0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五种致泻大肠埃希氏菌核酸多重实时荧光PCR检测试剂盒（C版本）（检测目标：肠致病性（EPEC）、肠出血性（EHEC）、肠产毒性（ETEC）、肠侵袭性（EIEC）、肠粘附性（EAEC）五种致病型别）</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20A4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25T/盒</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18A3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AFB6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0C1C1A8">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D2F5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c>
          <w:tcPr>
            <w:tcW w:w="6325" w:type="dxa"/>
            <w:vMerge w:val="continue"/>
            <w:tcBorders>
              <w:top w:val="single" w:color="000000" w:sz="4" w:space="0"/>
              <w:left w:val="single" w:color="000000" w:sz="4" w:space="0"/>
              <w:bottom w:val="single" w:color="000000" w:sz="4" w:space="0"/>
              <w:right w:val="single" w:color="000000" w:sz="4" w:space="0"/>
            </w:tcBorders>
            <w:noWrap w:val="0"/>
            <w:vAlign w:val="bottom"/>
          </w:tcPr>
          <w:p w14:paraId="52F0B7E5">
            <w:pPr>
              <w:jc w:val="center"/>
              <w:rPr>
                <w:rFonts w:hint="eastAsia" w:ascii="新宋体" w:hAnsi="新宋体" w:eastAsia="新宋体" w:cs="新宋体"/>
                <w:i w:val="0"/>
                <w:iCs w:val="0"/>
                <w:color w:val="000000"/>
                <w:sz w:val="18"/>
                <w:szCs w:val="18"/>
                <w:u w:val="none"/>
              </w:rPr>
            </w:pPr>
          </w:p>
        </w:tc>
      </w:tr>
      <w:tr w14:paraId="290C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E88A">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w:t>
            </w:r>
          </w:p>
        </w:tc>
        <w:tc>
          <w:tcPr>
            <w:tcW w:w="3083" w:type="dxa"/>
            <w:tcBorders>
              <w:top w:val="single" w:color="000000" w:sz="4" w:space="0"/>
              <w:left w:val="nil"/>
              <w:bottom w:val="single" w:color="000000" w:sz="4" w:space="0"/>
              <w:right w:val="single" w:color="000000" w:sz="4" w:space="0"/>
            </w:tcBorders>
            <w:shd w:val="clear" w:color="auto" w:fill="auto"/>
            <w:noWrap w:val="0"/>
            <w:vAlign w:val="center"/>
          </w:tcPr>
          <w:p w14:paraId="19F01AD6">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致病菌药敏试剂（霍乱弧菌沙门、志贺、弯曲菌、致泻性大肠埃希氏菌、肺炎克雷伯菌、鲍曼不动杆菌、金黄色葡萄球菌、脑膜炎奈瑟菌、肺炎链球菌、A族链球菌、无乳链球菌）</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531B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10块/盒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5C69FD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19875A4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nil"/>
              <w:left w:val="single" w:color="000000" w:sz="4" w:space="0"/>
              <w:bottom w:val="single" w:color="000000" w:sz="4" w:space="0"/>
              <w:right w:val="single" w:color="000000" w:sz="4" w:space="0"/>
            </w:tcBorders>
            <w:noWrap w:val="0"/>
            <w:vAlign w:val="center"/>
          </w:tcPr>
          <w:p w14:paraId="13CC8575">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1CE3BC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c>
          <w:tcPr>
            <w:tcW w:w="6325" w:type="dxa"/>
            <w:tcBorders>
              <w:top w:val="single" w:color="000000" w:sz="4" w:space="0"/>
              <w:left w:val="single" w:color="000000" w:sz="4" w:space="0"/>
              <w:bottom w:val="single" w:color="000000" w:sz="4" w:space="0"/>
              <w:right w:val="single" w:color="000000" w:sz="4" w:space="0"/>
            </w:tcBorders>
            <w:noWrap/>
            <w:vAlign w:val="bottom"/>
          </w:tcPr>
          <w:p w14:paraId="69EB6CA0">
            <w:pPr>
              <w:rPr>
                <w:rFonts w:hint="eastAsia" w:ascii="新宋体" w:hAnsi="新宋体" w:eastAsia="新宋体" w:cs="新宋体"/>
                <w:i w:val="0"/>
                <w:iCs w:val="0"/>
                <w:color w:val="000000"/>
                <w:sz w:val="18"/>
                <w:szCs w:val="18"/>
                <w:u w:val="none"/>
              </w:rPr>
            </w:pPr>
          </w:p>
        </w:tc>
      </w:tr>
      <w:tr w14:paraId="5EC6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57F83875">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11</w:t>
            </w:r>
          </w:p>
        </w:tc>
        <w:tc>
          <w:tcPr>
            <w:tcW w:w="3083" w:type="dxa"/>
            <w:tcBorders>
              <w:top w:val="single" w:color="000000" w:sz="4" w:space="0"/>
              <w:left w:val="nil"/>
              <w:bottom w:val="single" w:color="000000" w:sz="4" w:space="0"/>
              <w:right w:val="single" w:color="000000" w:sz="4" w:space="0"/>
            </w:tcBorders>
            <w:noWrap w:val="0"/>
            <w:vAlign w:val="center"/>
          </w:tcPr>
          <w:p w14:paraId="23FDCF4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百日咳/副百日咳鲍特菌样本运送增菌分离培养检测试剂盒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FD51CE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5"/>
                <w:szCs w:val="15"/>
                <w:u w:val="none"/>
                <w:lang w:val="en-US" w:eastAsia="zh-CN" w:bidi="ar"/>
              </w:rPr>
              <w:t>内含：木炭选择性琼脂平板（90mm*5 块/包*4）； 脑膜炎奈瑟菌、流感嗜血杆菌、百日咳杆 菌运送培养基（1.8mL*20 支/盒）；一次性植绒拭子（20 支/盒）；百日咳增菌液（20 支/盒）；</w:t>
            </w:r>
            <w:r>
              <w:rPr>
                <w:rFonts w:hint="eastAsia" w:ascii="新宋体" w:hAnsi="新宋体" w:eastAsia="新宋体" w:cs="新宋体"/>
                <w:i w:val="0"/>
                <w:iCs w:val="0"/>
                <w:color w:val="000000"/>
                <w:kern w:val="0"/>
                <w:sz w:val="15"/>
                <w:szCs w:val="15"/>
                <w:u w:val="none"/>
                <w:lang w:val="en-US" w:eastAsia="zh-CN" w:bidi="ar"/>
              </w:rPr>
              <w:br w:type="textWrapping"/>
            </w:r>
            <w:r>
              <w:rPr>
                <w:rFonts w:hint="eastAsia" w:ascii="新宋体" w:hAnsi="新宋体" w:eastAsia="新宋体" w:cs="新宋体"/>
                <w:i w:val="0"/>
                <w:iCs w:val="0"/>
                <w:color w:val="000000"/>
                <w:kern w:val="0"/>
                <w:sz w:val="15"/>
                <w:szCs w:val="15"/>
                <w:u w:val="none"/>
                <w:lang w:val="en-US" w:eastAsia="zh-CN" w:bidi="ar"/>
              </w:rPr>
              <w:t>百日咳样本采集液（2ml*20 支/盒）20T/盒；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4A915B0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730D5A3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nil"/>
              <w:left w:val="single" w:color="000000" w:sz="4" w:space="0"/>
              <w:bottom w:val="single" w:color="000000" w:sz="4" w:space="0"/>
              <w:right w:val="single" w:color="000000" w:sz="4" w:space="0"/>
            </w:tcBorders>
            <w:noWrap w:val="0"/>
            <w:vAlign w:val="center"/>
          </w:tcPr>
          <w:p w14:paraId="0DDA6B34">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84B81C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c>
          <w:tcPr>
            <w:tcW w:w="6325" w:type="dxa"/>
            <w:tcBorders>
              <w:top w:val="single" w:color="000000" w:sz="4" w:space="0"/>
              <w:left w:val="single" w:color="000000" w:sz="4" w:space="0"/>
              <w:bottom w:val="single" w:color="000000" w:sz="4" w:space="0"/>
              <w:right w:val="single" w:color="000000" w:sz="4" w:space="0"/>
            </w:tcBorders>
            <w:noWrap w:val="0"/>
            <w:vAlign w:val="center"/>
          </w:tcPr>
          <w:p w14:paraId="183C3FF0">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主要用于人鼻咽部粘膜样本的百日咳鲍 特菌和副百日咳鲍特菌的采样、运输、增菌和分离培养。</w:t>
            </w:r>
          </w:p>
        </w:tc>
      </w:tr>
      <w:tr w14:paraId="7260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787E">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12</w:t>
            </w:r>
          </w:p>
        </w:tc>
        <w:tc>
          <w:tcPr>
            <w:tcW w:w="3083" w:type="dxa"/>
            <w:tcBorders>
              <w:top w:val="single" w:color="000000" w:sz="4" w:space="0"/>
              <w:left w:val="nil"/>
              <w:bottom w:val="single" w:color="000000" w:sz="4" w:space="0"/>
              <w:right w:val="single" w:color="000000" w:sz="4" w:space="0"/>
            </w:tcBorders>
            <w:shd w:val="clear" w:color="auto" w:fill="FFFFFF"/>
            <w:noWrap w:val="0"/>
            <w:vAlign w:val="center"/>
          </w:tcPr>
          <w:p w14:paraId="5D4BFC7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百日咳，副百日咳、霍氏鲍特菌三重核酸检测试剂盒（荧光PCR）</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C44D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50T/盒</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CDF6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4930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BBB5780">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912F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c>
          <w:tcPr>
            <w:tcW w:w="6325" w:type="dxa"/>
            <w:vMerge w:val="restart"/>
            <w:tcBorders>
              <w:top w:val="single" w:color="000000" w:sz="4" w:space="0"/>
              <w:left w:val="single" w:color="000000" w:sz="4" w:space="0"/>
              <w:bottom w:val="single" w:color="000000" w:sz="4" w:space="0"/>
              <w:right w:val="single" w:color="000000" w:sz="4" w:space="0"/>
            </w:tcBorders>
            <w:noWrap w:val="0"/>
            <w:vAlign w:val="top"/>
          </w:tcPr>
          <w:p w14:paraId="01AA8542">
            <w:pPr>
              <w:keepNext w:val="0"/>
              <w:keepLines w:val="0"/>
              <w:widowControl/>
              <w:suppressLineNumbers w:val="0"/>
              <w:jc w:val="left"/>
              <w:textAlignment w:val="top"/>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1、一管检测病原福氏志贺氏菌1-5型、福氏志贺氏菌6型、宋内志贺氏菌、痢疾志贺氏菌1型。</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2、-20±5℃以下冷冻保存，稳定性好，有效期12个月。</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3、试剂盒包装规格：24T/盒、48T/盒、25T/盒、50T/盒，可提供24T/盒、48T/盒石蜡预分装形式。</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4、试剂盒组分：PCR反应液、混合酶液、阴性对照、阳性对照、DNA提取液、说明书。阴性对照、阳性对照可直接使用，无需参与核酸提取。</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5、配液简便：PCR反应液19.5μL和混合酶液0.5μL；模板：5μL。总反应体系为25μL。</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6、反应程序为： 50℃ 2min；95℃ 3min；95℃ 5sec，55℃ 30sec（单点采集荧光） 40个循环。PCR扩增不设置预循环，从第一个循环数开始读取荧光值。</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7、所有DNA试剂盒反应程序要求一致可以同时在同一台PCR仪器上进行检测。</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8、检测灵敏度不低于500copies/mL。</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9、检测精密度：重复检测精密性，检测结果批内和批间变异系数（CV%）&lt;5%。</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10、开放性机型，适ABI系列仪器、Roche系列仪器等多种荧光PCR仪器。</w:t>
            </w:r>
            <w:r>
              <w:rPr>
                <w:rFonts w:hint="eastAsia" w:ascii="新宋体" w:hAnsi="新宋体" w:eastAsia="新宋体" w:cs="新宋体"/>
                <w:i w:val="0"/>
                <w:iCs w:val="0"/>
                <w:color w:val="000000"/>
                <w:kern w:val="0"/>
                <w:sz w:val="18"/>
                <w:szCs w:val="18"/>
                <w:u w:val="none"/>
                <w:lang w:val="en-US" w:eastAsia="zh-CN" w:bidi="ar"/>
              </w:rPr>
              <w:br w:type="textWrapping"/>
            </w:r>
          </w:p>
        </w:tc>
      </w:tr>
      <w:tr w14:paraId="316A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7B80F68A">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13</w:t>
            </w:r>
          </w:p>
        </w:tc>
        <w:tc>
          <w:tcPr>
            <w:tcW w:w="3083" w:type="dxa"/>
            <w:tcBorders>
              <w:top w:val="single" w:color="000000" w:sz="4" w:space="0"/>
              <w:left w:val="nil"/>
              <w:bottom w:val="single" w:color="000000" w:sz="4" w:space="0"/>
              <w:right w:val="single" w:color="000000" w:sz="4" w:space="0"/>
            </w:tcBorders>
            <w:noWrap w:val="0"/>
            <w:vAlign w:val="center"/>
          </w:tcPr>
          <w:p w14:paraId="7A8FEED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四种志贺氏菌核酸多重 PCR 分</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型试剂盒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45B8AD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50T/盒（检测目标：于志贺氏菌中福氏 1-5 型（包括 X、Y 变异株）、福氏 6 型、宋内、痢疾Ⅰ型）</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30D6628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6AB42D0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nil"/>
              <w:left w:val="single" w:color="000000" w:sz="4" w:space="0"/>
              <w:bottom w:val="single" w:color="000000" w:sz="4" w:space="0"/>
              <w:right w:val="single" w:color="000000" w:sz="4" w:space="0"/>
            </w:tcBorders>
            <w:noWrap w:val="0"/>
            <w:vAlign w:val="center"/>
          </w:tcPr>
          <w:p w14:paraId="6F32694F">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2DE1C9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c>
          <w:tcPr>
            <w:tcW w:w="6325" w:type="dxa"/>
            <w:vMerge w:val="continue"/>
            <w:tcBorders>
              <w:top w:val="single" w:color="000000" w:sz="4" w:space="0"/>
              <w:left w:val="single" w:color="000000" w:sz="4" w:space="0"/>
              <w:bottom w:val="single" w:color="000000" w:sz="4" w:space="0"/>
              <w:right w:val="single" w:color="000000" w:sz="4" w:space="0"/>
            </w:tcBorders>
            <w:noWrap w:val="0"/>
            <w:vAlign w:val="top"/>
          </w:tcPr>
          <w:p w14:paraId="4ECDF60F">
            <w:pPr>
              <w:jc w:val="left"/>
              <w:rPr>
                <w:rFonts w:hint="eastAsia" w:ascii="新宋体" w:hAnsi="新宋体" w:eastAsia="新宋体" w:cs="新宋体"/>
                <w:i w:val="0"/>
                <w:iCs w:val="0"/>
                <w:color w:val="000000"/>
                <w:sz w:val="18"/>
                <w:szCs w:val="18"/>
                <w:u w:val="none"/>
              </w:rPr>
            </w:pPr>
          </w:p>
        </w:tc>
      </w:tr>
      <w:tr w14:paraId="6035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67AB">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14</w:t>
            </w:r>
          </w:p>
        </w:tc>
        <w:tc>
          <w:tcPr>
            <w:tcW w:w="3083" w:type="dxa"/>
            <w:tcBorders>
              <w:top w:val="single" w:color="000000" w:sz="4" w:space="0"/>
              <w:left w:val="nil"/>
              <w:bottom w:val="single" w:color="000000" w:sz="4" w:space="0"/>
              <w:right w:val="single" w:color="000000" w:sz="4" w:space="0"/>
            </w:tcBorders>
            <w:shd w:val="clear" w:color="auto" w:fill="FFFFFF"/>
            <w:noWrap w:val="0"/>
            <w:vAlign w:val="center"/>
          </w:tcPr>
          <w:p w14:paraId="2B82989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沙门氏菌血清（O、H）基因分型试剂盒（荧光PCR法）</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49D7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25T/盒，共204种血清型，</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2A7E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5393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159DB327">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5740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c>
          <w:tcPr>
            <w:tcW w:w="6325" w:type="dxa"/>
            <w:tcBorders>
              <w:top w:val="single" w:color="000000" w:sz="4" w:space="0"/>
              <w:left w:val="single" w:color="000000" w:sz="4" w:space="0"/>
              <w:bottom w:val="single" w:color="000000" w:sz="4" w:space="0"/>
              <w:right w:val="single" w:color="000000" w:sz="4" w:space="0"/>
            </w:tcBorders>
            <w:noWrap w:val="0"/>
            <w:vAlign w:val="bottom"/>
          </w:tcPr>
          <w:p w14:paraId="0CD0D136">
            <w:pPr>
              <w:keepNext w:val="0"/>
              <w:keepLines w:val="0"/>
              <w:widowControl/>
              <w:suppressLineNumbers w:val="0"/>
              <w:jc w:val="left"/>
              <w:textAlignment w:val="bottom"/>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包括阿巴埃特图巴、阿伯丁、阿邦尼、马流产、阿德莱、阿格伯尼、阿戈地、阿贡那、阿拉丘、阿尔巴尼、艾伯特、阿顿道夫、阿尔顿、阿姆德尼斯、阿木提夫、阿姆斯特丹、鸭、伊内霍、阿拉帕欧、阿雷查瓦莱塔、阿西尼、巴圭达、巴尔多、巴雷利、巴森海特、贝德福、布洛克利、波那雷思、波恩、病牛、布伦登卢普、勃兰登堡、布雷登尼、布里赫姆、布达佩斯、伯里、卡拉巴尔、加利福尼亚、卡诺、卡劳、塞罗、查理、昌丹斯、彻斯特、猪霍乱、克勒肯威尔、科林德尔、康科德、科瓦利斯、古巴、达布、达喀尔、德尔卑、德绍、迪尤波尔、伊林、伊斯特本、伊布利、爱丁堡、埃科、伊丽莎白维尔、依麦克、肠炎、埃森、法埃德、鸡、冈比亚、加明那拉、盖茨黑德、加瓦尼、格但斯克、吉韦、格罗斯出浦、戈丁根、黄金海岸、哈达尔、哈特福德、哈瓦那、海德堡、希林登、非丁伏斯、伊迪坎、印第安纳、婴儿、伊鲁穆、伊桑吉、以色列、伊斯坦布尔、伊图里、长湾尼、爪哇纳、耶路撒冷、卡拉姆、凯杜古、肯塔基、库马萨、基安布、启门萨、金迪亚、金斯顿、基桑加尼、科特布斯、拉古什、利戈、列克星敦、利密特、林登堡、利奇菲尔德、利物浦、利文斯通、罗米他、伦敦、卢肯瓦尔德、曼哈顿、姆班达卡、火鸡、迈阿密、三河岛、明尼苏达、密西西比、姆卡巴、莫拉德、蒙绍、蒙得维的亚、慕尼黑、明斯特、名古屋、那波利、习志野、恩昌加、纽兰、纽波特、新罗歇尔、俄亥俄、奥凯福科、奥雷宁堡、奥登内、奥里翁、奥里塔曼琳、奥斯陆、巴基斯坦、巴拿马、巴布亚、甲型副伤寒、乙型副伤寒、丙型副伤寒、普利茅斯、波摩那、浦那、波茨坦、里定、雷根特、里特、里吉尔、里森、鲁比斯劳、鲁齐齐、圣保罗、圣地亚哥、撒奥、索恩堡、胥伐成格隆、仙台、山夫登堡、芙蓉、上海、舒卜拉、新加坡、辛斯托夫、斯坦利、斯坦利维尔、斯特拉特福、松兹瓦尔、苏拉特、斯韦德维、塔科拉迪、塔科松尼、坦格、塔西尼、田纳西、汤卜逊、昂兹威、突尼斯、伤寒、鼠伤寒、鼠伤寒单相变种、乌干达、乌盖利、乌普萨拉、瓦伊勒、威尼斯、维尔肖、弗吉尼亚、旺兹沃思、温加塔、韦太夫雷登、西安普顿、威思顿、维也纳、维普拉、渥兴顿、雅拉巴、耶胡达、自贡</w:t>
            </w:r>
          </w:p>
        </w:tc>
      </w:tr>
      <w:tr w14:paraId="5C80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4163EF6D">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w:t>
            </w:r>
          </w:p>
        </w:tc>
        <w:tc>
          <w:tcPr>
            <w:tcW w:w="3083" w:type="dxa"/>
            <w:tcBorders>
              <w:top w:val="single" w:color="000000" w:sz="4" w:space="0"/>
              <w:left w:val="nil"/>
              <w:bottom w:val="single" w:color="000000" w:sz="4" w:space="0"/>
              <w:right w:val="single" w:color="000000" w:sz="4" w:space="0"/>
            </w:tcBorders>
            <w:noWrap w:val="0"/>
            <w:vAlign w:val="center"/>
          </w:tcPr>
          <w:p w14:paraId="696D26D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40种常见沙门菌PCR血清分型试剂（荧光PCR法）</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D255AA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25T</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66987DC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118AEFE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nil"/>
              <w:left w:val="single" w:color="000000" w:sz="4" w:space="0"/>
              <w:bottom w:val="single" w:color="000000" w:sz="4" w:space="0"/>
              <w:right w:val="single" w:color="000000" w:sz="4" w:space="0"/>
            </w:tcBorders>
            <w:noWrap w:val="0"/>
            <w:vAlign w:val="center"/>
          </w:tcPr>
          <w:p w14:paraId="5E41FDBA">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08920E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c>
          <w:tcPr>
            <w:tcW w:w="6325" w:type="dxa"/>
            <w:tcBorders>
              <w:top w:val="single" w:color="000000" w:sz="4" w:space="0"/>
              <w:left w:val="single" w:color="000000" w:sz="4" w:space="0"/>
              <w:bottom w:val="single" w:color="000000" w:sz="4" w:space="0"/>
              <w:right w:val="single" w:color="000000" w:sz="4" w:space="0"/>
            </w:tcBorders>
            <w:noWrap/>
            <w:vAlign w:val="bottom"/>
          </w:tcPr>
          <w:p w14:paraId="6E44A631">
            <w:pPr>
              <w:rPr>
                <w:rFonts w:hint="eastAsia" w:ascii="新宋体" w:hAnsi="新宋体" w:eastAsia="新宋体" w:cs="新宋体"/>
                <w:i w:val="0"/>
                <w:iCs w:val="0"/>
                <w:color w:val="000000"/>
                <w:sz w:val="18"/>
                <w:szCs w:val="18"/>
                <w:u w:val="none"/>
              </w:rPr>
            </w:pPr>
          </w:p>
        </w:tc>
      </w:tr>
      <w:tr w14:paraId="6363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0CD4">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16</w:t>
            </w:r>
          </w:p>
        </w:tc>
        <w:tc>
          <w:tcPr>
            <w:tcW w:w="3083" w:type="dxa"/>
            <w:tcBorders>
              <w:top w:val="single" w:color="000000" w:sz="4" w:space="0"/>
              <w:left w:val="nil"/>
              <w:bottom w:val="single" w:color="000000" w:sz="4" w:space="0"/>
              <w:right w:val="single" w:color="000000" w:sz="4" w:space="0"/>
            </w:tcBorders>
            <w:shd w:val="clear" w:color="auto" w:fill="FFFFFF"/>
            <w:noWrap w:val="0"/>
            <w:vAlign w:val="center"/>
          </w:tcPr>
          <w:p w14:paraId="19AA9B1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炭疽杆菌四重核酸检测试剂盒（探针法）</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3B45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（BA5345/pagA/Cap/Rpob基因）25T/盒</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A742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76CB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590D7A5">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CB33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2025年国家级致病菌识别网</w:t>
            </w:r>
          </w:p>
        </w:tc>
        <w:tc>
          <w:tcPr>
            <w:tcW w:w="6325" w:type="dxa"/>
            <w:tcBorders>
              <w:top w:val="single" w:color="000000" w:sz="4" w:space="0"/>
              <w:left w:val="single" w:color="000000" w:sz="4" w:space="0"/>
              <w:bottom w:val="single" w:color="000000" w:sz="4" w:space="0"/>
              <w:right w:val="single" w:color="000000" w:sz="4" w:space="0"/>
            </w:tcBorders>
            <w:noWrap/>
            <w:vAlign w:val="bottom"/>
          </w:tcPr>
          <w:p w14:paraId="3A1CB2A6">
            <w:pPr>
              <w:rPr>
                <w:rFonts w:hint="eastAsia" w:ascii="新宋体" w:hAnsi="新宋体" w:eastAsia="新宋体" w:cs="新宋体"/>
                <w:i w:val="0"/>
                <w:iCs w:val="0"/>
                <w:color w:val="000000"/>
                <w:sz w:val="18"/>
                <w:szCs w:val="18"/>
                <w:u w:val="none"/>
              </w:rPr>
            </w:pPr>
          </w:p>
        </w:tc>
      </w:tr>
      <w:tr w14:paraId="2C879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07EA3A64">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17</w:t>
            </w:r>
          </w:p>
        </w:tc>
        <w:tc>
          <w:tcPr>
            <w:tcW w:w="3083" w:type="dxa"/>
            <w:tcBorders>
              <w:top w:val="single" w:color="000000" w:sz="4" w:space="0"/>
              <w:left w:val="nil"/>
              <w:bottom w:val="single" w:color="000000" w:sz="4" w:space="0"/>
              <w:right w:val="single" w:color="000000" w:sz="4" w:space="0"/>
            </w:tcBorders>
            <w:noWrap w:val="0"/>
            <w:vAlign w:val="center"/>
          </w:tcPr>
          <w:p w14:paraId="25FFF95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霍乱弧菌实时荧光PCR检测试剂盒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3DF7C3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Style w:val="195"/>
                <w:rFonts w:hint="eastAsia" w:ascii="新宋体" w:hAnsi="新宋体" w:eastAsia="新宋体" w:cs="新宋体"/>
                <w:sz w:val="18"/>
                <w:szCs w:val="18"/>
                <w:lang w:val="en-US" w:eastAsia="zh-CN" w:bidi="ar"/>
              </w:rPr>
              <w:t>25T/</w:t>
            </w:r>
            <w:r>
              <w:rPr>
                <w:rFonts w:hint="eastAsia" w:ascii="新宋体" w:hAnsi="新宋体" w:eastAsia="新宋体" w:cs="新宋体"/>
                <w:i w:val="0"/>
                <w:iCs w:val="0"/>
                <w:color w:val="000000"/>
                <w:kern w:val="0"/>
                <w:sz w:val="18"/>
                <w:szCs w:val="18"/>
                <w:u w:val="none"/>
                <w:lang w:val="en-US" w:eastAsia="zh-CN" w:bidi="ar"/>
              </w:rPr>
              <w: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42FAA4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6B74001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restart"/>
            <w:tcBorders>
              <w:top w:val="single" w:color="000000" w:sz="4" w:space="0"/>
              <w:left w:val="single" w:color="000000" w:sz="4" w:space="0"/>
              <w:bottom w:val="single" w:color="000000" w:sz="4" w:space="0"/>
              <w:right w:val="single" w:color="000000" w:sz="4" w:space="0"/>
            </w:tcBorders>
            <w:noWrap w:val="0"/>
            <w:vAlign w:val="center"/>
          </w:tcPr>
          <w:p w14:paraId="6FBC354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5"/>
                <w:szCs w:val="15"/>
                <w:u w:val="none"/>
                <w:lang w:val="en-US" w:eastAsia="zh-CN" w:bidi="ar"/>
              </w:rPr>
              <w:t>1.检测技术：试剂采用一步法多重实时荧光RT-PCR，试剂盒为同一厂家，试剂盒共用同一套反应体系及扩增程序，每管反应体系≤25ul，扩增时间≤70min。</w:t>
            </w:r>
            <w:r>
              <w:rPr>
                <w:rFonts w:hint="eastAsia" w:ascii="新宋体" w:hAnsi="新宋体" w:eastAsia="新宋体" w:cs="新宋体"/>
                <w:i w:val="0"/>
                <w:iCs w:val="0"/>
                <w:color w:val="000000"/>
                <w:kern w:val="0"/>
                <w:sz w:val="15"/>
                <w:szCs w:val="15"/>
                <w:u w:val="none"/>
                <w:lang w:val="en-US" w:eastAsia="zh-CN" w:bidi="ar"/>
              </w:rPr>
              <w:br w:type="textWrapping"/>
            </w:r>
            <w:r>
              <w:rPr>
                <w:rFonts w:hint="eastAsia" w:ascii="新宋体" w:hAnsi="新宋体" w:eastAsia="新宋体" w:cs="新宋体"/>
                <w:i w:val="0"/>
                <w:iCs w:val="0"/>
                <w:color w:val="000000"/>
                <w:kern w:val="0"/>
                <w:sz w:val="15"/>
                <w:szCs w:val="15"/>
                <w:u w:val="none"/>
                <w:lang w:val="en-US" w:eastAsia="zh-CN" w:bidi="ar"/>
              </w:rPr>
              <w:t>2.检测性能：灵敏度5*102copies/mL，线性范围：5*102-2*1010 copies/mL，精密度：检测精密度参考品的变异系数＜5％。</w:t>
            </w:r>
            <w:r>
              <w:rPr>
                <w:rFonts w:hint="eastAsia" w:ascii="新宋体" w:hAnsi="新宋体" w:eastAsia="新宋体" w:cs="新宋体"/>
                <w:i w:val="0"/>
                <w:iCs w:val="0"/>
                <w:color w:val="000000"/>
                <w:kern w:val="0"/>
                <w:sz w:val="15"/>
                <w:szCs w:val="15"/>
                <w:u w:val="none"/>
                <w:lang w:val="en-US" w:eastAsia="zh-CN" w:bidi="ar"/>
              </w:rPr>
              <w:br w:type="textWrapping"/>
            </w:r>
            <w:r>
              <w:rPr>
                <w:rFonts w:hint="eastAsia" w:ascii="新宋体" w:hAnsi="新宋体" w:eastAsia="新宋体" w:cs="新宋体"/>
                <w:i w:val="0"/>
                <w:iCs w:val="0"/>
                <w:color w:val="000000"/>
                <w:kern w:val="0"/>
                <w:sz w:val="15"/>
                <w:szCs w:val="15"/>
                <w:u w:val="none"/>
                <w:lang w:val="en-US" w:eastAsia="zh-CN" w:bidi="ar"/>
              </w:rPr>
              <w:t>3.质量控制：含有阴阳性对照，便于结果判定。</w:t>
            </w:r>
            <w:r>
              <w:rPr>
                <w:rFonts w:hint="eastAsia" w:ascii="新宋体" w:hAnsi="新宋体" w:eastAsia="新宋体" w:cs="新宋体"/>
                <w:i w:val="0"/>
                <w:iCs w:val="0"/>
                <w:color w:val="000000"/>
                <w:kern w:val="0"/>
                <w:sz w:val="15"/>
                <w:szCs w:val="15"/>
                <w:u w:val="none"/>
                <w:lang w:val="en-US" w:eastAsia="zh-CN" w:bidi="ar"/>
              </w:rPr>
              <w:br w:type="textWrapping"/>
            </w:r>
            <w:r>
              <w:rPr>
                <w:rFonts w:hint="eastAsia" w:ascii="新宋体" w:hAnsi="新宋体" w:eastAsia="新宋体" w:cs="新宋体"/>
                <w:i w:val="0"/>
                <w:iCs w:val="0"/>
                <w:color w:val="000000"/>
                <w:kern w:val="0"/>
                <w:sz w:val="15"/>
                <w:szCs w:val="15"/>
                <w:u w:val="none"/>
                <w:lang w:val="en-US" w:eastAsia="zh-CN" w:bidi="ar"/>
              </w:rPr>
              <w:t>4.包装及分装：采用预混液技术，反应液1管，酶混合液1管。</w:t>
            </w:r>
            <w:r>
              <w:rPr>
                <w:rFonts w:hint="eastAsia" w:ascii="新宋体" w:hAnsi="新宋体" w:eastAsia="新宋体" w:cs="新宋体"/>
                <w:i w:val="0"/>
                <w:iCs w:val="0"/>
                <w:color w:val="000000"/>
                <w:kern w:val="0"/>
                <w:sz w:val="15"/>
                <w:szCs w:val="15"/>
                <w:u w:val="none"/>
                <w:lang w:val="en-US" w:eastAsia="zh-CN" w:bidi="ar"/>
              </w:rPr>
              <w:br w:type="textWrapping"/>
            </w:r>
            <w:r>
              <w:rPr>
                <w:rFonts w:hint="eastAsia" w:ascii="新宋体" w:hAnsi="新宋体" w:eastAsia="新宋体" w:cs="新宋体"/>
                <w:b w:val="0"/>
                <w:bCs w:val="0"/>
                <w:i w:val="0"/>
                <w:iCs w:val="0"/>
                <w:color w:val="000000"/>
                <w:kern w:val="0"/>
                <w:sz w:val="15"/>
                <w:szCs w:val="15"/>
                <w:u w:val="none"/>
                <w:lang w:val="en-US" w:eastAsia="zh-CN" w:bidi="ar"/>
              </w:rPr>
              <w:t>5.生产厂家有甲型或甲乙流注册证。</w:t>
            </w:r>
            <w:r>
              <w:rPr>
                <w:rFonts w:hint="eastAsia" w:ascii="新宋体" w:hAnsi="新宋体" w:eastAsia="新宋体" w:cs="新宋体"/>
                <w:i w:val="0"/>
                <w:iCs w:val="0"/>
                <w:color w:val="000000"/>
                <w:kern w:val="0"/>
                <w:sz w:val="15"/>
                <w:szCs w:val="15"/>
                <w:u w:val="none"/>
                <w:lang w:val="en-US" w:eastAsia="zh-CN" w:bidi="ar"/>
              </w:rPr>
              <w:br w:type="textWrapping"/>
            </w:r>
            <w:r>
              <w:rPr>
                <w:rFonts w:hint="eastAsia" w:ascii="新宋体" w:hAnsi="新宋体" w:eastAsia="新宋体" w:cs="新宋体"/>
                <w:i w:val="0"/>
                <w:iCs w:val="0"/>
                <w:color w:val="000000"/>
                <w:kern w:val="0"/>
                <w:sz w:val="15"/>
                <w:szCs w:val="15"/>
                <w:u w:val="none"/>
                <w:lang w:val="en-US" w:eastAsia="zh-CN" w:bidi="ar"/>
              </w:rPr>
              <w:t>6.有效期：12个月，到货后质保期≥10个月。</w:t>
            </w:r>
          </w:p>
        </w:tc>
        <w:tc>
          <w:tcPr>
            <w:tcW w:w="888" w:type="dxa"/>
            <w:tcBorders>
              <w:top w:val="single" w:color="000000" w:sz="4" w:space="0"/>
              <w:left w:val="single" w:color="000000" w:sz="4" w:space="0"/>
              <w:bottom w:val="single" w:color="000000" w:sz="4" w:space="0"/>
              <w:right w:val="single" w:color="000000" w:sz="4" w:space="0"/>
            </w:tcBorders>
            <w:noWrap/>
            <w:vAlign w:val="bottom"/>
          </w:tcPr>
          <w:p w14:paraId="13345E66">
            <w:pPr>
              <w:rPr>
                <w:rFonts w:hint="eastAsia" w:ascii="新宋体" w:hAnsi="新宋体" w:eastAsia="新宋体" w:cs="新宋体"/>
                <w:i w:val="0"/>
                <w:iCs w:val="0"/>
                <w:color w:val="000000"/>
                <w:sz w:val="18"/>
                <w:szCs w:val="18"/>
                <w:u w:val="none"/>
              </w:rPr>
            </w:pPr>
          </w:p>
        </w:tc>
        <w:tc>
          <w:tcPr>
            <w:tcW w:w="6325" w:type="dxa"/>
            <w:vMerge w:val="restart"/>
            <w:tcBorders>
              <w:top w:val="single" w:color="000000" w:sz="4" w:space="0"/>
              <w:left w:val="single" w:color="000000" w:sz="4" w:space="0"/>
              <w:bottom w:val="single" w:color="000000" w:sz="4" w:space="0"/>
              <w:right w:val="single" w:color="000000" w:sz="4" w:space="0"/>
            </w:tcBorders>
            <w:noWrap w:val="0"/>
            <w:vAlign w:val="top"/>
          </w:tcPr>
          <w:p w14:paraId="1A4F07BC">
            <w:pPr>
              <w:keepNext w:val="0"/>
              <w:keepLines w:val="0"/>
              <w:widowControl/>
              <w:suppressLineNumbers w:val="0"/>
              <w:jc w:val="left"/>
              <w:textAlignment w:val="top"/>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1、一管检测病原霍乱弧菌。</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2、-20±5℃以下冷冻保存，稳定性好，有效期12个月。</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3、试剂盒包装规格：24T/盒、48T/盒、25T/盒、50T/盒，可提供24T/盒、48T/盒石蜡预分装形式。</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4、试剂盒组分：PCR反应液、混合酶液、阴性对照、阳性对照、DNA提取液、说明书。阴性对照、阳性对照可直接使用，无需参与核酸提取。</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5、配液简便：PCR反应液19.5μL和混合酶液0.5μL；模板：5μL。总反应体系为25μL。</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6、反应程序为： 50℃ 2min；95℃ 3min；95℃ 5sec，55℃ 30sec（单点采集荧光） 40个循环。PCR扩增不设置预循环，从第一个循环数开始读取荧光值。</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7、所有DNA试剂盒反应程序要求一致可以同时在同一台PCR仪器上进行检测。</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8、检测灵敏度不低于500copies/mL。</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9、检测精密度：重复检测精密性，检测结果批内和批间变异系数（CV%）&lt;5%。</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10、开放性机型，适ABI系列仪器、Roche系列仪器等多种荧光PCR仪器。</w:t>
            </w:r>
            <w:r>
              <w:rPr>
                <w:rFonts w:hint="eastAsia" w:ascii="新宋体" w:hAnsi="新宋体" w:eastAsia="新宋体" w:cs="新宋体"/>
                <w:i w:val="0"/>
                <w:iCs w:val="0"/>
                <w:color w:val="000000"/>
                <w:kern w:val="0"/>
                <w:sz w:val="18"/>
                <w:szCs w:val="18"/>
                <w:u w:val="none"/>
                <w:lang w:val="en-US" w:eastAsia="zh-CN" w:bidi="ar"/>
              </w:rPr>
              <w:br w:type="textWrapping"/>
            </w:r>
          </w:p>
        </w:tc>
      </w:tr>
      <w:tr w14:paraId="552A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07561CDC">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18</w:t>
            </w:r>
          </w:p>
        </w:tc>
        <w:tc>
          <w:tcPr>
            <w:tcW w:w="3083" w:type="dxa"/>
            <w:tcBorders>
              <w:top w:val="single" w:color="000000" w:sz="4" w:space="0"/>
              <w:left w:val="nil"/>
              <w:bottom w:val="single" w:color="000000" w:sz="4" w:space="0"/>
              <w:right w:val="single" w:color="000000" w:sz="4" w:space="0"/>
            </w:tcBorders>
            <w:noWrap w:val="0"/>
            <w:vAlign w:val="center"/>
          </w:tcPr>
          <w:p w14:paraId="5E0DFF3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流感病毒（甲乙）双重核酸检测试剂盒（荧光PCR检测试剂）</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578C5C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337141F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1FA30B2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C9665">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ign w:val="bottom"/>
          </w:tcPr>
          <w:p w14:paraId="272CDE24">
            <w:pPr>
              <w:rPr>
                <w:rFonts w:hint="eastAsia" w:ascii="新宋体" w:hAnsi="新宋体" w:eastAsia="新宋体" w:cs="新宋体"/>
                <w:i w:val="0"/>
                <w:iCs w:val="0"/>
                <w:color w:val="000000"/>
                <w:sz w:val="18"/>
                <w:szCs w:val="18"/>
                <w:u w:val="none"/>
              </w:rPr>
            </w:pPr>
          </w:p>
        </w:tc>
        <w:tc>
          <w:tcPr>
            <w:tcW w:w="6325" w:type="dxa"/>
            <w:vMerge w:val="continue"/>
            <w:tcBorders>
              <w:top w:val="single" w:color="000000" w:sz="4" w:space="0"/>
              <w:left w:val="single" w:color="000000" w:sz="4" w:space="0"/>
              <w:bottom w:val="single" w:color="000000" w:sz="4" w:space="0"/>
              <w:right w:val="single" w:color="000000" w:sz="4" w:space="0"/>
            </w:tcBorders>
            <w:noWrap w:val="0"/>
            <w:vAlign w:val="top"/>
          </w:tcPr>
          <w:p w14:paraId="01C256EE">
            <w:pPr>
              <w:jc w:val="left"/>
              <w:rPr>
                <w:rFonts w:hint="eastAsia" w:ascii="新宋体" w:hAnsi="新宋体" w:eastAsia="新宋体" w:cs="新宋体"/>
                <w:i w:val="0"/>
                <w:iCs w:val="0"/>
                <w:color w:val="000000"/>
                <w:sz w:val="18"/>
                <w:szCs w:val="18"/>
                <w:u w:val="none"/>
              </w:rPr>
            </w:pPr>
          </w:p>
        </w:tc>
      </w:tr>
      <w:tr w14:paraId="2973B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3B977663">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19</w:t>
            </w:r>
          </w:p>
        </w:tc>
        <w:tc>
          <w:tcPr>
            <w:tcW w:w="3083" w:type="dxa"/>
            <w:tcBorders>
              <w:top w:val="single" w:color="000000" w:sz="4" w:space="0"/>
              <w:left w:val="nil"/>
              <w:bottom w:val="single" w:color="000000" w:sz="4" w:space="0"/>
              <w:right w:val="single" w:color="000000" w:sz="4" w:space="0"/>
            </w:tcBorders>
            <w:noWrap w:val="0"/>
            <w:vAlign w:val="center"/>
          </w:tcPr>
          <w:p w14:paraId="099DFEE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核酸提取试剂盒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0D2C11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64T/盒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2038E48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F50020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C856D">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ign w:val="bottom"/>
          </w:tcPr>
          <w:p w14:paraId="75B3F1BE">
            <w:pPr>
              <w:rPr>
                <w:rFonts w:hint="eastAsia" w:ascii="新宋体" w:hAnsi="新宋体" w:eastAsia="新宋体" w:cs="新宋体"/>
                <w:i w:val="0"/>
                <w:iCs w:val="0"/>
                <w:color w:val="000000"/>
                <w:sz w:val="18"/>
                <w:szCs w:val="18"/>
                <w:u w:val="none"/>
              </w:rPr>
            </w:pPr>
          </w:p>
        </w:tc>
        <w:tc>
          <w:tcPr>
            <w:tcW w:w="6325" w:type="dxa"/>
            <w:tcBorders>
              <w:top w:val="single" w:color="000000" w:sz="4" w:space="0"/>
              <w:left w:val="single" w:color="000000" w:sz="4" w:space="0"/>
              <w:bottom w:val="single" w:color="000000" w:sz="4" w:space="0"/>
              <w:right w:val="single" w:color="000000" w:sz="4" w:space="0"/>
            </w:tcBorders>
            <w:noWrap/>
            <w:vAlign w:val="bottom"/>
          </w:tcPr>
          <w:p w14:paraId="26D0D64F">
            <w:pPr>
              <w:rPr>
                <w:rFonts w:hint="eastAsia" w:ascii="新宋体" w:hAnsi="新宋体" w:eastAsia="新宋体" w:cs="新宋体"/>
                <w:i w:val="0"/>
                <w:iCs w:val="0"/>
                <w:color w:val="000000"/>
                <w:sz w:val="18"/>
                <w:szCs w:val="18"/>
                <w:u w:val="none"/>
              </w:rPr>
            </w:pPr>
          </w:p>
        </w:tc>
      </w:tr>
      <w:tr w14:paraId="4DE8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43B94ADA">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w:t>
            </w:r>
          </w:p>
        </w:tc>
        <w:tc>
          <w:tcPr>
            <w:tcW w:w="3083" w:type="dxa"/>
            <w:tcBorders>
              <w:top w:val="single" w:color="000000" w:sz="4" w:space="0"/>
              <w:left w:val="nil"/>
              <w:bottom w:val="single" w:color="000000" w:sz="4" w:space="0"/>
              <w:right w:val="single" w:color="000000" w:sz="4" w:space="0"/>
            </w:tcBorders>
            <w:noWrap w:val="0"/>
            <w:vAlign w:val="center"/>
          </w:tcPr>
          <w:p w14:paraId="2E21C48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H3亚型禽流感病毒核酸实时荧光PCR检测试剂盒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28F7A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5A33F56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FD7BA8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7806C">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ign w:val="bottom"/>
          </w:tcPr>
          <w:p w14:paraId="60958CDE">
            <w:pPr>
              <w:rPr>
                <w:rFonts w:hint="eastAsia" w:ascii="新宋体" w:hAnsi="新宋体" w:eastAsia="新宋体" w:cs="新宋体"/>
                <w:i w:val="0"/>
                <w:iCs w:val="0"/>
                <w:color w:val="000000"/>
                <w:sz w:val="18"/>
                <w:szCs w:val="18"/>
                <w:u w:val="none"/>
              </w:rPr>
            </w:pPr>
          </w:p>
        </w:tc>
        <w:tc>
          <w:tcPr>
            <w:tcW w:w="6325" w:type="dxa"/>
            <w:vMerge w:val="restart"/>
            <w:tcBorders>
              <w:top w:val="single" w:color="000000" w:sz="4" w:space="0"/>
              <w:left w:val="single" w:color="000000" w:sz="4" w:space="0"/>
              <w:bottom w:val="single" w:color="000000" w:sz="4" w:space="0"/>
              <w:right w:val="single" w:color="000000" w:sz="4" w:space="0"/>
            </w:tcBorders>
            <w:noWrap w:val="0"/>
            <w:vAlign w:val="top"/>
          </w:tcPr>
          <w:p w14:paraId="5B65EEE2">
            <w:pPr>
              <w:keepNext w:val="0"/>
              <w:keepLines w:val="0"/>
              <w:widowControl/>
              <w:suppressLineNumbers w:val="0"/>
              <w:jc w:val="left"/>
              <w:textAlignment w:val="top"/>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1、一管检测病原乙型流感病毒Victoria型、Yamagata型。</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2、-20±5℃冷冻保存，稳定性好，有效期12个月。</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3、试剂盒包装规格：24T/盒、48T/盒、25T/盒、50T/盒。</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4、试剂盒组分：RT-PCR反应液、混合酶液、阴性对照、阳性对照、说明书。阴性对照、阳性对照可直接使用，无需参与核酸提取。</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5、操作简便，RNA类RT-PCR反应液15μL，混合酶液5μL，模板 5μL ，反应体系为25µL。</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6、反应程序为： 50℃ 15min；95℃ 3min；95℃ 5sec，55℃ 30sec（单点采集荧光） 45个循环。PCR扩增不设置预循环，从第一个循环数开始读取荧光值。</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7、所有RNA试剂盒反应程序要求一致可以同时在同一台PCR仪器上进行检测。</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8、检测灵敏度不低于500 copies/mL。</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9、检测精密度：重复检测精密性，检测结果批内和批间变异系数（CV%）&lt;5%。</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10、开放性机型，适ABI系列仪器、Roche系列仪器等多种荧光PCR仪器。</w:t>
            </w:r>
            <w:r>
              <w:rPr>
                <w:rFonts w:hint="eastAsia" w:ascii="新宋体" w:hAnsi="新宋体" w:eastAsia="新宋体" w:cs="新宋体"/>
                <w:i w:val="0"/>
                <w:iCs w:val="0"/>
                <w:color w:val="000000"/>
                <w:kern w:val="0"/>
                <w:sz w:val="18"/>
                <w:szCs w:val="18"/>
                <w:u w:val="none"/>
                <w:lang w:val="en-US" w:eastAsia="zh-CN" w:bidi="ar"/>
              </w:rPr>
              <w:br w:type="textWrapping"/>
            </w:r>
          </w:p>
        </w:tc>
      </w:tr>
      <w:tr w14:paraId="3F64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72C74952">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21</w:t>
            </w:r>
          </w:p>
        </w:tc>
        <w:tc>
          <w:tcPr>
            <w:tcW w:w="3083" w:type="dxa"/>
            <w:tcBorders>
              <w:top w:val="single" w:color="000000" w:sz="4" w:space="0"/>
              <w:left w:val="nil"/>
              <w:bottom w:val="single" w:color="000000" w:sz="4" w:space="0"/>
              <w:right w:val="single" w:color="000000" w:sz="4" w:space="0"/>
            </w:tcBorders>
            <w:noWrap w:val="0"/>
            <w:vAlign w:val="center"/>
          </w:tcPr>
          <w:p w14:paraId="0B835E1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H5亚型禽流感病毒核酸实时荧光PCR检测试剂盒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70FE58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2DD2C4F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52793DB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74B30">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ign w:val="bottom"/>
          </w:tcPr>
          <w:p w14:paraId="6CC5AA1D">
            <w:pPr>
              <w:rPr>
                <w:rFonts w:hint="eastAsia" w:ascii="新宋体" w:hAnsi="新宋体" w:eastAsia="新宋体" w:cs="新宋体"/>
                <w:i w:val="0"/>
                <w:iCs w:val="0"/>
                <w:color w:val="000000"/>
                <w:sz w:val="18"/>
                <w:szCs w:val="18"/>
                <w:u w:val="none"/>
              </w:rPr>
            </w:pPr>
          </w:p>
        </w:tc>
        <w:tc>
          <w:tcPr>
            <w:tcW w:w="6325" w:type="dxa"/>
            <w:vMerge w:val="continue"/>
            <w:tcBorders>
              <w:top w:val="single" w:color="000000" w:sz="4" w:space="0"/>
              <w:left w:val="single" w:color="000000" w:sz="4" w:space="0"/>
              <w:bottom w:val="single" w:color="000000" w:sz="4" w:space="0"/>
              <w:right w:val="single" w:color="000000" w:sz="4" w:space="0"/>
            </w:tcBorders>
            <w:noWrap w:val="0"/>
            <w:vAlign w:val="top"/>
          </w:tcPr>
          <w:p w14:paraId="52CF480F">
            <w:pPr>
              <w:jc w:val="left"/>
              <w:rPr>
                <w:rFonts w:hint="eastAsia" w:ascii="新宋体" w:hAnsi="新宋体" w:eastAsia="新宋体" w:cs="新宋体"/>
                <w:i w:val="0"/>
                <w:iCs w:val="0"/>
                <w:color w:val="000000"/>
                <w:sz w:val="18"/>
                <w:szCs w:val="18"/>
                <w:u w:val="none"/>
              </w:rPr>
            </w:pPr>
          </w:p>
        </w:tc>
      </w:tr>
      <w:tr w14:paraId="2D3B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550DB957">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22</w:t>
            </w:r>
          </w:p>
        </w:tc>
        <w:tc>
          <w:tcPr>
            <w:tcW w:w="3083" w:type="dxa"/>
            <w:tcBorders>
              <w:top w:val="single" w:color="000000" w:sz="4" w:space="0"/>
              <w:left w:val="nil"/>
              <w:bottom w:val="single" w:color="000000" w:sz="4" w:space="0"/>
              <w:right w:val="single" w:color="000000" w:sz="4" w:space="0"/>
            </w:tcBorders>
            <w:noWrap w:val="0"/>
            <w:vAlign w:val="center"/>
          </w:tcPr>
          <w:p w14:paraId="30CF270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H7亚型禽流感病毒核酸实时荧光PCR检测试剂盒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2A25BC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6745734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00DFAE7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916BA">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ign w:val="bottom"/>
          </w:tcPr>
          <w:p w14:paraId="542FD2C7">
            <w:pPr>
              <w:rPr>
                <w:rFonts w:hint="eastAsia" w:ascii="新宋体" w:hAnsi="新宋体" w:eastAsia="新宋体" w:cs="新宋体"/>
                <w:i w:val="0"/>
                <w:iCs w:val="0"/>
                <w:color w:val="000000"/>
                <w:sz w:val="18"/>
                <w:szCs w:val="18"/>
                <w:u w:val="none"/>
              </w:rPr>
            </w:pPr>
          </w:p>
        </w:tc>
        <w:tc>
          <w:tcPr>
            <w:tcW w:w="6325" w:type="dxa"/>
            <w:vMerge w:val="continue"/>
            <w:tcBorders>
              <w:top w:val="single" w:color="000000" w:sz="4" w:space="0"/>
              <w:left w:val="single" w:color="000000" w:sz="4" w:space="0"/>
              <w:bottom w:val="single" w:color="000000" w:sz="4" w:space="0"/>
              <w:right w:val="single" w:color="000000" w:sz="4" w:space="0"/>
            </w:tcBorders>
            <w:noWrap w:val="0"/>
            <w:vAlign w:val="top"/>
          </w:tcPr>
          <w:p w14:paraId="10CA8CA8">
            <w:pPr>
              <w:jc w:val="left"/>
              <w:rPr>
                <w:rFonts w:hint="eastAsia" w:ascii="新宋体" w:hAnsi="新宋体" w:eastAsia="新宋体" w:cs="新宋体"/>
                <w:i w:val="0"/>
                <w:iCs w:val="0"/>
                <w:color w:val="000000"/>
                <w:sz w:val="18"/>
                <w:szCs w:val="18"/>
                <w:u w:val="none"/>
              </w:rPr>
            </w:pPr>
          </w:p>
        </w:tc>
      </w:tr>
      <w:tr w14:paraId="7065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2CDC0B93">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23</w:t>
            </w:r>
          </w:p>
        </w:tc>
        <w:tc>
          <w:tcPr>
            <w:tcW w:w="3083" w:type="dxa"/>
            <w:tcBorders>
              <w:top w:val="single" w:color="000000" w:sz="4" w:space="0"/>
              <w:left w:val="nil"/>
              <w:bottom w:val="single" w:color="000000" w:sz="4" w:space="0"/>
              <w:right w:val="single" w:color="000000" w:sz="4" w:space="0"/>
            </w:tcBorders>
            <w:noWrap w:val="0"/>
            <w:vAlign w:val="center"/>
          </w:tcPr>
          <w:p w14:paraId="5162607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H9亚型禽流感病毒核酸实时荧光PCR检测试剂盒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A07DC0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B87A13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68D0C80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7A6DB">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ign w:val="bottom"/>
          </w:tcPr>
          <w:p w14:paraId="5AC8D319">
            <w:pPr>
              <w:rPr>
                <w:rFonts w:hint="eastAsia" w:ascii="新宋体" w:hAnsi="新宋体" w:eastAsia="新宋体" w:cs="新宋体"/>
                <w:i w:val="0"/>
                <w:iCs w:val="0"/>
                <w:color w:val="000000"/>
                <w:sz w:val="18"/>
                <w:szCs w:val="18"/>
                <w:u w:val="none"/>
              </w:rPr>
            </w:pPr>
          </w:p>
        </w:tc>
        <w:tc>
          <w:tcPr>
            <w:tcW w:w="6325" w:type="dxa"/>
            <w:vMerge w:val="continue"/>
            <w:tcBorders>
              <w:top w:val="single" w:color="000000" w:sz="4" w:space="0"/>
              <w:left w:val="single" w:color="000000" w:sz="4" w:space="0"/>
              <w:bottom w:val="single" w:color="000000" w:sz="4" w:space="0"/>
              <w:right w:val="single" w:color="000000" w:sz="4" w:space="0"/>
            </w:tcBorders>
            <w:noWrap w:val="0"/>
            <w:vAlign w:val="top"/>
          </w:tcPr>
          <w:p w14:paraId="49F8F636">
            <w:pPr>
              <w:jc w:val="left"/>
              <w:rPr>
                <w:rFonts w:hint="eastAsia" w:ascii="新宋体" w:hAnsi="新宋体" w:eastAsia="新宋体" w:cs="新宋体"/>
                <w:i w:val="0"/>
                <w:iCs w:val="0"/>
                <w:color w:val="000000"/>
                <w:sz w:val="18"/>
                <w:szCs w:val="18"/>
                <w:u w:val="none"/>
              </w:rPr>
            </w:pPr>
          </w:p>
        </w:tc>
      </w:tr>
      <w:tr w14:paraId="6D88E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42FC6075">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24</w:t>
            </w:r>
          </w:p>
        </w:tc>
        <w:tc>
          <w:tcPr>
            <w:tcW w:w="3083" w:type="dxa"/>
            <w:tcBorders>
              <w:top w:val="single" w:color="000000" w:sz="4" w:space="0"/>
              <w:left w:val="nil"/>
              <w:bottom w:val="single" w:color="000000" w:sz="4" w:space="0"/>
              <w:right w:val="single" w:color="000000" w:sz="4" w:space="0"/>
            </w:tcBorders>
            <w:noWrap w:val="0"/>
            <w:vAlign w:val="center"/>
          </w:tcPr>
          <w:p w14:paraId="1F4E76B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欧亚类禽猪流感H1N1亚型核酸检测试剂盒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233362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050D409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51D31E3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B40CBC">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ign w:val="bottom"/>
          </w:tcPr>
          <w:p w14:paraId="780823BD">
            <w:pPr>
              <w:rPr>
                <w:rFonts w:hint="eastAsia" w:ascii="新宋体" w:hAnsi="新宋体" w:eastAsia="新宋体" w:cs="新宋体"/>
                <w:i w:val="0"/>
                <w:iCs w:val="0"/>
                <w:color w:val="000000"/>
                <w:sz w:val="18"/>
                <w:szCs w:val="18"/>
                <w:u w:val="none"/>
              </w:rPr>
            </w:pPr>
          </w:p>
        </w:tc>
        <w:tc>
          <w:tcPr>
            <w:tcW w:w="6325" w:type="dxa"/>
            <w:vMerge w:val="continue"/>
            <w:tcBorders>
              <w:top w:val="single" w:color="000000" w:sz="4" w:space="0"/>
              <w:left w:val="single" w:color="000000" w:sz="4" w:space="0"/>
              <w:bottom w:val="single" w:color="000000" w:sz="4" w:space="0"/>
              <w:right w:val="single" w:color="000000" w:sz="4" w:space="0"/>
            </w:tcBorders>
            <w:noWrap w:val="0"/>
            <w:vAlign w:val="top"/>
          </w:tcPr>
          <w:p w14:paraId="673CC913">
            <w:pPr>
              <w:jc w:val="left"/>
              <w:rPr>
                <w:rFonts w:hint="eastAsia" w:ascii="新宋体" w:hAnsi="新宋体" w:eastAsia="新宋体" w:cs="新宋体"/>
                <w:i w:val="0"/>
                <w:iCs w:val="0"/>
                <w:color w:val="000000"/>
                <w:sz w:val="18"/>
                <w:szCs w:val="18"/>
                <w:u w:val="none"/>
              </w:rPr>
            </w:pPr>
          </w:p>
        </w:tc>
      </w:tr>
      <w:tr w14:paraId="6DB8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339BA03B">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w:t>
            </w:r>
          </w:p>
        </w:tc>
        <w:tc>
          <w:tcPr>
            <w:tcW w:w="3083" w:type="dxa"/>
            <w:tcBorders>
              <w:top w:val="single" w:color="000000" w:sz="4" w:space="0"/>
              <w:left w:val="nil"/>
              <w:bottom w:val="single" w:color="000000" w:sz="4" w:space="0"/>
              <w:right w:val="single" w:color="000000" w:sz="4" w:space="0"/>
            </w:tcBorders>
            <w:noWrap w:val="0"/>
            <w:vAlign w:val="center"/>
          </w:tcPr>
          <w:p w14:paraId="7C904B5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季节性H1H3流感病毒核酸检测试剂盒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AD36C4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1201E6A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69D8E51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CEB88D">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ign w:val="bottom"/>
          </w:tcPr>
          <w:p w14:paraId="4634C7C1">
            <w:pPr>
              <w:rPr>
                <w:rFonts w:hint="eastAsia" w:ascii="新宋体" w:hAnsi="新宋体" w:eastAsia="新宋体" w:cs="新宋体"/>
                <w:i w:val="0"/>
                <w:iCs w:val="0"/>
                <w:color w:val="000000"/>
                <w:sz w:val="18"/>
                <w:szCs w:val="18"/>
                <w:u w:val="none"/>
              </w:rPr>
            </w:pPr>
          </w:p>
        </w:tc>
        <w:tc>
          <w:tcPr>
            <w:tcW w:w="6325" w:type="dxa"/>
            <w:vMerge w:val="continue"/>
            <w:tcBorders>
              <w:top w:val="single" w:color="000000" w:sz="4" w:space="0"/>
              <w:left w:val="single" w:color="000000" w:sz="4" w:space="0"/>
              <w:bottom w:val="single" w:color="000000" w:sz="4" w:space="0"/>
              <w:right w:val="single" w:color="000000" w:sz="4" w:space="0"/>
            </w:tcBorders>
            <w:noWrap w:val="0"/>
            <w:vAlign w:val="top"/>
          </w:tcPr>
          <w:p w14:paraId="6384307B">
            <w:pPr>
              <w:jc w:val="left"/>
              <w:rPr>
                <w:rFonts w:hint="eastAsia" w:ascii="新宋体" w:hAnsi="新宋体" w:eastAsia="新宋体" w:cs="新宋体"/>
                <w:i w:val="0"/>
                <w:iCs w:val="0"/>
                <w:color w:val="000000"/>
                <w:sz w:val="18"/>
                <w:szCs w:val="18"/>
                <w:u w:val="none"/>
              </w:rPr>
            </w:pPr>
          </w:p>
        </w:tc>
      </w:tr>
      <w:tr w14:paraId="6D52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5B602BD3">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26</w:t>
            </w:r>
          </w:p>
        </w:tc>
        <w:tc>
          <w:tcPr>
            <w:tcW w:w="3083" w:type="dxa"/>
            <w:tcBorders>
              <w:top w:val="single" w:color="000000" w:sz="4" w:space="0"/>
              <w:left w:val="nil"/>
              <w:bottom w:val="single" w:color="000000" w:sz="4" w:space="0"/>
              <w:right w:val="single" w:color="000000" w:sz="4" w:space="0"/>
            </w:tcBorders>
            <w:noWrap w:val="0"/>
            <w:vAlign w:val="center"/>
          </w:tcPr>
          <w:p w14:paraId="300D5BF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BV+BY亚系流感病毒核酸检测试剂盒  （荧光PCR检测试剂）</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4B55C8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1E917A6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6E44DB9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F3079">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ign w:val="bottom"/>
          </w:tcPr>
          <w:p w14:paraId="06D9CA46">
            <w:pPr>
              <w:rPr>
                <w:rFonts w:hint="eastAsia" w:ascii="新宋体" w:hAnsi="新宋体" w:eastAsia="新宋体" w:cs="新宋体"/>
                <w:i w:val="0"/>
                <w:iCs w:val="0"/>
                <w:color w:val="000000"/>
                <w:sz w:val="18"/>
                <w:szCs w:val="18"/>
                <w:u w:val="none"/>
              </w:rPr>
            </w:pPr>
          </w:p>
        </w:tc>
        <w:tc>
          <w:tcPr>
            <w:tcW w:w="6325" w:type="dxa"/>
            <w:vMerge w:val="continue"/>
            <w:tcBorders>
              <w:top w:val="single" w:color="000000" w:sz="4" w:space="0"/>
              <w:left w:val="single" w:color="000000" w:sz="4" w:space="0"/>
              <w:bottom w:val="single" w:color="000000" w:sz="4" w:space="0"/>
              <w:right w:val="single" w:color="000000" w:sz="4" w:space="0"/>
            </w:tcBorders>
            <w:noWrap w:val="0"/>
            <w:vAlign w:val="top"/>
          </w:tcPr>
          <w:p w14:paraId="6D7AE138">
            <w:pPr>
              <w:jc w:val="left"/>
              <w:rPr>
                <w:rFonts w:hint="eastAsia" w:ascii="新宋体" w:hAnsi="新宋体" w:eastAsia="新宋体" w:cs="新宋体"/>
                <w:i w:val="0"/>
                <w:iCs w:val="0"/>
                <w:color w:val="000000"/>
                <w:sz w:val="18"/>
                <w:szCs w:val="18"/>
                <w:u w:val="none"/>
              </w:rPr>
            </w:pPr>
          </w:p>
        </w:tc>
      </w:tr>
      <w:tr w14:paraId="07E27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3364">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27</w:t>
            </w:r>
          </w:p>
        </w:tc>
        <w:tc>
          <w:tcPr>
            <w:tcW w:w="3083" w:type="dxa"/>
            <w:tcBorders>
              <w:top w:val="single" w:color="000000" w:sz="4" w:space="0"/>
              <w:left w:val="nil"/>
              <w:bottom w:val="single" w:color="000000" w:sz="4" w:space="0"/>
              <w:right w:val="single" w:color="000000" w:sz="4" w:space="0"/>
            </w:tcBorders>
            <w:shd w:val="clear" w:color="000000" w:fill="FFFFFF"/>
            <w:noWrap w:val="0"/>
            <w:vAlign w:val="center"/>
          </w:tcPr>
          <w:p w14:paraId="3838F21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超灵敏度甲型流感病毒全基因组捕获建库试剂套盒（24人份）</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B63AAC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（24人份）/盒</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035690D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AE0D15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0890B">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ign w:val="bottom"/>
          </w:tcPr>
          <w:p w14:paraId="59E5D913">
            <w:pPr>
              <w:rPr>
                <w:rFonts w:hint="eastAsia" w:ascii="新宋体" w:hAnsi="新宋体" w:eastAsia="新宋体" w:cs="新宋体"/>
                <w:i w:val="0"/>
                <w:iCs w:val="0"/>
                <w:color w:val="000000"/>
                <w:sz w:val="18"/>
                <w:szCs w:val="18"/>
                <w:u w:val="none"/>
              </w:rPr>
            </w:pPr>
          </w:p>
        </w:tc>
        <w:tc>
          <w:tcPr>
            <w:tcW w:w="6325" w:type="dxa"/>
            <w:tcBorders>
              <w:top w:val="single" w:color="000000" w:sz="4" w:space="0"/>
              <w:left w:val="single" w:color="000000" w:sz="4" w:space="0"/>
              <w:bottom w:val="single" w:color="000000" w:sz="4" w:space="0"/>
              <w:right w:val="single" w:color="000000" w:sz="4" w:space="0"/>
            </w:tcBorders>
            <w:noWrap/>
            <w:vAlign w:val="bottom"/>
          </w:tcPr>
          <w:p w14:paraId="4ECB14C1">
            <w:pPr>
              <w:rPr>
                <w:rFonts w:hint="eastAsia" w:ascii="新宋体" w:hAnsi="新宋体" w:eastAsia="新宋体" w:cs="新宋体"/>
                <w:i w:val="0"/>
                <w:iCs w:val="0"/>
                <w:color w:val="000000"/>
                <w:sz w:val="18"/>
                <w:szCs w:val="18"/>
                <w:u w:val="none"/>
              </w:rPr>
            </w:pPr>
          </w:p>
        </w:tc>
      </w:tr>
      <w:tr w14:paraId="37597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53BC23DD">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28</w:t>
            </w:r>
          </w:p>
        </w:tc>
        <w:tc>
          <w:tcPr>
            <w:tcW w:w="3083" w:type="dxa"/>
            <w:tcBorders>
              <w:top w:val="single" w:color="000000" w:sz="4" w:space="0"/>
              <w:left w:val="nil"/>
              <w:bottom w:val="single" w:color="000000" w:sz="4" w:space="0"/>
              <w:right w:val="single" w:color="000000" w:sz="4" w:space="0"/>
            </w:tcBorders>
            <w:noWrap w:val="0"/>
            <w:vAlign w:val="center"/>
          </w:tcPr>
          <w:p w14:paraId="31C1218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肠道病毒通用型核酸检测试剂（荧光PCR检测试剂）</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E27EB8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2680D77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C744CD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DE64B">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ign w:val="bottom"/>
          </w:tcPr>
          <w:p w14:paraId="4D19BFBD">
            <w:pPr>
              <w:rPr>
                <w:rFonts w:hint="eastAsia" w:ascii="新宋体" w:hAnsi="新宋体" w:eastAsia="新宋体" w:cs="新宋体"/>
                <w:i w:val="0"/>
                <w:iCs w:val="0"/>
                <w:color w:val="000000"/>
                <w:sz w:val="18"/>
                <w:szCs w:val="18"/>
                <w:u w:val="none"/>
              </w:rPr>
            </w:pPr>
          </w:p>
        </w:tc>
        <w:tc>
          <w:tcPr>
            <w:tcW w:w="6325" w:type="dxa"/>
            <w:vMerge w:val="restart"/>
            <w:tcBorders>
              <w:top w:val="single" w:color="000000" w:sz="4" w:space="0"/>
              <w:left w:val="single" w:color="000000" w:sz="4" w:space="0"/>
              <w:bottom w:val="single" w:color="000000" w:sz="4" w:space="0"/>
              <w:right w:val="single" w:color="000000" w:sz="4" w:space="0"/>
            </w:tcBorders>
            <w:noWrap w:val="0"/>
            <w:vAlign w:val="top"/>
          </w:tcPr>
          <w:p w14:paraId="43B21EB4">
            <w:pPr>
              <w:keepNext w:val="0"/>
              <w:keepLines w:val="0"/>
              <w:widowControl/>
              <w:suppressLineNumbers w:val="0"/>
              <w:jc w:val="left"/>
              <w:textAlignment w:val="top"/>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1、一管检测肠道病毒CA16型、EV71型。</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2、-20±5℃冷冻保存，稳定性好，有效期12个月。</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3、试剂盒包装规格：24T/盒、48T/盒、25T/盒、50T/盒。</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4、试剂盒组分：RT-PCR反应液、引物探针混合液、混合酶液、阴性对照、阳性对照、说明书。阴性对照、阳性对照可直接使用，无需参与核酸提取。</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5、操作简便，RNA类RT-PCR反应液17μL，引物探针混合液2uL，混合酶液1μL，模板 5μL ，反应体系为25µL。</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6、反应程序为： 50℃ 15min；95℃ 3min；95℃ 5sec，55℃ 30sec（单点采集荧光） 45个循环。PCR扩增不设置预循环，从第一个循环数开始读取荧光值。</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7、所有RNA试剂盒反应程序要求一致可以同时在同一台PCR仪器上进行检测。</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8、检测灵敏度不低于500 copies/mL。</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9、检测精密度：重复检测精密性，检测结果批内和批间变异系数（CV%）&lt;5%。</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10、开放性机型，适ABI系列仪器、Roche系列仪器等多种荧光PCR仪器。</w:t>
            </w:r>
            <w:r>
              <w:rPr>
                <w:rFonts w:hint="eastAsia" w:ascii="新宋体" w:hAnsi="新宋体" w:eastAsia="新宋体" w:cs="新宋体"/>
                <w:i w:val="0"/>
                <w:iCs w:val="0"/>
                <w:color w:val="000000"/>
                <w:kern w:val="0"/>
                <w:sz w:val="18"/>
                <w:szCs w:val="18"/>
                <w:u w:val="none"/>
                <w:lang w:val="en-US" w:eastAsia="zh-CN" w:bidi="ar"/>
              </w:rPr>
              <w:br w:type="textWrapping"/>
            </w:r>
          </w:p>
        </w:tc>
      </w:tr>
      <w:tr w14:paraId="7B2A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2EDC974D">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29</w:t>
            </w:r>
          </w:p>
        </w:tc>
        <w:tc>
          <w:tcPr>
            <w:tcW w:w="3083" w:type="dxa"/>
            <w:tcBorders>
              <w:top w:val="single" w:color="000000" w:sz="4" w:space="0"/>
              <w:left w:val="nil"/>
              <w:bottom w:val="single" w:color="000000" w:sz="4" w:space="0"/>
              <w:right w:val="single" w:color="000000" w:sz="4" w:space="0"/>
            </w:tcBorders>
            <w:noWrap w:val="0"/>
            <w:vAlign w:val="center"/>
          </w:tcPr>
          <w:p w14:paraId="228E62C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柯萨奇病毒A16型肠道病毒71型核酸检测试剂（荧光PCR检测试剂）</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027987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A7F6FB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1CF2376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DC0F4">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ign w:val="bottom"/>
          </w:tcPr>
          <w:p w14:paraId="71EC854F">
            <w:pPr>
              <w:rPr>
                <w:rFonts w:hint="eastAsia" w:ascii="新宋体" w:hAnsi="新宋体" w:eastAsia="新宋体" w:cs="新宋体"/>
                <w:i w:val="0"/>
                <w:iCs w:val="0"/>
                <w:color w:val="000000"/>
                <w:sz w:val="18"/>
                <w:szCs w:val="18"/>
                <w:u w:val="none"/>
              </w:rPr>
            </w:pPr>
          </w:p>
        </w:tc>
        <w:tc>
          <w:tcPr>
            <w:tcW w:w="6325" w:type="dxa"/>
            <w:vMerge w:val="continue"/>
            <w:tcBorders>
              <w:top w:val="single" w:color="000000" w:sz="4" w:space="0"/>
              <w:left w:val="single" w:color="000000" w:sz="4" w:space="0"/>
              <w:bottom w:val="single" w:color="000000" w:sz="4" w:space="0"/>
              <w:right w:val="single" w:color="000000" w:sz="4" w:space="0"/>
            </w:tcBorders>
            <w:noWrap w:val="0"/>
            <w:vAlign w:val="top"/>
          </w:tcPr>
          <w:p w14:paraId="49E608C7">
            <w:pPr>
              <w:jc w:val="left"/>
              <w:rPr>
                <w:rFonts w:hint="eastAsia" w:ascii="新宋体" w:hAnsi="新宋体" w:eastAsia="新宋体" w:cs="新宋体"/>
                <w:i w:val="0"/>
                <w:iCs w:val="0"/>
                <w:color w:val="000000"/>
                <w:sz w:val="18"/>
                <w:szCs w:val="18"/>
                <w:u w:val="none"/>
              </w:rPr>
            </w:pPr>
          </w:p>
        </w:tc>
      </w:tr>
      <w:tr w14:paraId="748A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14:paraId="503D8F52">
            <w:pPr>
              <w:keepNext w:val="0"/>
              <w:keepLines w:val="0"/>
              <w:widowControl/>
              <w:suppressLineNumbers w:val="0"/>
              <w:jc w:val="righ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30</w:t>
            </w:r>
          </w:p>
        </w:tc>
        <w:tc>
          <w:tcPr>
            <w:tcW w:w="3083" w:type="dxa"/>
            <w:tcBorders>
              <w:top w:val="single" w:color="000000" w:sz="4" w:space="0"/>
              <w:left w:val="nil"/>
              <w:bottom w:val="single" w:color="000000" w:sz="4" w:space="0"/>
              <w:right w:val="single" w:color="000000" w:sz="4" w:space="0"/>
            </w:tcBorders>
            <w:noWrap w:val="0"/>
            <w:vAlign w:val="center"/>
          </w:tcPr>
          <w:p w14:paraId="78ECF7E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柯萨奇病毒A6型柯萨奇病毒A10型核酸检测试剂（荧光PCR检测试剂）</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C8F000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25T/盒</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6C4BE7E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21CDF02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EFC36">
            <w:pPr>
              <w:jc w:val="center"/>
              <w:rPr>
                <w:rFonts w:hint="eastAsia" w:ascii="新宋体" w:hAnsi="新宋体" w:eastAsia="新宋体" w:cs="新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noWrap/>
            <w:vAlign w:val="bottom"/>
          </w:tcPr>
          <w:p w14:paraId="64690328">
            <w:pPr>
              <w:rPr>
                <w:rFonts w:hint="eastAsia" w:ascii="新宋体" w:hAnsi="新宋体" w:eastAsia="新宋体" w:cs="新宋体"/>
                <w:i w:val="0"/>
                <w:iCs w:val="0"/>
                <w:color w:val="000000"/>
                <w:sz w:val="18"/>
                <w:szCs w:val="18"/>
                <w:u w:val="none"/>
              </w:rPr>
            </w:pPr>
          </w:p>
        </w:tc>
        <w:tc>
          <w:tcPr>
            <w:tcW w:w="6325" w:type="dxa"/>
            <w:tcBorders>
              <w:top w:val="single" w:color="000000" w:sz="4" w:space="0"/>
              <w:left w:val="single" w:color="000000" w:sz="4" w:space="0"/>
              <w:bottom w:val="single" w:color="000000" w:sz="4" w:space="0"/>
              <w:right w:val="single" w:color="000000" w:sz="4" w:space="0"/>
            </w:tcBorders>
            <w:noWrap w:val="0"/>
            <w:vAlign w:val="center"/>
          </w:tcPr>
          <w:p w14:paraId="6CEA6DEB">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1、一管检测肠道病毒CA6型、CA10型。</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2、-20±5℃冷冻保存，稳定性好，有效期12个月。</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3、试剂盒包装规格：24T/盒、48T/盒、25T/盒、50T/盒。</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4、试剂盒组分：RT-PCR反应液、引物探针混合液、混合酶液、阴性对照、阳性对照、说明书。阴性对照、阳性对照可直接使用，无需参与核酸提取。</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5、操作简便，RNA类RT-PCR反应液17μL，引物探针混合液2uL，混合酶液1μL，模板 5μL ，反应体系为25µL。</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6、反应程序为： 50℃ 15min；95℃ 3min；95℃ 5sec，55℃ 30sec（单点采集荧光） 45个循环。PCR扩增不设置预循环，从第一个循环数开始读取荧光值。</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7、所有RNA试剂盒反应程序要求一致可以同时在同一台PCR仪器上进行检测。</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8、检测灵敏度不低于500 copies/mL。</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9、检测精密度：重复检测精密性，检测结果批内和批间变异系数（CV%）&lt;5%。</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10、开放性机型，适ABI系列仪器、Roche系列仪器等多种荧光PCR仪器。</w:t>
            </w:r>
          </w:p>
        </w:tc>
      </w:tr>
    </w:tbl>
    <w:p w14:paraId="5BD07819">
      <w:pPr>
        <w:rPr>
          <w:rFonts w:hint="eastAsia"/>
          <w:lang w:val="en-US" w:eastAsia="zh-CN"/>
        </w:rPr>
      </w:pPr>
    </w:p>
    <w:p w14:paraId="307A4E2D">
      <w:pPr>
        <w:pStyle w:val="13"/>
        <w:overflowPunct w:val="0"/>
        <w:spacing w:line="440" w:lineRule="exact"/>
        <w:rPr>
          <w:rFonts w:hint="eastAsia" w:ascii="仿宋" w:hAnsi="仿宋" w:eastAsia="仿宋" w:cs="仿宋"/>
          <w:color w:val="auto"/>
          <w:szCs w:val="24"/>
          <w:highlight w:val="none"/>
          <w:lang w:val="en-US" w:eastAsia="zh-CN"/>
        </w:rPr>
      </w:pPr>
    </w:p>
    <w:p w14:paraId="545C7CD5">
      <w:pPr>
        <w:rPr>
          <w:rFonts w:hint="eastAsia" w:ascii="仿宋" w:hAnsi="仿宋" w:eastAsia="仿宋" w:cs="仿宋"/>
          <w:color w:val="auto"/>
          <w:szCs w:val="24"/>
          <w:highlight w:val="none"/>
          <w:lang w:val="en-US" w:eastAsia="zh-CN"/>
        </w:rPr>
      </w:pPr>
    </w:p>
    <w:p w14:paraId="3CDCC2D6">
      <w:pPr>
        <w:pStyle w:val="4"/>
        <w:rPr>
          <w:rFonts w:hint="eastAsia" w:ascii="仿宋" w:hAnsi="仿宋" w:eastAsia="仿宋" w:cs="仿宋"/>
          <w:color w:val="auto"/>
          <w:szCs w:val="24"/>
          <w:highlight w:val="none"/>
          <w:lang w:val="en-US" w:eastAsia="zh-CN"/>
        </w:rPr>
      </w:pPr>
    </w:p>
    <w:p w14:paraId="3C25B217">
      <w:pPr>
        <w:pStyle w:val="4"/>
        <w:rPr>
          <w:rFonts w:hint="eastAsia"/>
          <w:lang w:val="en-US" w:eastAsia="zh-CN"/>
        </w:rPr>
      </w:pPr>
    </w:p>
    <w:p w14:paraId="39CE3935">
      <w:pPr>
        <w:rPr>
          <w:rFonts w:hint="eastAsia"/>
          <w:lang w:val="en-US" w:eastAsia="zh-CN"/>
        </w:rPr>
      </w:pPr>
    </w:p>
    <w:p w14:paraId="28B51873">
      <w:pPr>
        <w:pStyle w:val="13"/>
        <w:overflowPunct w:val="0"/>
        <w:spacing w:line="440" w:lineRule="exact"/>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附件二：</w:t>
      </w:r>
    </w:p>
    <w:tbl>
      <w:tblPr>
        <w:tblStyle w:val="50"/>
        <w:tblW w:w="14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4"/>
        <w:gridCol w:w="2000"/>
        <w:gridCol w:w="1338"/>
        <w:gridCol w:w="462"/>
        <w:gridCol w:w="688"/>
        <w:gridCol w:w="8175"/>
        <w:gridCol w:w="1025"/>
      </w:tblGrid>
      <w:tr w14:paraId="2ABC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4" w:type="dxa"/>
            <w:tcBorders>
              <w:top w:val="nil"/>
              <w:left w:val="nil"/>
              <w:bottom w:val="nil"/>
              <w:right w:val="nil"/>
            </w:tcBorders>
            <w:shd w:val="clear" w:color="auto" w:fill="auto"/>
            <w:noWrap/>
            <w:vAlign w:val="center"/>
          </w:tcPr>
          <w:p w14:paraId="4D8B9BFA">
            <w:pPr>
              <w:jc w:val="center"/>
              <w:rPr>
                <w:rFonts w:hint="eastAsia" w:ascii="新宋体" w:hAnsi="新宋体" w:eastAsia="新宋体" w:cs="新宋体"/>
                <w:i w:val="0"/>
                <w:iCs w:val="0"/>
                <w:color w:val="000000"/>
                <w:sz w:val="18"/>
                <w:szCs w:val="18"/>
                <w:u w:val="none"/>
              </w:rPr>
            </w:pPr>
          </w:p>
        </w:tc>
        <w:tc>
          <w:tcPr>
            <w:tcW w:w="13688" w:type="dxa"/>
            <w:gridSpan w:val="6"/>
            <w:tcBorders>
              <w:top w:val="nil"/>
              <w:left w:val="nil"/>
              <w:bottom w:val="nil"/>
              <w:right w:val="nil"/>
            </w:tcBorders>
            <w:shd w:val="clear" w:color="auto" w:fill="FFFFFF"/>
            <w:noWrap/>
            <w:vAlign w:val="center"/>
          </w:tcPr>
          <w:p w14:paraId="374DD12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21"/>
                <w:szCs w:val="21"/>
                <w:u w:val="none"/>
                <w:lang w:val="en-US" w:eastAsia="zh-CN" w:bidi="ar"/>
              </w:rPr>
              <w:t>2025年 克州疾病预防控制中心测序试剂（耗材）清单</w:t>
            </w:r>
          </w:p>
        </w:tc>
      </w:tr>
      <w:tr w14:paraId="7509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AB3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序号</w:t>
            </w:r>
          </w:p>
        </w:tc>
        <w:tc>
          <w:tcPr>
            <w:tcW w:w="2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B9A71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试剂/耗材名称</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CCA4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规格</w:t>
            </w:r>
          </w:p>
        </w:tc>
        <w:tc>
          <w:tcPr>
            <w:tcW w:w="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79D3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数量</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B4D6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单位</w:t>
            </w:r>
          </w:p>
        </w:tc>
        <w:tc>
          <w:tcPr>
            <w:tcW w:w="8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6564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参数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119B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备注</w:t>
            </w:r>
          </w:p>
        </w:tc>
      </w:tr>
      <w:tr w14:paraId="589D9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BAB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20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4CD93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超灵敏度新型冠状病毒全基因组捕获建库试剂套盒（24人份）</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783A8">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（24人份）/盒</w:t>
            </w:r>
          </w:p>
        </w:tc>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3F66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7AD3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w:t>
            </w:r>
          </w:p>
        </w:tc>
        <w:tc>
          <w:tcPr>
            <w:tcW w:w="8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0DD51">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适用性：新型冠状病毒全基因组的扩增捕获，产物可用于后续高通量测序的建库，通过新一代高通量测序分析，准确发现新的变异，新的毒株、追踪病毒变异情况；2，样本量：24样本；3，灵敏度：仅需少量RNA（＜0.5ng）；4，试剂形式：整合式试剂，可扩增得到新冠病毒全基因组；5，扩增子数目：≥40个；6，适用机型：兼容所有高通量测序平台（二代测序）和单分子测序平台（三代测序）；7，适合CT值≤33的新冠样本全，基因组捕获，捕获效率≥99%；9可提供同厂家的新冠病毒分析软件，自动完成序列拼接、变异查找和生成系统进化树；10、试剂盒搭配同品牌软件分析，可所提供的新冠病毒分析软件应包含新冠病毒序列的录入、质控和分型;应标明序列数据在数据库中的存储位置便于查找、筛选和导出(按日期、型别、完整性等);软件应能根据指定序列进行进化分析并提供图形化展示;软件应提供稳定的框架，方便后期加入新的功能模块;；11、经过科研研究机构验证，有十篇以上科研论文引用验证；12，建库原理：转座酶切法建库，无需任何核酸打断设备；13，适用机型：illumina的测序平台适用；14，DNA片段化时间：5分钟内片段化DNA；15，文库构建类型：涵盖小基因组、PCR扩增、质粒、微生物基因组、串联扩增子、双联cDNA和单细胞RNA-Seq等测序文库构建；16，文库制备流程：标记基因组DNA、扩增、纯化、标准化、文库混合；17，建库时间：2.5小时；18、自带病原微生物样本的高通量测序序列标签；19、含样品纯化磁珠组份；20、含样本均一化组份，无需定量即可完成建库流程；21、含样本高精度浓度定量测试试剂及测试管（配套定量设备使用）</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DC46D">
            <w:pPr>
              <w:jc w:val="center"/>
              <w:rPr>
                <w:rFonts w:hint="eastAsia" w:ascii="新宋体" w:hAnsi="新宋体" w:eastAsia="新宋体" w:cs="新宋体"/>
                <w:i w:val="0"/>
                <w:iCs w:val="0"/>
                <w:color w:val="000000"/>
                <w:sz w:val="18"/>
                <w:szCs w:val="18"/>
                <w:u w:val="none"/>
              </w:rPr>
            </w:pPr>
          </w:p>
        </w:tc>
      </w:tr>
      <w:tr w14:paraId="50C03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936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20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D5737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中通量上机测序试剂盒FC-420-1004</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E84BF">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（12人份）/盒</w:t>
            </w:r>
          </w:p>
        </w:tc>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153A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AC1E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12</w:t>
            </w:r>
          </w:p>
        </w:tc>
        <w:tc>
          <w:tcPr>
            <w:tcW w:w="8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FA1B0">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1,，适用性：病原微生物样本的高通量测序实验；2，测序原理：边合成边测序；3，测序模式：自动化双端或自动化单端测序；4，测序读长：2*150bp；5，Reads数：800万条；6、适用机型：illumina的测序平台适用；</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A54B4">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6"/>
                <w:szCs w:val="16"/>
                <w:u w:val="none"/>
                <w:lang w:val="en-US" w:eastAsia="zh-CN" w:bidi="ar"/>
              </w:rPr>
              <w:t>分两次发货上半年和下半年。适合Miniseq机型</w:t>
            </w:r>
          </w:p>
        </w:tc>
      </w:tr>
      <w:tr w14:paraId="1BFCF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29C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3</w:t>
            </w:r>
          </w:p>
        </w:tc>
        <w:tc>
          <w:tcPr>
            <w:tcW w:w="20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D884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细菌全基因组测序试剂套盒（24人份）</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T-090620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C74F2">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（24人份）/盒</w:t>
            </w:r>
          </w:p>
        </w:tc>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E2A7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D00B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8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FB43E">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1,，适用性：病原微生物样本的高通量测序实验；2，测序原理：边合成边测序；3，测序模式：自动化双端或自动化单端测序；4，测序读长：2*150bp；5，Reads数：800万条；6、适用机型：illumina的测序平台适用；</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19580">
            <w:pPr>
              <w:jc w:val="center"/>
              <w:rPr>
                <w:rFonts w:hint="eastAsia" w:ascii="新宋体" w:hAnsi="新宋体" w:eastAsia="新宋体" w:cs="新宋体"/>
                <w:i w:val="0"/>
                <w:iCs w:val="0"/>
                <w:color w:val="000000"/>
                <w:sz w:val="18"/>
                <w:szCs w:val="18"/>
                <w:u w:val="none"/>
              </w:rPr>
            </w:pPr>
          </w:p>
        </w:tc>
      </w:tr>
      <w:tr w14:paraId="76C0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9E1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w:t>
            </w:r>
          </w:p>
        </w:tc>
        <w:tc>
          <w:tcPr>
            <w:tcW w:w="2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3F92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Qubit DNA定量试剂</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6B159">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6"/>
                <w:szCs w:val="16"/>
                <w:u w:val="none"/>
                <w:lang w:val="en-US" w:eastAsia="zh-CN" w:bidi="ar"/>
              </w:rPr>
              <w:t>Qubit™ dsDNA HS Assay Kit（搭配Qubit使用）（100人份）/盒</w:t>
            </w:r>
          </w:p>
        </w:tc>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7069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383D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8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112FC">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DNA 定量， 纯化DNA 定量。</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70974">
            <w:pPr>
              <w:jc w:val="center"/>
              <w:rPr>
                <w:rFonts w:hint="eastAsia" w:ascii="新宋体" w:hAnsi="新宋体" w:eastAsia="新宋体" w:cs="新宋体"/>
                <w:i w:val="0"/>
                <w:iCs w:val="0"/>
                <w:color w:val="000000"/>
                <w:sz w:val="18"/>
                <w:szCs w:val="18"/>
                <w:u w:val="none"/>
              </w:rPr>
            </w:pPr>
          </w:p>
        </w:tc>
      </w:tr>
      <w:tr w14:paraId="1A92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ECF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w:t>
            </w:r>
          </w:p>
        </w:tc>
        <w:tc>
          <w:tcPr>
            <w:tcW w:w="20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3B476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新冠病毒核酸提取试剂预封装</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3EA31">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64人份/盒</w:t>
            </w:r>
          </w:p>
        </w:tc>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9487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FA03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200</w:t>
            </w:r>
          </w:p>
        </w:tc>
        <w:tc>
          <w:tcPr>
            <w:tcW w:w="8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910B2">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样本裂解与核酸结合同步进行，无需中途加液，自动化一步法即可完成核酸提取。</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核酸得率较高，可从200μL样本中直接提取4μg及以上的高质量基因组DNA。</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产物A260/280值大于1.75，可满足多种下游应用，包括PCR、qPCR、酶切、杂交等。</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该试剂不含酚、氯仿等有毒溶剂，安全系数更高。样本用量：200μL；</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DNA得率：≥4μg，一般得率在5μg以上；DNA纯度：A260/280≥1.75，A260/230≥1.70；保存条件：4℃~30℃避光保存，有效期12个月，开封后应在3小时内完成操作；运输条件：2~35℃运输，运输时间不超过7天。</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55A0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分两次发货上半年和下半年，适合提取仪。</w:t>
            </w:r>
          </w:p>
        </w:tc>
      </w:tr>
      <w:tr w14:paraId="4D31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30F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6</w:t>
            </w:r>
          </w:p>
        </w:tc>
        <w:tc>
          <w:tcPr>
            <w:tcW w:w="20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B021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多功能病原体通用核酸提取试剂</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031E7">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20人份/盒</w:t>
            </w:r>
          </w:p>
        </w:tc>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E824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31F7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w:t>
            </w:r>
          </w:p>
        </w:tc>
        <w:tc>
          <w:tcPr>
            <w:tcW w:w="8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F359A">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适合 血液 组织 细胞粪便样本提取。 从样本中提取细菌、病毒、寄生虫的基因组核酸DNA和RNA。样本核酸提取纯度高，批间差异小，最大限度的去除蛋白质等杂质。提取所得的高质量核酸可用于PCR、RT-PCR、基因测序等系列实验。</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E7AD3">
            <w:pPr>
              <w:jc w:val="center"/>
              <w:rPr>
                <w:rFonts w:hint="eastAsia" w:ascii="新宋体" w:hAnsi="新宋体" w:eastAsia="新宋体" w:cs="新宋体"/>
                <w:i w:val="0"/>
                <w:iCs w:val="0"/>
                <w:color w:val="000000"/>
                <w:sz w:val="18"/>
                <w:szCs w:val="18"/>
                <w:u w:val="none"/>
              </w:rPr>
            </w:pPr>
          </w:p>
        </w:tc>
      </w:tr>
      <w:tr w14:paraId="113A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324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7</w:t>
            </w:r>
          </w:p>
        </w:tc>
        <w:tc>
          <w:tcPr>
            <w:tcW w:w="20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3C927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实时荧光PCR核酸检测试剂三种不同品牌</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95B57">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50人份/盒</w:t>
            </w:r>
          </w:p>
        </w:tc>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509D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EB65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w:t>
            </w:r>
          </w:p>
        </w:tc>
        <w:tc>
          <w:tcPr>
            <w:tcW w:w="8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C6E17">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新型冠状病毒2019-nCoV核酸检测试剂盒（荧光PCR法）靶标  ORF1ab/N  最低检测限500拷贝/ml  磁珠法 无需进行配液无需分装加入核酸可上机。适用的样本类型包括：血液、细胞、组织、FFPE组织、粪便等。</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4408C">
            <w:pPr>
              <w:jc w:val="center"/>
              <w:rPr>
                <w:rFonts w:hint="eastAsia" w:ascii="新宋体" w:hAnsi="新宋体" w:eastAsia="新宋体" w:cs="新宋体"/>
                <w:i w:val="0"/>
                <w:iCs w:val="0"/>
                <w:color w:val="000000"/>
                <w:sz w:val="18"/>
                <w:szCs w:val="18"/>
                <w:u w:val="none"/>
              </w:rPr>
            </w:pPr>
          </w:p>
        </w:tc>
      </w:tr>
      <w:tr w14:paraId="044BB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2AD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8</w:t>
            </w:r>
          </w:p>
        </w:tc>
        <w:tc>
          <w:tcPr>
            <w:tcW w:w="20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3923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实时荧光PCR核酸检测试剂三种不同品牌</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90ECB">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50人份/盒</w:t>
            </w:r>
          </w:p>
        </w:tc>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53F2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2297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w:t>
            </w:r>
          </w:p>
        </w:tc>
        <w:tc>
          <w:tcPr>
            <w:tcW w:w="8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7E0F1">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新型冠状病毒2019-nCoV核酸检测试剂盒（荧光PCR法）靶标  ORF1ab/N  最低检测限500拷贝/ml  磁珠法 无需进行配液无需分装加入核酸可上机。适用的样本类型包括：血液、细胞、组织、FFPE组织、粪便等。</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AD63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6"/>
                <w:szCs w:val="16"/>
                <w:u w:val="none"/>
                <w:lang w:val="en-US" w:eastAsia="zh-CN" w:bidi="ar"/>
              </w:rPr>
              <w:t>分两次发货上半年和下半年，适合扩增使用。</w:t>
            </w:r>
          </w:p>
        </w:tc>
      </w:tr>
      <w:tr w14:paraId="2000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3A3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9</w:t>
            </w:r>
          </w:p>
        </w:tc>
        <w:tc>
          <w:tcPr>
            <w:tcW w:w="20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888C8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实时荧光PCR核酸检测试剂三种不同品牌</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A2DB6">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50人份/盒</w:t>
            </w:r>
          </w:p>
        </w:tc>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C45B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0279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150</w:t>
            </w:r>
          </w:p>
        </w:tc>
        <w:tc>
          <w:tcPr>
            <w:tcW w:w="8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5AC1C">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新型冠状病毒2019-nCoV核酸检测试剂盒（荧光PCR法）靶标  ORF1ab/N  最低检测限200拷贝/ml  磁珠法 无需进行配液直接分装加入核酸可上机。适用的样本类型包括：血液、细胞、组织、FFPE组织、粪便等。</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8387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6"/>
                <w:szCs w:val="16"/>
                <w:u w:val="none"/>
                <w:lang w:val="en-US" w:eastAsia="zh-CN" w:bidi="ar"/>
              </w:rPr>
              <w:t>分两次发货上半年和下半年。适合扩增使用。</w:t>
            </w:r>
          </w:p>
        </w:tc>
      </w:tr>
      <w:tr w14:paraId="30D40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1E7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10</w:t>
            </w:r>
          </w:p>
        </w:tc>
        <w:tc>
          <w:tcPr>
            <w:tcW w:w="2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7F40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高精度PH试纸</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1C49B">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高精度PH试纸</w:t>
            </w:r>
          </w:p>
        </w:tc>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6063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84BF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8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30635">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pH0-14：精度为显色反应间隔1，共15档。200条/盒  11*100mm</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1859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p>
        </w:tc>
      </w:tr>
      <w:tr w14:paraId="01585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46E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11</w:t>
            </w:r>
          </w:p>
        </w:tc>
        <w:tc>
          <w:tcPr>
            <w:tcW w:w="2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AA67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擦镜纸</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B85C5">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Alcohol wipes, 70% isopropyl，微生物实验室专用。</w:t>
            </w:r>
          </w:p>
        </w:tc>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5381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35C4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5</w:t>
            </w:r>
          </w:p>
        </w:tc>
        <w:tc>
          <w:tcPr>
            <w:tcW w:w="8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01FFA">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质地松软，不会损伤镜头或光学仪器表面；不含硅及其它化学添加剂；高吸收率，可确保镜头表面水分和油脂的彻底去除；厚度范围0.035-0.040 mm；韧性好，无纤维脱落，对镜头表面无二次污染。</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5FB59">
            <w:pPr>
              <w:jc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64384" behindDoc="0" locked="0" layoutInCell="1" allowOverlap="1">
                  <wp:simplePos x="0" y="0"/>
                  <wp:positionH relativeFrom="column">
                    <wp:posOffset>-64135</wp:posOffset>
                  </wp:positionH>
                  <wp:positionV relativeFrom="paragraph">
                    <wp:posOffset>-106045</wp:posOffset>
                  </wp:positionV>
                  <wp:extent cx="784225" cy="565150"/>
                  <wp:effectExtent l="0" t="0" r="15875" b="6350"/>
                  <wp:wrapNone/>
                  <wp:docPr id="16" name="图片_2"/>
                  <wp:cNvGraphicFramePr/>
                  <a:graphic xmlns:a="http://schemas.openxmlformats.org/drawingml/2006/main">
                    <a:graphicData uri="http://schemas.openxmlformats.org/drawingml/2006/picture">
                      <pic:pic xmlns:pic="http://schemas.openxmlformats.org/drawingml/2006/picture">
                        <pic:nvPicPr>
                          <pic:cNvPr id="16" name="图片_2"/>
                          <pic:cNvPicPr/>
                        </pic:nvPicPr>
                        <pic:blipFill>
                          <a:blip r:embed="rId21"/>
                          <a:stretch>
                            <a:fillRect/>
                          </a:stretch>
                        </pic:blipFill>
                        <pic:spPr>
                          <a:xfrm>
                            <a:off x="0" y="0"/>
                            <a:ext cx="784225" cy="565150"/>
                          </a:xfrm>
                          <a:prstGeom prst="rect">
                            <a:avLst/>
                          </a:prstGeom>
                          <a:noFill/>
                          <a:ln>
                            <a:noFill/>
                          </a:ln>
                        </pic:spPr>
                      </pic:pic>
                    </a:graphicData>
                  </a:graphic>
                </wp:anchor>
              </w:drawing>
            </w:r>
          </w:p>
        </w:tc>
      </w:tr>
      <w:tr w14:paraId="79063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328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12</w:t>
            </w:r>
          </w:p>
        </w:tc>
        <w:tc>
          <w:tcPr>
            <w:tcW w:w="2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893A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Tris-HCL</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BFC7D">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 M Tris-HCl, pH 7.0，分子生物实验室使用，分析醇。</w:t>
            </w:r>
          </w:p>
        </w:tc>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1F10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59F6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8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6A9E3">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缓冲范围在7.5-8.5，是一种中性缓冲剂，但是它本身是含弱碱性的。常用于分子生物学、细胞生物学等各种生化实验中。1.水溶性好，在水中溶解度高，液体澄清；2.纯度高，可达到99%，使用起来性能稳定；3.不与部分金属离子发生沉淀（例如钙、镁）；4.Tris-hcl缓冲剂的离子强度低；5.与传统的磷酸盐缓冲剂相比Tris-hcl在酶类测定中使用效果更佳。1.Tris-HCL广泛用于蛋白质、核酸、细胞培养缓冲剂；2.可用于蛋白晶体生长缓冲剂；3.在电泳缓冲液中与甘氨酸合并构成缓冲体系，用于稳定电泳过程中的PH值；4.由于离子强度低，可用于线虫核纤层蛋白的中间纤维形成；5.用于滴定标准物；6.用于表面活性剂的制备。</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B6F9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提供蛋白质变形物质2瓶</w:t>
            </w:r>
          </w:p>
        </w:tc>
      </w:tr>
      <w:tr w14:paraId="448AE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F71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13</w:t>
            </w:r>
          </w:p>
        </w:tc>
        <w:tc>
          <w:tcPr>
            <w:tcW w:w="2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E20D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吐温20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E3905">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分析醇100ml，分子生物实验室使用，分析醇。</w:t>
            </w:r>
          </w:p>
        </w:tc>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96E7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133A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8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25541">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Tween-20为黄色或琥珀色澄明的油状液体，具有特殊的臭气和微弱苦味。</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10621">
            <w:pPr>
              <w:jc w:val="left"/>
              <w:rPr>
                <w:rFonts w:hint="eastAsia" w:ascii="新宋体" w:hAnsi="新宋体" w:eastAsia="新宋体" w:cs="新宋体"/>
                <w:i w:val="0"/>
                <w:iCs w:val="0"/>
                <w:color w:val="000000"/>
                <w:sz w:val="18"/>
                <w:szCs w:val="18"/>
                <w:u w:val="none"/>
              </w:rPr>
            </w:pPr>
          </w:p>
        </w:tc>
      </w:tr>
      <w:tr w14:paraId="6F08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606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14</w:t>
            </w:r>
          </w:p>
        </w:tc>
        <w:tc>
          <w:tcPr>
            <w:tcW w:w="2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F466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Ampure纯化磁珠</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B353F">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Agencourt AMPure XP 5 ml kit或30/盒，分子生物实验室使用。</w:t>
            </w:r>
          </w:p>
        </w:tc>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AA44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6E0B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2</w:t>
            </w:r>
          </w:p>
        </w:tc>
        <w:tc>
          <w:tcPr>
            <w:tcW w:w="8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DAA4C">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磁珠是高通量测序过程必备产品，通过磁颗粒活性基团在一定条件下可与核酸结合和解离的原理，将样本中目的片段分离。可实现对核酸样本的高通量自动化操作，广泛应用于基因测序以及分子诊断领域。带负电磷酸基团借由解离的盐离子（如Na+）与羧基形成离子桥，使DNA被特异性吸附到羧基磁珠表面。利用磁珠的磁性，可通过外加磁场进行收集洗脱。</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A6821">
            <w:pPr>
              <w:jc w:val="left"/>
              <w:rPr>
                <w:rFonts w:hint="eastAsia" w:ascii="新宋体" w:hAnsi="新宋体" w:eastAsia="新宋体" w:cs="新宋体"/>
                <w:i w:val="0"/>
                <w:iCs w:val="0"/>
                <w:color w:val="000000"/>
                <w:sz w:val="18"/>
                <w:szCs w:val="18"/>
                <w:u w:val="none"/>
              </w:rPr>
            </w:pPr>
          </w:p>
        </w:tc>
      </w:tr>
    </w:tbl>
    <w:p w14:paraId="43330374">
      <w:pPr>
        <w:pStyle w:val="38"/>
        <w:ind w:left="0" w:leftChars="0" w:firstLine="0" w:firstLineChars="0"/>
        <w:rPr>
          <w:rFonts w:hint="eastAsia" w:ascii="仿宋" w:hAnsi="仿宋" w:eastAsia="仿宋" w:cs="仿宋"/>
          <w:color w:val="auto"/>
          <w:szCs w:val="24"/>
          <w:highlight w:val="none"/>
          <w:lang w:val="en-US" w:eastAsia="zh-CN"/>
        </w:rPr>
      </w:pPr>
    </w:p>
    <w:p w14:paraId="6680FC62">
      <w:pPr>
        <w:rPr>
          <w:rFonts w:hint="eastAsia" w:ascii="仿宋" w:hAnsi="仿宋" w:eastAsia="仿宋" w:cs="仿宋"/>
          <w:color w:val="auto"/>
          <w:szCs w:val="24"/>
          <w:highlight w:val="none"/>
          <w:lang w:val="en-US" w:eastAsia="zh-CN"/>
        </w:rPr>
      </w:pPr>
    </w:p>
    <w:p w14:paraId="0D972B05">
      <w:pPr>
        <w:pStyle w:val="38"/>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附件三：</w:t>
      </w:r>
    </w:p>
    <w:tbl>
      <w:tblPr>
        <w:tblStyle w:val="50"/>
        <w:tblW w:w="143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
        <w:gridCol w:w="1500"/>
        <w:gridCol w:w="925"/>
        <w:gridCol w:w="775"/>
        <w:gridCol w:w="413"/>
        <w:gridCol w:w="9325"/>
        <w:gridCol w:w="950"/>
      </w:tblGrid>
      <w:tr w14:paraId="7954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307" w:type="dxa"/>
            <w:gridSpan w:val="7"/>
            <w:tcBorders>
              <w:top w:val="nil"/>
              <w:left w:val="nil"/>
              <w:bottom w:val="nil"/>
              <w:right w:val="nil"/>
            </w:tcBorders>
            <w:noWrap w:val="0"/>
            <w:vAlign w:val="center"/>
          </w:tcPr>
          <w:p w14:paraId="2C9D05E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 xml:space="preserve">                  2025年新冠污水检测试剂耗材需求表</w:t>
            </w:r>
          </w:p>
        </w:tc>
      </w:tr>
      <w:tr w14:paraId="4F0C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14:paraId="09CD0A7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D0F5DD8">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试剂/耗材名称</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04AA7C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规格</w:t>
            </w:r>
          </w:p>
        </w:tc>
        <w:tc>
          <w:tcPr>
            <w:tcW w:w="775" w:type="dxa"/>
            <w:tcBorders>
              <w:top w:val="single" w:color="000000" w:sz="4" w:space="0"/>
              <w:left w:val="single" w:color="000000" w:sz="4" w:space="0"/>
              <w:bottom w:val="single" w:color="000000" w:sz="4" w:space="0"/>
              <w:right w:val="nil"/>
            </w:tcBorders>
            <w:noWrap w:val="0"/>
            <w:vAlign w:val="center"/>
          </w:tcPr>
          <w:p w14:paraId="412F24B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数量</w:t>
            </w:r>
          </w:p>
        </w:tc>
        <w:tc>
          <w:tcPr>
            <w:tcW w:w="413" w:type="dxa"/>
            <w:tcBorders>
              <w:top w:val="single" w:color="000000" w:sz="4" w:space="0"/>
              <w:left w:val="single" w:color="000000" w:sz="4" w:space="0"/>
              <w:bottom w:val="single" w:color="000000" w:sz="4" w:space="0"/>
              <w:right w:val="nil"/>
            </w:tcBorders>
            <w:noWrap w:val="0"/>
            <w:vAlign w:val="center"/>
          </w:tcPr>
          <w:p w14:paraId="5605775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单位</w:t>
            </w:r>
          </w:p>
        </w:tc>
        <w:tc>
          <w:tcPr>
            <w:tcW w:w="9325" w:type="dxa"/>
            <w:tcBorders>
              <w:top w:val="single" w:color="000000" w:sz="4" w:space="0"/>
              <w:left w:val="single" w:color="000000" w:sz="4" w:space="0"/>
              <w:bottom w:val="single" w:color="000000" w:sz="4" w:space="0"/>
              <w:right w:val="nil"/>
            </w:tcBorders>
            <w:noWrap w:val="0"/>
            <w:vAlign w:val="center"/>
          </w:tcPr>
          <w:p w14:paraId="2D7D1D4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技术参数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91A1841">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备注</w:t>
            </w:r>
          </w:p>
        </w:tc>
      </w:tr>
      <w:tr w14:paraId="5A38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14:paraId="10ABA953">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B3F4E2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污水新冠病毒核酸扩增试剂盒</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679209C">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100人份</w:t>
            </w:r>
          </w:p>
        </w:tc>
        <w:tc>
          <w:tcPr>
            <w:tcW w:w="775" w:type="dxa"/>
            <w:tcBorders>
              <w:top w:val="single" w:color="000000" w:sz="4" w:space="0"/>
              <w:left w:val="single" w:color="000000" w:sz="4" w:space="0"/>
              <w:bottom w:val="single" w:color="000000" w:sz="4" w:space="0"/>
              <w:right w:val="nil"/>
            </w:tcBorders>
            <w:noWrap w:val="0"/>
            <w:vAlign w:val="center"/>
          </w:tcPr>
          <w:p w14:paraId="4C46ECF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2000</w:t>
            </w:r>
          </w:p>
        </w:tc>
        <w:tc>
          <w:tcPr>
            <w:tcW w:w="413" w:type="dxa"/>
            <w:tcBorders>
              <w:top w:val="single" w:color="000000" w:sz="4" w:space="0"/>
              <w:left w:val="single" w:color="000000" w:sz="4" w:space="0"/>
              <w:bottom w:val="single" w:color="000000" w:sz="4" w:space="0"/>
              <w:right w:val="nil"/>
            </w:tcBorders>
            <w:noWrap w:val="0"/>
            <w:vAlign w:val="center"/>
          </w:tcPr>
          <w:p w14:paraId="439FB257">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人份</w:t>
            </w:r>
          </w:p>
        </w:tc>
        <w:tc>
          <w:tcPr>
            <w:tcW w:w="9325" w:type="dxa"/>
            <w:tcBorders>
              <w:top w:val="single" w:color="000000" w:sz="4" w:space="0"/>
              <w:left w:val="single" w:color="000000" w:sz="4" w:space="0"/>
              <w:bottom w:val="single" w:color="000000" w:sz="4" w:space="0"/>
              <w:right w:val="single" w:color="000000" w:sz="4" w:space="0"/>
            </w:tcBorders>
            <w:noWrap w:val="0"/>
            <w:vAlign w:val="center"/>
          </w:tcPr>
          <w:p w14:paraId="5E51C47B">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1.产品名称：新型冠状病毒2019-nCoV核酸检测试剂盒（荧光PCR法）</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2.检测基因：ORF1ab基因、N基因。</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3.检测方法：实时荧光定量PCR法。</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4.NMPA证书：国家药品监督管理局医疗器械注册证（国械注准 20203400212）。</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5.*上机反应时间：60分钟以内。</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6.荧光通道：3个荧光通道（FAM、VIC/HEX、ROX），可在一个管子中同时检测ORF1ab基因、N基因和内标基因（RNaseP），无需分成多管。</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7.*检测操作：预混反应试剂可直接分装，无需混合步骤；反应液预分装，无需配液分装过程，可直接加样。</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8.*灵敏度（LoD）：200 copies/mL。</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9.*重复性：中检院检测国家精密性参考品Ct值的CV≤0.7%。</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10.*质量控制：含有阴阳性质控品和人源性内标，监测样本的采集、核酸提取、PCR扩增等过程中出现的假阴性。采用UNG酶-dUTP反应体系，防止气溶胶污染导致的假阳性。</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11.*适用机型：开放型平台，适用于市面上大部分全自动荧光PCR检测仪。如：ABI 7500实时荧光定量PCR仪、LightCycler 480实时荧光定量PCR仪、Gentier 96全自动医用PCR分析系统、QPT1000实时荧光PCR分析仪和SLAN-96全自动医用PCR分析系统等。</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12.有效期：10个月，到货后质保期不少于8个月。</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13.*运输条件：低温（-15℃以下）运输，具备冷链运输。</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14.储存条件：避光储存于-20±5℃。</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15.包装规格：大包装：25人份/盒、50人份/盒、100人份/盒、200人份/盒、960人份/盒。</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16.*单管单人份包装：25人份/盒、50人份/盒、96人份/盒、100人份/盒、192人份/盒、384人份/盒、960人份/盒。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21F5F8A">
            <w:pPr>
              <w:jc w:val="center"/>
              <w:rPr>
                <w:rFonts w:hint="eastAsia" w:ascii="新宋体" w:hAnsi="新宋体" w:eastAsia="新宋体" w:cs="新宋体"/>
                <w:i w:val="0"/>
                <w:iCs w:val="0"/>
                <w:color w:val="FF0000"/>
                <w:sz w:val="16"/>
                <w:szCs w:val="16"/>
                <w:u w:val="none"/>
              </w:rPr>
            </w:pPr>
            <w:r>
              <w:rPr>
                <w:rFonts w:hint="eastAsia" w:ascii="新宋体" w:hAnsi="新宋体" w:eastAsia="新宋体" w:cs="新宋体"/>
                <w:i w:val="0"/>
                <w:iCs w:val="0"/>
                <w:color w:val="FF0000"/>
                <w:sz w:val="16"/>
                <w:szCs w:val="16"/>
                <w:u w:val="none"/>
              </w:rPr>
              <w:t>试剂性能验证合格证书</w:t>
            </w:r>
          </w:p>
        </w:tc>
      </w:tr>
      <w:tr w14:paraId="531B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14:paraId="54B0CD91">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nil"/>
              <w:right w:val="single" w:color="000000" w:sz="4" w:space="0"/>
            </w:tcBorders>
            <w:noWrap w:val="0"/>
            <w:vAlign w:val="center"/>
          </w:tcPr>
          <w:p w14:paraId="0EBB97D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新冠病毒检测标准品GBW(E)091090                  O基因、N基因、E基因全长</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20840653">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标准物质原溶液浓度为 2.6×10</w:t>
            </w:r>
            <w:r>
              <w:rPr>
                <w:rFonts w:hint="eastAsia" w:ascii="新宋体" w:hAnsi="新宋体" w:eastAsia="新宋体" w:cs="新宋体"/>
                <w:i w:val="0"/>
                <w:iCs w:val="0"/>
                <w:color w:val="000000"/>
                <w:kern w:val="0"/>
                <w:sz w:val="16"/>
                <w:szCs w:val="16"/>
                <w:u w:val="none"/>
                <w:vertAlign w:val="superscript"/>
                <w:lang w:val="en-US" w:eastAsia="zh-CN" w:bidi="ar"/>
              </w:rPr>
              <w:t>7</w:t>
            </w:r>
            <w:r>
              <w:rPr>
                <w:rFonts w:hint="eastAsia" w:ascii="新宋体" w:hAnsi="新宋体" w:eastAsia="新宋体" w:cs="新宋体"/>
                <w:i w:val="0"/>
                <w:iCs w:val="0"/>
                <w:color w:val="000000"/>
                <w:kern w:val="0"/>
                <w:sz w:val="16"/>
                <w:szCs w:val="16"/>
                <w:u w:val="none"/>
                <w:lang w:val="en-US" w:eastAsia="zh-CN" w:bidi="ar"/>
              </w:rPr>
              <w:t xml:space="preserve"> copies/mL；5支/盒  </w:t>
            </w:r>
          </w:p>
        </w:tc>
        <w:tc>
          <w:tcPr>
            <w:tcW w:w="775" w:type="dxa"/>
            <w:tcBorders>
              <w:top w:val="single" w:color="000000" w:sz="4" w:space="0"/>
              <w:left w:val="single" w:color="000000" w:sz="4" w:space="0"/>
              <w:bottom w:val="single" w:color="000000" w:sz="4" w:space="0"/>
              <w:right w:val="nil"/>
            </w:tcBorders>
            <w:noWrap w:val="0"/>
            <w:vAlign w:val="center"/>
          </w:tcPr>
          <w:p w14:paraId="6B22A5A7">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w:t>
            </w:r>
          </w:p>
        </w:tc>
        <w:tc>
          <w:tcPr>
            <w:tcW w:w="413" w:type="dxa"/>
            <w:tcBorders>
              <w:top w:val="single" w:color="000000" w:sz="4" w:space="0"/>
              <w:left w:val="single" w:color="000000" w:sz="4" w:space="0"/>
              <w:bottom w:val="nil"/>
              <w:right w:val="nil"/>
            </w:tcBorders>
            <w:noWrap w:val="0"/>
            <w:vAlign w:val="center"/>
          </w:tcPr>
          <w:p w14:paraId="261F3A33">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盒</w:t>
            </w:r>
          </w:p>
        </w:tc>
        <w:tc>
          <w:tcPr>
            <w:tcW w:w="9325" w:type="dxa"/>
            <w:tcBorders>
              <w:top w:val="single" w:color="000000" w:sz="4" w:space="0"/>
              <w:left w:val="single" w:color="000000" w:sz="4" w:space="0"/>
              <w:bottom w:val="single" w:color="000000" w:sz="4" w:space="0"/>
              <w:right w:val="single" w:color="000000" w:sz="4" w:space="0"/>
            </w:tcBorders>
            <w:noWrap w:val="0"/>
            <w:vAlign w:val="center"/>
          </w:tcPr>
          <w:p w14:paraId="2AE6AC52">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4548505</wp:posOffset>
                  </wp:positionH>
                  <wp:positionV relativeFrom="paragraph">
                    <wp:posOffset>692785</wp:posOffset>
                  </wp:positionV>
                  <wp:extent cx="636905" cy="859155"/>
                  <wp:effectExtent l="0" t="0" r="10795" b="17145"/>
                  <wp:wrapNone/>
                  <wp:docPr id="17" name="图片 41"/>
                  <wp:cNvGraphicFramePr/>
                  <a:graphic xmlns:a="http://schemas.openxmlformats.org/drawingml/2006/main">
                    <a:graphicData uri="http://schemas.openxmlformats.org/drawingml/2006/picture">
                      <pic:pic xmlns:pic="http://schemas.openxmlformats.org/drawingml/2006/picture">
                        <pic:nvPicPr>
                          <pic:cNvPr id="17" name="图片 41"/>
                          <pic:cNvPicPr/>
                        </pic:nvPicPr>
                        <pic:blipFill>
                          <a:blip r:embed="rId22"/>
                          <a:stretch>
                            <a:fillRect/>
                          </a:stretch>
                        </pic:blipFill>
                        <pic:spPr>
                          <a:xfrm>
                            <a:off x="0" y="0"/>
                            <a:ext cx="636905" cy="859155"/>
                          </a:xfrm>
                          <a:prstGeom prst="rect">
                            <a:avLst/>
                          </a:prstGeom>
                          <a:noFill/>
                          <a:ln>
                            <a:noFill/>
                          </a:ln>
                        </pic:spPr>
                      </pic:pic>
                    </a:graphicData>
                  </a:graphic>
                </wp:anchor>
              </w:drawing>
            </w:r>
            <w:r>
              <w:rPr>
                <w:rFonts w:hint="eastAsia" w:ascii="新宋体" w:hAnsi="新宋体" w:eastAsia="新宋体" w:cs="新宋体"/>
                <w:i w:val="0"/>
                <w:iCs w:val="0"/>
                <w:color w:val="000000"/>
                <w:kern w:val="0"/>
                <w:sz w:val="16"/>
                <w:szCs w:val="16"/>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3616960</wp:posOffset>
                  </wp:positionH>
                  <wp:positionV relativeFrom="paragraph">
                    <wp:posOffset>598170</wp:posOffset>
                  </wp:positionV>
                  <wp:extent cx="643890" cy="1224280"/>
                  <wp:effectExtent l="0" t="0" r="3810" b="13970"/>
                  <wp:wrapNone/>
                  <wp:docPr id="18" name="图片_3"/>
                  <wp:cNvGraphicFramePr/>
                  <a:graphic xmlns:a="http://schemas.openxmlformats.org/drawingml/2006/main">
                    <a:graphicData uri="http://schemas.openxmlformats.org/drawingml/2006/picture">
                      <pic:pic xmlns:pic="http://schemas.openxmlformats.org/drawingml/2006/picture">
                        <pic:nvPicPr>
                          <pic:cNvPr id="18" name="图片_3"/>
                          <pic:cNvPicPr/>
                        </pic:nvPicPr>
                        <pic:blipFill>
                          <a:blip r:embed="rId23"/>
                          <a:stretch>
                            <a:fillRect/>
                          </a:stretch>
                        </pic:blipFill>
                        <pic:spPr>
                          <a:xfrm>
                            <a:off x="0" y="0"/>
                            <a:ext cx="643890" cy="1224280"/>
                          </a:xfrm>
                          <a:prstGeom prst="rect">
                            <a:avLst/>
                          </a:prstGeom>
                          <a:noFill/>
                          <a:ln>
                            <a:noFill/>
                          </a:ln>
                        </pic:spPr>
                      </pic:pic>
                    </a:graphicData>
                  </a:graphic>
                </wp:anchor>
              </w:drawing>
            </w:r>
            <w:r>
              <w:rPr>
                <w:rFonts w:hint="eastAsia" w:ascii="新宋体" w:hAnsi="新宋体" w:eastAsia="新宋体" w:cs="新宋体"/>
                <w:i w:val="0"/>
                <w:iCs w:val="0"/>
                <w:color w:val="FF0000"/>
                <w:kern w:val="0"/>
                <w:sz w:val="16"/>
                <w:szCs w:val="16"/>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989330</wp:posOffset>
                  </wp:positionH>
                  <wp:positionV relativeFrom="paragraph">
                    <wp:posOffset>1019175</wp:posOffset>
                  </wp:positionV>
                  <wp:extent cx="1703070" cy="341630"/>
                  <wp:effectExtent l="0" t="0" r="11430" b="1270"/>
                  <wp:wrapNone/>
                  <wp:docPr id="19" name="图片_4"/>
                  <wp:cNvGraphicFramePr/>
                  <a:graphic xmlns:a="http://schemas.openxmlformats.org/drawingml/2006/main">
                    <a:graphicData uri="http://schemas.openxmlformats.org/drawingml/2006/picture">
                      <pic:pic xmlns:pic="http://schemas.openxmlformats.org/drawingml/2006/picture">
                        <pic:nvPicPr>
                          <pic:cNvPr id="19" name="图片_4"/>
                          <pic:cNvPicPr/>
                        </pic:nvPicPr>
                        <pic:blipFill>
                          <a:blip r:embed="rId24"/>
                          <a:stretch>
                            <a:fillRect/>
                          </a:stretch>
                        </pic:blipFill>
                        <pic:spPr>
                          <a:xfrm>
                            <a:off x="0" y="0"/>
                            <a:ext cx="1703070" cy="341630"/>
                          </a:xfrm>
                          <a:prstGeom prst="rect">
                            <a:avLst/>
                          </a:prstGeom>
                          <a:noFill/>
                          <a:ln>
                            <a:noFill/>
                          </a:ln>
                        </pic:spPr>
                      </pic:pic>
                    </a:graphicData>
                  </a:graphic>
                </wp:anchor>
              </w:drawing>
            </w:r>
            <w:r>
              <w:rPr>
                <w:rFonts w:hint="eastAsia" w:ascii="新宋体" w:hAnsi="新宋体" w:eastAsia="新宋体" w:cs="新宋体"/>
                <w:i w:val="0"/>
                <w:iCs w:val="0"/>
                <w:color w:val="000000"/>
                <w:kern w:val="0"/>
                <w:sz w:val="16"/>
                <w:szCs w:val="16"/>
                <w:u w:val="none"/>
                <w:lang w:val="en-US" w:eastAsia="zh-CN" w:bidi="ar"/>
              </w:rPr>
              <w:t>规格‌：50μL/支，采用干冰运输。</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‌保存条件‌：需置于-70℃冰箱中保存。</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‌浓度特性‌：ORF1ab（O因）：拷贝数浓度(6.4±0.8)×10² copies/μL。N基因：拷贝数浓度为 (6.4±0.8)×10² copies/μL。E基因：拷贝数浓度为 (6.3±0.7)×10² copies/μL。</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EF866E9">
            <w:pPr>
              <w:keepNext w:val="0"/>
              <w:keepLines w:val="0"/>
              <w:widowControl/>
              <w:suppressLineNumbers w:val="0"/>
              <w:jc w:val="center"/>
              <w:textAlignment w:val="center"/>
              <w:rPr>
                <w:rFonts w:hint="eastAsia" w:ascii="新宋体" w:hAnsi="新宋体" w:eastAsia="新宋体" w:cs="新宋体"/>
                <w:i w:val="0"/>
                <w:iCs w:val="0"/>
                <w:color w:val="FF0000"/>
                <w:sz w:val="16"/>
                <w:szCs w:val="16"/>
                <w:u w:val="none"/>
              </w:rPr>
            </w:pPr>
          </w:p>
        </w:tc>
      </w:tr>
      <w:tr w14:paraId="3478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14:paraId="189EB261">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C928A14">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新冠病毒检测质控品</w:t>
            </w:r>
          </w:p>
        </w:tc>
        <w:tc>
          <w:tcPr>
            <w:tcW w:w="925" w:type="dxa"/>
            <w:tcBorders>
              <w:top w:val="nil"/>
              <w:left w:val="nil"/>
              <w:bottom w:val="nil"/>
              <w:right w:val="nil"/>
            </w:tcBorders>
            <w:noWrap w:val="0"/>
            <w:vAlign w:val="center"/>
          </w:tcPr>
          <w:p w14:paraId="2A39C267">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全基因组，0.5mL/管，1×10</w:t>
            </w:r>
            <w:r>
              <w:rPr>
                <w:rFonts w:hint="eastAsia" w:ascii="新宋体" w:hAnsi="新宋体" w:eastAsia="新宋体" w:cs="新宋体"/>
                <w:i w:val="0"/>
                <w:iCs w:val="0"/>
                <w:color w:val="000000"/>
                <w:kern w:val="0"/>
                <w:sz w:val="16"/>
                <w:szCs w:val="16"/>
                <w:u w:val="none"/>
                <w:vertAlign w:val="superscript"/>
                <w:lang w:val="en-US" w:eastAsia="zh-CN" w:bidi="ar"/>
              </w:rPr>
              <w:t>6</w:t>
            </w:r>
            <w:r>
              <w:rPr>
                <w:rFonts w:hint="eastAsia" w:ascii="新宋体" w:hAnsi="新宋体" w:eastAsia="新宋体" w:cs="新宋体"/>
                <w:i w:val="0"/>
                <w:iCs w:val="0"/>
                <w:color w:val="000000"/>
                <w:kern w:val="0"/>
                <w:sz w:val="16"/>
                <w:szCs w:val="16"/>
                <w:u w:val="none"/>
                <w:lang w:val="en-US" w:eastAsia="zh-CN" w:bidi="ar"/>
              </w:rPr>
              <w:t>copies/ml。</w:t>
            </w:r>
          </w:p>
        </w:tc>
        <w:tc>
          <w:tcPr>
            <w:tcW w:w="775" w:type="dxa"/>
            <w:tcBorders>
              <w:top w:val="single" w:color="000000" w:sz="4" w:space="0"/>
              <w:left w:val="single" w:color="000000" w:sz="4" w:space="0"/>
              <w:bottom w:val="single" w:color="000000" w:sz="4" w:space="0"/>
              <w:right w:val="nil"/>
            </w:tcBorders>
            <w:noWrap w:val="0"/>
            <w:vAlign w:val="center"/>
          </w:tcPr>
          <w:p w14:paraId="061A85C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w:t>
            </w:r>
          </w:p>
        </w:tc>
        <w:tc>
          <w:tcPr>
            <w:tcW w:w="413" w:type="dxa"/>
            <w:tcBorders>
              <w:top w:val="single" w:color="000000" w:sz="4" w:space="0"/>
              <w:left w:val="single" w:color="000000" w:sz="4" w:space="0"/>
              <w:bottom w:val="nil"/>
              <w:right w:val="nil"/>
            </w:tcBorders>
            <w:noWrap w:val="0"/>
            <w:vAlign w:val="center"/>
          </w:tcPr>
          <w:p w14:paraId="497707E8">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盒</w:t>
            </w:r>
          </w:p>
        </w:tc>
        <w:tc>
          <w:tcPr>
            <w:tcW w:w="9325" w:type="dxa"/>
            <w:tcBorders>
              <w:top w:val="single" w:color="000000" w:sz="4" w:space="0"/>
              <w:left w:val="single" w:color="000000" w:sz="4" w:space="0"/>
              <w:bottom w:val="single" w:color="000000" w:sz="4" w:space="0"/>
              <w:right w:val="single" w:color="000000" w:sz="4" w:space="0"/>
            </w:tcBorders>
            <w:noWrap w:val="0"/>
            <w:vAlign w:val="center"/>
          </w:tcPr>
          <w:p w14:paraId="2157DDCE">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4396740</wp:posOffset>
                  </wp:positionH>
                  <wp:positionV relativeFrom="paragraph">
                    <wp:posOffset>1058545</wp:posOffset>
                  </wp:positionV>
                  <wp:extent cx="1381125" cy="751840"/>
                  <wp:effectExtent l="0" t="0" r="9525" b="10160"/>
                  <wp:wrapNone/>
                  <wp:docPr id="20" name="图片_1"/>
                  <wp:cNvGraphicFramePr/>
                  <a:graphic xmlns:a="http://schemas.openxmlformats.org/drawingml/2006/main">
                    <a:graphicData uri="http://schemas.openxmlformats.org/drawingml/2006/picture">
                      <pic:pic xmlns:pic="http://schemas.openxmlformats.org/drawingml/2006/picture">
                        <pic:nvPicPr>
                          <pic:cNvPr id="20" name="图片_1"/>
                          <pic:cNvPicPr/>
                        </pic:nvPicPr>
                        <pic:blipFill>
                          <a:blip r:embed="rId25"/>
                          <a:stretch>
                            <a:fillRect/>
                          </a:stretch>
                        </pic:blipFill>
                        <pic:spPr>
                          <a:xfrm>
                            <a:off x="0" y="0"/>
                            <a:ext cx="1381125" cy="751840"/>
                          </a:xfrm>
                          <a:prstGeom prst="rect">
                            <a:avLst/>
                          </a:prstGeom>
                          <a:noFill/>
                          <a:ln>
                            <a:noFill/>
                          </a:ln>
                        </pic:spPr>
                      </pic:pic>
                    </a:graphicData>
                  </a:graphic>
                </wp:anchor>
              </w:drawing>
            </w:r>
            <w:r>
              <w:rPr>
                <w:rFonts w:hint="eastAsia" w:ascii="新宋体" w:hAnsi="新宋体" w:eastAsia="新宋体" w:cs="新宋体"/>
                <w:i w:val="0"/>
                <w:iCs w:val="0"/>
                <w:color w:val="000000"/>
                <w:kern w:val="0"/>
                <w:sz w:val="16"/>
                <w:szCs w:val="16"/>
                <w:u w:val="none"/>
                <w:lang w:val="en-US" w:eastAsia="zh-CN" w:bidi="ar"/>
              </w:rPr>
              <w:t>规格‌：0.5mL/管，多采用管装设计，适配实验室自动化操作。</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‌浓度‌：1×10⁶ copies/mL（可浮动至1×10⁵~1×10⁶ copies/mL区间）。</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‌保存条件‌：推荐-20℃以下长期保存，常温（20℃~37℃）稳定≥2周，4℃稳定≥4周。</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二、基因组参数</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‌基因覆盖‌：包含新冠病毒全基因组序列（如ORF1ab、N、E等基因），覆盖基因组关键功能区域，确保检测完整性。</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‌生物模拟‌：采用假病毒或体外转录RNA模拟病毒结构，无传染性，符合生物安全标准。</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三、性能参数</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‌均匀性‌：批次内均匀性CV≤5%，通过多试剂盒验证结果一致性。</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‌稳定性‌：-20℃保存有效期≥1年，冻干形态可延长至12个月。</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‌兼容性‌：适配荧光定量PCR、数字PCR等检测方法，支持核酸提取全流程质控（包括裂解、扩增等环节）。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A3DBD2C">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p>
        </w:tc>
      </w:tr>
      <w:tr w14:paraId="0517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14:paraId="52740B2E">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49F1736">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新冠病毒检测弱阳性质控品</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320857C0">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1 000 copies/mL，20支/盒</w:t>
            </w:r>
          </w:p>
        </w:tc>
        <w:tc>
          <w:tcPr>
            <w:tcW w:w="775" w:type="dxa"/>
            <w:tcBorders>
              <w:top w:val="single" w:color="000000" w:sz="4" w:space="0"/>
              <w:left w:val="single" w:color="000000" w:sz="4" w:space="0"/>
              <w:bottom w:val="single" w:color="000000" w:sz="4" w:space="0"/>
              <w:right w:val="nil"/>
            </w:tcBorders>
            <w:noWrap w:val="0"/>
            <w:vAlign w:val="center"/>
          </w:tcPr>
          <w:p w14:paraId="1E0A844F">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100</w:t>
            </w:r>
          </w:p>
        </w:tc>
        <w:tc>
          <w:tcPr>
            <w:tcW w:w="413" w:type="dxa"/>
            <w:tcBorders>
              <w:top w:val="single" w:color="000000" w:sz="4" w:space="0"/>
              <w:left w:val="single" w:color="000000" w:sz="4" w:space="0"/>
              <w:bottom w:val="single" w:color="000000" w:sz="4" w:space="0"/>
              <w:right w:val="nil"/>
            </w:tcBorders>
            <w:noWrap w:val="0"/>
            <w:vAlign w:val="center"/>
          </w:tcPr>
          <w:p w14:paraId="436FED6B">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支</w:t>
            </w:r>
          </w:p>
        </w:tc>
        <w:tc>
          <w:tcPr>
            <w:tcW w:w="9325" w:type="dxa"/>
            <w:tcBorders>
              <w:top w:val="single" w:color="000000" w:sz="4" w:space="0"/>
              <w:left w:val="single" w:color="000000" w:sz="4" w:space="0"/>
              <w:bottom w:val="single" w:color="000000" w:sz="4" w:space="0"/>
              <w:right w:val="single" w:color="000000" w:sz="4" w:space="0"/>
            </w:tcBorders>
            <w:noWrap w:val="0"/>
            <w:vAlign w:val="top"/>
          </w:tcPr>
          <w:p w14:paraId="597D010A">
            <w:pPr>
              <w:keepNext w:val="0"/>
              <w:keepLines w:val="0"/>
              <w:widowControl/>
              <w:suppressLineNumbers w:val="0"/>
              <w:jc w:val="left"/>
              <w:textAlignment w:val="top"/>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‌适用检测类型‌：新冠病毒核酸弱阳性对照，适用于核酸检测试剂盒的室内质控及实验室质量验证。</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‌浓度范围‌：弱阳性样本浓度设置为检测限的1.5-3倍，符合国家联防联控机制对新冠检测质控品的规范要求。</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‌规格与包装‌：单包装含多规格质控品（具体容量未明确），支持实验室灵活选择。</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‌兼容性‌：适配多种检测方法（如荧光定量PCR）及主流试剂盒品牌，确保实验一致性。</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‌稳定性‌：-20℃保存条件下有效期≥1年，批次内均匀性CV≤5%，保障结果可靠性。</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‌安全性‌：采用灭活病毒或假病毒模拟样本，无传染性，符合实验室生物安全标准。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5FDBE1A">
            <w:pPr>
              <w:jc w:val="center"/>
              <w:rPr>
                <w:rFonts w:hint="eastAsia" w:ascii="新宋体" w:hAnsi="新宋体" w:eastAsia="新宋体" w:cs="新宋体"/>
                <w:i w:val="0"/>
                <w:iCs w:val="0"/>
                <w:color w:val="000000"/>
                <w:sz w:val="16"/>
                <w:szCs w:val="16"/>
                <w:u w:val="none"/>
              </w:rPr>
            </w:pPr>
          </w:p>
        </w:tc>
      </w:tr>
      <w:tr w14:paraId="773B8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14:paraId="626A6E38">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A431D7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聚乙二醇分析PEG8000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1BC5994">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分子生物学实验用500g/瓶</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2E0150F5">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6</w:t>
            </w:r>
          </w:p>
        </w:tc>
        <w:tc>
          <w:tcPr>
            <w:tcW w:w="413" w:type="dxa"/>
            <w:tcBorders>
              <w:top w:val="single" w:color="000000" w:sz="4" w:space="0"/>
              <w:left w:val="single" w:color="000000" w:sz="4" w:space="0"/>
              <w:bottom w:val="single" w:color="000000" w:sz="4" w:space="0"/>
              <w:right w:val="single" w:color="000000" w:sz="4" w:space="0"/>
            </w:tcBorders>
            <w:noWrap w:val="0"/>
            <w:vAlign w:val="center"/>
          </w:tcPr>
          <w:p w14:paraId="649C0EAF">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瓶</w:t>
            </w:r>
          </w:p>
        </w:tc>
        <w:tc>
          <w:tcPr>
            <w:tcW w:w="9325" w:type="dxa"/>
            <w:tcBorders>
              <w:top w:val="single" w:color="000000" w:sz="4" w:space="0"/>
              <w:left w:val="single" w:color="000000" w:sz="4" w:space="0"/>
              <w:bottom w:val="single" w:color="000000" w:sz="4" w:space="0"/>
              <w:right w:val="single" w:color="000000" w:sz="4" w:space="0"/>
            </w:tcBorders>
            <w:noWrap w:val="0"/>
            <w:vAlign w:val="center"/>
          </w:tcPr>
          <w:p w14:paraId="655CC5DA">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聚乙二醇8000   RNase free, ≥50%  -20ºC保存，至少一年有效。-20°C储存 超低温冰袋运输</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EB1E41D">
            <w:pPr>
              <w:jc w:val="center"/>
              <w:rPr>
                <w:rFonts w:hint="eastAsia" w:ascii="新宋体" w:hAnsi="新宋体" w:eastAsia="新宋体" w:cs="新宋体"/>
                <w:i w:val="0"/>
                <w:iCs w:val="0"/>
                <w:color w:val="000000"/>
                <w:sz w:val="16"/>
                <w:szCs w:val="16"/>
                <w:u w:val="none"/>
              </w:rPr>
            </w:pPr>
          </w:p>
        </w:tc>
      </w:tr>
      <w:tr w14:paraId="7AEA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14:paraId="4530779E">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E7CA7B8">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新冠提取</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3461DEFB">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64份/盒</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635F8123">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150</w:t>
            </w:r>
          </w:p>
        </w:tc>
        <w:tc>
          <w:tcPr>
            <w:tcW w:w="413" w:type="dxa"/>
            <w:tcBorders>
              <w:top w:val="single" w:color="000000" w:sz="4" w:space="0"/>
              <w:left w:val="single" w:color="000000" w:sz="4" w:space="0"/>
              <w:bottom w:val="single" w:color="000000" w:sz="4" w:space="0"/>
              <w:right w:val="single" w:color="000000" w:sz="4" w:space="0"/>
            </w:tcBorders>
            <w:noWrap w:val="0"/>
            <w:vAlign w:val="center"/>
          </w:tcPr>
          <w:p w14:paraId="661EEC60">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盒</w:t>
            </w:r>
          </w:p>
        </w:tc>
        <w:tc>
          <w:tcPr>
            <w:tcW w:w="9325" w:type="dxa"/>
            <w:tcBorders>
              <w:top w:val="single" w:color="000000" w:sz="4" w:space="0"/>
              <w:left w:val="single" w:color="000000" w:sz="4" w:space="0"/>
              <w:bottom w:val="single" w:color="000000" w:sz="4" w:space="0"/>
              <w:right w:val="single" w:color="000000" w:sz="4" w:space="0"/>
            </w:tcBorders>
            <w:noWrap w:val="0"/>
            <w:vAlign w:val="center"/>
          </w:tcPr>
          <w:p w14:paraId="04021AFB">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适合GenenRotex96,NP968-C系列提取仪，用于核酸提取、富集、纯化等步骤。其处理后的产物用于临床体外检测使用。适用样本类型：拭子洗液等。规格型号：qEx-DNA/RNA病毒(plus）,64T/盒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2C352CE">
            <w:pPr>
              <w:jc w:val="center"/>
              <w:rPr>
                <w:rFonts w:hint="eastAsia" w:ascii="新宋体" w:hAnsi="新宋体" w:eastAsia="新宋体" w:cs="新宋体"/>
                <w:i w:val="0"/>
                <w:iCs w:val="0"/>
                <w:color w:val="FF0000"/>
                <w:sz w:val="16"/>
                <w:szCs w:val="16"/>
                <w:u w:val="none"/>
              </w:rPr>
            </w:pPr>
            <w:r>
              <w:rPr>
                <w:rFonts w:hint="eastAsia" w:ascii="新宋体" w:hAnsi="新宋体" w:eastAsia="新宋体" w:cs="新宋体"/>
                <w:i w:val="0"/>
                <w:iCs w:val="0"/>
                <w:color w:val="FF0000"/>
                <w:sz w:val="16"/>
                <w:szCs w:val="16"/>
                <w:u w:val="none"/>
              </w:rPr>
              <w:t>试剂性能验证合格证书</w:t>
            </w:r>
          </w:p>
        </w:tc>
      </w:tr>
      <w:tr w14:paraId="6A45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7"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14:paraId="506F9BC3">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E4E51E4">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辣椒轻斑驳标准品</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41A0E245">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6支/盒</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7D07088F">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5</w:t>
            </w:r>
          </w:p>
        </w:tc>
        <w:tc>
          <w:tcPr>
            <w:tcW w:w="413" w:type="dxa"/>
            <w:tcBorders>
              <w:top w:val="single" w:color="000000" w:sz="4" w:space="0"/>
              <w:left w:val="single" w:color="000000" w:sz="4" w:space="0"/>
              <w:bottom w:val="single" w:color="000000" w:sz="4" w:space="0"/>
              <w:right w:val="single" w:color="000000" w:sz="4" w:space="0"/>
            </w:tcBorders>
            <w:noWrap w:val="0"/>
            <w:vAlign w:val="center"/>
          </w:tcPr>
          <w:p w14:paraId="0673E36A">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盒</w:t>
            </w:r>
          </w:p>
        </w:tc>
        <w:tc>
          <w:tcPr>
            <w:tcW w:w="9325" w:type="dxa"/>
            <w:tcBorders>
              <w:top w:val="single" w:color="000000" w:sz="4" w:space="0"/>
              <w:left w:val="single" w:color="000000" w:sz="4" w:space="0"/>
              <w:bottom w:val="single" w:color="000000" w:sz="4" w:space="0"/>
              <w:right w:val="single" w:color="000000" w:sz="4" w:space="0"/>
            </w:tcBorders>
            <w:noWrap w:val="0"/>
            <w:vAlign w:val="center"/>
          </w:tcPr>
          <w:p w14:paraId="3D92C242">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1.本标准品原料为核酸制品，已使用数字 PCR 方法进行定量标值，</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浓度为 5×10 8copies/mL。</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2.本标准品均匀、稳定，适用于定量检测污水中辣椒轻斑驳病毒</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（Pepper Mild Mottle Virus，PMMoV）浓度，并进行标 准曲线绘制 和富集浓缩过程回收率的计算。</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3.包装：50 μL/管；核酸稀释液 500 μL×1 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DF016F3">
            <w:pPr>
              <w:jc w:val="center"/>
              <w:rPr>
                <w:rFonts w:hint="eastAsia" w:ascii="新宋体" w:hAnsi="新宋体" w:eastAsia="新宋体" w:cs="新宋体"/>
                <w:i w:val="0"/>
                <w:iCs w:val="0"/>
                <w:color w:val="000000"/>
                <w:sz w:val="16"/>
                <w:szCs w:val="16"/>
                <w:u w:val="none"/>
              </w:rPr>
            </w:pPr>
          </w:p>
        </w:tc>
      </w:tr>
      <w:tr w14:paraId="38221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14:paraId="46168BD0">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C0F3F92">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辣椒轻斑驳检测试剂盒</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372A30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25份/盒</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3987F4C7">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40</w:t>
            </w:r>
          </w:p>
        </w:tc>
        <w:tc>
          <w:tcPr>
            <w:tcW w:w="413" w:type="dxa"/>
            <w:tcBorders>
              <w:top w:val="single" w:color="000000" w:sz="4" w:space="0"/>
              <w:left w:val="single" w:color="000000" w:sz="4" w:space="0"/>
              <w:bottom w:val="single" w:color="000000" w:sz="4" w:space="0"/>
              <w:right w:val="single" w:color="000000" w:sz="4" w:space="0"/>
            </w:tcBorders>
            <w:noWrap w:val="0"/>
            <w:vAlign w:val="center"/>
          </w:tcPr>
          <w:p w14:paraId="2FDD0E9A">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盒</w:t>
            </w:r>
          </w:p>
        </w:tc>
        <w:tc>
          <w:tcPr>
            <w:tcW w:w="9325" w:type="dxa"/>
            <w:tcBorders>
              <w:top w:val="single" w:color="000000" w:sz="4" w:space="0"/>
              <w:left w:val="single" w:color="000000" w:sz="4" w:space="0"/>
              <w:bottom w:val="single" w:color="000000" w:sz="4" w:space="0"/>
              <w:right w:val="single" w:color="000000" w:sz="4" w:space="0"/>
            </w:tcBorders>
            <w:noWrap w:val="0"/>
            <w:vAlign w:val="center"/>
          </w:tcPr>
          <w:p w14:paraId="4B0CCF9D">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1.本试剂盒适用于定性检测从环境污水样本中提取的辣椒轻斑驳病</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毒核酸。</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2.病毒类试剂盒共用一套反应程序。</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3.反应程序：每管反应体系≤25ul。</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4.检测性能：灵敏度 5*102copies/mL，线性范围：5*102-2*1010 copies/mL，精密度：检测精密度参考品的变异系数＜5％。</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*5.反应程序：50℃ (10min) 1 循环；95℃ (30S) 1 循环；（95℃ 5s、 60℃ 30s）45 循环。</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6.质量控制：含有阴阳性对照，便于结果判定。</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*7.包装及分装：试剂盒采用预混液包装，体系 1 管，酶混合液 1 管。</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8.试剂盒规格：25T/盒</w:t>
            </w:r>
            <w:r>
              <w:rPr>
                <w:rFonts w:hint="eastAsia" w:ascii="新宋体" w:hAnsi="新宋体" w:eastAsia="新宋体" w:cs="新宋体"/>
                <w:i w:val="0"/>
                <w:iCs w:val="0"/>
                <w:color w:val="000000"/>
                <w:kern w:val="0"/>
                <w:sz w:val="16"/>
                <w:szCs w:val="16"/>
                <w:u w:val="none"/>
                <w:lang w:val="en-US" w:eastAsia="zh-CN" w:bidi="ar"/>
              </w:rPr>
              <w:br w:type="textWrapping"/>
            </w:r>
            <w:r>
              <w:rPr>
                <w:rFonts w:hint="eastAsia" w:ascii="新宋体" w:hAnsi="新宋体" w:eastAsia="新宋体" w:cs="新宋体"/>
                <w:i w:val="0"/>
                <w:iCs w:val="0"/>
                <w:color w:val="000000"/>
                <w:kern w:val="0"/>
                <w:sz w:val="16"/>
                <w:szCs w:val="16"/>
                <w:u w:val="none"/>
                <w:lang w:val="en-US" w:eastAsia="zh-CN" w:bidi="ar"/>
              </w:rPr>
              <w:t>9.有效期：12 个月，到货后质保期≥10 个月。</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152B4B7">
            <w:pPr>
              <w:jc w:val="center"/>
              <w:rPr>
                <w:rFonts w:hint="eastAsia" w:ascii="新宋体" w:hAnsi="新宋体" w:eastAsia="新宋体" w:cs="新宋体"/>
                <w:i w:val="0"/>
                <w:iCs w:val="0"/>
                <w:color w:val="000000"/>
                <w:sz w:val="16"/>
                <w:szCs w:val="16"/>
                <w:u w:val="none"/>
              </w:rPr>
            </w:pPr>
          </w:p>
        </w:tc>
      </w:tr>
    </w:tbl>
    <w:p w14:paraId="044A829A">
      <w:pPr>
        <w:pStyle w:val="13"/>
        <w:overflowPunct w:val="0"/>
        <w:spacing w:line="440" w:lineRule="exact"/>
        <w:rPr>
          <w:rFonts w:hint="eastAsia" w:ascii="仿宋" w:hAnsi="仿宋" w:eastAsia="仿宋" w:cs="仿宋"/>
          <w:color w:val="auto"/>
          <w:szCs w:val="24"/>
          <w:highlight w:val="none"/>
          <w:lang w:val="en-US" w:eastAsia="zh-CN"/>
        </w:rPr>
        <w:sectPr>
          <w:headerReference r:id="rId13" w:type="default"/>
          <w:footerReference r:id="rId14" w:type="default"/>
          <w:pgSz w:w="16838" w:h="11905" w:orient="landscape"/>
          <w:pgMar w:top="1134" w:right="1417" w:bottom="1134" w:left="1134" w:header="850" w:footer="992" w:gutter="0"/>
          <w:pgNumType w:fmt="decimal"/>
          <w:cols w:space="720" w:num="1"/>
          <w:rtlGutter w:val="0"/>
          <w:docGrid w:type="linesAndChars" w:linePitch="332" w:charSpace="1057"/>
        </w:sectPr>
      </w:pPr>
    </w:p>
    <w:p w14:paraId="4E8BFBCA">
      <w:pPr>
        <w:pStyle w:val="13"/>
        <w:overflowPunct w:val="0"/>
        <w:spacing w:line="440" w:lineRule="exact"/>
        <w:ind w:left="0" w:leftChars="0" w:firstLine="0" w:firstLineChars="0"/>
        <w:rPr>
          <w:rFonts w:hint="default" w:ascii="仿宋" w:hAnsi="仿宋" w:eastAsia="仿宋" w:cs="仿宋"/>
          <w:color w:val="auto"/>
          <w:szCs w:val="24"/>
          <w:highlight w:val="none"/>
          <w:lang w:val="en-US" w:eastAsia="zh-CN"/>
        </w:rPr>
      </w:pPr>
    </w:p>
    <w:p w14:paraId="35775C4A">
      <w:pPr>
        <w:pStyle w:val="13"/>
        <w:overflowPunct w:val="0"/>
        <w:spacing w:line="440" w:lineRule="exact"/>
        <w:rPr>
          <w:rFonts w:hint="eastAsia" w:ascii="仿宋" w:hAnsi="仿宋" w:eastAsia="仿宋" w:cs="仿宋"/>
          <w:color w:val="auto"/>
          <w:szCs w:val="24"/>
          <w:highlight w:val="none"/>
          <w:lang w:eastAsia="zh-CN"/>
        </w:rPr>
      </w:pPr>
      <w:bookmarkStart w:id="47" w:name="_Toc16770"/>
      <w:bookmarkStart w:id="48" w:name="_Toc24938"/>
      <w:r>
        <w:rPr>
          <w:rFonts w:hint="eastAsia" w:ascii="仿宋" w:hAnsi="仿宋" w:eastAsia="仿宋" w:cs="仿宋"/>
          <w:color w:val="auto"/>
          <w:szCs w:val="24"/>
          <w:highlight w:val="none"/>
          <w:lang w:eastAsia="zh-CN"/>
        </w:rPr>
        <w:t>1.2运输和包装要求</w:t>
      </w:r>
    </w:p>
    <w:p w14:paraId="1A46F6B8">
      <w:pPr>
        <w:pStyle w:val="13"/>
        <w:numPr>
          <w:ilvl w:val="0"/>
          <w:numId w:val="10"/>
        </w:numPr>
        <w:overflowPunct w:val="0"/>
        <w:spacing w:line="440" w:lineRule="exact"/>
        <w:ind w:left="15" w:leftChars="0" w:firstLine="422" w:firstLineChars="197"/>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3170BB4B">
      <w:pPr>
        <w:pStyle w:val="13"/>
        <w:numPr>
          <w:ilvl w:val="0"/>
          <w:numId w:val="10"/>
        </w:numPr>
        <w:overflowPunct w:val="0"/>
        <w:spacing w:line="440" w:lineRule="exact"/>
        <w:ind w:left="15" w:leftChars="0" w:firstLine="422" w:firstLineChars="197"/>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根据投标人提供仓存现状仓存设备齐全，符合医用试剂、耗材冷冻冷藏要求（根据产品需要），温湿度监测实时报警系统，相关行业出入库管理系统，冷链仓储及运输管理应急方案，全过程温湿度记录、监测、实时打印，需提相关证明材料。</w:t>
      </w:r>
    </w:p>
    <w:p w14:paraId="21D8EF93">
      <w:pPr>
        <w:ind w:firstLine="430" w:firstLineChars="200"/>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（3）按采购人要求提供仓储冷链运输计划、温湿度监测记录供货承诺书。</w:t>
      </w:r>
    </w:p>
    <w:p w14:paraId="3480D707">
      <w:pPr>
        <w:pStyle w:val="13"/>
        <w:numPr>
          <w:ilvl w:val="0"/>
          <w:numId w:val="0"/>
        </w:numPr>
        <w:overflowPunct w:val="0"/>
        <w:spacing w:line="440" w:lineRule="exact"/>
        <w:ind w:leftChars="-90" w:firstLine="43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1.3项目商务要求</w:t>
      </w:r>
      <w:bookmarkStart w:id="49" w:name="_Toc267320049"/>
      <w:bookmarkStart w:id="50" w:name="_Toc340225290"/>
    </w:p>
    <w:bookmarkEnd w:id="49"/>
    <w:bookmarkEnd w:id="50"/>
    <w:p w14:paraId="6AC85FE3">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（一）项目实施方案应包含以下内容:</w:t>
      </w:r>
    </w:p>
    <w:p w14:paraId="68F8344A">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1.实施进度(包含工作内容划分;工作进度目标及安排等);</w:t>
      </w:r>
    </w:p>
    <w:p w14:paraId="6B8458D7">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2.人员配置(包含人员配备、职能、责任划分;人员管理制度等);</w:t>
      </w:r>
    </w:p>
    <w:p w14:paraId="21344E3E">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3.供货流程(包含接到供货消息后的人员、车辆安排情况;特殊产品的供货措施等);</w:t>
      </w:r>
    </w:p>
    <w:p w14:paraId="732C949A">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4.登记制度(包含产品出仓前的产品、数量登记;产品运输过程在普通车辆或者冷链车等车辆上的登记情况等)。</w:t>
      </w:r>
    </w:p>
    <w:p w14:paraId="7B6483BE">
      <w:pPr>
        <w:pStyle w:val="13"/>
        <w:overflowPunct w:val="0"/>
        <w:spacing w:line="440" w:lineRule="exact"/>
        <w:rPr>
          <w:rFonts w:hint="eastAsia"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（二）实施（交货）地点</w:t>
      </w:r>
    </w:p>
    <w:p w14:paraId="1AC7B039">
      <w:pPr>
        <w:pStyle w:val="13"/>
        <w:overflowPunct w:val="0"/>
        <w:spacing w:line="440" w:lineRule="exact"/>
        <w:rPr>
          <w:rFonts w:hint="eastAsia" w:ascii="仿宋" w:hAnsi="仿宋" w:eastAsia="仿宋" w:cs="仿宋"/>
          <w:color w:val="auto"/>
          <w:szCs w:val="24"/>
          <w:highlight w:val="none"/>
          <w:lang w:eastAsia="zh-CN"/>
        </w:rPr>
      </w:pPr>
      <w:bookmarkStart w:id="51" w:name="_Toc340225291"/>
      <w:bookmarkStart w:id="52" w:name="_Toc267320050"/>
      <w:r>
        <w:rPr>
          <w:rFonts w:hint="eastAsia" w:ascii="仿宋" w:hAnsi="仿宋" w:eastAsia="仿宋" w:cs="仿宋"/>
          <w:color w:val="auto"/>
          <w:szCs w:val="24"/>
          <w:highlight w:val="none"/>
          <w:lang w:eastAsia="zh-CN"/>
        </w:rPr>
        <w:t>合同中明确约定的乙方提交的货物和服务最终到达地点</w:t>
      </w:r>
    </w:p>
    <w:p w14:paraId="42CF4A85">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b/>
          <w:bCs/>
          <w:color w:val="auto"/>
          <w:szCs w:val="24"/>
          <w:highlight w:val="none"/>
          <w:lang w:eastAsia="zh-CN"/>
        </w:rPr>
        <w:t>（三）</w:t>
      </w:r>
      <w:bookmarkEnd w:id="51"/>
      <w:bookmarkEnd w:id="52"/>
      <w:r>
        <w:rPr>
          <w:rFonts w:hint="eastAsia" w:ascii="仿宋" w:hAnsi="仿宋" w:eastAsia="仿宋" w:cs="仿宋"/>
          <w:b/>
          <w:bCs/>
          <w:color w:val="auto"/>
          <w:szCs w:val="24"/>
          <w:highlight w:val="none"/>
          <w:lang w:val="en-US" w:eastAsia="zh-CN"/>
        </w:rPr>
        <w:t>交货期:</w:t>
      </w:r>
      <w:r>
        <w:rPr>
          <w:rFonts w:hint="eastAsia" w:ascii="仿宋" w:hAnsi="仿宋" w:eastAsia="仿宋" w:cs="仿宋"/>
          <w:b w:val="0"/>
          <w:bCs w:val="0"/>
          <w:color w:val="auto"/>
          <w:szCs w:val="24"/>
          <w:highlight w:val="none"/>
          <w:lang w:val="en-US" w:eastAsia="zh-CN"/>
        </w:rPr>
        <w:t>送货时间由采购单位决定。（具体以甲乙双方签订采购合同为准，严格按照采购单位的时间及要求按时供货）</w:t>
      </w:r>
    </w:p>
    <w:p w14:paraId="15D62C0B">
      <w:pPr>
        <w:pStyle w:val="13"/>
        <w:overflowPunct w:val="0"/>
        <w:spacing w:line="440" w:lineRule="exact"/>
        <w:rPr>
          <w:rFonts w:hint="eastAsia"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（四）售后服务</w:t>
      </w:r>
    </w:p>
    <w:p w14:paraId="24179DC1">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售后服务应包含以下内容:</w:t>
      </w:r>
    </w:p>
    <w:p w14:paraId="182C9792">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1.运输保障(包含运输团队;运输设备;产品运输破损率等);</w:t>
      </w:r>
    </w:p>
    <w:p w14:paraId="44E4C930">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2.培训方案(包含培训人员;培训时间;培训内容等);</w:t>
      </w:r>
    </w:p>
    <w:p w14:paraId="1D0AF569">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3.质量保障措施(包含质量管理体系;质量保障范围:防雨防潮保障措施等):</w:t>
      </w:r>
    </w:p>
    <w:p w14:paraId="10DD4B22">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4.应急方案(包含应急处理措施;恶劣天气应对产品存储办法;遇突发公共卫生事件处理情况等)。</w:t>
      </w:r>
    </w:p>
    <w:p w14:paraId="032215ED">
      <w:pPr>
        <w:pStyle w:val="13"/>
        <w:overflowPunct w:val="0"/>
        <w:spacing w:line="440" w:lineRule="exact"/>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（五）</w:t>
      </w:r>
      <w:r>
        <w:rPr>
          <w:rFonts w:hint="eastAsia" w:ascii="仿宋" w:hAnsi="仿宋" w:eastAsia="仿宋" w:cs="仿宋"/>
          <w:b/>
          <w:bCs/>
          <w:color w:val="auto"/>
          <w:szCs w:val="24"/>
          <w:highlight w:val="none"/>
          <w:lang w:eastAsia="zh-CN"/>
        </w:rPr>
        <w:t>售后服务、理赔、质量技术及验收保证的承诺</w:t>
      </w:r>
    </w:p>
    <w:p w14:paraId="2F7CBBD3">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1、产品质量：在合同期内，甲方正常使用乙方所供产品而出现质量问题时，乙方负责。产品质保期为</w:t>
      </w:r>
      <w:r>
        <w:rPr>
          <w:rFonts w:hint="eastAsia" w:ascii="仿宋" w:hAnsi="仿宋" w:eastAsia="仿宋" w:cs="仿宋"/>
          <w:color w:val="auto"/>
          <w:szCs w:val="24"/>
          <w:highlight w:val="none"/>
          <w:lang w:val="en-US" w:eastAsia="zh-CN"/>
        </w:rPr>
        <w:t>1年。</w:t>
      </w:r>
      <w:r>
        <w:rPr>
          <w:rFonts w:hint="eastAsia" w:ascii="仿宋" w:hAnsi="仿宋" w:eastAsia="仿宋" w:cs="仿宋"/>
          <w:color w:val="auto"/>
          <w:szCs w:val="24"/>
          <w:highlight w:val="none"/>
          <w:lang w:eastAsia="zh-CN"/>
        </w:rPr>
        <w:t>产品使用：甲方在使用乙方所供产品中出现问题需乙方解决时，乙方应无偿解决（退换货）</w:t>
      </w:r>
    </w:p>
    <w:p w14:paraId="0141284C">
      <w:pPr>
        <w:pStyle w:val="13"/>
        <w:overflowPunct w:val="0"/>
        <w:spacing w:line="44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eastAsia="zh-CN"/>
        </w:rPr>
        <w:t>2、货物到达现场后，供应商应在使用单位人员在场情况下当面共同清点、检查，作出检查记录，双方签字确认，</w:t>
      </w:r>
      <w:r>
        <w:rPr>
          <w:rFonts w:hint="eastAsia" w:ascii="仿宋" w:hAnsi="仿宋" w:eastAsia="仿宋" w:cs="仿宋"/>
          <w:color w:val="auto"/>
          <w:szCs w:val="24"/>
          <w:highlight w:val="none"/>
          <w:lang w:val="en-US" w:eastAsia="zh-CN"/>
        </w:rPr>
        <w:t>甲方收到试剂耗材经试验测试结果符合要求，试剂耗材质量验收合格；若收到的试剂耗材不能在实验室使用验收为不合格甲方有权拒收退回试剂耗材，要求乙方跟换合适试剂耗材。</w:t>
      </w:r>
    </w:p>
    <w:p w14:paraId="4052F8D9">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3、货物验收时，供应商向采购人提供生产厂家出具的合格证等相关文件。</w:t>
      </w:r>
    </w:p>
    <w:p w14:paraId="10B5D38B">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4、供应商提供的货物未达到招标文件规定要求，且对采购人造成损失的，由供应商承担一切责任，并赔偿所造成的损失。</w:t>
      </w:r>
    </w:p>
    <w:p w14:paraId="09EDB24D">
      <w:pPr>
        <w:pStyle w:val="13"/>
        <w:overflowPunct w:val="0"/>
        <w:spacing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eastAsia="zh-CN"/>
        </w:rPr>
        <w:t>、供应商需在供货后提供专业的技术支持，组织专业人员对相关采购人进行定期现场培训</w:t>
      </w:r>
      <w:r>
        <w:rPr>
          <w:rFonts w:hint="eastAsia" w:ascii="仿宋" w:hAnsi="仿宋" w:eastAsia="仿宋" w:cs="仿宋"/>
          <w:color w:val="auto"/>
          <w:szCs w:val="24"/>
          <w:highlight w:val="none"/>
          <w:lang w:val="en-US" w:eastAsia="zh-CN"/>
        </w:rPr>
        <w:t>。</w:t>
      </w:r>
    </w:p>
    <w:p w14:paraId="6916B971">
      <w:pPr>
        <w:pStyle w:val="13"/>
        <w:overflowPunct w:val="0"/>
        <w:spacing w:line="440" w:lineRule="exact"/>
        <w:rPr>
          <w:rFonts w:hint="eastAsia"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（六）付款方式：</w:t>
      </w:r>
    </w:p>
    <w:p w14:paraId="46E4B426">
      <w:pPr>
        <w:keepNext w:val="0"/>
        <w:keepLines w:val="0"/>
        <w:pageBreakBefore w:val="0"/>
        <w:shd w:val="clear" w:color="auto" w:fill="auto"/>
        <w:kinsoku/>
        <w:wordWrap/>
        <w:overflowPunct/>
        <w:topLinePunct w:val="0"/>
        <w:autoSpaceDE/>
        <w:autoSpaceDN/>
        <w:bidi w:val="0"/>
        <w:adjustRightInd/>
        <w:snapToGrid/>
        <w:spacing w:line="460" w:lineRule="exact"/>
        <w:ind w:firstLine="430" w:firstLineChars="200"/>
        <w:jc w:val="left"/>
        <w:textAlignment w:val="auto"/>
        <w:outlineLvl w:val="2"/>
        <w:rPr>
          <w:rFonts w:hint="eastAsia" w:ascii="仿宋" w:hAnsi="仿宋" w:eastAsia="仿宋" w:cs="仿宋"/>
          <w:b/>
          <w:bCs/>
          <w:color w:val="auto"/>
          <w:kern w:val="0"/>
          <w:sz w:val="21"/>
          <w:szCs w:val="24"/>
          <w:highlight w:val="none"/>
          <w:lang w:val="en-US" w:eastAsia="zh-CN" w:bidi="ar-SA"/>
        </w:rPr>
      </w:pPr>
      <w:r>
        <w:rPr>
          <w:rFonts w:hint="eastAsia" w:ascii="仿宋" w:hAnsi="仿宋" w:eastAsia="仿宋" w:cs="仿宋"/>
          <w:b/>
          <w:bCs/>
          <w:color w:val="auto"/>
          <w:kern w:val="0"/>
          <w:sz w:val="21"/>
          <w:szCs w:val="24"/>
          <w:highlight w:val="none"/>
          <w:lang w:val="en-US" w:eastAsia="zh-CN" w:bidi="ar-SA"/>
        </w:rPr>
        <w:t>供货方与采购人签订合同后支付合同价款70%预付款，货物到达采购人指定地点，验收合格后，支付合同价款的30%。</w:t>
      </w:r>
    </w:p>
    <w:p w14:paraId="2063C4A0">
      <w:pPr>
        <w:keepNext w:val="0"/>
        <w:keepLines w:val="0"/>
        <w:pageBreakBefore w:val="0"/>
        <w:shd w:val="clear" w:color="auto" w:fill="auto"/>
        <w:kinsoku/>
        <w:wordWrap/>
        <w:overflowPunct/>
        <w:topLinePunct w:val="0"/>
        <w:autoSpaceDE/>
        <w:autoSpaceDN/>
        <w:bidi w:val="0"/>
        <w:adjustRightInd/>
        <w:snapToGrid/>
        <w:spacing w:line="460" w:lineRule="exact"/>
        <w:ind w:firstLine="430" w:firstLineChars="200"/>
        <w:jc w:val="left"/>
        <w:textAlignment w:val="auto"/>
        <w:outlineLvl w:val="2"/>
        <w:rPr>
          <w:rFonts w:hint="eastAsia" w:ascii="仿宋" w:hAnsi="仿宋" w:eastAsia="仿宋" w:cs="仿宋"/>
          <w:b/>
          <w:bCs/>
          <w:color w:val="auto"/>
          <w:kern w:val="0"/>
          <w:sz w:val="21"/>
          <w:szCs w:val="24"/>
          <w:highlight w:val="none"/>
          <w:lang w:val="en-US" w:eastAsia="zh-CN" w:bidi="ar-SA"/>
        </w:rPr>
      </w:pPr>
      <w:r>
        <w:rPr>
          <w:rFonts w:hint="eastAsia" w:ascii="仿宋" w:hAnsi="仿宋" w:eastAsia="仿宋" w:cs="仿宋"/>
          <w:b/>
          <w:bCs/>
          <w:color w:val="auto"/>
          <w:kern w:val="0"/>
          <w:sz w:val="21"/>
          <w:szCs w:val="24"/>
          <w:highlight w:val="none"/>
          <w:lang w:val="en-US" w:eastAsia="zh-CN" w:bidi="ar-SA"/>
        </w:rPr>
        <w:t>（七）知识产权</w:t>
      </w:r>
    </w:p>
    <w:p w14:paraId="00B26947">
      <w:pPr>
        <w:keepNext w:val="0"/>
        <w:keepLines w:val="0"/>
        <w:pageBreakBefore w:val="0"/>
        <w:shd w:val="clear" w:color="auto" w:fill="auto"/>
        <w:kinsoku/>
        <w:wordWrap/>
        <w:overflowPunct/>
        <w:topLinePunct w:val="0"/>
        <w:autoSpaceDE/>
        <w:autoSpaceDN/>
        <w:bidi w:val="0"/>
        <w:adjustRightInd/>
        <w:snapToGrid/>
        <w:spacing w:line="460" w:lineRule="exact"/>
        <w:ind w:left="12" w:leftChars="0" w:hanging="12" w:hangingChars="6"/>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14:paraId="513A9F9E">
      <w:pPr>
        <w:keepNext w:val="0"/>
        <w:keepLines w:val="0"/>
        <w:pageBreakBefore w:val="0"/>
        <w:shd w:val="clear" w:color="auto" w:fill="auto"/>
        <w:kinsoku/>
        <w:wordWrap/>
        <w:overflowPunct/>
        <w:topLinePunct w:val="0"/>
        <w:autoSpaceDE/>
        <w:autoSpaceDN/>
        <w:bidi w:val="0"/>
        <w:adjustRightInd/>
        <w:snapToGrid/>
        <w:spacing w:line="460" w:lineRule="exact"/>
        <w:ind w:left="0" w:leftChars="0" w:firstLine="653" w:firstLineChars="304"/>
        <w:textAlignment w:val="auto"/>
        <w:outlineLvl w:val="2"/>
        <w:rPr>
          <w:rFonts w:hint="eastAsia" w:ascii="仿宋" w:hAnsi="仿宋" w:eastAsia="仿宋" w:cs="仿宋"/>
          <w:b/>
          <w:bCs/>
          <w:color w:val="auto"/>
          <w:kern w:val="0"/>
          <w:sz w:val="21"/>
          <w:szCs w:val="24"/>
          <w:highlight w:val="none"/>
          <w:lang w:val="en-US" w:eastAsia="zh-CN" w:bidi="ar-SA"/>
        </w:rPr>
      </w:pPr>
      <w:r>
        <w:rPr>
          <w:rFonts w:hint="eastAsia" w:ascii="仿宋" w:hAnsi="仿宋" w:eastAsia="仿宋" w:cs="仿宋"/>
          <w:b/>
          <w:bCs/>
          <w:color w:val="auto"/>
          <w:kern w:val="0"/>
          <w:sz w:val="21"/>
          <w:szCs w:val="24"/>
          <w:highlight w:val="none"/>
          <w:lang w:val="en-US" w:eastAsia="zh-CN" w:bidi="ar-SA"/>
        </w:rPr>
        <w:t>（八）其他</w:t>
      </w:r>
    </w:p>
    <w:p w14:paraId="0D28D5E9">
      <w:pPr>
        <w:shd w:val="clear" w:color="auto" w:fill="auto"/>
        <w:spacing w:line="440" w:lineRule="exact"/>
        <w:ind w:left="430" w:leftChars="200" w:firstLine="223" w:firstLineChars="104"/>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1、投标人必须在投标文件中对以上条款和服务承诺明确列出，承诺内容必须达到本篇及招标文件其他条款的要求。</w:t>
      </w:r>
    </w:p>
    <w:p w14:paraId="27DADFC2">
      <w:pPr>
        <w:shd w:val="clear" w:color="auto" w:fill="auto"/>
        <w:spacing w:line="440" w:lineRule="exact"/>
        <w:ind w:left="430" w:leftChars="200" w:firstLine="223" w:firstLineChars="104"/>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2、中标人与采购人签订《协议》后，须与用户方签订《货物采购供应合同》（包括供货范围、需求数量、单价等），明确具体供货数量、供货时间、送达地点等内容。</w:t>
      </w:r>
    </w:p>
    <w:p w14:paraId="7EC341D5">
      <w:pPr>
        <w:shd w:val="clear" w:color="auto" w:fill="auto"/>
        <w:spacing w:line="440" w:lineRule="exact"/>
        <w:ind w:left="430" w:leftChars="200" w:firstLine="223" w:firstLineChars="104"/>
        <w:outlineLvl w:val="3"/>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3、其他未尽事宜由供需双方在采购合同中详细约定。</w:t>
      </w:r>
    </w:p>
    <w:p w14:paraId="74E0B62D">
      <w:pPr>
        <w:shd w:val="clear" w:color="auto" w:fill="auto"/>
        <w:spacing w:line="440" w:lineRule="exact"/>
        <w:ind w:left="430" w:leftChars="200" w:firstLine="223" w:firstLineChars="104"/>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4、若供应商不能按招标文件规定的交货期正常交货，采购方有权终止采购合同，并将相关情况上报给采购计划主管部门，取消其中标资格。</w:t>
      </w:r>
    </w:p>
    <w:p w14:paraId="79604ED7">
      <w:pPr>
        <w:shd w:val="clear" w:color="auto" w:fill="auto"/>
        <w:spacing w:line="440" w:lineRule="exact"/>
        <w:ind w:left="430" w:leftChars="200" w:firstLine="223" w:firstLineChars="104"/>
        <w:outlineLvl w:val="3"/>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5、其他未尽事宜由供需双方在采购合同中详细约定。</w:t>
      </w:r>
    </w:p>
    <w:p w14:paraId="2A06A8C4">
      <w:pPr>
        <w:ind w:firstLine="215" w:firstLineChars="100"/>
        <w:rPr>
          <w:rFonts w:hint="eastAsia"/>
          <w:b/>
          <w:bCs/>
          <w:lang w:val="en-US" w:eastAsia="zh-CN"/>
        </w:rPr>
      </w:pPr>
    </w:p>
    <w:p w14:paraId="7F864110">
      <w:pPr>
        <w:pStyle w:val="184"/>
        <w:shd w:val="clear" w:color="auto" w:fill="auto"/>
        <w:jc w:val="left"/>
        <w:rPr>
          <w:rFonts w:hint="eastAsia" w:ascii="宋体" w:hAnsi="宋体" w:eastAsia="宋体" w:cs="宋体"/>
          <w:b/>
          <w:bCs/>
          <w:caps w:val="0"/>
          <w:color w:val="000000"/>
          <w:spacing w:val="0"/>
          <w:kern w:val="0"/>
          <w:sz w:val="24"/>
          <w:szCs w:val="24"/>
          <w:highlight w:val="none"/>
          <w:u w:val="none"/>
          <w:vertAlign w:val="baseline"/>
          <w:lang w:val="en-US" w:eastAsia="zh-CN" w:bidi="ar"/>
        </w:rPr>
      </w:pPr>
    </w:p>
    <w:p w14:paraId="66EE02C1">
      <w:pPr>
        <w:pStyle w:val="19"/>
        <w:rPr>
          <w:rFonts w:hint="eastAsia" w:ascii="宋体" w:hAnsi="宋体" w:eastAsia="宋体" w:cs="宋体"/>
          <w:b/>
          <w:bCs/>
          <w:color w:val="auto"/>
          <w:sz w:val="36"/>
          <w:highlight w:val="none"/>
        </w:rPr>
      </w:pPr>
    </w:p>
    <w:p w14:paraId="54293EEC">
      <w:pPr>
        <w:rPr>
          <w:rFonts w:hint="eastAsia" w:ascii="宋体" w:hAnsi="宋体" w:eastAsia="宋体" w:cs="宋体"/>
          <w:b/>
          <w:bCs/>
          <w:color w:val="auto"/>
          <w:sz w:val="36"/>
          <w:highlight w:val="none"/>
        </w:rPr>
      </w:pPr>
    </w:p>
    <w:p w14:paraId="09865825">
      <w:pPr>
        <w:pStyle w:val="19"/>
        <w:rPr>
          <w:rFonts w:hint="eastAsia" w:ascii="宋体" w:hAnsi="宋体" w:eastAsia="宋体" w:cs="宋体"/>
          <w:b/>
          <w:bCs/>
          <w:color w:val="auto"/>
          <w:sz w:val="36"/>
          <w:highlight w:val="none"/>
        </w:rPr>
      </w:pPr>
    </w:p>
    <w:p w14:paraId="59328D39">
      <w:pPr>
        <w:rPr>
          <w:rFonts w:hint="eastAsia" w:ascii="宋体" w:hAnsi="宋体" w:eastAsia="宋体" w:cs="宋体"/>
          <w:b/>
          <w:bCs/>
          <w:color w:val="auto"/>
          <w:sz w:val="36"/>
          <w:highlight w:val="none"/>
        </w:rPr>
      </w:pPr>
    </w:p>
    <w:p w14:paraId="4DC33F86">
      <w:pPr>
        <w:shd w:val="clear" w:color="auto" w:fill="auto"/>
        <w:autoSpaceDE w:val="0"/>
        <w:autoSpaceDN w:val="0"/>
        <w:adjustRightInd w:val="0"/>
        <w:spacing w:line="360" w:lineRule="auto"/>
        <w:rPr>
          <w:rFonts w:hint="eastAsia" w:ascii="宋体" w:hAnsi="宋体" w:eastAsia="宋体" w:cs="宋体"/>
          <w:b/>
          <w:bCs/>
          <w:color w:val="auto"/>
          <w:sz w:val="36"/>
          <w:highlight w:val="none"/>
        </w:rPr>
      </w:pPr>
    </w:p>
    <w:bookmarkEnd w:id="47"/>
    <w:bookmarkEnd w:id="48"/>
    <w:p w14:paraId="5BE793AB">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第六章 </w:t>
      </w:r>
      <w:r>
        <w:rPr>
          <w:rFonts w:hint="eastAsia" w:ascii="宋体" w:hAnsi="宋体" w:eastAsia="宋体" w:cs="宋体"/>
          <w:b/>
          <w:bCs/>
          <w:color w:val="000000"/>
          <w:sz w:val="36"/>
          <w:highlight w:val="none"/>
        </w:rPr>
        <w:t xml:space="preserve"> </w:t>
      </w:r>
      <w:bookmarkStart w:id="53" w:name="_Toc4283"/>
      <w:bookmarkStart w:id="54" w:name="_Toc30360"/>
      <w:r>
        <w:rPr>
          <w:rFonts w:hint="eastAsia" w:ascii="仿宋" w:hAnsi="仿宋" w:eastAsia="仿宋" w:cs="仿宋"/>
          <w:b/>
          <w:color w:val="auto"/>
          <w:sz w:val="30"/>
          <w:szCs w:val="30"/>
          <w:highlight w:val="none"/>
          <w:lang w:eastAsia="zh-CN"/>
        </w:rPr>
        <w:t>合同条款及格式</w:t>
      </w:r>
      <w:bookmarkStart w:id="55" w:name="_Toc20669"/>
    </w:p>
    <w:p w14:paraId="7353FBF1">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55"/>
    </w:p>
    <w:p w14:paraId="320FE5C9">
      <w:pPr>
        <w:keepNext w:val="0"/>
        <w:keepLines w:val="0"/>
        <w:pageBreakBefore w:val="0"/>
        <w:widowControl/>
        <w:numPr>
          <w:ilvl w:val="0"/>
          <w:numId w:val="11"/>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6" w:name="_Toc469495741"/>
      <w:r>
        <w:rPr>
          <w:rFonts w:hint="eastAsia" w:ascii="仿宋" w:hAnsi="仿宋" w:eastAsia="仿宋" w:cs="仿宋"/>
          <w:b/>
          <w:color w:val="auto"/>
          <w:sz w:val="30"/>
          <w:szCs w:val="30"/>
          <w:highlight w:val="none"/>
        </w:rPr>
        <w:t>合同协议书</w:t>
      </w:r>
      <w:bookmarkEnd w:id="56"/>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57584867">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71D35825">
      <w:pPr>
        <w:keepNext w:val="0"/>
        <w:keepLines w:val="0"/>
        <w:pageBreakBefore w:val="0"/>
        <w:kinsoku/>
        <w:wordWrap/>
        <w:overflowPunct/>
        <w:topLinePunct w:val="0"/>
        <w:autoSpaceDE/>
        <w:autoSpaceDN/>
        <w:bidi w:val="0"/>
        <w:adjustRightInd/>
        <w:snapToGrid/>
        <w:spacing w:line="440" w:lineRule="exact"/>
        <w:ind w:firstLine="430" w:firstLineChars="200"/>
        <w:rPr>
          <w:rFonts w:ascii="仿宋" w:hAnsi="仿宋" w:eastAsia="仿宋" w:cs="仿宋"/>
          <w:color w:val="auto"/>
          <w:highlight w:val="none"/>
        </w:rPr>
      </w:pPr>
      <w:bookmarkStart w:id="57" w:name="_Toc144974578"/>
      <w:bookmarkStart w:id="58" w:name="_Toc179632628"/>
      <w:bookmarkStart w:id="59" w:name="_Toc152042388"/>
      <w:bookmarkStart w:id="60" w:name="_Toc296602498"/>
      <w:bookmarkStart w:id="61" w:name="_Toc247085768"/>
      <w:bookmarkStart w:id="62" w:name="_Toc469495742"/>
      <w:bookmarkStart w:id="63" w:name="_Toc246996996"/>
      <w:bookmarkStart w:id="64" w:name="_Toc152045610"/>
      <w:bookmarkStart w:id="65" w:name="_Toc246996253"/>
      <w:r>
        <w:rPr>
          <w:rFonts w:hint="eastAsia" w:ascii="仿宋" w:hAnsi="仿宋" w:eastAsia="仿宋" w:cs="仿宋"/>
          <w:color w:val="auto"/>
          <w:highlight w:val="none"/>
        </w:rPr>
        <w:t>买    方：                                   卖    方：</w:t>
      </w:r>
    </w:p>
    <w:p w14:paraId="590F80FF">
      <w:pPr>
        <w:keepNext w:val="0"/>
        <w:keepLines w:val="0"/>
        <w:pageBreakBefore w:val="0"/>
        <w:kinsoku/>
        <w:wordWrap/>
        <w:overflowPunct/>
        <w:topLinePunct w:val="0"/>
        <w:autoSpaceDE/>
        <w:autoSpaceDN/>
        <w:bidi w:val="0"/>
        <w:adjustRightInd/>
        <w:snapToGrid/>
        <w:spacing w:line="440" w:lineRule="exact"/>
        <w:ind w:firstLine="43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6EA7072C">
      <w:pPr>
        <w:keepNext w:val="0"/>
        <w:keepLines w:val="0"/>
        <w:pageBreakBefore w:val="0"/>
        <w:kinsoku/>
        <w:wordWrap/>
        <w:overflowPunct/>
        <w:topLinePunct w:val="0"/>
        <w:autoSpaceDE/>
        <w:autoSpaceDN/>
        <w:bidi w:val="0"/>
        <w:adjustRightInd/>
        <w:snapToGrid/>
        <w:spacing w:line="440" w:lineRule="exact"/>
        <w:ind w:firstLine="43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79C82B2F">
      <w:pPr>
        <w:keepNext w:val="0"/>
        <w:keepLines w:val="0"/>
        <w:pageBreakBefore w:val="0"/>
        <w:kinsoku/>
        <w:wordWrap/>
        <w:overflowPunct/>
        <w:topLinePunct w:val="0"/>
        <w:autoSpaceDE/>
        <w:autoSpaceDN/>
        <w:bidi w:val="0"/>
        <w:adjustRightInd/>
        <w:snapToGrid/>
        <w:spacing w:line="44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为成交人。按照《</w:t>
      </w:r>
      <w:r>
        <w:rPr>
          <w:rFonts w:hint="eastAsia" w:ascii="仿宋" w:hAnsi="仿宋" w:eastAsia="仿宋" w:cs="仿宋"/>
          <w:color w:val="auto"/>
          <w:sz w:val="24"/>
          <w:szCs w:val="24"/>
          <w:highlight w:val="none"/>
          <w:lang w:val="en-US" w:eastAsia="zh-CN"/>
        </w:rPr>
        <w:t>中华人民共和国经济民法典</w:t>
      </w:r>
      <w:r>
        <w:rPr>
          <w:rFonts w:hint="eastAsia" w:ascii="仿宋" w:hAnsi="仿宋" w:eastAsia="仿宋" w:cs="仿宋"/>
          <w:color w:val="auto"/>
          <w:highlight w:val="none"/>
          <w:lang w:eastAsia="zh-CN"/>
        </w:rPr>
        <w:t>》的规定，买卖双方同意按照下述的条款和条件，签署本合同。</w:t>
      </w:r>
    </w:p>
    <w:p w14:paraId="41BB585B">
      <w:pPr>
        <w:keepNext w:val="0"/>
        <w:keepLines w:val="0"/>
        <w:pageBreakBefore w:val="0"/>
        <w:kinsoku/>
        <w:wordWrap/>
        <w:overflowPunct/>
        <w:topLinePunct w:val="0"/>
        <w:autoSpaceDE/>
        <w:autoSpaceDN/>
        <w:bidi w:val="0"/>
        <w:adjustRightInd/>
        <w:snapToGrid/>
        <w:spacing w:line="44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2DD3D9A6">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1B80180B">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（1）采购文件（2）响应文件（3）成交通知书</w:t>
      </w:r>
    </w:p>
    <w:p w14:paraId="51B92AB6">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162D92CD">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66F77AB1">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4C62D322">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73CC085C">
      <w:pPr>
        <w:keepNext w:val="0"/>
        <w:keepLines w:val="0"/>
        <w:pageBreakBefore w:val="0"/>
        <w:widowControl w:val="0"/>
        <w:kinsoku/>
        <w:wordWrap/>
        <w:overflowPunct/>
        <w:topLinePunct w:val="0"/>
        <w:autoSpaceDE/>
        <w:autoSpaceDN/>
        <w:bidi w:val="0"/>
        <w:adjustRightInd/>
        <w:snapToGrid/>
        <w:spacing w:line="460" w:lineRule="exact"/>
        <w:ind w:firstLine="43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val="0"/>
          <w:bCs w:val="0"/>
          <w:color w:val="auto"/>
          <w:highlight w:val="none"/>
          <w:lang w:eastAsia="zh-CN"/>
        </w:rPr>
        <w:t>。</w:t>
      </w:r>
    </w:p>
    <w:p w14:paraId="34FEC2AB">
      <w:pPr>
        <w:spacing w:line="360" w:lineRule="auto"/>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12B9A985">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37E4240F">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1B03F6DA">
      <w:pPr>
        <w:spacing w:line="42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01F33BEB">
      <w:pPr>
        <w:pStyle w:val="20"/>
        <w:spacing w:after="0" w:line="42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合同经双方授权代表签署，买卖双方加盖印章之后生效。</w:t>
      </w:r>
    </w:p>
    <w:p w14:paraId="003B53D2">
      <w:pPr>
        <w:pStyle w:val="20"/>
        <w:spacing w:after="0" w:line="42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本合同一式     份，双方各执     份。</w:t>
      </w:r>
    </w:p>
    <w:p w14:paraId="194F478D">
      <w:pPr>
        <w:pStyle w:val="20"/>
        <w:spacing w:after="0" w:line="36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买  方：                            卖  方：</w:t>
      </w:r>
    </w:p>
    <w:p w14:paraId="17A9D0EE">
      <w:pPr>
        <w:pStyle w:val="20"/>
        <w:spacing w:after="0" w:line="36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名  称：（盖章）                    名  称：（盖章）</w:t>
      </w:r>
    </w:p>
    <w:p w14:paraId="5058EDF9">
      <w:pPr>
        <w:pStyle w:val="20"/>
        <w:spacing w:after="0" w:line="36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法定代表人（或委托代理人签章）：    法定代表人（或委托代理人签章）：</w:t>
      </w:r>
    </w:p>
    <w:p w14:paraId="500F5901">
      <w:pPr>
        <w:pStyle w:val="20"/>
        <w:spacing w:after="0" w:line="36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                          地    址：</w:t>
      </w:r>
    </w:p>
    <w:p w14:paraId="061A32AA">
      <w:pPr>
        <w:pStyle w:val="20"/>
        <w:spacing w:after="0" w:line="36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邮政编码：                          邮政编码：</w:t>
      </w:r>
    </w:p>
    <w:p w14:paraId="25B88576">
      <w:pPr>
        <w:pStyle w:val="20"/>
        <w:spacing w:after="0" w:line="36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    话：                          电    话：</w:t>
      </w:r>
    </w:p>
    <w:p w14:paraId="47A2D659">
      <w:pPr>
        <w:pStyle w:val="20"/>
        <w:spacing w:after="0" w:line="360" w:lineRule="exact"/>
        <w:ind w:left="0" w:leftChars="0"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开户银行：                          开户银行：</w:t>
      </w:r>
    </w:p>
    <w:p w14:paraId="7A5AF55B">
      <w:pPr>
        <w:pStyle w:val="20"/>
        <w:spacing w:after="0" w:line="360" w:lineRule="exact"/>
        <w:ind w:left="0" w:leftChars="0" w:firstLine="490"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lang w:eastAsia="zh-CN"/>
        </w:rPr>
        <w:t>帐    号：                          帐    号：</w:t>
      </w:r>
    </w:p>
    <w:p w14:paraId="0B46F39E">
      <w:pPr>
        <w:pStyle w:val="20"/>
        <w:spacing w:after="0" w:line="420" w:lineRule="exact"/>
        <w:ind w:left="0" w:leftChars="0" w:firstLine="610" w:firstLineChars="200"/>
        <w:jc w:val="center"/>
        <w:rPr>
          <w:rFonts w:hint="eastAsia" w:ascii="仿宋" w:hAnsi="仿宋" w:eastAsia="仿宋" w:cs="仿宋"/>
          <w:b/>
          <w:color w:val="auto"/>
          <w:sz w:val="30"/>
          <w:szCs w:val="30"/>
          <w:highlight w:val="none"/>
          <w:lang w:eastAsia="zh-CN"/>
        </w:rPr>
      </w:pPr>
    </w:p>
    <w:p w14:paraId="2FD358EA">
      <w:pPr>
        <w:pStyle w:val="20"/>
        <w:spacing w:after="0" w:line="420" w:lineRule="exact"/>
        <w:ind w:left="0" w:leftChars="0" w:firstLine="610" w:firstLineChars="200"/>
        <w:jc w:val="center"/>
        <w:rPr>
          <w:rFonts w:hint="eastAsia" w:ascii="仿宋" w:hAnsi="仿宋" w:eastAsia="仿宋" w:cs="仿宋"/>
          <w:b/>
          <w:color w:val="auto"/>
          <w:sz w:val="30"/>
          <w:szCs w:val="30"/>
          <w:highlight w:val="none"/>
          <w:lang w:eastAsia="zh-CN"/>
        </w:rPr>
      </w:pPr>
    </w:p>
    <w:p w14:paraId="3338BB77">
      <w:pPr>
        <w:pStyle w:val="20"/>
        <w:spacing w:after="0" w:line="420" w:lineRule="exact"/>
        <w:ind w:left="0" w:leftChars="0" w:firstLine="610"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57"/>
      <w:bookmarkEnd w:id="58"/>
      <w:bookmarkEnd w:id="59"/>
      <w:bookmarkEnd w:id="60"/>
      <w:bookmarkEnd w:id="61"/>
      <w:bookmarkEnd w:id="62"/>
      <w:bookmarkEnd w:id="63"/>
      <w:bookmarkEnd w:id="64"/>
      <w:bookmarkEnd w:id="65"/>
    </w:p>
    <w:p w14:paraId="101E566A">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4DD0B20E">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68ACE79B">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592A6BED">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4AC3D55F">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5C73FEC5">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7B87D32E">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37412EA7">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3C99B8F9">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&lt;4&gt;成交通知书、响应文件和采购文件；</w:t>
      </w:r>
    </w:p>
    <w:p w14:paraId="56091766">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52CC2AA1">
      <w:pPr>
        <w:spacing w:line="440" w:lineRule="exact"/>
        <w:ind w:firstLine="43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0BFE0A54">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545484A8">
      <w:pPr>
        <w:pStyle w:val="13"/>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47FF0F88">
      <w:pPr>
        <w:pStyle w:val="13"/>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1872A599">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58ED104C">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7339316B">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3A62B705">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2CF007DB">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70EBCE2B">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63369152">
      <w:pPr>
        <w:pStyle w:val="13"/>
        <w:tabs>
          <w:tab w:val="left" w:pos="900"/>
        </w:tabs>
        <w:overflowPunct w:val="0"/>
        <w:spacing w:line="440" w:lineRule="exact"/>
        <w:rPr>
          <w:rFonts w:cs="宋体"/>
          <w:color w:val="auto"/>
          <w:sz w:val="21"/>
          <w:szCs w:val="21"/>
          <w:highlight w:val="none"/>
          <w:lang w:eastAsia="zh-CN"/>
        </w:rPr>
      </w:pPr>
      <w:r>
        <w:rPr>
          <w:rFonts w:hint="eastAsia" w:ascii="仿宋" w:hAnsi="仿宋" w:eastAsia="仿宋" w:cs="仿宋"/>
          <w:color w:val="auto"/>
          <w:szCs w:val="24"/>
          <w:highlight w:val="none"/>
          <w:lang w:eastAsia="zh-CN"/>
        </w:rPr>
        <w:t>(3)除合同主要条款规定外，合同条款成交的物的质量保证期均自标的物通过最终验收之日起计算，且质量保证期按不低于国家标准和卖方承诺的高于国家标准的质保期（卖方有特殊要求的除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lang w:eastAsia="zh-CN"/>
        </w:rPr>
        <w:t>外）。</w:t>
      </w:r>
    </w:p>
    <w:p w14:paraId="4995F1F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7F1EC439">
      <w:pPr>
        <w:pStyle w:val="13"/>
        <w:tabs>
          <w:tab w:val="left" w:pos="900"/>
        </w:tabs>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E6FFAE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01C7C50E">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(1)卖方除应履行按期按量交付合格标的物的义务之外，还应提供下列服务：</w:t>
      </w:r>
    </w:p>
    <w:p w14:paraId="66140850">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&lt;1&gt;标的物的现场安装或指导安装、启动、调试、监督（如果必须安装、调试的话）；</w:t>
      </w:r>
    </w:p>
    <w:p w14:paraId="0739B047">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&lt;2&gt;提供标的物组装和一般维修所必须的工具；</w:t>
      </w:r>
    </w:p>
    <w:p w14:paraId="3FA1E97B">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&lt;3&gt;在合同规定的期限内对所提供标的物实行运行监督、维修服务的前提条件是该服务并不能免除卖方在质量保证期内所承担的义务；</w:t>
      </w:r>
    </w:p>
    <w:p w14:paraId="45690894">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&lt;4&gt;对买方技术人员的技术指导或培训。</w:t>
      </w:r>
    </w:p>
    <w:p w14:paraId="4D8A5394">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(2)除合同另有规定之外，伴随服务的费用均已含在合同价款中，买方不再另行进行支付。</w:t>
      </w:r>
    </w:p>
    <w:p w14:paraId="07D4528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7312E1F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78AAE358">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(1)标的物的所有权自标的物交付时转移。</w:t>
      </w:r>
    </w:p>
    <w:p w14:paraId="18F3D6DD">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(2)卖方应当按照约定的期限和约定的地点交付符合采购文件要求的标的物。</w:t>
      </w:r>
    </w:p>
    <w:p w14:paraId="71EB4F1E">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(3)卖方应当按照约定或者交易习惯向招标人交付提取标的物单证以外的有关单证和资料。</w:t>
      </w:r>
    </w:p>
    <w:p w14:paraId="449B89C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103B2A90">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643192FB">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(2)买方根据合同规定的内容和验收标准进行验收，经检验无误后出具验收合格证明，该证明作为最终付款所需文件的组成部分。</w:t>
      </w:r>
    </w:p>
    <w:p w14:paraId="4CC927DA">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(3)验收期限自标的物交付之日起三十天内。特殊情况需延长的，双方应在合同条款中约定。</w:t>
      </w:r>
    </w:p>
    <w:p w14:paraId="7B51D86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59684A0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6EF33693">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(1)买方在验收过程中，应当于双方约定的检验期间内将标的物的数量或质量不符合约定的情形及处理方式以书面形式通知卖方。</w:t>
      </w:r>
    </w:p>
    <w:p w14:paraId="6987017C">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(2)如买方在验收期满后既不出具验收合格证明又未提出书面异议的视为卖方所交标的物符合合同规定。</w:t>
      </w:r>
    </w:p>
    <w:p w14:paraId="6A7B2D18">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(3)卖方应在收到买方书面异议后七天内负责处理问题，否则将视为默认买方提出的异议和处理意见。</w:t>
      </w:r>
    </w:p>
    <w:p w14:paraId="304A0AB8">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3C7BCD6F">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33669008">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(1)本合同的结算货币为人民币，单位元。</w:t>
      </w:r>
    </w:p>
    <w:p w14:paraId="0EBADA52">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(2)卖方应按照双方签订的合同规定交货并在合同主要条款规定的期限内持下列单据结算货款：</w:t>
      </w:r>
    </w:p>
    <w:p w14:paraId="096534E2">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&lt;1&gt;合格的销售发票；</w:t>
      </w:r>
    </w:p>
    <w:p w14:paraId="6D61875C">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&lt;2&gt;买方盖章签收后的送货回单和验收合格证明。</w:t>
      </w:r>
    </w:p>
    <w:p w14:paraId="08749B20">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(3)买方应按合同主要条款规定的期限和方式付款。</w:t>
      </w:r>
    </w:p>
    <w:p w14:paraId="4E757625">
      <w:pPr>
        <w:pStyle w:val="13"/>
        <w:tabs>
          <w:tab w:val="left" w:pos="540"/>
        </w:tabs>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(4)根据现行税法对买方征收的与本合同有关的一切税费均由买方承担；根据现行税法对卖方征收的与本合同有关的一切税费均由卖方承担。</w:t>
      </w:r>
    </w:p>
    <w:p w14:paraId="75E9AF2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3648DA6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2B38BA26">
      <w:pPr>
        <w:pStyle w:val="13"/>
        <w:spacing w:line="440" w:lineRule="exact"/>
        <w:ind w:firstLine="430" w:firstLineChars="20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合同一方不履行合同义务或者履行合同义务不符合约定的，应当承担继续履行、采取补救措施或者赔偿损失等违约责任。</w:t>
      </w:r>
    </w:p>
    <w:p w14:paraId="7D44418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4DBB1802">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(1)在合同生效后，买方要求退货的，应向卖方偿付合同总价款的5%，作为违约金，违约金不足以补偿损失的，卖方有权要求甲方补足。</w:t>
      </w:r>
    </w:p>
    <w:p w14:paraId="584D4116">
      <w:pPr>
        <w:pStyle w:val="13"/>
        <w:overflowPunct w:val="0"/>
        <w:spacing w:line="440" w:lineRule="exact"/>
        <w:ind w:right="-341" w:rightChars="-159"/>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(2)买方逾期付款的应按照逾期付款金额的每天万分之四支付逾期付款违约金。</w:t>
      </w:r>
    </w:p>
    <w:p w14:paraId="167C1EEC">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(3)买方违反合同规定，拒绝接收卖方交付的符合采购文件要求的合格标的物，应当承担卖方由此造成的损失。</w:t>
      </w:r>
    </w:p>
    <w:p w14:paraId="4FC76EB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7E778964">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(1)卖方不能交货（逾期超过五天视为不能交货），或交货不合格从而影响买方按期正常使用的，应向买方偿付合同总价款5%的违约金，违约金不足以补偿损失的，买方有权要求卖方补足。</w:t>
      </w:r>
    </w:p>
    <w:p w14:paraId="0D6B5773">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239C9D3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49B1FEB4">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(1)因水灾、火灾、地震、战争等不可抗力不能履行合同的，根据不可抗力的影响，部分或者全部免除责任。但合同一方迟延履行后发生不可抗力的，不能免除责任。</w:t>
      </w:r>
    </w:p>
    <w:p w14:paraId="70FA2768">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(2)合同一方因不可抗力不能履行合同的，应当及时通知对方，以减轻可能给对方造成的损失，并应当在合理期限内提供证明。</w:t>
      </w:r>
    </w:p>
    <w:p w14:paraId="410B2744">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56606EB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44C5BE96">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(1)买方有权根据当地产品质量检验机构或其它有权威部门出具的检验证书向卖方提出索赔。</w:t>
      </w:r>
    </w:p>
    <w:p w14:paraId="7AB0BA5F">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(2)在本合同规定的检验期和质量保证期内，如果卖方对买方提出的索赔或差异有责任，则卖方应按买方同意的下列一种或多种方式解决索赔事宜：</w:t>
      </w:r>
    </w:p>
    <w:p w14:paraId="49B5C0DA">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056FDDA7">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&lt;2&gt;根据标的物的低劣程度、损坏程度以及甲方遭受损失的数额，经双方协商确定降低标的物的价格；</w:t>
      </w:r>
    </w:p>
    <w:p w14:paraId="647A1261">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0E119879">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64BDADE2">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(4)买方提出索赔的书面材料应报当地政府采购管理部门备案。卖方同意的索赔方案应报当地政府采购管理部门审核。</w:t>
      </w:r>
    </w:p>
    <w:p w14:paraId="1FD7F0B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430EB89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60E09623">
      <w:pPr>
        <w:pStyle w:val="13"/>
        <w:overflowPunct w:val="0"/>
        <w:spacing w:line="440" w:lineRule="exact"/>
        <w:ind w:firstLine="537" w:firstLineChars="25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(1)卖方应在本合同签订时，按采购文件的约定提供相应的履约保证金，保证金的有效期应不低于合同有效期。</w:t>
      </w:r>
    </w:p>
    <w:p w14:paraId="02268B6E">
      <w:pPr>
        <w:pStyle w:val="13"/>
        <w:overflowPunct w:val="0"/>
        <w:spacing w:line="440" w:lineRule="exact"/>
        <w:ind w:right="-341" w:rightChars="-159"/>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(2)如果卖方未能履行合同规定的任何义务，买方有权从履约保证金中取得补偿。</w:t>
      </w:r>
    </w:p>
    <w:p w14:paraId="3E05ABAC">
      <w:pPr>
        <w:pStyle w:val="13"/>
        <w:overflowPunct w:val="0"/>
        <w:spacing w:line="440" w:lineRule="exact"/>
        <w:ind w:right="-894" w:rightChars="-416"/>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(3)履约保证金（无息）将在卖方履行完合同义务，买方支付合同价款的五天内</w:t>
      </w:r>
    </w:p>
    <w:p w14:paraId="6EC8B6BD">
      <w:pPr>
        <w:pStyle w:val="13"/>
        <w:overflowPunct w:val="0"/>
        <w:spacing w:line="440" w:lineRule="exact"/>
        <w:ind w:right="-894" w:rightChars="-416" w:firstLine="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退回。</w:t>
      </w:r>
    </w:p>
    <w:p w14:paraId="4E3893E4">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235C705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31740BB3">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(1)买方和卖方协商一致，可以解除合同。</w:t>
      </w:r>
    </w:p>
    <w:p w14:paraId="38DBD11F">
      <w:pPr>
        <w:pStyle w:val="13"/>
        <w:spacing w:line="440" w:lineRule="exact"/>
        <w:rPr>
          <w:rFonts w:ascii="仿宋" w:hAnsi="仿宋" w:eastAsia="仿宋" w:cs="仿宋"/>
          <w:color w:val="auto"/>
          <w:szCs w:val="24"/>
          <w:highlight w:val="none"/>
        </w:rPr>
      </w:pPr>
      <w:r>
        <w:rPr>
          <w:rFonts w:hint="eastAsia" w:ascii="仿宋" w:hAnsi="仿宋" w:eastAsia="仿宋" w:cs="仿宋"/>
          <w:color w:val="auto"/>
          <w:szCs w:val="24"/>
          <w:highlight w:val="none"/>
        </w:rPr>
        <w:t>(2)有下列情形之一，合同一方可以解除合同：</w:t>
      </w:r>
    </w:p>
    <w:p w14:paraId="6D013300">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&lt;1&gt;因不可抗力致使不能实现合同目的，未受不可抗力影响的一方有权解除合同；</w:t>
      </w:r>
    </w:p>
    <w:p w14:paraId="0FB18C49">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&lt;2&gt;因合同一方违约导致合同不能履行，另一方有权解除合同。</w:t>
      </w:r>
    </w:p>
    <w:p w14:paraId="00FEA372">
      <w:pPr>
        <w:pStyle w:val="13"/>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(3)有权解除合同的一方，应当在违约事实或不可抗力发生之后三十天内书面通知对方以主张解除合同，合同在书面通知到达对方时解除。</w:t>
      </w:r>
    </w:p>
    <w:p w14:paraId="1E18CFE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3389EE8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12A5D16">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67C5E2ED">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2CBADD9D">
      <w:pPr>
        <w:spacing w:line="440" w:lineRule="exact"/>
        <w:ind w:firstLine="43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本合同在双方签字盖章并在招标人收到成交人提交的履约保证金后，经招标采购管理部门备案后生效。</w:t>
      </w:r>
    </w:p>
    <w:p w14:paraId="75A6C629">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24B4E269">
      <w:pPr>
        <w:spacing w:line="440" w:lineRule="exact"/>
        <w:ind w:firstLine="21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5DD660A0">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 xml:space="preserve"> 买卖双方因合同发生争议，进行调解，协商不成，可选择：</w:t>
      </w:r>
    </w:p>
    <w:p w14:paraId="6FCDDE4E">
      <w:pPr>
        <w:pStyle w:val="13"/>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(1)向甲方所在地人民法院提起诉讼；</w:t>
      </w:r>
    </w:p>
    <w:p w14:paraId="4BA77D31">
      <w:pPr>
        <w:pStyle w:val="13"/>
        <w:tabs>
          <w:tab w:val="left" w:pos="900"/>
        </w:tabs>
        <w:overflowPunct w:val="0"/>
        <w:spacing w:line="440" w:lineRule="exact"/>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(2)向买方所在地人民法院提起诉讼。</w:t>
      </w:r>
    </w:p>
    <w:p w14:paraId="3FC86D3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41A73DB0">
      <w:pPr>
        <w:spacing w:line="440" w:lineRule="exact"/>
        <w:ind w:firstLine="21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42DAC2D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14A6DF68">
      <w:pPr>
        <w:spacing w:line="440" w:lineRule="exact"/>
        <w:ind w:firstLine="21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41A48D5B">
      <w:pPr>
        <w:spacing w:line="440" w:lineRule="exact"/>
        <w:ind w:firstLine="537"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25F15525">
      <w:pPr>
        <w:shd w:val="clear" w:color="auto" w:fill="auto"/>
        <w:spacing w:line="360" w:lineRule="auto"/>
        <w:jc w:val="left"/>
        <w:rPr>
          <w:rFonts w:hint="eastAsia" w:ascii="仿宋" w:hAnsi="仿宋" w:eastAsia="仿宋" w:cs="仿宋"/>
          <w:b w:val="0"/>
          <w:bCs w:val="0"/>
          <w:color w:val="auto"/>
          <w:sz w:val="24"/>
          <w:szCs w:val="24"/>
          <w:highlight w:val="none"/>
        </w:rPr>
      </w:pPr>
    </w:p>
    <w:p w14:paraId="7DA50E24">
      <w:pPr>
        <w:shd w:val="clear" w:color="auto" w:fill="auto"/>
        <w:spacing w:line="360" w:lineRule="auto"/>
        <w:jc w:val="left"/>
        <w:rPr>
          <w:rFonts w:hint="eastAsia" w:ascii="仿宋" w:hAnsi="仿宋" w:eastAsia="仿宋" w:cs="仿宋"/>
          <w:b w:val="0"/>
          <w:bCs w:val="0"/>
          <w:color w:val="auto"/>
          <w:sz w:val="24"/>
          <w:szCs w:val="24"/>
          <w:highlight w:val="none"/>
        </w:rPr>
      </w:pPr>
    </w:p>
    <w:p w14:paraId="5C9FD302">
      <w:pPr>
        <w:shd w:val="clear" w:color="auto" w:fill="auto"/>
        <w:spacing w:line="360" w:lineRule="auto"/>
        <w:jc w:val="center"/>
        <w:outlineLvl w:val="9"/>
        <w:rPr>
          <w:rFonts w:hint="eastAsia" w:ascii="宋体" w:hAnsi="宋体" w:eastAsia="宋体" w:cs="宋体"/>
          <w:b/>
          <w:bCs/>
          <w:color w:val="auto"/>
          <w:sz w:val="36"/>
          <w:szCs w:val="36"/>
          <w:highlight w:val="none"/>
        </w:rPr>
      </w:pPr>
    </w:p>
    <w:p w14:paraId="6023297D">
      <w:pPr>
        <w:pStyle w:val="38"/>
        <w:rPr>
          <w:rFonts w:hint="eastAsia" w:ascii="宋体" w:hAnsi="宋体" w:eastAsia="宋体" w:cs="宋体"/>
          <w:b/>
          <w:bCs/>
          <w:color w:val="auto"/>
          <w:sz w:val="36"/>
          <w:szCs w:val="36"/>
          <w:highlight w:val="none"/>
        </w:rPr>
      </w:pPr>
    </w:p>
    <w:p w14:paraId="5457EBDC">
      <w:pPr>
        <w:rPr>
          <w:rFonts w:hint="eastAsia" w:ascii="宋体" w:hAnsi="宋体" w:eastAsia="宋体" w:cs="宋体"/>
          <w:b/>
          <w:bCs/>
          <w:color w:val="auto"/>
          <w:sz w:val="36"/>
          <w:szCs w:val="36"/>
          <w:highlight w:val="none"/>
        </w:rPr>
      </w:pPr>
    </w:p>
    <w:p w14:paraId="466E3DA2">
      <w:pPr>
        <w:pStyle w:val="38"/>
        <w:rPr>
          <w:rFonts w:hint="eastAsia"/>
        </w:rPr>
      </w:pPr>
    </w:p>
    <w:p w14:paraId="06E9A831">
      <w:pPr>
        <w:pStyle w:val="4"/>
        <w:outlineLvl w:val="9"/>
        <w:rPr>
          <w:rFonts w:hint="eastAsia" w:ascii="宋体" w:hAnsi="宋体" w:eastAsia="宋体" w:cs="宋体"/>
          <w:b/>
          <w:bCs/>
          <w:color w:val="auto"/>
          <w:sz w:val="36"/>
          <w:szCs w:val="36"/>
          <w:highlight w:val="none"/>
        </w:rPr>
      </w:pPr>
    </w:p>
    <w:p w14:paraId="7C826E31">
      <w:pPr>
        <w:numPr>
          <w:ilvl w:val="0"/>
          <w:numId w:val="0"/>
        </w:numPr>
        <w:shd w:val="clear" w:color="auto" w:fill="auto"/>
        <w:spacing w:line="360" w:lineRule="auto"/>
        <w:ind w:leftChars="0"/>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第七章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 xml:space="preserve"> 响应文件格式</w:t>
      </w:r>
      <w:bookmarkEnd w:id="53"/>
      <w:bookmarkEnd w:id="54"/>
    </w:p>
    <w:p w14:paraId="75B1A0DF">
      <w:pPr>
        <w:adjustRightInd w:val="0"/>
        <w:snapToGrid w:val="0"/>
        <w:spacing w:line="360" w:lineRule="auto"/>
        <w:jc w:val="both"/>
        <w:rPr>
          <w:rFonts w:ascii="仿宋" w:hAnsi="仿宋" w:eastAsia="仿宋" w:cs="仿宋"/>
          <w:b/>
          <w:caps/>
          <w:color w:val="auto"/>
          <w:highlight w:val="none"/>
        </w:rPr>
      </w:pPr>
      <w:bookmarkStart w:id="66" w:name="_Toc14603_WPSOffice_Level2"/>
    </w:p>
    <w:p w14:paraId="0544F56D">
      <w:pPr>
        <w:adjustRightInd w:val="0"/>
        <w:snapToGrid w:val="0"/>
        <w:spacing w:line="360" w:lineRule="auto"/>
        <w:jc w:val="center"/>
        <w:outlineLvl w:val="1"/>
        <w:rPr>
          <w:rFonts w:ascii="仿宋" w:hAnsi="仿宋" w:eastAsia="仿宋" w:cs="仿宋"/>
          <w:bCs/>
          <w:color w:val="auto"/>
          <w:sz w:val="32"/>
          <w:szCs w:val="32"/>
          <w:highlight w:val="none"/>
        </w:rPr>
      </w:pPr>
      <w:r>
        <w:rPr>
          <w:rFonts w:hint="eastAsia" w:ascii="仿宋" w:hAnsi="仿宋" w:eastAsia="仿宋" w:cs="仿宋"/>
          <w:b/>
          <w:caps/>
          <w:color w:val="auto"/>
          <w:sz w:val="32"/>
          <w:szCs w:val="32"/>
          <w:highlight w:val="none"/>
        </w:rPr>
        <w:t>（项目名称）</w:t>
      </w:r>
    </w:p>
    <w:p w14:paraId="76616621">
      <w:pPr>
        <w:adjustRightInd w:val="0"/>
        <w:snapToGrid w:val="0"/>
        <w:spacing w:line="360" w:lineRule="auto"/>
        <w:jc w:val="both"/>
        <w:rPr>
          <w:rFonts w:ascii="仿宋" w:hAnsi="仿宋" w:eastAsia="仿宋" w:cs="仿宋"/>
          <w:bCs/>
          <w:color w:val="auto"/>
          <w:sz w:val="32"/>
          <w:szCs w:val="32"/>
          <w:highlight w:val="none"/>
        </w:rPr>
      </w:pPr>
    </w:p>
    <w:p w14:paraId="3A7FD59A">
      <w:pPr>
        <w:adjustRightInd w:val="0"/>
        <w:snapToGrid w:val="0"/>
        <w:spacing w:line="360" w:lineRule="auto"/>
        <w:jc w:val="center"/>
        <w:rPr>
          <w:rFonts w:ascii="仿宋" w:hAnsi="仿宋" w:eastAsia="仿宋" w:cs="仿宋"/>
          <w:bCs/>
          <w:color w:val="auto"/>
          <w:sz w:val="32"/>
          <w:szCs w:val="32"/>
          <w:highlight w:val="none"/>
        </w:rPr>
      </w:pPr>
    </w:p>
    <w:p w14:paraId="72A737B7">
      <w:pPr>
        <w:adjustRightInd w:val="0"/>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
          <w:bCs/>
          <w:color w:val="auto"/>
          <w:sz w:val="44"/>
          <w:szCs w:val="44"/>
          <w:highlight w:val="none"/>
        </w:rPr>
        <w:t>响应文件</w:t>
      </w:r>
    </w:p>
    <w:p w14:paraId="3D0B8B5A">
      <w:pPr>
        <w:adjustRightInd w:val="0"/>
        <w:snapToGrid w:val="0"/>
        <w:spacing w:line="360" w:lineRule="auto"/>
        <w:jc w:val="center"/>
        <w:rPr>
          <w:rFonts w:ascii="仿宋" w:hAnsi="仿宋" w:eastAsia="仿宋" w:cs="仿宋"/>
          <w:bCs/>
          <w:color w:val="auto"/>
          <w:sz w:val="32"/>
          <w:szCs w:val="32"/>
          <w:highlight w:val="none"/>
        </w:rPr>
      </w:pPr>
    </w:p>
    <w:p w14:paraId="55E588D0">
      <w:pPr>
        <w:adjustRightInd w:val="0"/>
        <w:snapToGrid w:val="0"/>
        <w:spacing w:line="360" w:lineRule="auto"/>
        <w:jc w:val="both"/>
        <w:rPr>
          <w:rFonts w:ascii="仿宋" w:hAnsi="仿宋" w:eastAsia="仿宋" w:cs="仿宋"/>
          <w:bCs/>
          <w:color w:val="auto"/>
          <w:sz w:val="32"/>
          <w:szCs w:val="32"/>
          <w:highlight w:val="none"/>
        </w:rPr>
      </w:pPr>
    </w:p>
    <w:p w14:paraId="1CCE8871">
      <w:pPr>
        <w:adjustRightInd w:val="0"/>
        <w:snapToGrid w:val="0"/>
        <w:spacing w:line="360" w:lineRule="auto"/>
        <w:ind w:right="-137" w:rightChars="-64"/>
        <w:rPr>
          <w:rFonts w:ascii="仿宋" w:hAnsi="仿宋" w:eastAsia="仿宋" w:cs="仿宋"/>
          <w:b/>
          <w:caps/>
          <w:color w:val="auto"/>
          <w:sz w:val="28"/>
          <w:szCs w:val="28"/>
          <w:highlight w:val="none"/>
        </w:rPr>
      </w:pPr>
      <w:r>
        <w:rPr>
          <w:rFonts w:hint="eastAsia" w:ascii="仿宋" w:hAnsi="仿宋" w:eastAsia="仿宋" w:cs="仿宋"/>
          <w:b/>
          <w:caps/>
          <w:color w:val="auto"/>
          <w:spacing w:val="0"/>
          <w:kern w:val="0"/>
          <w:sz w:val="28"/>
          <w:szCs w:val="28"/>
          <w:highlight w:val="none"/>
          <w:fitText w:val="2810" w:id="834279132"/>
        </w:rPr>
        <w:t>供应商名称（公章）：</w:t>
      </w:r>
    </w:p>
    <w:p w14:paraId="239AFA8B">
      <w:pPr>
        <w:adjustRightInd w:val="0"/>
        <w:snapToGrid w:val="0"/>
        <w:spacing w:line="360" w:lineRule="auto"/>
        <w:ind w:right="-137" w:rightChars="-64"/>
        <w:rPr>
          <w:rFonts w:ascii="仿宋" w:hAnsi="仿宋" w:eastAsia="仿宋" w:cs="仿宋"/>
          <w:b/>
          <w:caps/>
          <w:color w:val="auto"/>
          <w:sz w:val="28"/>
          <w:szCs w:val="28"/>
          <w:highlight w:val="none"/>
        </w:rPr>
      </w:pPr>
    </w:p>
    <w:p w14:paraId="7584712F">
      <w:pPr>
        <w:adjustRightInd w:val="0"/>
        <w:snapToGrid w:val="0"/>
        <w:spacing w:line="360" w:lineRule="auto"/>
        <w:ind w:right="-137" w:rightChars="-64"/>
        <w:rPr>
          <w:rFonts w:ascii="仿宋" w:hAnsi="仿宋" w:eastAsia="仿宋" w:cs="仿宋"/>
          <w:b/>
          <w:caps/>
          <w:color w:val="auto"/>
          <w:sz w:val="28"/>
          <w:szCs w:val="28"/>
          <w:highlight w:val="none"/>
        </w:rPr>
      </w:pPr>
      <w:r>
        <w:rPr>
          <w:rFonts w:hint="eastAsia" w:ascii="仿宋" w:hAnsi="仿宋" w:eastAsia="仿宋" w:cs="仿宋"/>
          <w:b/>
          <w:caps/>
          <w:color w:val="auto"/>
          <w:spacing w:val="0"/>
          <w:w w:val="77"/>
          <w:kern w:val="0"/>
          <w:sz w:val="28"/>
          <w:szCs w:val="28"/>
          <w:highlight w:val="none"/>
          <w:fitText w:val="2810" w:id="660031919"/>
        </w:rPr>
        <w:t>法定代表人（</w:t>
      </w:r>
      <w:r>
        <w:rPr>
          <w:rFonts w:hint="eastAsia" w:ascii="仿宋" w:hAnsi="仿宋" w:eastAsia="仿宋" w:cs="仿宋"/>
          <w:b/>
          <w:caps/>
          <w:color w:val="auto"/>
          <w:spacing w:val="0"/>
          <w:w w:val="77"/>
          <w:kern w:val="0"/>
          <w:sz w:val="28"/>
          <w:szCs w:val="28"/>
          <w:highlight w:val="none"/>
          <w:fitText w:val="2810" w:id="660031919"/>
          <w:lang w:eastAsia="zh-CN"/>
        </w:rPr>
        <w:t>签章</w:t>
      </w:r>
      <w:r>
        <w:rPr>
          <w:rFonts w:hint="eastAsia" w:ascii="仿宋" w:hAnsi="仿宋" w:eastAsia="仿宋" w:cs="仿宋"/>
          <w:b/>
          <w:caps/>
          <w:color w:val="auto"/>
          <w:spacing w:val="0"/>
          <w:w w:val="77"/>
          <w:kern w:val="0"/>
          <w:sz w:val="28"/>
          <w:szCs w:val="28"/>
          <w:highlight w:val="none"/>
          <w:fitText w:val="2810" w:id="660031919"/>
        </w:rPr>
        <w:t>或盖章）</w:t>
      </w:r>
      <w:r>
        <w:rPr>
          <w:rFonts w:hint="eastAsia" w:ascii="仿宋" w:hAnsi="仿宋" w:eastAsia="仿宋" w:cs="仿宋"/>
          <w:b/>
          <w:caps/>
          <w:color w:val="auto"/>
          <w:spacing w:val="-1"/>
          <w:w w:val="77"/>
          <w:kern w:val="0"/>
          <w:sz w:val="28"/>
          <w:szCs w:val="28"/>
          <w:highlight w:val="none"/>
          <w:fitText w:val="2810" w:id="660031919"/>
        </w:rPr>
        <w:t>：</w:t>
      </w:r>
    </w:p>
    <w:p w14:paraId="6A59D44D">
      <w:pPr>
        <w:adjustRightInd w:val="0"/>
        <w:snapToGrid w:val="0"/>
        <w:spacing w:line="360" w:lineRule="auto"/>
        <w:ind w:right="-137" w:rightChars="-64"/>
        <w:rPr>
          <w:rFonts w:ascii="仿宋" w:hAnsi="仿宋" w:eastAsia="仿宋" w:cs="仿宋"/>
          <w:b/>
          <w:caps/>
          <w:color w:val="auto"/>
          <w:sz w:val="28"/>
          <w:szCs w:val="28"/>
          <w:highlight w:val="none"/>
        </w:rPr>
      </w:pPr>
    </w:p>
    <w:p w14:paraId="0C71E7EE">
      <w:pPr>
        <w:adjustRightInd w:val="0"/>
        <w:snapToGrid w:val="0"/>
        <w:spacing w:line="360" w:lineRule="auto"/>
        <w:ind w:right="-137" w:rightChars="-64"/>
        <w:rPr>
          <w:rFonts w:ascii="仿宋" w:hAnsi="仿宋" w:eastAsia="仿宋" w:cs="仿宋"/>
          <w:b/>
          <w:caps/>
          <w:color w:val="auto"/>
          <w:sz w:val="28"/>
          <w:szCs w:val="28"/>
          <w:highlight w:val="none"/>
        </w:rPr>
      </w:pPr>
      <w:r>
        <w:rPr>
          <w:rFonts w:hint="eastAsia" w:ascii="仿宋" w:hAnsi="仿宋" w:eastAsia="仿宋" w:cs="仿宋"/>
          <w:b/>
          <w:caps/>
          <w:color w:val="auto"/>
          <w:spacing w:val="113"/>
          <w:kern w:val="0"/>
          <w:sz w:val="28"/>
          <w:szCs w:val="28"/>
          <w:highlight w:val="none"/>
          <w:fitText w:val="2810" w:id="950026301"/>
        </w:rPr>
        <w:t>供应商地址</w:t>
      </w:r>
      <w:r>
        <w:rPr>
          <w:rFonts w:hint="eastAsia" w:ascii="仿宋" w:hAnsi="仿宋" w:eastAsia="仿宋" w:cs="仿宋"/>
          <w:b/>
          <w:caps/>
          <w:color w:val="auto"/>
          <w:spacing w:val="0"/>
          <w:kern w:val="0"/>
          <w:sz w:val="28"/>
          <w:szCs w:val="28"/>
          <w:highlight w:val="none"/>
          <w:fitText w:val="2810" w:id="950026301"/>
        </w:rPr>
        <w:t>：</w:t>
      </w:r>
    </w:p>
    <w:p w14:paraId="70B8D2AE">
      <w:pPr>
        <w:adjustRightInd w:val="0"/>
        <w:snapToGrid w:val="0"/>
        <w:spacing w:line="360" w:lineRule="auto"/>
        <w:ind w:right="-137" w:rightChars="-64"/>
        <w:rPr>
          <w:rFonts w:ascii="仿宋" w:hAnsi="仿宋" w:eastAsia="仿宋" w:cs="仿宋"/>
          <w:b/>
          <w:caps/>
          <w:color w:val="auto"/>
          <w:sz w:val="28"/>
          <w:szCs w:val="28"/>
          <w:highlight w:val="none"/>
        </w:rPr>
      </w:pPr>
    </w:p>
    <w:p w14:paraId="1AF6A844">
      <w:pPr>
        <w:adjustRightInd w:val="0"/>
        <w:snapToGrid w:val="0"/>
        <w:spacing w:line="360" w:lineRule="auto"/>
        <w:ind w:right="-137" w:rightChars="-64"/>
        <w:rPr>
          <w:rFonts w:ascii="仿宋" w:hAnsi="仿宋" w:eastAsia="仿宋" w:cs="仿宋"/>
          <w:b/>
          <w:caps/>
          <w:color w:val="auto"/>
          <w:sz w:val="28"/>
          <w:szCs w:val="28"/>
          <w:highlight w:val="none"/>
        </w:rPr>
      </w:pPr>
      <w:r>
        <w:rPr>
          <w:rFonts w:hint="eastAsia" w:ascii="仿宋" w:hAnsi="仿宋" w:eastAsia="仿宋" w:cs="仿宋"/>
          <w:b/>
          <w:caps/>
          <w:color w:val="auto"/>
          <w:spacing w:val="281"/>
          <w:kern w:val="0"/>
          <w:sz w:val="28"/>
          <w:szCs w:val="28"/>
          <w:highlight w:val="none"/>
          <w:fitText w:val="2810" w:id="162085928"/>
        </w:rPr>
        <w:t>联系人</w:t>
      </w:r>
      <w:r>
        <w:rPr>
          <w:rFonts w:hint="eastAsia" w:ascii="仿宋" w:hAnsi="仿宋" w:eastAsia="仿宋" w:cs="仿宋"/>
          <w:b/>
          <w:caps/>
          <w:color w:val="auto"/>
          <w:spacing w:val="2"/>
          <w:kern w:val="0"/>
          <w:sz w:val="28"/>
          <w:szCs w:val="28"/>
          <w:highlight w:val="none"/>
          <w:fitText w:val="2810" w:id="162085928"/>
        </w:rPr>
        <w:t>：</w:t>
      </w:r>
    </w:p>
    <w:p w14:paraId="1C45E136">
      <w:pPr>
        <w:adjustRightInd w:val="0"/>
        <w:snapToGrid w:val="0"/>
        <w:spacing w:line="360" w:lineRule="auto"/>
        <w:ind w:right="-137" w:rightChars="-64"/>
        <w:rPr>
          <w:rFonts w:ascii="仿宋" w:hAnsi="仿宋" w:eastAsia="仿宋" w:cs="仿宋"/>
          <w:b/>
          <w:caps/>
          <w:color w:val="auto"/>
          <w:sz w:val="28"/>
          <w:szCs w:val="28"/>
          <w:highlight w:val="none"/>
        </w:rPr>
      </w:pPr>
    </w:p>
    <w:p w14:paraId="57AE7408">
      <w:pPr>
        <w:adjustRightInd w:val="0"/>
        <w:snapToGrid w:val="0"/>
        <w:spacing w:line="360" w:lineRule="auto"/>
        <w:ind w:right="-137" w:rightChars="-64"/>
        <w:rPr>
          <w:rFonts w:ascii="仿宋" w:hAnsi="仿宋" w:eastAsia="仿宋" w:cs="仿宋"/>
          <w:b/>
          <w:caps/>
          <w:color w:val="auto"/>
          <w:sz w:val="28"/>
          <w:szCs w:val="28"/>
          <w:highlight w:val="none"/>
        </w:rPr>
      </w:pPr>
      <w:r>
        <w:rPr>
          <w:rFonts w:hint="eastAsia" w:ascii="仿宋" w:hAnsi="仿宋" w:eastAsia="仿宋" w:cs="仿宋"/>
          <w:b/>
          <w:caps/>
          <w:color w:val="auto"/>
          <w:spacing w:val="176"/>
          <w:kern w:val="0"/>
          <w:sz w:val="28"/>
          <w:szCs w:val="28"/>
          <w:highlight w:val="none"/>
          <w:fitText w:val="2810" w:id="414940743"/>
        </w:rPr>
        <w:t>联系电话</w:t>
      </w:r>
      <w:r>
        <w:rPr>
          <w:rFonts w:hint="eastAsia" w:ascii="仿宋" w:hAnsi="仿宋" w:eastAsia="仿宋" w:cs="仿宋"/>
          <w:b/>
          <w:caps/>
          <w:color w:val="auto"/>
          <w:spacing w:val="1"/>
          <w:kern w:val="0"/>
          <w:sz w:val="28"/>
          <w:szCs w:val="28"/>
          <w:highlight w:val="none"/>
          <w:fitText w:val="2810" w:id="414940743"/>
        </w:rPr>
        <w:t>：</w:t>
      </w:r>
    </w:p>
    <w:p w14:paraId="028A6265">
      <w:pPr>
        <w:adjustRightInd w:val="0"/>
        <w:snapToGrid w:val="0"/>
        <w:spacing w:line="360" w:lineRule="auto"/>
        <w:jc w:val="center"/>
        <w:rPr>
          <w:rFonts w:ascii="仿宋" w:hAnsi="仿宋" w:eastAsia="仿宋" w:cs="仿宋"/>
          <w:b/>
          <w:caps/>
          <w:color w:val="auto"/>
          <w:sz w:val="28"/>
          <w:szCs w:val="28"/>
          <w:highlight w:val="none"/>
        </w:rPr>
      </w:pPr>
    </w:p>
    <w:p w14:paraId="41670428">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_年__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_月__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_日</w:t>
      </w:r>
    </w:p>
    <w:p w14:paraId="57FAE5C6">
      <w:pPr>
        <w:pStyle w:val="193"/>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highlight w:val="none"/>
        </w:rPr>
      </w:pPr>
    </w:p>
    <w:p w14:paraId="7CFE2C82">
      <w:pPr>
        <w:pStyle w:val="193"/>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highlight w:val="none"/>
        </w:rPr>
      </w:pPr>
    </w:p>
    <w:p w14:paraId="6BD3B191">
      <w:pPr>
        <w:pStyle w:val="193"/>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highlight w:val="none"/>
        </w:rPr>
      </w:pPr>
    </w:p>
    <w:p w14:paraId="212FAD87">
      <w:pPr>
        <w:pStyle w:val="24"/>
        <w:shd w:val="clear" w:color="auto" w:fill="auto"/>
        <w:spacing w:line="560" w:lineRule="exact"/>
        <w:ind w:left="0" w:leftChars="0" w:right="210" w:rightChars="98" w:firstLine="0" w:firstLineChars="0"/>
        <w:jc w:val="center"/>
        <w:outlineLvl w:val="1"/>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资格证明文件</w:t>
      </w:r>
    </w:p>
    <w:p w14:paraId="59A70F4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（按照谈判响应人须知前附表第十条要求提供资格证明文件）</w:t>
      </w:r>
    </w:p>
    <w:p w14:paraId="5591A9E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1"/>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1).具备三证合一营业执照；</w:t>
      </w:r>
    </w:p>
    <w:p w14:paraId="10D89E9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2).法定代表人投标需提供法定代表人资格证明书，委托代理人投标需提供法定代表人授权委托书；</w:t>
      </w:r>
    </w:p>
    <w:p w14:paraId="3DA75AA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3).投标企业须提供投标人（被授权本单位在职人员）近 6 个月内任意 1 个月社保证明；</w:t>
      </w:r>
    </w:p>
    <w:p w14:paraId="2864F94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4).未被“信用中国”（www.creditchina.gov.cn）、中国政府采购网（www.ccgp.gov.cn）列入失信被执行人、重大税收违法案件当事人名单、政府采购严重违法失信行为记录名单；</w:t>
      </w:r>
    </w:p>
    <w:p w14:paraId="5D4215A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5).投标人具有有效的《二类医疗器械生产许可证》或《二类医疗器械经营许可证》。</w:t>
      </w:r>
    </w:p>
    <w:p w14:paraId="6D5DE85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7559F5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1"/>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7）.投标人须知资料表要求的其他资格证明文件。</w:t>
      </w:r>
    </w:p>
    <w:p w14:paraId="2B39250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04058E4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1F599DC6">
      <w:pPr>
        <w:rPr>
          <w:rFonts w:hint="eastAsia"/>
          <w:lang w:val="en-US" w:eastAsia="zh-CN"/>
        </w:rPr>
      </w:pPr>
    </w:p>
    <w:p w14:paraId="18C77787">
      <w:pPr>
        <w:pStyle w:val="38"/>
        <w:rPr>
          <w:rFonts w:hint="eastAsia"/>
          <w:lang w:val="en-US" w:eastAsia="zh-CN"/>
        </w:rPr>
      </w:pPr>
    </w:p>
    <w:p w14:paraId="618BA450">
      <w:pPr>
        <w:rPr>
          <w:rFonts w:hint="eastAsia"/>
          <w:lang w:val="en-US" w:eastAsia="zh-CN"/>
        </w:rPr>
      </w:pPr>
    </w:p>
    <w:p w14:paraId="65503BAB">
      <w:pPr>
        <w:pStyle w:val="38"/>
        <w:rPr>
          <w:rFonts w:hint="eastAsia"/>
          <w:lang w:val="en-US" w:eastAsia="zh-CN"/>
        </w:rPr>
      </w:pPr>
    </w:p>
    <w:p w14:paraId="22424A66">
      <w:pPr>
        <w:rPr>
          <w:rFonts w:hint="eastAsia"/>
          <w:lang w:val="en-US" w:eastAsia="zh-CN"/>
        </w:rPr>
      </w:pPr>
    </w:p>
    <w:p w14:paraId="45208C18">
      <w:pPr>
        <w:pStyle w:val="38"/>
        <w:rPr>
          <w:rFonts w:hint="eastAsia"/>
          <w:lang w:val="en-US" w:eastAsia="zh-CN"/>
        </w:rPr>
      </w:pPr>
    </w:p>
    <w:p w14:paraId="79C99F6B">
      <w:pPr>
        <w:rPr>
          <w:rFonts w:hint="eastAsia"/>
          <w:lang w:val="en-US" w:eastAsia="zh-CN"/>
        </w:rPr>
      </w:pPr>
    </w:p>
    <w:p w14:paraId="2083C522">
      <w:pPr>
        <w:pStyle w:val="38"/>
        <w:rPr>
          <w:rFonts w:hint="eastAsia"/>
          <w:lang w:val="en-US" w:eastAsia="zh-CN"/>
        </w:rPr>
      </w:pPr>
    </w:p>
    <w:p w14:paraId="68D3E3C5">
      <w:pPr>
        <w:rPr>
          <w:rFonts w:hint="eastAsia"/>
          <w:lang w:val="en-US" w:eastAsia="zh-CN"/>
        </w:rPr>
      </w:pPr>
    </w:p>
    <w:p w14:paraId="59B4426E">
      <w:pPr>
        <w:pStyle w:val="38"/>
        <w:rPr>
          <w:rFonts w:hint="eastAsia"/>
          <w:lang w:val="en-US" w:eastAsia="zh-CN"/>
        </w:rPr>
      </w:pPr>
    </w:p>
    <w:p w14:paraId="6B1C3845">
      <w:pPr>
        <w:rPr>
          <w:rFonts w:hint="eastAsia"/>
          <w:lang w:val="en-US" w:eastAsia="zh-CN"/>
        </w:rPr>
      </w:pPr>
    </w:p>
    <w:p w14:paraId="74E9F94C">
      <w:pPr>
        <w:pStyle w:val="38"/>
        <w:rPr>
          <w:rFonts w:hint="eastAsia"/>
          <w:lang w:val="en-US" w:eastAsia="zh-CN"/>
        </w:rPr>
      </w:pPr>
    </w:p>
    <w:p w14:paraId="69B86457">
      <w:pPr>
        <w:rPr>
          <w:rFonts w:hint="eastAsia"/>
          <w:lang w:val="en-US" w:eastAsia="zh-CN"/>
        </w:rPr>
      </w:pPr>
    </w:p>
    <w:p w14:paraId="7BE644F0">
      <w:pPr>
        <w:pStyle w:val="38"/>
        <w:rPr>
          <w:rFonts w:hint="eastAsia"/>
          <w:lang w:val="en-US" w:eastAsia="zh-CN"/>
        </w:rPr>
      </w:pPr>
    </w:p>
    <w:p w14:paraId="11762265">
      <w:pPr>
        <w:rPr>
          <w:rFonts w:hint="eastAsia"/>
          <w:lang w:val="en-US" w:eastAsia="zh-CN"/>
        </w:rPr>
      </w:pPr>
    </w:p>
    <w:p w14:paraId="3DC81D71">
      <w:pPr>
        <w:pStyle w:val="38"/>
        <w:rPr>
          <w:rFonts w:hint="eastAsia"/>
          <w:lang w:val="en-US" w:eastAsia="zh-CN"/>
        </w:rPr>
      </w:pPr>
    </w:p>
    <w:p w14:paraId="62A0FC8A">
      <w:pPr>
        <w:rPr>
          <w:rFonts w:hint="eastAsia"/>
          <w:lang w:val="en-US" w:eastAsia="zh-CN"/>
        </w:rPr>
      </w:pPr>
    </w:p>
    <w:p w14:paraId="42F668A1">
      <w:pPr>
        <w:pStyle w:val="38"/>
        <w:rPr>
          <w:rFonts w:hint="eastAsia"/>
          <w:lang w:val="en-US" w:eastAsia="zh-CN"/>
        </w:rPr>
      </w:pPr>
    </w:p>
    <w:p w14:paraId="72303C49">
      <w:pPr>
        <w:rPr>
          <w:rFonts w:hint="eastAsia"/>
          <w:lang w:val="en-US" w:eastAsia="zh-CN"/>
        </w:rPr>
      </w:pPr>
    </w:p>
    <w:p w14:paraId="2EA69C3A">
      <w:pPr>
        <w:pStyle w:val="38"/>
        <w:rPr>
          <w:rFonts w:hint="eastAsia"/>
          <w:lang w:val="en-US" w:eastAsia="zh-CN"/>
        </w:rPr>
      </w:pPr>
    </w:p>
    <w:p w14:paraId="6D58FFDC">
      <w:pPr>
        <w:rPr>
          <w:rFonts w:hint="default"/>
          <w:lang w:val="en-US" w:eastAsia="zh-CN"/>
        </w:rPr>
      </w:pPr>
    </w:p>
    <w:p w14:paraId="6C710473">
      <w:pPr>
        <w:pStyle w:val="1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outlineLvl w:val="2"/>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1、 具备三证合一营业执照副本；</w:t>
      </w:r>
    </w:p>
    <w:p w14:paraId="5F6981F5">
      <w:pPr>
        <w:pStyle w:val="24"/>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jc w:val="center"/>
        <w:rPr>
          <w:rFonts w:hint="eastAsia" w:ascii="仿宋" w:hAnsi="仿宋" w:eastAsia="仿宋" w:cs="仿宋"/>
          <w:b/>
          <w:color w:val="auto"/>
          <w:sz w:val="24"/>
          <w:highlight w:val="none"/>
        </w:rPr>
      </w:pPr>
    </w:p>
    <w:p w14:paraId="27ED4F1F">
      <w:pPr>
        <w:pStyle w:val="24"/>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仿宋" w:hAnsi="仿宋" w:eastAsia="仿宋" w:cs="仿宋"/>
          <w:b/>
          <w:color w:val="auto"/>
          <w:sz w:val="24"/>
          <w:highlight w:val="none"/>
        </w:rPr>
      </w:pPr>
    </w:p>
    <w:p w14:paraId="518D8E9F">
      <w:pPr>
        <w:pStyle w:val="24"/>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仿宋" w:hAnsi="仿宋" w:eastAsia="仿宋" w:cs="仿宋"/>
          <w:b/>
          <w:color w:val="auto"/>
          <w:sz w:val="24"/>
          <w:highlight w:val="none"/>
        </w:rPr>
      </w:pPr>
    </w:p>
    <w:p w14:paraId="36BFE32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30042569">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DB6FBB3">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6075A70F">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629D8398">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5257B6BB">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1BA734B">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064C373C">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5A555288">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888DC36">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37ACC3EE">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1F5715C2">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6D097059">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7A8E64E5">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66FB1115">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6401D8F">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38D8AECD">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56D20C44">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379F32C3">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501AF22C">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79D91A2D">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C16D17D">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66E8DC3F">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626855CC">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highlight w:val="none"/>
          <w:lang w:val="en-US" w:eastAsia="zh-CN"/>
        </w:rPr>
      </w:pPr>
    </w:p>
    <w:p w14:paraId="399EB79E">
      <w:pPr>
        <w:pStyle w:val="27"/>
        <w:rPr>
          <w:rFonts w:hint="eastAsia"/>
          <w:color w:val="auto"/>
          <w:highlight w:val="none"/>
          <w:lang w:val="en-US" w:eastAsia="zh-CN"/>
        </w:rPr>
      </w:pPr>
    </w:p>
    <w:p w14:paraId="1EB92844">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5DFBEEC7">
      <w:pPr>
        <w:pStyle w:val="1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center"/>
        <w:textAlignment w:val="auto"/>
        <w:outlineLvl w:val="2"/>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2、</w:t>
      </w:r>
      <w:r>
        <w:rPr>
          <w:rFonts w:hint="eastAsia" w:ascii="仿宋" w:hAnsi="仿宋" w:eastAsia="仿宋" w:cs="仿宋"/>
          <w:b/>
          <w:bCs/>
          <w:color w:val="auto"/>
          <w:sz w:val="36"/>
          <w:szCs w:val="36"/>
          <w:highlight w:val="none"/>
        </w:rPr>
        <w:t>法定代表人身份证明</w:t>
      </w:r>
    </w:p>
    <w:p w14:paraId="5CC4B8C1">
      <w:pPr>
        <w:pStyle w:val="4"/>
        <w:outlineLvl w:val="9"/>
        <w:rPr>
          <w:rFonts w:hint="eastAsia"/>
          <w:color w:val="auto"/>
          <w:highlight w:val="none"/>
        </w:rPr>
      </w:pPr>
    </w:p>
    <w:p w14:paraId="17BAEA65">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投标单位名称：</w:t>
      </w:r>
      <w:r>
        <w:rPr>
          <w:rFonts w:hint="eastAsia" w:ascii="仿宋" w:hAnsi="仿宋" w:eastAsia="仿宋" w:cs="仿宋"/>
          <w:color w:val="auto"/>
          <w:kern w:val="0"/>
          <w:sz w:val="24"/>
          <w:highlight w:val="none"/>
          <w:u w:val="single"/>
        </w:rPr>
        <w:t xml:space="preserve">                       </w:t>
      </w:r>
    </w:p>
    <w:p w14:paraId="4F7FC91B">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单位性质：</w:t>
      </w:r>
      <w:r>
        <w:rPr>
          <w:rFonts w:hint="eastAsia" w:ascii="仿宋" w:hAnsi="仿宋" w:eastAsia="仿宋" w:cs="仿宋"/>
          <w:color w:val="auto"/>
          <w:kern w:val="0"/>
          <w:sz w:val="24"/>
          <w:highlight w:val="none"/>
          <w:u w:val="single"/>
        </w:rPr>
        <w:t xml:space="preserve">                           </w:t>
      </w:r>
    </w:p>
    <w:p w14:paraId="032BCF53">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p>
    <w:p w14:paraId="6042A97E">
      <w:pPr>
        <w:spacing w:line="420" w:lineRule="exact"/>
        <w:ind w:firstLine="49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成立时间：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42F5BFA9">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经营期限：</w:t>
      </w:r>
      <w:r>
        <w:rPr>
          <w:rFonts w:hint="eastAsia" w:ascii="仿宋" w:hAnsi="仿宋" w:eastAsia="仿宋" w:cs="仿宋"/>
          <w:color w:val="auto"/>
          <w:kern w:val="0"/>
          <w:sz w:val="24"/>
          <w:highlight w:val="none"/>
          <w:u w:val="single"/>
        </w:rPr>
        <w:t xml:space="preserve">             </w:t>
      </w:r>
    </w:p>
    <w:p w14:paraId="6D8659D3">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性别：</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年龄：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职务：</w:t>
      </w:r>
      <w:r>
        <w:rPr>
          <w:rFonts w:hint="eastAsia" w:ascii="仿宋" w:hAnsi="仿宋" w:eastAsia="仿宋" w:cs="仿宋"/>
          <w:color w:val="auto"/>
          <w:kern w:val="0"/>
          <w:sz w:val="24"/>
          <w:highlight w:val="none"/>
          <w:u w:val="single"/>
        </w:rPr>
        <w:t xml:space="preserve">           </w:t>
      </w:r>
    </w:p>
    <w:p w14:paraId="24F64FC5">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身份证号码：</w:t>
      </w:r>
      <w:r>
        <w:rPr>
          <w:rFonts w:hint="eastAsia" w:ascii="仿宋" w:hAnsi="仿宋" w:eastAsia="仿宋" w:cs="仿宋"/>
          <w:color w:val="auto"/>
          <w:kern w:val="0"/>
          <w:sz w:val="24"/>
          <w:highlight w:val="none"/>
          <w:u w:val="single"/>
        </w:rPr>
        <w:t xml:space="preserve">                                  </w:t>
      </w:r>
    </w:p>
    <w:p w14:paraId="50A012EF">
      <w:pPr>
        <w:spacing w:line="420" w:lineRule="exact"/>
        <w:ind w:firstLine="49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（投标单位名称）的法定代表人。</w:t>
      </w:r>
    </w:p>
    <w:p w14:paraId="5F991B1B">
      <w:pPr>
        <w:spacing w:line="420" w:lineRule="exact"/>
        <w:ind w:firstLine="980" w:firstLineChars="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14:paraId="29B0543A">
      <w:pPr>
        <w:pStyle w:val="19"/>
        <w:numPr>
          <w:ilvl w:val="0"/>
          <w:numId w:val="0"/>
        </w:numPr>
        <w:kinsoku w:val="0"/>
        <w:overflowPunct w:val="0"/>
        <w:ind w:leftChars="0" w:right="0" w:rightChars="0"/>
        <w:rPr>
          <w:rFonts w:hint="eastAsia" w:ascii="仿宋" w:hAnsi="仿宋" w:eastAsia="仿宋" w:cs="仿宋"/>
          <w:color w:val="auto"/>
          <w:sz w:val="20"/>
          <w:szCs w:val="20"/>
          <w:highlight w:val="none"/>
        </w:rPr>
      </w:pPr>
    </w:p>
    <w:p w14:paraId="10E8A4D8">
      <w:pPr>
        <w:pStyle w:val="19"/>
        <w:numPr>
          <w:ilvl w:val="0"/>
          <w:numId w:val="0"/>
        </w:numPr>
        <w:kinsoku w:val="0"/>
        <w:overflowPunct w:val="0"/>
        <w:spacing w:before="7"/>
        <w:ind w:leftChars="0" w:right="0" w:rightChars="0"/>
        <w:rPr>
          <w:rFonts w:hint="eastAsia" w:ascii="仿宋" w:hAnsi="仿宋" w:eastAsia="仿宋" w:cs="仿宋"/>
          <w:color w:val="auto"/>
          <w:sz w:val="25"/>
          <w:szCs w:val="25"/>
          <w:highlight w:val="none"/>
        </w:rPr>
      </w:pPr>
    </w:p>
    <w:p w14:paraId="180A85D4">
      <w:pPr>
        <w:pStyle w:val="19"/>
        <w:numPr>
          <w:ilvl w:val="0"/>
          <w:numId w:val="0"/>
        </w:numPr>
        <w:kinsoku w:val="0"/>
        <w:overflowPunct w:val="0"/>
        <w:spacing w:line="200" w:lineRule="atLeast"/>
        <w:ind w:right="0" w:right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mc:AlternateContent>
          <mc:Choice Requires="wpg">
            <w:drawing>
              <wp:inline distT="0" distB="0" distL="0" distR="0">
                <wp:extent cx="5196205" cy="1461770"/>
                <wp:effectExtent l="0" t="3175" r="24130" b="1905"/>
                <wp:docPr id="1027" name="组合 34"/>
                <wp:cNvGraphicFramePr/>
                <a:graphic xmlns:a="http://schemas.openxmlformats.org/drawingml/2006/main">
                  <a:graphicData uri="http://schemas.microsoft.com/office/word/2010/wordprocessingGroup">
                    <wpg:wgp>
                      <wpg:cNvGrpSpPr/>
                      <wpg:grpSpPr>
                        <a:xfrm rot="0">
                          <a:off x="0" y="0"/>
                          <a:ext cx="5196205" cy="1461770"/>
                          <a:chOff x="4" y="4"/>
                          <a:chExt cx="8183" cy="2302"/>
                        </a:xfrm>
                        <a:effectLst/>
                      </wpg:grpSpPr>
                      <wps:wsp>
                        <wps:cNvPr id="1" name="任意多边形 1"/>
                        <wps:cNvSpPr/>
                        <wps:spPr>
                          <a:xfrm>
                            <a:off x="4" y="9"/>
                            <a:ext cx="8079" cy="20"/>
                          </a:xfrm>
                          <a:custGeom>
                            <a:avLst/>
                            <a:gdLst/>
                            <a:ahLst/>
                            <a:cxnLst/>
                            <a:rect l="l" t="t" r="r" b="b"/>
                            <a:pathLst>
                              <a:path w="8079" h="20">
                                <a:moveTo>
                                  <a:pt x="0" y="0"/>
                                </a:moveTo>
                                <a:lnTo>
                                  <a:pt x="8078" y="0"/>
                                </a:lnTo>
                              </a:path>
                            </a:pathLst>
                          </a:custGeom>
                          <a:solidFill>
                            <a:srgbClr val="CCE8CF"/>
                          </a:solidFill>
                          <a:ln>
                            <a:noFill/>
                          </a:ln>
                          <a:effectLst/>
                        </wps:spPr>
                        <wps:bodyPr vert="horz" wrap="square" anchor="t" anchorCtr="0"/>
                      </wps:wsp>
                      <wps:wsp>
                        <wps:cNvPr id="2" name="任意多边形 2"/>
                        <wps:cNvSpPr/>
                        <wps:spPr>
                          <a:xfrm>
                            <a:off x="24" y="28"/>
                            <a:ext cx="8041" cy="20"/>
                          </a:xfrm>
                          <a:custGeom>
                            <a:avLst/>
                            <a:gdLst/>
                            <a:ahLst/>
                            <a:cxnLst/>
                            <a:rect l="l" t="t" r="r" b="b"/>
                            <a:pathLst>
                              <a:path w="8041" h="20">
                                <a:moveTo>
                                  <a:pt x="0" y="0"/>
                                </a:moveTo>
                                <a:lnTo>
                                  <a:pt x="8040" y="0"/>
                                </a:lnTo>
                              </a:path>
                            </a:pathLst>
                          </a:custGeom>
                          <a:solidFill>
                            <a:srgbClr val="CCE8CF"/>
                          </a:solidFill>
                          <a:ln>
                            <a:noFill/>
                          </a:ln>
                          <a:effectLst/>
                        </wps:spPr>
                        <wps:bodyPr vert="horz" wrap="square" anchor="t" anchorCtr="0"/>
                      </wps:wsp>
                      <wps:wsp>
                        <wps:cNvPr id="3" name="任意多边形 3"/>
                        <wps:cNvSpPr/>
                        <wps:spPr>
                          <a:xfrm>
                            <a:off x="24" y="2267"/>
                            <a:ext cx="8041" cy="20"/>
                          </a:xfrm>
                          <a:custGeom>
                            <a:avLst/>
                            <a:gdLst/>
                            <a:ahLst/>
                            <a:cxnLst/>
                            <a:rect l="l" t="t" r="r" b="b"/>
                            <a:pathLst>
                              <a:path w="8041" h="20">
                                <a:moveTo>
                                  <a:pt x="0" y="0"/>
                                </a:moveTo>
                                <a:lnTo>
                                  <a:pt x="8040" y="0"/>
                                </a:lnTo>
                              </a:path>
                            </a:pathLst>
                          </a:custGeom>
                          <a:solidFill>
                            <a:srgbClr val="CCE8CF"/>
                          </a:solidFill>
                          <a:ln>
                            <a:noFill/>
                          </a:ln>
                          <a:effectLst/>
                        </wps:spPr>
                        <wps:bodyPr vert="horz" wrap="square" anchor="t" anchorCtr="0"/>
                      </wps:wsp>
                      <wps:wsp>
                        <wps:cNvPr id="4" name="任意多边形 4"/>
                        <wps:cNvSpPr/>
                        <wps:spPr>
                          <a:xfrm>
                            <a:off x="4" y="2286"/>
                            <a:ext cx="8079" cy="20"/>
                          </a:xfrm>
                          <a:custGeom>
                            <a:avLst/>
                            <a:gdLst/>
                            <a:ahLst/>
                            <a:cxnLst/>
                            <a:rect l="l" t="t" r="r" b="b"/>
                            <a:pathLst>
                              <a:path w="8079" h="20">
                                <a:moveTo>
                                  <a:pt x="0" y="0"/>
                                </a:moveTo>
                                <a:lnTo>
                                  <a:pt x="8078" y="0"/>
                                </a:lnTo>
                              </a:path>
                            </a:pathLst>
                          </a:custGeom>
                          <a:solidFill>
                            <a:srgbClr val="CCE8CF"/>
                          </a:solidFill>
                          <a:ln>
                            <a:noFill/>
                          </a:ln>
                          <a:effectLst/>
                        </wps:spPr>
                        <wps:bodyPr vert="horz" wrap="square" anchor="t" anchorCtr="0"/>
                      </wps:wsp>
                      <wps:wsp>
                        <wps:cNvPr id="5" name="任意多边形 5"/>
                        <wps:cNvSpPr/>
                        <wps:spPr>
                          <a:xfrm>
                            <a:off x="9" y="4"/>
                            <a:ext cx="20" cy="2287"/>
                          </a:xfrm>
                          <a:custGeom>
                            <a:avLst/>
                            <a:gdLst/>
                            <a:ahLst/>
                            <a:cxnLst/>
                            <a:rect l="l" t="t" r="r" b="b"/>
                            <a:pathLst>
                              <a:path w="20" h="2287">
                                <a:moveTo>
                                  <a:pt x="0" y="0"/>
                                </a:moveTo>
                                <a:lnTo>
                                  <a:pt x="0" y="2286"/>
                                </a:lnTo>
                              </a:path>
                            </a:pathLst>
                          </a:custGeom>
                          <a:solidFill>
                            <a:srgbClr val="CCE8CF"/>
                          </a:solidFill>
                          <a:ln>
                            <a:noFill/>
                          </a:ln>
                          <a:effectLst/>
                        </wps:spPr>
                        <wps:bodyPr vert="horz" wrap="square" anchor="t" anchorCtr="0"/>
                      </wps:wsp>
                      <wps:wsp>
                        <wps:cNvPr id="6" name="任意多边形 6"/>
                        <wps:cNvSpPr/>
                        <wps:spPr>
                          <a:xfrm>
                            <a:off x="28" y="24"/>
                            <a:ext cx="20" cy="2249"/>
                          </a:xfrm>
                          <a:custGeom>
                            <a:avLst/>
                            <a:gdLst/>
                            <a:ahLst/>
                            <a:cxnLst/>
                            <a:rect l="l" t="t" r="r" b="b"/>
                            <a:pathLst>
                              <a:path w="20" h="2249">
                                <a:moveTo>
                                  <a:pt x="0" y="0"/>
                                </a:moveTo>
                                <a:lnTo>
                                  <a:pt x="0" y="2248"/>
                                </a:lnTo>
                              </a:path>
                            </a:pathLst>
                          </a:custGeom>
                          <a:solidFill>
                            <a:srgbClr val="CCE8CF"/>
                          </a:solidFill>
                          <a:ln>
                            <a:noFill/>
                          </a:ln>
                          <a:effectLst/>
                        </wps:spPr>
                        <wps:bodyPr vert="horz" wrap="square" anchor="t" anchorCtr="0"/>
                      </wps:wsp>
                      <wps:wsp>
                        <wps:cNvPr id="7" name="任意多边形 7"/>
                        <wps:cNvSpPr/>
                        <wps:spPr>
                          <a:xfrm>
                            <a:off x="4034" y="24"/>
                            <a:ext cx="20" cy="2239"/>
                          </a:xfrm>
                          <a:custGeom>
                            <a:avLst/>
                            <a:gdLst/>
                            <a:ahLst/>
                            <a:cxnLst/>
                            <a:rect l="l" t="t" r="r" b="b"/>
                            <a:pathLst>
                              <a:path w="20" h="2239">
                                <a:moveTo>
                                  <a:pt x="0" y="0"/>
                                </a:moveTo>
                                <a:lnTo>
                                  <a:pt x="0" y="2238"/>
                                </a:lnTo>
                              </a:path>
                            </a:pathLst>
                          </a:custGeom>
                          <a:solidFill>
                            <a:srgbClr val="CCE8CF"/>
                          </a:solidFill>
                          <a:ln>
                            <a:noFill/>
                          </a:ln>
                          <a:effectLst/>
                        </wps:spPr>
                        <wps:bodyPr vert="horz" wrap="square" anchor="t" anchorCtr="0"/>
                      </wps:wsp>
                      <wps:wsp>
                        <wps:cNvPr id="8" name="任意多边形 8"/>
                        <wps:cNvSpPr/>
                        <wps:spPr>
                          <a:xfrm>
                            <a:off x="4053" y="24"/>
                            <a:ext cx="20" cy="2239"/>
                          </a:xfrm>
                          <a:custGeom>
                            <a:avLst/>
                            <a:gdLst/>
                            <a:ahLst/>
                            <a:cxnLst/>
                            <a:rect l="l" t="t" r="r" b="b"/>
                            <a:pathLst>
                              <a:path w="20" h="2239">
                                <a:moveTo>
                                  <a:pt x="0" y="0"/>
                                </a:moveTo>
                                <a:lnTo>
                                  <a:pt x="0" y="2238"/>
                                </a:lnTo>
                              </a:path>
                            </a:pathLst>
                          </a:custGeom>
                          <a:solidFill>
                            <a:srgbClr val="CCE8CF"/>
                          </a:solidFill>
                          <a:ln>
                            <a:noFill/>
                          </a:ln>
                          <a:effectLst/>
                        </wps:spPr>
                        <wps:bodyPr vert="horz" wrap="square" anchor="t" anchorCtr="0"/>
                      </wps:wsp>
                      <wps:wsp>
                        <wps:cNvPr id="9" name="任意多边形 9"/>
                        <wps:cNvSpPr/>
                        <wps:spPr>
                          <a:xfrm>
                            <a:off x="8059" y="33"/>
                            <a:ext cx="20" cy="2239"/>
                          </a:xfrm>
                          <a:custGeom>
                            <a:avLst/>
                            <a:gdLst/>
                            <a:ahLst/>
                            <a:cxnLst/>
                            <a:rect l="l" t="t" r="r" b="b"/>
                            <a:pathLst>
                              <a:path w="20" h="2239">
                                <a:moveTo>
                                  <a:pt x="0" y="0"/>
                                </a:moveTo>
                                <a:lnTo>
                                  <a:pt x="0" y="2238"/>
                                </a:lnTo>
                              </a:path>
                            </a:pathLst>
                          </a:custGeom>
                          <a:solidFill>
                            <a:srgbClr val="CCE8CF"/>
                          </a:solidFill>
                          <a:ln>
                            <a:noFill/>
                          </a:ln>
                          <a:effectLst/>
                        </wps:spPr>
                        <wps:bodyPr vert="horz" wrap="square" anchor="t" anchorCtr="0"/>
                      </wps:wsp>
                      <wps:wsp>
                        <wps:cNvPr id="10" name="任意多边形 10"/>
                        <wps:cNvSpPr/>
                        <wps:spPr>
                          <a:xfrm>
                            <a:off x="8078" y="14"/>
                            <a:ext cx="20" cy="2278"/>
                          </a:xfrm>
                          <a:custGeom>
                            <a:avLst/>
                            <a:gdLst/>
                            <a:ahLst/>
                            <a:cxnLst/>
                            <a:rect l="l" t="t" r="r" b="b"/>
                            <a:pathLst>
                              <a:path w="20" h="2278">
                                <a:moveTo>
                                  <a:pt x="0" y="0"/>
                                </a:moveTo>
                                <a:lnTo>
                                  <a:pt x="0" y="2277"/>
                                </a:lnTo>
                              </a:path>
                            </a:pathLst>
                          </a:custGeom>
                          <a:solidFill>
                            <a:srgbClr val="CCE8CF"/>
                          </a:solidFill>
                          <a:ln>
                            <a:noFill/>
                          </a:ln>
                          <a:effectLst/>
                        </wps:spPr>
                        <wps:bodyPr vert="horz" wrap="square" anchor="t" anchorCtr="0"/>
                      </wps:wsp>
                      <wps:wsp>
                        <wps:cNvPr id="11" name="矩形 11"/>
                        <wps:cNvSpPr/>
                        <wps:spPr>
                          <a:xfrm>
                            <a:off x="838" y="19"/>
                            <a:ext cx="7349" cy="2258"/>
                          </a:xfrm>
                          <a:prstGeom prst="rect">
                            <a:avLst/>
                          </a:prstGeom>
                          <a:noFill/>
                          <a:ln w="25400" cap="flat" cmpd="sng">
                            <a:solidFill>
                              <a:srgbClr val="000000"/>
                            </a:solidFill>
                            <a:prstDash val="solid"/>
                            <a:round/>
                          </a:ln>
                          <a:effectLst/>
                        </wps:spPr>
                        <wps:txbx>
                          <w:txbxContent>
                            <w:p w14:paraId="1C859DBA">
                              <w:pPr>
                                <w:pStyle w:val="19"/>
                                <w:numPr>
                                  <w:ilvl w:val="0"/>
                                  <w:numId w:val="0"/>
                                </w:numPr>
                                <w:kinsoku w:val="0"/>
                                <w:overflowPunct w:val="0"/>
                                <w:spacing w:before="13"/>
                                <w:ind w:leftChars="0" w:right="0" w:rightChars="0"/>
                                <w:rPr>
                                  <w:rFonts w:hint="eastAsia"/>
                                  <w:sz w:val="28"/>
                                  <w:szCs w:val="28"/>
                                </w:rPr>
                              </w:pPr>
                            </w:p>
                            <w:p w14:paraId="73DFB075">
                              <w:pPr>
                                <w:pStyle w:val="1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vert="horz" wrap="square" lIns="0" tIns="0" rIns="0" bIns="0" anchor="t" anchorCtr="0" upright="1"/>
                      </wps:wsp>
                    </wpg:wgp>
                  </a:graphicData>
                </a:graphic>
              </wp:inline>
            </w:drawing>
          </mc:Choice>
          <mc:Fallback>
            <w:pict>
              <v:group id="组合 34" o:spid="_x0000_s1026" o:spt="203" style="height:115.1pt;width:409.15pt;" coordorigin="4,4" coordsize="8183,2302" o:gfxdata="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Cd6zWk1gAAAAUBAAAPAAAAAAAAAAEAIAAAACIAAABkcnMvZG93bnJldi54&#10;bWxQSwECFAAUAAAACACHTuJAymotmKgEAADyHQAADgAAAAAAAAABACAAAAAlAQAAZHJzL2Uyb0Rv&#10;Yy54bWxQSwUGAAAAAAYABgBZAQAAPwgAAAAA&#10;">
                <o:lock v:ext="edit" aspectratio="f"/>
                <v:shape id="_x0000_s1026" o:spid="_x0000_s1026" o:spt="100" style="position:absolute;left:4;top:9;height:20;width:8079;" fillcolor="#CCE8CF" filled="t" stroked="f" coordsize="8079,20" o:gfxdata="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iN6atwAAANoAAAAP&#10;AAAAAAAAAAEAIAAAACIAAABkcnMvZG93bnJldi54bWxQSwECFAAUAAAACACHTuJAMy8FnjsAAAA5&#10;AAAAEAAAAAAAAAABACAAAAAGAQAAZHJzL3NoYXBleG1sLnhtbFBLBQYAAAAABgAGAFsBAACwAwAA&#10;AAA=&#10;" path="m0,0l8078,0e">
                  <v:fill on="t" focussize="0,0"/>
                  <v:stroke on="f"/>
                  <v:imagedata o:title=""/>
                  <o:lock v:ext="edit" aspectratio="f"/>
                </v:shape>
                <v:shape id="_x0000_s1026" o:spid="_x0000_s1026" o:spt="100" style="position:absolute;left:24;top:28;height:20;width:8041;" fillcolor="#CCE8CF" filled="t" stroked="f" coordsize="8041,20" o:gfxdata="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f6we8AAAA&#10;2gAAAA8AAAAAAAAAAQAgAAAAIgAAAGRycy9kb3ducmV2LnhtbFBLAQIUABQAAAAIAIdO4kAzLwWe&#10;OwAAADkAAAAQAAAAAAAAAAEAIAAAAAsBAABkcnMvc2hhcGV4bWwueG1sUEsFBgAAAAAGAAYAWwEA&#10;ALUDAAAAAA==&#10;" path="m0,0l8040,0e">
                  <v:fill on="t" focussize="0,0"/>
                  <v:stroke on="f"/>
                  <v:imagedata o:title=""/>
                  <o:lock v:ext="edit" aspectratio="f"/>
                </v:shape>
                <v:shape id="_x0000_s1026" o:spid="_x0000_s1026" o:spt="100" style="position:absolute;left:24;top:2267;height:20;width:8041;" fillcolor="#CCE8CF" filled="t" stroked="f" coordsize="8041,20" o:gfxdata="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NOnLsAAADa&#10;AAAADwAAAAAAAAABACAAAAAiAAAAZHJzL2Rvd25yZXYueG1sUEsBAhQAFAAAAAgAh07iQDMvBZ47&#10;AAAAOQAAABAAAAAAAAAAAQAgAAAACgEAAGRycy9zaGFwZXhtbC54bWxQSwUGAAAAAAYABgBbAQAA&#10;tAMAAAAA&#10;" path="m0,0l8040,0e">
                  <v:fill on="t" focussize="0,0"/>
                  <v:stroke on="f"/>
                  <v:imagedata o:title=""/>
                  <o:lock v:ext="edit" aspectratio="f"/>
                </v:shape>
                <v:shape id="_x0000_s1026" o:spid="_x0000_s1026" o:spt="100" style="position:absolute;left:4;top:2286;height:20;width:8079;" fillcolor="#CCE8CF" filled="t" stroked="f" coordsize="8079,20" o:gfxdata="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99ArsAAADa&#10;AAAADwAAAAAAAAABACAAAAAiAAAAZHJzL2Rvd25yZXYueG1sUEsBAhQAFAAAAAgAh07iQDMvBZ47&#10;AAAAOQAAABAAAAAAAAAAAQAgAAAACgEAAGRycy9zaGFwZXhtbC54bWxQSwUGAAAAAAYABgBbAQAA&#10;tAMAAAAA&#10;" path="m0,0l8078,0e">
                  <v:fill on="t" focussize="0,0"/>
                  <v:stroke on="f"/>
                  <v:imagedata o:title=""/>
                  <o:lock v:ext="edit" aspectratio="f"/>
                </v:shape>
                <v:shape id="_x0000_s1026" o:spid="_x0000_s1026" o:spt="100" style="position:absolute;left:9;top:4;height:2287;width:20;" fillcolor="#CCE8CF" filled="t" stroked="f" coordsize="20,2287" o:gfxdata="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KrrsAAADa&#10;AAAADwAAAAAAAAABACAAAAAiAAAAZHJzL2Rvd25yZXYueG1sUEsBAhQAFAAAAAgAh07iQDMvBZ47&#10;AAAAOQAAABAAAAAAAAAAAQAgAAAACgEAAGRycy9zaGFwZXhtbC54bWxQSwUGAAAAAAYABgBbAQAA&#10;tAMAAAAA&#10;" path="m0,0l0,2286e">
                  <v:fill on="t" focussize="0,0"/>
                  <v:stroke on="f"/>
                  <v:imagedata o:title=""/>
                  <o:lock v:ext="edit" aspectratio="f"/>
                </v:shape>
                <v:shape id="_x0000_s1026" o:spid="_x0000_s1026" o:spt="100" style="position:absolute;left:28;top:24;height:2249;width:20;" fillcolor="#CCE8CF" filled="t" stroked="f" coordsize="20,2249" o:gfxdata="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Plj28AAAA&#10;2gAAAA8AAAAAAAAAAQAgAAAAIgAAAGRycy9kb3ducmV2LnhtbFBLAQIUABQAAAAIAIdO4kAzLwWe&#10;OwAAADkAAAAQAAAAAAAAAAEAIAAAAAsBAABkcnMvc2hhcGV4bWwueG1sUEsFBgAAAAAGAAYAWwEA&#10;ALUDAAAAAA==&#10;" path="m0,0l0,2248e">
                  <v:fill on="t" focussize="0,0"/>
                  <v:stroke on="f"/>
                  <v:imagedata o:title=""/>
                  <o:lock v:ext="edit" aspectratio="f"/>
                </v:shape>
                <v:shape id="_x0000_s1026" o:spid="_x0000_s1026" o:spt="100" style="position:absolute;left:4034;top:24;height:2239;width:20;" fillcolor="#CCE8CF" filled="t" stroked="f" coordsize="20,2239" o:gfxdata="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Lic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4053;top:24;height:2239;width:20;" fillcolor="#CCE8CF" filled="t" stroked="f" coordsize="20,2239" o:gfxdata="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08s7rgAAADaAAAA&#10;DwAAAAAAAAABACAAAAAiAAAAZHJzL2Rvd25yZXYueG1sUEsBAhQAFAAAAAgAh07iQDMvBZ47AAAA&#10;OQAAABAAAAAAAAAAAQAgAAAABwEAAGRycy9zaGFwZXhtbC54bWxQSwUGAAAAAAYABgBbAQAAsQMA&#10;AAAA&#10;" path="m0,0l0,2238e">
                  <v:fill on="t" focussize="0,0"/>
                  <v:stroke on="f"/>
                  <v:imagedata o:title=""/>
                  <o:lock v:ext="edit" aspectratio="f"/>
                </v:shape>
                <v:shape id="_x0000_s1026" o:spid="_x0000_s1026" o:spt="100" style="position:absolute;left:8059;top:33;height:2239;width:20;" fillcolor="#CCE8CF" filled="t" stroked="f" coordsize="20,2239" o:gfxdata="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A4l1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8078;top:14;height:2278;width:20;" fillcolor="#CCE8CF" filled="t" stroked="f" coordsize="20,2278" o:gfxdata="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EqoW/&#10;AAAA2wAAAA8AAAAAAAAAAQAgAAAAIgAAAGRycy9kb3ducmV2LnhtbFBLAQIUABQAAAAIAIdO4kAz&#10;LwWeOwAAADkAAAAQAAAAAAAAAAEAIAAAAA4BAABkcnMvc2hhcGV4bWwueG1sUEsFBgAAAAAGAAYA&#10;WwEAALgDAAAAAA==&#10;" path="m0,0l0,2277e">
                  <v:fill on="t" focussize="0,0"/>
                  <v:stroke on="f"/>
                  <v:imagedata o:title=""/>
                  <o:lock v:ext="edit" aspectratio="f"/>
                </v:shape>
                <v:rect id="_x0000_s1026" o:spid="_x0000_s1026" o:spt="1" style="position:absolute;left:838;top:19;height:2258;width:7349;" filled="f" stroked="t" coordsize="21600,21600" o:gfxdata="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f1rgAAADbAAAA&#10;DwAAAAAAAAABACAAAAAiAAAAZHJzL2Rvd25yZXYueG1sUEsBAhQAFAAAAAgAh07iQDMvBZ47AAAA&#10;OQAAABAAAAAAAAAAAQAgAAAABwEAAGRycy9zaGFwZXhtbC54bWxQSwUGAAAAAAYABgBbAQAAsQMA&#10;AAAA&#10;">
                  <v:fill on="f" focussize="0,0"/>
                  <v:stroke weight="2pt" color="#000000" joinstyle="round"/>
                  <v:imagedata o:title=""/>
                  <o:lock v:ext="edit" aspectratio="f"/>
                  <v:textbox inset="0mm,0mm,0mm,0mm">
                    <w:txbxContent>
                      <w:p w14:paraId="1C859DBA">
                        <w:pPr>
                          <w:pStyle w:val="19"/>
                          <w:numPr>
                            <w:ilvl w:val="0"/>
                            <w:numId w:val="0"/>
                          </w:numPr>
                          <w:kinsoku w:val="0"/>
                          <w:overflowPunct w:val="0"/>
                          <w:spacing w:before="13"/>
                          <w:ind w:leftChars="0" w:right="0" w:rightChars="0"/>
                          <w:rPr>
                            <w:rFonts w:hint="eastAsia"/>
                            <w:sz w:val="28"/>
                            <w:szCs w:val="28"/>
                          </w:rPr>
                        </w:pPr>
                      </w:p>
                      <w:p w14:paraId="73DFB075">
                        <w:pPr>
                          <w:pStyle w:val="1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10:wrap type="none"/>
                <w10:anchorlock/>
              </v:group>
            </w:pict>
          </mc:Fallback>
        </mc:AlternateContent>
      </w:r>
    </w:p>
    <w:p w14:paraId="0190B1D2">
      <w:pPr>
        <w:wordWrap w:val="0"/>
        <w:spacing w:line="420" w:lineRule="exact"/>
        <w:ind w:firstLine="490" w:firstLineChars="200"/>
        <w:jc w:val="right"/>
        <w:rPr>
          <w:rFonts w:hint="eastAsia" w:ascii="仿宋" w:hAnsi="仿宋" w:eastAsia="仿宋" w:cs="仿宋"/>
          <w:color w:val="auto"/>
          <w:kern w:val="0"/>
          <w:sz w:val="24"/>
          <w:highlight w:val="none"/>
        </w:rPr>
      </w:pPr>
    </w:p>
    <w:p w14:paraId="3619E289">
      <w:pPr>
        <w:spacing w:line="420" w:lineRule="exact"/>
        <w:ind w:firstLine="490" w:firstLineChars="200"/>
        <w:jc w:val="right"/>
        <w:rPr>
          <w:rFonts w:hint="eastAsia" w:ascii="仿宋" w:hAnsi="仿宋" w:eastAsia="仿宋" w:cs="仿宋"/>
          <w:color w:val="auto"/>
          <w:kern w:val="0"/>
          <w:sz w:val="24"/>
          <w:highlight w:val="none"/>
        </w:rPr>
      </w:pPr>
    </w:p>
    <w:p w14:paraId="2DBE0E30">
      <w:pPr>
        <w:pStyle w:val="35"/>
        <w:rPr>
          <w:rFonts w:hint="eastAsia" w:ascii="仿宋" w:hAnsi="仿宋" w:eastAsia="仿宋" w:cs="仿宋"/>
          <w:color w:val="auto"/>
          <w:kern w:val="0"/>
          <w:sz w:val="24"/>
          <w:highlight w:val="none"/>
        </w:rPr>
      </w:pPr>
    </w:p>
    <w:p w14:paraId="41AB67AA">
      <w:pPr>
        <w:pStyle w:val="35"/>
        <w:rPr>
          <w:rFonts w:hint="eastAsia" w:ascii="仿宋" w:hAnsi="仿宋" w:eastAsia="仿宋" w:cs="仿宋"/>
          <w:color w:val="auto"/>
          <w:kern w:val="0"/>
          <w:sz w:val="24"/>
          <w:highlight w:val="none"/>
        </w:rPr>
      </w:pPr>
    </w:p>
    <w:p w14:paraId="640D6946">
      <w:pPr>
        <w:spacing w:line="420" w:lineRule="exact"/>
        <w:ind w:firstLine="490" w:firstLineChars="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（公章）</w:t>
      </w:r>
    </w:p>
    <w:p w14:paraId="73CE645C">
      <w:pPr>
        <w:wordWrap w:val="0"/>
        <w:spacing w:line="420" w:lineRule="exact"/>
        <w:ind w:right="480" w:firstLine="490" w:firstLineChars="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日 </w:t>
      </w:r>
    </w:p>
    <w:p w14:paraId="6E38D20C">
      <w:pPr>
        <w:pStyle w:val="24"/>
        <w:shd w:val="clear" w:color="auto" w:fill="auto"/>
        <w:ind w:left="0" w:leftChars="0" w:right="210" w:rightChars="98" w:firstLine="0" w:firstLineChars="0"/>
        <w:jc w:val="center"/>
        <w:outlineLvl w:val="3"/>
        <w:rPr>
          <w:rFonts w:hint="eastAsia" w:ascii="宋体" w:hAnsi="宋体" w:eastAsia="宋体" w:cs="宋体"/>
          <w:b/>
          <w:color w:val="auto"/>
          <w:sz w:val="32"/>
          <w:highlight w:val="none"/>
        </w:rPr>
      </w:pPr>
      <w:r>
        <w:rPr>
          <w:rFonts w:hint="eastAsia" w:ascii="仿宋" w:hAnsi="仿宋" w:eastAsia="仿宋" w:cs="仿宋"/>
          <w:color w:val="auto"/>
          <w:highlight w:val="none"/>
        </w:rPr>
        <w:br w:type="page"/>
      </w:r>
      <w:r>
        <w:rPr>
          <w:rFonts w:hint="eastAsia" w:ascii="宋体" w:hAnsi="宋体" w:eastAsia="宋体" w:cs="宋体"/>
          <w:b/>
          <w:color w:val="auto"/>
          <w:sz w:val="32"/>
          <w:highlight w:val="none"/>
        </w:rPr>
        <w:t>法人授权委托书（格式）</w:t>
      </w:r>
    </w:p>
    <w:p w14:paraId="0B5CCB9E">
      <w:pPr>
        <w:pStyle w:val="24"/>
        <w:shd w:val="clear" w:color="auto" w:fill="auto"/>
        <w:ind w:left="0" w:leftChars="0" w:right="210" w:rightChars="98" w:firstLine="0" w:firstLineChars="0"/>
        <w:rPr>
          <w:rFonts w:hint="eastAsia" w:ascii="宋体" w:hAnsi="宋体" w:eastAsia="宋体" w:cs="宋体"/>
          <w:color w:val="auto"/>
          <w:highlight w:val="none"/>
        </w:rPr>
      </w:pPr>
    </w:p>
    <w:p w14:paraId="5CC6D67E">
      <w:pPr>
        <w:shd w:val="clear" w:color="auto" w:fill="auto"/>
        <w:bidi w:val="0"/>
        <w:ind w:left="0" w:leftChars="0" w:right="210" w:rightChars="98" w:firstLine="0" w:firstLineChars="0"/>
        <w:rPr>
          <w:rFonts w:hint="eastAsia" w:ascii="宋体" w:hAnsi="宋体" w:eastAsia="宋体" w:cs="宋体"/>
          <w:bCs/>
          <w:color w:val="auto"/>
          <w:sz w:val="24"/>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bCs/>
          <w:color w:val="auto"/>
          <w:sz w:val="24"/>
          <w:highlight w:val="none"/>
          <w:u w:val="single"/>
        </w:rPr>
        <w:t xml:space="preserve">                      </w:t>
      </w:r>
    </w:p>
    <w:p w14:paraId="694BBB28">
      <w:pPr>
        <w:shd w:val="clear" w:color="auto" w:fill="auto"/>
        <w:bidi w:val="0"/>
        <w:ind w:left="0" w:leftChars="0" w:right="210" w:rightChars="98" w:firstLine="0" w:firstLineChars="0"/>
        <w:rPr>
          <w:rFonts w:hint="eastAsia" w:ascii="宋体" w:hAnsi="宋体" w:eastAsia="宋体" w:cs="宋体"/>
          <w:color w:val="auto"/>
          <w:highlight w:val="none"/>
        </w:rPr>
      </w:pPr>
    </w:p>
    <w:p w14:paraId="3E7C9F8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210" w:rightChars="98"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我作为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（投标单位名称）的法定代表人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（姓名、职务），在此任命：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，代表本单位作为正式合法代表，在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项目的投标采购上授权代表公司签署</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、与采购代理机构进行谈判、签订合同及实施与此有关的一切事宜的权力。</w:t>
      </w:r>
    </w:p>
    <w:p w14:paraId="48DCCEB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210" w:rightChars="98"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本授权自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日有效。</w:t>
      </w:r>
    </w:p>
    <w:p w14:paraId="731A3E61">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78740</wp:posOffset>
                </wp:positionV>
                <wp:extent cx="2426335" cy="1292225"/>
                <wp:effectExtent l="4445" t="4445" r="7620" b="17780"/>
                <wp:wrapNone/>
                <wp:docPr id="12" name="AutoShape 2"/>
                <wp:cNvGraphicFramePr/>
                <a:graphic xmlns:a="http://schemas.openxmlformats.org/drawingml/2006/main">
                  <a:graphicData uri="http://schemas.microsoft.com/office/word/2010/wordprocessingShape">
                    <wps:wsp>
                      <wps:cNvSpPr/>
                      <wps:spPr>
                        <a:xfrm>
                          <a:off x="0" y="0"/>
                          <a:ext cx="2426335" cy="12922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732EF16">
                            <w:pPr>
                              <w:jc w:val="center"/>
                              <w:rPr>
                                <w:rFonts w:hint="eastAsia" w:hAnsi="宋体"/>
                                <w:szCs w:val="21"/>
                              </w:rPr>
                            </w:pPr>
                          </w:p>
                          <w:p w14:paraId="172E86E1">
                            <w:pPr>
                              <w:jc w:val="center"/>
                              <w:rPr>
                                <w:rFonts w:hint="eastAsia" w:hAnsi="宋体"/>
                                <w:szCs w:val="21"/>
                              </w:rPr>
                            </w:pPr>
                          </w:p>
                          <w:p w14:paraId="3B1005E3">
                            <w:pPr>
                              <w:jc w:val="center"/>
                              <w:rPr>
                                <w:rFonts w:hint="eastAsia" w:hAnsi="宋体"/>
                                <w:szCs w:val="21"/>
                              </w:rPr>
                            </w:pPr>
                          </w:p>
                          <w:p w14:paraId="064BC14A">
                            <w:pPr>
                              <w:jc w:val="center"/>
                              <w:rPr>
                                <w:szCs w:val="21"/>
                              </w:rPr>
                            </w:pPr>
                            <w:r>
                              <w:rPr>
                                <w:rFonts w:hint="eastAsia" w:hAnsi="宋体"/>
                                <w:szCs w:val="21"/>
                              </w:rPr>
                              <w:t>授权委托人身份证复印件正面</w:t>
                            </w:r>
                          </w:p>
                        </w:txbxContent>
                      </wps:txbx>
                      <wps:bodyPr wrap="square" upright="1"/>
                    </wps:wsp>
                  </a:graphicData>
                </a:graphic>
              </wp:anchor>
            </w:drawing>
          </mc:Choice>
          <mc:Fallback>
            <w:pict>
              <v:shape id="AutoShape 2" o:spid="_x0000_s1026" o:spt="176" type="#_x0000_t176" style="position:absolute;left:0pt;margin-left:3.15pt;margin-top:6.2pt;height:101.75pt;width:191.05pt;z-index:251660288;mso-width-relative:page;mso-height-relative:page;" fillcolor="#FFFFFF" filled="t" stroked="t" coordsize="21600,21600" o:gfxdata="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6B8q1gAAAAgBAAAPAAAAAAAAAAEAIAAA&#10;ACIAAABkcnMvZG93bnJldi54bWxQSwECFAAUAAAACACHTuJAhnBPOw4CAABRBAAADgAAAAAAAAAB&#10;ACAAAAAlAQAAZHJzL2Uyb0RvYy54bWxQSwUGAAAAAAYABgBZAQAApQUAAAAA&#10;">
                <v:fill on="t" focussize="0,0"/>
                <v:stroke color="#000000" joinstyle="miter"/>
                <v:imagedata o:title=""/>
                <o:lock v:ext="edit" aspectratio="f"/>
                <v:textbox>
                  <w:txbxContent>
                    <w:p w14:paraId="5732EF16">
                      <w:pPr>
                        <w:jc w:val="center"/>
                        <w:rPr>
                          <w:rFonts w:hint="eastAsia" w:hAnsi="宋体"/>
                          <w:szCs w:val="21"/>
                        </w:rPr>
                      </w:pPr>
                    </w:p>
                    <w:p w14:paraId="172E86E1">
                      <w:pPr>
                        <w:jc w:val="center"/>
                        <w:rPr>
                          <w:rFonts w:hint="eastAsia" w:hAnsi="宋体"/>
                          <w:szCs w:val="21"/>
                        </w:rPr>
                      </w:pPr>
                    </w:p>
                    <w:p w14:paraId="3B1005E3">
                      <w:pPr>
                        <w:jc w:val="center"/>
                        <w:rPr>
                          <w:rFonts w:hint="eastAsia" w:hAnsi="宋体"/>
                          <w:szCs w:val="21"/>
                        </w:rPr>
                      </w:pPr>
                    </w:p>
                    <w:p w14:paraId="064BC14A">
                      <w:pPr>
                        <w:jc w:val="center"/>
                        <w:rPr>
                          <w:szCs w:val="21"/>
                        </w:rPr>
                      </w:pPr>
                      <w:r>
                        <w:rPr>
                          <w:rFonts w:hint="eastAsia" w:hAnsi="宋体"/>
                          <w:szCs w:val="21"/>
                        </w:rPr>
                        <w:t>授权委托人身份证复印件正面</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580005" cy="1241425"/>
                <wp:effectExtent l="7620" t="7620" r="22225" b="8255"/>
                <wp:wrapNone/>
                <wp:docPr id="13" name="自选图形 32"/>
                <wp:cNvGraphicFramePr/>
                <a:graphic xmlns:a="http://schemas.openxmlformats.org/drawingml/2006/main">
                  <a:graphicData uri="http://schemas.microsoft.com/office/word/2010/wordprocessingShape">
                    <wps:wsp>
                      <wps:cNvSpPr/>
                      <wps:spPr>
                        <a:xfrm>
                          <a:off x="0" y="0"/>
                          <a:ext cx="2580005" cy="12414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0349F039">
                            <w:pPr>
                              <w:rPr>
                                <w:rFonts w:hint="eastAsia" w:hAnsi="宋体"/>
                                <w:szCs w:val="21"/>
                              </w:rPr>
                            </w:pPr>
                          </w:p>
                          <w:p w14:paraId="3EE20D0B">
                            <w:pPr>
                              <w:rPr>
                                <w:rFonts w:hint="eastAsia" w:hAnsi="宋体"/>
                                <w:szCs w:val="21"/>
                              </w:rPr>
                            </w:pPr>
                          </w:p>
                          <w:p w14:paraId="38857F91">
                            <w:pPr>
                              <w:rPr>
                                <w:rFonts w:hint="eastAsia" w:hAnsi="宋体"/>
                                <w:szCs w:val="21"/>
                              </w:rPr>
                            </w:pPr>
                          </w:p>
                          <w:p w14:paraId="47AC64DA">
                            <w:pPr>
                              <w:rPr>
                                <w:szCs w:val="21"/>
                              </w:rPr>
                            </w:pPr>
                            <w:r>
                              <w:rPr>
                                <w:rFonts w:hint="eastAsia" w:hAnsi="宋体"/>
                                <w:szCs w:val="21"/>
                              </w:rPr>
                              <w:t>授权委托人身份证复印件反面</w:t>
                            </w:r>
                          </w:p>
                          <w:p w14:paraId="5516D596"/>
                        </w:txbxContent>
                      </wps:txbx>
                      <wps:bodyPr wrap="square" upright="1"/>
                    </wps:wsp>
                  </a:graphicData>
                </a:graphic>
              </wp:anchor>
            </w:drawing>
          </mc:Choice>
          <mc:Fallback>
            <w:pict>
              <v:roundrect id="自选图形 32" o:spid="_x0000_s1026" o:spt="2" style="position:absolute;left:0pt;margin-left:239.3pt;margin-top:13.2pt;height:97.75pt;width:203.15pt;z-index:251661312;mso-width-relative:page;mso-height-relative:page;" fillcolor="#FFFFFF" filled="t" stroked="t" coordsize="21600,21600" arcsize="0.166666666666667" o:gfxdata="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X2gfbAAAACgEAAA8AAAAAAAAAAQAgAAAAIgAAAGRycy9kb3ducmV2Lnht&#10;bFBLAQIUABQAAAAIAIdO4kANCM9yLwIAAGgEAAAOAAAAAAAAAAEAIAAAACoBAABkcnMvZTJvRG9j&#10;LnhtbFBLBQYAAAAABgAGAFkBAADLBQAAAAA=&#10;">
                <v:fill on="t" focussize="0,0"/>
                <v:stroke weight="1.25pt" color="#808080" joinstyle="round"/>
                <v:imagedata o:title=""/>
                <o:lock v:ext="edit" aspectratio="f"/>
                <v:textbox>
                  <w:txbxContent>
                    <w:p w14:paraId="0349F039">
                      <w:pPr>
                        <w:rPr>
                          <w:rFonts w:hint="eastAsia" w:hAnsi="宋体"/>
                          <w:szCs w:val="21"/>
                        </w:rPr>
                      </w:pPr>
                    </w:p>
                    <w:p w14:paraId="3EE20D0B">
                      <w:pPr>
                        <w:rPr>
                          <w:rFonts w:hint="eastAsia" w:hAnsi="宋体"/>
                          <w:szCs w:val="21"/>
                        </w:rPr>
                      </w:pPr>
                    </w:p>
                    <w:p w14:paraId="38857F91">
                      <w:pPr>
                        <w:rPr>
                          <w:rFonts w:hint="eastAsia" w:hAnsi="宋体"/>
                          <w:szCs w:val="21"/>
                        </w:rPr>
                      </w:pPr>
                    </w:p>
                    <w:p w14:paraId="47AC64DA">
                      <w:pPr>
                        <w:rPr>
                          <w:szCs w:val="21"/>
                        </w:rPr>
                      </w:pPr>
                      <w:r>
                        <w:rPr>
                          <w:rFonts w:hint="eastAsia" w:hAnsi="宋体"/>
                          <w:szCs w:val="21"/>
                        </w:rPr>
                        <w:t>授权委托人身份证复印件反面</w:t>
                      </w:r>
                    </w:p>
                    <w:p w14:paraId="5516D596"/>
                  </w:txbxContent>
                </v:textbox>
              </v:roundrect>
            </w:pict>
          </mc:Fallback>
        </mc:AlternateContent>
      </w:r>
    </w:p>
    <w:p w14:paraId="1533EA2B">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76F51152">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7F08FA2B">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4EBD6615">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4CADE431">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96520</wp:posOffset>
                </wp:positionV>
                <wp:extent cx="2609850" cy="1181100"/>
                <wp:effectExtent l="7620" t="7620" r="11430" b="11430"/>
                <wp:wrapNone/>
                <wp:docPr id="15" name="自选图形 33"/>
                <wp:cNvGraphicFramePr/>
                <a:graphic xmlns:a="http://schemas.openxmlformats.org/drawingml/2006/main">
                  <a:graphicData uri="http://schemas.microsoft.com/office/word/2010/wordprocessingShape">
                    <wps:wsp>
                      <wps:cNvSpPr/>
                      <wps:spPr>
                        <a:xfrm>
                          <a:off x="0" y="0"/>
                          <a:ext cx="2609850" cy="118110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520AC23">
                            <w:pPr>
                              <w:jc w:val="center"/>
                              <w:rPr>
                                <w:rFonts w:hint="eastAsia" w:hAnsi="宋体"/>
                                <w:szCs w:val="21"/>
                              </w:rPr>
                            </w:pPr>
                            <w:r>
                              <w:rPr>
                                <w:rFonts w:hint="eastAsia" w:hAnsi="宋体"/>
                                <w:szCs w:val="21"/>
                              </w:rPr>
                              <w:t xml:space="preserve">  </w:t>
                            </w:r>
                          </w:p>
                          <w:p w14:paraId="72473AF9">
                            <w:pPr>
                              <w:jc w:val="center"/>
                              <w:rPr>
                                <w:rFonts w:hint="eastAsia" w:hAnsi="宋体"/>
                                <w:szCs w:val="21"/>
                              </w:rPr>
                            </w:pPr>
                          </w:p>
                          <w:p w14:paraId="1BBA97EA">
                            <w:pPr>
                              <w:jc w:val="center"/>
                              <w:rPr>
                                <w:rFonts w:hint="eastAsia" w:hAnsi="宋体"/>
                                <w:szCs w:val="21"/>
                              </w:rPr>
                            </w:pPr>
                          </w:p>
                          <w:p w14:paraId="2C95AFA9">
                            <w:pPr>
                              <w:jc w:val="center"/>
                              <w:rPr>
                                <w:szCs w:val="21"/>
                              </w:rPr>
                            </w:pPr>
                            <w:r>
                              <w:rPr>
                                <w:rFonts w:hint="eastAsia" w:hAnsi="宋体"/>
                                <w:szCs w:val="21"/>
                              </w:rPr>
                              <w:t>法人身份证复印件反面</w:t>
                            </w:r>
                          </w:p>
                          <w:p w14:paraId="75788299"/>
                        </w:txbxContent>
                      </wps:txbx>
                      <wps:bodyPr wrap="square" upright="1"/>
                    </wps:wsp>
                  </a:graphicData>
                </a:graphic>
              </wp:anchor>
            </w:drawing>
          </mc:Choice>
          <mc:Fallback>
            <w:pict>
              <v:roundrect id="自选图形 33" o:spid="_x0000_s1026" o:spt="2" style="position:absolute;left:0pt;margin-left:237.65pt;margin-top:7.6pt;height:93pt;width:205.5pt;z-index:251663360;mso-width-relative:page;mso-height-relative:page;" fillcolor="#FFFFFF" filled="t" stroked="t" coordsize="21600,21600" arcsize="0.166666666666667" o:gfxdata="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2/++NoAAAAKAQAADwAAAAAAAAABACAAAAAiAAAAZHJzL2Rvd25yZXYueG1s&#10;UEsBAhQAFAAAAAgAh07iQFdGT/8vAgAAaAQAAA4AAAAAAAAAAQAgAAAAKQEAAGRycy9lMm9Eb2Mu&#10;eG1sUEsFBgAAAAAGAAYAWQEAAMoFAAAAAA==&#10;">
                <v:fill on="t" focussize="0,0"/>
                <v:stroke weight="1.25pt" color="#808080" joinstyle="round"/>
                <v:imagedata o:title=""/>
                <o:lock v:ext="edit" aspectratio="f"/>
                <v:textbox>
                  <w:txbxContent>
                    <w:p w14:paraId="5520AC23">
                      <w:pPr>
                        <w:jc w:val="center"/>
                        <w:rPr>
                          <w:rFonts w:hint="eastAsia" w:hAnsi="宋体"/>
                          <w:szCs w:val="21"/>
                        </w:rPr>
                      </w:pPr>
                      <w:r>
                        <w:rPr>
                          <w:rFonts w:hint="eastAsia" w:hAnsi="宋体"/>
                          <w:szCs w:val="21"/>
                        </w:rPr>
                        <w:t xml:space="preserve">  </w:t>
                      </w:r>
                    </w:p>
                    <w:p w14:paraId="72473AF9">
                      <w:pPr>
                        <w:jc w:val="center"/>
                        <w:rPr>
                          <w:rFonts w:hint="eastAsia" w:hAnsi="宋体"/>
                          <w:szCs w:val="21"/>
                        </w:rPr>
                      </w:pPr>
                    </w:p>
                    <w:p w14:paraId="1BBA97EA">
                      <w:pPr>
                        <w:jc w:val="center"/>
                        <w:rPr>
                          <w:rFonts w:hint="eastAsia" w:hAnsi="宋体"/>
                          <w:szCs w:val="21"/>
                        </w:rPr>
                      </w:pPr>
                    </w:p>
                    <w:p w14:paraId="2C95AFA9">
                      <w:pPr>
                        <w:jc w:val="center"/>
                        <w:rPr>
                          <w:szCs w:val="21"/>
                        </w:rPr>
                      </w:pPr>
                      <w:r>
                        <w:rPr>
                          <w:rFonts w:hint="eastAsia" w:hAnsi="宋体"/>
                          <w:szCs w:val="21"/>
                        </w:rPr>
                        <w:t>法人身份证复印件反面</w:t>
                      </w:r>
                    </w:p>
                    <w:p w14:paraId="75788299"/>
                  </w:txbxContent>
                </v:textbox>
              </v:round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14600" cy="1276350"/>
                <wp:effectExtent l="7620" t="7620" r="11430" b="11430"/>
                <wp:wrapNone/>
                <wp:docPr id="14" name="自选图形 34"/>
                <wp:cNvGraphicFramePr/>
                <a:graphic xmlns:a="http://schemas.openxmlformats.org/drawingml/2006/main">
                  <a:graphicData uri="http://schemas.microsoft.com/office/word/2010/wordprocessingShape">
                    <wps:wsp>
                      <wps:cNvSpPr/>
                      <wps:spPr>
                        <a:xfrm>
                          <a:off x="0" y="0"/>
                          <a:ext cx="2514600" cy="127635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F403465">
                            <w:pPr>
                              <w:jc w:val="center"/>
                              <w:rPr>
                                <w:rFonts w:hint="eastAsia" w:hAnsi="宋体"/>
                                <w:szCs w:val="21"/>
                              </w:rPr>
                            </w:pPr>
                          </w:p>
                          <w:p w14:paraId="0B625AD8">
                            <w:pPr>
                              <w:jc w:val="center"/>
                              <w:rPr>
                                <w:rFonts w:hint="eastAsia" w:hAnsi="宋体"/>
                                <w:szCs w:val="21"/>
                              </w:rPr>
                            </w:pPr>
                          </w:p>
                          <w:p w14:paraId="59EFC3CC">
                            <w:pPr>
                              <w:jc w:val="center"/>
                              <w:rPr>
                                <w:rFonts w:hint="eastAsia" w:hAnsi="宋体"/>
                                <w:szCs w:val="21"/>
                              </w:rPr>
                            </w:pPr>
                          </w:p>
                          <w:p w14:paraId="7AF27D0C">
                            <w:pPr>
                              <w:jc w:val="center"/>
                              <w:rPr>
                                <w:szCs w:val="21"/>
                              </w:rPr>
                            </w:pPr>
                            <w:r>
                              <w:rPr>
                                <w:rFonts w:hint="eastAsia" w:hAnsi="宋体"/>
                                <w:szCs w:val="21"/>
                              </w:rPr>
                              <w:t>法人身份证复印件正面</w:t>
                            </w:r>
                          </w:p>
                          <w:p w14:paraId="2B930674"/>
                        </w:txbxContent>
                      </wps:txbx>
                      <wps:bodyPr wrap="square" upright="1"/>
                    </wps:wsp>
                  </a:graphicData>
                </a:graphic>
              </wp:anchor>
            </w:drawing>
          </mc:Choice>
          <mc:Fallback>
            <w:pict>
              <v:roundrect id="自选图形 34" o:spid="_x0000_s1026" o:spt="2" style="position:absolute;left:0pt;margin-left:-0.85pt;margin-top:2.35pt;height:100.5pt;width:198pt;z-index:251662336;mso-width-relative:page;mso-height-relative:page;" fillcolor="#FFFFFF" filled="t" stroked="t" coordsize="21600,21600" arcsize="0.166666666666667" o:gfxdata="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oSP72gAAAAgBAAAPAAAAAAAAAAEAIAAAACIAAABkcnMvZG93bnJldi54&#10;bWxQSwECFAAUAAAACACHTuJAXJEM3TECAABoBAAADgAAAAAAAAABACAAAAApAQAAZHJzL2Uyb0Rv&#10;Yy54bWxQSwUGAAAAAAYABgBZAQAAzAUAAAAA&#10;">
                <v:fill on="t" focussize="0,0"/>
                <v:stroke weight="1.25pt" color="#808080" joinstyle="round"/>
                <v:imagedata o:title=""/>
                <o:lock v:ext="edit" aspectratio="f"/>
                <v:textbox>
                  <w:txbxContent>
                    <w:p w14:paraId="6F403465">
                      <w:pPr>
                        <w:jc w:val="center"/>
                        <w:rPr>
                          <w:rFonts w:hint="eastAsia" w:hAnsi="宋体"/>
                          <w:szCs w:val="21"/>
                        </w:rPr>
                      </w:pPr>
                    </w:p>
                    <w:p w14:paraId="0B625AD8">
                      <w:pPr>
                        <w:jc w:val="center"/>
                        <w:rPr>
                          <w:rFonts w:hint="eastAsia" w:hAnsi="宋体"/>
                          <w:szCs w:val="21"/>
                        </w:rPr>
                      </w:pPr>
                    </w:p>
                    <w:p w14:paraId="59EFC3CC">
                      <w:pPr>
                        <w:jc w:val="center"/>
                        <w:rPr>
                          <w:rFonts w:hint="eastAsia" w:hAnsi="宋体"/>
                          <w:szCs w:val="21"/>
                        </w:rPr>
                      </w:pPr>
                    </w:p>
                    <w:p w14:paraId="7AF27D0C">
                      <w:pPr>
                        <w:jc w:val="center"/>
                        <w:rPr>
                          <w:szCs w:val="21"/>
                        </w:rPr>
                      </w:pPr>
                      <w:r>
                        <w:rPr>
                          <w:rFonts w:hint="eastAsia" w:hAnsi="宋体"/>
                          <w:szCs w:val="21"/>
                        </w:rPr>
                        <w:t>法人身份证复印件正面</w:t>
                      </w:r>
                    </w:p>
                    <w:p w14:paraId="2B930674"/>
                  </w:txbxContent>
                </v:textbox>
              </v:roundrect>
            </w:pict>
          </mc:Fallback>
        </mc:AlternateContent>
      </w:r>
    </w:p>
    <w:p w14:paraId="208618EF">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222CE32E">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4F8C9C69">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418E218B">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p>
    <w:p w14:paraId="3390E67B">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投标单位：（盖章）</w:t>
      </w:r>
    </w:p>
    <w:p w14:paraId="702F9013">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7887F3B4">
      <w:pPr>
        <w:shd w:val="clear" w:color="auto" w:fill="auto"/>
        <w:spacing w:line="500" w:lineRule="exact"/>
        <w:ind w:left="0" w:leftChars="0" w:right="210" w:rightChars="98"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授权代表人签字</w:t>
      </w:r>
      <w:r>
        <w:rPr>
          <w:rFonts w:hint="eastAsia" w:ascii="宋体" w:hAnsi="宋体" w:eastAsia="宋体" w:cs="宋体"/>
          <w:color w:val="auto"/>
          <w:highlight w:val="none"/>
        </w:rPr>
        <w:t xml:space="preserve">或盖章 </w:t>
      </w:r>
      <w:r>
        <w:rPr>
          <w:rFonts w:hint="eastAsia" w:ascii="宋体" w:hAnsi="宋体" w:eastAsia="宋体" w:cs="宋体"/>
          <w:color w:val="auto"/>
          <w:szCs w:val="21"/>
          <w:highlight w:val="none"/>
        </w:rPr>
        <w:t xml:space="preserve">： </w:t>
      </w:r>
    </w:p>
    <w:p w14:paraId="53BE7E8D">
      <w:pPr>
        <w:shd w:val="clear" w:color="auto" w:fill="auto"/>
        <w:bidi w:val="0"/>
        <w:ind w:left="0" w:leftChars="0" w:right="210" w:rightChars="98" w:firstLine="0" w:firstLineChars="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D05A254">
      <w:pPr>
        <w:pStyle w:val="24"/>
        <w:shd w:val="clear" w:color="auto" w:fill="auto"/>
        <w:spacing w:line="480" w:lineRule="exact"/>
        <w:ind w:left="0" w:leftChars="0" w:right="210" w:rightChars="9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说明：</w:t>
      </w:r>
    </w:p>
    <w:p w14:paraId="2DB4C065">
      <w:pPr>
        <w:pStyle w:val="24"/>
        <w:shd w:val="clear" w:color="auto" w:fill="auto"/>
        <w:spacing w:line="480" w:lineRule="exact"/>
        <w:ind w:left="0" w:leftChars="0" w:right="210" w:rightChars="9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法人授权委托书所签发的</w:t>
      </w:r>
      <w:r>
        <w:rPr>
          <w:rFonts w:hint="eastAsia" w:ascii="宋体" w:hAnsi="宋体" w:eastAsia="宋体" w:cs="宋体"/>
          <w:color w:val="auto"/>
          <w:highlight w:val="none"/>
        </w:rPr>
        <w:t>代理期限必须涵盖代理人所有签字为有效的时间。</w:t>
      </w:r>
    </w:p>
    <w:p w14:paraId="673A7585">
      <w:pPr>
        <w:pStyle w:val="24"/>
        <w:shd w:val="clear" w:color="auto" w:fill="auto"/>
        <w:spacing w:line="480" w:lineRule="exact"/>
        <w:ind w:left="0" w:leftChars="0" w:right="210" w:rightChars="9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2、委托书内容填写要明确，文字要工整清楚，涂改无效。</w:t>
      </w:r>
    </w:p>
    <w:p w14:paraId="70BD83BE">
      <w:pPr>
        <w:pStyle w:val="24"/>
        <w:shd w:val="clear" w:color="auto" w:fill="auto"/>
        <w:spacing w:line="480" w:lineRule="exact"/>
        <w:ind w:left="0" w:leftChars="0" w:right="210" w:rightChars="9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3、委托书不得转借、转让，不得买卖。</w:t>
      </w:r>
    </w:p>
    <w:p w14:paraId="2641FF5D">
      <w:pPr>
        <w:pStyle w:val="24"/>
        <w:shd w:val="clear" w:color="auto" w:fill="auto"/>
        <w:spacing w:line="440" w:lineRule="exact"/>
        <w:ind w:left="0" w:leftChars="0" w:right="210" w:rightChars="9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4、代理人根据授权范围，以委托单位的名义签订合同，并将此委托书提交给对方作为合同附件。</w:t>
      </w:r>
    </w:p>
    <w:p w14:paraId="0E97D8EF">
      <w:pPr>
        <w:pStyle w:val="19"/>
        <w:numPr>
          <w:ilvl w:val="0"/>
          <w:numId w:val="0"/>
        </w:numPr>
        <w:tabs>
          <w:tab w:val="clear" w:pos="562"/>
          <w:tab w:val="clear" w:pos="3372"/>
          <w:tab w:val="clear" w:pos="3653"/>
        </w:tabs>
        <w:kinsoku w:val="0"/>
        <w:overflowPunct w:val="0"/>
        <w:adjustRightInd w:val="0"/>
        <w:snapToGrid w:val="0"/>
        <w:spacing w:line="360" w:lineRule="auto"/>
        <w:ind w:leftChars="50" w:right="238" w:rightChars="0" w:firstLine="2460" w:firstLineChars="1200"/>
        <w:jc w:val="both"/>
        <w:rPr>
          <w:rFonts w:hint="eastAsia" w:ascii="仿宋" w:hAnsi="仿宋" w:eastAsia="仿宋" w:cs="仿宋"/>
          <w:color w:val="auto"/>
          <w:sz w:val="20"/>
          <w:highlight w:val="none"/>
        </w:rPr>
      </w:pPr>
    </w:p>
    <w:p w14:paraId="280670C8">
      <w:pPr>
        <w:pStyle w:val="3"/>
        <w:numPr>
          <w:ilvl w:val="0"/>
          <w:numId w:val="0"/>
        </w:numPr>
        <w:shd w:val="clear" w:color="auto" w:fill="auto"/>
        <w:tabs>
          <w:tab w:val="left" w:pos="540"/>
        </w:tabs>
        <w:spacing w:before="0" w:line="240" w:lineRule="atLeast"/>
        <w:jc w:val="center"/>
        <w:outlineLvl w:val="2"/>
        <w:rPr>
          <w:rFonts w:hint="eastAsia" w:ascii="仿宋" w:hAnsi="仿宋" w:eastAsia="仿宋" w:cs="仿宋"/>
          <w:b/>
          <w:bCs/>
          <w:color w:val="auto"/>
          <w:spacing w:val="0"/>
          <w:w w:val="100"/>
          <w:position w:val="0"/>
          <w:sz w:val="32"/>
          <w:szCs w:val="32"/>
          <w:highlight w:val="none"/>
          <w:shd w:val="clear" w:color="auto" w:fill="auto"/>
          <w:lang w:val="en-US" w:eastAsia="en-US" w:bidi="en-US"/>
        </w:rPr>
      </w:pPr>
      <w:r>
        <w:rPr>
          <w:rFonts w:hint="eastAsia" w:ascii="仿宋" w:hAnsi="仿宋" w:eastAsia="仿宋" w:cs="仿宋"/>
          <w:b/>
          <w:bCs/>
          <w:color w:val="auto"/>
          <w:spacing w:val="0"/>
          <w:w w:val="100"/>
          <w:position w:val="0"/>
          <w:sz w:val="32"/>
          <w:szCs w:val="32"/>
          <w:highlight w:val="none"/>
          <w:shd w:val="clear" w:color="auto" w:fill="auto"/>
          <w:lang w:val="en-US" w:eastAsia="zh-CN" w:bidi="en-US"/>
        </w:rPr>
        <w:t>3、投标保证金缴纳凭证或保函等票据</w:t>
      </w:r>
    </w:p>
    <w:p w14:paraId="57600A2E">
      <w:pPr>
        <w:shd w:val="clear" w:color="auto" w:fill="auto"/>
        <w:ind w:firstLine="490" w:firstLineChars="200"/>
        <w:rPr>
          <w:rFonts w:hint="eastAsia" w:ascii="仿宋" w:hAnsi="仿宋" w:eastAsia="仿宋" w:cs="仿宋"/>
          <w:color w:val="auto"/>
          <w:sz w:val="24"/>
          <w:highlight w:val="none"/>
        </w:rPr>
      </w:pPr>
    </w:p>
    <w:p w14:paraId="28B76D9A">
      <w:pPr>
        <w:pStyle w:val="13"/>
        <w:shd w:val="clear" w:color="auto" w:fill="auto"/>
        <w:rPr>
          <w:rFonts w:hint="eastAsia" w:ascii="仿宋" w:hAnsi="仿宋" w:eastAsia="仿宋" w:cs="仿宋"/>
          <w:color w:val="auto"/>
          <w:highlight w:val="none"/>
        </w:rPr>
      </w:pPr>
    </w:p>
    <w:p w14:paraId="056761FB">
      <w:pPr>
        <w:pStyle w:val="13"/>
        <w:shd w:val="clear" w:color="auto" w:fill="auto"/>
        <w:rPr>
          <w:rFonts w:hint="eastAsia" w:ascii="仿宋" w:hAnsi="仿宋" w:eastAsia="仿宋" w:cs="仿宋"/>
          <w:color w:val="auto"/>
          <w:highlight w:val="none"/>
        </w:rPr>
      </w:pPr>
    </w:p>
    <w:p w14:paraId="123DF955">
      <w:pPr>
        <w:shd w:val="clear" w:color="auto" w:fill="auto"/>
        <w:spacing w:line="240" w:lineRule="atLeast"/>
        <w:ind w:left="1092" w:leftChars="257" w:hanging="540"/>
        <w:jc w:val="center"/>
        <w:rPr>
          <w:rFonts w:hint="eastAsia" w:ascii="仿宋" w:hAnsi="仿宋" w:eastAsia="仿宋" w:cs="仿宋"/>
          <w:color w:val="auto"/>
          <w:sz w:val="24"/>
          <w:highlight w:val="none"/>
        </w:rPr>
      </w:pPr>
    </w:p>
    <w:p w14:paraId="679364F8">
      <w:pPr>
        <w:shd w:val="clear" w:color="auto" w:fill="auto"/>
        <w:rPr>
          <w:rFonts w:hint="eastAsia" w:ascii="仿宋" w:hAnsi="仿宋" w:eastAsia="仿宋" w:cs="仿宋"/>
          <w:color w:val="auto"/>
          <w:sz w:val="28"/>
          <w:szCs w:val="28"/>
          <w:highlight w:val="none"/>
        </w:rPr>
      </w:pPr>
    </w:p>
    <w:tbl>
      <w:tblPr>
        <w:tblStyle w:val="5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643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14:paraId="7225D47D">
            <w:pPr>
              <w:shd w:val="clear" w:color="auto" w:fill="auto"/>
              <w:rPr>
                <w:rFonts w:hint="eastAsia" w:ascii="仿宋" w:hAnsi="仿宋" w:eastAsia="仿宋" w:cs="仿宋"/>
                <w:b/>
                <w:bCs/>
                <w:color w:val="auto"/>
                <w:sz w:val="30"/>
                <w:szCs w:val="30"/>
                <w:highlight w:val="none"/>
              </w:rPr>
            </w:pPr>
          </w:p>
          <w:p w14:paraId="7B0CAF80">
            <w:pPr>
              <w:shd w:val="clear" w:color="auto" w:fill="auto"/>
              <w:jc w:val="center"/>
              <w:rPr>
                <w:rFonts w:hint="eastAsia" w:ascii="仿宋" w:hAnsi="仿宋" w:eastAsia="仿宋" w:cs="仿宋"/>
                <w:b/>
                <w:bCs/>
                <w:color w:val="auto"/>
                <w:sz w:val="30"/>
                <w:szCs w:val="30"/>
                <w:highlight w:val="none"/>
                <w:lang w:eastAsia="zh-CN"/>
              </w:rPr>
            </w:pPr>
          </w:p>
          <w:p w14:paraId="325D8225">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en-US" w:eastAsia="zh-CN"/>
              </w:rPr>
              <w:t>投标保证金缴纳凭证</w:t>
            </w:r>
          </w:p>
        </w:tc>
      </w:tr>
    </w:tbl>
    <w:p w14:paraId="7CA7C271">
      <w:pPr>
        <w:pStyle w:val="13"/>
        <w:shd w:val="clear" w:color="auto" w:fill="auto"/>
        <w:rPr>
          <w:rFonts w:hint="eastAsia" w:ascii="仿宋" w:hAnsi="仿宋" w:eastAsia="仿宋" w:cs="仿宋"/>
          <w:color w:val="auto"/>
          <w:highlight w:val="none"/>
        </w:rPr>
      </w:pPr>
    </w:p>
    <w:p w14:paraId="5730BA61">
      <w:pPr>
        <w:pStyle w:val="13"/>
        <w:shd w:val="clear" w:color="auto" w:fill="auto"/>
        <w:rPr>
          <w:rFonts w:hint="eastAsia" w:ascii="仿宋" w:hAnsi="仿宋" w:eastAsia="仿宋" w:cs="仿宋"/>
          <w:color w:val="auto"/>
          <w:highlight w:val="none"/>
        </w:rPr>
      </w:pPr>
    </w:p>
    <w:p w14:paraId="3504AD4D">
      <w:pPr>
        <w:pStyle w:val="13"/>
        <w:shd w:val="clear" w:color="auto" w:fill="auto"/>
        <w:rPr>
          <w:rFonts w:hint="eastAsia" w:ascii="仿宋" w:hAnsi="仿宋" w:eastAsia="仿宋" w:cs="仿宋"/>
          <w:color w:val="auto"/>
          <w:highlight w:val="none"/>
        </w:rPr>
      </w:pPr>
    </w:p>
    <w:p w14:paraId="697C7D80">
      <w:pPr>
        <w:pStyle w:val="13"/>
        <w:shd w:val="clear" w:color="auto" w:fill="auto"/>
        <w:rPr>
          <w:rFonts w:hint="eastAsia" w:ascii="仿宋" w:hAnsi="仿宋" w:eastAsia="仿宋" w:cs="仿宋"/>
          <w:color w:val="auto"/>
          <w:highlight w:val="none"/>
        </w:rPr>
      </w:pPr>
    </w:p>
    <w:p w14:paraId="136E4F82">
      <w:pPr>
        <w:pStyle w:val="13"/>
        <w:shd w:val="clear" w:color="auto" w:fill="auto"/>
        <w:rPr>
          <w:rFonts w:hint="eastAsia" w:ascii="仿宋" w:hAnsi="仿宋" w:eastAsia="仿宋" w:cs="仿宋"/>
          <w:color w:val="auto"/>
          <w:highlight w:val="none"/>
        </w:rPr>
      </w:pPr>
    </w:p>
    <w:p w14:paraId="1545CC26">
      <w:pPr>
        <w:pStyle w:val="13"/>
        <w:shd w:val="clear" w:color="auto" w:fill="auto"/>
        <w:rPr>
          <w:rFonts w:hint="eastAsia" w:ascii="仿宋" w:hAnsi="仿宋" w:eastAsia="仿宋" w:cs="仿宋"/>
          <w:color w:val="auto"/>
          <w:highlight w:val="none"/>
        </w:rPr>
      </w:pPr>
    </w:p>
    <w:p w14:paraId="5D295140">
      <w:pPr>
        <w:rPr>
          <w:rFonts w:hint="eastAsia" w:ascii="仿宋" w:hAnsi="仿宋" w:eastAsia="仿宋" w:cs="仿宋"/>
          <w:color w:val="auto"/>
          <w:highlight w:val="none"/>
        </w:rPr>
      </w:pPr>
    </w:p>
    <w:p w14:paraId="58E7B2C5">
      <w:pPr>
        <w:pStyle w:val="4"/>
        <w:outlineLvl w:val="9"/>
        <w:rPr>
          <w:rFonts w:hint="eastAsia" w:ascii="仿宋" w:hAnsi="仿宋" w:eastAsia="仿宋" w:cs="仿宋"/>
          <w:color w:val="auto"/>
          <w:highlight w:val="none"/>
        </w:rPr>
      </w:pPr>
    </w:p>
    <w:p w14:paraId="54BC8F42">
      <w:pPr>
        <w:rPr>
          <w:rFonts w:hint="eastAsia" w:ascii="仿宋" w:hAnsi="仿宋" w:eastAsia="仿宋" w:cs="仿宋"/>
          <w:color w:val="auto"/>
          <w:highlight w:val="none"/>
        </w:rPr>
      </w:pPr>
    </w:p>
    <w:p w14:paraId="59B49675">
      <w:pPr>
        <w:rPr>
          <w:rFonts w:hint="eastAsia" w:ascii="仿宋" w:hAnsi="仿宋" w:eastAsia="仿宋" w:cs="仿宋"/>
          <w:color w:val="auto"/>
          <w:highlight w:val="none"/>
        </w:rPr>
      </w:pPr>
    </w:p>
    <w:p w14:paraId="12442F62">
      <w:pPr>
        <w:rPr>
          <w:rFonts w:hint="eastAsia" w:ascii="仿宋" w:hAnsi="仿宋" w:eastAsia="仿宋" w:cs="仿宋"/>
          <w:color w:val="auto"/>
          <w:highlight w:val="none"/>
        </w:rPr>
      </w:pPr>
    </w:p>
    <w:p w14:paraId="04EB6534">
      <w:pPr>
        <w:shd w:val="clear" w:color="auto" w:fill="auto"/>
        <w:jc w:val="center"/>
        <w:rPr>
          <w:rFonts w:hint="eastAsia" w:ascii="仿宋" w:hAnsi="仿宋" w:eastAsia="仿宋" w:cs="仿宋"/>
          <w:color w:val="auto"/>
          <w:sz w:val="28"/>
          <w:szCs w:val="28"/>
          <w:highlight w:val="none"/>
        </w:rPr>
      </w:pPr>
    </w:p>
    <w:p w14:paraId="4C28A205">
      <w:pPr>
        <w:shd w:val="clear" w:color="auto" w:fill="auto"/>
        <w:jc w:val="center"/>
        <w:rPr>
          <w:rFonts w:hint="eastAsia" w:ascii="仿宋" w:hAnsi="仿宋" w:eastAsia="仿宋" w:cs="仿宋"/>
          <w:color w:val="auto"/>
          <w:sz w:val="28"/>
          <w:szCs w:val="28"/>
          <w:highlight w:val="none"/>
        </w:rPr>
      </w:pPr>
    </w:p>
    <w:p w14:paraId="69AAD0E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3149A80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69F34DD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73E097C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5E07BFD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28039E4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4A2918B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22A1D3BC">
      <w:pPr>
        <w:ind w:left="4192" w:leftChars="200" w:hanging="3762" w:hangingChars="1750"/>
        <w:rPr>
          <w:rFonts w:hint="eastAsia" w:ascii="宋体" w:hAnsi="宋体" w:eastAsia="宋体" w:cs="宋体"/>
          <w:color w:val="auto"/>
          <w:highlight w:val="none"/>
        </w:rPr>
      </w:pPr>
    </w:p>
    <w:p w14:paraId="5A2989A4">
      <w:pPr>
        <w:shd w:val="clear" w:color="auto" w:fill="auto"/>
        <w:jc w:val="center"/>
        <w:rPr>
          <w:rFonts w:hint="eastAsia" w:ascii="仿宋" w:hAnsi="仿宋" w:eastAsia="仿宋" w:cs="仿宋"/>
          <w:b/>
          <w:bCs/>
          <w:color w:val="auto"/>
          <w:sz w:val="28"/>
          <w:szCs w:val="28"/>
          <w:highlight w:val="none"/>
        </w:rPr>
      </w:pPr>
    </w:p>
    <w:p w14:paraId="349C0C7C">
      <w:pPr>
        <w:shd w:val="clear" w:color="auto" w:fill="auto"/>
        <w:jc w:val="center"/>
        <w:rPr>
          <w:rFonts w:hint="eastAsia" w:ascii="仿宋" w:hAnsi="仿宋" w:eastAsia="仿宋" w:cs="仿宋"/>
          <w:b/>
          <w:bCs/>
          <w:color w:val="auto"/>
          <w:sz w:val="28"/>
          <w:szCs w:val="28"/>
          <w:highlight w:val="none"/>
        </w:rPr>
      </w:pPr>
    </w:p>
    <w:p w14:paraId="63A0FC95">
      <w:pPr>
        <w:shd w:val="clear" w:color="auto" w:fill="auto"/>
        <w:jc w:val="center"/>
        <w:rPr>
          <w:rFonts w:hint="eastAsia" w:ascii="仿宋" w:hAnsi="仿宋" w:eastAsia="仿宋" w:cs="仿宋"/>
          <w:b/>
          <w:bCs/>
          <w:color w:val="auto"/>
          <w:sz w:val="28"/>
          <w:szCs w:val="28"/>
          <w:highlight w:val="none"/>
        </w:rPr>
      </w:pPr>
    </w:p>
    <w:p w14:paraId="04FF4394">
      <w:pPr>
        <w:shd w:val="clear" w:color="auto" w:fill="auto"/>
        <w:jc w:val="center"/>
        <w:rPr>
          <w:rFonts w:hint="eastAsia" w:ascii="仿宋" w:hAnsi="仿宋" w:eastAsia="仿宋" w:cs="仿宋"/>
          <w:b/>
          <w:bCs/>
          <w:color w:val="auto"/>
          <w:sz w:val="28"/>
          <w:szCs w:val="28"/>
          <w:highlight w:val="none"/>
        </w:rPr>
      </w:pPr>
    </w:p>
    <w:p w14:paraId="161A4AB9">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政府采购投标担保函 （项目用）</w:t>
      </w:r>
    </w:p>
    <w:p w14:paraId="1E7DAE7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722AF1C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103B959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5631FE3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094F67D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3"/>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4BB007A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4"/>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5C169DE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1．成交后投标人无正当理由不与采购人或者采购代理机构签订《政府采购合同》；</w:t>
      </w:r>
    </w:p>
    <w:p w14:paraId="3826FCD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2"/>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0BBA05A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2C1174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3"/>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3D0369F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31FE0DD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0C36ADC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3"/>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42E8BF1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54CDD5E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1F97A75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3"/>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046B3C0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66D854D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0B2CEEB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4ED38DF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3"/>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53AEC61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5CBB6F0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4B70DE9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3D87B4F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0C2148C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3"/>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4D674AD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163C1B5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3"/>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7F71C1C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441D8F0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47A16F7B">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221C0BE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07271F6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footerReference r:id="rId15" w:type="default"/>
          <w:pgSz w:w="11905" w:h="16838"/>
          <w:pgMar w:top="1417" w:right="1134" w:bottom="1134" w:left="1134" w:header="850" w:footer="992" w:gutter="0"/>
          <w:pgNumType w:fmt="decimal"/>
          <w:cols w:space="72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1289AB5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5、投标企业须提供投标人（被授权在职人员）近6个月内任意一个月有效的社保证明；</w:t>
      </w:r>
    </w:p>
    <w:p w14:paraId="3AA9D2E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6" w:firstLineChars="200"/>
        <w:jc w:val="left"/>
        <w:textAlignment w:val="auto"/>
        <w:rPr>
          <w:rFonts w:hint="eastAsia" w:ascii="仿宋" w:hAnsi="仿宋" w:eastAsia="仿宋" w:cs="仿宋"/>
          <w:color w:val="auto"/>
          <w:highlight w:val="none"/>
          <w:lang w:val="en-US" w:eastAsia="zh-CN"/>
        </w:rPr>
      </w:pPr>
    </w:p>
    <w:p w14:paraId="4FCB593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6"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说明：复印件上应加盖本单位章</w:t>
      </w:r>
    </w:p>
    <w:p w14:paraId="3BDB304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03A74C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228E11F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0DA5D339">
      <w:pPr>
        <w:rPr>
          <w:rFonts w:hint="eastAsia"/>
          <w:color w:val="auto"/>
          <w:highlight w:val="none"/>
          <w:lang w:val="en-US" w:eastAsia="zh-CN"/>
        </w:rPr>
      </w:pPr>
    </w:p>
    <w:p w14:paraId="004818C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1928CC8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6、未被“信用中国”（www.creditchina.gov.cn）、中国政府采购网（www.ccgp.gov.cn）列入失信被执行人、重大税收违法案件当事人名单、政府采购严重违法失信行为记录名单；</w:t>
      </w:r>
    </w:p>
    <w:p w14:paraId="7844E5E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7A7662C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077F02E2">
      <w:pPr>
        <w:rPr>
          <w:rFonts w:hint="eastAsia" w:ascii="仿宋" w:hAnsi="仿宋" w:eastAsia="仿宋" w:cs="仿宋"/>
          <w:b/>
          <w:bCs/>
          <w:color w:val="auto"/>
          <w:sz w:val="32"/>
          <w:szCs w:val="32"/>
          <w:highlight w:val="none"/>
          <w:lang w:val="en-US" w:eastAsia="zh-CN"/>
        </w:rPr>
      </w:pPr>
    </w:p>
    <w:p w14:paraId="2EBCD129">
      <w:pPr>
        <w:pStyle w:val="38"/>
        <w:rPr>
          <w:rFonts w:hint="eastAsia"/>
          <w:color w:val="auto"/>
          <w:highlight w:val="none"/>
          <w:lang w:val="en-US" w:eastAsia="zh-CN"/>
        </w:rPr>
      </w:pPr>
    </w:p>
    <w:p w14:paraId="6A418F6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11607BF6">
      <w:pPr>
        <w:numPr>
          <w:ilvl w:val="0"/>
          <w:numId w:val="12"/>
        </w:numPr>
        <w:shd w:val="clear" w:color="auto" w:fill="auto"/>
        <w:spacing w:line="360" w:lineRule="auto"/>
        <w:ind w:firstLine="283" w:firstLineChars="10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投标人具有有效的《二类医疗器械生产许可证》或《二类医疗器械经营许可证》</w:t>
      </w:r>
    </w:p>
    <w:p w14:paraId="657C1725">
      <w:pPr>
        <w:pStyle w:val="38"/>
        <w:rPr>
          <w:rFonts w:hint="eastAsia" w:ascii="仿宋" w:hAnsi="仿宋" w:eastAsia="仿宋" w:cs="仿宋"/>
          <w:b/>
          <w:bCs/>
          <w:color w:val="auto"/>
          <w:sz w:val="28"/>
          <w:szCs w:val="28"/>
          <w:highlight w:val="none"/>
          <w:lang w:val="en-US" w:eastAsia="zh-CN"/>
        </w:rPr>
      </w:pPr>
    </w:p>
    <w:p w14:paraId="1F9F38FB">
      <w:pPr>
        <w:rPr>
          <w:rFonts w:hint="eastAsia" w:ascii="仿宋" w:hAnsi="仿宋" w:eastAsia="仿宋" w:cs="仿宋"/>
          <w:b/>
          <w:bCs/>
          <w:color w:val="auto"/>
          <w:sz w:val="28"/>
          <w:szCs w:val="28"/>
          <w:highlight w:val="none"/>
          <w:lang w:val="en-US" w:eastAsia="zh-CN"/>
        </w:rPr>
      </w:pPr>
    </w:p>
    <w:p w14:paraId="78569A09">
      <w:pPr>
        <w:pStyle w:val="38"/>
        <w:rPr>
          <w:rFonts w:hint="eastAsia"/>
          <w:lang w:val="en-US" w:eastAsia="zh-CN"/>
        </w:rPr>
      </w:pPr>
    </w:p>
    <w:p w14:paraId="2FA3D713">
      <w:pPr>
        <w:numPr>
          <w:ilvl w:val="0"/>
          <w:numId w:val="12"/>
        </w:numPr>
        <w:shd w:val="clear" w:color="auto" w:fill="auto"/>
        <w:spacing w:line="360" w:lineRule="auto"/>
        <w:ind w:firstLine="283" w:firstLineChars="100"/>
        <w:jc w:val="both"/>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color w:val="auto"/>
          <w:sz w:val="28"/>
          <w:szCs w:val="28"/>
          <w:highlight w:val="none"/>
          <w:lang w:val="en-US" w:eastAsia="zh-CN"/>
        </w:rPr>
        <w:t>投标人须知资料表要求的其他资格证明文件</w:t>
      </w:r>
    </w:p>
    <w:p w14:paraId="74ADBC29">
      <w:pPr>
        <w:snapToGrid w:val="0"/>
        <w:spacing w:line="360" w:lineRule="auto"/>
        <w:rPr>
          <w:rFonts w:hint="eastAsia" w:ascii="仿宋" w:hAnsi="仿宋" w:eastAsia="仿宋" w:cs="仿宋"/>
          <w:b/>
          <w:color w:val="auto"/>
          <w:highlight w:val="none"/>
          <w:lang w:val="en-US" w:eastAsia="zh-CN"/>
        </w:rPr>
      </w:pPr>
    </w:p>
    <w:p w14:paraId="609A79BE">
      <w:pPr>
        <w:snapToGrid w:val="0"/>
        <w:spacing w:line="360" w:lineRule="auto"/>
        <w:rPr>
          <w:rFonts w:hint="eastAsia" w:ascii="仿宋" w:hAnsi="仿宋" w:eastAsia="仿宋" w:cs="仿宋"/>
          <w:b/>
          <w:color w:val="auto"/>
          <w:highlight w:val="none"/>
          <w:lang w:val="en-US" w:eastAsia="zh-CN"/>
        </w:rPr>
      </w:pPr>
    </w:p>
    <w:p w14:paraId="6BFBB7AF">
      <w:pPr>
        <w:pStyle w:val="24"/>
        <w:shd w:val="clear" w:color="auto" w:fill="auto"/>
        <w:ind w:left="0" w:leftChars="0" w:right="208" w:rightChars="98" w:firstLine="0" w:firstLineChars="0"/>
        <w:jc w:val="center"/>
        <w:rPr>
          <w:rFonts w:hint="eastAsia" w:ascii="宋体" w:hAnsi="宋体" w:eastAsia="宋体" w:cs="宋体"/>
          <w:color w:val="auto"/>
          <w:sz w:val="36"/>
          <w:szCs w:val="36"/>
          <w:highlight w:val="none"/>
        </w:rPr>
      </w:pPr>
    </w:p>
    <w:p w14:paraId="39B6BFD8">
      <w:pPr>
        <w:pStyle w:val="24"/>
        <w:shd w:val="clear" w:color="auto" w:fill="auto"/>
        <w:ind w:left="0" w:leftChars="0" w:right="208" w:rightChars="98" w:firstLine="0" w:firstLineChars="0"/>
        <w:jc w:val="center"/>
        <w:rPr>
          <w:rFonts w:hint="eastAsia" w:ascii="宋体" w:hAnsi="宋体" w:eastAsia="宋体" w:cs="宋体"/>
          <w:color w:val="auto"/>
          <w:sz w:val="36"/>
          <w:szCs w:val="36"/>
          <w:highlight w:val="none"/>
        </w:rPr>
      </w:pPr>
    </w:p>
    <w:p w14:paraId="3FA5582F">
      <w:pPr>
        <w:pStyle w:val="24"/>
        <w:shd w:val="clear" w:color="auto" w:fill="auto"/>
        <w:ind w:left="0" w:leftChars="0" w:right="208" w:rightChars="98" w:firstLine="0" w:firstLineChars="0"/>
        <w:jc w:val="center"/>
        <w:rPr>
          <w:rFonts w:hint="eastAsia" w:ascii="宋体" w:hAnsi="宋体" w:eastAsia="宋体" w:cs="宋体"/>
          <w:color w:val="auto"/>
          <w:sz w:val="36"/>
          <w:szCs w:val="36"/>
          <w:highlight w:val="none"/>
        </w:rPr>
      </w:pPr>
    </w:p>
    <w:bookmarkEnd w:id="66"/>
    <w:p w14:paraId="6E35003F">
      <w:pPr>
        <w:pStyle w:val="24"/>
        <w:shd w:val="clear" w:color="auto" w:fill="auto"/>
        <w:spacing w:line="600" w:lineRule="exact"/>
        <w:ind w:left="0" w:leftChars="0" w:right="208" w:rightChars="98" w:firstLine="0" w:firstLineChars="0"/>
        <w:jc w:val="center"/>
        <w:outlineLvl w:val="3"/>
        <w:rPr>
          <w:rFonts w:hint="eastAsia" w:hAnsi="宋体" w:eastAsia="宋体" w:cs="宋体"/>
          <w:b/>
          <w:bCs/>
          <w:color w:val="auto"/>
          <w:sz w:val="36"/>
          <w:szCs w:val="36"/>
          <w:highlight w:val="none"/>
          <w:lang w:eastAsia="zh-CN"/>
        </w:rPr>
      </w:pPr>
      <w:r>
        <w:rPr>
          <w:rFonts w:hint="eastAsia" w:hAnsi="宋体" w:eastAsia="宋体" w:cs="宋体"/>
          <w:b/>
          <w:bCs/>
          <w:color w:val="auto"/>
          <w:sz w:val="36"/>
          <w:szCs w:val="36"/>
          <w:highlight w:val="none"/>
          <w:lang w:eastAsia="zh-CN"/>
        </w:rPr>
        <w:t>商务及技术文件</w:t>
      </w:r>
    </w:p>
    <w:p w14:paraId="4237363C">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1、投标函</w:t>
      </w:r>
    </w:p>
    <w:p w14:paraId="20B1CF52">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2、开标一览表</w:t>
      </w:r>
    </w:p>
    <w:p w14:paraId="6AC3B28F">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en-US" w:eastAsia="zh-CN"/>
        </w:rPr>
        <w:t>投标分项报价明细表</w:t>
      </w:r>
    </w:p>
    <w:p w14:paraId="5178779D">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en-US" w:eastAsia="zh-CN"/>
        </w:rPr>
        <w:t>技术规格偏离表</w:t>
      </w:r>
    </w:p>
    <w:p w14:paraId="60BE76F0">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US" w:eastAsia="zh-CN"/>
        </w:rPr>
        <w:t>商务条款偏离表</w:t>
      </w:r>
    </w:p>
    <w:p w14:paraId="5BD3E994">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en-US" w:eastAsia="zh-CN"/>
        </w:rPr>
        <w:t>投标人基本情况表</w:t>
      </w:r>
    </w:p>
    <w:p w14:paraId="3E64D891">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7、近三年类似项目业绩表</w:t>
      </w:r>
    </w:p>
    <w:p w14:paraId="6702C6B8">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en-US" w:eastAsia="zh-CN"/>
        </w:rPr>
        <w:t>中小企业声明函(货物)</w:t>
      </w:r>
    </w:p>
    <w:p w14:paraId="4A9EC8AC">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en-US" w:eastAsia="zh-CN"/>
        </w:rPr>
        <w:t>残疾人福利性单位声明函</w:t>
      </w:r>
    </w:p>
    <w:p w14:paraId="4205337C">
      <w:pPr>
        <w:pStyle w:val="24"/>
        <w:shd w:val="clear" w:color="auto" w:fill="auto"/>
        <w:spacing w:line="600" w:lineRule="exact"/>
        <w:ind w:left="0" w:leftChars="0" w:right="208" w:rightChars="98"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en-US" w:eastAsia="zh-CN"/>
        </w:rPr>
        <w:t>技术部分要求的其他资料（格式自拟）</w:t>
      </w:r>
    </w:p>
    <w:p w14:paraId="5F8E9125">
      <w:pPr>
        <w:pStyle w:val="24"/>
        <w:shd w:val="clear" w:color="auto" w:fill="auto"/>
        <w:spacing w:line="600" w:lineRule="exact"/>
        <w:ind w:left="0" w:leftChars="0" w:right="208" w:rightChars="98"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en-US" w:eastAsia="zh-CN"/>
        </w:rPr>
        <w:t>投标人认为有必要提供的其他证明</w:t>
      </w:r>
    </w:p>
    <w:p w14:paraId="4B2A28F8">
      <w:pPr>
        <w:pStyle w:val="38"/>
        <w:ind w:left="0" w:leftChars="0" w:firstLine="0" w:firstLineChars="0"/>
        <w:rPr>
          <w:rFonts w:hint="eastAsia"/>
        </w:rPr>
      </w:pPr>
    </w:p>
    <w:p w14:paraId="330763FA">
      <w:pPr>
        <w:rPr>
          <w:rFonts w:hint="eastAsia"/>
        </w:rPr>
      </w:pPr>
    </w:p>
    <w:p w14:paraId="16FEE82A">
      <w:pPr>
        <w:pStyle w:val="4"/>
        <w:outlineLvl w:val="9"/>
        <w:rPr>
          <w:rFonts w:hint="eastAsia"/>
        </w:rPr>
      </w:pPr>
    </w:p>
    <w:p w14:paraId="08B58367">
      <w:pPr>
        <w:rPr>
          <w:rFonts w:hint="eastAsia"/>
        </w:rPr>
      </w:pPr>
    </w:p>
    <w:p w14:paraId="2419888B">
      <w:pPr>
        <w:pStyle w:val="4"/>
        <w:outlineLvl w:val="9"/>
        <w:rPr>
          <w:rFonts w:hint="eastAsia"/>
        </w:rPr>
      </w:pPr>
    </w:p>
    <w:p w14:paraId="25EE5C8B">
      <w:pPr>
        <w:rPr>
          <w:rFonts w:hint="eastAsia"/>
        </w:rPr>
      </w:pPr>
    </w:p>
    <w:p w14:paraId="09DD0908">
      <w:pPr>
        <w:pStyle w:val="38"/>
        <w:rPr>
          <w:rFonts w:hint="eastAsia"/>
        </w:rPr>
      </w:pPr>
    </w:p>
    <w:p w14:paraId="7AC49FFF">
      <w:pPr>
        <w:rPr>
          <w:rFonts w:hint="eastAsia"/>
        </w:rPr>
      </w:pPr>
    </w:p>
    <w:p w14:paraId="585FEE9B">
      <w:pPr>
        <w:pStyle w:val="4"/>
        <w:outlineLvl w:val="9"/>
        <w:rPr>
          <w:rFonts w:hint="eastAsia"/>
        </w:rPr>
      </w:pPr>
    </w:p>
    <w:p w14:paraId="2907CCC0">
      <w:pPr>
        <w:rPr>
          <w:rFonts w:hint="eastAsia"/>
        </w:rPr>
      </w:pPr>
    </w:p>
    <w:p w14:paraId="762E73BD">
      <w:pPr>
        <w:pStyle w:val="38"/>
        <w:rPr>
          <w:rFonts w:hint="eastAsia"/>
        </w:rPr>
      </w:pPr>
    </w:p>
    <w:p w14:paraId="03891C26">
      <w:pPr>
        <w:widowControl/>
        <w:spacing w:line="560" w:lineRule="atLeast"/>
        <w:jc w:val="center"/>
        <w:rPr>
          <w:rFonts w:hint="eastAsia" w:ascii="宋体" w:hAnsi="宋体" w:cs="宋体"/>
          <w:b/>
          <w:kern w:val="0"/>
          <w:sz w:val="28"/>
          <w:szCs w:val="28"/>
        </w:rPr>
      </w:pPr>
      <w:r>
        <w:rPr>
          <w:rFonts w:hint="eastAsia" w:ascii="宋体" w:hAnsi="宋体" w:cs="宋体"/>
          <w:b/>
          <w:kern w:val="0"/>
          <w:sz w:val="28"/>
          <w:szCs w:val="28"/>
        </w:rPr>
        <w:t>1、投标函</w:t>
      </w:r>
    </w:p>
    <w:p w14:paraId="4FC1C628">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致：</w:t>
      </w:r>
      <w:r>
        <w:rPr>
          <w:rFonts w:hint="eastAsia" w:ascii="仿宋" w:hAnsi="仿宋" w:eastAsia="仿宋" w:cs="仿宋"/>
          <w:color w:val="auto"/>
          <w:kern w:val="0"/>
          <w:sz w:val="24"/>
          <w:highlight w:val="none"/>
          <w:u w:val="single"/>
        </w:rPr>
        <w:t xml:space="preserve">                     </w:t>
      </w:r>
    </w:p>
    <w:p w14:paraId="723CA6F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为响应你方组织的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项目的招标[项目编号为：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]，我方愿参与投标。</w:t>
      </w:r>
    </w:p>
    <w:p w14:paraId="1EBCE6E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我方确认收到贵方提供的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lang w:eastAsia="zh-CN"/>
        </w:rPr>
        <w:t>谈判文件</w:t>
      </w:r>
      <w:r>
        <w:rPr>
          <w:rFonts w:hint="eastAsia" w:ascii="仿宋" w:hAnsi="仿宋" w:eastAsia="仿宋" w:cs="仿宋"/>
          <w:color w:val="auto"/>
          <w:kern w:val="0"/>
          <w:sz w:val="24"/>
          <w:highlight w:val="none"/>
        </w:rPr>
        <w:t>的全部内容。</w:t>
      </w:r>
    </w:p>
    <w:p w14:paraId="538F55F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我方在参与投标前已详细研究了</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的所有内容，包括澄清、修改文件（如果有）和所有已提供的参考资料以及有关附件，我方完全明白并认为此</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没有倾向性，也不存在排斥潜在报价投标人的内容，我方同意</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的相关条款，放弃对</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提出误解和质疑的一切权力。</w:t>
      </w:r>
    </w:p>
    <w:p w14:paraId="169E7F0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(投标人名称)      </w:t>
      </w:r>
      <w:r>
        <w:rPr>
          <w:rFonts w:hint="eastAsia" w:ascii="仿宋" w:hAnsi="仿宋" w:eastAsia="仿宋" w:cs="仿宋"/>
          <w:color w:val="auto"/>
          <w:kern w:val="0"/>
          <w:sz w:val="24"/>
          <w:highlight w:val="none"/>
        </w:rPr>
        <w:t>作为投标人正式授权</w:t>
      </w:r>
      <w:r>
        <w:rPr>
          <w:rFonts w:hint="eastAsia" w:ascii="仿宋" w:hAnsi="仿宋" w:eastAsia="仿宋" w:cs="仿宋"/>
          <w:color w:val="auto"/>
          <w:kern w:val="0"/>
          <w:sz w:val="24"/>
          <w:highlight w:val="none"/>
          <w:u w:val="single"/>
        </w:rPr>
        <w:t xml:space="preserve">  (授权代表全名, 职务)  </w:t>
      </w:r>
      <w:r>
        <w:rPr>
          <w:rFonts w:hint="eastAsia" w:ascii="仿宋" w:hAnsi="仿宋" w:eastAsia="仿宋" w:cs="仿宋"/>
          <w:color w:val="auto"/>
          <w:kern w:val="0"/>
          <w:sz w:val="24"/>
          <w:highlight w:val="none"/>
        </w:rPr>
        <w:t>代表我方全权处理有关本报价的一切事宜。</w:t>
      </w:r>
    </w:p>
    <w:p w14:paraId="37D2551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我方已完全明白</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的所有条款要求，并申明如下：</w:t>
      </w:r>
    </w:p>
    <w:p w14:paraId="7F4D1AA9">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（一）按</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提供的全部货物与相关服务的投标总价详见《报价一览表》。</w:t>
      </w:r>
    </w:p>
    <w:p w14:paraId="16F6AAD4">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（二）本</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的有效期为投标截止时间起</w:t>
      </w:r>
      <w:r>
        <w:rPr>
          <w:rFonts w:hint="eastAsia" w:ascii="仿宋" w:hAnsi="仿宋" w:eastAsia="仿宋" w:cs="仿宋"/>
          <w:color w:val="auto"/>
          <w:kern w:val="0"/>
          <w:sz w:val="24"/>
          <w:highlight w:val="none"/>
          <w:u w:val="single"/>
          <w:lang w:val="en-US" w:eastAsia="zh-CN"/>
        </w:rPr>
        <w:t>60</w:t>
      </w:r>
      <w:r>
        <w:rPr>
          <w:rFonts w:hint="eastAsia" w:ascii="仿宋" w:hAnsi="仿宋" w:eastAsia="仿宋" w:cs="仿宋"/>
          <w:color w:val="auto"/>
          <w:kern w:val="0"/>
          <w:sz w:val="24"/>
          <w:highlight w:val="none"/>
        </w:rPr>
        <w:t>天。如</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，有效期将延至合同终止日为止。在此提交的资格证明文件均至投标截止日有效，如有在投标有效期内失效的，我方承诺在</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后补齐一切手续，保证所有资格证明文件能在签订采购合同时直至采购合同终止日有效。</w:t>
      </w:r>
    </w:p>
    <w:p w14:paraId="2835C92E">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（三）我方同意按照贵方可能提出的要求而提供与投标有关的任何其它数据、信息或资料。</w:t>
      </w:r>
    </w:p>
    <w:p w14:paraId="729B68A9">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四</w:t>
      </w:r>
      <w:r>
        <w:rPr>
          <w:rFonts w:hint="eastAsia" w:ascii="仿宋" w:hAnsi="仿宋" w:eastAsia="仿宋" w:cs="仿宋"/>
          <w:color w:val="auto"/>
          <w:kern w:val="0"/>
          <w:sz w:val="24"/>
          <w:highlight w:val="none"/>
        </w:rPr>
        <w:t>）我方如果</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，将保证履行</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及其澄清、修改文件（如果有）中的全部责任和义务，按质、按量、按期完成《招标内容》及《合同书》中的全部任务。</w:t>
      </w:r>
    </w:p>
    <w:p w14:paraId="23B1F7BA">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五</w:t>
      </w:r>
      <w:r>
        <w:rPr>
          <w:rFonts w:hint="eastAsia" w:ascii="仿宋" w:hAnsi="仿宋" w:eastAsia="仿宋" w:cs="仿宋"/>
          <w:color w:val="auto"/>
          <w:kern w:val="0"/>
          <w:sz w:val="24"/>
          <w:highlight w:val="none"/>
        </w:rPr>
        <w:t>）如我方被授予合同，我方承诺支付就本次招标应支付或将支付的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服务费。</w:t>
      </w:r>
    </w:p>
    <w:p w14:paraId="1C758BF9">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六</w:t>
      </w:r>
      <w:r>
        <w:rPr>
          <w:rFonts w:hint="eastAsia" w:ascii="仿宋" w:hAnsi="仿宋" w:eastAsia="仿宋" w:cs="仿宋"/>
          <w:color w:val="auto"/>
          <w:kern w:val="0"/>
          <w:sz w:val="24"/>
          <w:highlight w:val="none"/>
        </w:rPr>
        <w:t>）我方作为在法律、财务和运作上独立于采购人、招标代理机构的投标人，在此保证所提交的所有文件和全部说明是真实的和正确的。</w:t>
      </w:r>
    </w:p>
    <w:p w14:paraId="59C6194B">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七</w:t>
      </w:r>
      <w:r>
        <w:rPr>
          <w:rFonts w:hint="eastAsia" w:ascii="仿宋" w:hAnsi="仿宋" w:eastAsia="仿宋" w:cs="仿宋"/>
          <w:color w:val="auto"/>
          <w:kern w:val="0"/>
          <w:sz w:val="24"/>
          <w:highlight w:val="none"/>
        </w:rPr>
        <w:t>）我方投标报价已包含应向知识产权所有权人支付的所有相关税费，并保证采购人在中国使用我方提供的货物时，如有第三方提出侵犯其知识产权主张的，责任由我方承担。</w:t>
      </w:r>
    </w:p>
    <w:p w14:paraId="198318BF">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八</w:t>
      </w:r>
      <w:r>
        <w:rPr>
          <w:rFonts w:hint="eastAsia" w:ascii="仿宋" w:hAnsi="仿宋" w:eastAsia="仿宋" w:cs="仿宋"/>
          <w:color w:val="auto"/>
          <w:kern w:val="0"/>
          <w:sz w:val="24"/>
          <w:highlight w:val="none"/>
        </w:rPr>
        <w:t>）我方与其他投标人不存在单位负责人为同一人或者存在直接控股、管理关系。</w:t>
      </w:r>
    </w:p>
    <w:p w14:paraId="04F023BF">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九</w:t>
      </w:r>
      <w:r>
        <w:rPr>
          <w:rFonts w:hint="eastAsia" w:ascii="仿宋" w:hAnsi="仿宋" w:eastAsia="仿宋" w:cs="仿宋"/>
          <w:color w:val="auto"/>
          <w:kern w:val="0"/>
          <w:sz w:val="24"/>
          <w:highlight w:val="none"/>
        </w:rPr>
        <w:t>）我方承诺未为本项目提供整体设计、规范编制或者项目管理、监理、检测等服务。</w:t>
      </w:r>
    </w:p>
    <w:p w14:paraId="781515C8">
      <w:pPr>
        <w:spacing w:line="480" w:lineRule="exact"/>
        <w:ind w:firstLine="486"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（十）我方具备《政府采购法》第二十二条规定的条件，承诺如下：</w:t>
      </w:r>
    </w:p>
    <w:p w14:paraId="5C46073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（1）我方已依法缴纳了各项税费及社会保险费用，如有需要，可随时向采购人提供近三个月内的相关缴费证明，以便核查。</w:t>
      </w:r>
    </w:p>
    <w:p w14:paraId="1E2E7A5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（2）我方已依法建立健全的财务会计制度，如有需要，可随时向采购人提供相关的证明材料，以便核查。</w:t>
      </w:r>
    </w:p>
    <w:p w14:paraId="09948931">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（3）我方参加本项目政府采购活动前3年内在经营活动中没有重大违法记录。</w:t>
      </w:r>
    </w:p>
    <w:p w14:paraId="31C3B1B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（4）我方具备履行合同所必需的设备和专业技术能力。</w:t>
      </w:r>
    </w:p>
    <w:p w14:paraId="542BE31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（5）我方符合法律、行政法规规定的其他条件。</w:t>
      </w:r>
    </w:p>
    <w:p w14:paraId="1B113FDD">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以上内容如有虚假或与事实不符的，评审委员会可将我方做无效投标处理，我方愿意承担相应的法律责任。</w:t>
      </w:r>
    </w:p>
    <w:p w14:paraId="4FA6FF76">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（十三）我方对在本函及</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中所作的所有承诺承担法律责任。</w:t>
      </w:r>
    </w:p>
    <w:p w14:paraId="50DE41A1">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（十四）所有与本招标有关的函件请发往下列地址：</w:t>
      </w:r>
    </w:p>
    <w:p w14:paraId="4474315F">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.邮政编码：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704E648">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    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5961C2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    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7D70022">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代表姓名：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.职    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3FEFD63">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（公章） </w:t>
      </w:r>
    </w:p>
    <w:p w14:paraId="091F6774">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法定代表人或委托人：</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签字或盖章</w:t>
      </w:r>
      <w:r>
        <w:rPr>
          <w:rFonts w:hint="eastAsia" w:ascii="仿宋" w:hAnsi="仿宋" w:eastAsia="仿宋" w:cs="仿宋"/>
          <w:color w:val="auto"/>
          <w:kern w:val="0"/>
          <w:sz w:val="24"/>
          <w:highlight w:val="none"/>
        </w:rPr>
        <w:t xml:space="preserve">）  </w:t>
      </w:r>
    </w:p>
    <w:p w14:paraId="7CD4B0EE">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0BFBF958">
      <w:pPr>
        <w:shd w:val="clear" w:color="auto" w:fill="auto"/>
        <w:ind w:left="0" w:leftChars="0" w:right="208" w:rightChars="98" w:firstLine="0" w:firstLineChars="0"/>
        <w:jc w:val="both"/>
        <w:rPr>
          <w:rFonts w:hint="eastAsia" w:ascii="宋体" w:hAnsi="宋体" w:eastAsia="宋体" w:cs="宋体"/>
          <w:b/>
          <w:bCs/>
          <w:color w:val="auto"/>
          <w:sz w:val="36"/>
          <w:szCs w:val="36"/>
          <w:highlight w:val="none"/>
        </w:rPr>
      </w:pPr>
      <w:bookmarkStart w:id="67" w:name="_Toc9864_WPSOffice_Level2"/>
      <w:bookmarkStart w:id="68" w:name="_Toc12643_WPSOffice_Level2"/>
    </w:p>
    <w:p w14:paraId="477CB72C">
      <w:pPr>
        <w:pStyle w:val="38"/>
        <w:rPr>
          <w:rFonts w:hint="eastAsia" w:ascii="宋体" w:hAnsi="宋体" w:eastAsia="宋体" w:cs="宋体"/>
          <w:b/>
          <w:bCs/>
          <w:color w:val="auto"/>
          <w:sz w:val="36"/>
          <w:szCs w:val="36"/>
          <w:highlight w:val="none"/>
        </w:rPr>
      </w:pPr>
    </w:p>
    <w:p w14:paraId="2E7F5118">
      <w:pPr>
        <w:rPr>
          <w:rFonts w:hint="eastAsia"/>
        </w:rPr>
      </w:pPr>
    </w:p>
    <w:p w14:paraId="2063500B">
      <w:pPr>
        <w:rPr>
          <w:rFonts w:hint="eastAsia"/>
        </w:rPr>
      </w:pPr>
    </w:p>
    <w:p w14:paraId="4E1E0379">
      <w:pPr>
        <w:pStyle w:val="38"/>
        <w:rPr>
          <w:rFonts w:hint="eastAsia"/>
        </w:rPr>
      </w:pPr>
    </w:p>
    <w:p w14:paraId="15FA78EF">
      <w:pPr>
        <w:shd w:val="clear" w:color="auto" w:fill="auto"/>
        <w:ind w:left="0" w:leftChars="0" w:right="208" w:rightChars="98" w:firstLine="0" w:firstLineChars="0"/>
        <w:jc w:val="center"/>
        <w:outlineLvl w:val="2"/>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2、</w:t>
      </w:r>
      <w:r>
        <w:rPr>
          <w:rFonts w:hint="eastAsia" w:ascii="宋体" w:hAnsi="宋体" w:eastAsia="宋体" w:cs="宋体"/>
          <w:b/>
          <w:bCs/>
          <w:color w:val="auto"/>
          <w:sz w:val="36"/>
          <w:szCs w:val="36"/>
          <w:highlight w:val="none"/>
        </w:rPr>
        <w:t>开 标 一 览 表</w:t>
      </w:r>
      <w:bookmarkEnd w:id="67"/>
    </w:p>
    <w:p w14:paraId="74E568EC">
      <w:pPr>
        <w:widowControl/>
        <w:shd w:val="clear" w:color="auto" w:fill="auto"/>
        <w:ind w:left="0" w:leftChars="0" w:right="208" w:rightChars="98" w:firstLine="0" w:firstLineChars="0"/>
        <w:jc w:val="left"/>
        <w:rPr>
          <w:rFonts w:hint="eastAsia" w:ascii="宋体" w:hAnsi="宋体" w:eastAsia="宋体" w:cs="宋体"/>
          <w:color w:val="auto"/>
          <w:sz w:val="24"/>
          <w:highlight w:val="none"/>
        </w:rPr>
      </w:pPr>
    </w:p>
    <w:p w14:paraId="17DC7006">
      <w:pPr>
        <w:pStyle w:val="24"/>
        <w:spacing w:line="240" w:lineRule="atLeast"/>
        <w:ind w:left="1087"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35FAA183">
      <w:pPr>
        <w:pStyle w:val="24"/>
        <w:spacing w:line="240" w:lineRule="atLeast"/>
        <w:ind w:left="1087"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5CA47FDA">
      <w:pPr>
        <w:pStyle w:val="24"/>
        <w:spacing w:line="240" w:lineRule="atLeast"/>
        <w:ind w:left="1087" w:leftChars="257" w:hanging="540"/>
        <w:rPr>
          <w:rFonts w:ascii="仿宋" w:hAnsi="仿宋" w:eastAsia="仿宋" w:cs="仿宋"/>
          <w:color w:val="auto"/>
          <w:highlight w:val="none"/>
          <w:lang w:eastAsia="zh-CN"/>
        </w:rPr>
      </w:pPr>
    </w:p>
    <w:tbl>
      <w:tblPr>
        <w:tblStyle w:val="50"/>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4462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noWrap w:val="0"/>
            <w:vAlign w:val="center"/>
          </w:tcPr>
          <w:p w14:paraId="4E8D1C25">
            <w:pPr>
              <w:jc w:val="center"/>
              <w:rPr>
                <w:rFonts w:ascii="仿宋" w:hAnsi="仿宋" w:eastAsia="仿宋" w:cs="仿宋"/>
                <w:color w:val="auto"/>
                <w:kern w:val="2"/>
                <w:szCs w:val="20"/>
                <w:highlight w:val="none"/>
                <w:lang w:eastAsia="zh-CN" w:bidi="ar-SA"/>
              </w:rPr>
            </w:pPr>
            <w:r>
              <w:rPr>
                <w:rFonts w:hint="eastAsia" w:ascii="仿宋" w:hAnsi="仿宋" w:eastAsia="仿宋" w:cs="仿宋"/>
                <w:color w:val="auto"/>
                <w:kern w:val="2"/>
                <w:szCs w:val="20"/>
                <w:highlight w:val="none"/>
                <w:lang w:eastAsia="zh-CN" w:bidi="ar-SA"/>
              </w:rPr>
              <w:t>序号</w:t>
            </w:r>
          </w:p>
        </w:tc>
        <w:tc>
          <w:tcPr>
            <w:tcW w:w="1400" w:type="dxa"/>
            <w:noWrap w:val="0"/>
            <w:vAlign w:val="center"/>
          </w:tcPr>
          <w:p w14:paraId="25B0F2C1">
            <w:pPr>
              <w:jc w:val="center"/>
              <w:rPr>
                <w:rFonts w:ascii="仿宋" w:hAnsi="仿宋" w:eastAsia="仿宋" w:cs="仿宋"/>
                <w:color w:val="auto"/>
                <w:kern w:val="2"/>
                <w:szCs w:val="20"/>
                <w:highlight w:val="none"/>
                <w:lang w:eastAsia="zh-CN" w:bidi="ar-SA"/>
              </w:rPr>
            </w:pPr>
            <w:r>
              <w:rPr>
                <w:rFonts w:hint="eastAsia" w:ascii="仿宋" w:hAnsi="仿宋" w:eastAsia="仿宋" w:cs="仿宋"/>
                <w:color w:val="auto"/>
                <w:kern w:val="2"/>
                <w:szCs w:val="20"/>
                <w:highlight w:val="none"/>
                <w:lang w:eastAsia="zh-CN" w:bidi="ar-SA"/>
              </w:rPr>
              <w:t>货物名称</w:t>
            </w:r>
          </w:p>
        </w:tc>
        <w:tc>
          <w:tcPr>
            <w:tcW w:w="1410" w:type="dxa"/>
            <w:noWrap w:val="0"/>
            <w:vAlign w:val="center"/>
          </w:tcPr>
          <w:p w14:paraId="138B4816">
            <w:pPr>
              <w:jc w:val="center"/>
              <w:rPr>
                <w:rFonts w:ascii="仿宋" w:hAnsi="仿宋" w:eastAsia="仿宋" w:cs="仿宋"/>
                <w:color w:val="auto"/>
                <w:kern w:val="2"/>
                <w:szCs w:val="20"/>
                <w:highlight w:val="none"/>
                <w:lang w:eastAsia="zh-CN" w:bidi="ar-SA"/>
              </w:rPr>
            </w:pPr>
            <w:r>
              <w:rPr>
                <w:rFonts w:hint="eastAsia" w:ascii="仿宋" w:hAnsi="仿宋" w:eastAsia="仿宋" w:cs="仿宋"/>
                <w:color w:val="auto"/>
                <w:kern w:val="2"/>
                <w:szCs w:val="20"/>
                <w:highlight w:val="none"/>
                <w:lang w:eastAsia="zh-CN" w:bidi="ar-SA"/>
              </w:rPr>
              <w:t>主要规格</w:t>
            </w:r>
          </w:p>
        </w:tc>
        <w:tc>
          <w:tcPr>
            <w:tcW w:w="1040" w:type="dxa"/>
            <w:noWrap w:val="0"/>
            <w:vAlign w:val="center"/>
          </w:tcPr>
          <w:p w14:paraId="0F7E08BF">
            <w:pPr>
              <w:jc w:val="center"/>
              <w:rPr>
                <w:rFonts w:ascii="仿宋" w:hAnsi="仿宋" w:eastAsia="仿宋" w:cs="仿宋"/>
                <w:color w:val="auto"/>
                <w:kern w:val="2"/>
                <w:szCs w:val="20"/>
                <w:highlight w:val="none"/>
                <w:lang w:eastAsia="zh-CN" w:bidi="ar-SA"/>
              </w:rPr>
            </w:pPr>
            <w:r>
              <w:rPr>
                <w:rFonts w:hint="eastAsia" w:ascii="仿宋" w:hAnsi="仿宋" w:eastAsia="仿宋" w:cs="仿宋"/>
                <w:color w:val="auto"/>
                <w:kern w:val="2"/>
                <w:szCs w:val="20"/>
                <w:highlight w:val="none"/>
                <w:lang w:eastAsia="zh-CN" w:bidi="ar-SA"/>
              </w:rPr>
              <w:t>数量</w:t>
            </w:r>
          </w:p>
        </w:tc>
        <w:tc>
          <w:tcPr>
            <w:tcW w:w="1370" w:type="dxa"/>
            <w:noWrap w:val="0"/>
            <w:vAlign w:val="center"/>
          </w:tcPr>
          <w:p w14:paraId="24FEDD6C">
            <w:pPr>
              <w:jc w:val="center"/>
              <w:rPr>
                <w:rFonts w:ascii="仿宋" w:hAnsi="仿宋" w:eastAsia="仿宋" w:cs="仿宋"/>
                <w:color w:val="auto"/>
                <w:kern w:val="2"/>
                <w:szCs w:val="20"/>
                <w:highlight w:val="none"/>
                <w:lang w:eastAsia="zh-CN" w:bidi="ar-SA"/>
              </w:rPr>
            </w:pPr>
            <w:r>
              <w:rPr>
                <w:rFonts w:hint="eastAsia" w:ascii="仿宋" w:hAnsi="仿宋" w:eastAsia="仿宋" w:cs="仿宋"/>
                <w:color w:val="auto"/>
                <w:kern w:val="2"/>
                <w:szCs w:val="20"/>
                <w:highlight w:val="none"/>
                <w:lang w:eastAsia="zh-CN" w:bidi="ar-SA"/>
              </w:rPr>
              <w:t>供货期</w:t>
            </w:r>
          </w:p>
        </w:tc>
        <w:tc>
          <w:tcPr>
            <w:tcW w:w="1420" w:type="dxa"/>
            <w:noWrap w:val="0"/>
            <w:vAlign w:val="center"/>
          </w:tcPr>
          <w:p w14:paraId="6F1B4FE9">
            <w:pPr>
              <w:jc w:val="center"/>
              <w:rPr>
                <w:rFonts w:ascii="仿宋" w:hAnsi="仿宋" w:eastAsia="仿宋" w:cs="仿宋"/>
                <w:color w:val="auto"/>
                <w:kern w:val="2"/>
                <w:szCs w:val="20"/>
                <w:highlight w:val="none"/>
                <w:lang w:eastAsia="zh-CN" w:bidi="ar-SA"/>
              </w:rPr>
            </w:pPr>
            <w:r>
              <w:rPr>
                <w:rFonts w:hint="eastAsia" w:ascii="仿宋" w:hAnsi="仿宋" w:eastAsia="仿宋" w:cs="仿宋"/>
                <w:color w:val="auto"/>
                <w:kern w:val="2"/>
                <w:szCs w:val="20"/>
                <w:highlight w:val="none"/>
                <w:lang w:eastAsia="zh-CN" w:bidi="ar-SA"/>
              </w:rPr>
              <w:t>交货地点</w:t>
            </w:r>
          </w:p>
        </w:tc>
        <w:tc>
          <w:tcPr>
            <w:tcW w:w="1101" w:type="dxa"/>
            <w:noWrap w:val="0"/>
            <w:vAlign w:val="center"/>
          </w:tcPr>
          <w:p w14:paraId="52891D11">
            <w:pPr>
              <w:jc w:val="center"/>
              <w:rPr>
                <w:rFonts w:ascii="仿宋" w:hAnsi="仿宋" w:eastAsia="仿宋" w:cs="仿宋"/>
                <w:color w:val="auto"/>
                <w:kern w:val="2"/>
                <w:szCs w:val="20"/>
                <w:highlight w:val="none"/>
                <w:lang w:eastAsia="zh-CN" w:bidi="ar-SA"/>
              </w:rPr>
            </w:pPr>
            <w:r>
              <w:rPr>
                <w:rFonts w:hint="eastAsia" w:ascii="仿宋" w:hAnsi="仿宋" w:eastAsia="仿宋" w:cs="仿宋"/>
                <w:color w:val="auto"/>
                <w:kern w:val="2"/>
                <w:szCs w:val="20"/>
                <w:highlight w:val="none"/>
                <w:lang w:eastAsia="zh-CN" w:bidi="ar-SA"/>
              </w:rPr>
              <w:t>其它</w:t>
            </w:r>
          </w:p>
        </w:tc>
      </w:tr>
      <w:tr w14:paraId="23EA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noWrap w:val="0"/>
            <w:vAlign w:val="top"/>
          </w:tcPr>
          <w:p w14:paraId="350E4283">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2A10D14A">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05F0EE4B">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153519F3">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3C82800D">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70C3DF2D">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56CCF4C1">
            <w:pPr>
              <w:pStyle w:val="24"/>
              <w:spacing w:line="240" w:lineRule="atLeast"/>
              <w:ind w:left="1087" w:leftChars="257" w:hanging="540"/>
              <w:rPr>
                <w:rFonts w:ascii="仿宋" w:hAnsi="仿宋" w:eastAsia="仿宋" w:cs="仿宋"/>
                <w:color w:val="auto"/>
                <w:highlight w:val="none"/>
                <w:lang w:eastAsia="zh-CN"/>
              </w:rPr>
            </w:pPr>
          </w:p>
        </w:tc>
      </w:tr>
      <w:tr w14:paraId="3868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noWrap w:val="0"/>
            <w:vAlign w:val="top"/>
          </w:tcPr>
          <w:p w14:paraId="23E313C2">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699FBC30">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3EA4721F">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4CB82B3D">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5D141F24">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258FCC6C">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1DE28AA9">
            <w:pPr>
              <w:pStyle w:val="24"/>
              <w:spacing w:line="240" w:lineRule="atLeast"/>
              <w:ind w:left="1087" w:leftChars="257" w:hanging="540"/>
              <w:rPr>
                <w:rFonts w:ascii="仿宋" w:hAnsi="仿宋" w:eastAsia="仿宋" w:cs="仿宋"/>
                <w:color w:val="auto"/>
                <w:highlight w:val="none"/>
                <w:lang w:eastAsia="zh-CN"/>
              </w:rPr>
            </w:pPr>
          </w:p>
        </w:tc>
      </w:tr>
      <w:tr w14:paraId="5791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noWrap w:val="0"/>
            <w:vAlign w:val="top"/>
          </w:tcPr>
          <w:p w14:paraId="67370875">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66C7D0B0">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49FEA2C3">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6C37DB5E">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4D09C980">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0E393163">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601E49F1">
            <w:pPr>
              <w:pStyle w:val="24"/>
              <w:spacing w:line="240" w:lineRule="atLeast"/>
              <w:ind w:left="1087" w:leftChars="257" w:hanging="540"/>
              <w:rPr>
                <w:rFonts w:ascii="仿宋" w:hAnsi="仿宋" w:eastAsia="仿宋" w:cs="仿宋"/>
                <w:color w:val="auto"/>
                <w:highlight w:val="none"/>
                <w:lang w:eastAsia="zh-CN"/>
              </w:rPr>
            </w:pPr>
          </w:p>
        </w:tc>
      </w:tr>
      <w:tr w14:paraId="4971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noWrap w:val="0"/>
            <w:vAlign w:val="top"/>
          </w:tcPr>
          <w:p w14:paraId="31C5909A">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1F7A8B50">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15185943">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14D9437E">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17CED5B8">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7AF310E1">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234C5AD0">
            <w:pPr>
              <w:pStyle w:val="24"/>
              <w:spacing w:line="240" w:lineRule="atLeast"/>
              <w:ind w:left="1087" w:leftChars="257" w:hanging="540"/>
              <w:rPr>
                <w:rFonts w:ascii="仿宋" w:hAnsi="仿宋" w:eastAsia="仿宋" w:cs="仿宋"/>
                <w:color w:val="auto"/>
                <w:highlight w:val="none"/>
                <w:lang w:eastAsia="zh-CN"/>
              </w:rPr>
            </w:pPr>
          </w:p>
        </w:tc>
      </w:tr>
      <w:tr w14:paraId="6CAF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noWrap w:val="0"/>
            <w:vAlign w:val="top"/>
          </w:tcPr>
          <w:p w14:paraId="3182D493">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15076B18">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422BEEFF">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4C337E73">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0990F33E">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3EEA678D">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6BA010E6">
            <w:pPr>
              <w:pStyle w:val="24"/>
              <w:spacing w:line="240" w:lineRule="atLeast"/>
              <w:ind w:left="1087" w:leftChars="257" w:hanging="540"/>
              <w:rPr>
                <w:rFonts w:ascii="仿宋" w:hAnsi="仿宋" w:eastAsia="仿宋" w:cs="仿宋"/>
                <w:color w:val="auto"/>
                <w:highlight w:val="none"/>
                <w:lang w:eastAsia="zh-CN"/>
              </w:rPr>
            </w:pPr>
          </w:p>
        </w:tc>
      </w:tr>
      <w:tr w14:paraId="185C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noWrap w:val="0"/>
            <w:vAlign w:val="top"/>
          </w:tcPr>
          <w:p w14:paraId="5C980E1F">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6FB879ED">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6BECAF99">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4D06BCE4">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177CBB58">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2560540B">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01640AF5">
            <w:pPr>
              <w:pStyle w:val="24"/>
              <w:spacing w:line="240" w:lineRule="atLeast"/>
              <w:ind w:left="1087" w:leftChars="257" w:hanging="540"/>
              <w:rPr>
                <w:rFonts w:ascii="仿宋" w:hAnsi="仿宋" w:eastAsia="仿宋" w:cs="仿宋"/>
                <w:color w:val="auto"/>
                <w:highlight w:val="none"/>
                <w:lang w:eastAsia="zh-CN"/>
              </w:rPr>
            </w:pPr>
          </w:p>
        </w:tc>
      </w:tr>
      <w:tr w14:paraId="1737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noWrap w:val="0"/>
            <w:vAlign w:val="top"/>
          </w:tcPr>
          <w:p w14:paraId="429812AC">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4E3CDBB0">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57EBC0E0">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444DDBA8">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77A31CF4">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3E0499BE">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46B07159">
            <w:pPr>
              <w:pStyle w:val="24"/>
              <w:spacing w:line="240" w:lineRule="atLeast"/>
              <w:ind w:left="1087" w:leftChars="257" w:hanging="540"/>
              <w:rPr>
                <w:rFonts w:ascii="仿宋" w:hAnsi="仿宋" w:eastAsia="仿宋" w:cs="仿宋"/>
                <w:color w:val="auto"/>
                <w:highlight w:val="none"/>
                <w:lang w:eastAsia="zh-CN"/>
              </w:rPr>
            </w:pPr>
          </w:p>
        </w:tc>
      </w:tr>
      <w:tr w14:paraId="6678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noWrap w:val="0"/>
            <w:vAlign w:val="top"/>
          </w:tcPr>
          <w:p w14:paraId="2C70C68C">
            <w:pPr>
              <w:pStyle w:val="24"/>
              <w:spacing w:line="240" w:lineRule="atLeast"/>
              <w:ind w:left="1087" w:leftChars="257" w:hanging="540"/>
              <w:rPr>
                <w:rFonts w:ascii="仿宋" w:hAnsi="仿宋" w:eastAsia="仿宋" w:cs="仿宋"/>
                <w:color w:val="auto"/>
                <w:highlight w:val="none"/>
                <w:lang w:eastAsia="zh-CN"/>
              </w:rPr>
            </w:pPr>
          </w:p>
        </w:tc>
        <w:tc>
          <w:tcPr>
            <w:tcW w:w="1400" w:type="dxa"/>
            <w:noWrap w:val="0"/>
            <w:vAlign w:val="top"/>
          </w:tcPr>
          <w:p w14:paraId="20C2C0C8">
            <w:pPr>
              <w:pStyle w:val="24"/>
              <w:spacing w:line="240" w:lineRule="atLeast"/>
              <w:ind w:left="1087" w:leftChars="257" w:hanging="540"/>
              <w:rPr>
                <w:rFonts w:ascii="仿宋" w:hAnsi="仿宋" w:eastAsia="仿宋" w:cs="仿宋"/>
                <w:color w:val="auto"/>
                <w:highlight w:val="none"/>
                <w:lang w:eastAsia="zh-CN"/>
              </w:rPr>
            </w:pPr>
          </w:p>
        </w:tc>
        <w:tc>
          <w:tcPr>
            <w:tcW w:w="1410" w:type="dxa"/>
            <w:noWrap w:val="0"/>
            <w:vAlign w:val="top"/>
          </w:tcPr>
          <w:p w14:paraId="4BA604F4">
            <w:pPr>
              <w:pStyle w:val="24"/>
              <w:spacing w:line="240" w:lineRule="atLeast"/>
              <w:ind w:left="1087" w:leftChars="257" w:hanging="540"/>
              <w:rPr>
                <w:rFonts w:ascii="仿宋" w:hAnsi="仿宋" w:eastAsia="仿宋" w:cs="仿宋"/>
                <w:color w:val="auto"/>
                <w:highlight w:val="none"/>
                <w:lang w:eastAsia="zh-CN"/>
              </w:rPr>
            </w:pPr>
          </w:p>
        </w:tc>
        <w:tc>
          <w:tcPr>
            <w:tcW w:w="1040" w:type="dxa"/>
            <w:noWrap w:val="0"/>
            <w:vAlign w:val="top"/>
          </w:tcPr>
          <w:p w14:paraId="0E3DC9DC">
            <w:pPr>
              <w:pStyle w:val="24"/>
              <w:spacing w:line="240" w:lineRule="atLeast"/>
              <w:ind w:left="1087" w:leftChars="257" w:hanging="540"/>
              <w:rPr>
                <w:rFonts w:ascii="仿宋" w:hAnsi="仿宋" w:eastAsia="仿宋" w:cs="仿宋"/>
                <w:color w:val="auto"/>
                <w:highlight w:val="none"/>
                <w:lang w:eastAsia="zh-CN"/>
              </w:rPr>
            </w:pPr>
          </w:p>
        </w:tc>
        <w:tc>
          <w:tcPr>
            <w:tcW w:w="1370" w:type="dxa"/>
            <w:noWrap w:val="0"/>
            <w:vAlign w:val="top"/>
          </w:tcPr>
          <w:p w14:paraId="5C66A2A7">
            <w:pPr>
              <w:pStyle w:val="24"/>
              <w:spacing w:line="240" w:lineRule="atLeast"/>
              <w:ind w:left="1087" w:leftChars="257" w:hanging="540"/>
              <w:rPr>
                <w:rFonts w:ascii="仿宋" w:hAnsi="仿宋" w:eastAsia="仿宋" w:cs="仿宋"/>
                <w:color w:val="auto"/>
                <w:highlight w:val="none"/>
                <w:lang w:eastAsia="zh-CN"/>
              </w:rPr>
            </w:pPr>
          </w:p>
        </w:tc>
        <w:tc>
          <w:tcPr>
            <w:tcW w:w="1420" w:type="dxa"/>
            <w:noWrap w:val="0"/>
            <w:vAlign w:val="top"/>
          </w:tcPr>
          <w:p w14:paraId="31A685A8">
            <w:pPr>
              <w:pStyle w:val="24"/>
              <w:spacing w:line="240" w:lineRule="atLeast"/>
              <w:ind w:left="1087" w:leftChars="257" w:hanging="540"/>
              <w:rPr>
                <w:rFonts w:ascii="仿宋" w:hAnsi="仿宋" w:eastAsia="仿宋" w:cs="仿宋"/>
                <w:color w:val="auto"/>
                <w:highlight w:val="none"/>
                <w:lang w:eastAsia="zh-CN"/>
              </w:rPr>
            </w:pPr>
          </w:p>
        </w:tc>
        <w:tc>
          <w:tcPr>
            <w:tcW w:w="1101" w:type="dxa"/>
            <w:noWrap w:val="0"/>
            <w:vAlign w:val="top"/>
          </w:tcPr>
          <w:p w14:paraId="17433B2D">
            <w:pPr>
              <w:pStyle w:val="24"/>
              <w:spacing w:line="240" w:lineRule="atLeast"/>
              <w:ind w:left="1087" w:leftChars="257" w:hanging="540"/>
              <w:rPr>
                <w:rFonts w:ascii="仿宋" w:hAnsi="仿宋" w:eastAsia="仿宋" w:cs="仿宋"/>
                <w:color w:val="auto"/>
                <w:highlight w:val="none"/>
                <w:lang w:eastAsia="zh-CN"/>
              </w:rPr>
            </w:pPr>
          </w:p>
        </w:tc>
      </w:tr>
    </w:tbl>
    <w:p w14:paraId="30985709">
      <w:pPr>
        <w:pStyle w:val="24"/>
        <w:spacing w:line="240" w:lineRule="atLeast"/>
        <w:ind w:left="1087" w:leftChars="257" w:hanging="540"/>
        <w:rPr>
          <w:rFonts w:ascii="仿宋" w:hAnsi="仿宋" w:eastAsia="仿宋" w:cs="仿宋"/>
          <w:color w:val="auto"/>
          <w:highlight w:val="none"/>
        </w:rPr>
      </w:pPr>
    </w:p>
    <w:p w14:paraId="43287D60">
      <w:pPr>
        <w:pStyle w:val="24"/>
        <w:spacing w:line="240" w:lineRule="atLeast"/>
        <w:ind w:left="1087"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46C76A22">
      <w:pPr>
        <w:pStyle w:val="24"/>
        <w:tabs>
          <w:tab w:val="left" w:pos="5370"/>
        </w:tabs>
        <w:spacing w:line="240" w:lineRule="atLeast"/>
        <w:ind w:left="1087" w:leftChars="257" w:hanging="540"/>
        <w:rPr>
          <w:rFonts w:ascii="仿宋" w:hAnsi="仿宋" w:eastAsia="仿宋" w:cs="仿宋"/>
          <w:color w:val="auto"/>
          <w:highlight w:val="none"/>
          <w:lang w:eastAsia="zh-CN"/>
        </w:rPr>
      </w:pPr>
    </w:p>
    <w:p w14:paraId="6C968B1E">
      <w:pPr>
        <w:pStyle w:val="24"/>
        <w:tabs>
          <w:tab w:val="left" w:pos="5370"/>
        </w:tabs>
        <w:spacing w:line="240" w:lineRule="atLeast"/>
        <w:ind w:left="1087"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47BF92F2">
      <w:pPr>
        <w:pStyle w:val="24"/>
        <w:spacing w:line="240" w:lineRule="atLeast"/>
        <w:ind w:left="1087" w:leftChars="257" w:hanging="540"/>
        <w:rPr>
          <w:rFonts w:ascii="仿宋" w:hAnsi="仿宋" w:eastAsia="仿宋" w:cs="仿宋"/>
          <w:color w:val="auto"/>
          <w:highlight w:val="none"/>
          <w:lang w:eastAsia="zh-CN"/>
        </w:rPr>
      </w:pPr>
    </w:p>
    <w:p w14:paraId="25C7CFE4">
      <w:pPr>
        <w:pStyle w:val="24"/>
        <w:spacing w:line="240" w:lineRule="atLeast"/>
        <w:ind w:left="1087"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注: 各项货物详细技术性能应另页描述</w:t>
      </w:r>
      <w:r>
        <w:rPr>
          <w:rFonts w:hint="eastAsia" w:hAnsi="宋体" w:eastAsia="宋体" w:cs="宋体"/>
          <w:color w:val="auto"/>
          <w:highlight w:val="none"/>
          <w:lang w:eastAsia="zh-CN"/>
        </w:rPr>
        <w:t>。</w:t>
      </w:r>
    </w:p>
    <w:p w14:paraId="7E6C3C76">
      <w:pPr>
        <w:pStyle w:val="24"/>
        <w:spacing w:line="240" w:lineRule="atLeast"/>
        <w:ind w:left="1087" w:leftChars="257" w:hanging="540"/>
        <w:jc w:val="center"/>
        <w:rPr>
          <w:rFonts w:hAnsi="宋体" w:eastAsia="宋体" w:cs="宋体"/>
          <w:color w:val="auto"/>
          <w:highlight w:val="none"/>
          <w:lang w:eastAsia="zh-CN"/>
        </w:rPr>
      </w:pPr>
    </w:p>
    <w:p w14:paraId="02F283B3">
      <w:pPr>
        <w:pStyle w:val="24"/>
        <w:spacing w:line="240" w:lineRule="atLeast"/>
        <w:ind w:left="1087" w:leftChars="257" w:hanging="540"/>
        <w:jc w:val="center"/>
        <w:rPr>
          <w:rFonts w:hAnsi="宋体" w:eastAsia="宋体" w:cs="宋体"/>
          <w:color w:val="auto"/>
          <w:highlight w:val="none"/>
          <w:lang w:eastAsia="zh-CN"/>
        </w:rPr>
        <w:sectPr>
          <w:footerReference r:id="rId16" w:type="default"/>
          <w:pgSz w:w="11905" w:h="16838"/>
          <w:pgMar w:top="1440" w:right="1797" w:bottom="1440" w:left="1797" w:header="850" w:footer="992" w:gutter="0"/>
          <w:pgNumType w:fmt="decimal"/>
          <w:cols w:space="720" w:num="1"/>
          <w:docGrid w:type="linesAndChars" w:linePitch="325" w:charSpace="635"/>
        </w:sectPr>
      </w:pPr>
    </w:p>
    <w:p w14:paraId="3578356C">
      <w:pPr>
        <w:spacing w:line="500" w:lineRule="exact"/>
        <w:jc w:val="center"/>
        <w:outlineLvl w:val="2"/>
        <w:rPr>
          <w:rFonts w:hint="eastAsia" w:ascii="宋体" w:hAnsi="宋体" w:cs="宋体"/>
          <w:b/>
          <w:bCs/>
          <w:sz w:val="28"/>
          <w:szCs w:val="28"/>
        </w:rPr>
      </w:pPr>
      <w:r>
        <w:rPr>
          <w:rFonts w:hint="eastAsia" w:ascii="宋体" w:hAnsi="宋体" w:eastAsia="宋体" w:cs="宋体"/>
          <w:b/>
          <w:bCs/>
          <w:color w:val="auto"/>
          <w:sz w:val="28"/>
          <w:szCs w:val="28"/>
          <w:highlight w:val="none"/>
          <w:lang w:val="en-US" w:eastAsia="zh-CN"/>
        </w:rPr>
        <w:t>3、</w:t>
      </w:r>
      <w:bookmarkEnd w:id="68"/>
      <w:bookmarkStart w:id="69" w:name="_Toc26633_WPSOffice_Level2"/>
      <w:r>
        <w:rPr>
          <w:rFonts w:hint="eastAsia" w:ascii="宋体" w:hAnsi="宋体" w:eastAsia="宋体" w:cs="宋体"/>
          <w:b/>
          <w:bCs/>
          <w:color w:val="auto"/>
          <w:sz w:val="28"/>
          <w:szCs w:val="28"/>
          <w:highlight w:val="none"/>
          <w:lang w:val="en-US" w:eastAsia="zh-CN"/>
        </w:rPr>
        <w:t>投标</w:t>
      </w:r>
      <w:r>
        <w:rPr>
          <w:rFonts w:hint="eastAsia" w:ascii="宋体" w:hAnsi="宋体" w:cs="宋体"/>
          <w:b/>
          <w:bCs/>
          <w:sz w:val="28"/>
          <w:szCs w:val="28"/>
        </w:rPr>
        <w:t>分项报价明细表</w:t>
      </w:r>
    </w:p>
    <w:p w14:paraId="6F62861D">
      <w:pPr>
        <w:pStyle w:val="24"/>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14:paraId="349C3C42">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50"/>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84"/>
        <w:gridCol w:w="1088"/>
        <w:gridCol w:w="1088"/>
        <w:gridCol w:w="1088"/>
        <w:gridCol w:w="1088"/>
        <w:gridCol w:w="787"/>
        <w:gridCol w:w="787"/>
        <w:gridCol w:w="892"/>
        <w:gridCol w:w="669"/>
      </w:tblGrid>
      <w:tr w14:paraId="6186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3" w:type="dxa"/>
            <w:noWrap w:val="0"/>
            <w:vAlign w:val="center"/>
          </w:tcPr>
          <w:p w14:paraId="716B51DF">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84" w:type="dxa"/>
            <w:noWrap w:val="0"/>
            <w:vAlign w:val="center"/>
          </w:tcPr>
          <w:p w14:paraId="1A575D91">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yellow"/>
                <w:lang w:val="en-US" w:eastAsia="zh-CN"/>
              </w:rPr>
              <w:t>标的</w:t>
            </w:r>
            <w:r>
              <w:rPr>
                <w:rFonts w:hint="eastAsia" w:hAnsi="宋体" w:eastAsia="宋体" w:cs="宋体"/>
                <w:color w:val="auto"/>
                <w:sz w:val="21"/>
                <w:szCs w:val="21"/>
                <w:highlight w:val="yellow"/>
                <w:lang w:val="en-US" w:eastAsia="zh-CN"/>
              </w:rPr>
              <w:t>名称</w:t>
            </w:r>
          </w:p>
        </w:tc>
        <w:tc>
          <w:tcPr>
            <w:tcW w:w="1088" w:type="dxa"/>
            <w:noWrap w:val="0"/>
            <w:vAlign w:val="center"/>
          </w:tcPr>
          <w:p w14:paraId="624EAB73">
            <w:pPr>
              <w:pStyle w:val="2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tc>
        <w:tc>
          <w:tcPr>
            <w:tcW w:w="1088" w:type="dxa"/>
            <w:noWrap w:val="0"/>
            <w:vAlign w:val="center"/>
          </w:tcPr>
          <w:p w14:paraId="68A70E23">
            <w:pPr>
              <w:pStyle w:val="2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088" w:type="dxa"/>
            <w:noWrap w:val="0"/>
            <w:vAlign w:val="center"/>
          </w:tcPr>
          <w:p w14:paraId="63B256AB">
            <w:pPr>
              <w:pStyle w:val="2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14:paraId="6570941C">
            <w:pPr>
              <w:pStyle w:val="2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088" w:type="dxa"/>
            <w:noWrap w:val="0"/>
            <w:vAlign w:val="center"/>
          </w:tcPr>
          <w:p w14:paraId="78EB748A">
            <w:pPr>
              <w:pStyle w:val="2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w:t>
            </w:r>
          </w:p>
        </w:tc>
        <w:tc>
          <w:tcPr>
            <w:tcW w:w="787" w:type="dxa"/>
            <w:noWrap w:val="0"/>
            <w:vAlign w:val="center"/>
          </w:tcPr>
          <w:p w14:paraId="50B752CA">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787" w:type="dxa"/>
            <w:noWrap w:val="0"/>
            <w:vAlign w:val="center"/>
          </w:tcPr>
          <w:p w14:paraId="397CFB1C">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892" w:type="dxa"/>
            <w:noWrap w:val="0"/>
            <w:vAlign w:val="center"/>
          </w:tcPr>
          <w:p w14:paraId="22410295">
            <w:pPr>
              <w:pStyle w:val="24"/>
              <w:shd w:val="clear" w:color="auto" w:fill="auto"/>
              <w:spacing w:line="240" w:lineRule="atLeast"/>
              <w:ind w:firstLine="210"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669" w:type="dxa"/>
            <w:noWrap w:val="0"/>
            <w:vAlign w:val="center"/>
          </w:tcPr>
          <w:p w14:paraId="58204CD7">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6B08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3" w:type="dxa"/>
            <w:noWrap w:val="0"/>
            <w:vAlign w:val="center"/>
          </w:tcPr>
          <w:p w14:paraId="1AE44C9E">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84" w:type="dxa"/>
            <w:noWrap w:val="0"/>
            <w:vAlign w:val="center"/>
          </w:tcPr>
          <w:p w14:paraId="4C9CEA2A">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088" w:type="dxa"/>
            <w:noWrap w:val="0"/>
            <w:vAlign w:val="center"/>
          </w:tcPr>
          <w:p w14:paraId="28A3EB33">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14:paraId="03F0E9BE">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14:paraId="0BBA7D33">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14:paraId="1DF95A73">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787" w:type="dxa"/>
            <w:noWrap w:val="0"/>
            <w:vAlign w:val="center"/>
          </w:tcPr>
          <w:p w14:paraId="0E400595">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787" w:type="dxa"/>
            <w:noWrap w:val="0"/>
            <w:vAlign w:val="center"/>
          </w:tcPr>
          <w:p w14:paraId="77305EE0">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892" w:type="dxa"/>
            <w:noWrap w:val="0"/>
            <w:vAlign w:val="center"/>
          </w:tcPr>
          <w:p w14:paraId="2F9A31A4">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669" w:type="dxa"/>
            <w:noWrap w:val="0"/>
            <w:vAlign w:val="center"/>
          </w:tcPr>
          <w:p w14:paraId="7EA55A7D">
            <w:pPr>
              <w:pStyle w:val="24"/>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r>
      <w:tr w14:paraId="2C72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14:paraId="61A7CD6D">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84" w:type="dxa"/>
            <w:noWrap w:val="0"/>
            <w:vAlign w:val="center"/>
          </w:tcPr>
          <w:p w14:paraId="3EEEC447">
            <w:pPr>
              <w:pStyle w:val="2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328B9DEB">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08E84573">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65C69DEE">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611FA429">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05A8346F">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0A83A40F">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14:paraId="62713590">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14:paraId="35D7F1D0">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369D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14:paraId="61A2AFDC">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84" w:type="dxa"/>
            <w:noWrap w:val="0"/>
            <w:vAlign w:val="center"/>
          </w:tcPr>
          <w:p w14:paraId="5EACCC02">
            <w:pPr>
              <w:pStyle w:val="2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69853D86">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13C88FF3">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48CFD22E">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6544F202">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223AB349">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37E5EDFA">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14:paraId="2D6C76FA">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14:paraId="3DC0EF9B">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0F01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14:paraId="05E2AFCA">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84" w:type="dxa"/>
            <w:noWrap w:val="0"/>
            <w:vAlign w:val="center"/>
          </w:tcPr>
          <w:p w14:paraId="041E29C1">
            <w:pPr>
              <w:pStyle w:val="2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37F604EE">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03E7D761">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30848496">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57F24033">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3F0CA7AE">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5659FB13">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14:paraId="08AB6BAA">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14:paraId="779EE6C8">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7145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3" w:type="dxa"/>
            <w:noWrap w:val="0"/>
            <w:vAlign w:val="center"/>
          </w:tcPr>
          <w:p w14:paraId="79D7A04D">
            <w:pPr>
              <w:pStyle w:val="2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84" w:type="dxa"/>
            <w:noWrap w:val="0"/>
            <w:vAlign w:val="center"/>
          </w:tcPr>
          <w:p w14:paraId="18611155">
            <w:pPr>
              <w:pStyle w:val="2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608523AB">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5C17C5F4">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6F502915">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14:paraId="3AF214BC">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13197F96">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14:paraId="2EDFCE91">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14:paraId="555FAA6F">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14:paraId="6F40560C">
            <w:pPr>
              <w:pStyle w:val="24"/>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4906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3" w:type="dxa"/>
            <w:noWrap w:val="0"/>
            <w:vAlign w:val="center"/>
          </w:tcPr>
          <w:p w14:paraId="1FB16EBF">
            <w:pPr>
              <w:pStyle w:val="24"/>
              <w:shd w:val="clear" w:color="auto" w:fill="auto"/>
              <w:spacing w:line="240" w:lineRule="atLeast"/>
              <w:ind w:left="1080" w:leftChars="257" w:hanging="540"/>
              <w:jc w:val="both"/>
              <w:rPr>
                <w:rFonts w:hint="eastAsia" w:hAnsi="宋体" w:eastAsia="宋体" w:cs="宋体"/>
                <w:color w:val="auto"/>
                <w:sz w:val="21"/>
                <w:szCs w:val="21"/>
                <w:highlight w:val="none"/>
                <w:lang w:val="en-US" w:eastAsia="zh-CN"/>
              </w:rPr>
            </w:pPr>
          </w:p>
        </w:tc>
        <w:tc>
          <w:tcPr>
            <w:tcW w:w="9171" w:type="dxa"/>
            <w:gridSpan w:val="9"/>
            <w:noWrap w:val="0"/>
            <w:vAlign w:val="center"/>
          </w:tcPr>
          <w:p w14:paraId="66746AFC">
            <w:pPr>
              <w:pStyle w:val="24"/>
              <w:shd w:val="clear" w:color="auto" w:fill="auto"/>
              <w:spacing w:line="240" w:lineRule="atLeast"/>
              <w:ind w:left="1080" w:leftChars="257" w:hanging="540"/>
              <w:jc w:val="both"/>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14:paraId="31A04639">
      <w:pPr>
        <w:pStyle w:val="24"/>
        <w:shd w:val="clear" w:color="auto" w:fill="auto"/>
        <w:spacing w:line="240" w:lineRule="atLeast"/>
        <w:ind w:left="1080" w:leftChars="257" w:hanging="540"/>
        <w:rPr>
          <w:rFonts w:hint="eastAsia" w:ascii="宋体" w:hAnsi="宋体" w:eastAsia="宋体" w:cs="宋体"/>
          <w:color w:val="auto"/>
          <w:sz w:val="21"/>
          <w:szCs w:val="21"/>
          <w:highlight w:val="none"/>
        </w:rPr>
      </w:pPr>
    </w:p>
    <w:p w14:paraId="61E63659">
      <w:pPr>
        <w:pStyle w:val="24"/>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133833A4">
      <w:pPr>
        <w:pStyle w:val="24"/>
        <w:shd w:val="clear" w:color="auto" w:fill="auto"/>
        <w:tabs>
          <w:tab w:val="left" w:pos="5370"/>
        </w:tabs>
        <w:spacing w:line="240" w:lineRule="atLeast"/>
        <w:ind w:left="1080"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14:paraId="786B035C">
      <w:pPr>
        <w:pStyle w:val="24"/>
        <w:shd w:val="clear" w:color="auto" w:fill="auto"/>
        <w:spacing w:line="240" w:lineRule="atLeast"/>
        <w:ind w:left="1080" w:leftChars="257" w:hanging="540"/>
        <w:rPr>
          <w:rFonts w:hint="eastAsia" w:ascii="宋体" w:hAnsi="宋体" w:eastAsia="宋体" w:cs="宋体"/>
          <w:color w:val="auto"/>
          <w:sz w:val="21"/>
          <w:szCs w:val="21"/>
          <w:highlight w:val="none"/>
        </w:rPr>
      </w:pPr>
    </w:p>
    <w:p w14:paraId="78018313">
      <w:pPr>
        <w:pStyle w:val="24"/>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14:paraId="110D9089">
      <w:pPr>
        <w:pStyle w:val="24"/>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14:paraId="6F506E5D">
      <w:pPr>
        <w:pStyle w:val="24"/>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14:paraId="0806C7A4">
      <w:pPr>
        <w:pStyle w:val="24"/>
        <w:shd w:val="clear" w:color="auto" w:fill="auto"/>
        <w:spacing w:line="240" w:lineRule="atLeast"/>
        <w:ind w:left="1074" w:leftChars="455" w:hanging="119"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14:paraId="1B3C7C59">
      <w:pPr>
        <w:widowControl/>
        <w:spacing w:line="500" w:lineRule="atLeast"/>
        <w:rPr>
          <w:rFonts w:hint="eastAsia" w:ascii="宋体" w:hAnsi="宋体" w:eastAsia="宋体" w:cs="宋体"/>
          <w:b/>
          <w:bCs/>
          <w:color w:val="auto"/>
          <w:sz w:val="30"/>
          <w:highlight w:val="none"/>
          <w:lang w:val="en-US" w:eastAsia="zh-CN"/>
        </w:rPr>
      </w:pPr>
      <w:r>
        <w:rPr>
          <w:rFonts w:hint="eastAsia" w:ascii="宋体" w:hAnsi="宋体" w:eastAsia="宋体" w:cs="宋体"/>
          <w:color w:val="auto"/>
          <w:sz w:val="24"/>
          <w:highlight w:val="none"/>
        </w:rPr>
        <w:br w:type="page"/>
      </w:r>
      <w:r>
        <w:rPr>
          <w:rFonts w:hint="eastAsia" w:ascii="宋体" w:hAnsi="宋体" w:cs="宋体"/>
          <w:kern w:val="0"/>
          <w:szCs w:val="21"/>
          <w:u w:val="single"/>
        </w:rPr>
        <w:t xml:space="preserve">    </w:t>
      </w:r>
    </w:p>
    <w:bookmarkEnd w:id="69"/>
    <w:p w14:paraId="6CDDB521">
      <w:pPr>
        <w:spacing w:line="440" w:lineRule="exact"/>
        <w:jc w:val="center"/>
        <w:outlineLvl w:val="2"/>
        <w:rPr>
          <w:rFonts w:hint="eastAsia" w:ascii="宋体" w:hAnsi="宋体" w:cs="宋体"/>
          <w:b/>
          <w:bCs/>
          <w:sz w:val="28"/>
          <w:szCs w:val="28"/>
        </w:rPr>
      </w:pPr>
      <w:bookmarkStart w:id="70" w:name="_Toc2791_WPSOffice_Level2"/>
      <w:r>
        <w:rPr>
          <w:rFonts w:hint="eastAsia" w:ascii="宋体" w:hAnsi="宋体" w:eastAsia="宋体" w:cs="宋体"/>
          <w:b/>
          <w:bCs/>
          <w:color w:val="000000"/>
          <w:sz w:val="30"/>
          <w:highlight w:val="none"/>
          <w:lang w:val="en-US" w:eastAsia="zh-CN"/>
        </w:rPr>
        <w:t>4</w:t>
      </w:r>
      <w:r>
        <w:rPr>
          <w:rFonts w:hint="eastAsia" w:ascii="宋体" w:hAnsi="宋体" w:eastAsia="宋体" w:cs="宋体"/>
          <w:b/>
          <w:bCs/>
          <w:color w:val="000000"/>
          <w:sz w:val="30"/>
          <w:highlight w:val="none"/>
        </w:rPr>
        <w:t>、</w:t>
      </w:r>
      <w:r>
        <w:rPr>
          <w:rFonts w:hint="eastAsia" w:ascii="宋体" w:hAnsi="宋体" w:cs="宋体"/>
          <w:b/>
          <w:bCs/>
          <w:sz w:val="28"/>
          <w:szCs w:val="28"/>
        </w:rPr>
        <w:t>技术要求偏离表</w:t>
      </w:r>
      <w:r>
        <w:rPr>
          <w:rFonts w:hint="eastAsia" w:ascii="宋体" w:hAnsi="宋体" w:eastAsia="宋体" w:cs="宋体"/>
          <w:b/>
          <w:bCs/>
          <w:color w:val="000000"/>
          <w:sz w:val="30"/>
          <w:highlight w:val="none"/>
        </w:rPr>
        <w:t>（格式）</w:t>
      </w:r>
    </w:p>
    <w:tbl>
      <w:tblPr>
        <w:tblStyle w:val="50"/>
        <w:tblW w:w="8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1574"/>
        <w:gridCol w:w="1538"/>
        <w:gridCol w:w="1538"/>
        <w:gridCol w:w="1539"/>
        <w:gridCol w:w="1539"/>
      </w:tblGrid>
      <w:tr w14:paraId="764D0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049" w:type="dxa"/>
            <w:noWrap w:val="0"/>
            <w:vAlign w:val="center"/>
          </w:tcPr>
          <w:p w14:paraId="5122240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74" w:type="dxa"/>
            <w:noWrap w:val="0"/>
            <w:vAlign w:val="center"/>
          </w:tcPr>
          <w:p w14:paraId="77C1F7D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货物名称</w:t>
            </w:r>
          </w:p>
        </w:tc>
        <w:tc>
          <w:tcPr>
            <w:tcW w:w="1538" w:type="dxa"/>
            <w:noWrap w:val="0"/>
            <w:vAlign w:val="center"/>
          </w:tcPr>
          <w:p w14:paraId="684C403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谈判文件</w:t>
            </w:r>
            <w:r>
              <w:rPr>
                <w:rFonts w:hint="eastAsia" w:ascii="仿宋" w:hAnsi="仿宋" w:eastAsia="仿宋" w:cs="仿宋"/>
                <w:bCs/>
                <w:color w:val="auto"/>
                <w:sz w:val="24"/>
                <w:szCs w:val="24"/>
                <w:highlight w:val="none"/>
              </w:rPr>
              <w:t>要求规格</w:t>
            </w:r>
          </w:p>
        </w:tc>
        <w:tc>
          <w:tcPr>
            <w:tcW w:w="1538" w:type="dxa"/>
            <w:noWrap w:val="0"/>
            <w:vAlign w:val="center"/>
          </w:tcPr>
          <w:p w14:paraId="5763CDD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投标规格</w:t>
            </w:r>
          </w:p>
        </w:tc>
        <w:tc>
          <w:tcPr>
            <w:tcW w:w="1539" w:type="dxa"/>
            <w:noWrap w:val="0"/>
            <w:vAlign w:val="center"/>
          </w:tcPr>
          <w:p w14:paraId="1B9D4D8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偏离</w:t>
            </w:r>
          </w:p>
        </w:tc>
        <w:tc>
          <w:tcPr>
            <w:tcW w:w="1539" w:type="dxa"/>
            <w:noWrap w:val="0"/>
            <w:vAlign w:val="center"/>
          </w:tcPr>
          <w:p w14:paraId="446D3A6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6676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5" w:hRule="atLeast"/>
          <w:jc w:val="center"/>
        </w:trPr>
        <w:tc>
          <w:tcPr>
            <w:tcW w:w="1049" w:type="dxa"/>
            <w:noWrap w:val="0"/>
            <w:vAlign w:val="top"/>
          </w:tcPr>
          <w:p w14:paraId="629961EE">
            <w:pPr>
              <w:jc w:val="center"/>
              <w:rPr>
                <w:rFonts w:hint="eastAsia" w:ascii="仿宋" w:hAnsi="仿宋" w:eastAsia="仿宋" w:cs="仿宋"/>
                <w:b/>
                <w:bCs/>
                <w:color w:val="auto"/>
                <w:sz w:val="24"/>
                <w:szCs w:val="24"/>
                <w:highlight w:val="none"/>
              </w:rPr>
            </w:pPr>
          </w:p>
        </w:tc>
        <w:tc>
          <w:tcPr>
            <w:tcW w:w="1574" w:type="dxa"/>
            <w:noWrap w:val="0"/>
            <w:vAlign w:val="top"/>
          </w:tcPr>
          <w:p w14:paraId="1301F15F">
            <w:pPr>
              <w:jc w:val="center"/>
              <w:rPr>
                <w:rFonts w:hint="eastAsia" w:ascii="仿宋" w:hAnsi="仿宋" w:eastAsia="仿宋" w:cs="仿宋"/>
                <w:b/>
                <w:bCs/>
                <w:color w:val="auto"/>
                <w:sz w:val="24"/>
                <w:szCs w:val="24"/>
                <w:highlight w:val="none"/>
              </w:rPr>
            </w:pPr>
          </w:p>
        </w:tc>
        <w:tc>
          <w:tcPr>
            <w:tcW w:w="1538" w:type="dxa"/>
            <w:noWrap w:val="0"/>
            <w:vAlign w:val="top"/>
          </w:tcPr>
          <w:p w14:paraId="3DF5A9A9">
            <w:pPr>
              <w:jc w:val="center"/>
              <w:rPr>
                <w:rFonts w:hint="eastAsia" w:ascii="仿宋" w:hAnsi="仿宋" w:eastAsia="仿宋" w:cs="仿宋"/>
                <w:b/>
                <w:bCs/>
                <w:color w:val="auto"/>
                <w:sz w:val="24"/>
                <w:szCs w:val="24"/>
                <w:highlight w:val="none"/>
              </w:rPr>
            </w:pPr>
          </w:p>
        </w:tc>
        <w:tc>
          <w:tcPr>
            <w:tcW w:w="1538" w:type="dxa"/>
            <w:noWrap w:val="0"/>
            <w:vAlign w:val="top"/>
          </w:tcPr>
          <w:p w14:paraId="6A00C07C">
            <w:pPr>
              <w:jc w:val="center"/>
              <w:rPr>
                <w:rFonts w:hint="eastAsia" w:ascii="仿宋" w:hAnsi="仿宋" w:eastAsia="仿宋" w:cs="仿宋"/>
                <w:b/>
                <w:bCs/>
                <w:color w:val="auto"/>
                <w:sz w:val="24"/>
                <w:szCs w:val="24"/>
                <w:highlight w:val="none"/>
              </w:rPr>
            </w:pPr>
          </w:p>
        </w:tc>
        <w:tc>
          <w:tcPr>
            <w:tcW w:w="1539" w:type="dxa"/>
            <w:noWrap w:val="0"/>
            <w:vAlign w:val="top"/>
          </w:tcPr>
          <w:p w14:paraId="2C387EE9">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如有正偏离需提供证明材料，证明材料附后(并注明页码)</w:t>
            </w:r>
          </w:p>
        </w:tc>
        <w:tc>
          <w:tcPr>
            <w:tcW w:w="1539" w:type="dxa"/>
            <w:noWrap w:val="0"/>
            <w:vAlign w:val="top"/>
          </w:tcPr>
          <w:p w14:paraId="08EA7F81">
            <w:pPr>
              <w:jc w:val="center"/>
              <w:rPr>
                <w:rFonts w:hint="eastAsia" w:ascii="仿宋" w:hAnsi="仿宋" w:eastAsia="仿宋" w:cs="仿宋"/>
                <w:b/>
                <w:bCs/>
                <w:color w:val="auto"/>
                <w:sz w:val="24"/>
                <w:szCs w:val="24"/>
                <w:highlight w:val="none"/>
              </w:rPr>
            </w:pPr>
          </w:p>
        </w:tc>
      </w:tr>
      <w:tr w14:paraId="7F932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1049" w:type="dxa"/>
            <w:noWrap w:val="0"/>
            <w:vAlign w:val="top"/>
          </w:tcPr>
          <w:p w14:paraId="31163930">
            <w:pPr>
              <w:jc w:val="center"/>
              <w:rPr>
                <w:rFonts w:hint="eastAsia" w:ascii="仿宋" w:hAnsi="仿宋" w:eastAsia="仿宋" w:cs="仿宋"/>
                <w:b/>
                <w:bCs/>
                <w:color w:val="auto"/>
                <w:sz w:val="24"/>
                <w:szCs w:val="24"/>
                <w:highlight w:val="none"/>
              </w:rPr>
            </w:pPr>
          </w:p>
        </w:tc>
        <w:tc>
          <w:tcPr>
            <w:tcW w:w="1574" w:type="dxa"/>
            <w:noWrap w:val="0"/>
            <w:vAlign w:val="top"/>
          </w:tcPr>
          <w:p w14:paraId="24C5E25E">
            <w:pPr>
              <w:jc w:val="center"/>
              <w:rPr>
                <w:rFonts w:hint="eastAsia" w:ascii="仿宋" w:hAnsi="仿宋" w:eastAsia="仿宋" w:cs="仿宋"/>
                <w:b/>
                <w:bCs/>
                <w:color w:val="auto"/>
                <w:sz w:val="24"/>
                <w:szCs w:val="24"/>
                <w:highlight w:val="none"/>
              </w:rPr>
            </w:pPr>
          </w:p>
        </w:tc>
        <w:tc>
          <w:tcPr>
            <w:tcW w:w="1538" w:type="dxa"/>
            <w:noWrap w:val="0"/>
            <w:vAlign w:val="top"/>
          </w:tcPr>
          <w:p w14:paraId="71078FB7">
            <w:pPr>
              <w:jc w:val="center"/>
              <w:rPr>
                <w:rFonts w:hint="eastAsia" w:ascii="仿宋" w:hAnsi="仿宋" w:eastAsia="仿宋" w:cs="仿宋"/>
                <w:b/>
                <w:bCs/>
                <w:color w:val="auto"/>
                <w:sz w:val="24"/>
                <w:szCs w:val="24"/>
                <w:highlight w:val="none"/>
              </w:rPr>
            </w:pPr>
          </w:p>
        </w:tc>
        <w:tc>
          <w:tcPr>
            <w:tcW w:w="1538" w:type="dxa"/>
            <w:noWrap w:val="0"/>
            <w:vAlign w:val="top"/>
          </w:tcPr>
          <w:p w14:paraId="2D6A74C1">
            <w:pPr>
              <w:jc w:val="center"/>
              <w:rPr>
                <w:rFonts w:hint="eastAsia" w:ascii="仿宋" w:hAnsi="仿宋" w:eastAsia="仿宋" w:cs="仿宋"/>
                <w:b/>
                <w:bCs/>
                <w:color w:val="auto"/>
                <w:sz w:val="24"/>
                <w:szCs w:val="24"/>
                <w:highlight w:val="none"/>
              </w:rPr>
            </w:pPr>
          </w:p>
        </w:tc>
        <w:tc>
          <w:tcPr>
            <w:tcW w:w="1539" w:type="dxa"/>
            <w:noWrap w:val="0"/>
            <w:vAlign w:val="top"/>
          </w:tcPr>
          <w:p w14:paraId="08508315">
            <w:pPr>
              <w:jc w:val="center"/>
              <w:rPr>
                <w:rFonts w:hint="eastAsia" w:ascii="仿宋" w:hAnsi="仿宋" w:eastAsia="仿宋" w:cs="仿宋"/>
                <w:b/>
                <w:bCs/>
                <w:color w:val="auto"/>
                <w:sz w:val="24"/>
                <w:szCs w:val="24"/>
                <w:highlight w:val="none"/>
              </w:rPr>
            </w:pPr>
          </w:p>
        </w:tc>
        <w:tc>
          <w:tcPr>
            <w:tcW w:w="1539" w:type="dxa"/>
            <w:noWrap w:val="0"/>
            <w:vAlign w:val="top"/>
          </w:tcPr>
          <w:p w14:paraId="4946232F">
            <w:pPr>
              <w:jc w:val="center"/>
              <w:rPr>
                <w:rFonts w:hint="eastAsia" w:ascii="仿宋" w:hAnsi="仿宋" w:eastAsia="仿宋" w:cs="仿宋"/>
                <w:b/>
                <w:bCs/>
                <w:color w:val="auto"/>
                <w:sz w:val="24"/>
                <w:szCs w:val="24"/>
                <w:highlight w:val="none"/>
              </w:rPr>
            </w:pPr>
          </w:p>
        </w:tc>
      </w:tr>
      <w:tr w14:paraId="305F7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1049" w:type="dxa"/>
            <w:noWrap w:val="0"/>
            <w:vAlign w:val="top"/>
          </w:tcPr>
          <w:p w14:paraId="01BC2949">
            <w:pPr>
              <w:jc w:val="center"/>
              <w:rPr>
                <w:rFonts w:hint="eastAsia" w:ascii="仿宋" w:hAnsi="仿宋" w:eastAsia="仿宋" w:cs="仿宋"/>
                <w:b/>
                <w:bCs/>
                <w:color w:val="auto"/>
                <w:sz w:val="24"/>
                <w:szCs w:val="24"/>
                <w:highlight w:val="none"/>
              </w:rPr>
            </w:pPr>
          </w:p>
        </w:tc>
        <w:tc>
          <w:tcPr>
            <w:tcW w:w="1574" w:type="dxa"/>
            <w:noWrap w:val="0"/>
            <w:vAlign w:val="top"/>
          </w:tcPr>
          <w:p w14:paraId="2F2F6583">
            <w:pPr>
              <w:jc w:val="center"/>
              <w:rPr>
                <w:rFonts w:hint="eastAsia" w:ascii="仿宋" w:hAnsi="仿宋" w:eastAsia="仿宋" w:cs="仿宋"/>
                <w:b/>
                <w:bCs/>
                <w:color w:val="auto"/>
                <w:sz w:val="24"/>
                <w:szCs w:val="24"/>
                <w:highlight w:val="none"/>
              </w:rPr>
            </w:pPr>
          </w:p>
        </w:tc>
        <w:tc>
          <w:tcPr>
            <w:tcW w:w="1538" w:type="dxa"/>
            <w:noWrap w:val="0"/>
            <w:vAlign w:val="top"/>
          </w:tcPr>
          <w:p w14:paraId="274AFA6F">
            <w:pPr>
              <w:jc w:val="center"/>
              <w:rPr>
                <w:rFonts w:hint="eastAsia" w:ascii="仿宋" w:hAnsi="仿宋" w:eastAsia="仿宋" w:cs="仿宋"/>
                <w:b/>
                <w:bCs/>
                <w:color w:val="auto"/>
                <w:sz w:val="24"/>
                <w:szCs w:val="24"/>
                <w:highlight w:val="none"/>
              </w:rPr>
            </w:pPr>
          </w:p>
        </w:tc>
        <w:tc>
          <w:tcPr>
            <w:tcW w:w="1538" w:type="dxa"/>
            <w:noWrap w:val="0"/>
            <w:vAlign w:val="top"/>
          </w:tcPr>
          <w:p w14:paraId="649EF6C3">
            <w:pPr>
              <w:jc w:val="center"/>
              <w:rPr>
                <w:rFonts w:hint="eastAsia" w:ascii="仿宋" w:hAnsi="仿宋" w:eastAsia="仿宋" w:cs="仿宋"/>
                <w:b/>
                <w:bCs/>
                <w:color w:val="auto"/>
                <w:sz w:val="24"/>
                <w:szCs w:val="24"/>
                <w:highlight w:val="none"/>
              </w:rPr>
            </w:pPr>
          </w:p>
        </w:tc>
        <w:tc>
          <w:tcPr>
            <w:tcW w:w="1539" w:type="dxa"/>
            <w:noWrap w:val="0"/>
            <w:vAlign w:val="top"/>
          </w:tcPr>
          <w:p w14:paraId="79AFA2EC">
            <w:pPr>
              <w:jc w:val="center"/>
              <w:rPr>
                <w:rFonts w:hint="eastAsia" w:ascii="仿宋" w:hAnsi="仿宋" w:eastAsia="仿宋" w:cs="仿宋"/>
                <w:b/>
                <w:bCs/>
                <w:color w:val="auto"/>
                <w:sz w:val="24"/>
                <w:szCs w:val="24"/>
                <w:highlight w:val="none"/>
              </w:rPr>
            </w:pPr>
          </w:p>
        </w:tc>
        <w:tc>
          <w:tcPr>
            <w:tcW w:w="1539" w:type="dxa"/>
            <w:noWrap w:val="0"/>
            <w:vAlign w:val="top"/>
          </w:tcPr>
          <w:p w14:paraId="50744425">
            <w:pPr>
              <w:jc w:val="center"/>
              <w:rPr>
                <w:rFonts w:hint="eastAsia" w:ascii="仿宋" w:hAnsi="仿宋" w:eastAsia="仿宋" w:cs="仿宋"/>
                <w:b/>
                <w:bCs/>
                <w:color w:val="auto"/>
                <w:sz w:val="24"/>
                <w:szCs w:val="24"/>
                <w:highlight w:val="none"/>
              </w:rPr>
            </w:pPr>
          </w:p>
        </w:tc>
      </w:tr>
      <w:tr w14:paraId="40B2C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1049" w:type="dxa"/>
            <w:noWrap w:val="0"/>
            <w:vAlign w:val="top"/>
          </w:tcPr>
          <w:p w14:paraId="6E7557E0">
            <w:pPr>
              <w:jc w:val="center"/>
              <w:rPr>
                <w:rFonts w:hint="eastAsia" w:ascii="仿宋" w:hAnsi="仿宋" w:eastAsia="仿宋" w:cs="仿宋"/>
                <w:b/>
                <w:bCs/>
                <w:color w:val="auto"/>
                <w:sz w:val="24"/>
                <w:szCs w:val="24"/>
                <w:highlight w:val="none"/>
              </w:rPr>
            </w:pPr>
          </w:p>
        </w:tc>
        <w:tc>
          <w:tcPr>
            <w:tcW w:w="1574" w:type="dxa"/>
            <w:noWrap w:val="0"/>
            <w:vAlign w:val="top"/>
          </w:tcPr>
          <w:p w14:paraId="393AEF4A">
            <w:pPr>
              <w:jc w:val="center"/>
              <w:rPr>
                <w:rFonts w:hint="eastAsia" w:ascii="仿宋" w:hAnsi="仿宋" w:eastAsia="仿宋" w:cs="仿宋"/>
                <w:b/>
                <w:bCs/>
                <w:color w:val="auto"/>
                <w:sz w:val="24"/>
                <w:szCs w:val="24"/>
                <w:highlight w:val="none"/>
              </w:rPr>
            </w:pPr>
          </w:p>
        </w:tc>
        <w:tc>
          <w:tcPr>
            <w:tcW w:w="1538" w:type="dxa"/>
            <w:noWrap w:val="0"/>
            <w:vAlign w:val="top"/>
          </w:tcPr>
          <w:p w14:paraId="27C4316B">
            <w:pPr>
              <w:jc w:val="center"/>
              <w:rPr>
                <w:rFonts w:hint="eastAsia" w:ascii="仿宋" w:hAnsi="仿宋" w:eastAsia="仿宋" w:cs="仿宋"/>
                <w:b/>
                <w:bCs/>
                <w:color w:val="auto"/>
                <w:sz w:val="24"/>
                <w:szCs w:val="24"/>
                <w:highlight w:val="none"/>
              </w:rPr>
            </w:pPr>
          </w:p>
        </w:tc>
        <w:tc>
          <w:tcPr>
            <w:tcW w:w="1538" w:type="dxa"/>
            <w:noWrap w:val="0"/>
            <w:vAlign w:val="top"/>
          </w:tcPr>
          <w:p w14:paraId="0C43EE80">
            <w:pPr>
              <w:jc w:val="center"/>
              <w:rPr>
                <w:rFonts w:hint="eastAsia" w:ascii="仿宋" w:hAnsi="仿宋" w:eastAsia="仿宋" w:cs="仿宋"/>
                <w:b/>
                <w:bCs/>
                <w:color w:val="auto"/>
                <w:sz w:val="24"/>
                <w:szCs w:val="24"/>
                <w:highlight w:val="none"/>
              </w:rPr>
            </w:pPr>
          </w:p>
        </w:tc>
        <w:tc>
          <w:tcPr>
            <w:tcW w:w="1539" w:type="dxa"/>
            <w:noWrap w:val="0"/>
            <w:vAlign w:val="top"/>
          </w:tcPr>
          <w:p w14:paraId="4BEBB868">
            <w:pPr>
              <w:jc w:val="center"/>
              <w:rPr>
                <w:rFonts w:hint="eastAsia" w:ascii="仿宋" w:hAnsi="仿宋" w:eastAsia="仿宋" w:cs="仿宋"/>
                <w:b/>
                <w:bCs/>
                <w:color w:val="auto"/>
                <w:sz w:val="24"/>
                <w:szCs w:val="24"/>
                <w:highlight w:val="none"/>
              </w:rPr>
            </w:pPr>
          </w:p>
        </w:tc>
        <w:tc>
          <w:tcPr>
            <w:tcW w:w="1539" w:type="dxa"/>
            <w:noWrap w:val="0"/>
            <w:vAlign w:val="top"/>
          </w:tcPr>
          <w:p w14:paraId="46C478D5">
            <w:pPr>
              <w:jc w:val="center"/>
              <w:rPr>
                <w:rFonts w:hint="eastAsia" w:ascii="仿宋" w:hAnsi="仿宋" w:eastAsia="仿宋" w:cs="仿宋"/>
                <w:b/>
                <w:bCs/>
                <w:color w:val="auto"/>
                <w:sz w:val="24"/>
                <w:szCs w:val="24"/>
                <w:highlight w:val="none"/>
              </w:rPr>
            </w:pPr>
          </w:p>
        </w:tc>
      </w:tr>
      <w:tr w14:paraId="02D8D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1049" w:type="dxa"/>
            <w:noWrap w:val="0"/>
            <w:vAlign w:val="top"/>
          </w:tcPr>
          <w:p w14:paraId="3223D67C">
            <w:pPr>
              <w:jc w:val="center"/>
              <w:rPr>
                <w:rFonts w:hint="eastAsia" w:ascii="仿宋" w:hAnsi="仿宋" w:eastAsia="仿宋" w:cs="仿宋"/>
                <w:b/>
                <w:bCs/>
                <w:color w:val="auto"/>
                <w:sz w:val="24"/>
                <w:szCs w:val="24"/>
                <w:highlight w:val="none"/>
              </w:rPr>
            </w:pPr>
          </w:p>
        </w:tc>
        <w:tc>
          <w:tcPr>
            <w:tcW w:w="1574" w:type="dxa"/>
            <w:noWrap w:val="0"/>
            <w:vAlign w:val="top"/>
          </w:tcPr>
          <w:p w14:paraId="0B48A62C">
            <w:pPr>
              <w:jc w:val="center"/>
              <w:rPr>
                <w:rFonts w:hint="eastAsia" w:ascii="仿宋" w:hAnsi="仿宋" w:eastAsia="仿宋" w:cs="仿宋"/>
                <w:b/>
                <w:bCs/>
                <w:color w:val="auto"/>
                <w:sz w:val="24"/>
                <w:szCs w:val="24"/>
                <w:highlight w:val="none"/>
              </w:rPr>
            </w:pPr>
          </w:p>
        </w:tc>
        <w:tc>
          <w:tcPr>
            <w:tcW w:w="1538" w:type="dxa"/>
            <w:noWrap w:val="0"/>
            <w:vAlign w:val="top"/>
          </w:tcPr>
          <w:p w14:paraId="3CC6FC54">
            <w:pPr>
              <w:jc w:val="center"/>
              <w:rPr>
                <w:rFonts w:hint="eastAsia" w:ascii="仿宋" w:hAnsi="仿宋" w:eastAsia="仿宋" w:cs="仿宋"/>
                <w:b/>
                <w:bCs/>
                <w:color w:val="auto"/>
                <w:sz w:val="24"/>
                <w:szCs w:val="24"/>
                <w:highlight w:val="none"/>
              </w:rPr>
            </w:pPr>
          </w:p>
        </w:tc>
        <w:tc>
          <w:tcPr>
            <w:tcW w:w="1538" w:type="dxa"/>
            <w:noWrap w:val="0"/>
            <w:vAlign w:val="top"/>
          </w:tcPr>
          <w:p w14:paraId="7901148C">
            <w:pPr>
              <w:jc w:val="center"/>
              <w:rPr>
                <w:rFonts w:hint="eastAsia" w:ascii="仿宋" w:hAnsi="仿宋" w:eastAsia="仿宋" w:cs="仿宋"/>
                <w:b/>
                <w:bCs/>
                <w:color w:val="auto"/>
                <w:sz w:val="24"/>
                <w:szCs w:val="24"/>
                <w:highlight w:val="none"/>
              </w:rPr>
            </w:pPr>
          </w:p>
        </w:tc>
        <w:tc>
          <w:tcPr>
            <w:tcW w:w="1539" w:type="dxa"/>
            <w:noWrap w:val="0"/>
            <w:vAlign w:val="top"/>
          </w:tcPr>
          <w:p w14:paraId="01AD935D">
            <w:pPr>
              <w:jc w:val="center"/>
              <w:rPr>
                <w:rFonts w:hint="eastAsia" w:ascii="仿宋" w:hAnsi="仿宋" w:eastAsia="仿宋" w:cs="仿宋"/>
                <w:b/>
                <w:bCs/>
                <w:color w:val="auto"/>
                <w:sz w:val="24"/>
                <w:szCs w:val="24"/>
                <w:highlight w:val="none"/>
              </w:rPr>
            </w:pPr>
          </w:p>
        </w:tc>
        <w:tc>
          <w:tcPr>
            <w:tcW w:w="1539" w:type="dxa"/>
            <w:noWrap w:val="0"/>
            <w:vAlign w:val="top"/>
          </w:tcPr>
          <w:p w14:paraId="2DF0BF28">
            <w:pPr>
              <w:jc w:val="center"/>
              <w:rPr>
                <w:rFonts w:hint="eastAsia" w:ascii="仿宋" w:hAnsi="仿宋" w:eastAsia="仿宋" w:cs="仿宋"/>
                <w:b/>
                <w:bCs/>
                <w:color w:val="auto"/>
                <w:sz w:val="24"/>
                <w:szCs w:val="24"/>
                <w:highlight w:val="none"/>
              </w:rPr>
            </w:pPr>
          </w:p>
        </w:tc>
      </w:tr>
    </w:tbl>
    <w:p w14:paraId="012375C5">
      <w:pPr>
        <w:spacing w:line="360" w:lineRule="auto"/>
        <w:ind w:firstLine="475" w:firstLineChars="19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备注：投标人应根据其提供的货物，对照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章“技术标准和要求”中的要求，有差异的，则在此表中列明实际响应的内容提要并加以说明，以便查对。本表包括所有的技术响应及差异。无差异说明表示完全响应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未列明项视为完全响应，正偏离需附检测报告。</w:t>
      </w:r>
    </w:p>
    <w:p w14:paraId="2220F4B7">
      <w:pPr>
        <w:pStyle w:val="24"/>
        <w:tabs>
          <w:tab w:val="left" w:pos="5580"/>
        </w:tabs>
        <w:spacing w:line="360" w:lineRule="auto"/>
        <w:ind w:firstLine="3120" w:firstLineChars="1300"/>
        <w:rPr>
          <w:rFonts w:hint="eastAsia" w:ascii="仿宋" w:hAnsi="仿宋" w:eastAsia="仿宋" w:cs="仿宋"/>
          <w:color w:val="auto"/>
          <w:sz w:val="24"/>
          <w:highlight w:val="none"/>
        </w:rPr>
      </w:pPr>
    </w:p>
    <w:p w14:paraId="6B833F49">
      <w:pPr>
        <w:pStyle w:val="24"/>
        <w:tabs>
          <w:tab w:val="left" w:pos="5580"/>
        </w:tabs>
        <w:spacing w:line="360"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2FFF3EB">
      <w:pPr>
        <w:pStyle w:val="24"/>
        <w:tabs>
          <w:tab w:val="left" w:pos="5580"/>
        </w:tabs>
        <w:spacing w:line="360" w:lineRule="auto"/>
        <w:ind w:firstLine="3120" w:firstLineChars="13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highlight w:val="none"/>
          <w:lang w:eastAsia="zh-CN"/>
        </w:rPr>
        <w:t>法定代表人或</w:t>
      </w:r>
      <w:r>
        <w:rPr>
          <w:rFonts w:hint="eastAsia" w:ascii="仿宋" w:hAnsi="仿宋" w:eastAsia="仿宋" w:cs="仿宋"/>
          <w:color w:val="auto"/>
          <w:kern w:val="0"/>
          <w:sz w:val="24"/>
          <w:szCs w:val="24"/>
          <w:highlight w:val="none"/>
        </w:rPr>
        <w:t>委托代理人</w:t>
      </w:r>
      <w:r>
        <w:rPr>
          <w:rFonts w:hint="eastAsia" w:ascii="仿宋" w:hAnsi="仿宋" w:eastAsia="仿宋" w:cs="仿宋"/>
          <w:color w:val="auto"/>
          <w:sz w:val="24"/>
          <w:highlight w:val="none"/>
          <w:lang w:eastAsia="zh-CN"/>
        </w:rPr>
        <w:t>（签字或盖章）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 xml:space="preserve">                   </w:t>
      </w:r>
    </w:p>
    <w:p w14:paraId="23CBBCCA">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30881B3">
      <w:pPr>
        <w:pStyle w:val="178"/>
        <w:spacing w:line="440" w:lineRule="exact"/>
        <w:ind w:left="0" w:leftChars="0" w:firstLine="0" w:firstLineChars="0"/>
        <w:rPr>
          <w:rFonts w:hint="eastAsia" w:ascii="宋体" w:hAnsi="宋体" w:cs="宋体"/>
          <w:b/>
          <w:bCs/>
          <w:szCs w:val="21"/>
        </w:rPr>
      </w:pPr>
      <w:r>
        <w:rPr>
          <w:rFonts w:hint="eastAsia" w:ascii="宋体" w:hAnsi="宋体" w:cs="宋体"/>
          <w:b/>
          <w:bCs/>
          <w:szCs w:val="21"/>
        </w:rPr>
        <w:t>填写说明：</w:t>
      </w:r>
    </w:p>
    <w:p w14:paraId="64995E8B">
      <w:pPr>
        <w:spacing w:line="440" w:lineRule="exact"/>
        <w:ind w:firstLine="422" w:firstLineChars="200"/>
        <w:rPr>
          <w:rFonts w:hint="eastAsia" w:ascii="宋体" w:hAnsi="宋体" w:cs="宋体"/>
          <w:b/>
          <w:bCs/>
          <w:szCs w:val="21"/>
        </w:rPr>
      </w:pPr>
      <w:r>
        <w:rPr>
          <w:rFonts w:hint="eastAsia" w:ascii="宋体" w:hAnsi="宋体" w:cs="宋体"/>
          <w:b/>
          <w:bCs/>
          <w:szCs w:val="21"/>
        </w:rPr>
        <w:t xml:space="preserve">1. </w:t>
      </w:r>
      <w:r>
        <w:rPr>
          <w:rFonts w:hint="eastAsia" w:ascii="宋体" w:hAnsi="宋体" w:cs="宋体"/>
          <w:b/>
          <w:bCs/>
          <w:szCs w:val="21"/>
          <w:lang w:eastAsia="zh-CN"/>
        </w:rPr>
        <w:t>响应文件</w:t>
      </w:r>
      <w:r>
        <w:rPr>
          <w:rFonts w:hint="eastAsia" w:ascii="宋体" w:hAnsi="宋体" w:cs="宋体"/>
          <w:b/>
          <w:bCs/>
          <w:szCs w:val="21"/>
        </w:rPr>
        <w:t>中的技术指标与招标文件中技术指标的要求应逐条列示在本表之中。</w:t>
      </w:r>
    </w:p>
    <w:p w14:paraId="4A342D54">
      <w:pPr>
        <w:spacing w:line="440" w:lineRule="exact"/>
        <w:ind w:firstLine="422" w:firstLineChars="200"/>
        <w:rPr>
          <w:rFonts w:hint="eastAsia" w:ascii="宋体" w:hAnsi="宋体" w:cs="宋体"/>
          <w:b/>
          <w:bCs/>
          <w:szCs w:val="21"/>
        </w:rPr>
      </w:pPr>
      <w:r>
        <w:rPr>
          <w:rFonts w:hint="eastAsia" w:ascii="宋体" w:hAnsi="宋体" w:cs="宋体"/>
          <w:b/>
          <w:bCs/>
          <w:szCs w:val="21"/>
        </w:rPr>
        <w:t>2. 参数不允许负偏离。</w:t>
      </w:r>
    </w:p>
    <w:p w14:paraId="5742462F">
      <w:pPr>
        <w:spacing w:line="440" w:lineRule="exact"/>
        <w:ind w:firstLine="422" w:firstLineChars="200"/>
        <w:rPr>
          <w:rFonts w:hint="eastAsia" w:ascii="宋体" w:hAnsi="宋体" w:cs="宋体"/>
          <w:b/>
          <w:bCs/>
          <w:szCs w:val="21"/>
        </w:rPr>
      </w:pPr>
      <w:r>
        <w:rPr>
          <w:rFonts w:hint="eastAsia" w:ascii="宋体" w:hAnsi="宋体" w:cs="宋体"/>
          <w:b/>
          <w:bCs/>
          <w:szCs w:val="21"/>
        </w:rPr>
        <w:t>3. 偏离说明要详细描述偏离的情况。</w:t>
      </w:r>
    </w:p>
    <w:p w14:paraId="0CF0137E">
      <w:pPr>
        <w:spacing w:line="440" w:lineRule="exact"/>
        <w:ind w:firstLine="422" w:firstLineChars="200"/>
        <w:rPr>
          <w:rFonts w:hint="eastAsia" w:ascii="宋体" w:hAnsi="宋体" w:cs="宋体"/>
          <w:b/>
          <w:bCs/>
          <w:szCs w:val="21"/>
        </w:rPr>
      </w:pPr>
      <w:r>
        <w:rPr>
          <w:rFonts w:hint="eastAsia" w:ascii="宋体" w:hAnsi="宋体" w:cs="宋体"/>
          <w:b/>
          <w:bCs/>
          <w:szCs w:val="21"/>
        </w:rPr>
        <w:t>4. 证明资料请填写“见本</w:t>
      </w:r>
      <w:r>
        <w:rPr>
          <w:rFonts w:hint="eastAsia" w:ascii="宋体" w:hAnsi="宋体" w:cs="宋体"/>
          <w:b/>
          <w:bCs/>
          <w:szCs w:val="21"/>
          <w:lang w:eastAsia="zh-CN"/>
        </w:rPr>
        <w:t>响应文件</w:t>
      </w:r>
      <w:r>
        <w:rPr>
          <w:rFonts w:hint="eastAsia" w:ascii="宋体" w:hAnsi="宋体" w:cs="宋体"/>
          <w:b/>
          <w:bCs/>
          <w:szCs w:val="21"/>
        </w:rPr>
        <w:t>第</w:t>
      </w:r>
      <w:r>
        <w:rPr>
          <w:rFonts w:hint="eastAsia" w:ascii="宋体" w:hAnsi="宋体" w:cs="宋体"/>
          <w:b/>
          <w:bCs/>
          <w:szCs w:val="21"/>
          <w:u w:val="single"/>
        </w:rPr>
        <w:t xml:space="preserve">  </w:t>
      </w:r>
      <w:r>
        <w:rPr>
          <w:rFonts w:hint="eastAsia" w:ascii="宋体" w:hAnsi="宋体" w:cs="宋体"/>
          <w:b/>
          <w:bCs/>
          <w:szCs w:val="21"/>
        </w:rPr>
        <w:t>页，第</w:t>
      </w:r>
      <w:r>
        <w:rPr>
          <w:rFonts w:hint="eastAsia" w:ascii="宋体" w:hAnsi="宋体" w:cs="宋体"/>
          <w:b/>
          <w:bCs/>
          <w:szCs w:val="21"/>
          <w:u w:val="single"/>
        </w:rPr>
        <w:t xml:space="preserve">  </w:t>
      </w:r>
      <w:r>
        <w:rPr>
          <w:rFonts w:hint="eastAsia" w:ascii="宋体" w:hAnsi="宋体" w:cs="宋体"/>
          <w:b/>
          <w:bCs/>
          <w:szCs w:val="21"/>
        </w:rPr>
        <w:t>行”字样。</w:t>
      </w:r>
    </w:p>
    <w:p w14:paraId="4C8122BB">
      <w:pPr>
        <w:pStyle w:val="24"/>
        <w:shd w:val="clear" w:color="auto" w:fill="auto"/>
        <w:spacing w:line="400" w:lineRule="exact"/>
        <w:ind w:left="0" w:leftChars="0" w:right="206" w:rightChars="98" w:firstLine="0" w:firstLineChars="0"/>
        <w:rPr>
          <w:rFonts w:hint="eastAsia" w:ascii="宋体" w:hAnsi="宋体" w:eastAsia="宋体" w:cs="宋体"/>
          <w:bCs/>
          <w:color w:val="000000"/>
          <w:highlight w:val="none"/>
        </w:rPr>
      </w:pPr>
      <w:r>
        <w:rPr>
          <w:rFonts w:hint="eastAsia" w:ascii="宋体" w:hAnsi="宋体" w:cs="宋体"/>
          <w:b/>
          <w:bCs/>
          <w:szCs w:val="21"/>
        </w:rPr>
        <w:t>5. 此表必须填写，否则影响政府采购评审专家的评标，其后果自负。</w:t>
      </w:r>
    </w:p>
    <w:p w14:paraId="26797732">
      <w:pPr>
        <w:shd w:val="clear" w:color="auto" w:fill="auto"/>
        <w:tabs>
          <w:tab w:val="left" w:pos="360"/>
        </w:tabs>
        <w:spacing w:line="380" w:lineRule="exact"/>
        <w:ind w:left="0" w:leftChars="0" w:right="206" w:rightChars="98" w:firstLine="0" w:firstLineChars="0"/>
        <w:jc w:val="center"/>
        <w:outlineLvl w:val="9"/>
        <w:rPr>
          <w:rFonts w:hint="eastAsia" w:ascii="宋体" w:hAnsi="宋体" w:eastAsia="宋体" w:cs="宋体"/>
          <w:b/>
          <w:color w:val="000000"/>
          <w:sz w:val="32"/>
          <w:szCs w:val="20"/>
          <w:highlight w:val="none"/>
        </w:rPr>
      </w:pPr>
    </w:p>
    <w:p w14:paraId="2EC97EC0">
      <w:pPr>
        <w:shd w:val="clear" w:color="auto" w:fill="auto"/>
        <w:tabs>
          <w:tab w:val="left" w:pos="360"/>
        </w:tabs>
        <w:spacing w:line="380" w:lineRule="exact"/>
        <w:ind w:left="0" w:leftChars="0" w:right="206" w:rightChars="98" w:firstLine="0" w:firstLineChars="0"/>
        <w:jc w:val="center"/>
        <w:outlineLvl w:val="9"/>
        <w:rPr>
          <w:rFonts w:hint="eastAsia" w:ascii="宋体" w:hAnsi="宋体" w:eastAsia="宋体" w:cs="宋体"/>
          <w:b/>
          <w:color w:val="000000"/>
          <w:sz w:val="32"/>
          <w:szCs w:val="20"/>
          <w:highlight w:val="none"/>
        </w:rPr>
      </w:pPr>
    </w:p>
    <w:p w14:paraId="519E0916">
      <w:pPr>
        <w:pStyle w:val="38"/>
        <w:rPr>
          <w:rFonts w:hint="eastAsia" w:ascii="宋体" w:hAnsi="宋体" w:eastAsia="宋体" w:cs="宋体"/>
          <w:b/>
          <w:color w:val="000000"/>
          <w:sz w:val="32"/>
          <w:szCs w:val="20"/>
          <w:highlight w:val="none"/>
        </w:rPr>
      </w:pPr>
    </w:p>
    <w:p w14:paraId="692ED0D5">
      <w:pPr>
        <w:rPr>
          <w:rFonts w:hint="eastAsia" w:ascii="宋体" w:hAnsi="宋体" w:eastAsia="宋体" w:cs="宋体"/>
          <w:b/>
          <w:color w:val="000000"/>
          <w:sz w:val="32"/>
          <w:szCs w:val="20"/>
          <w:highlight w:val="none"/>
        </w:rPr>
      </w:pPr>
    </w:p>
    <w:p w14:paraId="1434F6EE">
      <w:pPr>
        <w:pStyle w:val="38"/>
        <w:rPr>
          <w:rFonts w:hint="eastAsia"/>
        </w:rPr>
      </w:pPr>
    </w:p>
    <w:p w14:paraId="19A1D4C0">
      <w:pPr>
        <w:shd w:val="clear" w:color="auto" w:fill="auto"/>
        <w:tabs>
          <w:tab w:val="left" w:pos="360"/>
        </w:tabs>
        <w:spacing w:line="380" w:lineRule="exact"/>
        <w:ind w:left="0" w:leftChars="0" w:right="206" w:rightChars="98" w:firstLine="0" w:firstLineChars="0"/>
        <w:jc w:val="center"/>
        <w:outlineLvl w:val="9"/>
        <w:rPr>
          <w:rFonts w:hint="eastAsia" w:ascii="宋体" w:hAnsi="宋体" w:eastAsia="宋体" w:cs="宋体"/>
          <w:b/>
          <w:color w:val="000000"/>
          <w:sz w:val="32"/>
          <w:szCs w:val="20"/>
          <w:highlight w:val="none"/>
        </w:rPr>
      </w:pPr>
    </w:p>
    <w:p w14:paraId="684DD2EE">
      <w:pPr>
        <w:pStyle w:val="4"/>
        <w:rPr>
          <w:rFonts w:hint="eastAsia"/>
        </w:rPr>
      </w:pPr>
    </w:p>
    <w:p w14:paraId="499D5B6C">
      <w:pPr>
        <w:shd w:val="clear" w:color="auto" w:fill="auto"/>
        <w:tabs>
          <w:tab w:val="left" w:pos="360"/>
        </w:tabs>
        <w:spacing w:line="380" w:lineRule="exact"/>
        <w:ind w:left="0" w:leftChars="0" w:right="206" w:rightChars="98" w:firstLine="0" w:firstLineChars="0"/>
        <w:jc w:val="center"/>
        <w:outlineLvl w:val="9"/>
        <w:rPr>
          <w:rFonts w:hint="eastAsia" w:ascii="宋体" w:hAnsi="宋体" w:eastAsia="宋体" w:cs="宋体"/>
          <w:b/>
          <w:color w:val="000000"/>
          <w:sz w:val="32"/>
          <w:szCs w:val="20"/>
          <w:highlight w:val="none"/>
        </w:rPr>
      </w:pPr>
    </w:p>
    <w:p w14:paraId="029EB5A1">
      <w:pPr>
        <w:pStyle w:val="13"/>
        <w:spacing w:line="240" w:lineRule="auto"/>
        <w:ind w:left="0" w:leftChars="0" w:firstLine="2409" w:firstLineChars="1000"/>
        <w:jc w:val="both"/>
        <w:rPr>
          <w:rFonts w:hint="eastAsia" w:ascii="宋体" w:cs="宋体"/>
          <w:b/>
          <w:color w:val="auto"/>
          <w:sz w:val="24"/>
          <w:szCs w:val="24"/>
          <w:lang w:val="en-US" w:eastAsia="zh-CN" w:bidi="ar"/>
        </w:rPr>
      </w:pPr>
    </w:p>
    <w:p w14:paraId="231007A9">
      <w:pPr>
        <w:pStyle w:val="13"/>
        <w:spacing w:line="240" w:lineRule="auto"/>
        <w:ind w:left="0" w:leftChars="0" w:firstLine="2811" w:firstLineChars="1000"/>
        <w:jc w:val="both"/>
        <w:outlineLvl w:val="2"/>
        <w:rPr>
          <w:rFonts w:hint="eastAsia"/>
          <w:color w:val="auto"/>
          <w:sz w:val="24"/>
          <w:szCs w:val="24"/>
        </w:rPr>
      </w:pPr>
      <w:r>
        <w:rPr>
          <w:rFonts w:hint="eastAsia" w:ascii="宋体" w:cs="宋体"/>
          <w:b/>
          <w:color w:val="auto"/>
          <w:sz w:val="28"/>
          <w:szCs w:val="28"/>
          <w:lang w:val="en-US" w:eastAsia="zh-CN" w:bidi="ar"/>
        </w:rPr>
        <w:t>5</w:t>
      </w:r>
      <w:r>
        <w:rPr>
          <w:rFonts w:hint="eastAsia" w:ascii="宋体" w:cs="宋体"/>
          <w:b/>
          <w:color w:val="auto"/>
          <w:sz w:val="28"/>
          <w:szCs w:val="28"/>
          <w:lang w:bidi="ar"/>
        </w:rPr>
        <w:t>、</w:t>
      </w:r>
      <w:r>
        <w:rPr>
          <w:rFonts w:hint="eastAsia" w:ascii="宋体" w:hAnsi="宋体" w:cs="宋体"/>
          <w:b/>
          <w:bCs/>
          <w:color w:val="auto"/>
          <w:sz w:val="28"/>
          <w:szCs w:val="28"/>
        </w:rPr>
        <w:t>商务条款偏离表</w:t>
      </w:r>
      <w:r>
        <w:rPr>
          <w:rFonts w:hint="eastAsia" w:ascii="宋体" w:hAnsi="宋体" w:cs="宋体"/>
          <w:b/>
          <w:bCs/>
          <w:color w:val="auto"/>
          <w:sz w:val="24"/>
          <w:szCs w:val="24"/>
        </w:rPr>
        <w:t xml:space="preserve">    </w:t>
      </w:r>
    </w:p>
    <w:p w14:paraId="792BA6B5">
      <w:pPr>
        <w:pStyle w:val="24"/>
        <w:shd w:val="clear" w:color="auto" w:fill="auto"/>
        <w:spacing w:line="240" w:lineRule="atLeast"/>
        <w:ind w:left="1080"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14:paraId="33B9E123">
      <w:pPr>
        <w:pStyle w:val="24"/>
        <w:shd w:val="clear" w:color="auto" w:fill="auto"/>
        <w:spacing w:line="240" w:lineRule="atLeast"/>
        <w:ind w:left="1080" w:leftChars="257" w:hanging="540"/>
        <w:rPr>
          <w:rFonts w:hint="eastAsia" w:ascii="宋体" w:hAnsi="宋体" w:eastAsia="宋体" w:cs="宋体"/>
          <w:color w:val="auto"/>
          <w:sz w:val="22"/>
          <w:szCs w:val="18"/>
          <w:highlight w:val="none"/>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14:paraId="24CB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B397637">
            <w:pPr>
              <w:pStyle w:val="2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14:paraId="15B93467">
            <w:pPr>
              <w:pStyle w:val="2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14:paraId="09696CE6">
            <w:pPr>
              <w:pStyle w:val="2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14:paraId="5EDA47AC">
            <w:pPr>
              <w:pStyle w:val="2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14:paraId="1592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5310619">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760AEFE1">
            <w:pPr>
              <w:pStyle w:val="24"/>
              <w:shd w:val="clear" w:color="auto" w:fill="auto"/>
              <w:spacing w:line="240" w:lineRule="atLeast"/>
              <w:ind w:left="1080"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14:paraId="7211D0A5">
            <w:pPr>
              <w:pStyle w:val="24"/>
              <w:shd w:val="clear" w:color="auto" w:fill="auto"/>
              <w:spacing w:line="240" w:lineRule="atLeast"/>
              <w:ind w:left="1080"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14:paraId="5D188DEF">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r>
      <w:tr w14:paraId="6C10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80517EC">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13FC04BC">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0850B7B3">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55A3EA90">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r>
      <w:tr w14:paraId="698E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047C67D7">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5AFDF9C1">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4BA966D3">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4521AD8E">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r>
      <w:tr w14:paraId="57CE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2E64A2EF">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3FA8A78C">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16D2FD52">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29C64FEE">
            <w:pPr>
              <w:pStyle w:val="24"/>
              <w:shd w:val="clear" w:color="auto" w:fill="auto"/>
              <w:spacing w:line="240" w:lineRule="atLeast"/>
              <w:ind w:left="1080" w:leftChars="257" w:hanging="540"/>
              <w:rPr>
                <w:rFonts w:hint="eastAsia" w:ascii="宋体" w:hAnsi="宋体" w:eastAsia="宋体" w:cs="宋体"/>
                <w:color w:val="auto"/>
                <w:sz w:val="22"/>
                <w:szCs w:val="18"/>
                <w:highlight w:val="none"/>
                <w:lang w:val="en-US" w:eastAsia="zh-CN"/>
              </w:rPr>
            </w:pPr>
          </w:p>
        </w:tc>
      </w:tr>
      <w:tr w14:paraId="16E8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C009F2A">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50E1A13F">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0D164F79">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35E5FCA6">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53E6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0EEFF348">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2D04E819">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2892FAE2">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0F553B8D">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1BF3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EEE0C36">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226E8A8D">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2D526C11">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40348EC5">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522F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B388D48">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3BD57EE6">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7F44E016">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1F9FA5E4">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4C31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6FFADBF6">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65E6D0EA">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1631379B">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576CA995">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003F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DD07E00">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68F7078E">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3AA066AE">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5DBC80B1">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1E8E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C8D8E97">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357675FD">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444E9821">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6A27794C">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3ED6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EB4813F">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042FD166">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2B3515E9">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43F169CB">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2971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D2E5FC9">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51F4A52A">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27052E82">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009F5B27">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6DA6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3CFDA0D">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0DC5B421">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59342242">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5E75D977">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14:paraId="2AB7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44D3B20A">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7562649F">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882" w:type="dxa"/>
            <w:noWrap w:val="0"/>
            <w:vAlign w:val="top"/>
          </w:tcPr>
          <w:p w14:paraId="2E02383C">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029" w:type="dxa"/>
            <w:noWrap w:val="0"/>
            <w:vAlign w:val="top"/>
          </w:tcPr>
          <w:p w14:paraId="242E2841">
            <w:pPr>
              <w:pStyle w:val="24"/>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bl>
    <w:p w14:paraId="7F389F2D">
      <w:pPr>
        <w:pStyle w:val="24"/>
        <w:shd w:val="clear" w:color="auto" w:fill="auto"/>
        <w:spacing w:line="240" w:lineRule="atLeast"/>
        <w:ind w:left="1080" w:leftChars="257" w:hanging="540"/>
        <w:rPr>
          <w:rFonts w:hint="eastAsia" w:ascii="宋体" w:hAnsi="宋体" w:eastAsia="宋体" w:cs="宋体"/>
          <w:color w:val="auto"/>
          <w:sz w:val="24"/>
          <w:highlight w:val="none"/>
        </w:rPr>
      </w:pPr>
    </w:p>
    <w:p w14:paraId="197E33CB">
      <w:pPr>
        <w:pStyle w:val="24"/>
        <w:shd w:val="clear" w:color="auto" w:fill="auto"/>
        <w:spacing w:line="240" w:lineRule="atLeast"/>
        <w:ind w:left="1080" w:leftChars="257" w:hanging="540"/>
        <w:rPr>
          <w:rFonts w:hint="eastAsia" w:ascii="宋体" w:hAnsi="宋体" w:eastAsia="宋体" w:cs="宋体"/>
          <w:color w:val="auto"/>
          <w:sz w:val="24"/>
          <w:highlight w:val="none"/>
        </w:rPr>
      </w:pPr>
    </w:p>
    <w:p w14:paraId="323EB75B">
      <w:pPr>
        <w:pStyle w:val="24"/>
        <w:shd w:val="clear" w:color="auto" w:fill="auto"/>
        <w:spacing w:line="240" w:lineRule="atLeast"/>
        <w:ind w:left="1080"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lang w:val="en-US" w:eastAsia="zh-CN"/>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14:paraId="0CAF8BE9">
      <w:pPr>
        <w:pStyle w:val="24"/>
        <w:shd w:val="clear" w:color="auto" w:fill="auto"/>
        <w:tabs>
          <w:tab w:val="left" w:pos="5370"/>
        </w:tabs>
        <w:spacing w:line="240" w:lineRule="atLeast"/>
        <w:ind w:left="1080"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14:paraId="2780E988">
      <w:pPr>
        <w:pStyle w:val="25"/>
        <w:rPr>
          <w:rFonts w:hint="eastAsia" w:ascii="宋体" w:hAnsi="宋体" w:eastAsia="宋体" w:cs="宋体"/>
          <w:color w:val="auto"/>
          <w:sz w:val="22"/>
          <w:szCs w:val="18"/>
          <w:highlight w:val="none"/>
          <w:u w:val="single"/>
        </w:rPr>
      </w:pPr>
    </w:p>
    <w:p w14:paraId="05EE8749">
      <w:pPr>
        <w:rPr>
          <w:rFonts w:hint="eastAsia" w:ascii="宋体" w:hAnsi="宋体" w:eastAsia="宋体" w:cs="宋体"/>
          <w:color w:val="auto"/>
          <w:sz w:val="22"/>
          <w:szCs w:val="18"/>
          <w:highlight w:val="none"/>
          <w:u w:val="single"/>
        </w:rPr>
      </w:pPr>
    </w:p>
    <w:p w14:paraId="718986D9">
      <w:pPr>
        <w:pStyle w:val="4"/>
        <w:outlineLvl w:val="9"/>
        <w:rPr>
          <w:rFonts w:hint="eastAsia" w:ascii="宋体" w:hAnsi="宋体" w:eastAsia="宋体" w:cs="宋体"/>
          <w:color w:val="auto"/>
          <w:sz w:val="22"/>
          <w:szCs w:val="18"/>
          <w:highlight w:val="none"/>
          <w:u w:val="single"/>
        </w:rPr>
      </w:pPr>
    </w:p>
    <w:p w14:paraId="0D5A02AA">
      <w:pPr>
        <w:pStyle w:val="4"/>
        <w:outlineLvl w:val="9"/>
        <w:rPr>
          <w:rFonts w:hint="eastAsia"/>
        </w:rPr>
      </w:pPr>
    </w:p>
    <w:p w14:paraId="5811A129">
      <w:pPr>
        <w:pStyle w:val="25"/>
        <w:ind w:left="853" w:leftChars="296" w:hanging="231" w:hangingChars="110"/>
        <w:rPr>
          <w:rFonts w:hint="eastAsia"/>
        </w:rPr>
      </w:pPr>
      <w:r>
        <w:rPr>
          <w:rFonts w:hint="eastAsia"/>
        </w:rPr>
        <w:t>注:若有偏离,请将具体偏离条款在“偏离”一栏中详细说明;若无偏离,请在“偏离”一栏中标注“无”字样。</w:t>
      </w:r>
    </w:p>
    <w:p w14:paraId="63D8BDEC">
      <w:pPr>
        <w:pStyle w:val="192"/>
        <w:keepNext w:val="0"/>
        <w:keepLines w:val="0"/>
        <w:widowControl w:val="0"/>
        <w:shd w:val="clear" w:color="auto" w:fill="auto"/>
        <w:bidi w:val="0"/>
        <w:spacing w:before="0" w:after="0" w:line="240" w:lineRule="auto"/>
        <w:ind w:left="0" w:leftChars="0" w:right="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8422CE6">
      <w:pPr>
        <w:pStyle w:val="19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6、投标人基本情况表</w:t>
      </w:r>
    </w:p>
    <w:p w14:paraId="3504413D">
      <w:pPr>
        <w:pStyle w:val="19"/>
        <w:numPr>
          <w:ilvl w:val="0"/>
          <w:numId w:val="0"/>
        </w:numPr>
        <w:shd w:val="clear" w:color="auto" w:fill="auto"/>
        <w:kinsoku w:val="0"/>
        <w:overflowPunct w:val="0"/>
        <w:spacing w:before="5"/>
        <w:ind w:leftChars="0" w:right="0" w:rightChars="0"/>
        <w:rPr>
          <w:rFonts w:hint="eastAsia" w:ascii="仿宋" w:hAnsi="仿宋" w:eastAsia="仿宋" w:cs="仿宋"/>
          <w:b/>
          <w:bCs/>
          <w:color w:val="auto"/>
          <w:sz w:val="6"/>
          <w:szCs w:val="6"/>
          <w:highlight w:val="none"/>
        </w:rPr>
      </w:pPr>
    </w:p>
    <w:tbl>
      <w:tblPr>
        <w:tblStyle w:val="50"/>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14:paraId="7DE2F18A">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3C9D54B4">
            <w:pPr>
              <w:pStyle w:val="141"/>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28F43AD7">
            <w:pPr>
              <w:shd w:val="clear" w:color="auto" w:fill="auto"/>
              <w:rPr>
                <w:rFonts w:hint="eastAsia" w:ascii="宋体" w:hAnsi="宋体" w:eastAsia="宋体" w:cs="宋体"/>
                <w:color w:val="auto"/>
                <w:sz w:val="21"/>
                <w:szCs w:val="21"/>
                <w:highlight w:val="none"/>
              </w:rPr>
            </w:pPr>
          </w:p>
        </w:tc>
      </w:tr>
      <w:tr w14:paraId="085412B1">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2864B1F8">
            <w:pPr>
              <w:pStyle w:val="141"/>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4D004963">
            <w:pPr>
              <w:shd w:val="clear" w:color="auto" w:fill="auto"/>
              <w:rPr>
                <w:rFonts w:hint="eastAsia" w:ascii="宋体" w:hAnsi="宋体" w:eastAsia="宋体" w:cs="宋体"/>
                <w:color w:val="auto"/>
                <w:sz w:val="21"/>
                <w:szCs w:val="21"/>
                <w:highlight w:val="none"/>
              </w:rPr>
            </w:pPr>
          </w:p>
        </w:tc>
      </w:tr>
      <w:tr w14:paraId="2C73E3C9">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31C0146C">
            <w:pPr>
              <w:pStyle w:val="141"/>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4D46EA57">
            <w:pPr>
              <w:shd w:val="clear" w:color="auto" w:fill="auto"/>
              <w:rPr>
                <w:rFonts w:hint="eastAsia" w:ascii="宋体" w:hAnsi="宋体" w:eastAsia="宋体" w:cs="宋体"/>
                <w:color w:val="auto"/>
                <w:sz w:val="21"/>
                <w:szCs w:val="21"/>
                <w:highlight w:val="none"/>
              </w:rPr>
            </w:pPr>
          </w:p>
        </w:tc>
      </w:tr>
      <w:tr w14:paraId="36B1F185">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62B269F5">
            <w:pPr>
              <w:pStyle w:val="141"/>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14:paraId="0829C77E">
            <w:pPr>
              <w:shd w:val="clear" w:color="auto" w:fill="auto"/>
              <w:rPr>
                <w:rFonts w:hint="eastAsia" w:ascii="宋体" w:hAnsi="宋体" w:eastAsia="宋体" w:cs="宋体"/>
                <w:color w:val="auto"/>
                <w:sz w:val="21"/>
                <w:szCs w:val="21"/>
                <w:highlight w:val="none"/>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14:paraId="499F201E">
            <w:pPr>
              <w:pStyle w:val="141"/>
              <w:shd w:val="clear" w:color="auto" w:fill="auto"/>
              <w:kinsoku w:val="0"/>
              <w:overflowPunct w:val="0"/>
              <w:spacing w:before="145"/>
              <w:ind w:left="1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14:paraId="1BA5503C">
            <w:pPr>
              <w:shd w:val="clear" w:color="auto" w:fill="auto"/>
              <w:rPr>
                <w:rFonts w:hint="eastAsia" w:ascii="宋体" w:hAnsi="宋体" w:eastAsia="宋体" w:cs="宋体"/>
                <w:color w:val="auto"/>
                <w:sz w:val="21"/>
                <w:szCs w:val="21"/>
                <w:highlight w:val="none"/>
              </w:rPr>
            </w:pPr>
          </w:p>
        </w:tc>
      </w:tr>
      <w:tr w14:paraId="6283C8F0">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5DB24D5A">
            <w:pPr>
              <w:pStyle w:val="141"/>
              <w:shd w:val="clear" w:color="auto" w:fill="auto"/>
              <w:kinsoku w:val="0"/>
              <w:overflowPunct w:val="0"/>
              <w:spacing w:before="146"/>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3C0AB2CE">
            <w:pPr>
              <w:shd w:val="clear" w:color="auto" w:fill="auto"/>
              <w:rPr>
                <w:rFonts w:hint="eastAsia" w:ascii="宋体" w:hAnsi="宋体" w:eastAsia="宋体" w:cs="宋体"/>
                <w:color w:val="auto"/>
                <w:sz w:val="21"/>
                <w:szCs w:val="21"/>
                <w:highlight w:val="none"/>
              </w:rPr>
            </w:pPr>
          </w:p>
        </w:tc>
      </w:tr>
      <w:tr w14:paraId="1C6870B7">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16EC70D2">
            <w:pPr>
              <w:pStyle w:val="141"/>
              <w:shd w:val="clear" w:color="auto" w:fill="auto"/>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14:paraId="7DA5CB0D">
            <w:pPr>
              <w:shd w:val="clear" w:color="auto" w:fill="auto"/>
              <w:rPr>
                <w:rFonts w:hint="eastAsia" w:ascii="宋体" w:hAnsi="宋体" w:eastAsia="宋体" w:cs="宋体"/>
                <w:color w:val="auto"/>
                <w:sz w:val="21"/>
                <w:szCs w:val="21"/>
                <w:highlight w:val="none"/>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14:paraId="26C610C0">
            <w:pPr>
              <w:pStyle w:val="141"/>
              <w:shd w:val="clear" w:color="auto" w:fill="auto"/>
              <w:kinsoku w:val="0"/>
              <w:overflowPunct w:val="0"/>
              <w:spacing w:before="4"/>
              <w:rPr>
                <w:rFonts w:hint="eastAsia" w:ascii="宋体" w:hAnsi="宋体" w:eastAsia="宋体" w:cs="宋体"/>
                <w:b/>
                <w:bCs/>
                <w:color w:val="auto"/>
                <w:sz w:val="21"/>
                <w:szCs w:val="21"/>
                <w:highlight w:val="none"/>
              </w:rPr>
            </w:pPr>
          </w:p>
          <w:p w14:paraId="3692FB73">
            <w:pPr>
              <w:pStyle w:val="141"/>
              <w:shd w:val="clear" w:color="auto" w:fill="auto"/>
              <w:kinsoku w:val="0"/>
              <w:overflowPunct w:val="0"/>
              <w:ind w:left="3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14:paraId="3CA1799C">
            <w:pPr>
              <w:shd w:val="clear" w:color="auto" w:fill="auto"/>
              <w:rPr>
                <w:rFonts w:hint="eastAsia" w:ascii="宋体" w:hAnsi="宋体" w:eastAsia="宋体" w:cs="宋体"/>
                <w:color w:val="auto"/>
                <w:sz w:val="21"/>
                <w:szCs w:val="21"/>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14:paraId="0F92EAD8">
            <w:pPr>
              <w:pStyle w:val="141"/>
              <w:shd w:val="clear" w:color="auto" w:fill="auto"/>
              <w:kinsoku w:val="0"/>
              <w:overflowPunct w:val="0"/>
              <w:spacing w:before="4"/>
              <w:rPr>
                <w:rFonts w:hint="eastAsia" w:ascii="宋体" w:hAnsi="宋体" w:eastAsia="宋体" w:cs="宋体"/>
                <w:b/>
                <w:bCs/>
                <w:color w:val="auto"/>
                <w:sz w:val="21"/>
                <w:szCs w:val="21"/>
                <w:highlight w:val="none"/>
              </w:rPr>
            </w:pPr>
          </w:p>
          <w:p w14:paraId="3ED70858">
            <w:pPr>
              <w:pStyle w:val="141"/>
              <w:shd w:val="clear" w:color="auto" w:fill="auto"/>
              <w:kinsoku w:val="0"/>
              <w:overflowPunct w:val="0"/>
              <w:ind w:left="3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14:paraId="147711DF">
            <w:pPr>
              <w:shd w:val="clear" w:color="auto" w:fill="auto"/>
              <w:rPr>
                <w:rFonts w:hint="eastAsia" w:ascii="宋体" w:hAnsi="宋体" w:eastAsia="宋体" w:cs="宋体"/>
                <w:color w:val="auto"/>
                <w:sz w:val="21"/>
                <w:szCs w:val="21"/>
                <w:highlight w:val="none"/>
              </w:rPr>
            </w:pPr>
          </w:p>
        </w:tc>
      </w:tr>
      <w:tr w14:paraId="3829D436">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66BCCF73">
            <w:pPr>
              <w:pStyle w:val="141"/>
              <w:shd w:val="clear" w:color="auto" w:fill="auto"/>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6883632D">
            <w:pPr>
              <w:pStyle w:val="141"/>
              <w:shd w:val="clear" w:color="auto" w:fill="auto"/>
              <w:kinsoku w:val="0"/>
              <w:overflowPunct w:val="0"/>
              <w:spacing w:before="144"/>
              <w:rPr>
                <w:rFonts w:hint="eastAsia" w:ascii="宋体" w:hAnsi="宋体" w:eastAsia="宋体" w:cs="宋体"/>
                <w:color w:val="auto"/>
                <w:sz w:val="21"/>
                <w:szCs w:val="21"/>
                <w:highlight w:val="none"/>
              </w:rPr>
            </w:pPr>
          </w:p>
        </w:tc>
      </w:tr>
      <w:tr w14:paraId="34B3DADC">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4772BB12">
            <w:pPr>
              <w:pStyle w:val="141"/>
              <w:shd w:val="clear" w:color="auto" w:fill="auto"/>
              <w:kinsoku w:val="0"/>
              <w:overflowPunct w:val="0"/>
              <w:spacing w:line="237" w:lineRule="auto"/>
              <w:ind w:left="497" w:right="49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47EABBCB">
            <w:pPr>
              <w:shd w:val="clear" w:color="auto" w:fill="auto"/>
              <w:rPr>
                <w:rFonts w:hint="eastAsia" w:ascii="宋体" w:hAnsi="宋体" w:eastAsia="宋体" w:cs="宋体"/>
                <w:color w:val="auto"/>
                <w:sz w:val="21"/>
                <w:szCs w:val="21"/>
                <w:highlight w:val="none"/>
              </w:rPr>
            </w:pPr>
          </w:p>
        </w:tc>
      </w:tr>
    </w:tbl>
    <w:p w14:paraId="4725ADB2">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678B4274">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75D2D047">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2CDE1DAE">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3BEE8DF7">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702D14E8">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393DBCF9">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1B6F50D6">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6CB7A38F">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3561A026">
      <w:pPr>
        <w:pStyle w:val="19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4FD05333">
      <w:pPr>
        <w:pStyle w:val="19"/>
        <w:numPr>
          <w:ilvl w:val="0"/>
          <w:numId w:val="0"/>
        </w:numPr>
        <w:shd w:val="clear" w:color="auto" w:fill="auto"/>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highlight w:val="none"/>
          <w:lang w:eastAsia="zh-CN"/>
        </w:rPr>
      </w:pPr>
      <w:r>
        <w:rPr>
          <w:rFonts w:hint="eastAsia" w:ascii="宋体" w:hAnsi="宋体" w:eastAsia="宋体" w:cs="宋体"/>
          <w:b w:val="0"/>
          <w:bCs/>
          <w:color w:val="auto"/>
          <w:kern w:val="0"/>
          <w:sz w:val="24"/>
          <w:szCs w:val="24"/>
          <w:highlight w:val="none"/>
          <w:lang w:val="en-US" w:eastAsia="zh-CN"/>
        </w:rPr>
        <w:t>7、</w:t>
      </w:r>
      <w:r>
        <w:rPr>
          <w:rFonts w:hint="eastAsia" w:ascii="宋体" w:hAnsi="宋体" w:eastAsia="宋体" w:cs="宋体"/>
          <w:b/>
          <w:bCs/>
          <w:color w:val="auto"/>
          <w:w w:val="90"/>
          <w:sz w:val="24"/>
          <w:szCs w:val="24"/>
          <w:highlight w:val="none"/>
        </w:rPr>
        <w:t>近三年类似项目业绩</w:t>
      </w:r>
      <w:r>
        <w:rPr>
          <w:rFonts w:hint="eastAsia" w:ascii="宋体" w:hAnsi="宋体" w:eastAsia="宋体" w:cs="宋体"/>
          <w:b/>
          <w:bCs/>
          <w:color w:val="auto"/>
          <w:w w:val="90"/>
          <w:sz w:val="24"/>
          <w:szCs w:val="24"/>
          <w:highlight w:val="none"/>
          <w:lang w:eastAsia="zh-CN"/>
        </w:rPr>
        <w:t>表</w:t>
      </w:r>
    </w:p>
    <w:p w14:paraId="5659BFFE">
      <w:pPr>
        <w:pStyle w:val="19"/>
        <w:numPr>
          <w:ilvl w:val="0"/>
          <w:numId w:val="0"/>
        </w:numPr>
        <w:shd w:val="clear" w:color="auto" w:fill="auto"/>
        <w:kinsoku w:val="0"/>
        <w:overflowPunct w:val="0"/>
        <w:ind w:leftChars="0" w:right="0" w:rightChars="0"/>
        <w:rPr>
          <w:rFonts w:hint="eastAsia" w:ascii="仿宋" w:hAnsi="仿宋" w:eastAsia="仿宋" w:cs="仿宋"/>
          <w:b/>
          <w:bCs/>
          <w:color w:val="auto"/>
          <w:sz w:val="20"/>
          <w:szCs w:val="20"/>
          <w:highlight w:val="none"/>
        </w:rPr>
      </w:pPr>
    </w:p>
    <w:tbl>
      <w:tblPr>
        <w:tblStyle w:val="50"/>
        <w:tblW w:w="9115" w:type="dxa"/>
        <w:jc w:val="center"/>
        <w:tblLayout w:type="fixed"/>
        <w:tblCellMar>
          <w:top w:w="0" w:type="dxa"/>
          <w:left w:w="10" w:type="dxa"/>
          <w:bottom w:w="0" w:type="dxa"/>
          <w:right w:w="10" w:type="dxa"/>
        </w:tblCellMar>
      </w:tblPr>
      <w:tblGrid>
        <w:gridCol w:w="1919"/>
        <w:gridCol w:w="7196"/>
      </w:tblGrid>
      <w:tr w14:paraId="43B97AE0">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14:paraId="4DA82128">
            <w:pPr>
              <w:pStyle w:val="1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项目名称</w:t>
            </w:r>
          </w:p>
        </w:tc>
        <w:tc>
          <w:tcPr>
            <w:tcW w:w="7196" w:type="dxa"/>
            <w:tcBorders>
              <w:top w:val="single" w:color="auto" w:sz="4" w:space="0"/>
              <w:left w:val="single" w:color="auto" w:sz="4" w:space="0"/>
              <w:right w:val="single" w:color="auto" w:sz="4" w:space="0"/>
            </w:tcBorders>
            <w:noWrap w:val="0"/>
            <w:vAlign w:val="top"/>
          </w:tcPr>
          <w:p w14:paraId="77AE93B5">
            <w:pPr>
              <w:widowControl w:val="0"/>
              <w:shd w:val="clear" w:color="auto" w:fill="auto"/>
              <w:rPr>
                <w:rFonts w:hint="eastAsia" w:ascii="宋体" w:hAnsi="宋体" w:eastAsia="宋体" w:cs="宋体"/>
                <w:color w:val="auto"/>
                <w:sz w:val="21"/>
                <w:szCs w:val="21"/>
                <w:highlight w:val="none"/>
              </w:rPr>
            </w:pPr>
          </w:p>
        </w:tc>
      </w:tr>
      <w:tr w14:paraId="08954836">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14:paraId="3EA09A07">
            <w:pPr>
              <w:pStyle w:val="194"/>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项目单位名称</w:t>
            </w:r>
          </w:p>
        </w:tc>
        <w:tc>
          <w:tcPr>
            <w:tcW w:w="7196" w:type="dxa"/>
            <w:tcBorders>
              <w:top w:val="single" w:color="auto" w:sz="4" w:space="0"/>
              <w:left w:val="single" w:color="auto" w:sz="4" w:space="0"/>
              <w:right w:val="single" w:color="auto" w:sz="4" w:space="0"/>
            </w:tcBorders>
            <w:noWrap w:val="0"/>
            <w:vAlign w:val="top"/>
          </w:tcPr>
          <w:p w14:paraId="32603932">
            <w:pPr>
              <w:widowControl w:val="0"/>
              <w:shd w:val="clear" w:color="auto" w:fill="auto"/>
              <w:rPr>
                <w:rFonts w:hint="eastAsia" w:ascii="宋体" w:hAnsi="宋体" w:eastAsia="宋体" w:cs="宋体"/>
                <w:color w:val="auto"/>
                <w:sz w:val="21"/>
                <w:szCs w:val="21"/>
                <w:highlight w:val="none"/>
              </w:rPr>
            </w:pPr>
          </w:p>
        </w:tc>
      </w:tr>
      <w:tr w14:paraId="0A0DA1DB">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14:paraId="1E6C9EF6">
            <w:pPr>
              <w:pStyle w:val="194"/>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项目单位联系姓名及联系方式</w:t>
            </w:r>
          </w:p>
        </w:tc>
        <w:tc>
          <w:tcPr>
            <w:tcW w:w="7196" w:type="dxa"/>
            <w:tcBorders>
              <w:top w:val="single" w:color="auto" w:sz="4" w:space="0"/>
              <w:left w:val="single" w:color="auto" w:sz="4" w:space="0"/>
              <w:right w:val="single" w:color="auto" w:sz="4" w:space="0"/>
            </w:tcBorders>
            <w:noWrap w:val="0"/>
            <w:vAlign w:val="top"/>
          </w:tcPr>
          <w:p w14:paraId="2350E0A0">
            <w:pPr>
              <w:widowControl w:val="0"/>
              <w:shd w:val="clear" w:color="auto" w:fill="auto"/>
              <w:rPr>
                <w:rFonts w:hint="eastAsia" w:ascii="宋体" w:hAnsi="宋体" w:eastAsia="宋体" w:cs="宋体"/>
                <w:color w:val="auto"/>
                <w:sz w:val="21"/>
                <w:szCs w:val="21"/>
                <w:highlight w:val="none"/>
              </w:rPr>
            </w:pPr>
          </w:p>
        </w:tc>
      </w:tr>
      <w:tr w14:paraId="59D9A9D0">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14:paraId="54886D06">
            <w:pPr>
              <w:pStyle w:val="1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合同金额</w:t>
            </w:r>
          </w:p>
        </w:tc>
        <w:tc>
          <w:tcPr>
            <w:tcW w:w="7196" w:type="dxa"/>
            <w:tcBorders>
              <w:top w:val="single" w:color="auto" w:sz="4" w:space="0"/>
              <w:left w:val="single" w:color="auto" w:sz="4" w:space="0"/>
              <w:right w:val="single" w:color="auto" w:sz="4" w:space="0"/>
            </w:tcBorders>
            <w:noWrap w:val="0"/>
            <w:vAlign w:val="top"/>
          </w:tcPr>
          <w:p w14:paraId="14850F3D">
            <w:pPr>
              <w:widowControl w:val="0"/>
              <w:shd w:val="clear" w:color="auto" w:fill="auto"/>
              <w:rPr>
                <w:rFonts w:hint="eastAsia" w:ascii="宋体" w:hAnsi="宋体" w:eastAsia="宋体" w:cs="宋体"/>
                <w:color w:val="auto"/>
                <w:sz w:val="21"/>
                <w:szCs w:val="21"/>
                <w:highlight w:val="none"/>
              </w:rPr>
            </w:pPr>
          </w:p>
        </w:tc>
      </w:tr>
      <w:tr w14:paraId="4428F9DD">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14:paraId="26C51045">
            <w:pPr>
              <w:pStyle w:val="194"/>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项目负责人姓名</w:t>
            </w:r>
          </w:p>
        </w:tc>
        <w:tc>
          <w:tcPr>
            <w:tcW w:w="7196" w:type="dxa"/>
            <w:tcBorders>
              <w:top w:val="single" w:color="auto" w:sz="4" w:space="0"/>
              <w:left w:val="single" w:color="auto" w:sz="4" w:space="0"/>
              <w:right w:val="single" w:color="auto" w:sz="4" w:space="0"/>
            </w:tcBorders>
            <w:noWrap w:val="0"/>
            <w:vAlign w:val="top"/>
          </w:tcPr>
          <w:p w14:paraId="4D1CBEDD">
            <w:pPr>
              <w:widowControl w:val="0"/>
              <w:shd w:val="clear" w:color="auto" w:fill="auto"/>
              <w:rPr>
                <w:rFonts w:hint="eastAsia" w:ascii="宋体" w:hAnsi="宋体" w:eastAsia="宋体" w:cs="宋体"/>
                <w:color w:val="auto"/>
                <w:sz w:val="21"/>
                <w:szCs w:val="21"/>
                <w:highlight w:val="none"/>
              </w:rPr>
            </w:pPr>
          </w:p>
        </w:tc>
      </w:tr>
      <w:tr w14:paraId="645DF817">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14:paraId="26D4DED0">
            <w:pPr>
              <w:pStyle w:val="194"/>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项目实施时间</w:t>
            </w:r>
          </w:p>
        </w:tc>
        <w:tc>
          <w:tcPr>
            <w:tcW w:w="7196" w:type="dxa"/>
            <w:tcBorders>
              <w:top w:val="single" w:color="auto" w:sz="4" w:space="0"/>
              <w:left w:val="single" w:color="auto" w:sz="4" w:space="0"/>
              <w:right w:val="single" w:color="auto" w:sz="4" w:space="0"/>
            </w:tcBorders>
            <w:noWrap w:val="0"/>
            <w:vAlign w:val="top"/>
          </w:tcPr>
          <w:p w14:paraId="45DB33BF">
            <w:pPr>
              <w:widowControl w:val="0"/>
              <w:shd w:val="clear" w:color="auto" w:fill="auto"/>
              <w:rPr>
                <w:rFonts w:hint="eastAsia" w:ascii="宋体" w:hAnsi="宋体" w:eastAsia="宋体" w:cs="宋体"/>
                <w:color w:val="auto"/>
                <w:sz w:val="21"/>
                <w:szCs w:val="21"/>
                <w:highlight w:val="none"/>
              </w:rPr>
            </w:pPr>
          </w:p>
        </w:tc>
      </w:tr>
      <w:tr w14:paraId="573806C4">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14:paraId="646F51C5">
            <w:pPr>
              <w:pStyle w:val="194"/>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14:paraId="1380410E">
            <w:pPr>
              <w:widowControl w:val="0"/>
              <w:shd w:val="clear" w:color="auto" w:fill="auto"/>
              <w:rPr>
                <w:rFonts w:hint="eastAsia" w:ascii="宋体" w:hAnsi="宋体" w:eastAsia="宋体" w:cs="宋体"/>
                <w:color w:val="auto"/>
                <w:sz w:val="21"/>
                <w:szCs w:val="21"/>
                <w:highlight w:val="none"/>
              </w:rPr>
            </w:pPr>
          </w:p>
        </w:tc>
      </w:tr>
    </w:tbl>
    <w:p w14:paraId="163E750B">
      <w:pPr>
        <w:shd w:val="clear" w:color="auto" w:fill="auto"/>
        <w:rPr>
          <w:rFonts w:hint="eastAsia" w:ascii="仿宋" w:hAnsi="仿宋" w:eastAsia="仿宋" w:cs="仿宋"/>
          <w:color w:val="auto"/>
          <w:spacing w:val="-1"/>
          <w:kern w:val="0"/>
          <w:sz w:val="24"/>
          <w:highlight w:val="none"/>
        </w:rPr>
      </w:pPr>
    </w:p>
    <w:p w14:paraId="4AC4B885">
      <w:pPr>
        <w:shd w:val="clear" w:color="auto" w:fill="auto"/>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注：每个</w:t>
      </w:r>
      <w:r>
        <w:rPr>
          <w:rFonts w:hint="eastAsia" w:ascii="宋体" w:hAnsi="宋体" w:eastAsia="宋体" w:cs="宋体"/>
          <w:color w:val="auto"/>
          <w:spacing w:val="-1"/>
          <w:kern w:val="0"/>
          <w:sz w:val="21"/>
          <w:szCs w:val="21"/>
          <w:highlight w:val="none"/>
          <w:lang w:eastAsia="zh-CN"/>
        </w:rPr>
        <w:t>业绩</w:t>
      </w:r>
      <w:r>
        <w:rPr>
          <w:rFonts w:hint="eastAsia" w:ascii="宋体" w:hAnsi="宋体" w:eastAsia="宋体" w:cs="宋体"/>
          <w:color w:val="auto"/>
          <w:spacing w:val="-1"/>
          <w:kern w:val="0"/>
          <w:sz w:val="21"/>
          <w:szCs w:val="21"/>
          <w:highlight w:val="none"/>
        </w:rPr>
        <w:t>须单独附表，并附上</w:t>
      </w:r>
      <w:r>
        <w:rPr>
          <w:rFonts w:hint="eastAsia" w:ascii="宋体" w:hAnsi="宋体" w:eastAsia="宋体" w:cs="宋体"/>
          <w:color w:val="auto"/>
          <w:spacing w:val="-1"/>
          <w:kern w:val="0"/>
          <w:sz w:val="21"/>
          <w:szCs w:val="21"/>
          <w:highlight w:val="none"/>
          <w:lang w:eastAsia="zh-CN"/>
        </w:rPr>
        <w:t>合同</w:t>
      </w:r>
      <w:r>
        <w:rPr>
          <w:rFonts w:hint="eastAsia" w:ascii="宋体" w:hAnsi="宋体" w:eastAsia="宋体" w:cs="宋体"/>
          <w:color w:val="auto"/>
          <w:spacing w:val="-1"/>
          <w:kern w:val="0"/>
          <w:sz w:val="21"/>
          <w:szCs w:val="21"/>
          <w:highlight w:val="none"/>
          <w:lang w:val="en-US" w:eastAsia="zh-CN"/>
        </w:rPr>
        <w:t>或</w:t>
      </w:r>
      <w:r>
        <w:rPr>
          <w:rFonts w:hint="eastAsia" w:ascii="宋体" w:hAnsi="宋体" w:eastAsia="宋体" w:cs="宋体"/>
          <w:color w:val="auto"/>
          <w:spacing w:val="-1"/>
          <w:kern w:val="0"/>
          <w:sz w:val="21"/>
          <w:szCs w:val="21"/>
          <w:highlight w:val="none"/>
          <w:lang w:eastAsia="zh-CN"/>
        </w:rPr>
        <w:t>中标通知书</w:t>
      </w:r>
      <w:r>
        <w:rPr>
          <w:rFonts w:hint="eastAsia" w:ascii="宋体" w:hAnsi="宋体" w:eastAsia="宋体" w:cs="宋体"/>
          <w:color w:val="auto"/>
          <w:spacing w:val="-1"/>
          <w:kern w:val="0"/>
          <w:sz w:val="21"/>
          <w:szCs w:val="21"/>
          <w:highlight w:val="none"/>
        </w:rPr>
        <w:t>相关证明材料，否则专家在评审时将不予采信。</w:t>
      </w:r>
    </w:p>
    <w:p w14:paraId="1B8CCC48">
      <w:pPr>
        <w:pStyle w:val="19"/>
        <w:numPr>
          <w:ilvl w:val="0"/>
          <w:numId w:val="0"/>
        </w:numPr>
        <w:shd w:val="clear" w:color="auto" w:fill="auto"/>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5402FF8F">
      <w:pPr>
        <w:pStyle w:val="19"/>
        <w:numPr>
          <w:ilvl w:val="0"/>
          <w:numId w:val="0"/>
        </w:numPr>
        <w:shd w:val="clear" w:color="auto" w:fill="auto"/>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72BA4051">
      <w:pPr>
        <w:pStyle w:val="19"/>
        <w:numPr>
          <w:ilvl w:val="0"/>
          <w:numId w:val="0"/>
        </w:numPr>
        <w:shd w:val="clear" w:color="auto" w:fill="auto"/>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12E8144D">
      <w:pPr>
        <w:shd w:val="clear" w:color="auto" w:fill="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（盖章）</w:t>
      </w:r>
    </w:p>
    <w:p w14:paraId="50055A9D">
      <w:pPr>
        <w:pStyle w:val="19"/>
        <w:numPr>
          <w:ilvl w:val="0"/>
          <w:numId w:val="0"/>
        </w:numPr>
        <w:shd w:val="clear" w:color="auto" w:fill="auto"/>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SA"/>
        </w:rPr>
        <w:t>(签字或盖章）</w:t>
      </w:r>
    </w:p>
    <w:p w14:paraId="54FD1025">
      <w:pPr>
        <w:pStyle w:val="19"/>
        <w:numPr>
          <w:ilvl w:val="0"/>
          <w:numId w:val="0"/>
        </w:numPr>
        <w:shd w:val="clear" w:color="auto" w:fill="auto"/>
        <w:tabs>
          <w:tab w:val="left" w:pos="5551"/>
          <w:tab w:val="left" w:pos="6511"/>
          <w:tab w:val="left" w:pos="7111"/>
          <w:tab w:val="left" w:pos="7711"/>
          <w:tab w:val="clear" w:pos="562"/>
          <w:tab w:val="clear" w:pos="3372"/>
          <w:tab w:val="clear" w:pos="3653"/>
        </w:tabs>
        <w:kinsoku w:val="0"/>
        <w:overflowPunct w:val="0"/>
        <w:spacing w:before="46"/>
        <w:ind w:right="0" w:rightChars="0"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bookmarkEnd w:id="70"/>
    <w:p w14:paraId="05BB8FFE">
      <w:pPr>
        <w:spacing w:line="240" w:lineRule="auto"/>
        <w:rPr>
          <w:rFonts w:hint="eastAsia" w:ascii="宋体" w:hAnsi="宋体" w:eastAsia="宋体" w:cs="宋体"/>
          <w:color w:val="auto"/>
          <w:highlight w:val="none"/>
        </w:rPr>
      </w:pPr>
    </w:p>
    <w:p w14:paraId="31CAC189">
      <w:pPr>
        <w:pStyle w:val="24"/>
        <w:shd w:val="clear" w:color="auto" w:fill="auto"/>
        <w:ind w:left="0" w:leftChars="0" w:right="206" w:rightChars="98" w:firstLine="0" w:firstLineChars="0"/>
        <w:rPr>
          <w:rFonts w:hint="eastAsia" w:ascii="宋体" w:hAnsi="宋体" w:eastAsia="宋体" w:cs="宋体"/>
          <w:color w:val="auto"/>
          <w:highlight w:val="none"/>
        </w:rPr>
      </w:pPr>
    </w:p>
    <w:p w14:paraId="59B85173">
      <w:pPr>
        <w:pStyle w:val="24"/>
        <w:shd w:val="clear" w:color="auto" w:fill="auto"/>
        <w:ind w:left="0" w:leftChars="0" w:right="206" w:rightChars="98" w:firstLine="0" w:firstLineChars="0"/>
        <w:rPr>
          <w:rFonts w:hint="eastAsia" w:ascii="宋体" w:hAnsi="宋体" w:eastAsia="宋体" w:cs="宋体"/>
          <w:color w:val="auto"/>
          <w:highlight w:val="none"/>
        </w:rPr>
      </w:pPr>
    </w:p>
    <w:p w14:paraId="6650409D">
      <w:pPr>
        <w:pStyle w:val="24"/>
        <w:shd w:val="clear" w:color="auto" w:fill="auto"/>
        <w:ind w:left="0" w:leftChars="0" w:right="206" w:rightChars="98" w:firstLine="0" w:firstLineChars="0"/>
        <w:rPr>
          <w:rFonts w:hint="eastAsia" w:ascii="宋体" w:hAnsi="宋体" w:eastAsia="宋体" w:cs="宋体"/>
          <w:color w:val="auto"/>
          <w:highlight w:val="none"/>
        </w:rPr>
      </w:pPr>
    </w:p>
    <w:p w14:paraId="5741342E">
      <w:pPr>
        <w:pStyle w:val="24"/>
        <w:shd w:val="clear" w:color="auto" w:fill="auto"/>
        <w:ind w:left="0" w:leftChars="0" w:right="206" w:rightChars="98" w:firstLine="0" w:firstLineChars="0"/>
        <w:rPr>
          <w:rFonts w:hint="eastAsia" w:ascii="宋体" w:hAnsi="宋体" w:eastAsia="宋体" w:cs="宋体"/>
          <w:color w:val="auto"/>
          <w:highlight w:val="none"/>
        </w:rPr>
      </w:pPr>
    </w:p>
    <w:p w14:paraId="636C1354">
      <w:pPr>
        <w:pStyle w:val="25"/>
        <w:rPr>
          <w:rFonts w:hint="eastAsia" w:ascii="宋体" w:hAnsi="宋体" w:eastAsia="宋体" w:cs="宋体"/>
          <w:color w:val="auto"/>
          <w:highlight w:val="none"/>
        </w:rPr>
      </w:pPr>
    </w:p>
    <w:p w14:paraId="3B46E5EA">
      <w:pPr>
        <w:rPr>
          <w:rFonts w:hint="eastAsia" w:ascii="宋体" w:hAnsi="宋体" w:eastAsia="宋体" w:cs="宋体"/>
          <w:color w:val="auto"/>
          <w:highlight w:val="none"/>
        </w:rPr>
      </w:pPr>
    </w:p>
    <w:p w14:paraId="4677697D">
      <w:pPr>
        <w:pStyle w:val="38"/>
        <w:rPr>
          <w:rFonts w:hint="eastAsia" w:ascii="宋体" w:hAnsi="宋体" w:eastAsia="宋体" w:cs="宋体"/>
          <w:color w:val="auto"/>
          <w:highlight w:val="none"/>
        </w:rPr>
      </w:pPr>
    </w:p>
    <w:p w14:paraId="7C89881C">
      <w:pPr>
        <w:rPr>
          <w:rFonts w:hint="eastAsia" w:ascii="宋体" w:hAnsi="宋体" w:eastAsia="宋体" w:cs="宋体"/>
          <w:color w:val="auto"/>
          <w:highlight w:val="none"/>
        </w:rPr>
      </w:pPr>
    </w:p>
    <w:p w14:paraId="2DDEB785">
      <w:pPr>
        <w:pStyle w:val="38"/>
        <w:rPr>
          <w:rFonts w:hint="eastAsia" w:ascii="宋体" w:hAnsi="宋体" w:eastAsia="宋体" w:cs="宋体"/>
          <w:color w:val="auto"/>
          <w:highlight w:val="none"/>
        </w:rPr>
      </w:pPr>
    </w:p>
    <w:p w14:paraId="2DD30A39">
      <w:pPr>
        <w:rPr>
          <w:rFonts w:hint="eastAsia" w:ascii="宋体" w:hAnsi="宋体" w:eastAsia="宋体" w:cs="宋体"/>
          <w:color w:val="auto"/>
          <w:highlight w:val="none"/>
        </w:rPr>
      </w:pPr>
    </w:p>
    <w:p w14:paraId="7DE6D9BC">
      <w:pPr>
        <w:pStyle w:val="38"/>
        <w:rPr>
          <w:rFonts w:hint="eastAsia"/>
        </w:rPr>
      </w:pPr>
    </w:p>
    <w:p w14:paraId="3E58269D">
      <w:pPr>
        <w:rPr>
          <w:rFonts w:hint="eastAsia" w:ascii="宋体" w:hAnsi="宋体" w:eastAsia="宋体" w:cs="宋体"/>
          <w:color w:val="auto"/>
          <w:highlight w:val="none"/>
        </w:rPr>
      </w:pPr>
    </w:p>
    <w:p w14:paraId="3A83F25B">
      <w:pPr>
        <w:pStyle w:val="4"/>
        <w:rPr>
          <w:rFonts w:hint="eastAsia"/>
        </w:rPr>
      </w:pPr>
    </w:p>
    <w:p w14:paraId="6BCF873A">
      <w:pPr>
        <w:pStyle w:val="4"/>
        <w:outlineLvl w:val="9"/>
        <w:rPr>
          <w:rFonts w:hint="eastAsia"/>
        </w:rPr>
      </w:pPr>
    </w:p>
    <w:p w14:paraId="7FB44244">
      <w:pPr>
        <w:shd w:val="clear" w:color="auto" w:fill="auto"/>
        <w:jc w:val="center"/>
        <w:outlineLvl w:val="2"/>
        <w:rPr>
          <w:rFonts w:hint="eastAsia" w:ascii="宋体" w:hAnsi="宋体" w:eastAsia="宋体" w:cs="宋体"/>
          <w:b/>
          <w:bCs/>
          <w:color w:val="auto"/>
          <w:sz w:val="32"/>
          <w:szCs w:val="40"/>
          <w:highlight w:val="none"/>
          <w:lang w:eastAsia="zh-CN"/>
        </w:rPr>
      </w:pPr>
      <w:r>
        <w:rPr>
          <w:rFonts w:hint="eastAsia" w:ascii="宋体" w:hAnsi="宋体" w:eastAsia="宋体" w:cs="宋体"/>
          <w:b/>
          <w:bCs/>
          <w:color w:val="auto"/>
          <w:sz w:val="32"/>
          <w:szCs w:val="40"/>
          <w:highlight w:val="none"/>
          <w:lang w:val="en-US" w:eastAsia="zh-CN"/>
        </w:rPr>
        <w:t xml:space="preserve"> 8、</w:t>
      </w:r>
      <w:r>
        <w:rPr>
          <w:rFonts w:hint="eastAsia" w:ascii="宋体" w:hAnsi="宋体" w:eastAsia="宋体" w:cs="宋体"/>
          <w:b/>
          <w:bCs/>
          <w:color w:val="auto"/>
          <w:sz w:val="32"/>
          <w:szCs w:val="40"/>
          <w:highlight w:val="none"/>
          <w:lang w:eastAsia="zh-CN"/>
        </w:rPr>
        <w:t>中小企业声明函(货物)</w:t>
      </w:r>
    </w:p>
    <w:p w14:paraId="6F33A47F">
      <w:pPr>
        <w:spacing w:line="360" w:lineRule="auto"/>
        <w:ind w:firstLine="420" w:firstLineChars="200"/>
        <w:rPr>
          <w:rFonts w:hint="eastAsia" w:ascii="仿宋" w:hAnsi="仿宋" w:eastAsia="仿宋" w:cs="仿宋"/>
          <w:color w:val="auto"/>
          <w:highlight w:val="none"/>
          <w:lang w:eastAsia="zh-CN"/>
        </w:rPr>
      </w:pPr>
    </w:p>
    <w:p w14:paraId="722887B6">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6D9DBC9B">
      <w:pPr>
        <w:numPr>
          <w:ilvl w:val="0"/>
          <w:numId w:val="13"/>
        </w:num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22BAB834">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1002F800">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77388CE7">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1DDA6668">
      <w:pPr>
        <w:spacing w:line="360" w:lineRule="auto"/>
        <w:ind w:firstLine="420" w:firstLineChars="200"/>
        <w:rPr>
          <w:rFonts w:ascii="仿宋" w:hAnsi="仿宋" w:eastAsia="仿宋" w:cs="仿宋"/>
          <w:color w:val="auto"/>
          <w:highlight w:val="none"/>
          <w:lang w:eastAsia="zh-CN"/>
        </w:rPr>
      </w:pPr>
    </w:p>
    <w:p w14:paraId="556188A6">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39E39557">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5BD0217C">
      <w:pPr>
        <w:spacing w:line="360" w:lineRule="auto"/>
        <w:ind w:firstLine="420" w:firstLineChars="200"/>
        <w:rPr>
          <w:rFonts w:ascii="仿宋" w:hAnsi="仿宋" w:eastAsia="仿宋" w:cs="仿宋"/>
          <w:color w:val="auto"/>
          <w:highlight w:val="none"/>
          <w:lang w:eastAsia="zh-CN"/>
        </w:rPr>
      </w:pPr>
    </w:p>
    <w:p w14:paraId="1BD6CA07">
      <w:pPr>
        <w:spacing w:line="360" w:lineRule="auto"/>
        <w:ind w:firstLine="399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68E6FFD6">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52B76E2E">
      <w:pPr>
        <w:pStyle w:val="4"/>
        <w:rPr>
          <w:rFonts w:hint="eastAsia" w:ascii="仿宋" w:hAnsi="仿宋" w:eastAsia="仿宋" w:cs="仿宋"/>
          <w:color w:val="auto"/>
          <w:highlight w:val="none"/>
          <w:lang w:eastAsia="zh-CN"/>
        </w:rPr>
      </w:pPr>
    </w:p>
    <w:p w14:paraId="632BDFCC">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说明 ：对中小企业的认定 ，由货物制造商或者工程、服务投标人注册登记所在地的县级以上人民政府中 小企业主管部门负责。如因投标人提供的《中小企业声明函》  引起的质疑、投诉、信访或其他方式情况 反映等 ，投标人须自行澄清 ，并提供由中小企业主管部门出具的企业划型证明。对于不能出具企业划型 证明的投标人 ，自行承担由此产生的一切后果 ，包括声明内容视为无效、不享受相关政府采购优惠政策等。</w:t>
      </w:r>
    </w:p>
    <w:p w14:paraId="42D8FC4E">
      <w:pPr>
        <w:spacing w:line="360" w:lineRule="auto"/>
        <w:ind w:firstLine="420" w:firstLineChars="200"/>
        <w:rPr>
          <w:rFonts w:hint="eastAsia" w:ascii="仿宋" w:hAnsi="仿宋" w:eastAsia="仿宋" w:cs="仿宋"/>
          <w:color w:val="auto"/>
          <w:highlight w:val="none"/>
          <w:lang w:eastAsia="zh-CN"/>
        </w:rPr>
        <w:sectPr>
          <w:footerReference r:id="rId17" w:type="default"/>
          <w:pgSz w:w="11907" w:h="16840"/>
          <w:pgMar w:top="1440" w:right="1080" w:bottom="1440" w:left="1080" w:header="0" w:footer="1086" w:gutter="0"/>
          <w:pgNumType w:fmt="decimal"/>
          <w:cols w:space="720" w:num="1"/>
        </w:sectPr>
      </w:pPr>
    </w:p>
    <w:p w14:paraId="791366C0">
      <w:pPr>
        <w:rPr>
          <w:rFonts w:hint="eastAsia"/>
          <w:lang w:eastAsia="zh-CN"/>
        </w:rPr>
      </w:pPr>
    </w:p>
    <w:p w14:paraId="4CDF9C73">
      <w:pPr>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w:t>
      </w:r>
    </w:p>
    <w:p w14:paraId="1147CE4C">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中小微企业划型标准</w:t>
      </w:r>
    </w:p>
    <w:tbl>
      <w:tblPr>
        <w:tblStyle w:val="50"/>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65DDA239">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521B367B">
            <w:pPr>
              <w:widowControl/>
              <w:snapToGrid w:val="0"/>
              <w:contextualSpacing/>
              <w:jc w:val="center"/>
              <w:rPr>
                <w:rFonts w:hint="eastAsia" w:ascii="华文仿宋" w:hAnsi="华文仿宋" w:eastAsia="华文仿宋" w:cs="华文仿宋"/>
                <w:b/>
                <w:color w:val="auto"/>
                <w:kern w:val="0"/>
                <w:sz w:val="22"/>
                <w:szCs w:val="22"/>
                <w:highlight w:val="none"/>
              </w:rPr>
            </w:pPr>
            <w:r>
              <w:rPr>
                <w:rFonts w:hint="eastAsia" w:ascii="华文仿宋" w:hAnsi="华文仿宋" w:eastAsia="华文仿宋" w:cs="华文仿宋"/>
                <w:b/>
                <w:color w:val="auto"/>
                <w:kern w:val="0"/>
                <w:sz w:val="22"/>
                <w:szCs w:val="22"/>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0D0FAD50">
            <w:pPr>
              <w:widowControl/>
              <w:snapToGrid w:val="0"/>
              <w:contextualSpacing/>
              <w:jc w:val="center"/>
              <w:rPr>
                <w:rFonts w:hint="eastAsia" w:ascii="华文仿宋" w:hAnsi="华文仿宋" w:eastAsia="华文仿宋" w:cs="华文仿宋"/>
                <w:b/>
                <w:color w:val="auto"/>
                <w:kern w:val="0"/>
                <w:sz w:val="22"/>
                <w:szCs w:val="22"/>
                <w:highlight w:val="none"/>
              </w:rPr>
            </w:pPr>
            <w:r>
              <w:rPr>
                <w:rFonts w:hint="eastAsia" w:ascii="华文仿宋" w:hAnsi="华文仿宋" w:eastAsia="华文仿宋" w:cs="华文仿宋"/>
                <w:b/>
                <w:color w:val="auto"/>
                <w:kern w:val="0"/>
                <w:sz w:val="22"/>
                <w:szCs w:val="22"/>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563083B4">
            <w:pPr>
              <w:widowControl/>
              <w:snapToGrid w:val="0"/>
              <w:contextualSpacing/>
              <w:jc w:val="center"/>
              <w:rPr>
                <w:rFonts w:hint="eastAsia" w:ascii="华文仿宋" w:hAnsi="华文仿宋" w:eastAsia="华文仿宋" w:cs="华文仿宋"/>
                <w:b/>
                <w:color w:val="auto"/>
                <w:kern w:val="0"/>
                <w:sz w:val="22"/>
                <w:szCs w:val="22"/>
                <w:highlight w:val="none"/>
              </w:rPr>
            </w:pPr>
            <w:r>
              <w:rPr>
                <w:rFonts w:hint="eastAsia" w:ascii="华文仿宋" w:hAnsi="华文仿宋" w:eastAsia="华文仿宋" w:cs="华文仿宋"/>
                <w:b/>
                <w:color w:val="auto"/>
                <w:kern w:val="0"/>
                <w:sz w:val="22"/>
                <w:szCs w:val="22"/>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2CAD7DAF">
            <w:pPr>
              <w:widowControl/>
              <w:snapToGrid w:val="0"/>
              <w:contextualSpacing/>
              <w:jc w:val="center"/>
              <w:rPr>
                <w:rFonts w:hint="eastAsia" w:ascii="华文仿宋" w:hAnsi="华文仿宋" w:eastAsia="华文仿宋" w:cs="华文仿宋"/>
                <w:b/>
                <w:color w:val="auto"/>
                <w:kern w:val="0"/>
                <w:sz w:val="22"/>
                <w:szCs w:val="22"/>
                <w:highlight w:val="none"/>
              </w:rPr>
            </w:pPr>
            <w:r>
              <w:rPr>
                <w:rFonts w:hint="eastAsia" w:ascii="华文仿宋" w:hAnsi="华文仿宋" w:eastAsia="华文仿宋" w:cs="华文仿宋"/>
                <w:b/>
                <w:color w:val="auto"/>
                <w:kern w:val="0"/>
                <w:sz w:val="22"/>
                <w:szCs w:val="22"/>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737BB124">
            <w:pPr>
              <w:widowControl/>
              <w:snapToGrid w:val="0"/>
              <w:contextualSpacing/>
              <w:jc w:val="center"/>
              <w:rPr>
                <w:rFonts w:hint="eastAsia" w:ascii="华文仿宋" w:hAnsi="华文仿宋" w:eastAsia="华文仿宋" w:cs="华文仿宋"/>
                <w:b/>
                <w:color w:val="auto"/>
                <w:kern w:val="0"/>
                <w:sz w:val="22"/>
                <w:szCs w:val="22"/>
                <w:highlight w:val="none"/>
              </w:rPr>
            </w:pPr>
            <w:r>
              <w:rPr>
                <w:rFonts w:hint="eastAsia" w:ascii="华文仿宋" w:hAnsi="华文仿宋" w:eastAsia="华文仿宋" w:cs="华文仿宋"/>
                <w:b/>
                <w:color w:val="auto"/>
                <w:kern w:val="0"/>
                <w:sz w:val="22"/>
                <w:szCs w:val="22"/>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3CEDA84A">
            <w:pPr>
              <w:widowControl/>
              <w:snapToGrid w:val="0"/>
              <w:contextualSpacing/>
              <w:jc w:val="center"/>
              <w:rPr>
                <w:rFonts w:hint="eastAsia" w:ascii="华文仿宋" w:hAnsi="华文仿宋" w:eastAsia="华文仿宋" w:cs="华文仿宋"/>
                <w:b/>
                <w:color w:val="auto"/>
                <w:kern w:val="0"/>
                <w:sz w:val="22"/>
                <w:szCs w:val="22"/>
                <w:highlight w:val="none"/>
              </w:rPr>
            </w:pPr>
            <w:r>
              <w:rPr>
                <w:rFonts w:hint="eastAsia" w:ascii="华文仿宋" w:hAnsi="华文仿宋" w:eastAsia="华文仿宋" w:cs="华文仿宋"/>
                <w:b/>
                <w:color w:val="auto"/>
                <w:kern w:val="0"/>
                <w:sz w:val="22"/>
                <w:szCs w:val="22"/>
                <w:highlight w:val="none"/>
              </w:rPr>
              <w:t>微型</w:t>
            </w:r>
          </w:p>
        </w:tc>
      </w:tr>
      <w:tr w14:paraId="65B536DA">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09502E26">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农、林、牧、渔</w:t>
            </w:r>
          </w:p>
        </w:tc>
        <w:tc>
          <w:tcPr>
            <w:tcW w:w="1660" w:type="dxa"/>
            <w:tcBorders>
              <w:top w:val="nil"/>
              <w:left w:val="nil"/>
              <w:bottom w:val="single" w:color="auto" w:sz="4" w:space="0"/>
              <w:right w:val="single" w:color="auto" w:sz="4" w:space="0"/>
            </w:tcBorders>
            <w:noWrap w:val="0"/>
            <w:vAlign w:val="center"/>
          </w:tcPr>
          <w:p w14:paraId="71AE002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36696A2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22CDB00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500≤Y＜20000</w:t>
            </w:r>
          </w:p>
        </w:tc>
        <w:tc>
          <w:tcPr>
            <w:tcW w:w="1692" w:type="dxa"/>
            <w:tcBorders>
              <w:top w:val="nil"/>
              <w:left w:val="nil"/>
              <w:bottom w:val="single" w:color="auto" w:sz="4" w:space="0"/>
              <w:right w:val="single" w:color="auto" w:sz="4" w:space="0"/>
            </w:tcBorders>
            <w:noWrap w:val="0"/>
            <w:vAlign w:val="center"/>
          </w:tcPr>
          <w:p w14:paraId="4B84C9A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50≤Y＜500</w:t>
            </w:r>
          </w:p>
        </w:tc>
        <w:tc>
          <w:tcPr>
            <w:tcW w:w="1087" w:type="dxa"/>
            <w:tcBorders>
              <w:top w:val="nil"/>
              <w:left w:val="nil"/>
              <w:bottom w:val="single" w:color="auto" w:sz="4" w:space="0"/>
              <w:right w:val="single" w:color="auto" w:sz="4" w:space="0"/>
            </w:tcBorders>
            <w:noWrap w:val="0"/>
            <w:vAlign w:val="center"/>
          </w:tcPr>
          <w:p w14:paraId="164EFBB6">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Y＜50</w:t>
            </w:r>
          </w:p>
        </w:tc>
      </w:tr>
      <w:tr w14:paraId="3EDC2F4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2B690DE">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工业</w:t>
            </w:r>
          </w:p>
        </w:tc>
        <w:tc>
          <w:tcPr>
            <w:tcW w:w="1660" w:type="dxa"/>
            <w:tcBorders>
              <w:top w:val="nil"/>
              <w:left w:val="nil"/>
              <w:bottom w:val="single" w:color="auto" w:sz="4" w:space="0"/>
              <w:right w:val="single" w:color="auto" w:sz="4" w:space="0"/>
            </w:tcBorders>
            <w:noWrap w:val="0"/>
            <w:vAlign w:val="center"/>
          </w:tcPr>
          <w:p w14:paraId="21A96E7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48F4794E">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677CE7F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300≤X＜1000</w:t>
            </w:r>
          </w:p>
        </w:tc>
        <w:tc>
          <w:tcPr>
            <w:tcW w:w="1692" w:type="dxa"/>
            <w:tcBorders>
              <w:top w:val="nil"/>
              <w:left w:val="nil"/>
              <w:bottom w:val="single" w:color="auto" w:sz="4" w:space="0"/>
              <w:right w:val="single" w:color="auto" w:sz="4" w:space="0"/>
            </w:tcBorders>
            <w:noWrap w:val="0"/>
            <w:vAlign w:val="center"/>
          </w:tcPr>
          <w:p w14:paraId="46AA54D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20≤X＜300</w:t>
            </w:r>
          </w:p>
        </w:tc>
        <w:tc>
          <w:tcPr>
            <w:tcW w:w="1087" w:type="dxa"/>
            <w:tcBorders>
              <w:top w:val="nil"/>
              <w:left w:val="nil"/>
              <w:bottom w:val="single" w:color="auto" w:sz="4" w:space="0"/>
              <w:right w:val="single" w:color="auto" w:sz="4" w:space="0"/>
            </w:tcBorders>
            <w:noWrap w:val="0"/>
            <w:vAlign w:val="center"/>
          </w:tcPr>
          <w:p w14:paraId="253E2907">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X＜20</w:t>
            </w:r>
          </w:p>
        </w:tc>
      </w:tr>
      <w:tr w14:paraId="02B8DA7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61E7A75">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0DE3473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42FD688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69D0825E">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2000≤Y＜40000</w:t>
            </w:r>
          </w:p>
        </w:tc>
        <w:tc>
          <w:tcPr>
            <w:tcW w:w="1692" w:type="dxa"/>
            <w:tcBorders>
              <w:top w:val="nil"/>
              <w:left w:val="nil"/>
              <w:bottom w:val="single" w:color="auto" w:sz="4" w:space="0"/>
              <w:right w:val="single" w:color="auto" w:sz="4" w:space="0"/>
            </w:tcBorders>
            <w:noWrap w:val="0"/>
            <w:vAlign w:val="center"/>
          </w:tcPr>
          <w:p w14:paraId="153B61AD">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300≤Y＜2000</w:t>
            </w:r>
          </w:p>
        </w:tc>
        <w:tc>
          <w:tcPr>
            <w:tcW w:w="1087" w:type="dxa"/>
            <w:tcBorders>
              <w:top w:val="nil"/>
              <w:left w:val="nil"/>
              <w:bottom w:val="single" w:color="auto" w:sz="4" w:space="0"/>
              <w:right w:val="single" w:color="auto" w:sz="4" w:space="0"/>
            </w:tcBorders>
            <w:noWrap w:val="0"/>
            <w:vAlign w:val="center"/>
          </w:tcPr>
          <w:p w14:paraId="209588A0">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Y＜300</w:t>
            </w:r>
          </w:p>
        </w:tc>
      </w:tr>
      <w:tr w14:paraId="5D17417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464727E">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建筑业</w:t>
            </w:r>
          </w:p>
        </w:tc>
        <w:tc>
          <w:tcPr>
            <w:tcW w:w="1660" w:type="dxa"/>
            <w:tcBorders>
              <w:top w:val="nil"/>
              <w:left w:val="nil"/>
              <w:bottom w:val="single" w:color="auto" w:sz="4" w:space="0"/>
              <w:right w:val="single" w:color="auto" w:sz="4" w:space="0"/>
            </w:tcBorders>
            <w:noWrap w:val="0"/>
            <w:vAlign w:val="center"/>
          </w:tcPr>
          <w:p w14:paraId="0095280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1BC0173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5A431930">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6000≤Y＜80000</w:t>
            </w:r>
          </w:p>
        </w:tc>
        <w:tc>
          <w:tcPr>
            <w:tcW w:w="1692" w:type="dxa"/>
            <w:tcBorders>
              <w:top w:val="nil"/>
              <w:left w:val="nil"/>
              <w:bottom w:val="single" w:color="auto" w:sz="4" w:space="0"/>
              <w:right w:val="single" w:color="auto" w:sz="4" w:space="0"/>
            </w:tcBorders>
            <w:noWrap w:val="0"/>
            <w:vAlign w:val="center"/>
          </w:tcPr>
          <w:p w14:paraId="2E74EF2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300≤Y＜6000</w:t>
            </w:r>
          </w:p>
        </w:tc>
        <w:tc>
          <w:tcPr>
            <w:tcW w:w="1087" w:type="dxa"/>
            <w:tcBorders>
              <w:top w:val="nil"/>
              <w:left w:val="nil"/>
              <w:bottom w:val="single" w:color="auto" w:sz="4" w:space="0"/>
              <w:right w:val="single" w:color="auto" w:sz="4" w:space="0"/>
            </w:tcBorders>
            <w:noWrap w:val="0"/>
            <w:vAlign w:val="center"/>
          </w:tcPr>
          <w:p w14:paraId="431BD6C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Y＜300</w:t>
            </w:r>
          </w:p>
        </w:tc>
      </w:tr>
      <w:tr w14:paraId="5F998D8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80254B5">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799E35D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资产总额（Z）</w:t>
            </w:r>
          </w:p>
        </w:tc>
        <w:tc>
          <w:tcPr>
            <w:tcW w:w="1466" w:type="dxa"/>
            <w:tcBorders>
              <w:top w:val="nil"/>
              <w:left w:val="nil"/>
              <w:bottom w:val="single" w:color="auto" w:sz="4" w:space="0"/>
              <w:right w:val="single" w:color="auto" w:sz="4" w:space="0"/>
            </w:tcBorders>
            <w:noWrap w:val="0"/>
            <w:vAlign w:val="center"/>
          </w:tcPr>
          <w:p w14:paraId="294423D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6180111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5000≤Z＜80000</w:t>
            </w:r>
          </w:p>
        </w:tc>
        <w:tc>
          <w:tcPr>
            <w:tcW w:w="1692" w:type="dxa"/>
            <w:tcBorders>
              <w:top w:val="nil"/>
              <w:left w:val="nil"/>
              <w:bottom w:val="single" w:color="auto" w:sz="4" w:space="0"/>
              <w:right w:val="single" w:color="auto" w:sz="4" w:space="0"/>
            </w:tcBorders>
            <w:noWrap w:val="0"/>
            <w:vAlign w:val="center"/>
          </w:tcPr>
          <w:p w14:paraId="2961213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300≤Z＜5000</w:t>
            </w:r>
          </w:p>
        </w:tc>
        <w:tc>
          <w:tcPr>
            <w:tcW w:w="1087" w:type="dxa"/>
            <w:tcBorders>
              <w:top w:val="nil"/>
              <w:left w:val="nil"/>
              <w:bottom w:val="single" w:color="auto" w:sz="4" w:space="0"/>
              <w:right w:val="single" w:color="auto" w:sz="4" w:space="0"/>
            </w:tcBorders>
            <w:noWrap w:val="0"/>
            <w:vAlign w:val="center"/>
          </w:tcPr>
          <w:p w14:paraId="249176C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Z＜300</w:t>
            </w:r>
          </w:p>
        </w:tc>
      </w:tr>
      <w:tr w14:paraId="39C3769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2280E15">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批发业</w:t>
            </w:r>
          </w:p>
        </w:tc>
        <w:tc>
          <w:tcPr>
            <w:tcW w:w="1660" w:type="dxa"/>
            <w:tcBorders>
              <w:top w:val="nil"/>
              <w:left w:val="nil"/>
              <w:bottom w:val="single" w:color="auto" w:sz="4" w:space="0"/>
              <w:right w:val="single" w:color="auto" w:sz="4" w:space="0"/>
            </w:tcBorders>
            <w:noWrap w:val="0"/>
            <w:vAlign w:val="center"/>
          </w:tcPr>
          <w:p w14:paraId="7C95AD4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0EF8030D">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0D47CDD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20≤X＜200</w:t>
            </w:r>
          </w:p>
        </w:tc>
        <w:tc>
          <w:tcPr>
            <w:tcW w:w="1692" w:type="dxa"/>
            <w:tcBorders>
              <w:top w:val="nil"/>
              <w:left w:val="nil"/>
              <w:bottom w:val="single" w:color="auto" w:sz="4" w:space="0"/>
              <w:right w:val="single" w:color="auto" w:sz="4" w:space="0"/>
            </w:tcBorders>
            <w:noWrap w:val="0"/>
            <w:vAlign w:val="center"/>
          </w:tcPr>
          <w:p w14:paraId="67789CC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5≤X＜20</w:t>
            </w:r>
          </w:p>
        </w:tc>
        <w:tc>
          <w:tcPr>
            <w:tcW w:w="1087" w:type="dxa"/>
            <w:tcBorders>
              <w:top w:val="nil"/>
              <w:left w:val="nil"/>
              <w:bottom w:val="single" w:color="auto" w:sz="4" w:space="0"/>
              <w:right w:val="single" w:color="auto" w:sz="4" w:space="0"/>
            </w:tcBorders>
            <w:noWrap w:val="0"/>
            <w:vAlign w:val="center"/>
          </w:tcPr>
          <w:p w14:paraId="5E530E7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X＜5</w:t>
            </w:r>
          </w:p>
        </w:tc>
      </w:tr>
      <w:tr w14:paraId="08B792D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7650205">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0B15204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7F939F7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505199F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5000≤Y＜40000</w:t>
            </w:r>
          </w:p>
        </w:tc>
        <w:tc>
          <w:tcPr>
            <w:tcW w:w="1692" w:type="dxa"/>
            <w:tcBorders>
              <w:top w:val="nil"/>
              <w:left w:val="nil"/>
              <w:bottom w:val="single" w:color="auto" w:sz="4" w:space="0"/>
              <w:right w:val="single" w:color="auto" w:sz="4" w:space="0"/>
            </w:tcBorders>
            <w:noWrap w:val="0"/>
            <w:vAlign w:val="center"/>
          </w:tcPr>
          <w:p w14:paraId="30C74496">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1000≤Y＜5000</w:t>
            </w:r>
          </w:p>
        </w:tc>
        <w:tc>
          <w:tcPr>
            <w:tcW w:w="1087" w:type="dxa"/>
            <w:tcBorders>
              <w:top w:val="nil"/>
              <w:left w:val="nil"/>
              <w:bottom w:val="single" w:color="auto" w:sz="4" w:space="0"/>
              <w:right w:val="single" w:color="auto" w:sz="4" w:space="0"/>
            </w:tcBorders>
            <w:noWrap w:val="0"/>
            <w:vAlign w:val="center"/>
          </w:tcPr>
          <w:p w14:paraId="04CE2B80">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Y＜1000</w:t>
            </w:r>
          </w:p>
        </w:tc>
      </w:tr>
      <w:tr w14:paraId="1E960AA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6BA8DD4">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零售业</w:t>
            </w:r>
          </w:p>
        </w:tc>
        <w:tc>
          <w:tcPr>
            <w:tcW w:w="1660" w:type="dxa"/>
            <w:tcBorders>
              <w:top w:val="nil"/>
              <w:left w:val="nil"/>
              <w:bottom w:val="single" w:color="auto" w:sz="4" w:space="0"/>
              <w:right w:val="single" w:color="auto" w:sz="4" w:space="0"/>
            </w:tcBorders>
            <w:noWrap w:val="0"/>
            <w:vAlign w:val="center"/>
          </w:tcPr>
          <w:p w14:paraId="13434C50">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58C8C52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197BAE60">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50≤X＜300</w:t>
            </w:r>
          </w:p>
        </w:tc>
        <w:tc>
          <w:tcPr>
            <w:tcW w:w="1692" w:type="dxa"/>
            <w:tcBorders>
              <w:top w:val="nil"/>
              <w:left w:val="nil"/>
              <w:bottom w:val="single" w:color="auto" w:sz="4" w:space="0"/>
              <w:right w:val="single" w:color="auto" w:sz="4" w:space="0"/>
            </w:tcBorders>
            <w:noWrap w:val="0"/>
            <w:vAlign w:val="center"/>
          </w:tcPr>
          <w:p w14:paraId="76491B5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10≤X＜50</w:t>
            </w:r>
          </w:p>
        </w:tc>
        <w:tc>
          <w:tcPr>
            <w:tcW w:w="1087" w:type="dxa"/>
            <w:tcBorders>
              <w:top w:val="nil"/>
              <w:left w:val="nil"/>
              <w:bottom w:val="single" w:color="auto" w:sz="4" w:space="0"/>
              <w:right w:val="single" w:color="auto" w:sz="4" w:space="0"/>
            </w:tcBorders>
            <w:noWrap w:val="0"/>
            <w:vAlign w:val="center"/>
          </w:tcPr>
          <w:p w14:paraId="31E3E57D">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X＜10</w:t>
            </w:r>
          </w:p>
        </w:tc>
      </w:tr>
      <w:tr w14:paraId="090A53D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86029D0">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0CBC7067">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657C7DE7">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7EC0E0E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500≤Y＜20000</w:t>
            </w:r>
          </w:p>
        </w:tc>
        <w:tc>
          <w:tcPr>
            <w:tcW w:w="1692" w:type="dxa"/>
            <w:tcBorders>
              <w:top w:val="nil"/>
              <w:left w:val="nil"/>
              <w:bottom w:val="single" w:color="auto" w:sz="4" w:space="0"/>
              <w:right w:val="single" w:color="auto" w:sz="4" w:space="0"/>
            </w:tcBorders>
            <w:noWrap w:val="0"/>
            <w:vAlign w:val="center"/>
          </w:tcPr>
          <w:p w14:paraId="227BA8D7">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100≤Y＜500</w:t>
            </w:r>
          </w:p>
        </w:tc>
        <w:tc>
          <w:tcPr>
            <w:tcW w:w="1087" w:type="dxa"/>
            <w:tcBorders>
              <w:top w:val="nil"/>
              <w:left w:val="nil"/>
              <w:bottom w:val="single" w:color="auto" w:sz="4" w:space="0"/>
              <w:right w:val="single" w:color="auto" w:sz="4" w:space="0"/>
            </w:tcBorders>
            <w:noWrap w:val="0"/>
            <w:vAlign w:val="center"/>
          </w:tcPr>
          <w:p w14:paraId="7F14AA06">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Y＜100</w:t>
            </w:r>
          </w:p>
        </w:tc>
      </w:tr>
      <w:tr w14:paraId="538A6FF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F14126F">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交通运输业</w:t>
            </w:r>
          </w:p>
        </w:tc>
        <w:tc>
          <w:tcPr>
            <w:tcW w:w="1660" w:type="dxa"/>
            <w:tcBorders>
              <w:top w:val="nil"/>
              <w:left w:val="nil"/>
              <w:bottom w:val="single" w:color="auto" w:sz="4" w:space="0"/>
              <w:right w:val="single" w:color="auto" w:sz="4" w:space="0"/>
            </w:tcBorders>
            <w:noWrap w:val="0"/>
            <w:vAlign w:val="center"/>
          </w:tcPr>
          <w:p w14:paraId="7AB24A2E">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089C627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1C6F4D4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300≤X＜1000</w:t>
            </w:r>
          </w:p>
        </w:tc>
        <w:tc>
          <w:tcPr>
            <w:tcW w:w="1692" w:type="dxa"/>
            <w:tcBorders>
              <w:top w:val="nil"/>
              <w:left w:val="nil"/>
              <w:bottom w:val="single" w:color="auto" w:sz="4" w:space="0"/>
              <w:right w:val="single" w:color="auto" w:sz="4" w:space="0"/>
            </w:tcBorders>
            <w:noWrap w:val="0"/>
            <w:vAlign w:val="center"/>
          </w:tcPr>
          <w:p w14:paraId="0770E24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20≤X＜300</w:t>
            </w:r>
          </w:p>
        </w:tc>
        <w:tc>
          <w:tcPr>
            <w:tcW w:w="1087" w:type="dxa"/>
            <w:tcBorders>
              <w:top w:val="nil"/>
              <w:left w:val="nil"/>
              <w:bottom w:val="single" w:color="auto" w:sz="4" w:space="0"/>
              <w:right w:val="single" w:color="auto" w:sz="4" w:space="0"/>
            </w:tcBorders>
            <w:noWrap w:val="0"/>
            <w:vAlign w:val="center"/>
          </w:tcPr>
          <w:p w14:paraId="049A5586">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X＜20</w:t>
            </w:r>
          </w:p>
        </w:tc>
      </w:tr>
      <w:tr w14:paraId="3D72E50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F91ED4F">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6BAD4B3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594132D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012EAC4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3000≤Y＜30000</w:t>
            </w:r>
          </w:p>
        </w:tc>
        <w:tc>
          <w:tcPr>
            <w:tcW w:w="1692" w:type="dxa"/>
            <w:tcBorders>
              <w:top w:val="nil"/>
              <w:left w:val="nil"/>
              <w:bottom w:val="single" w:color="auto" w:sz="4" w:space="0"/>
              <w:right w:val="single" w:color="auto" w:sz="4" w:space="0"/>
            </w:tcBorders>
            <w:noWrap w:val="0"/>
            <w:vAlign w:val="center"/>
          </w:tcPr>
          <w:p w14:paraId="16DD0F3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200≤Y＜3000</w:t>
            </w:r>
          </w:p>
        </w:tc>
        <w:tc>
          <w:tcPr>
            <w:tcW w:w="1087" w:type="dxa"/>
            <w:tcBorders>
              <w:top w:val="nil"/>
              <w:left w:val="nil"/>
              <w:bottom w:val="single" w:color="auto" w:sz="4" w:space="0"/>
              <w:right w:val="single" w:color="auto" w:sz="4" w:space="0"/>
            </w:tcBorders>
            <w:noWrap w:val="0"/>
            <w:vAlign w:val="center"/>
          </w:tcPr>
          <w:p w14:paraId="571F5AA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Y＜200</w:t>
            </w:r>
          </w:p>
        </w:tc>
      </w:tr>
      <w:tr w14:paraId="5DC7F9C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6994BC8">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仓储业</w:t>
            </w:r>
          </w:p>
        </w:tc>
        <w:tc>
          <w:tcPr>
            <w:tcW w:w="1660" w:type="dxa"/>
            <w:tcBorders>
              <w:top w:val="nil"/>
              <w:left w:val="nil"/>
              <w:bottom w:val="single" w:color="auto" w:sz="4" w:space="0"/>
              <w:right w:val="single" w:color="auto" w:sz="4" w:space="0"/>
            </w:tcBorders>
            <w:noWrap w:val="0"/>
            <w:vAlign w:val="center"/>
          </w:tcPr>
          <w:p w14:paraId="200393E8">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3AF693C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105198E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100≤X＜200</w:t>
            </w:r>
          </w:p>
        </w:tc>
        <w:tc>
          <w:tcPr>
            <w:tcW w:w="1692" w:type="dxa"/>
            <w:tcBorders>
              <w:top w:val="nil"/>
              <w:left w:val="nil"/>
              <w:bottom w:val="single" w:color="auto" w:sz="4" w:space="0"/>
              <w:right w:val="single" w:color="auto" w:sz="4" w:space="0"/>
            </w:tcBorders>
            <w:noWrap w:val="0"/>
            <w:vAlign w:val="center"/>
          </w:tcPr>
          <w:p w14:paraId="1BE0F01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20≤X＜100</w:t>
            </w:r>
          </w:p>
        </w:tc>
        <w:tc>
          <w:tcPr>
            <w:tcW w:w="1087" w:type="dxa"/>
            <w:tcBorders>
              <w:top w:val="nil"/>
              <w:left w:val="nil"/>
              <w:bottom w:val="single" w:color="auto" w:sz="4" w:space="0"/>
              <w:right w:val="single" w:color="auto" w:sz="4" w:space="0"/>
            </w:tcBorders>
            <w:noWrap w:val="0"/>
            <w:vAlign w:val="center"/>
          </w:tcPr>
          <w:p w14:paraId="4F7DA916">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X＜20</w:t>
            </w:r>
          </w:p>
        </w:tc>
      </w:tr>
      <w:tr w14:paraId="04BA810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8A8F07A">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7458CA0E">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25D045C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4249144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1000≤Y＜30000</w:t>
            </w:r>
          </w:p>
        </w:tc>
        <w:tc>
          <w:tcPr>
            <w:tcW w:w="1692" w:type="dxa"/>
            <w:tcBorders>
              <w:top w:val="nil"/>
              <w:left w:val="nil"/>
              <w:bottom w:val="single" w:color="auto" w:sz="4" w:space="0"/>
              <w:right w:val="single" w:color="auto" w:sz="4" w:space="0"/>
            </w:tcBorders>
            <w:noWrap w:val="0"/>
            <w:vAlign w:val="center"/>
          </w:tcPr>
          <w:p w14:paraId="48FC6DC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100≤Y＜1000</w:t>
            </w:r>
          </w:p>
        </w:tc>
        <w:tc>
          <w:tcPr>
            <w:tcW w:w="1087" w:type="dxa"/>
            <w:tcBorders>
              <w:top w:val="nil"/>
              <w:left w:val="nil"/>
              <w:bottom w:val="single" w:color="auto" w:sz="4" w:space="0"/>
              <w:right w:val="single" w:color="auto" w:sz="4" w:space="0"/>
            </w:tcBorders>
            <w:noWrap w:val="0"/>
            <w:vAlign w:val="center"/>
          </w:tcPr>
          <w:p w14:paraId="6068A1A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Y＜100</w:t>
            </w:r>
          </w:p>
        </w:tc>
      </w:tr>
      <w:tr w14:paraId="32621BA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20D0777">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邮政业</w:t>
            </w:r>
          </w:p>
        </w:tc>
        <w:tc>
          <w:tcPr>
            <w:tcW w:w="1660" w:type="dxa"/>
            <w:tcBorders>
              <w:top w:val="nil"/>
              <w:left w:val="nil"/>
              <w:bottom w:val="single" w:color="auto" w:sz="4" w:space="0"/>
              <w:right w:val="single" w:color="auto" w:sz="4" w:space="0"/>
            </w:tcBorders>
            <w:noWrap w:val="0"/>
            <w:vAlign w:val="center"/>
          </w:tcPr>
          <w:p w14:paraId="406D2F5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4A19C73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76A3DA3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300≤X＜1000</w:t>
            </w:r>
          </w:p>
        </w:tc>
        <w:tc>
          <w:tcPr>
            <w:tcW w:w="1692" w:type="dxa"/>
            <w:tcBorders>
              <w:top w:val="nil"/>
              <w:left w:val="nil"/>
              <w:bottom w:val="single" w:color="auto" w:sz="4" w:space="0"/>
              <w:right w:val="single" w:color="auto" w:sz="4" w:space="0"/>
            </w:tcBorders>
            <w:noWrap w:val="0"/>
            <w:vAlign w:val="center"/>
          </w:tcPr>
          <w:p w14:paraId="2B65135E">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20≤X＜300</w:t>
            </w:r>
          </w:p>
        </w:tc>
        <w:tc>
          <w:tcPr>
            <w:tcW w:w="1087" w:type="dxa"/>
            <w:tcBorders>
              <w:top w:val="nil"/>
              <w:left w:val="nil"/>
              <w:bottom w:val="single" w:color="auto" w:sz="4" w:space="0"/>
              <w:right w:val="single" w:color="auto" w:sz="4" w:space="0"/>
            </w:tcBorders>
            <w:noWrap w:val="0"/>
            <w:vAlign w:val="center"/>
          </w:tcPr>
          <w:p w14:paraId="050239C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X＜20</w:t>
            </w:r>
          </w:p>
        </w:tc>
      </w:tr>
      <w:tr w14:paraId="075617E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767A35B">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6AAC7D6D">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3C50BAA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04329AA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2000≤Y＜30000</w:t>
            </w:r>
          </w:p>
        </w:tc>
        <w:tc>
          <w:tcPr>
            <w:tcW w:w="1692" w:type="dxa"/>
            <w:tcBorders>
              <w:top w:val="nil"/>
              <w:left w:val="nil"/>
              <w:bottom w:val="single" w:color="auto" w:sz="4" w:space="0"/>
              <w:right w:val="single" w:color="auto" w:sz="4" w:space="0"/>
            </w:tcBorders>
            <w:noWrap w:val="0"/>
            <w:vAlign w:val="center"/>
          </w:tcPr>
          <w:p w14:paraId="44A1369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100≤Y＜2000</w:t>
            </w:r>
          </w:p>
        </w:tc>
        <w:tc>
          <w:tcPr>
            <w:tcW w:w="1087" w:type="dxa"/>
            <w:tcBorders>
              <w:top w:val="nil"/>
              <w:left w:val="nil"/>
              <w:bottom w:val="single" w:color="auto" w:sz="4" w:space="0"/>
              <w:right w:val="single" w:color="auto" w:sz="4" w:space="0"/>
            </w:tcBorders>
            <w:noWrap w:val="0"/>
            <w:vAlign w:val="center"/>
          </w:tcPr>
          <w:p w14:paraId="060BFE7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Y＜100</w:t>
            </w:r>
          </w:p>
        </w:tc>
      </w:tr>
      <w:tr w14:paraId="47F5F9A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30DBC6D">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住宿业</w:t>
            </w:r>
          </w:p>
        </w:tc>
        <w:tc>
          <w:tcPr>
            <w:tcW w:w="1660" w:type="dxa"/>
            <w:tcBorders>
              <w:top w:val="nil"/>
              <w:left w:val="nil"/>
              <w:bottom w:val="single" w:color="auto" w:sz="4" w:space="0"/>
              <w:right w:val="single" w:color="auto" w:sz="4" w:space="0"/>
            </w:tcBorders>
            <w:noWrap w:val="0"/>
            <w:vAlign w:val="center"/>
          </w:tcPr>
          <w:p w14:paraId="407DEE9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5D80C43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2377DA4D">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100≤X＜300</w:t>
            </w:r>
          </w:p>
        </w:tc>
        <w:tc>
          <w:tcPr>
            <w:tcW w:w="1692" w:type="dxa"/>
            <w:tcBorders>
              <w:top w:val="nil"/>
              <w:left w:val="nil"/>
              <w:bottom w:val="single" w:color="auto" w:sz="4" w:space="0"/>
              <w:right w:val="single" w:color="auto" w:sz="4" w:space="0"/>
            </w:tcBorders>
            <w:noWrap w:val="0"/>
            <w:vAlign w:val="center"/>
          </w:tcPr>
          <w:p w14:paraId="58FBFFF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1636653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X＜10</w:t>
            </w:r>
          </w:p>
        </w:tc>
      </w:tr>
      <w:tr w14:paraId="302BBB3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782E181">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52726298">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48D1005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171B87E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2000≤Y＜10000</w:t>
            </w:r>
          </w:p>
        </w:tc>
        <w:tc>
          <w:tcPr>
            <w:tcW w:w="1692" w:type="dxa"/>
            <w:tcBorders>
              <w:top w:val="nil"/>
              <w:left w:val="nil"/>
              <w:bottom w:val="single" w:color="auto" w:sz="4" w:space="0"/>
              <w:right w:val="single" w:color="auto" w:sz="4" w:space="0"/>
            </w:tcBorders>
            <w:noWrap w:val="0"/>
            <w:vAlign w:val="center"/>
          </w:tcPr>
          <w:p w14:paraId="21FBCD7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100≤Y＜2000</w:t>
            </w:r>
          </w:p>
        </w:tc>
        <w:tc>
          <w:tcPr>
            <w:tcW w:w="1087" w:type="dxa"/>
            <w:tcBorders>
              <w:top w:val="nil"/>
              <w:left w:val="nil"/>
              <w:bottom w:val="single" w:color="auto" w:sz="4" w:space="0"/>
              <w:right w:val="single" w:color="auto" w:sz="4" w:space="0"/>
            </w:tcBorders>
            <w:noWrap w:val="0"/>
            <w:vAlign w:val="center"/>
          </w:tcPr>
          <w:p w14:paraId="50E9E29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Y＜100</w:t>
            </w:r>
          </w:p>
        </w:tc>
      </w:tr>
      <w:tr w14:paraId="2FE9DFF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C855BC">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餐饮业</w:t>
            </w:r>
          </w:p>
        </w:tc>
        <w:tc>
          <w:tcPr>
            <w:tcW w:w="1660" w:type="dxa"/>
            <w:tcBorders>
              <w:top w:val="nil"/>
              <w:left w:val="nil"/>
              <w:bottom w:val="single" w:color="auto" w:sz="4" w:space="0"/>
              <w:right w:val="single" w:color="auto" w:sz="4" w:space="0"/>
            </w:tcBorders>
            <w:noWrap w:val="0"/>
            <w:vAlign w:val="center"/>
          </w:tcPr>
          <w:p w14:paraId="70A4E94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557E58E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11713B69">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100≤X＜300</w:t>
            </w:r>
          </w:p>
        </w:tc>
        <w:tc>
          <w:tcPr>
            <w:tcW w:w="1692" w:type="dxa"/>
            <w:tcBorders>
              <w:top w:val="nil"/>
              <w:left w:val="nil"/>
              <w:bottom w:val="single" w:color="auto" w:sz="4" w:space="0"/>
              <w:right w:val="single" w:color="auto" w:sz="4" w:space="0"/>
            </w:tcBorders>
            <w:noWrap w:val="0"/>
            <w:vAlign w:val="center"/>
          </w:tcPr>
          <w:p w14:paraId="29357D3D">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26E392DE">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X＜10</w:t>
            </w:r>
          </w:p>
        </w:tc>
      </w:tr>
      <w:tr w14:paraId="0A35D3D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BA4378B">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4B078588">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372D601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51DFA156">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2000≤Y＜10000</w:t>
            </w:r>
          </w:p>
        </w:tc>
        <w:tc>
          <w:tcPr>
            <w:tcW w:w="1692" w:type="dxa"/>
            <w:tcBorders>
              <w:top w:val="nil"/>
              <w:left w:val="nil"/>
              <w:bottom w:val="single" w:color="auto" w:sz="4" w:space="0"/>
              <w:right w:val="single" w:color="auto" w:sz="4" w:space="0"/>
            </w:tcBorders>
            <w:noWrap w:val="0"/>
            <w:vAlign w:val="center"/>
          </w:tcPr>
          <w:p w14:paraId="50CD5A7A">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100≤Y＜2000</w:t>
            </w:r>
          </w:p>
        </w:tc>
        <w:tc>
          <w:tcPr>
            <w:tcW w:w="1087" w:type="dxa"/>
            <w:tcBorders>
              <w:top w:val="nil"/>
              <w:left w:val="nil"/>
              <w:bottom w:val="single" w:color="auto" w:sz="4" w:space="0"/>
              <w:right w:val="single" w:color="auto" w:sz="4" w:space="0"/>
            </w:tcBorders>
            <w:noWrap w:val="0"/>
            <w:vAlign w:val="center"/>
          </w:tcPr>
          <w:p w14:paraId="3AE15C6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Y＜100</w:t>
            </w:r>
          </w:p>
        </w:tc>
      </w:tr>
      <w:tr w14:paraId="48C8CD0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881E359">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信息传输业</w:t>
            </w:r>
          </w:p>
        </w:tc>
        <w:tc>
          <w:tcPr>
            <w:tcW w:w="1660" w:type="dxa"/>
            <w:tcBorders>
              <w:top w:val="nil"/>
              <w:left w:val="nil"/>
              <w:bottom w:val="single" w:color="auto" w:sz="4" w:space="0"/>
              <w:right w:val="single" w:color="auto" w:sz="4" w:space="0"/>
            </w:tcBorders>
            <w:noWrap w:val="0"/>
            <w:vAlign w:val="center"/>
          </w:tcPr>
          <w:p w14:paraId="5F78C2B5">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1454D70E">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41681229">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100≤X＜2000</w:t>
            </w:r>
          </w:p>
        </w:tc>
        <w:tc>
          <w:tcPr>
            <w:tcW w:w="1692" w:type="dxa"/>
            <w:tcBorders>
              <w:top w:val="nil"/>
              <w:left w:val="nil"/>
              <w:bottom w:val="single" w:color="auto" w:sz="4" w:space="0"/>
              <w:right w:val="single" w:color="auto" w:sz="4" w:space="0"/>
            </w:tcBorders>
            <w:noWrap w:val="0"/>
            <w:vAlign w:val="center"/>
          </w:tcPr>
          <w:p w14:paraId="179A58FA">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0F14B3F4">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X＜10</w:t>
            </w:r>
          </w:p>
        </w:tc>
      </w:tr>
      <w:tr w14:paraId="22D4E98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CE851CF">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28B28083">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200F243F">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29C14D94">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1000≤Y＜100000</w:t>
            </w:r>
          </w:p>
        </w:tc>
        <w:tc>
          <w:tcPr>
            <w:tcW w:w="1692" w:type="dxa"/>
            <w:tcBorders>
              <w:top w:val="nil"/>
              <w:left w:val="nil"/>
              <w:bottom w:val="single" w:color="auto" w:sz="4" w:space="0"/>
              <w:right w:val="single" w:color="auto" w:sz="4" w:space="0"/>
            </w:tcBorders>
            <w:noWrap w:val="0"/>
            <w:vAlign w:val="center"/>
          </w:tcPr>
          <w:p w14:paraId="06B0730C">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100≤Y＜1000</w:t>
            </w:r>
          </w:p>
        </w:tc>
        <w:tc>
          <w:tcPr>
            <w:tcW w:w="1087" w:type="dxa"/>
            <w:tcBorders>
              <w:top w:val="nil"/>
              <w:left w:val="nil"/>
              <w:bottom w:val="single" w:color="auto" w:sz="4" w:space="0"/>
              <w:right w:val="single" w:color="auto" w:sz="4" w:space="0"/>
            </w:tcBorders>
            <w:noWrap w:val="0"/>
            <w:vAlign w:val="center"/>
          </w:tcPr>
          <w:p w14:paraId="6D29452F">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Y＜100</w:t>
            </w:r>
          </w:p>
        </w:tc>
      </w:tr>
      <w:tr w14:paraId="50D78615">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503E0BC">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2A2D3549">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009970B0">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13A21BA8">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100≤X＜300</w:t>
            </w:r>
          </w:p>
        </w:tc>
        <w:tc>
          <w:tcPr>
            <w:tcW w:w="1692" w:type="dxa"/>
            <w:tcBorders>
              <w:top w:val="nil"/>
              <w:left w:val="nil"/>
              <w:bottom w:val="single" w:color="auto" w:sz="4" w:space="0"/>
              <w:right w:val="single" w:color="auto" w:sz="4" w:space="0"/>
            </w:tcBorders>
            <w:noWrap w:val="0"/>
            <w:vAlign w:val="center"/>
          </w:tcPr>
          <w:p w14:paraId="7D0D158F">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51D45323">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X＜10</w:t>
            </w:r>
          </w:p>
        </w:tc>
      </w:tr>
      <w:tr w14:paraId="379897E8">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2CF435B">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6CDE8139">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00E1C203">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7F51ED8E">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1000≤Y＜10000</w:t>
            </w:r>
          </w:p>
        </w:tc>
        <w:tc>
          <w:tcPr>
            <w:tcW w:w="1692" w:type="dxa"/>
            <w:tcBorders>
              <w:top w:val="nil"/>
              <w:left w:val="nil"/>
              <w:bottom w:val="single" w:color="auto" w:sz="4" w:space="0"/>
              <w:right w:val="single" w:color="auto" w:sz="4" w:space="0"/>
            </w:tcBorders>
            <w:noWrap w:val="0"/>
            <w:vAlign w:val="center"/>
          </w:tcPr>
          <w:p w14:paraId="2AB063F1">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50≤Y＜1000</w:t>
            </w:r>
          </w:p>
        </w:tc>
        <w:tc>
          <w:tcPr>
            <w:tcW w:w="1087" w:type="dxa"/>
            <w:tcBorders>
              <w:top w:val="nil"/>
              <w:left w:val="nil"/>
              <w:bottom w:val="single" w:color="auto" w:sz="4" w:space="0"/>
              <w:right w:val="single" w:color="auto" w:sz="4" w:space="0"/>
            </w:tcBorders>
            <w:noWrap w:val="0"/>
            <w:vAlign w:val="center"/>
          </w:tcPr>
          <w:p w14:paraId="4B232329">
            <w:pPr>
              <w:widowControl/>
              <w:snapToGrid w:val="0"/>
              <w:contextualSpacing/>
              <w:jc w:val="center"/>
              <w:rPr>
                <w:rFonts w:hint="eastAsia" w:ascii="华文仿宋" w:hAnsi="华文仿宋" w:eastAsia="华文仿宋" w:cs="华文仿宋"/>
                <w:b w:val="0"/>
                <w:bCs w:val="0"/>
                <w:color w:val="auto"/>
                <w:kern w:val="0"/>
                <w:sz w:val="22"/>
                <w:szCs w:val="22"/>
                <w:highlight w:val="none"/>
              </w:rPr>
            </w:pPr>
            <w:r>
              <w:rPr>
                <w:rFonts w:hint="eastAsia" w:ascii="华文仿宋" w:hAnsi="华文仿宋" w:eastAsia="华文仿宋" w:cs="华文仿宋"/>
                <w:b w:val="0"/>
                <w:bCs w:val="0"/>
                <w:color w:val="auto"/>
                <w:kern w:val="0"/>
                <w:sz w:val="22"/>
                <w:szCs w:val="22"/>
                <w:highlight w:val="none"/>
              </w:rPr>
              <w:t>Y＜50</w:t>
            </w:r>
          </w:p>
        </w:tc>
      </w:tr>
      <w:tr w14:paraId="1A24935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4673BB">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房地产开发经营</w:t>
            </w:r>
          </w:p>
        </w:tc>
        <w:tc>
          <w:tcPr>
            <w:tcW w:w="1660" w:type="dxa"/>
            <w:tcBorders>
              <w:top w:val="nil"/>
              <w:left w:val="nil"/>
              <w:bottom w:val="single" w:color="auto" w:sz="4" w:space="0"/>
              <w:right w:val="single" w:color="auto" w:sz="4" w:space="0"/>
            </w:tcBorders>
            <w:noWrap w:val="0"/>
            <w:vAlign w:val="center"/>
          </w:tcPr>
          <w:p w14:paraId="22B01B6D">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41366D6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2A5193D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1000≤Y＜200000</w:t>
            </w:r>
          </w:p>
        </w:tc>
        <w:tc>
          <w:tcPr>
            <w:tcW w:w="1692" w:type="dxa"/>
            <w:tcBorders>
              <w:top w:val="nil"/>
              <w:left w:val="nil"/>
              <w:bottom w:val="single" w:color="auto" w:sz="4" w:space="0"/>
              <w:right w:val="single" w:color="auto" w:sz="4" w:space="0"/>
            </w:tcBorders>
            <w:noWrap w:val="0"/>
            <w:vAlign w:val="center"/>
          </w:tcPr>
          <w:p w14:paraId="6E988276">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100≤X＜1000</w:t>
            </w:r>
          </w:p>
        </w:tc>
        <w:tc>
          <w:tcPr>
            <w:tcW w:w="1087" w:type="dxa"/>
            <w:tcBorders>
              <w:top w:val="nil"/>
              <w:left w:val="nil"/>
              <w:bottom w:val="single" w:color="auto" w:sz="4" w:space="0"/>
              <w:right w:val="single" w:color="auto" w:sz="4" w:space="0"/>
            </w:tcBorders>
            <w:noWrap w:val="0"/>
            <w:vAlign w:val="center"/>
          </w:tcPr>
          <w:p w14:paraId="6E9D65E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X＜100</w:t>
            </w:r>
          </w:p>
        </w:tc>
      </w:tr>
      <w:tr w14:paraId="41B3727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CFEB9FE">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0F23A74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资产总额（Z）</w:t>
            </w:r>
          </w:p>
        </w:tc>
        <w:tc>
          <w:tcPr>
            <w:tcW w:w="1466" w:type="dxa"/>
            <w:tcBorders>
              <w:top w:val="nil"/>
              <w:left w:val="nil"/>
              <w:bottom w:val="single" w:color="auto" w:sz="4" w:space="0"/>
              <w:right w:val="single" w:color="auto" w:sz="4" w:space="0"/>
            </w:tcBorders>
            <w:noWrap w:val="0"/>
            <w:vAlign w:val="center"/>
          </w:tcPr>
          <w:p w14:paraId="61D37DC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28F2117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5000≤Z＜10000</w:t>
            </w:r>
          </w:p>
        </w:tc>
        <w:tc>
          <w:tcPr>
            <w:tcW w:w="1692" w:type="dxa"/>
            <w:tcBorders>
              <w:top w:val="nil"/>
              <w:left w:val="nil"/>
              <w:bottom w:val="single" w:color="auto" w:sz="4" w:space="0"/>
              <w:right w:val="single" w:color="auto" w:sz="4" w:space="0"/>
            </w:tcBorders>
            <w:noWrap w:val="0"/>
            <w:vAlign w:val="center"/>
          </w:tcPr>
          <w:p w14:paraId="0D30FBA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2000≤Y＜5000</w:t>
            </w:r>
          </w:p>
        </w:tc>
        <w:tc>
          <w:tcPr>
            <w:tcW w:w="1087" w:type="dxa"/>
            <w:tcBorders>
              <w:top w:val="nil"/>
              <w:left w:val="nil"/>
              <w:bottom w:val="single" w:color="auto" w:sz="4" w:space="0"/>
              <w:right w:val="single" w:color="auto" w:sz="4" w:space="0"/>
            </w:tcBorders>
            <w:noWrap w:val="0"/>
            <w:vAlign w:val="center"/>
          </w:tcPr>
          <w:p w14:paraId="14B7260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Y＜2000</w:t>
            </w:r>
          </w:p>
        </w:tc>
      </w:tr>
      <w:tr w14:paraId="3E08EF6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44B0FC8">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物业管理</w:t>
            </w:r>
          </w:p>
        </w:tc>
        <w:tc>
          <w:tcPr>
            <w:tcW w:w="1660" w:type="dxa"/>
            <w:tcBorders>
              <w:top w:val="nil"/>
              <w:left w:val="nil"/>
              <w:bottom w:val="single" w:color="auto" w:sz="4" w:space="0"/>
              <w:right w:val="single" w:color="auto" w:sz="4" w:space="0"/>
            </w:tcBorders>
            <w:noWrap w:val="0"/>
            <w:vAlign w:val="center"/>
          </w:tcPr>
          <w:p w14:paraId="38B4F2C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46E2696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4381F77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300≤X＜1000</w:t>
            </w:r>
          </w:p>
        </w:tc>
        <w:tc>
          <w:tcPr>
            <w:tcW w:w="1692" w:type="dxa"/>
            <w:tcBorders>
              <w:top w:val="nil"/>
              <w:left w:val="nil"/>
              <w:bottom w:val="single" w:color="auto" w:sz="4" w:space="0"/>
              <w:right w:val="single" w:color="auto" w:sz="4" w:space="0"/>
            </w:tcBorders>
            <w:noWrap w:val="0"/>
            <w:vAlign w:val="center"/>
          </w:tcPr>
          <w:p w14:paraId="5DFB220E">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100≤X＜300</w:t>
            </w:r>
          </w:p>
        </w:tc>
        <w:tc>
          <w:tcPr>
            <w:tcW w:w="1087" w:type="dxa"/>
            <w:tcBorders>
              <w:top w:val="nil"/>
              <w:left w:val="nil"/>
              <w:bottom w:val="single" w:color="auto" w:sz="4" w:space="0"/>
              <w:right w:val="single" w:color="auto" w:sz="4" w:space="0"/>
            </w:tcBorders>
            <w:noWrap w:val="0"/>
            <w:vAlign w:val="center"/>
          </w:tcPr>
          <w:p w14:paraId="1D4C59B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X＜100</w:t>
            </w:r>
          </w:p>
        </w:tc>
      </w:tr>
      <w:tr w14:paraId="32B35982">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19A57CE">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3EBC25A8">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299B400D">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60A87EC2">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1000≤Y＜5000</w:t>
            </w:r>
          </w:p>
        </w:tc>
        <w:tc>
          <w:tcPr>
            <w:tcW w:w="1692" w:type="dxa"/>
            <w:tcBorders>
              <w:top w:val="nil"/>
              <w:left w:val="nil"/>
              <w:bottom w:val="single" w:color="auto" w:sz="4" w:space="0"/>
              <w:right w:val="single" w:color="auto" w:sz="4" w:space="0"/>
            </w:tcBorders>
            <w:noWrap w:val="0"/>
            <w:vAlign w:val="center"/>
          </w:tcPr>
          <w:p w14:paraId="170B7D88">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500≤Y＜1000</w:t>
            </w:r>
          </w:p>
        </w:tc>
        <w:tc>
          <w:tcPr>
            <w:tcW w:w="1087" w:type="dxa"/>
            <w:tcBorders>
              <w:top w:val="nil"/>
              <w:left w:val="nil"/>
              <w:bottom w:val="single" w:color="auto" w:sz="4" w:space="0"/>
              <w:right w:val="single" w:color="auto" w:sz="4" w:space="0"/>
            </w:tcBorders>
            <w:noWrap w:val="0"/>
            <w:vAlign w:val="center"/>
          </w:tcPr>
          <w:p w14:paraId="45EDE475">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Y＜500</w:t>
            </w:r>
          </w:p>
        </w:tc>
      </w:tr>
      <w:tr w14:paraId="46CF84F4">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15B57E4">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46DD56B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039E1C57">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1E84623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100≤X＜300</w:t>
            </w:r>
          </w:p>
        </w:tc>
        <w:tc>
          <w:tcPr>
            <w:tcW w:w="1692" w:type="dxa"/>
            <w:tcBorders>
              <w:top w:val="nil"/>
              <w:left w:val="nil"/>
              <w:bottom w:val="single" w:color="auto" w:sz="4" w:space="0"/>
              <w:right w:val="single" w:color="auto" w:sz="4" w:space="0"/>
            </w:tcBorders>
            <w:noWrap w:val="0"/>
            <w:vAlign w:val="center"/>
          </w:tcPr>
          <w:p w14:paraId="5E31B777">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6BD80BC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X＜10</w:t>
            </w:r>
          </w:p>
        </w:tc>
      </w:tr>
      <w:tr w14:paraId="2062977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F33E846">
            <w:pPr>
              <w:widowControl/>
              <w:snapToGrid w:val="0"/>
              <w:contextualSpacing/>
              <w:jc w:val="center"/>
              <w:rPr>
                <w:rFonts w:hint="eastAsia" w:ascii="华文仿宋" w:hAnsi="华文仿宋" w:eastAsia="华文仿宋" w:cs="华文仿宋"/>
                <w:b/>
                <w:bCs/>
                <w:color w:val="auto"/>
                <w:kern w:val="0"/>
                <w:sz w:val="22"/>
                <w:szCs w:val="22"/>
                <w:highlight w:val="none"/>
              </w:rPr>
            </w:pPr>
          </w:p>
        </w:tc>
        <w:tc>
          <w:tcPr>
            <w:tcW w:w="1660" w:type="dxa"/>
            <w:tcBorders>
              <w:top w:val="nil"/>
              <w:left w:val="nil"/>
              <w:bottom w:val="single" w:color="auto" w:sz="4" w:space="0"/>
              <w:right w:val="single" w:color="auto" w:sz="4" w:space="0"/>
            </w:tcBorders>
            <w:noWrap w:val="0"/>
            <w:vAlign w:val="center"/>
          </w:tcPr>
          <w:p w14:paraId="6ACCE2AD">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资产总额（Z）</w:t>
            </w:r>
          </w:p>
        </w:tc>
        <w:tc>
          <w:tcPr>
            <w:tcW w:w="1466" w:type="dxa"/>
            <w:tcBorders>
              <w:top w:val="nil"/>
              <w:left w:val="nil"/>
              <w:bottom w:val="single" w:color="auto" w:sz="4" w:space="0"/>
              <w:right w:val="single" w:color="auto" w:sz="4" w:space="0"/>
            </w:tcBorders>
            <w:noWrap w:val="0"/>
            <w:vAlign w:val="center"/>
          </w:tcPr>
          <w:p w14:paraId="5253ADFB">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21B04EE3">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8000≤Z＜120000</w:t>
            </w:r>
          </w:p>
        </w:tc>
        <w:tc>
          <w:tcPr>
            <w:tcW w:w="1692" w:type="dxa"/>
            <w:tcBorders>
              <w:top w:val="nil"/>
              <w:left w:val="nil"/>
              <w:bottom w:val="single" w:color="auto" w:sz="4" w:space="0"/>
              <w:right w:val="single" w:color="auto" w:sz="4" w:space="0"/>
            </w:tcBorders>
            <w:noWrap w:val="0"/>
            <w:vAlign w:val="center"/>
          </w:tcPr>
          <w:p w14:paraId="000283B4">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100≤Z＜8000</w:t>
            </w:r>
          </w:p>
        </w:tc>
        <w:tc>
          <w:tcPr>
            <w:tcW w:w="1087" w:type="dxa"/>
            <w:tcBorders>
              <w:top w:val="nil"/>
              <w:left w:val="nil"/>
              <w:bottom w:val="single" w:color="auto" w:sz="4" w:space="0"/>
              <w:right w:val="single" w:color="auto" w:sz="4" w:space="0"/>
            </w:tcBorders>
            <w:noWrap w:val="0"/>
            <w:vAlign w:val="center"/>
          </w:tcPr>
          <w:p w14:paraId="291B0521">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Y＜100</w:t>
            </w:r>
          </w:p>
        </w:tc>
      </w:tr>
      <w:tr w14:paraId="6522548C">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903E885">
            <w:pPr>
              <w:widowControl/>
              <w:snapToGrid w:val="0"/>
              <w:contextualSpacing/>
              <w:jc w:val="center"/>
              <w:rPr>
                <w:rFonts w:hint="eastAsia" w:ascii="华文仿宋" w:hAnsi="华文仿宋" w:eastAsia="华文仿宋" w:cs="华文仿宋"/>
                <w:b/>
                <w:bCs/>
                <w:color w:val="auto"/>
                <w:kern w:val="0"/>
                <w:sz w:val="22"/>
                <w:szCs w:val="22"/>
                <w:highlight w:val="none"/>
              </w:rPr>
            </w:pPr>
            <w:r>
              <w:rPr>
                <w:rFonts w:hint="eastAsia" w:ascii="华文仿宋" w:hAnsi="华文仿宋" w:eastAsia="华文仿宋" w:cs="华文仿宋"/>
                <w:b/>
                <w:bCs/>
                <w:color w:val="auto"/>
                <w:kern w:val="0"/>
                <w:sz w:val="22"/>
                <w:szCs w:val="22"/>
                <w:highlight w:val="none"/>
              </w:rPr>
              <w:t>其他未列明行业</w:t>
            </w:r>
          </w:p>
        </w:tc>
        <w:tc>
          <w:tcPr>
            <w:tcW w:w="1660" w:type="dxa"/>
            <w:tcBorders>
              <w:top w:val="nil"/>
              <w:left w:val="nil"/>
              <w:bottom w:val="single" w:color="auto" w:sz="4" w:space="0"/>
              <w:right w:val="single" w:color="auto" w:sz="4" w:space="0"/>
            </w:tcBorders>
            <w:noWrap w:val="0"/>
            <w:vAlign w:val="center"/>
          </w:tcPr>
          <w:p w14:paraId="4327CEAF">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466ED160">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640FA6A7">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100≤X＜300</w:t>
            </w:r>
          </w:p>
        </w:tc>
        <w:tc>
          <w:tcPr>
            <w:tcW w:w="1692" w:type="dxa"/>
            <w:tcBorders>
              <w:top w:val="nil"/>
              <w:left w:val="nil"/>
              <w:bottom w:val="single" w:color="auto" w:sz="4" w:space="0"/>
              <w:right w:val="single" w:color="auto" w:sz="4" w:space="0"/>
            </w:tcBorders>
            <w:noWrap w:val="0"/>
            <w:vAlign w:val="center"/>
          </w:tcPr>
          <w:p w14:paraId="61EFD62C">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4030C288">
            <w:pPr>
              <w:widowControl/>
              <w:snapToGrid w:val="0"/>
              <w:contextualSpacing/>
              <w:jc w:val="center"/>
              <w:rPr>
                <w:rFonts w:hint="eastAsia" w:ascii="华文仿宋" w:hAnsi="华文仿宋" w:eastAsia="华文仿宋" w:cs="华文仿宋"/>
                <w:color w:val="auto"/>
                <w:kern w:val="0"/>
                <w:sz w:val="22"/>
                <w:szCs w:val="22"/>
                <w:highlight w:val="none"/>
              </w:rPr>
            </w:pPr>
            <w:r>
              <w:rPr>
                <w:rFonts w:hint="eastAsia" w:ascii="华文仿宋" w:hAnsi="华文仿宋" w:eastAsia="华文仿宋" w:cs="华文仿宋"/>
                <w:color w:val="auto"/>
                <w:kern w:val="0"/>
                <w:sz w:val="22"/>
                <w:szCs w:val="22"/>
                <w:highlight w:val="none"/>
              </w:rPr>
              <w:t>X＜10</w:t>
            </w:r>
          </w:p>
        </w:tc>
      </w:tr>
    </w:tbl>
    <w:p w14:paraId="06FE9222">
      <w:pPr>
        <w:spacing w:line="360" w:lineRule="auto"/>
        <w:rPr>
          <w:rFonts w:hint="eastAsia" w:ascii="宋体" w:hAnsi="宋体" w:eastAsia="宋体" w:cs="宋体"/>
          <w:color w:val="auto"/>
          <w:sz w:val="24"/>
          <w:szCs w:val="24"/>
          <w:highlight w:val="none"/>
        </w:rPr>
      </w:pPr>
    </w:p>
    <w:p w14:paraId="4FB5E2AB">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说明：上述标准参照《关于印发中小企业划型标准规定的通知》（工信部联企业[2011]300号），大型、中型和小型企业须同时满足所列指标的下限，否则下划一档；微型企业只须满足所列指标中的一项即可。</w:t>
      </w:r>
    </w:p>
    <w:p w14:paraId="35531861">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本招标文件所称中小企业，是指在中华人民共和国境内依法设立，依据国务院批准的</w:t>
      </w:r>
    </w:p>
    <w:p w14:paraId="5683DB7C">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2C124CD">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（1）在货物采购项目中，货物由中小企业制造，即货物由中小企业生产且使用该中小企业商号或者注册商标，不对其中涉及的工程承建商和服务的承接商作出要求；</w:t>
      </w:r>
    </w:p>
    <w:p w14:paraId="2E5EBE85">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（2）在工程采购项目中，工程由中小企业承建，即工程施工单位为中小企业，不对其中涉及的货物的制造商和服务的承接商作出要求；</w:t>
      </w:r>
    </w:p>
    <w:p w14:paraId="04DA0F88">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75175BA0">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1E22293">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依据本招标文件规定享受扶持政策获得政府采购合同的，小微企业不得将合同分包给大中型企业，中型企业不得将合同分包给大型企业。</w:t>
      </w:r>
    </w:p>
    <w:p w14:paraId="77DD38DD">
      <w:pPr>
        <w:spacing w:line="360" w:lineRule="auto"/>
        <w:ind w:firstLine="420" w:firstLineChars="200"/>
        <w:rPr>
          <w:rFonts w:hint="eastAsia" w:ascii="仿宋" w:hAnsi="仿宋" w:eastAsia="仿宋" w:cs="仿宋"/>
          <w:color w:val="auto"/>
          <w:highlight w:val="none"/>
          <w:lang w:eastAsia="zh-CN"/>
        </w:rPr>
        <w:sectPr>
          <w:footerReference r:id="rId18" w:type="default"/>
          <w:pgSz w:w="11907" w:h="16840"/>
          <w:pgMar w:top="1440" w:right="1080" w:bottom="1440" w:left="1080" w:header="0" w:footer="1087" w:gutter="0"/>
          <w:pgNumType w:fmt="decimal"/>
          <w:cols w:space="720" w:num="1"/>
        </w:sectPr>
      </w:pPr>
    </w:p>
    <w:p w14:paraId="10C0741C">
      <w:pPr>
        <w:rPr>
          <w:rFonts w:hint="eastAsia"/>
          <w:lang w:val="en-US" w:eastAsia="zh-CN"/>
        </w:rPr>
      </w:pPr>
    </w:p>
    <w:p w14:paraId="56EB76D4">
      <w:pPr>
        <w:shd w:val="clear" w:color="auto" w:fill="auto"/>
        <w:rPr>
          <w:rFonts w:hint="eastAsia" w:ascii="宋体" w:hAnsi="宋体" w:eastAsia="宋体" w:cs="宋体"/>
          <w:color w:val="auto"/>
          <w:highlight w:val="none"/>
          <w:lang w:val="en-US" w:eastAsia="zh-CN"/>
        </w:rPr>
      </w:pPr>
    </w:p>
    <w:p w14:paraId="508180ED">
      <w:pPr>
        <w:shd w:val="clear" w:color="auto" w:fill="auto"/>
        <w:jc w:val="center"/>
        <w:outlineLvl w:val="2"/>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en-US" w:eastAsia="zh-CN"/>
        </w:rPr>
        <w:t>9</w:t>
      </w:r>
      <w:r>
        <w:rPr>
          <w:rFonts w:hint="eastAsia" w:ascii="宋体" w:hAnsi="宋体" w:eastAsia="宋体" w:cs="宋体"/>
          <w:b/>
          <w:bCs/>
          <w:color w:val="auto"/>
          <w:sz w:val="24"/>
          <w:szCs w:val="32"/>
          <w:highlight w:val="none"/>
          <w:lang w:eastAsia="zh-CN"/>
        </w:rPr>
        <w:t>、</w:t>
      </w:r>
      <w:r>
        <w:rPr>
          <w:rFonts w:hint="eastAsia" w:ascii="宋体" w:hAnsi="宋体" w:eastAsia="宋体" w:cs="宋体"/>
          <w:b/>
          <w:bCs/>
          <w:color w:val="auto"/>
          <w:sz w:val="24"/>
          <w:szCs w:val="32"/>
          <w:highlight w:val="none"/>
        </w:rPr>
        <w:t>残疾人福利性单位声明函</w:t>
      </w:r>
    </w:p>
    <w:p w14:paraId="62A0DB3B">
      <w:pPr>
        <w:shd w:val="clear" w:color="auto" w:fill="auto"/>
        <w:rPr>
          <w:rFonts w:hint="eastAsia" w:ascii="宋体" w:hAnsi="宋体" w:eastAsia="宋体" w:cs="宋体"/>
          <w:color w:val="auto"/>
          <w:highlight w:val="none"/>
        </w:rPr>
      </w:pPr>
    </w:p>
    <w:p w14:paraId="1A3B51D5">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7B4F437">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本单位对上述声明的真实性负责。如有虚假，将依法承担相应责任。</w:t>
      </w:r>
    </w:p>
    <w:p w14:paraId="0D7F35B4">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w:t>
      </w:r>
    </w:p>
    <w:p w14:paraId="03C01F6E">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单位名称（盖章）：</w:t>
      </w:r>
    </w:p>
    <w:p w14:paraId="59B8E3A1">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w:t>
      </w:r>
    </w:p>
    <w:p w14:paraId="0D7BEA4E">
      <w:pPr>
        <w:shd w:val="clear" w:color="auto" w:fill="auto"/>
        <w:rPr>
          <w:rFonts w:hint="eastAsia" w:ascii="宋体" w:hAnsi="宋体" w:eastAsia="宋体" w:cs="宋体"/>
          <w:color w:val="auto"/>
          <w:highlight w:val="none"/>
          <w:lang w:val="en-US" w:eastAsia="zh-CN"/>
        </w:rPr>
      </w:pPr>
    </w:p>
    <w:p w14:paraId="77427E53">
      <w:pPr>
        <w:shd w:val="clear" w:color="auto" w:fill="auto"/>
        <w:rPr>
          <w:rFonts w:hint="eastAsia" w:ascii="宋体" w:hAnsi="宋体" w:eastAsia="宋体" w:cs="宋体"/>
          <w:color w:val="auto"/>
          <w:highlight w:val="none"/>
          <w:lang w:val="en-US" w:eastAsia="zh-CN"/>
        </w:rPr>
      </w:pPr>
    </w:p>
    <w:p w14:paraId="04F4CC5A">
      <w:pPr>
        <w:shd w:val="clear" w:color="auto" w:fill="auto"/>
        <w:rPr>
          <w:rFonts w:hint="eastAsia" w:ascii="宋体" w:hAnsi="宋体" w:eastAsia="宋体" w:cs="宋体"/>
          <w:color w:val="auto"/>
          <w:highlight w:val="none"/>
          <w:lang w:val="en-US" w:eastAsia="zh-CN"/>
        </w:rPr>
      </w:pPr>
    </w:p>
    <w:p w14:paraId="1BABE2F7">
      <w:pPr>
        <w:shd w:val="clear" w:color="auto" w:fill="auto"/>
        <w:rPr>
          <w:rFonts w:hint="eastAsia" w:ascii="宋体" w:hAnsi="宋体" w:eastAsia="宋体" w:cs="宋体"/>
          <w:color w:val="auto"/>
          <w:highlight w:val="none"/>
          <w:lang w:val="en-US" w:eastAsia="zh-CN"/>
        </w:rPr>
      </w:pPr>
    </w:p>
    <w:p w14:paraId="0421F9C5">
      <w:pPr>
        <w:shd w:val="clear" w:color="auto" w:fil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备注：不是残疾人福利性单位，无需提供声明函</w:t>
      </w:r>
    </w:p>
    <w:p w14:paraId="0271C5B8">
      <w:pPr>
        <w:shd w:val="clear" w:color="auto" w:fill="auto"/>
        <w:rPr>
          <w:rFonts w:hint="eastAsia" w:ascii="宋体" w:hAnsi="宋体" w:eastAsia="宋体" w:cs="宋体"/>
          <w:color w:val="auto"/>
          <w:highlight w:val="none"/>
        </w:rPr>
      </w:pPr>
    </w:p>
    <w:p w14:paraId="190E6981">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bookmarkStart w:id="71" w:name="_Toc17523_WPSOffice_Level1"/>
      <w:bookmarkStart w:id="72" w:name="_Toc26381"/>
      <w:bookmarkStart w:id="73" w:name="_Toc17095"/>
    </w:p>
    <w:p w14:paraId="03E27E83">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76D3A8B7">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767801B5">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7F5D28B9">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027C5175">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50FCFED3">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79CF8F67">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71A0D3D4">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599E02A9">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220F01C4">
      <w:pPr>
        <w:pStyle w:val="24"/>
        <w:shd w:val="clear" w:color="auto" w:fill="auto"/>
        <w:ind w:left="0" w:leftChars="0" w:right="206" w:rightChars="98" w:firstLine="0" w:firstLineChars="0"/>
        <w:jc w:val="center"/>
        <w:outlineLvl w:val="9"/>
        <w:rPr>
          <w:rFonts w:hint="eastAsia" w:ascii="宋体" w:hAnsi="宋体" w:eastAsia="宋体" w:cs="宋体"/>
          <w:b/>
          <w:color w:val="auto"/>
          <w:sz w:val="44"/>
          <w:highlight w:val="none"/>
        </w:rPr>
      </w:pPr>
    </w:p>
    <w:p w14:paraId="7D6BB8ED">
      <w:pPr>
        <w:pStyle w:val="25"/>
        <w:rPr>
          <w:rFonts w:hint="eastAsia"/>
        </w:rPr>
      </w:pPr>
    </w:p>
    <w:p w14:paraId="32A14A7B">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51B66675">
      <w:pPr>
        <w:numPr>
          <w:ilvl w:val="0"/>
          <w:numId w:val="0"/>
        </w:numPr>
        <w:shd w:val="clear" w:color="auto" w:fill="auto"/>
        <w:tabs>
          <w:tab w:val="left" w:pos="3600"/>
        </w:tabs>
        <w:adjustRightInd w:val="0"/>
        <w:snapToGrid w:val="0"/>
        <w:spacing w:line="440" w:lineRule="exact"/>
        <w:jc w:val="center"/>
        <w:outlineLvl w:val="2"/>
        <w:rPr>
          <w:rFonts w:hint="eastAsia" w:ascii="仿宋" w:hAnsi="仿宋" w:eastAsia="仿宋" w:cs="仿宋"/>
          <w:b/>
          <w:bCs/>
          <w:color w:val="auto"/>
          <w:spacing w:val="0"/>
          <w:w w:val="100"/>
          <w:position w:val="0"/>
          <w:sz w:val="28"/>
          <w:szCs w:val="28"/>
          <w:highlight w:val="none"/>
          <w:lang w:val="en-US" w:eastAsia="zh-CN"/>
        </w:rPr>
      </w:pPr>
      <w:r>
        <w:rPr>
          <w:rFonts w:hint="eastAsia" w:ascii="仿宋" w:hAnsi="仿宋" w:eastAsia="仿宋" w:cs="仿宋"/>
          <w:b/>
          <w:bCs/>
          <w:color w:val="auto"/>
          <w:spacing w:val="0"/>
          <w:w w:val="100"/>
          <w:position w:val="0"/>
          <w:sz w:val="28"/>
          <w:szCs w:val="28"/>
          <w:highlight w:val="none"/>
          <w:lang w:val="en-US" w:eastAsia="zh-CN"/>
        </w:rPr>
        <w:t>10.技术部分要求的其他资料</w:t>
      </w:r>
      <w:r>
        <w:rPr>
          <w:rFonts w:hint="eastAsia" w:ascii="仿宋" w:hAnsi="仿宋" w:eastAsia="仿宋" w:cs="仿宋"/>
          <w:b/>
          <w:bCs w:val="0"/>
          <w:color w:val="auto"/>
          <w:kern w:val="0"/>
          <w:sz w:val="24"/>
          <w:szCs w:val="22"/>
          <w:highlight w:val="none"/>
          <w:lang w:val="en-US" w:eastAsia="zh-CN" w:bidi="ar-SA"/>
        </w:rPr>
        <w:t>（格式自拟）</w:t>
      </w:r>
    </w:p>
    <w:p w14:paraId="65AB8BFB">
      <w:pPr>
        <w:rPr>
          <w:rFonts w:hint="eastAsia"/>
          <w:color w:val="auto"/>
          <w:highlight w:val="none"/>
          <w:lang w:val="en-US" w:eastAsia="zh-CN"/>
        </w:rPr>
      </w:pPr>
    </w:p>
    <w:p w14:paraId="1F317D09">
      <w:pPr>
        <w:pStyle w:val="35"/>
        <w:numPr>
          <w:ilvl w:val="0"/>
          <w:numId w:val="0"/>
        </w:numPr>
        <w:rPr>
          <w:rFonts w:hint="eastAsia"/>
          <w:color w:val="auto"/>
          <w:highlight w:val="none"/>
          <w:lang w:val="en-US" w:eastAsia="zh-CN"/>
        </w:rPr>
      </w:pPr>
    </w:p>
    <w:p w14:paraId="5D100DE2">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（1）项目总体架构以及技术解决方案；</w:t>
      </w:r>
    </w:p>
    <w:p w14:paraId="3F64EC3C">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（2）保证供货周期的组织方案以及人力资源安排；</w:t>
      </w:r>
    </w:p>
    <w:p w14:paraId="59E21803">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（3）</w:t>
      </w:r>
      <w:r>
        <w:rPr>
          <w:rFonts w:hint="eastAsia" w:ascii="仿宋_GB2312" w:hAnsi="仿宋" w:eastAsia="仿宋_GB2312"/>
          <w:color w:val="auto"/>
          <w:sz w:val="24"/>
          <w:highlight w:val="none"/>
          <w:lang w:val="en-US" w:eastAsia="zh-CN"/>
        </w:rPr>
        <w:t>售后方案</w:t>
      </w:r>
      <w:r>
        <w:rPr>
          <w:rFonts w:ascii="仿宋_GB2312" w:hAnsi="仿宋" w:eastAsia="仿宋_GB2312"/>
          <w:color w:val="auto"/>
          <w:sz w:val="24"/>
          <w:highlight w:val="none"/>
          <w:lang w:val="zh-CN"/>
        </w:rPr>
        <w:t>；</w:t>
      </w:r>
    </w:p>
    <w:p w14:paraId="0A24F1ED">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（4）供应商需要说明的其他文件。</w:t>
      </w:r>
    </w:p>
    <w:p w14:paraId="24BBD042">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p>
    <w:p w14:paraId="16F509AD">
      <w:pPr>
        <w:autoSpaceDE w:val="0"/>
        <w:autoSpaceDN w:val="0"/>
        <w:adjustRightInd w:val="0"/>
        <w:snapToGrid w:val="0"/>
        <w:spacing w:line="36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注：以上文件格式由供应商自拟。</w:t>
      </w:r>
    </w:p>
    <w:p w14:paraId="66A242CE">
      <w:pPr>
        <w:adjustRightInd w:val="0"/>
        <w:spacing w:line="400" w:lineRule="exact"/>
        <w:ind w:firstLine="480" w:firstLineChars="200"/>
        <w:jc w:val="left"/>
        <w:rPr>
          <w:rFonts w:hint="eastAsia" w:ascii="仿宋" w:hAnsi="仿宋" w:eastAsia="仿宋" w:cs="仿宋"/>
          <w:bCs/>
          <w:color w:val="auto"/>
          <w:sz w:val="24"/>
          <w:szCs w:val="24"/>
          <w:highlight w:val="none"/>
          <w:lang w:val="en-US" w:eastAsia="zh-CN"/>
        </w:rPr>
      </w:pPr>
    </w:p>
    <w:p w14:paraId="4966D16A">
      <w:pPr>
        <w:rPr>
          <w:rFonts w:hint="eastAsia" w:ascii="仿宋" w:hAnsi="仿宋" w:eastAsia="仿宋" w:cs="仿宋"/>
          <w:b/>
          <w:bCs/>
          <w:color w:val="auto"/>
          <w:spacing w:val="0"/>
          <w:w w:val="100"/>
          <w:position w:val="0"/>
          <w:sz w:val="28"/>
          <w:szCs w:val="28"/>
          <w:highlight w:val="none"/>
          <w:lang w:val="en-US" w:eastAsia="zh-CN"/>
        </w:rPr>
      </w:pPr>
    </w:p>
    <w:p w14:paraId="076ABA88">
      <w:pPr>
        <w:pStyle w:val="49"/>
        <w:rPr>
          <w:rFonts w:hint="eastAsia"/>
          <w:color w:val="auto"/>
          <w:highlight w:val="none"/>
          <w:lang w:val="en-US" w:eastAsia="zh-CN"/>
        </w:rPr>
      </w:pPr>
    </w:p>
    <w:p w14:paraId="2184C8A4">
      <w:pPr>
        <w:pStyle w:val="49"/>
        <w:rPr>
          <w:rFonts w:hint="eastAsia"/>
          <w:color w:val="auto"/>
          <w:highlight w:val="none"/>
          <w:lang w:val="en-US" w:eastAsia="zh-CN"/>
        </w:rPr>
      </w:pPr>
    </w:p>
    <w:p w14:paraId="1B9F9AFF">
      <w:pPr>
        <w:pStyle w:val="49"/>
        <w:rPr>
          <w:rFonts w:hint="eastAsia"/>
          <w:color w:val="auto"/>
          <w:highlight w:val="none"/>
          <w:lang w:val="en-US" w:eastAsia="zh-CN"/>
        </w:rPr>
      </w:pPr>
    </w:p>
    <w:p w14:paraId="2E6D0562">
      <w:pPr>
        <w:pStyle w:val="49"/>
        <w:rPr>
          <w:rFonts w:hint="eastAsia"/>
          <w:color w:val="auto"/>
          <w:highlight w:val="none"/>
          <w:lang w:val="en-US" w:eastAsia="zh-CN"/>
        </w:rPr>
      </w:pPr>
    </w:p>
    <w:p w14:paraId="28AB54CC">
      <w:pPr>
        <w:pStyle w:val="49"/>
        <w:rPr>
          <w:rFonts w:hint="eastAsia"/>
          <w:color w:val="auto"/>
          <w:highlight w:val="none"/>
          <w:lang w:val="en-US" w:eastAsia="zh-CN"/>
        </w:rPr>
      </w:pPr>
    </w:p>
    <w:p w14:paraId="331BD4BD">
      <w:pPr>
        <w:pStyle w:val="49"/>
        <w:rPr>
          <w:rFonts w:hint="eastAsia"/>
          <w:color w:val="auto"/>
          <w:highlight w:val="none"/>
          <w:lang w:val="en-US" w:eastAsia="zh-CN"/>
        </w:rPr>
      </w:pPr>
    </w:p>
    <w:p w14:paraId="03FC25D8">
      <w:pPr>
        <w:pStyle w:val="49"/>
        <w:rPr>
          <w:rFonts w:hint="eastAsia"/>
          <w:color w:val="auto"/>
          <w:highlight w:val="none"/>
          <w:lang w:val="en-US" w:eastAsia="zh-CN"/>
        </w:rPr>
      </w:pPr>
    </w:p>
    <w:p w14:paraId="2B1C5592">
      <w:pPr>
        <w:pStyle w:val="49"/>
        <w:rPr>
          <w:rFonts w:hint="eastAsia"/>
          <w:color w:val="auto"/>
          <w:highlight w:val="none"/>
          <w:lang w:val="en-US" w:eastAsia="zh-CN"/>
        </w:rPr>
      </w:pPr>
    </w:p>
    <w:p w14:paraId="5A4E9747">
      <w:pPr>
        <w:pStyle w:val="49"/>
        <w:rPr>
          <w:rFonts w:hint="eastAsia"/>
          <w:color w:val="auto"/>
          <w:highlight w:val="none"/>
          <w:lang w:val="en-US" w:eastAsia="zh-CN"/>
        </w:rPr>
      </w:pPr>
    </w:p>
    <w:p w14:paraId="229DA09B">
      <w:pPr>
        <w:pStyle w:val="49"/>
        <w:rPr>
          <w:rFonts w:hint="eastAsia"/>
          <w:color w:val="auto"/>
          <w:highlight w:val="none"/>
          <w:lang w:val="en-US" w:eastAsia="zh-CN"/>
        </w:rPr>
      </w:pPr>
    </w:p>
    <w:p w14:paraId="133D0AA2">
      <w:pPr>
        <w:pStyle w:val="49"/>
        <w:ind w:left="0" w:leftChars="0" w:firstLine="0" w:firstLineChars="0"/>
        <w:rPr>
          <w:rFonts w:hint="eastAsia"/>
          <w:color w:val="auto"/>
          <w:highlight w:val="none"/>
          <w:lang w:val="en-US" w:eastAsia="zh-CN"/>
        </w:rPr>
      </w:pPr>
    </w:p>
    <w:p w14:paraId="6A4D2B5A">
      <w:pPr>
        <w:pStyle w:val="49"/>
        <w:rPr>
          <w:rFonts w:hint="eastAsia"/>
          <w:color w:val="auto"/>
          <w:highlight w:val="none"/>
          <w:lang w:val="en-US" w:eastAsia="zh-CN"/>
        </w:rPr>
      </w:pPr>
    </w:p>
    <w:p w14:paraId="6D3EDA0C">
      <w:pPr>
        <w:numPr>
          <w:ilvl w:val="0"/>
          <w:numId w:val="0"/>
        </w:numPr>
        <w:shd w:val="clear" w:color="auto" w:fill="auto"/>
        <w:tabs>
          <w:tab w:val="left" w:pos="3600"/>
        </w:tabs>
        <w:adjustRightInd w:val="0"/>
        <w:snapToGrid w:val="0"/>
        <w:spacing w:line="440" w:lineRule="exact"/>
        <w:jc w:val="left"/>
        <w:outlineLvl w:val="2"/>
        <w:rPr>
          <w:rFonts w:hint="eastAsia" w:ascii="仿宋" w:hAnsi="仿宋" w:eastAsia="仿宋" w:cs="仿宋"/>
          <w:b/>
          <w:bCs/>
          <w:color w:val="auto"/>
          <w:spacing w:val="0"/>
          <w:w w:val="90"/>
          <w:position w:val="0"/>
          <w:sz w:val="28"/>
          <w:szCs w:val="28"/>
          <w:highlight w:val="none"/>
          <w:lang w:val="en-US" w:eastAsia="zh-CN"/>
        </w:rPr>
      </w:pPr>
      <w:r>
        <w:rPr>
          <w:rFonts w:hint="eastAsia" w:ascii="仿宋" w:hAnsi="仿宋" w:eastAsia="仿宋" w:cs="仿宋"/>
          <w:b/>
          <w:bCs/>
          <w:color w:val="auto"/>
          <w:spacing w:val="0"/>
          <w:w w:val="90"/>
          <w:position w:val="0"/>
          <w:sz w:val="28"/>
          <w:szCs w:val="28"/>
          <w:highlight w:val="none"/>
          <w:lang w:val="en-US" w:eastAsia="zh-CN"/>
        </w:rPr>
        <w:t>11、投标人认为有必要提供的其他证明材料</w:t>
      </w:r>
    </w:p>
    <w:p w14:paraId="23A1304C">
      <w:pPr>
        <w:pStyle w:val="24"/>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6B196954">
      <w:pPr>
        <w:pStyle w:val="24"/>
        <w:shd w:val="clear" w:color="auto" w:fill="auto"/>
        <w:tabs>
          <w:tab w:val="left" w:pos="5580"/>
        </w:tabs>
        <w:spacing w:line="240" w:lineRule="atLeast"/>
        <w:ind w:left="-1260" w:leftChars="-600" w:firstLine="1898" w:firstLineChars="791"/>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75BBAEF0">
      <w:pPr>
        <w:pStyle w:val="25"/>
        <w:rPr>
          <w:rFonts w:hint="eastAsia"/>
          <w:color w:val="auto"/>
          <w:highlight w:val="none"/>
        </w:rPr>
      </w:pPr>
    </w:p>
    <w:p w14:paraId="0E9DD7C7">
      <w:pPr>
        <w:pStyle w:val="193"/>
        <w:tabs>
          <w:tab w:val="left" w:pos="826"/>
        </w:tabs>
        <w:spacing w:line="470" w:lineRule="exact"/>
        <w:ind w:firstLine="0"/>
        <w:jc w:val="both"/>
        <w:rPr>
          <w:rFonts w:ascii="仿宋" w:hAnsi="仿宋" w:eastAsia="仿宋" w:cs="仿宋"/>
          <w:color w:val="auto"/>
          <w:sz w:val="21"/>
          <w:szCs w:val="21"/>
          <w:highlight w:val="none"/>
        </w:rPr>
      </w:pPr>
    </w:p>
    <w:bookmarkEnd w:id="71"/>
    <w:bookmarkEnd w:id="72"/>
    <w:bookmarkEnd w:id="73"/>
    <w:p w14:paraId="42385147">
      <w:pPr>
        <w:pStyle w:val="13"/>
        <w:shd w:val="clear" w:color="auto" w:fill="auto"/>
        <w:ind w:left="0" w:leftChars="0" w:firstLine="0" w:firstLineChars="0"/>
        <w:rPr>
          <w:rFonts w:hint="eastAsia" w:ascii="宋体" w:hAnsi="宋体" w:eastAsia="宋体" w:cs="宋体"/>
          <w:color w:val="auto"/>
          <w:highlight w:val="none"/>
        </w:rPr>
      </w:pPr>
    </w:p>
    <w:sectPr>
      <w:footerReference r:id="rId19" w:type="default"/>
      <w:pgSz w:w="11907" w:h="16840"/>
      <w:pgMar w:top="1440" w:right="1800" w:bottom="1440" w:left="1800" w:header="567" w:footer="737"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44AC82-5F5A-4C11-8D16-2E7CEF957D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Helv">
    <w:altName w:val="Segoe Print"/>
    <w:panose1 w:val="020B0604020202030204"/>
    <w:charset w:val="00"/>
    <w:family w:val="swiss"/>
    <w:pitch w:val="default"/>
    <w:sig w:usb0="00000003"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embedRegular r:id="rId2" w:fontKey="{51883741-2F39-4D86-8F9F-4FDF65DD2869}"/>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1" w:usb1="080E0000" w:usb2="00000000" w:usb3="00000000" w:csb0="00040000" w:csb1="00000000"/>
  </w:font>
  <w:font w:name="仿宋体">
    <w:altName w:val="宋体"/>
    <w:panose1 w:val="02010600030101010101"/>
    <w:charset w:val="86"/>
    <w:family w:val="roman"/>
    <w:pitch w:val="default"/>
    <w:sig w:usb0="00000000" w:usb1="00000000" w:usb2="00000010" w:usb3="00000000" w:csb0="00040000" w:csb1="00000000"/>
  </w:font>
  <w:font w:name="ˎ̥">
    <w:altName w:val="宋体"/>
    <w:panose1 w:val="00000000000000000000"/>
    <w:charset w:val="01"/>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长城仿宋">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8BBE8F2E-F7D8-4511-8DE2-E2C10B236F6C}"/>
  </w:font>
  <w:font w:name="新宋体">
    <w:panose1 w:val="02010609030101010101"/>
    <w:charset w:val="86"/>
    <w:family w:val="auto"/>
    <w:pitch w:val="default"/>
    <w:sig w:usb0="00000003" w:usb1="288F0000" w:usb2="00000006" w:usb3="00000000" w:csb0="00040001" w:csb1="00000000"/>
    <w:embedRegular r:id="rId4" w:fontKey="{2A77B99F-8C6A-4054-8FEA-DAA5701352E9}"/>
  </w:font>
  <w:font w:name="宋体-18030">
    <w:altName w:val="宋体"/>
    <w:panose1 w:val="00000000000000000000"/>
    <w:charset w:val="86"/>
    <w:family w:val="modern"/>
    <w:pitch w:val="default"/>
    <w:sig w:usb0="00000000" w:usb1="00000000" w:usb2="00000010" w:usb3="00000000" w:csb0="00040000" w:csb1="00000000"/>
    <w:embedRegular r:id="rId5" w:fontKey="{F4B9C0E5-E329-498D-8BB9-D76FE7CFB7E6}"/>
  </w:font>
  <w:font w:name="华文仿宋">
    <w:panose1 w:val="02010600040101010101"/>
    <w:charset w:val="86"/>
    <w:family w:val="auto"/>
    <w:pitch w:val="default"/>
    <w:sig w:usb0="00000287" w:usb1="080F0000" w:usb2="00000000" w:usb3="00000000" w:csb0="0004009F" w:csb1="DFD70000"/>
    <w:embedRegular r:id="rId6" w:fontKey="{A1C50AF3-8450-4A1A-A516-387574337274}"/>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14636">
    <w:pPr>
      <w:pStyle w:val="30"/>
      <w:pBdr>
        <w:top w:val="single" w:color="auto" w:sz="4" w:space="1"/>
      </w:pBdr>
      <w:rPr>
        <w:rFonts w:hint="eastAsia"/>
        <w:color w:val="FF0000"/>
        <w:szCs w:val="21"/>
      </w:rPr>
    </w:pPr>
    <w:r>
      <w:rPr>
        <w:sz w:val="13"/>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2FDC66">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LPL47Do&#10;AQAAygMAAA4AAAAAAAAAAQAgAAAAIgEAAGRycy9lMm9Eb2MueG1sUEsFBgAAAAAGAAYAWQEAAHwF&#10;AAAAAA==&#10;">
              <v:fill on="f" focussize="0,0"/>
              <v:stroke on="f" weight="1.25pt"/>
              <v:imagedata o:title=""/>
              <o:lock v:ext="edit" aspectratio="f"/>
              <v:textbox inset="0mm,0mm,0mm,0mm" style="mso-fit-shape-to-text:t;">
                <w:txbxContent>
                  <w:p w14:paraId="152FDC66">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3"/>
        <w:szCs w:val="13"/>
      </w:rPr>
      <w:t xml:space="preserve"> </w:t>
    </w:r>
    <w:r>
      <w:rPr>
        <w:rFonts w:hint="eastAsia"/>
        <w:sz w:val="13"/>
        <w:szCs w:val="13"/>
        <w:u w:val="none"/>
      </w:rPr>
      <w:t xml:space="preserve"> </w:t>
    </w:r>
    <w:r>
      <w:rPr>
        <w:rFonts w:hint="eastAsia"/>
        <w:color w:val="800000"/>
        <w:sz w:val="21"/>
        <w:szCs w:val="21"/>
        <w:u w:val="none"/>
      </w:rPr>
      <w:t>Add：</w:t>
    </w:r>
    <w:r>
      <w:rPr>
        <w:rFonts w:hint="eastAsia"/>
        <w:color w:val="800000"/>
        <w:szCs w:val="21"/>
        <w:u w:val="none"/>
        <w:lang w:eastAsia="zh-CN"/>
      </w:rPr>
      <w:t>阿图什市香港城西区8号楼2单元402室</w:t>
    </w:r>
    <w:r>
      <w:rPr>
        <w:rFonts w:hint="eastAsia"/>
        <w:color w:val="800000"/>
        <w:szCs w:val="21"/>
        <w:u w:val="none"/>
      </w:rPr>
      <w:t xml:space="preserve">                </w:t>
    </w:r>
    <w:r>
      <w:rPr>
        <w:rFonts w:hint="eastAsia"/>
        <w:color w:val="800000"/>
        <w:sz w:val="21"/>
        <w:szCs w:val="21"/>
        <w:u w:val="none"/>
      </w:rPr>
      <w:t>Tel：</w:t>
    </w:r>
    <w:r>
      <w:rPr>
        <w:rFonts w:hint="eastAsia"/>
        <w:color w:val="800000"/>
        <w:sz w:val="21"/>
        <w:szCs w:val="21"/>
        <w:u w:val="none"/>
        <w:lang w:eastAsia="zh-CN"/>
      </w:rPr>
      <w:t xml:space="preserve"> </w:t>
    </w:r>
    <w:r>
      <w:rPr>
        <w:rFonts w:hint="eastAsia"/>
        <w:color w:val="800000"/>
        <w:sz w:val="21"/>
        <w:szCs w:val="21"/>
        <w:u w:val="none"/>
      </w:rPr>
      <w:t xml:space="preserve"> </w:t>
    </w:r>
    <w:r>
      <w:rPr>
        <w:rFonts w:hint="eastAsia"/>
        <w:color w:val="800000"/>
        <w:sz w:val="21"/>
        <w:szCs w:val="21"/>
      </w:rPr>
      <w:t xml:space="preserve">  </w:t>
    </w:r>
    <w:r>
      <w:rPr>
        <w:rFonts w:hint="eastAsia"/>
        <w:sz w:val="21"/>
        <w:szCs w:val="21"/>
      </w:rPr>
      <w:t xml:space="preserve">   </w:t>
    </w:r>
  </w:p>
  <w:p w14:paraId="14F47BB5">
    <w:pPr>
      <w:pStyle w:val="30"/>
      <w:pBdr>
        <w:top w:val="single" w:color="auto" w:sz="4" w:space="1"/>
      </w:pBdr>
      <w:rPr>
        <w:color w:val="FF0000"/>
        <w:szCs w:val="21"/>
      </w:rPr>
    </w:pPr>
    <w:r>
      <w:rPr>
        <w:rFonts w:hint="eastAsia"/>
        <w:color w:val="FF0000"/>
        <w:szCs w:val="21"/>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41C00">
    <w:pPr>
      <w:spacing w:line="193" w:lineRule="auto"/>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F6C0BA">
                          <w:pPr>
                            <w:pStyle w:val="30"/>
                          </w:pPr>
                          <w:r>
                            <w:fldChar w:fldCharType="begin"/>
                          </w:r>
                          <w:r>
                            <w:instrText xml:space="preserve"> PAGE  \* MERGEFORMAT </w:instrText>
                          </w:r>
                          <w:r>
                            <w:fldChar w:fldCharType="separate"/>
                          </w:r>
                          <w:r>
                            <w:t>73</w:t>
                          </w:r>
                          <w:r>
                            <w:fldChar w:fldCharType="end"/>
                          </w:r>
                        </w:p>
                      </w:txbxContent>
                    </wps:txbx>
                    <wps:bodyPr vert="horz" wrap="none" lIns="0" tIns="0" rIns="0" bIns="0" anchor="t" anchorCtr="0" upright="0">
                      <a:spAutoFit/>
                    </wps:bodyPr>
                  </wps:wsp>
                </a:graphicData>
              </a:graphic>
            </wp:anchor>
          </w:drawing>
        </mc:Choice>
        <mc:Fallback>
          <w:pict>
            <v:shape id="文本框 65"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Jzlrizo&#10;AQAAygMAAA4AAAAAAAAAAQAgAAAAIgEAAGRycy9lMm9Eb2MueG1sUEsFBgAAAAAGAAYAWQEAAHwF&#10;AAAAAA==&#10;">
              <v:fill on="f" focussize="0,0"/>
              <v:stroke on="f" weight="1.25pt"/>
              <v:imagedata o:title=""/>
              <o:lock v:ext="edit" aspectratio="f"/>
              <v:textbox inset="0mm,0mm,0mm,0mm" style="mso-fit-shape-to-text:t;">
                <w:txbxContent>
                  <w:p w14:paraId="4CF6C0BA">
                    <w:pPr>
                      <w:pStyle w:val="3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738E">
    <w:pPr>
      <w:spacing w:line="192" w:lineRule="auto"/>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88FB90">
                          <w:pPr>
                            <w:pStyle w:val="30"/>
                          </w:pPr>
                          <w:r>
                            <w:fldChar w:fldCharType="begin"/>
                          </w:r>
                          <w:r>
                            <w:instrText xml:space="preserve"> PAGE  \* MERGEFORMAT </w:instrText>
                          </w:r>
                          <w:r>
                            <w:fldChar w:fldCharType="separate"/>
                          </w:r>
                          <w:r>
                            <w:t>79</w:t>
                          </w:r>
                          <w:r>
                            <w:fldChar w:fldCharType="end"/>
                          </w:r>
                        </w:p>
                      </w:txbxContent>
                    </wps:txbx>
                    <wps:bodyPr vert="horz" wrap="none" lIns="0" tIns="0" rIns="0" bIns="0" anchor="t" anchorCtr="0" upright="0">
                      <a:spAutoFit/>
                    </wps:bodyPr>
                  </wps:wsp>
                </a:graphicData>
              </a:graphic>
            </wp:anchor>
          </w:drawing>
        </mc:Choice>
        <mc:Fallback>
          <w:pict>
            <v:shape id="文本框 6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hb5tY&#10;6QEAAMoDAAAOAAAAAAAAAAEAIAAAACIBAABkcnMvZTJvRG9jLnhtbFBLBQYAAAAABgAGAFkBAAB9&#10;BQAAAAA=&#10;">
              <v:fill on="f" focussize="0,0"/>
              <v:stroke on="f" weight="1.25pt"/>
              <v:imagedata o:title=""/>
              <o:lock v:ext="edit" aspectratio="f"/>
              <v:textbox inset="0mm,0mm,0mm,0mm" style="mso-fit-shape-to-text:t;">
                <w:txbxContent>
                  <w:p w14:paraId="6C88FB90">
                    <w:pPr>
                      <w:pStyle w:val="3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5890F">
    <w:pPr>
      <w:pStyle w:val="30"/>
      <w:tabs>
        <w:tab w:val="center" w:pos="4153"/>
        <w:tab w:val="right" w:pos="8306"/>
        <w:tab w:val="clear" w:pos="4320"/>
        <w:tab w:val="clear" w:pos="8640"/>
      </w:tabs>
      <w:ind w:right="360"/>
      <w:jc w:val="both"/>
    </w:pPr>
    <w:r>
      <w:rPr>
        <w:sz w:val="13"/>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AC77023">
                          <w:pPr>
                            <w:pStyle w:val="30"/>
                          </w:pPr>
                          <w:r>
                            <w:fldChar w:fldCharType="begin"/>
                          </w:r>
                          <w:r>
                            <w:instrText xml:space="preserve"> PAGE  \* MERGEFORMAT </w:instrText>
                          </w:r>
                          <w:r>
                            <w:fldChar w:fldCharType="separate"/>
                          </w:r>
                          <w:r>
                            <w:t>81</w:t>
                          </w:r>
                          <w:r>
                            <w:fldChar w:fldCharType="end"/>
                          </w:r>
                        </w:p>
                      </w:txbxContent>
                    </wps:txbx>
                    <wps:bodyPr vert="horz" wrap="none" lIns="0" tIns="0" rIns="0" bIns="0" anchor="t" anchorCtr="0" upright="0">
                      <a:spAutoFit/>
                    </wps:bodyPr>
                  </wps:wsp>
                </a:graphicData>
              </a:graphic>
            </wp:anchor>
          </w:drawing>
        </mc:Choice>
        <mc:Fallback>
          <w:pict>
            <v:shape id="文本框 67"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Jhwm3Po&#10;AQAAygMAAA4AAAAAAAAAAQAgAAAAIgEAAGRycy9lMm9Eb2MueG1sUEsFBgAAAAAGAAYAWQEAAHwF&#10;AAAAAA==&#10;">
              <v:fill on="f" focussize="0,0"/>
              <v:stroke on="f" weight="1.25pt"/>
              <v:imagedata o:title=""/>
              <o:lock v:ext="edit" aspectratio="f"/>
              <v:textbox inset="0mm,0mm,0mm,0mm" style="mso-fit-shape-to-text:t;">
                <w:txbxContent>
                  <w:p w14:paraId="2AC77023">
                    <w:pPr>
                      <w:pStyle w:val="30"/>
                    </w:pPr>
                    <w:r>
                      <w:fldChar w:fldCharType="begin"/>
                    </w:r>
                    <w:r>
                      <w:instrText xml:space="preserve"> PAGE  \* MERGEFORMAT </w:instrText>
                    </w:r>
                    <w:r>
                      <w:fldChar w:fldCharType="separate"/>
                    </w:r>
                    <w:r>
                      <w:t>81</w:t>
                    </w:r>
                    <w:r>
                      <w:fldChar w:fldCharType="end"/>
                    </w:r>
                  </w:p>
                </w:txbxContent>
              </v:textbox>
            </v:shape>
          </w:pict>
        </mc:Fallback>
      </mc:AlternateContent>
    </w:r>
    <w:r>
      <w:rPr>
        <w:rFonts w:hint="eastAsia"/>
        <w:sz w:val="13"/>
        <w:szCs w:val="13"/>
      </w:rPr>
      <w:t xml:space="preserve"> </w:t>
    </w:r>
    <w:r>
      <w:rPr>
        <w:rFonts w:hint="eastAsia"/>
      </w:rPr>
      <w:t xml:space="preserve">  </w:t>
    </w:r>
  </w:p>
  <w:p w14:paraId="09233A7C">
    <w:pPr>
      <w:pStyle w:val="30"/>
      <w:tabs>
        <w:tab w:val="clear" w:pos="4320"/>
        <w:tab w:val="clear" w:pos="864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BC0D">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D5CBC">
    <w:pPr>
      <w:pStyle w:val="30"/>
      <w:tabs>
        <w:tab w:val="center" w:pos="4153"/>
        <w:tab w:val="right" w:pos="8306"/>
        <w:tab w:val="clear" w:pos="4320"/>
        <w:tab w:val="clear" w:pos="8640"/>
      </w:tabs>
      <w:rPr>
        <w:rFonts w:hint="default"/>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128CA1">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A3GRMbo&#10;AQAAygMAAA4AAAAAAAAAAQAgAAAAIgEAAGRycy9lMm9Eb2MueG1sUEsFBgAAAAAGAAYAWQEAAHwF&#10;AAAAAA==&#10;">
              <v:fill on="f" focussize="0,0"/>
              <v:stroke on="f" weight="1.25pt"/>
              <v:imagedata o:title=""/>
              <o:lock v:ext="edit" aspectratio="f"/>
              <v:textbox inset="0mm,0mm,0mm,0mm" style="mso-fit-shape-to-text:t;">
                <w:txbxContent>
                  <w:p w14:paraId="2F128CA1">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5217795</wp:posOffset>
              </wp:positionH>
              <wp:positionV relativeFrom="paragraph">
                <wp:posOffset>0</wp:posOffset>
              </wp:positionV>
              <wp:extent cx="1828800" cy="1828800"/>
              <wp:effectExtent l="0" t="0" r="0" b="0"/>
              <wp:wrapNone/>
              <wp:docPr id="2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59308D">
                          <w:pPr>
                            <w:rPr>
                              <w:rFonts w:hint="eastAsia"/>
                              <w:lang w:eastAsia="zh-CN"/>
                            </w:rPr>
                          </w:pPr>
                        </w:p>
                      </w:txbxContent>
                    </wps:txbx>
                    <wps:bodyPr wrap="none" lIns="0" tIns="0" rIns="0" bIns="0" upright="0">
                      <a:spAutoFit/>
                    </wps:bodyPr>
                  </wps:wsp>
                </a:graphicData>
              </a:graphic>
            </wp:anchor>
          </w:drawing>
        </mc:Choice>
        <mc:Fallback>
          <w:pict>
            <v:shape id="文本框 1032" o:spid="_x0000_s1026" o:spt="202" type="#_x0000_t202" style="position:absolute;left:0pt;margin-left:410.85pt;margin-top:0pt;height:144pt;width:144pt;mso-position-horizontal-relative:margin;mso-wrap-style:none;z-index:251661312;mso-width-relative:page;mso-height-relative:page;" filled="f" stroked="f" coordsize="21600,21600" o:gfxdata="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jdNe9cAAAAJAQAADwAAAAAAAAABACAA&#10;AAAiAAAAZHJzL2Rvd25yZXYueG1sUEsBAhQAFAAAAAgAh07iQKea9KbVAQAApwMAAA4AAAAAAAAA&#10;AQAgAAAAJgEAAGRycy9lMm9Eb2MueG1sUEsFBgAAAAAGAAYAWQEAAG0FAAAAAA==&#10;">
              <v:fill on="f" focussize="0,0"/>
              <v:stroke on="f" weight="1.25pt"/>
              <v:imagedata o:title=""/>
              <o:lock v:ext="edit" aspectratio="f"/>
              <v:textbox inset="0mm,0mm,0mm,0mm" style="mso-fit-shape-to-text:t;">
                <w:txbxContent>
                  <w:p w14:paraId="6859308D">
                    <w:pPr>
                      <w:rPr>
                        <w:rFonts w:hint="eastAsia"/>
                        <w:lang w:eastAsia="zh-CN"/>
                      </w:rPr>
                    </w:pPr>
                  </w:p>
                </w:txbxContent>
              </v:textbox>
            </v:shape>
          </w:pict>
        </mc:Fallback>
      </mc:AlternateContent>
    </w:r>
    <w:r>
      <w:rPr>
        <w:rFonts w:hint="eastAsia"/>
        <w:color w:val="800000"/>
        <w:szCs w:val="21"/>
      </w:rPr>
      <w:t>Add：</w:t>
    </w:r>
    <w:r>
      <w:rPr>
        <w:rFonts w:hint="eastAsia"/>
        <w:color w:val="800000"/>
        <w:szCs w:val="21"/>
        <w:lang w:eastAsia="zh-CN"/>
      </w:rPr>
      <w:t>阿图什市香港城西区</w:t>
    </w:r>
    <w:r>
      <w:rPr>
        <w:rFonts w:hint="eastAsia"/>
        <w:color w:val="800000"/>
        <w:szCs w:val="21"/>
        <w:lang w:val="en-US" w:eastAsia="zh-CN"/>
      </w:rPr>
      <w:t>8号楼2单元401室</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rPr>
      <w:t>Tel：</w:t>
    </w:r>
    <w:r>
      <w:rPr>
        <w:rFonts w:hint="eastAsia"/>
        <w:color w:val="800000"/>
        <w:szCs w:val="21"/>
        <w:lang w:val="en-US" w:eastAsia="zh-CN"/>
      </w:rPr>
      <w:t>0908-4222622</w:t>
    </w:r>
  </w:p>
  <w:p w14:paraId="049F6383">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6C940">
    <w:pPr>
      <w:pStyle w:val="30"/>
      <w:tabs>
        <w:tab w:val="center" w:pos="4869"/>
        <w:tab w:val="right" w:pos="8306"/>
        <w:tab w:val="clear" w:pos="4320"/>
        <w:tab w:val="clear" w:pos="8640"/>
      </w:tabs>
      <w:ind w:right="360"/>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FE5921">
                          <w:pPr>
                            <w:pStyle w:val="3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5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O4mGvbo&#10;AQAAygMAAA4AAAAAAAAAAQAgAAAAIgEAAGRycy9lMm9Eb2MueG1sUEsFBgAAAAAGAAYAWQEAAHwF&#10;AAAAAA==&#10;">
              <v:fill on="f" focussize="0,0"/>
              <v:stroke on="f" weight="1.25pt"/>
              <v:imagedata o:title=""/>
              <o:lock v:ext="edit" aspectratio="f"/>
              <v:textbox inset="0mm,0mm,0mm,0mm" style="mso-fit-shape-to-text:t;">
                <w:txbxContent>
                  <w:p w14:paraId="24FE5921">
                    <w:pPr>
                      <w:pStyle w:val="30"/>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DBBCFE">
                          <w:pPr>
                            <w:pStyle w:val="30"/>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IL+0AucB&#10;AADKAwAADgAAAAAAAAABACAAAAAiAQAAZHJzL2Uyb0RvYy54bWxQSwUGAAAAAAYABgBZAQAAewUA&#10;AAAA&#10;">
              <v:fill on="f" focussize="0,0"/>
              <v:stroke on="f" weight="1.25pt"/>
              <v:imagedata o:title=""/>
              <o:lock v:ext="edit" aspectratio="f"/>
              <v:textbox inset="0mm,0mm,0mm,0mm" style="mso-fit-shape-to-text:t;">
                <w:txbxContent>
                  <w:p w14:paraId="4EDBBCFE">
                    <w:pPr>
                      <w:pStyle w:val="30"/>
                      <w:rPr>
                        <w:rFonts w:hint="eastAsia" w:eastAsia="宋体"/>
                        <w:lang w:eastAsia="zh-CN"/>
                      </w:rPr>
                    </w:pPr>
                  </w:p>
                </w:txbxContent>
              </v:textbox>
            </v:shape>
          </w:pict>
        </mc:Fallback>
      </mc:AlternateContent>
    </w:r>
    <w:r>
      <w:rPr>
        <w:rFonts w:hint="eastAsia"/>
        <w:color w:val="800000"/>
      </w:rPr>
      <w:t>Add：阿图什市香港城西区8号楼2单元402室</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rPr>
      <w:t xml:space="preserve"> </w:t>
    </w:r>
    <w:r>
      <w:rPr>
        <w:rFonts w:hint="eastAsia"/>
        <w:color w:val="800000"/>
        <w:sz w:val="21"/>
        <w:szCs w:val="21"/>
      </w:rPr>
      <w:t>Tel：0908-4222622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0B290">
    <w:pPr>
      <w:pStyle w:val="30"/>
      <w:tabs>
        <w:tab w:val="center" w:pos="4869"/>
        <w:tab w:val="right" w:pos="8306"/>
        <w:tab w:val="clear" w:pos="4320"/>
        <w:tab w:val="clear" w:pos="8640"/>
      </w:tabs>
      <w:ind w:right="360"/>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F42304">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OpKZSHo&#10;AQAAygMAAA4AAAAAAAAAAQAgAAAAIgEAAGRycy9lMm9Eb2MueG1sUEsFBgAAAAAGAAYAWQEAAHwF&#10;AAAAAA==&#10;">
              <v:fill on="f" focussize="0,0"/>
              <v:stroke on="f" weight="1.25pt"/>
              <v:imagedata o:title=""/>
              <o:lock v:ext="edit" aspectratio="f"/>
              <v:textbox inset="0mm,0mm,0mm,0mm" style="mso-fit-shape-to-text:t;">
                <w:txbxContent>
                  <w:p w14:paraId="68F42304">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5FC830">
                          <w:pPr>
                            <w:pStyle w:val="30"/>
                            <w:rPr>
                              <w:rFonts w:hint="eastAsia" w:eastAsia="宋体"/>
                              <w:lang w:eastAsia="zh-CN"/>
                            </w:rPr>
                          </w:pP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YLnhLUAQAApQMAAA4AAABkcnMvZTJvRG9jLnhtbK1TzY7TMBC+&#10;I+07WL5vk+2q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lytKLDM48fOP7+ef&#10;v8+/vpHbVRKo91Bj3qPHzDjcuwHXZr4HvEy8BxlM+iIjgnGU93SRVwyR8PSoWlZViSGOsdlB/OLp&#10;uQ8Q3wlnSDIaGnB+WVZ2/ABxTJ1TUjXrHpTWeYbakh5RV9WbVX5xCSG6tlgksRi7TVYcdsNEbefa&#10;EzLrcQkaanHnKdHvLWqc9mU2wmzsZuPgg9p3eaFSK+DfHiK2k7tMFUbYqTBOL/OcNi2tx99+znr6&#10;uz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GC54S1AEAAKUDAAAOAAAAAAAAAAEAIAAA&#10;ACIBAABkcnMvZTJvRG9jLnhtbFBLBQYAAAAABgAGAFkBAABoBQAAAAA=&#10;">
              <v:fill on="f" focussize="0,0"/>
              <v:stroke on="f" weight="1.25pt"/>
              <v:imagedata o:title=""/>
              <o:lock v:ext="edit" aspectratio="f"/>
              <v:textbox inset="0mm,0mm,0mm,0mm" style="mso-fit-shape-to-text:t;">
                <w:txbxContent>
                  <w:p w14:paraId="2D5FC830">
                    <w:pPr>
                      <w:pStyle w:val="30"/>
                      <w:rPr>
                        <w:rFonts w:hint="eastAsia" w:eastAsia="宋体"/>
                        <w:lang w:eastAsia="zh-CN"/>
                      </w:rPr>
                    </w:pPr>
                  </w:p>
                </w:txbxContent>
              </v:textbox>
            </v:shape>
          </w:pict>
        </mc:Fallback>
      </mc:AlternateContent>
    </w:r>
    <w:r>
      <w:rPr>
        <w:rFonts w:hint="eastAsia"/>
        <w:color w:val="800000"/>
      </w:rPr>
      <w:t>Add：阿图什市香港城西区8号楼2单元402室</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rPr>
      <w:t xml:space="preserve"> </w:t>
    </w:r>
    <w:r>
      <w:rPr>
        <w:rFonts w:hint="eastAsia"/>
        <w:color w:val="800000"/>
        <w:sz w:val="21"/>
        <w:szCs w:val="21"/>
      </w:rPr>
      <w:t>Tel：0908-4222622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1C0B4">
    <w:pPr>
      <w:pStyle w:val="30"/>
      <w:ind w:right="360"/>
      <w:rPr>
        <w:rFonts w:hint="eastAsia" w:eastAsia="宋体"/>
        <w:u w:val="none"/>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905BB1">
                          <w:pPr>
                            <w:pStyle w:val="30"/>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0">
                      <a:spAutoFit/>
                    </wps:bodyPr>
                  </wps:wsp>
                </a:graphicData>
              </a:graphic>
            </wp:anchor>
          </w:drawing>
        </mc:Choice>
        <mc:Fallback>
          <w:pict>
            <v:shape id="文本框 6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JTPxZLo&#10;AQAAygMAAA4AAAAAAAAAAQAgAAAAIgEAAGRycy9lMm9Eb2MueG1sUEsFBgAAAAAGAAYAWQEAAHwF&#10;AAAAAA==&#10;">
              <v:fill on="f" focussize="0,0"/>
              <v:stroke on="f" weight="1.25pt"/>
              <v:imagedata o:title=""/>
              <o:lock v:ext="edit" aspectratio="f"/>
              <v:textbox inset="0mm,0mm,0mm,0mm" style="mso-fit-shape-to-text:t;">
                <w:txbxContent>
                  <w:p w14:paraId="5E905BB1">
                    <w:pPr>
                      <w:pStyle w:val="30"/>
                    </w:pPr>
                    <w:r>
                      <w:fldChar w:fldCharType="begin"/>
                    </w:r>
                    <w:r>
                      <w:instrText xml:space="preserve"> PAGE  \* MERGEFORMAT </w:instrText>
                    </w:r>
                    <w:r>
                      <w:fldChar w:fldCharType="separate"/>
                    </w:r>
                    <w:r>
                      <w:t>8</w:t>
                    </w:r>
                    <w:r>
                      <w:fldChar w:fldCharType="end"/>
                    </w:r>
                  </w:p>
                </w:txbxContent>
              </v:textbox>
            </v:shape>
          </w:pict>
        </mc:Fallback>
      </mc:AlternateContent>
    </w:r>
    <w:r>
      <w:rPr>
        <w:sz w:val="18"/>
        <w:u w:val="none"/>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FF0932">
                          <w:pPr>
                            <w:rPr>
                              <w:rFonts w:hint="eastAsia"/>
                              <w:lang w:eastAsia="zh-CN"/>
                            </w:rPr>
                          </w:pP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NFxI+dUBAACnAwAADgAAAAAAAAABACAA&#10;AAAiAQAAZHJzL2Uyb0RvYy54bWxQSwUGAAAAAAYABgBZAQAAaQUAAAAA&#10;">
              <v:fill on="f" focussize="0,0"/>
              <v:stroke on="f" weight="1.25pt"/>
              <v:imagedata o:title=""/>
              <o:lock v:ext="edit" aspectratio="f"/>
              <v:textbox inset="0mm,0mm,0mm,0mm" style="mso-fit-shape-to-text:t;">
                <w:txbxContent>
                  <w:p w14:paraId="72FF0932">
                    <w:pPr>
                      <w:rPr>
                        <w:rFonts w:hint="eastAsia"/>
                        <w:lang w:eastAsia="zh-CN"/>
                      </w:rPr>
                    </w:pPr>
                  </w:p>
                </w:txbxContent>
              </v:textbox>
            </v:shape>
          </w:pict>
        </mc:Fallback>
      </mc:AlternateContent>
    </w:r>
    <w:r>
      <w:rPr>
        <w:u w:val="non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B52592">
                          <w:pPr>
                            <w:snapToGrid w:val="0"/>
                            <w:rPr>
                              <w:rFonts w:hint="eastAsia"/>
                              <w:sz w:val="18"/>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tG5c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pJieMWJ375/u3y49fl51fy&#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G0blyQEAAJoDAAAOAAAAAAAAAAEAIAAAAB4BAABkcnMvZTJvRG9j&#10;LnhtbFBLBQYAAAAABgAGAFkBAABZBQAAAAA=&#10;">
              <v:fill on="f" focussize="0,0"/>
              <v:stroke on="f"/>
              <v:imagedata o:title=""/>
              <o:lock v:ext="edit" aspectratio="f"/>
              <v:textbox inset="0mm,0mm,0mm,0mm" style="mso-fit-shape-to-text:t;">
                <w:txbxContent>
                  <w:p w14:paraId="20B52592">
                    <w:pPr>
                      <w:snapToGrid w:val="0"/>
                      <w:rPr>
                        <w:rFonts w:hint="eastAsia"/>
                        <w:sz w:val="18"/>
                      </w:rPr>
                    </w:pPr>
                  </w:p>
                </w:txbxContent>
              </v:textbox>
            </v:shape>
          </w:pict>
        </mc:Fallback>
      </mc:AlternateContent>
    </w:r>
    <w:r>
      <w:rPr>
        <w:rFonts w:hint="eastAsia"/>
        <w:u w:val="none"/>
      </w:rPr>
      <w:t xml:space="preserve">  </w:t>
    </w:r>
    <w:r>
      <w:rPr>
        <w:rFonts w:hint="eastAsia"/>
        <w:color w:val="800000"/>
        <w:sz w:val="21"/>
        <w:szCs w:val="21"/>
        <w:u w:val="none"/>
      </w:rPr>
      <w:t>Add：</w:t>
    </w:r>
    <w:r>
      <w:rPr>
        <w:rFonts w:hint="eastAsia"/>
        <w:color w:val="800000"/>
        <w:szCs w:val="21"/>
        <w:lang w:eastAsia="zh-CN"/>
      </w:rPr>
      <w:t>阿图什市香港城西区8号楼2单元402室</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u w:val="none"/>
      </w:rPr>
      <w:t xml:space="preserve">    </w:t>
    </w:r>
    <w:r>
      <w:rPr>
        <w:rFonts w:hint="eastAsia"/>
        <w:color w:val="800000"/>
        <w:szCs w:val="21"/>
        <w:u w:val="none"/>
        <w:lang w:val="en-US" w:eastAsia="zh-CN"/>
      </w:rPr>
      <w:t xml:space="preserve">        </w:t>
    </w:r>
    <w:r>
      <w:rPr>
        <w:rFonts w:hint="eastAsia"/>
        <w:color w:val="800000"/>
        <w:szCs w:val="21"/>
        <w:u w:val="none"/>
      </w:rPr>
      <w:t xml:space="preserve">      </w:t>
    </w:r>
    <w:r>
      <w:rPr>
        <w:rFonts w:hint="eastAsia"/>
        <w:color w:val="800000"/>
        <w:sz w:val="18"/>
        <w:szCs w:val="18"/>
        <w:u w:val="none"/>
      </w:rPr>
      <w:t>Tel：</w:t>
    </w:r>
    <w:r>
      <w:rPr>
        <w:rFonts w:hint="eastAsia"/>
        <w:color w:val="800000"/>
        <w:sz w:val="18"/>
        <w:szCs w:val="18"/>
        <w:u w:val="none"/>
        <w:lang w:val="en-US" w:eastAsia="zh-CN"/>
      </w:rPr>
      <w:t xml:space="preserve">13179869852 </w:t>
    </w:r>
  </w:p>
  <w:p w14:paraId="7A5C8F02">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8C93D">
    <w:pPr>
      <w:pStyle w:val="30"/>
      <w:tabs>
        <w:tab w:val="center" w:pos="4153"/>
        <w:tab w:val="right" w:pos="8306"/>
        <w:tab w:val="clear" w:pos="4320"/>
        <w:tab w:val="clear" w:pos="8640"/>
      </w:tabs>
      <w:ind w:right="360"/>
      <w:jc w:val="both"/>
    </w:pPr>
    <w:r>
      <w:rPr>
        <w:sz w:val="13"/>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3A2F29">
                          <w:pPr>
                            <w:pStyle w:val="30"/>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0">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GlF8Obo&#10;AQAAygMAAA4AAAAAAAAAAQAgAAAAIgEAAGRycy9lMm9Eb2MueG1sUEsFBgAAAAAGAAYAWQEAAHwF&#10;AAAAAA==&#10;">
              <v:fill on="f" focussize="0,0"/>
              <v:stroke on="f" weight="1.25pt"/>
              <v:imagedata o:title=""/>
              <o:lock v:ext="edit" aspectratio="f"/>
              <v:textbox inset="0mm,0mm,0mm,0mm" style="mso-fit-shape-to-text:t;">
                <w:txbxContent>
                  <w:p w14:paraId="173A2F29">
                    <w:pPr>
                      <w:pStyle w:val="30"/>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sz w:val="13"/>
        <w:szCs w:val="13"/>
      </w:rPr>
      <w:t xml:space="preserve"> </w:t>
    </w:r>
    <w:r>
      <w:rPr>
        <w:rFonts w:hint="eastAsia"/>
      </w:rPr>
      <w:t xml:space="preserve">  </w:t>
    </w:r>
  </w:p>
  <w:p w14:paraId="3BFD2A2B">
    <w:pPr>
      <w:pStyle w:val="30"/>
      <w:tabs>
        <w:tab w:val="clear" w:pos="4320"/>
        <w:tab w:val="clear" w:pos="8640"/>
      </w:tabs>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88388">
    <w:pPr>
      <w:pStyle w:val="30"/>
      <w:tabs>
        <w:tab w:val="center" w:pos="4153"/>
        <w:tab w:val="right" w:pos="8306"/>
        <w:tab w:val="clear" w:pos="4320"/>
        <w:tab w:val="clear" w:pos="8640"/>
      </w:tabs>
      <w:ind w:right="360"/>
      <w:jc w:val="both"/>
    </w:pPr>
    <w:r>
      <w:rPr>
        <w:sz w:val="13"/>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4194FEF">
                          <w:pPr>
                            <w:pStyle w:val="30"/>
                          </w:pPr>
                          <w:r>
                            <w:fldChar w:fldCharType="begin"/>
                          </w:r>
                          <w:r>
                            <w:instrText xml:space="preserve"> PAGE  \* MERGEFORMAT </w:instrText>
                          </w:r>
                          <w:r>
                            <w:fldChar w:fldCharType="separate"/>
                          </w:r>
                          <w:r>
                            <w:t>52</w:t>
                          </w:r>
                          <w:r>
                            <w:fldChar w:fldCharType="end"/>
                          </w:r>
                        </w:p>
                      </w:txbxContent>
                    </wps:txbx>
                    <wps:bodyPr vert="horz" wrap="none" lIns="0" tIns="0" rIns="0" bIns="0" anchor="t" anchorCtr="0" upright="0">
                      <a:spAutoFit/>
                    </wps:bodyPr>
                  </wps:wsp>
                </a:graphicData>
              </a:graphic>
            </wp:anchor>
          </w:drawing>
        </mc:Choice>
        <mc:Fallback>
          <w:pict>
            <v:shape id="文本框 63"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CQWvDN&#10;6QEAAMoDAAAOAAAAAAAAAAEAIAAAACIBAABkcnMvZTJvRG9jLnhtbFBLBQYAAAAABgAGAFkBAAB9&#10;BQAAAAA=&#10;">
              <v:fill on="f" focussize="0,0"/>
              <v:stroke on="f" weight="1.25pt"/>
              <v:imagedata o:title=""/>
              <o:lock v:ext="edit" aspectratio="f"/>
              <v:textbox inset="0mm,0mm,0mm,0mm" style="mso-fit-shape-to-text:t;">
                <w:txbxContent>
                  <w:p w14:paraId="54194FEF">
                    <w:pPr>
                      <w:pStyle w:val="30"/>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26C01F04">
    <w:pPr>
      <w:pStyle w:val="30"/>
      <w:tabs>
        <w:tab w:val="clear" w:pos="4320"/>
        <w:tab w:val="clear" w:pos="8640"/>
      </w:tabs>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DF24">
    <w:pPr>
      <w:pStyle w:val="30"/>
      <w:tabs>
        <w:tab w:val="center" w:pos="4153"/>
        <w:tab w:val="right" w:pos="8306"/>
        <w:tab w:val="clear" w:pos="4320"/>
        <w:tab w:val="clear" w:pos="8640"/>
      </w:tabs>
      <w:ind w:right="360"/>
      <w:jc w:val="both"/>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685828">
                          <w:pPr>
                            <w:pStyle w:val="30"/>
                          </w:pPr>
                          <w:r>
                            <w:fldChar w:fldCharType="begin"/>
                          </w:r>
                          <w:r>
                            <w:instrText xml:space="preserve"> PAGE  \* MERGEFORMAT </w:instrText>
                          </w:r>
                          <w:r>
                            <w:fldChar w:fldCharType="separate"/>
                          </w:r>
                          <w:r>
                            <w:t>68</w:t>
                          </w:r>
                          <w:r>
                            <w:fldChar w:fldCharType="end"/>
                          </w:r>
                        </w:p>
                      </w:txbxContent>
                    </wps:txbx>
                    <wps:bodyPr vert="horz" wrap="none" lIns="0" tIns="0" rIns="0" bIns="0" anchor="t" anchorCtr="0" upright="0">
                      <a:spAutoFit/>
                    </wps:bodyPr>
                  </wps:wsp>
                </a:graphicData>
              </a:graphic>
            </wp:anchor>
          </w:drawing>
        </mc:Choice>
        <mc:Fallback>
          <w:pict>
            <v:shape id="文本框 64"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CTUJsO&#10;6QEAAMoDAAAOAAAAAAAAAAEAIAAAACIBAABkcnMvZTJvRG9jLnhtbFBLBQYAAAAABgAGAFkBAAB9&#10;BQAAAAA=&#10;">
              <v:fill on="f" focussize="0,0"/>
              <v:stroke on="f" weight="1.25pt"/>
              <v:imagedata o:title=""/>
              <o:lock v:ext="edit" aspectratio="f"/>
              <v:textbox inset="0mm,0mm,0mm,0mm" style="mso-fit-shape-to-text:t;">
                <w:txbxContent>
                  <w:p w14:paraId="11685828">
                    <w:pPr>
                      <w:pStyle w:val="30"/>
                    </w:pPr>
                    <w:r>
                      <w:fldChar w:fldCharType="begin"/>
                    </w:r>
                    <w:r>
                      <w:instrText xml:space="preserve"> PAGE  \* MERGEFORMAT </w:instrText>
                    </w:r>
                    <w:r>
                      <w:fldChar w:fldCharType="separate"/>
                    </w:r>
                    <w:r>
                      <w:t>68</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36BEE047">
    <w:pPr>
      <w:pStyle w:val="30"/>
      <w:tabs>
        <w:tab w:val="center" w:pos="4153"/>
        <w:tab w:val="right" w:pos="8306"/>
        <w:tab w:val="clear" w:pos="4320"/>
        <w:tab w:val="clear" w:pos="8640"/>
      </w:tabs>
      <w:autoSpaceDE w:val="0"/>
      <w:autoSpaceDN w:val="0"/>
      <w:adjustRightInd w:val="0"/>
      <w:ind w:left="7200" w:hanging="7200" w:hangingChars="4000"/>
      <w:jc w:val="both"/>
    </w:pPr>
  </w:p>
  <w:p w14:paraId="706CDE3C">
    <w:pPr>
      <w:pStyle w:val="30"/>
      <w:tabs>
        <w:tab w:val="center" w:pos="4153"/>
        <w:tab w:val="right" w:pos="8306"/>
        <w:tab w:val="clear" w:pos="4320"/>
        <w:tab w:val="clear" w:pos="8640"/>
      </w:tabs>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9B111">
    <w:pPr>
      <w:widowControl/>
      <w:pBdr>
        <w:bottom w:val="none" w:color="auto" w:sz="0" w:space="0"/>
      </w:pBdr>
      <w:shd w:val="clear" w:color="auto" w:fill="FFFFFF"/>
      <w:jc w:val="left"/>
      <w:rPr>
        <w:rFonts w:hint="eastAsia" w:ascii="黑体" w:hAnsi="宋体" w:eastAsia="宋体"/>
        <w:b/>
        <w:sz w:val="21"/>
        <w:szCs w:val="21"/>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62C02">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DE02D">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0572D">
    <w:pPr>
      <w:widowControl/>
      <w:pBdr>
        <w:bottom w:val="none" w:color="auto" w:sz="0" w:space="0"/>
      </w:pBdr>
      <w:shd w:val="clear" w:color="auto" w:fill="FFFFFF"/>
      <w:spacing w:line="240" w:lineRule="atLeast"/>
      <w:ind w:left="7469" w:hanging="6510" w:hangingChars="3100"/>
      <w:jc w:val="left"/>
      <w:rPr>
        <w:rFonts w:hint="eastAsia" w:ascii="宋体" w:hAnsi="宋体" w:eastAsia="宋体" w:cs="宋体"/>
        <w:b/>
        <w:sz w:val="18"/>
        <w:szCs w:val="15"/>
        <w:u w:val="single"/>
        <w:lang w:eastAsia="zh-CN"/>
      </w:rPr>
    </w:pPr>
    <w:r>
      <w:rPr>
        <w:rFonts w:hint="eastAsia"/>
        <w:u w:val="single"/>
        <w:lang w:val="en-US" w:eastAsia="zh-CN"/>
      </w:rPr>
      <w:t xml:space="preserve">                                           </w:t>
    </w:r>
  </w:p>
  <w:p w14:paraId="7FC7FD77">
    <w:pPr>
      <w:pStyle w:val="3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ECDCD">
    <w:pPr>
      <w:widowControl/>
      <w:pBdr>
        <w:bottom w:val="none" w:color="auto" w:sz="0" w:space="0"/>
      </w:pBdr>
      <w:shd w:val="clear" w:color="auto" w:fill="FFFFFF"/>
      <w:spacing w:line="240" w:lineRule="atLeast"/>
      <w:ind w:left="7469" w:hanging="6510" w:hangingChars="3100"/>
      <w:jc w:val="left"/>
      <w:rPr>
        <w:rFonts w:hint="eastAsia" w:ascii="宋体" w:hAnsi="宋体" w:eastAsia="宋体" w:cs="宋体"/>
        <w:b/>
        <w:sz w:val="18"/>
        <w:szCs w:val="15"/>
        <w:u w:val="single"/>
        <w:lang w:eastAsia="zh-CN"/>
      </w:rPr>
    </w:pPr>
    <w:r>
      <w:rPr>
        <w:rFonts w:hint="eastAsia"/>
        <w:u w:val="single"/>
        <w:lang w:val="en-US" w:eastAsia="zh-CN"/>
      </w:rPr>
      <w:t xml:space="preserve">                                           </w:t>
    </w:r>
  </w:p>
  <w:p w14:paraId="7DE2B20F">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0816F"/>
    <w:multiLevelType w:val="singleLevel"/>
    <w:tmpl w:val="AE00816F"/>
    <w:lvl w:ilvl="0" w:tentative="0">
      <w:start w:val="1"/>
      <w:numFmt w:val="decimal"/>
      <w:suff w:val="space"/>
      <w:lvlText w:val="%1."/>
      <w:lvlJc w:val="left"/>
    </w:lvl>
  </w:abstractNum>
  <w:abstractNum w:abstractNumId="1">
    <w:nsid w:val="CF0DAD01"/>
    <w:multiLevelType w:val="singleLevel"/>
    <w:tmpl w:val="CF0DAD01"/>
    <w:lvl w:ilvl="0" w:tentative="0">
      <w:start w:val="1"/>
      <w:numFmt w:val="decimal"/>
      <w:suff w:val="space"/>
      <w:lvlText w:val="%1."/>
      <w:lvlJc w:val="left"/>
    </w:lvl>
  </w:abstractNum>
  <w:abstractNum w:abstractNumId="2">
    <w:nsid w:val="00000000"/>
    <w:multiLevelType w:val="multilevel"/>
    <w:tmpl w:val="00000000"/>
    <w:lvl w:ilvl="0" w:tentative="0">
      <w:start w:val="1"/>
      <w:numFmt w:val="decimal"/>
      <w:pStyle w:val="92"/>
      <w:lvlText w:val="附件 %1"/>
      <w:lvlJc w:val="left"/>
      <w:pPr>
        <w:tabs>
          <w:tab w:val="left" w:pos="1080"/>
        </w:tabs>
        <w:ind w:left="720" w:hanging="720"/>
      </w:pPr>
      <w:rPr>
        <w:rFonts w:hint="eastAsia"/>
        <w:sz w:val="28"/>
      </w:rPr>
    </w:lvl>
    <w:lvl w:ilvl="1" w:tentative="0">
      <w:start w:val="1"/>
      <w:numFmt w:val="chineseCountingThousand"/>
      <w:lvlText w:val="%2、"/>
      <w:lvlJc w:val="left"/>
      <w:pPr>
        <w:tabs>
          <w:tab w:val="left" w:pos="1050"/>
        </w:tabs>
        <w:ind w:left="1050" w:hanging="630"/>
      </w:pPr>
      <w:rPr>
        <w:rFonts w:hint="eastAsia"/>
        <w:sz w:val="28"/>
      </w:r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decimal"/>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360"/>
        </w:tabs>
        <w:ind w:left="360" w:hanging="360"/>
      </w:pPr>
      <w:rPr>
        <w:rFonts w:hint="eastAsi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37CD3E9F"/>
    <w:multiLevelType w:val="singleLevel"/>
    <w:tmpl w:val="37CD3E9F"/>
    <w:lvl w:ilvl="0" w:tentative="0">
      <w:start w:val="7"/>
      <w:numFmt w:val="decimal"/>
      <w:suff w:val="nothing"/>
      <w:lvlText w:val="%1、"/>
      <w:lvlJc w:val="left"/>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chineseCountingThousand"/>
      <w:lvlText w:val="%2、"/>
      <w:lvlJc w:val="right"/>
      <w:pPr>
        <w:ind w:left="1078" w:hanging="794"/>
      </w:pPr>
      <w:rPr>
        <w:rFonts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1"/>
        <w:szCs w:val="21"/>
        <w:u w:val="none"/>
        <w:vertAlign w:val="baseline"/>
      </w:rPr>
    </w:lvl>
    <w:lvl w:ilvl="2" w:tentative="0">
      <w:start w:val="1"/>
      <w:numFmt w:val="decimal"/>
      <w:lvlText w:val="%3.5.1."/>
      <w:lvlJc w:val="left"/>
      <w:pPr>
        <w:ind w:left="907" w:hanging="907"/>
      </w:pPr>
      <w:rPr>
        <w:rFonts w:hint="eastAsia"/>
      </w:rPr>
    </w:lvl>
    <w:lvl w:ilvl="3" w:tentative="0">
      <w:start w:val="1"/>
      <w:numFmt w:val="decimal"/>
      <w:lvlText w:val="1.4.3.%4."/>
      <w:lvlJc w:val="left"/>
      <w:pPr>
        <w:ind w:left="1021" w:hanging="1021"/>
      </w:pPr>
      <w:rPr>
        <w:rFonts w:hint="eastAsia"/>
      </w:rPr>
    </w:lvl>
    <w:lvl w:ilvl="4" w:tentative="0">
      <w:start w:val="1"/>
      <w:numFmt w:val="decimal"/>
      <w:pStyle w:val="183"/>
      <w:isLgl/>
      <w:suff w:val="space"/>
      <w:lvlText w:val="%1.%2.%3.%4.%5 "/>
      <w:lvlJc w:val="left"/>
      <w:pPr>
        <w:ind w:left="1134" w:hanging="1134"/>
      </w:pPr>
      <w:rPr>
        <w:rFonts w:hint="eastAsia" w:cs="Times New Roman"/>
      </w:rPr>
    </w:lvl>
    <w:lvl w:ilvl="5" w:tentative="0">
      <w:start w:val="1"/>
      <w:numFmt w:val="decimal"/>
      <w:isLgl/>
      <w:suff w:val="space"/>
      <w:lvlText w:val="%1.%2.%3.%4.%5.%6 "/>
      <w:lvlJc w:val="left"/>
      <w:pPr>
        <w:ind w:left="1247" w:hanging="1247"/>
      </w:pPr>
      <w:rPr>
        <w:rFonts w:hint="eastAsia" w:cs="Times New Roman"/>
      </w:rPr>
    </w:lvl>
    <w:lvl w:ilvl="6" w:tentative="0">
      <w:start w:val="1"/>
      <w:numFmt w:val="decimal"/>
      <w:lvlRestart w:val="0"/>
      <w:isLgl/>
      <w:suff w:val="space"/>
      <w:lvlText w:val="图 %1.%7 "/>
      <w:lvlJc w:val="left"/>
      <w:rPr>
        <w:rFonts w:hint="eastAsia" w:cs="Times New Roman"/>
      </w:rPr>
    </w:lvl>
    <w:lvl w:ilvl="7" w:tentative="0">
      <w:start w:val="1"/>
      <w:numFmt w:val="decimal"/>
      <w:lvlRestart w:val="0"/>
      <w:isLgl/>
      <w:suff w:val="space"/>
      <w:lvlText w:val="表 %1.%8 "/>
      <w:lvlJc w:val="left"/>
      <w:rPr>
        <w:rFonts w:hint="eastAsia" w:cs="Times New Roman"/>
      </w:rPr>
    </w:lvl>
    <w:lvl w:ilvl="8" w:tentative="0">
      <w:start w:val="0"/>
      <w:numFmt w:val="decimal"/>
      <w:lvlText w:val=""/>
      <w:lvlJc w:val="left"/>
      <w:rPr>
        <w:rFonts w:cs="Times New Roman"/>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64AFE80F"/>
    <w:multiLevelType w:val="singleLevel"/>
    <w:tmpl w:val="64AFE80F"/>
    <w:lvl w:ilvl="0" w:tentative="0">
      <w:start w:val="1"/>
      <w:numFmt w:val="decimal"/>
      <w:suff w:val="nothing"/>
      <w:lvlText w:val="（%1）"/>
      <w:lvlJc w:val="left"/>
      <w:pPr>
        <w:ind w:left="635" w:firstLine="0"/>
      </w:pPr>
    </w:lvl>
  </w:abstractNum>
  <w:abstractNum w:abstractNumId="10">
    <w:nsid w:val="6EC8727B"/>
    <w:multiLevelType w:val="singleLevel"/>
    <w:tmpl w:val="6EC8727B"/>
    <w:lvl w:ilvl="0" w:tentative="0">
      <w:start w:val="1"/>
      <w:numFmt w:val="decimal"/>
      <w:suff w:val="nothing"/>
      <w:lvlText w:val="%1、"/>
      <w:lvlJc w:val="left"/>
    </w:lvl>
  </w:abstractNum>
  <w:abstractNum w:abstractNumId="11">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2">
    <w:nsid w:val="78DB85BA"/>
    <w:multiLevelType w:val="singleLevel"/>
    <w:tmpl w:val="78DB85BA"/>
    <w:lvl w:ilvl="0" w:tentative="0">
      <w:start w:val="1"/>
      <w:numFmt w:val="decimal"/>
      <w:suff w:val="nothing"/>
      <w:lvlText w:val="%1、"/>
      <w:lvlJc w:val="left"/>
    </w:lvl>
  </w:abstractNum>
  <w:num w:numId="1">
    <w:abstractNumId w:val="2"/>
  </w:num>
  <w:num w:numId="2">
    <w:abstractNumId w:val="7"/>
  </w:num>
  <w:num w:numId="3">
    <w:abstractNumId w:val="10"/>
  </w:num>
  <w:num w:numId="4">
    <w:abstractNumId w:val="3"/>
  </w:num>
  <w:num w:numId="5">
    <w:abstractNumId w:val="0"/>
  </w:num>
  <w:num w:numId="6">
    <w:abstractNumId w:val="12"/>
  </w:num>
  <w:num w:numId="7">
    <w:abstractNumId w:val="8"/>
  </w:num>
  <w:num w:numId="8">
    <w:abstractNumId w:val="5"/>
  </w:num>
  <w:num w:numId="9">
    <w:abstractNumId w:val="11"/>
  </w:num>
  <w:num w:numId="10">
    <w:abstractNumId w:val="9"/>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GEwNjEzNjQwOTQ3ODNkMTdjZTA2NzU2MTY2OTEifQ=="/>
  </w:docVars>
  <w:rsids>
    <w:rsidRoot w:val="00172A27"/>
    <w:rsid w:val="00021977"/>
    <w:rsid w:val="00064D69"/>
    <w:rsid w:val="0007010B"/>
    <w:rsid w:val="0007663D"/>
    <w:rsid w:val="00090EBF"/>
    <w:rsid w:val="00091C6F"/>
    <w:rsid w:val="000A29B4"/>
    <w:rsid w:val="000B3B64"/>
    <w:rsid w:val="000D2541"/>
    <w:rsid w:val="000D411D"/>
    <w:rsid w:val="001167E1"/>
    <w:rsid w:val="00131B35"/>
    <w:rsid w:val="001802DF"/>
    <w:rsid w:val="00212497"/>
    <w:rsid w:val="00265DC5"/>
    <w:rsid w:val="002C588C"/>
    <w:rsid w:val="002D169F"/>
    <w:rsid w:val="002D18E3"/>
    <w:rsid w:val="002E1AA5"/>
    <w:rsid w:val="002E1AC1"/>
    <w:rsid w:val="002F2274"/>
    <w:rsid w:val="00346020"/>
    <w:rsid w:val="00352BB0"/>
    <w:rsid w:val="0035520B"/>
    <w:rsid w:val="00383AE9"/>
    <w:rsid w:val="00390140"/>
    <w:rsid w:val="003E368E"/>
    <w:rsid w:val="003E7EC0"/>
    <w:rsid w:val="00427DBD"/>
    <w:rsid w:val="00435D20"/>
    <w:rsid w:val="00472C1A"/>
    <w:rsid w:val="004E2B1B"/>
    <w:rsid w:val="00506388"/>
    <w:rsid w:val="00515E5C"/>
    <w:rsid w:val="00516E56"/>
    <w:rsid w:val="00535B72"/>
    <w:rsid w:val="00544D9D"/>
    <w:rsid w:val="00553463"/>
    <w:rsid w:val="00561719"/>
    <w:rsid w:val="00584849"/>
    <w:rsid w:val="00634F54"/>
    <w:rsid w:val="00661679"/>
    <w:rsid w:val="0067524D"/>
    <w:rsid w:val="006A6CBE"/>
    <w:rsid w:val="006C3CA9"/>
    <w:rsid w:val="006E09D9"/>
    <w:rsid w:val="007B2789"/>
    <w:rsid w:val="007B4269"/>
    <w:rsid w:val="007C23FF"/>
    <w:rsid w:val="008033C1"/>
    <w:rsid w:val="0081748B"/>
    <w:rsid w:val="00850B71"/>
    <w:rsid w:val="00855FEA"/>
    <w:rsid w:val="0086326E"/>
    <w:rsid w:val="008849D9"/>
    <w:rsid w:val="00886F24"/>
    <w:rsid w:val="00894217"/>
    <w:rsid w:val="008E74F6"/>
    <w:rsid w:val="009008AA"/>
    <w:rsid w:val="00920B28"/>
    <w:rsid w:val="0094775D"/>
    <w:rsid w:val="00971D96"/>
    <w:rsid w:val="00986D8D"/>
    <w:rsid w:val="009C2162"/>
    <w:rsid w:val="009E34F9"/>
    <w:rsid w:val="00A04D26"/>
    <w:rsid w:val="00A07821"/>
    <w:rsid w:val="00A26028"/>
    <w:rsid w:val="00A440D3"/>
    <w:rsid w:val="00A44EFB"/>
    <w:rsid w:val="00A63339"/>
    <w:rsid w:val="00A72E4F"/>
    <w:rsid w:val="00A80D31"/>
    <w:rsid w:val="00A85104"/>
    <w:rsid w:val="00A9020F"/>
    <w:rsid w:val="00A914B1"/>
    <w:rsid w:val="00A962ED"/>
    <w:rsid w:val="00AA62E5"/>
    <w:rsid w:val="00AB6967"/>
    <w:rsid w:val="00AC39AE"/>
    <w:rsid w:val="00AD0E94"/>
    <w:rsid w:val="00B00C09"/>
    <w:rsid w:val="00B12D96"/>
    <w:rsid w:val="00B36501"/>
    <w:rsid w:val="00B51F00"/>
    <w:rsid w:val="00B6612F"/>
    <w:rsid w:val="00B76763"/>
    <w:rsid w:val="00B941CB"/>
    <w:rsid w:val="00BF223E"/>
    <w:rsid w:val="00C0489C"/>
    <w:rsid w:val="00C20C08"/>
    <w:rsid w:val="00C263CF"/>
    <w:rsid w:val="00C30C6A"/>
    <w:rsid w:val="00C54258"/>
    <w:rsid w:val="00C7348C"/>
    <w:rsid w:val="00C774EC"/>
    <w:rsid w:val="00C85EF9"/>
    <w:rsid w:val="00C93B06"/>
    <w:rsid w:val="00CA1C61"/>
    <w:rsid w:val="00D345A3"/>
    <w:rsid w:val="00D92878"/>
    <w:rsid w:val="00DC07EF"/>
    <w:rsid w:val="00DC16C8"/>
    <w:rsid w:val="00DD48F6"/>
    <w:rsid w:val="00E43F27"/>
    <w:rsid w:val="00E52609"/>
    <w:rsid w:val="00E873A8"/>
    <w:rsid w:val="00E95C6A"/>
    <w:rsid w:val="00EC01F7"/>
    <w:rsid w:val="00EC7C41"/>
    <w:rsid w:val="00F14B4C"/>
    <w:rsid w:val="00F4341E"/>
    <w:rsid w:val="00F54CE3"/>
    <w:rsid w:val="00F64068"/>
    <w:rsid w:val="00F706F7"/>
    <w:rsid w:val="00FE6CF3"/>
    <w:rsid w:val="01687000"/>
    <w:rsid w:val="01AD5982"/>
    <w:rsid w:val="01F54D67"/>
    <w:rsid w:val="04494C6C"/>
    <w:rsid w:val="04C73678"/>
    <w:rsid w:val="04FD46C5"/>
    <w:rsid w:val="05AE431B"/>
    <w:rsid w:val="05F440F0"/>
    <w:rsid w:val="05FB7EC1"/>
    <w:rsid w:val="06676E67"/>
    <w:rsid w:val="06AF2578"/>
    <w:rsid w:val="06B36062"/>
    <w:rsid w:val="06BF13F2"/>
    <w:rsid w:val="06E72E8E"/>
    <w:rsid w:val="0750762A"/>
    <w:rsid w:val="077D0F86"/>
    <w:rsid w:val="09201E7D"/>
    <w:rsid w:val="099B4EB2"/>
    <w:rsid w:val="0AC67ABD"/>
    <w:rsid w:val="0B5A00BC"/>
    <w:rsid w:val="0B6B0F35"/>
    <w:rsid w:val="0BC824FA"/>
    <w:rsid w:val="0BD1309C"/>
    <w:rsid w:val="0C8D0CF4"/>
    <w:rsid w:val="0CC56899"/>
    <w:rsid w:val="0E4138CD"/>
    <w:rsid w:val="0F441CF9"/>
    <w:rsid w:val="0F8F0A41"/>
    <w:rsid w:val="0F9D0A1C"/>
    <w:rsid w:val="0FB118C6"/>
    <w:rsid w:val="0FFA5ACB"/>
    <w:rsid w:val="10B11658"/>
    <w:rsid w:val="11162320"/>
    <w:rsid w:val="111E1A2C"/>
    <w:rsid w:val="11A279BB"/>
    <w:rsid w:val="12350E51"/>
    <w:rsid w:val="12697853"/>
    <w:rsid w:val="132C45BD"/>
    <w:rsid w:val="13333383"/>
    <w:rsid w:val="133F511C"/>
    <w:rsid w:val="139D252E"/>
    <w:rsid w:val="13C85C27"/>
    <w:rsid w:val="14003AC7"/>
    <w:rsid w:val="14033B2F"/>
    <w:rsid w:val="14445A75"/>
    <w:rsid w:val="148B5CC0"/>
    <w:rsid w:val="153A4CEC"/>
    <w:rsid w:val="15432B17"/>
    <w:rsid w:val="156709D7"/>
    <w:rsid w:val="15BD7BC5"/>
    <w:rsid w:val="15DB7D79"/>
    <w:rsid w:val="162F27FB"/>
    <w:rsid w:val="17986CE2"/>
    <w:rsid w:val="17D74ECD"/>
    <w:rsid w:val="17E9386C"/>
    <w:rsid w:val="18054C3C"/>
    <w:rsid w:val="183E715B"/>
    <w:rsid w:val="189A5D1A"/>
    <w:rsid w:val="18C53105"/>
    <w:rsid w:val="19CA5AAE"/>
    <w:rsid w:val="19CD2498"/>
    <w:rsid w:val="1A9D6217"/>
    <w:rsid w:val="1AB175FE"/>
    <w:rsid w:val="1AD324B5"/>
    <w:rsid w:val="1B000B33"/>
    <w:rsid w:val="1B206067"/>
    <w:rsid w:val="1BDA5A78"/>
    <w:rsid w:val="1BF764B4"/>
    <w:rsid w:val="1C285142"/>
    <w:rsid w:val="1D225D77"/>
    <w:rsid w:val="1D2779A1"/>
    <w:rsid w:val="1D371EFA"/>
    <w:rsid w:val="1DAD6F64"/>
    <w:rsid w:val="1DCA1AE1"/>
    <w:rsid w:val="1E707768"/>
    <w:rsid w:val="1F473706"/>
    <w:rsid w:val="1F7E63D4"/>
    <w:rsid w:val="20A37680"/>
    <w:rsid w:val="217700EA"/>
    <w:rsid w:val="221A523A"/>
    <w:rsid w:val="22A253ED"/>
    <w:rsid w:val="23962339"/>
    <w:rsid w:val="24773115"/>
    <w:rsid w:val="25615A20"/>
    <w:rsid w:val="259A4B72"/>
    <w:rsid w:val="25B13E62"/>
    <w:rsid w:val="265A3DD2"/>
    <w:rsid w:val="26B13BC0"/>
    <w:rsid w:val="26BA64ED"/>
    <w:rsid w:val="26FF09DF"/>
    <w:rsid w:val="275B135F"/>
    <w:rsid w:val="27FF48A8"/>
    <w:rsid w:val="283C0E1E"/>
    <w:rsid w:val="2866243A"/>
    <w:rsid w:val="287F19C9"/>
    <w:rsid w:val="29172178"/>
    <w:rsid w:val="297B05C5"/>
    <w:rsid w:val="29924E12"/>
    <w:rsid w:val="2AAC0E49"/>
    <w:rsid w:val="2AF6493B"/>
    <w:rsid w:val="2B935AE0"/>
    <w:rsid w:val="2BB95671"/>
    <w:rsid w:val="2BC35C86"/>
    <w:rsid w:val="2C4E26FA"/>
    <w:rsid w:val="2D5B1287"/>
    <w:rsid w:val="2DA77104"/>
    <w:rsid w:val="2DE55132"/>
    <w:rsid w:val="2E620EB2"/>
    <w:rsid w:val="2F322904"/>
    <w:rsid w:val="2FD3536E"/>
    <w:rsid w:val="2FFB4774"/>
    <w:rsid w:val="30201707"/>
    <w:rsid w:val="31C24ABF"/>
    <w:rsid w:val="31D63E17"/>
    <w:rsid w:val="31D71E51"/>
    <w:rsid w:val="321B082B"/>
    <w:rsid w:val="321F5693"/>
    <w:rsid w:val="3257477C"/>
    <w:rsid w:val="32E4633A"/>
    <w:rsid w:val="33220C96"/>
    <w:rsid w:val="34482049"/>
    <w:rsid w:val="34561D37"/>
    <w:rsid w:val="36415851"/>
    <w:rsid w:val="364844FC"/>
    <w:rsid w:val="36761230"/>
    <w:rsid w:val="36801012"/>
    <w:rsid w:val="372B48EC"/>
    <w:rsid w:val="37E740CA"/>
    <w:rsid w:val="38AA6A5A"/>
    <w:rsid w:val="38DC0ADF"/>
    <w:rsid w:val="39505938"/>
    <w:rsid w:val="39BA0187"/>
    <w:rsid w:val="3A045C5F"/>
    <w:rsid w:val="3ABA1F79"/>
    <w:rsid w:val="3B115588"/>
    <w:rsid w:val="3BEE1FD7"/>
    <w:rsid w:val="3BF06EFC"/>
    <w:rsid w:val="3C717F2F"/>
    <w:rsid w:val="3CC10759"/>
    <w:rsid w:val="3D8E6F9A"/>
    <w:rsid w:val="3DDF3FE8"/>
    <w:rsid w:val="3E061540"/>
    <w:rsid w:val="3E487B80"/>
    <w:rsid w:val="3E9C31FA"/>
    <w:rsid w:val="3EE12A3F"/>
    <w:rsid w:val="3F075649"/>
    <w:rsid w:val="3F172D86"/>
    <w:rsid w:val="3F2D4BEC"/>
    <w:rsid w:val="3F8752BC"/>
    <w:rsid w:val="3FD93316"/>
    <w:rsid w:val="409E3FD3"/>
    <w:rsid w:val="40D66AD4"/>
    <w:rsid w:val="41222A66"/>
    <w:rsid w:val="41C610A0"/>
    <w:rsid w:val="41DC76FF"/>
    <w:rsid w:val="41DE3409"/>
    <w:rsid w:val="42197E2D"/>
    <w:rsid w:val="4253448B"/>
    <w:rsid w:val="426F361F"/>
    <w:rsid w:val="42721B58"/>
    <w:rsid w:val="42771387"/>
    <w:rsid w:val="42F52935"/>
    <w:rsid w:val="43794EB7"/>
    <w:rsid w:val="44132CC8"/>
    <w:rsid w:val="443775B0"/>
    <w:rsid w:val="44887B8A"/>
    <w:rsid w:val="44EF53A8"/>
    <w:rsid w:val="44FF7E2A"/>
    <w:rsid w:val="453A754B"/>
    <w:rsid w:val="460F376F"/>
    <w:rsid w:val="46B64B89"/>
    <w:rsid w:val="46D31355"/>
    <w:rsid w:val="46E552DE"/>
    <w:rsid w:val="47475429"/>
    <w:rsid w:val="47CF2840"/>
    <w:rsid w:val="49345CCA"/>
    <w:rsid w:val="49EF47F3"/>
    <w:rsid w:val="4A020F5E"/>
    <w:rsid w:val="4A193361"/>
    <w:rsid w:val="4ABE5B3D"/>
    <w:rsid w:val="4B1D2286"/>
    <w:rsid w:val="4B7B5DF0"/>
    <w:rsid w:val="4BA76F4E"/>
    <w:rsid w:val="4CAD1FB6"/>
    <w:rsid w:val="4D4D19A3"/>
    <w:rsid w:val="4E6228F9"/>
    <w:rsid w:val="4ED84B4D"/>
    <w:rsid w:val="4EEB45D1"/>
    <w:rsid w:val="4F9E2C43"/>
    <w:rsid w:val="4FAA26B7"/>
    <w:rsid w:val="500E7FA0"/>
    <w:rsid w:val="503869B4"/>
    <w:rsid w:val="508637C9"/>
    <w:rsid w:val="51684F8E"/>
    <w:rsid w:val="521F519B"/>
    <w:rsid w:val="526F3AD7"/>
    <w:rsid w:val="52900663"/>
    <w:rsid w:val="52D8529F"/>
    <w:rsid w:val="53A32BF2"/>
    <w:rsid w:val="53CD5848"/>
    <w:rsid w:val="54250EFE"/>
    <w:rsid w:val="54986BD4"/>
    <w:rsid w:val="54A84061"/>
    <w:rsid w:val="54D63807"/>
    <w:rsid w:val="55554C05"/>
    <w:rsid w:val="581D3ED9"/>
    <w:rsid w:val="582643AB"/>
    <w:rsid w:val="58296F94"/>
    <w:rsid w:val="58806786"/>
    <w:rsid w:val="590D02A9"/>
    <w:rsid w:val="5979543D"/>
    <w:rsid w:val="59AC6581"/>
    <w:rsid w:val="59E84CF9"/>
    <w:rsid w:val="5ADE2B9D"/>
    <w:rsid w:val="5AF2374C"/>
    <w:rsid w:val="5B86615A"/>
    <w:rsid w:val="5C397C4B"/>
    <w:rsid w:val="5D3B214E"/>
    <w:rsid w:val="5D7907C0"/>
    <w:rsid w:val="5D88778A"/>
    <w:rsid w:val="5D8C4BE9"/>
    <w:rsid w:val="5DB04F43"/>
    <w:rsid w:val="5E002EDB"/>
    <w:rsid w:val="5EDB5A7A"/>
    <w:rsid w:val="5FB51690"/>
    <w:rsid w:val="60310561"/>
    <w:rsid w:val="611E1B93"/>
    <w:rsid w:val="61697EF5"/>
    <w:rsid w:val="61B72C25"/>
    <w:rsid w:val="622E3077"/>
    <w:rsid w:val="62336126"/>
    <w:rsid w:val="62AF5B9D"/>
    <w:rsid w:val="631C53BF"/>
    <w:rsid w:val="633601DF"/>
    <w:rsid w:val="633D31F8"/>
    <w:rsid w:val="63B82E1B"/>
    <w:rsid w:val="63FF31AD"/>
    <w:rsid w:val="6451558B"/>
    <w:rsid w:val="645B2050"/>
    <w:rsid w:val="64AD7890"/>
    <w:rsid w:val="65380BF4"/>
    <w:rsid w:val="6623754B"/>
    <w:rsid w:val="6643709D"/>
    <w:rsid w:val="6677008A"/>
    <w:rsid w:val="66F45975"/>
    <w:rsid w:val="671136C8"/>
    <w:rsid w:val="67231BEE"/>
    <w:rsid w:val="673003D3"/>
    <w:rsid w:val="676F218B"/>
    <w:rsid w:val="6784366C"/>
    <w:rsid w:val="681E4B1B"/>
    <w:rsid w:val="68C27182"/>
    <w:rsid w:val="68CE0DBC"/>
    <w:rsid w:val="68D67EF7"/>
    <w:rsid w:val="69BA5199"/>
    <w:rsid w:val="6AD34E13"/>
    <w:rsid w:val="6B06248A"/>
    <w:rsid w:val="6B2C680F"/>
    <w:rsid w:val="6BE95282"/>
    <w:rsid w:val="6C0B785A"/>
    <w:rsid w:val="6E0E0133"/>
    <w:rsid w:val="6FD40BAF"/>
    <w:rsid w:val="6FD5414C"/>
    <w:rsid w:val="704E2CE6"/>
    <w:rsid w:val="70985482"/>
    <w:rsid w:val="716B012B"/>
    <w:rsid w:val="718B6DFE"/>
    <w:rsid w:val="71C0533E"/>
    <w:rsid w:val="720753D7"/>
    <w:rsid w:val="721B052C"/>
    <w:rsid w:val="7272537D"/>
    <w:rsid w:val="72F74E04"/>
    <w:rsid w:val="732C27AC"/>
    <w:rsid w:val="73B419C8"/>
    <w:rsid w:val="740A59D1"/>
    <w:rsid w:val="742C42E4"/>
    <w:rsid w:val="749D3AD7"/>
    <w:rsid w:val="75475C22"/>
    <w:rsid w:val="75912ACE"/>
    <w:rsid w:val="759E2067"/>
    <w:rsid w:val="75C83406"/>
    <w:rsid w:val="77D37B64"/>
    <w:rsid w:val="78BC22CB"/>
    <w:rsid w:val="79387629"/>
    <w:rsid w:val="79487829"/>
    <w:rsid w:val="795C039A"/>
    <w:rsid w:val="798568DA"/>
    <w:rsid w:val="7AD03DAD"/>
    <w:rsid w:val="7AF6294A"/>
    <w:rsid w:val="7B58479C"/>
    <w:rsid w:val="7B6A18BA"/>
    <w:rsid w:val="7BAC6BF9"/>
    <w:rsid w:val="7C570CF1"/>
    <w:rsid w:val="7C981467"/>
    <w:rsid w:val="7CA044C8"/>
    <w:rsid w:val="7DF27CF8"/>
    <w:rsid w:val="7E072B16"/>
    <w:rsid w:val="7E8A6A24"/>
    <w:rsid w:val="7EC17FD1"/>
    <w:rsid w:val="7F497B2C"/>
    <w:rsid w:val="7F5A2382"/>
    <w:rsid w:val="7F8D7B78"/>
    <w:rsid w:val="7FCF69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59"/>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adjustRightInd w:val="0"/>
      <w:spacing w:before="260" w:beforeLines="0" w:after="260" w:afterLines="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adjustRightInd w:val="0"/>
      <w:spacing w:before="260" w:beforeLines="0" w:after="260" w:afterLines="0" w:line="416" w:lineRule="atLeast"/>
      <w:textAlignment w:val="baseline"/>
      <w:outlineLvl w:val="2"/>
    </w:pPr>
    <w:rPr>
      <w:b/>
      <w:kern w:val="0"/>
      <w:sz w:val="32"/>
      <w:szCs w:val="20"/>
    </w:rPr>
  </w:style>
  <w:style w:type="paragraph" w:styleId="5">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6">
    <w:name w:val="heading 5"/>
    <w:basedOn w:val="1"/>
    <w:next w:val="1"/>
    <w:qFormat/>
    <w:uiPriority w:val="0"/>
    <w:pPr>
      <w:keepNext/>
      <w:keepLines/>
      <w:tabs>
        <w:tab w:val="left" w:pos="1953"/>
      </w:tabs>
      <w:spacing w:before="280" w:beforeLines="0" w:after="290" w:afterLines="0" w:line="374" w:lineRule="auto"/>
      <w:ind w:left="-567"/>
      <w:outlineLvl w:val="4"/>
    </w:pPr>
    <w:rPr>
      <w:b/>
      <w:bCs/>
      <w:sz w:val="28"/>
      <w:szCs w:val="28"/>
    </w:rPr>
  </w:style>
  <w:style w:type="paragraph" w:styleId="7">
    <w:name w:val="heading 6"/>
    <w:basedOn w:val="1"/>
    <w:next w:val="1"/>
    <w:qFormat/>
    <w:uiPriority w:val="0"/>
    <w:pPr>
      <w:keepNext/>
      <w:keepLines/>
      <w:widowControl/>
      <w:spacing w:before="240" w:beforeLines="0" w:after="64" w:afterLines="0" w:line="319" w:lineRule="auto"/>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spacing w:before="240" w:beforeLines="0" w:after="64" w:afterLines="0" w:line="319" w:lineRule="auto"/>
      <w:jc w:val="left"/>
      <w:outlineLvl w:val="6"/>
    </w:pPr>
    <w:rPr>
      <w:b/>
      <w:bCs/>
      <w:kern w:val="0"/>
      <w:sz w:val="24"/>
    </w:rPr>
  </w:style>
  <w:style w:type="paragraph" w:styleId="9">
    <w:name w:val="heading 8"/>
    <w:basedOn w:val="1"/>
    <w:next w:val="1"/>
    <w:qFormat/>
    <w:uiPriority w:val="0"/>
    <w:pPr>
      <w:keepNext/>
      <w:keepLines/>
      <w:widowControl/>
      <w:spacing w:before="240" w:beforeLines="0" w:after="64" w:afterLines="0" w:line="319" w:lineRule="auto"/>
      <w:jc w:val="left"/>
      <w:outlineLvl w:val="7"/>
    </w:pPr>
    <w:rPr>
      <w:rFonts w:ascii="Arial" w:hAnsi="Arial" w:eastAsia="黑体"/>
      <w:kern w:val="0"/>
      <w:sz w:val="24"/>
    </w:rPr>
  </w:style>
  <w:style w:type="paragraph" w:styleId="10">
    <w:name w:val="heading 9"/>
    <w:basedOn w:val="1"/>
    <w:next w:val="1"/>
    <w:qFormat/>
    <w:uiPriority w:val="0"/>
    <w:pPr>
      <w:keepNext/>
      <w:keepLines/>
      <w:widowControl/>
      <w:spacing w:before="240" w:beforeLines="0" w:after="64" w:afterLines="0" w:line="319" w:lineRule="auto"/>
      <w:jc w:val="left"/>
      <w:outlineLvl w:val="8"/>
    </w:pPr>
    <w:rPr>
      <w:rFonts w:ascii="Arial" w:hAnsi="Arial" w:eastAsia="黑体"/>
      <w:kern w:val="0"/>
      <w:szCs w:val="21"/>
    </w:rPr>
  </w:style>
  <w:style w:type="character" w:default="1" w:styleId="52">
    <w:name w:val="Default Paragraph Font"/>
    <w:uiPriority w:val="0"/>
    <w:rPr>
      <w:szCs w:val="21"/>
    </w:rPr>
  </w:style>
  <w:style w:type="table" w:default="1" w:styleId="5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50"/>
      <w:tblCellMar>
        <w:top w:w="0" w:type="dxa"/>
        <w:left w:w="108" w:type="dxa"/>
        <w:bottom w:w="0" w:type="dxa"/>
        <w:right w:w="108" w:type="dxa"/>
      </w:tblCellMar>
    </w:tblPr>
  </w:style>
  <w:style w:type="paragraph" w:styleId="11">
    <w:name w:val="toc 7"/>
    <w:basedOn w:val="1"/>
    <w:next w:val="1"/>
    <w:uiPriority w:val="0"/>
    <w:pPr>
      <w:ind w:left="1260"/>
      <w:jc w:val="left"/>
    </w:pPr>
    <w:rPr>
      <w:sz w:val="18"/>
      <w:szCs w:val="18"/>
    </w:rPr>
  </w:style>
  <w:style w:type="paragraph" w:styleId="12">
    <w:name w:val="table of authorities"/>
    <w:basedOn w:val="1"/>
    <w:next w:val="1"/>
    <w:uiPriority w:val="0"/>
    <w:pPr>
      <w:ind w:left="420" w:leftChars="200"/>
    </w:pPr>
    <w:rPr>
      <w:sz w:val="28"/>
      <w:szCs w:val="20"/>
    </w:rPr>
  </w:style>
  <w:style w:type="paragraph" w:styleId="13">
    <w:name w:val="Normal Indent"/>
    <w:basedOn w:val="1"/>
    <w:next w:val="1"/>
    <w:uiPriority w:val="0"/>
    <w:pPr>
      <w:adjustRightInd w:val="0"/>
      <w:spacing w:line="312" w:lineRule="atLeast"/>
      <w:ind w:firstLine="420"/>
      <w:textAlignment w:val="baseline"/>
    </w:pPr>
    <w:rPr>
      <w:kern w:val="0"/>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Document Map"/>
    <w:basedOn w:val="1"/>
    <w:uiPriority w:val="0"/>
    <w:pPr>
      <w:shd w:val="clear" w:color="auto" w:fill="000080"/>
    </w:pPr>
  </w:style>
  <w:style w:type="paragraph" w:styleId="16">
    <w:name w:val="toa heading"/>
    <w:basedOn w:val="1"/>
    <w:next w:val="1"/>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17">
    <w:name w:val="annotation text"/>
    <w:basedOn w:val="1"/>
    <w:uiPriority w:val="0"/>
    <w:pPr>
      <w:jc w:val="left"/>
    </w:pPr>
  </w:style>
  <w:style w:type="paragraph" w:styleId="18">
    <w:name w:val="Body Text 3"/>
    <w:basedOn w:val="1"/>
    <w:uiPriority w:val="0"/>
    <w:pPr>
      <w:spacing w:line="400" w:lineRule="atLeast"/>
    </w:pPr>
    <w:rPr>
      <w:rFonts w:ascii="宋体" w:hAnsi="宋体"/>
      <w:color w:val="800080"/>
      <w:sz w:val="24"/>
    </w:rPr>
  </w:style>
  <w:style w:type="paragraph" w:styleId="19">
    <w:name w:val="Body Text"/>
    <w:basedOn w:val="1"/>
    <w:uiPriority w:val="0"/>
    <w:pPr>
      <w:tabs>
        <w:tab w:val="left" w:pos="562"/>
        <w:tab w:val="left" w:pos="3372"/>
        <w:tab w:val="left" w:pos="3653"/>
      </w:tabs>
    </w:pPr>
    <w:rPr>
      <w:sz w:val="24"/>
    </w:rPr>
  </w:style>
  <w:style w:type="paragraph" w:styleId="20">
    <w:name w:val="Body Text Indent"/>
    <w:basedOn w:val="1"/>
    <w:uiPriority w:val="0"/>
    <w:pPr>
      <w:spacing w:line="400" w:lineRule="atLeast"/>
      <w:ind w:firstLine="432"/>
    </w:pPr>
    <w:rPr>
      <w:sz w:val="24"/>
    </w:rPr>
  </w:style>
  <w:style w:type="paragraph" w:styleId="21">
    <w:name w:val="Block Text"/>
    <w:basedOn w:val="1"/>
    <w:uiPriority w:val="0"/>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22">
    <w:name w:val="toc 5"/>
    <w:basedOn w:val="1"/>
    <w:next w:val="1"/>
    <w:uiPriority w:val="0"/>
    <w:pPr>
      <w:ind w:left="840"/>
      <w:jc w:val="left"/>
    </w:pPr>
    <w:rPr>
      <w:sz w:val="18"/>
      <w:szCs w:val="18"/>
    </w:rPr>
  </w:style>
  <w:style w:type="paragraph" w:styleId="23">
    <w:name w:val="toc 3"/>
    <w:basedOn w:val="1"/>
    <w:next w:val="1"/>
    <w:uiPriority w:val="0"/>
    <w:pPr>
      <w:ind w:left="420"/>
      <w:jc w:val="left"/>
    </w:pPr>
    <w:rPr>
      <w:i/>
      <w:iCs/>
      <w:sz w:val="20"/>
      <w:szCs w:val="20"/>
    </w:rPr>
  </w:style>
  <w:style w:type="paragraph" w:styleId="24">
    <w:name w:val="Plain Text"/>
    <w:basedOn w:val="1"/>
    <w:next w:val="25"/>
    <w:uiPriority w:val="0"/>
    <w:rPr>
      <w:rFonts w:ascii="宋体" w:hAnsi="Courier New"/>
      <w:szCs w:val="20"/>
    </w:rPr>
  </w:style>
  <w:style w:type="paragraph" w:styleId="25">
    <w:name w:val="index 7"/>
    <w:basedOn w:val="1"/>
    <w:next w:val="1"/>
    <w:qFormat/>
    <w:uiPriority w:val="0"/>
    <w:pPr>
      <w:ind w:left="1200" w:leftChars="1200"/>
    </w:pPr>
  </w:style>
  <w:style w:type="paragraph" w:styleId="26">
    <w:name w:val="toc 8"/>
    <w:basedOn w:val="1"/>
    <w:next w:val="1"/>
    <w:uiPriority w:val="0"/>
    <w:pPr>
      <w:ind w:left="1470"/>
      <w:jc w:val="left"/>
    </w:pPr>
    <w:rPr>
      <w:sz w:val="18"/>
      <w:szCs w:val="18"/>
    </w:rPr>
  </w:style>
  <w:style w:type="paragraph" w:styleId="27">
    <w:name w:val="Date"/>
    <w:basedOn w:val="1"/>
    <w:next w:val="1"/>
    <w:uiPriority w:val="0"/>
    <w:pPr>
      <w:ind w:left="100"/>
    </w:pPr>
    <w:rPr>
      <w:sz w:val="24"/>
      <w:szCs w:val="20"/>
    </w:rPr>
  </w:style>
  <w:style w:type="paragraph" w:styleId="28">
    <w:name w:val="Body Text Indent 2"/>
    <w:basedOn w:val="1"/>
    <w:uiPriority w:val="0"/>
    <w:pPr>
      <w:widowControl/>
      <w:autoSpaceDE w:val="0"/>
      <w:autoSpaceDN w:val="0"/>
      <w:spacing w:line="320" w:lineRule="exact"/>
      <w:ind w:left="525" w:leftChars="250" w:firstLine="420" w:firstLineChars="200"/>
      <w:textAlignment w:val="bottom"/>
    </w:pPr>
    <w:rPr>
      <w:rFonts w:ascii="宋体" w:hAnsi="宋体"/>
    </w:rPr>
  </w:style>
  <w:style w:type="paragraph" w:styleId="29">
    <w:name w:val="Balloon Text"/>
    <w:basedOn w:val="1"/>
    <w:uiPriority w:val="0"/>
    <w:rPr>
      <w:sz w:val="18"/>
      <w:szCs w:val="18"/>
    </w:rPr>
  </w:style>
  <w:style w:type="paragraph" w:styleId="30">
    <w:name w:val="footer"/>
    <w:basedOn w:val="1"/>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31">
    <w:name w:val="header"/>
    <w:basedOn w:val="1"/>
    <w:link w:val="60"/>
    <w:uiPriority w:val="0"/>
    <w:pPr>
      <w:pBdr>
        <w:bottom w:val="single" w:color="auto" w:sz="6" w:space="1"/>
      </w:pBdr>
      <w:tabs>
        <w:tab w:val="center" w:pos="4153"/>
        <w:tab w:val="right" w:pos="8306"/>
      </w:tabs>
      <w:snapToGrid w:val="0"/>
      <w:jc w:val="center"/>
    </w:pPr>
    <w:rPr>
      <w:sz w:val="18"/>
      <w:szCs w:val="20"/>
    </w:rPr>
  </w:style>
  <w:style w:type="paragraph" w:styleId="32">
    <w:name w:val="toc 1"/>
    <w:basedOn w:val="1"/>
    <w:next w:val="1"/>
    <w:uiPriority w:val="0"/>
    <w:pPr>
      <w:tabs>
        <w:tab w:val="left" w:pos="1260"/>
        <w:tab w:val="right" w:leader="dot" w:pos="9060"/>
      </w:tabs>
      <w:spacing w:before="120" w:beforeLines="0" w:after="120" w:afterLines="0" w:line="360" w:lineRule="auto"/>
      <w:ind w:firstLine="418"/>
    </w:pPr>
    <w:rPr>
      <w:rFonts w:ascii="宋体" w:hAnsi="宋体"/>
      <w:b/>
      <w:bCs/>
      <w:caps/>
      <w:color w:val="333300"/>
    </w:rPr>
  </w:style>
  <w:style w:type="paragraph" w:styleId="33">
    <w:name w:val="toc 4"/>
    <w:basedOn w:val="1"/>
    <w:next w:val="1"/>
    <w:uiPriority w:val="0"/>
    <w:pPr>
      <w:ind w:left="630"/>
      <w:jc w:val="left"/>
    </w:pPr>
    <w:rPr>
      <w:sz w:val="18"/>
      <w:szCs w:val="18"/>
    </w:rPr>
  </w:style>
  <w:style w:type="paragraph" w:styleId="34">
    <w:name w:val="List"/>
    <w:basedOn w:val="1"/>
    <w:uiPriority w:val="0"/>
    <w:pPr>
      <w:adjustRightInd w:val="0"/>
      <w:spacing w:line="360" w:lineRule="atLeast"/>
      <w:ind w:left="420" w:hanging="420"/>
      <w:jc w:val="left"/>
    </w:pPr>
    <w:rPr>
      <w:rFonts w:hint="eastAsia" w:ascii="宋体"/>
      <w:kern w:val="0"/>
      <w:sz w:val="24"/>
      <w:szCs w:val="20"/>
    </w:rPr>
  </w:style>
  <w:style w:type="paragraph" w:styleId="35">
    <w:name w:val="footnote text"/>
    <w:basedOn w:val="1"/>
    <w:next w:val="19"/>
    <w:qFormat/>
    <w:uiPriority w:val="99"/>
    <w:pPr>
      <w:snapToGrid w:val="0"/>
      <w:jc w:val="left"/>
    </w:pPr>
    <w:rPr>
      <w:sz w:val="18"/>
    </w:rPr>
  </w:style>
  <w:style w:type="paragraph" w:styleId="36">
    <w:name w:val="toc 6"/>
    <w:basedOn w:val="1"/>
    <w:next w:val="1"/>
    <w:uiPriority w:val="0"/>
    <w:pPr>
      <w:ind w:left="1050"/>
      <w:jc w:val="left"/>
    </w:pPr>
    <w:rPr>
      <w:sz w:val="18"/>
      <w:szCs w:val="18"/>
    </w:rPr>
  </w:style>
  <w:style w:type="paragraph" w:styleId="37">
    <w:name w:val="Body Text Indent 3"/>
    <w:basedOn w:val="1"/>
    <w:uiPriority w:val="0"/>
    <w:pPr>
      <w:widowControl/>
      <w:autoSpaceDE w:val="0"/>
      <w:autoSpaceDN w:val="0"/>
      <w:spacing w:line="300" w:lineRule="exact"/>
      <w:ind w:left="540" w:leftChars="250" w:hanging="15" w:hangingChars="7"/>
      <w:textAlignment w:val="bottom"/>
    </w:pPr>
    <w:rPr>
      <w:rFonts w:ascii="宋体" w:hAnsi="宋体"/>
      <w:color w:val="FF0000"/>
    </w:rPr>
  </w:style>
  <w:style w:type="paragraph" w:styleId="38">
    <w:name w:val="table of figures"/>
    <w:basedOn w:val="1"/>
    <w:next w:val="1"/>
    <w:unhideWhenUsed/>
    <w:qFormat/>
    <w:uiPriority w:val="99"/>
    <w:pPr>
      <w:ind w:left="200" w:leftChars="200" w:hanging="200" w:hangingChars="200"/>
    </w:pPr>
    <w:rPr>
      <w:rFonts w:ascii="Times New Roman" w:hAnsi="Times New Roman" w:eastAsia="宋体" w:cs="Times New Roman"/>
    </w:rPr>
  </w:style>
  <w:style w:type="paragraph" w:styleId="39">
    <w:name w:val="toc 2"/>
    <w:basedOn w:val="1"/>
    <w:next w:val="1"/>
    <w:uiPriority w:val="0"/>
    <w:pPr>
      <w:ind w:left="210"/>
      <w:jc w:val="left"/>
    </w:pPr>
    <w:rPr>
      <w:smallCaps/>
      <w:sz w:val="20"/>
      <w:szCs w:val="20"/>
    </w:rPr>
  </w:style>
  <w:style w:type="paragraph" w:styleId="40">
    <w:name w:val="toc 9"/>
    <w:basedOn w:val="1"/>
    <w:next w:val="1"/>
    <w:uiPriority w:val="0"/>
    <w:pPr>
      <w:ind w:left="1680"/>
      <w:jc w:val="left"/>
    </w:pPr>
    <w:rPr>
      <w:sz w:val="18"/>
      <w:szCs w:val="18"/>
    </w:rPr>
  </w:style>
  <w:style w:type="paragraph" w:styleId="41">
    <w:name w:val="Body Text 2"/>
    <w:basedOn w:val="1"/>
    <w:uiPriority w:val="0"/>
    <w:pPr>
      <w:tabs>
        <w:tab w:val="left" w:pos="0"/>
      </w:tabs>
      <w:spacing w:line="400" w:lineRule="atLeast"/>
    </w:pPr>
    <w:rPr>
      <w:rFonts w:ascii="Arial" w:hAnsi="Arial"/>
      <w:color w:val="000000"/>
    </w:rPr>
  </w:style>
  <w:style w:type="paragraph" w:styleId="4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4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4">
    <w:name w:val="Normal (Web)"/>
    <w:basedOn w:val="1"/>
    <w:link w:val="61"/>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paragraph" w:styleId="45">
    <w:name w:val="index 1"/>
    <w:basedOn w:val="1"/>
    <w:next w:val="1"/>
    <w:uiPriority w:val="0"/>
    <w:rPr>
      <w:sz w:val="28"/>
      <w:szCs w:val="20"/>
    </w:rPr>
  </w:style>
  <w:style w:type="paragraph" w:styleId="46">
    <w:name w:val="Title"/>
    <w:basedOn w:val="1"/>
    <w:next w:val="1"/>
    <w:qFormat/>
    <w:uiPriority w:val="0"/>
    <w:pPr>
      <w:adjustRightInd w:val="0"/>
      <w:spacing w:before="240" w:beforeLines="0" w:after="60" w:afterLines="0" w:line="360" w:lineRule="atLeast"/>
      <w:jc w:val="center"/>
      <w:outlineLvl w:val="0"/>
    </w:pPr>
    <w:rPr>
      <w:rFonts w:ascii="Arial" w:hAnsi="Arial"/>
      <w:b/>
      <w:kern w:val="0"/>
      <w:sz w:val="32"/>
      <w:szCs w:val="20"/>
    </w:rPr>
  </w:style>
  <w:style w:type="paragraph" w:styleId="47">
    <w:name w:val="annotation subject"/>
    <w:basedOn w:val="17"/>
    <w:next w:val="17"/>
    <w:uiPriority w:val="0"/>
    <w:rPr>
      <w:b/>
      <w:bCs/>
    </w:rPr>
  </w:style>
  <w:style w:type="paragraph" w:styleId="48">
    <w:name w:val="Body Text First Indent"/>
    <w:basedOn w:val="19"/>
    <w:link w:val="62"/>
    <w:uiPriority w:val="0"/>
    <w:pPr>
      <w:tabs>
        <w:tab w:val="clear" w:pos="562"/>
        <w:tab w:val="clear" w:pos="3372"/>
        <w:tab w:val="clear" w:pos="3653"/>
      </w:tabs>
      <w:spacing w:after="120" w:afterLines="0"/>
      <w:ind w:firstLine="420" w:firstLineChars="100"/>
    </w:pPr>
    <w:rPr>
      <w:sz w:val="21"/>
    </w:rPr>
  </w:style>
  <w:style w:type="paragraph" w:styleId="49">
    <w:name w:val="Body Text First Indent 2"/>
    <w:basedOn w:val="20"/>
    <w:qFormat/>
    <w:uiPriority w:val="0"/>
    <w:pPr>
      <w:ind w:firstLine="420" w:firstLineChars="200"/>
    </w:pPr>
  </w:style>
  <w:style w:type="table" w:styleId="51">
    <w:name w:val="Table Grid"/>
    <w:basedOn w:val="50"/>
    <w:uiPriority w:val="0"/>
    <w:pPr>
      <w:widowControl w:val="0"/>
      <w:jc w:val="both"/>
    </w:pPr>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b/>
      <w:bCs/>
    </w:rPr>
  </w:style>
  <w:style w:type="character" w:styleId="54">
    <w:name w:val="page number"/>
    <w:basedOn w:val="52"/>
    <w:uiPriority w:val="0"/>
  </w:style>
  <w:style w:type="character" w:styleId="55">
    <w:name w:val="FollowedHyperlink"/>
    <w:uiPriority w:val="0"/>
    <w:rPr>
      <w:color w:val="800080"/>
      <w:u w:val="single"/>
    </w:rPr>
  </w:style>
  <w:style w:type="character" w:styleId="56">
    <w:name w:val="Hyperlink"/>
    <w:uiPriority w:val="0"/>
    <w:rPr>
      <w:color w:val="2D64B3"/>
      <w:szCs w:val="21"/>
      <w:u w:val="none"/>
    </w:rPr>
  </w:style>
  <w:style w:type="character" w:styleId="57">
    <w:name w:val="annotation reference"/>
    <w:uiPriority w:val="0"/>
    <w:rPr>
      <w:sz w:val="21"/>
      <w:szCs w:val="21"/>
    </w:rPr>
  </w:style>
  <w:style w:type="character" w:styleId="58">
    <w:name w:val="HTML Sample"/>
    <w:basedOn w:val="52"/>
    <w:qFormat/>
    <w:uiPriority w:val="0"/>
    <w:rPr>
      <w:rFonts w:ascii="monospace" w:hAnsi="monospace" w:eastAsia="monospace" w:cs="monospace"/>
    </w:rPr>
  </w:style>
  <w:style w:type="character" w:customStyle="1" w:styleId="59">
    <w:name w:val="标题 1 Char"/>
    <w:link w:val="2"/>
    <w:qFormat/>
    <w:uiPriority w:val="0"/>
    <w:rPr>
      <w:b/>
      <w:bCs/>
      <w:kern w:val="44"/>
      <w:sz w:val="44"/>
      <w:szCs w:val="44"/>
    </w:rPr>
  </w:style>
  <w:style w:type="character" w:customStyle="1" w:styleId="60">
    <w:name w:val="页眉 Char"/>
    <w:link w:val="31"/>
    <w:uiPriority w:val="0"/>
    <w:rPr>
      <w:rFonts w:eastAsia="宋体"/>
      <w:kern w:val="2"/>
      <w:sz w:val="18"/>
      <w:lang w:val="en-US" w:eastAsia="zh-CN" w:bidi="ar-SA"/>
    </w:rPr>
  </w:style>
  <w:style w:type="character" w:customStyle="1" w:styleId="61">
    <w:name w:val="普通(网站) Char"/>
    <w:link w:val="44"/>
    <w:uiPriority w:val="0"/>
    <w:rPr>
      <w:rFonts w:eastAsia="宋体"/>
      <w:kern w:val="2"/>
      <w:sz w:val="24"/>
      <w:szCs w:val="24"/>
      <w:lang w:val="en-US" w:eastAsia="zh-CN" w:bidi="ar-SA"/>
    </w:rPr>
  </w:style>
  <w:style w:type="character" w:customStyle="1" w:styleId="62">
    <w:name w:val="正文首行缩进 Char"/>
    <w:link w:val="48"/>
    <w:uiPriority w:val="0"/>
    <w:rPr>
      <w:rFonts w:eastAsia="宋体"/>
      <w:kern w:val="2"/>
      <w:sz w:val="21"/>
      <w:szCs w:val="24"/>
      <w:lang w:val="en-US" w:eastAsia="zh-CN" w:bidi="ar-SA"/>
    </w:rPr>
  </w:style>
  <w:style w:type="paragraph" w:customStyle="1" w:styleId="63">
    <w:name w:val="样式 样式 左侧:  2 字符 + 左侧:  0.85 厘米 首行缩进:  2 字符1"/>
    <w:basedOn w:val="1"/>
    <w:qFormat/>
    <w:uiPriority w:val="0"/>
    <w:pPr>
      <w:ind w:left="482" w:firstLine="200" w:firstLineChars="200"/>
    </w:pPr>
    <w:rPr>
      <w:rFonts w:cs="宋体"/>
      <w:szCs w:val="20"/>
    </w:rPr>
  </w:style>
  <w:style w:type="paragraph" w:customStyle="1" w:styleId="64">
    <w:name w:val="_Style 2"/>
    <w:uiPriority w:val="0"/>
    <w:rPr>
      <w:rFonts w:ascii="Calibri" w:hAnsi="Calibri"/>
      <w:sz w:val="22"/>
      <w:szCs w:val="22"/>
      <w:lang w:val="en-US" w:eastAsia="zh-CN" w:bidi="ar-SA"/>
    </w:rPr>
  </w:style>
  <w:style w:type="character" w:customStyle="1" w:styleId="65">
    <w:name w:val="font01"/>
    <w:basedOn w:val="52"/>
    <w:uiPriority w:val="0"/>
    <w:rPr>
      <w:rFonts w:hint="default" w:ascii="Times New Roman" w:hAnsi="Times New Roman" w:cs="Times New Roman"/>
      <w:color w:val="000000"/>
      <w:sz w:val="16"/>
      <w:szCs w:val="16"/>
      <w:u w:val="none"/>
    </w:rPr>
  </w:style>
  <w:style w:type="character" w:customStyle="1" w:styleId="66">
    <w:name w:val="unnamed1"/>
    <w:basedOn w:val="52"/>
    <w:uiPriority w:val="0"/>
  </w:style>
  <w:style w:type="character" w:customStyle="1" w:styleId="67">
    <w:name w:val="font71"/>
    <w:basedOn w:val="52"/>
    <w:uiPriority w:val="0"/>
    <w:rPr>
      <w:rFonts w:hint="eastAsia" w:ascii="宋体" w:hAnsi="宋体" w:eastAsia="宋体" w:cs="宋体"/>
      <w:color w:val="FF0000"/>
      <w:sz w:val="16"/>
      <w:szCs w:val="16"/>
      <w:u w:val="none"/>
    </w:rPr>
  </w:style>
  <w:style w:type="character" w:customStyle="1" w:styleId="68">
    <w:name w:val="tcnt2"/>
    <w:basedOn w:val="52"/>
    <w:uiPriority w:val="0"/>
  </w:style>
  <w:style w:type="character" w:customStyle="1" w:styleId="69">
    <w:name w:val="正文(首行缩进) Char Char"/>
    <w:link w:val="70"/>
    <w:uiPriority w:val="0"/>
    <w:rPr>
      <w:rFonts w:ascii="宋体" w:hAnsi="宋体"/>
      <w:spacing w:val="20"/>
      <w:kern w:val="24"/>
      <w:sz w:val="21"/>
      <w:szCs w:val="21"/>
      <w:lang w:val="en-IE" w:eastAsia="zh-CN" w:bidi="ar-SA"/>
    </w:rPr>
  </w:style>
  <w:style w:type="paragraph" w:customStyle="1" w:styleId="70">
    <w:name w:val="正文(首行缩进)"/>
    <w:link w:val="69"/>
    <w:uiPriority w:val="0"/>
    <w:pPr>
      <w:ind w:firstLine="500" w:firstLineChars="200"/>
      <w:jc w:val="both"/>
    </w:pPr>
    <w:rPr>
      <w:rFonts w:ascii="宋体" w:hAnsi="宋体"/>
      <w:spacing w:val="20"/>
      <w:kern w:val="24"/>
      <w:sz w:val="21"/>
      <w:szCs w:val="21"/>
      <w:lang w:val="en-IE" w:eastAsia="zh-CN" w:bidi="ar-SA"/>
    </w:rPr>
  </w:style>
  <w:style w:type="character" w:customStyle="1" w:styleId="71">
    <w:name w:val="zhou11"/>
    <w:uiPriority w:val="0"/>
    <w:rPr>
      <w:color w:val="000000"/>
      <w:sz w:val="28"/>
      <w:szCs w:val="28"/>
    </w:rPr>
  </w:style>
  <w:style w:type="character" w:customStyle="1" w:styleId="72">
    <w:name w:val="black11"/>
    <w:uiPriority w:val="0"/>
    <w:rPr>
      <w:color w:val="000000"/>
      <w:sz w:val="18"/>
      <w:szCs w:val="18"/>
    </w:rPr>
  </w:style>
  <w:style w:type="character" w:customStyle="1" w:styleId="73">
    <w:name w:val="unnamed31"/>
    <w:uiPriority w:val="0"/>
    <w:rPr>
      <w:color w:val="000066"/>
      <w:sz w:val="20"/>
      <w:szCs w:val="20"/>
    </w:rPr>
  </w:style>
  <w:style w:type="character" w:customStyle="1" w:styleId="74">
    <w:name w:val="para"/>
    <w:basedOn w:val="52"/>
    <w:uiPriority w:val="0"/>
  </w:style>
  <w:style w:type="character" w:customStyle="1" w:styleId="75">
    <w:name w:val="标题 3 Char Char"/>
    <w:uiPriority w:val="0"/>
    <w:rPr>
      <w:rFonts w:eastAsia="宋体"/>
      <w:b/>
      <w:bCs/>
      <w:kern w:val="2"/>
      <w:sz w:val="32"/>
      <w:szCs w:val="32"/>
      <w:lang w:val="en-US" w:eastAsia="zh-CN" w:bidi="ar-SA"/>
    </w:rPr>
  </w:style>
  <w:style w:type="character" w:customStyle="1" w:styleId="76">
    <w:name w:val="样式 粉红"/>
    <w:uiPriority w:val="0"/>
    <w:rPr>
      <w:color w:val="auto"/>
      <w:szCs w:val="21"/>
      <w:u w:val="none"/>
    </w:rPr>
  </w:style>
  <w:style w:type="character" w:customStyle="1" w:styleId="77">
    <w:name w:val="样式 标准正文 + 宋体 Char Char"/>
    <w:link w:val="78"/>
    <w:uiPriority w:val="0"/>
    <w:rPr>
      <w:rFonts w:ascii="宋体" w:hAnsi="宋体" w:eastAsia="宋体"/>
      <w:kern w:val="2"/>
      <w:sz w:val="24"/>
      <w:szCs w:val="24"/>
      <w:lang w:val="en-US" w:eastAsia="zh-CN" w:bidi="ar-SA"/>
    </w:rPr>
  </w:style>
  <w:style w:type="paragraph" w:customStyle="1" w:styleId="78">
    <w:name w:val="样式 标准正文 + 宋体"/>
    <w:basedOn w:val="1"/>
    <w:link w:val="77"/>
    <w:uiPriority w:val="0"/>
    <w:pPr>
      <w:spacing w:before="60" w:beforeLines="0" w:after="60" w:afterLines="0" w:line="360" w:lineRule="auto"/>
      <w:ind w:firstLine="482"/>
    </w:pPr>
    <w:rPr>
      <w:rFonts w:ascii="宋体" w:hAnsi="宋体"/>
      <w:sz w:val="24"/>
    </w:rPr>
  </w:style>
  <w:style w:type="character" w:customStyle="1" w:styleId="79">
    <w:name w:val="font61"/>
    <w:basedOn w:val="52"/>
    <w:uiPriority w:val="0"/>
    <w:rPr>
      <w:rFonts w:hint="eastAsia" w:ascii="宋体" w:hAnsi="宋体" w:eastAsia="宋体" w:cs="宋体"/>
      <w:color w:val="000000"/>
      <w:sz w:val="16"/>
      <w:szCs w:val="16"/>
      <w:u w:val="none"/>
    </w:rPr>
  </w:style>
  <w:style w:type="character" w:customStyle="1" w:styleId="80">
    <w:name w:val="font81"/>
    <w:basedOn w:val="52"/>
    <w:uiPriority w:val="0"/>
    <w:rPr>
      <w:rFonts w:hint="default" w:ascii="Tahoma" w:hAnsi="Tahoma" w:eastAsia="Tahoma" w:cs="Tahoma"/>
      <w:color w:val="000000"/>
      <w:sz w:val="16"/>
      <w:szCs w:val="16"/>
      <w:u w:val="none"/>
    </w:rPr>
  </w:style>
  <w:style w:type="character" w:customStyle="1" w:styleId="81">
    <w:name w:val="标题 2 Char Char"/>
    <w:uiPriority w:val="0"/>
    <w:rPr>
      <w:rFonts w:ascii="Arial" w:hAnsi="Arial" w:eastAsia="黑体"/>
      <w:b/>
      <w:bCs/>
      <w:kern w:val="2"/>
      <w:sz w:val="32"/>
      <w:szCs w:val="32"/>
      <w:lang w:val="en-US" w:eastAsia="zh-CN" w:bidi="ar-SA"/>
    </w:rPr>
  </w:style>
  <w:style w:type="character" w:customStyle="1" w:styleId="82">
    <w:name w:val="font161"/>
    <w:uiPriority w:val="0"/>
    <w:rPr>
      <w:b/>
      <w:bCs/>
      <w:sz w:val="32"/>
      <w:szCs w:val="32"/>
    </w:rPr>
  </w:style>
  <w:style w:type="character" w:customStyle="1" w:styleId="83">
    <w:name w:val="font91"/>
    <w:basedOn w:val="52"/>
    <w:uiPriority w:val="0"/>
    <w:rPr>
      <w:rFonts w:hint="default" w:ascii="Arial" w:hAnsi="Arial" w:cs="Arial"/>
      <w:sz w:val="16"/>
      <w:szCs w:val="16"/>
    </w:rPr>
  </w:style>
  <w:style w:type="character" w:customStyle="1" w:styleId="84">
    <w:name w:val="ft71"/>
    <w:basedOn w:val="52"/>
    <w:qFormat/>
    <w:uiPriority w:val="0"/>
  </w:style>
  <w:style w:type="character" w:customStyle="1" w:styleId="85">
    <w:name w:val="font31"/>
    <w:uiPriority w:val="0"/>
    <w:rPr>
      <w:rFonts w:hint="default" w:ascii="Arial" w:hAnsi="Arial" w:cs="Arial"/>
      <w:color w:val="C0C0C0"/>
      <w:sz w:val="18"/>
      <w:szCs w:val="18"/>
      <w:u w:val="none"/>
    </w:rPr>
  </w:style>
  <w:style w:type="character" w:customStyle="1" w:styleId="86">
    <w:name w:val="article1"/>
    <w:uiPriority w:val="0"/>
    <w:rPr>
      <w:sz w:val="30"/>
      <w:szCs w:val="30"/>
    </w:rPr>
  </w:style>
  <w:style w:type="character" w:customStyle="1" w:styleId="87">
    <w:name w:val="font41"/>
    <w:uiPriority w:val="0"/>
    <w:rPr>
      <w:rFonts w:hint="eastAsia" w:ascii="宋体" w:hAnsi="宋体" w:eastAsia="宋体"/>
      <w:color w:val="C0C0C0"/>
      <w:sz w:val="18"/>
      <w:szCs w:val="18"/>
      <w:u w:val="none"/>
    </w:rPr>
  </w:style>
  <w:style w:type="character" w:customStyle="1" w:styleId="88">
    <w:name w:val="apple-style-span"/>
    <w:basedOn w:val="52"/>
    <w:uiPriority w:val="0"/>
  </w:style>
  <w:style w:type="character" w:customStyle="1" w:styleId="89">
    <w:name w:val="font21"/>
    <w:uiPriority w:val="0"/>
    <w:rPr>
      <w:rFonts w:hint="eastAsia" w:ascii="宋体" w:hAnsi="宋体" w:eastAsia="宋体"/>
      <w:color w:val="000000"/>
      <w:sz w:val="20"/>
      <w:szCs w:val="20"/>
      <w:u w:val="none"/>
    </w:rPr>
  </w:style>
  <w:style w:type="paragraph" w:customStyle="1" w:styleId="90">
    <w:name w:val="表格"/>
    <w:basedOn w:val="1"/>
    <w:uiPriority w:val="0"/>
    <w:pPr>
      <w:spacing w:line="400" w:lineRule="atLeast"/>
    </w:pPr>
    <w:rPr>
      <w:b/>
      <w:bCs/>
      <w:color w:val="000000"/>
      <w:sz w:val="24"/>
    </w:rPr>
  </w:style>
  <w:style w:type="paragraph" w:customStyle="1" w:styleId="91">
    <w:name w:val="xl4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0"/>
      <w:szCs w:val="20"/>
    </w:rPr>
  </w:style>
  <w:style w:type="paragraph" w:customStyle="1" w:styleId="92">
    <w:name w:val="样式1"/>
    <w:basedOn w:val="3"/>
    <w:uiPriority w:val="0"/>
    <w:pPr>
      <w:widowControl/>
      <w:numPr>
        <w:ilvl w:val="0"/>
        <w:numId w:val="1"/>
      </w:numPr>
      <w:snapToGrid w:val="0"/>
      <w:spacing w:before="0" w:beforeLines="0" w:after="0" w:afterLines="0" w:line="360" w:lineRule="auto"/>
      <w:jc w:val="left"/>
      <w:textAlignment w:val="auto"/>
    </w:pPr>
    <w:rPr>
      <w:rFonts w:ascii="宋体" w:eastAsia="宋体"/>
      <w:color w:val="000000"/>
    </w:rPr>
  </w:style>
  <w:style w:type="paragraph" w:customStyle="1" w:styleId="93">
    <w:name w:val="_Style 28"/>
    <w:basedOn w:val="1"/>
    <w:uiPriority w:val="0"/>
    <w:rPr>
      <w:szCs w:val="21"/>
    </w:rPr>
  </w:style>
  <w:style w:type="paragraph" w:customStyle="1" w:styleId="94">
    <w:name w:val="È±Ê¡ÎÄ±¾"/>
    <w:basedOn w:val="1"/>
    <w:uiPriority w:val="0"/>
    <w:pPr>
      <w:widowControl/>
      <w:overflowPunct w:val="0"/>
      <w:autoSpaceDE w:val="0"/>
      <w:autoSpaceDN w:val="0"/>
      <w:adjustRightInd w:val="0"/>
      <w:spacing w:line="360" w:lineRule="auto"/>
      <w:textAlignment w:val="baseline"/>
    </w:pPr>
    <w:rPr>
      <w:kern w:val="0"/>
      <w:szCs w:val="20"/>
    </w:rPr>
  </w:style>
  <w:style w:type="paragraph" w:customStyle="1" w:styleId="95">
    <w:name w:val="Level2Bullet"/>
    <w:basedOn w:val="1"/>
    <w:uiPriority w:val="0"/>
    <w:pPr>
      <w:widowControl/>
      <w:numPr>
        <w:ilvl w:val="0"/>
        <w:numId w:val="0"/>
      </w:numPr>
      <w:tabs>
        <w:tab w:val="left" w:pos="3969"/>
        <w:tab w:val="left" w:pos="5954"/>
        <w:tab w:val="left" w:pos="7938"/>
      </w:tabs>
      <w:ind w:left="2268" w:hanging="283"/>
      <w:jc w:val="left"/>
    </w:pPr>
    <w:rPr>
      <w:rFonts w:ascii="Helv" w:hAnsi="Helv"/>
      <w:kern w:val="0"/>
      <w:sz w:val="20"/>
      <w:szCs w:val="20"/>
      <w:lang w:val="en-GB"/>
    </w:rPr>
  </w:style>
  <w:style w:type="paragraph" w:customStyle="1" w:styleId="96">
    <w:name w:val="样式 左侧:  0 厘米 悬挂缩进: 2.5 字符"/>
    <w:basedOn w:val="1"/>
    <w:uiPriority w:val="0"/>
    <w:pPr>
      <w:ind w:left="525" w:hanging="525" w:hangingChars="250"/>
    </w:pPr>
    <w:rPr>
      <w:szCs w:val="20"/>
    </w:rPr>
  </w:style>
  <w:style w:type="paragraph" w:customStyle="1" w:styleId="97">
    <w:name w:val="xl3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98">
    <w:name w:val="样式 标题 2 + Times New Roman 四号 非加粗 段前: 5 磅 段后: 0 磅 行距: 固定值 20..."/>
    <w:basedOn w:val="3"/>
    <w:uiPriority w:val="0"/>
    <w:pPr>
      <w:adjustRightInd/>
      <w:spacing w:before="100" w:beforeLines="0" w:after="0" w:afterLines="0" w:line="400" w:lineRule="exact"/>
      <w:textAlignment w:val="auto"/>
    </w:pPr>
    <w:rPr>
      <w:rFonts w:ascii="Times New Roman" w:hAnsi="Times New Roman" w:cs="宋体"/>
      <w:b w:val="0"/>
      <w:kern w:val="2"/>
      <w:sz w:val="28"/>
    </w:rPr>
  </w:style>
  <w:style w:type="paragraph" w:customStyle="1" w:styleId="99">
    <w:name w:val=" Char Char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00">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1">
    <w:name w:val=" Char2"/>
    <w:basedOn w:val="1"/>
    <w:uiPriority w:val="0"/>
    <w:pPr>
      <w:adjustRightInd w:val="0"/>
      <w:spacing w:line="360" w:lineRule="auto"/>
    </w:pPr>
    <w:rPr>
      <w:kern w:val="0"/>
      <w:sz w:val="24"/>
      <w:szCs w:val="20"/>
    </w:rPr>
  </w:style>
  <w:style w:type="paragraph" w:customStyle="1" w:styleId="102">
    <w:name w:val="正文1"/>
    <w:basedOn w:val="1"/>
    <w:uiPriority w:val="0"/>
    <w:pPr>
      <w:spacing w:after="120" w:afterLines="0" w:line="360" w:lineRule="auto"/>
    </w:pPr>
    <w:rPr>
      <w:rFonts w:ascii="Arial" w:hAnsi="Arial"/>
      <w:sz w:val="24"/>
      <w:szCs w:val="20"/>
    </w:rPr>
  </w:style>
  <w:style w:type="paragraph" w:customStyle="1" w:styleId="103">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04">
    <w:name w:val="样式 标题 3 + (中文) 黑体 小四 非加粗 段前: 7.8 磅 段后: 0 磅 行距: 固定值 20 磅"/>
    <w:basedOn w:val="4"/>
    <w:uiPriority w:val="0"/>
    <w:pPr>
      <w:adjustRightInd/>
      <w:spacing w:before="0" w:beforeLines="0" w:after="0" w:afterLines="0" w:line="400" w:lineRule="exact"/>
      <w:textAlignment w:val="auto"/>
    </w:pPr>
    <w:rPr>
      <w:rFonts w:eastAsia="黑体"/>
      <w:b w:val="0"/>
      <w:kern w:val="2"/>
      <w:sz w:val="24"/>
    </w:rPr>
  </w:style>
  <w:style w:type="paragraph" w:customStyle="1" w:styleId="105">
    <w:name w:val="font7"/>
    <w:basedOn w:val="1"/>
    <w:uiPriority w:val="0"/>
    <w:pPr>
      <w:widowControl/>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106">
    <w:name w:val="xl27"/>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07">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08">
    <w:name w:val="xl4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09">
    <w:name w:val="font5"/>
    <w:basedOn w:val="1"/>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10">
    <w:name w:val="xl32"/>
    <w:basedOn w:val="1"/>
    <w:uiPriority w:val="0"/>
    <w:pPr>
      <w:widowControl/>
      <w:spacing w:before="100" w:beforeLines="0" w:beforeAutospacing="1" w:after="100" w:afterLines="0" w:afterAutospacing="1"/>
      <w:jc w:val="center"/>
      <w:textAlignment w:val="center"/>
    </w:pPr>
    <w:rPr>
      <w:rFonts w:hint="eastAsia" w:ascii="隶书" w:hAnsi="宋体" w:eastAsia="隶书"/>
      <w:kern w:val="0"/>
      <w:sz w:val="72"/>
      <w:szCs w:val="72"/>
    </w:rPr>
  </w:style>
  <w:style w:type="paragraph" w:customStyle="1" w:styleId="111">
    <w:name w:val="xl2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32"/>
      <w:szCs w:val="32"/>
    </w:rPr>
  </w:style>
  <w:style w:type="paragraph" w:customStyle="1" w:styleId="112">
    <w:name w:val="金安桥正文"/>
    <w:basedOn w:val="20"/>
    <w:uiPriority w:val="0"/>
    <w:pPr>
      <w:adjustRightInd w:val="0"/>
      <w:spacing w:line="300" w:lineRule="auto"/>
      <w:ind w:firstLine="200" w:firstLineChars="200"/>
      <w:jc w:val="left"/>
    </w:pPr>
    <w:rPr>
      <w:kern w:val="0"/>
      <w:szCs w:val="20"/>
    </w:rPr>
  </w:style>
  <w:style w:type="paragraph" w:customStyle="1" w:styleId="113">
    <w:name w:val="List Paragraph"/>
    <w:basedOn w:val="1"/>
    <w:uiPriority w:val="0"/>
    <w:pPr>
      <w:ind w:firstLine="420" w:firstLineChars="200"/>
    </w:pPr>
    <w:rPr>
      <w:rFonts w:ascii="Calibri" w:hAnsi="Calibri"/>
      <w:szCs w:val="22"/>
    </w:rPr>
  </w:style>
  <w:style w:type="paragraph" w:customStyle="1" w:styleId="114">
    <w:name w:val="ÆÕÍ¨"/>
    <w:basedOn w:val="1"/>
    <w:uiPriority w:val="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115">
    <w:name w:val="xl46"/>
    <w:basedOn w:val="1"/>
    <w:uiPriority w:val="0"/>
    <w:pPr>
      <w:widowControl/>
      <w:pBdr>
        <w:left w:val="single" w:color="auto" w:sz="4" w:space="0"/>
        <w:right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20"/>
      <w:szCs w:val="20"/>
    </w:rPr>
  </w:style>
  <w:style w:type="paragraph" w:customStyle="1" w:styleId="116">
    <w:name w:val="xl29"/>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17">
    <w:name w:val="font8"/>
    <w:basedOn w:val="1"/>
    <w:uiPriority w:val="0"/>
    <w:pPr>
      <w:widowControl/>
      <w:spacing w:before="100" w:beforeLines="0" w:beforeAutospacing="1" w:after="100" w:afterLines="0" w:afterAutospacing="1"/>
      <w:jc w:val="left"/>
    </w:pPr>
    <w:rPr>
      <w:rFonts w:hint="eastAsia" w:ascii="仿宋_GB2312" w:hAnsi="宋体" w:eastAsia="仿宋_GB2312"/>
      <w:kern w:val="0"/>
      <w:sz w:val="24"/>
    </w:rPr>
  </w:style>
  <w:style w:type="paragraph" w:customStyle="1" w:styleId="118">
    <w:name w:val="xl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119">
    <w:name w:val="表头"/>
    <w:basedOn w:val="14"/>
    <w:uiPriority w:val="0"/>
    <w:pPr>
      <w:keepNext/>
      <w:keepLines/>
      <w:widowControl/>
      <w:spacing w:before="120" w:beforeLines="0" w:after="120" w:afterLines="0" w:line="300" w:lineRule="auto"/>
      <w:jc w:val="center"/>
      <w:textAlignment w:val="baseline"/>
    </w:pPr>
    <w:rPr>
      <w:rFonts w:cs="Times New Roman"/>
      <w:kern w:val="0"/>
      <w:sz w:val="21"/>
      <w:lang/>
    </w:rPr>
  </w:style>
  <w:style w:type="paragraph" w:customStyle="1" w:styleId="120">
    <w:name w:val="样式 标题 1 + 黑体 三号 非加粗 居中 段前: 6 磅 段后: 6 磅 行距: 固定值 20 磅"/>
    <w:basedOn w:val="2"/>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1">
    <w:name w:val="±íÉí"/>
    <w:basedOn w:val="1"/>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22">
    <w:name w:val="标准标志"/>
    <w:next w:val="1"/>
    <w:uiPriority w:val="0"/>
    <w:pPr>
      <w:shd w:val="solid" w:color="FFFFFF" w:fill="FFFFFF"/>
      <w:spacing w:line="0" w:lineRule="atLeast"/>
      <w:jc w:val="right"/>
    </w:pPr>
    <w:rPr>
      <w:b/>
      <w:w w:val="130"/>
      <w:sz w:val="96"/>
      <w:lang w:val="en-US" w:eastAsia="zh-CN" w:bidi="ar-SA"/>
    </w:rPr>
  </w:style>
  <w:style w:type="paragraph" w:customStyle="1" w:styleId="123">
    <w:name w:val="high15"/>
    <w:basedOn w:val="1"/>
    <w:uiPriority w:val="0"/>
    <w:pPr>
      <w:widowControl/>
      <w:spacing w:before="100" w:beforeLines="0" w:beforeAutospacing="1" w:after="100" w:afterLines="0" w:afterAutospacing="1" w:line="300" w:lineRule="atLeast"/>
      <w:jc w:val="left"/>
    </w:pPr>
    <w:rPr>
      <w:rFonts w:ascii="宋体" w:cs="宋体"/>
      <w:kern w:val="0"/>
      <w:sz w:val="18"/>
      <w:szCs w:val="18"/>
    </w:rPr>
  </w:style>
  <w:style w:type="paragraph" w:customStyle="1" w:styleId="124">
    <w:name w:val="xl28"/>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25">
    <w:name w:val="xl31"/>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26">
    <w:name w:val="1册标题2"/>
    <w:basedOn w:val="1"/>
    <w:next w:val="1"/>
    <w:uiPriority w:val="0"/>
    <w:pPr>
      <w:adjustRightInd w:val="0"/>
      <w:spacing w:before="156" w:beforeLines="50" w:after="156" w:afterLines="50" w:line="300" w:lineRule="auto"/>
      <w:jc w:val="center"/>
      <w:textAlignment w:val="baseline"/>
      <w:outlineLvl w:val="1"/>
    </w:pPr>
    <w:rPr>
      <w:rFonts w:ascii="Arial" w:hAnsi="Arial" w:eastAsia="黑体"/>
      <w:bCs/>
      <w:kern w:val="0"/>
      <w:sz w:val="32"/>
    </w:rPr>
  </w:style>
  <w:style w:type="paragraph" w:customStyle="1" w:styleId="127">
    <w:name w:val="font6"/>
    <w:basedOn w:val="1"/>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28">
    <w:name w:val="tabletext"/>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9">
    <w:name w:val="xl4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32"/>
      <w:szCs w:val="32"/>
    </w:rPr>
  </w:style>
  <w:style w:type="paragraph" w:customStyle="1" w:styleId="130">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131">
    <w:name w:val="Char Char Char Char"/>
    <w:basedOn w:val="15"/>
    <w:uiPriority w:val="0"/>
  </w:style>
  <w:style w:type="paragraph" w:customStyle="1" w:styleId="132">
    <w:name w:val="xl39"/>
    <w:basedOn w:val="1"/>
    <w:uiPriority w:val="0"/>
    <w:pPr>
      <w:widowControl/>
      <w:spacing w:before="100" w:beforeLines="0" w:beforeAutospacing="1" w:after="100" w:afterLines="0" w:afterAutospacing="1"/>
      <w:jc w:val="center"/>
    </w:pPr>
    <w:rPr>
      <w:rFonts w:ascii="宋体" w:hAnsi="宋体"/>
      <w:kern w:val="0"/>
      <w:sz w:val="24"/>
    </w:rPr>
  </w:style>
  <w:style w:type="paragraph" w:customStyle="1" w:styleId="133">
    <w:name w:val="xl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34">
    <w:name w:val="Graphics"/>
    <w:basedOn w:val="1"/>
    <w:uiPriority w:val="0"/>
    <w:pPr>
      <w:widowControl/>
      <w:spacing w:before="120" w:beforeLines="0"/>
      <w:jc w:val="left"/>
    </w:pPr>
    <w:rPr>
      <w:color w:val="000000"/>
      <w:kern w:val="0"/>
      <w:sz w:val="20"/>
      <w:szCs w:val="20"/>
      <w:lang w:eastAsia="en-US"/>
    </w:rPr>
  </w:style>
  <w:style w:type="paragraph" w:customStyle="1" w:styleId="135">
    <w:name w:val="图例"/>
    <w:basedOn w:val="1"/>
    <w:uiPriority w:val="0"/>
    <w:pPr>
      <w:spacing w:before="120" w:beforeLines="0" w:after="120" w:afterLines="0" w:line="360" w:lineRule="auto"/>
      <w:jc w:val="center"/>
    </w:pPr>
    <w:rPr>
      <w:rFonts w:eastAsia="仿宋_GB2312"/>
      <w:b/>
      <w:sz w:val="24"/>
    </w:rPr>
  </w:style>
  <w:style w:type="paragraph" w:customStyle="1" w:styleId="136">
    <w:name w:val="xl4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仿宋_GB2312" w:hAnsi="宋体" w:eastAsia="仿宋_GB2312" w:cs="宋体"/>
      <w:kern w:val="0"/>
      <w:sz w:val="24"/>
    </w:rPr>
  </w:style>
  <w:style w:type="paragraph" w:customStyle="1" w:styleId="137">
    <w:name w:val="1"/>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138">
    <w:name w:val="WPS Plain"/>
    <w:uiPriority w:val="0"/>
    <w:rPr>
      <w:lang w:val="en-US" w:eastAsia="zh-CN" w:bidi="ar-SA"/>
    </w:rPr>
  </w:style>
  <w:style w:type="paragraph" w:customStyle="1" w:styleId="139">
    <w:name w:val="xl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140">
    <w:name w:val="font10"/>
    <w:basedOn w:val="1"/>
    <w:uiPriority w:val="0"/>
    <w:pPr>
      <w:widowControl/>
      <w:spacing w:before="100" w:beforeLines="0" w:beforeAutospacing="1" w:after="100" w:afterLines="0" w:afterAutospacing="1"/>
      <w:jc w:val="left"/>
    </w:pPr>
    <w:rPr>
      <w:kern w:val="0"/>
      <w:sz w:val="20"/>
      <w:szCs w:val="20"/>
    </w:rPr>
  </w:style>
  <w:style w:type="paragraph" w:customStyle="1" w:styleId="141">
    <w:name w:val="Table Paragraph"/>
    <w:basedOn w:val="1"/>
    <w:qFormat/>
    <w:uiPriority w:val="1"/>
  </w:style>
  <w:style w:type="paragraph" w:customStyle="1" w:styleId="142">
    <w:name w:val="偶数页篇眉"/>
    <w:basedOn w:val="31"/>
    <w:uiPriority w:val="0"/>
    <w:pPr>
      <w:keepLines/>
      <w:pBdr>
        <w:bottom w:val="none" w:color="auto" w:sz="0" w:space="0"/>
      </w:pBdr>
      <w:tabs>
        <w:tab w:val="right" w:pos="0"/>
        <w:tab w:val="center" w:pos="7200"/>
        <w:tab w:val="right" w:pos="14400"/>
        <w:tab w:val="clear" w:pos="4153"/>
        <w:tab w:val="clear" w:pos="8306"/>
      </w:tabs>
      <w:snapToGrid/>
      <w:jc w:val="right"/>
    </w:pPr>
    <w:rPr>
      <w:spacing w:val="80"/>
      <w:sz w:val="21"/>
      <w:szCs w:val="24"/>
    </w:rPr>
  </w:style>
  <w:style w:type="paragraph" w:customStyle="1" w:styleId="143">
    <w:name w:val=" Char Char Char"/>
    <w:basedOn w:val="1"/>
    <w:uiPriority w:val="0"/>
    <w:pPr>
      <w:adjustRightInd w:val="0"/>
      <w:spacing w:line="360" w:lineRule="auto"/>
    </w:pPr>
    <w:rPr>
      <w:kern w:val="0"/>
      <w:sz w:val="24"/>
      <w:szCs w:val="20"/>
    </w:rPr>
  </w:style>
  <w:style w:type="paragraph" w:customStyle="1" w:styleId="144">
    <w:name w:val="table"/>
    <w:basedOn w:val="1"/>
    <w:uiPriority w:val="0"/>
    <w:pPr>
      <w:widowControl/>
      <w:overflowPunct w:val="0"/>
      <w:autoSpaceDE w:val="0"/>
      <w:autoSpaceDN w:val="0"/>
      <w:adjustRightInd w:val="0"/>
      <w:spacing w:before="60" w:beforeLines="0" w:after="60" w:afterLines="0"/>
      <w:jc w:val="center"/>
      <w:textAlignment w:val="baseline"/>
    </w:pPr>
    <w:rPr>
      <w:rFonts w:ascii="仿宋体" w:eastAsia="仿宋体"/>
      <w:kern w:val="0"/>
      <w:sz w:val="24"/>
      <w:szCs w:val="20"/>
      <w:lang/>
    </w:rPr>
  </w:style>
  <w:style w:type="paragraph" w:customStyle="1" w:styleId="145">
    <w:name w:val="需求书2"/>
    <w:basedOn w:val="1"/>
    <w:uiPriority w:val="0"/>
    <w:pPr>
      <w:tabs>
        <w:tab w:val="left" w:pos="630"/>
      </w:tabs>
      <w:spacing w:line="360" w:lineRule="auto"/>
    </w:pPr>
    <w:rPr>
      <w:rFonts w:ascii="宋体"/>
      <w:b/>
      <w:sz w:val="24"/>
    </w:rPr>
  </w:style>
  <w:style w:type="paragraph" w:customStyle="1" w:styleId="146">
    <w:name w:val="XW正文"/>
    <w:basedOn w:val="20"/>
    <w:uiPriority w:val="0"/>
    <w:pPr>
      <w:adjustRightInd w:val="0"/>
      <w:snapToGrid w:val="0"/>
      <w:spacing w:line="300" w:lineRule="auto"/>
      <w:ind w:firstLine="520" w:firstLineChars="200"/>
      <w:jc w:val="left"/>
    </w:pPr>
    <w:rPr>
      <w:kern w:val="0"/>
      <w:sz w:val="21"/>
    </w:rPr>
  </w:style>
  <w:style w:type="paragraph" w:customStyle="1" w:styleId="147">
    <w:name w:val=" Char1 Char Char Char1 Char Char Char Char Char Char Char Char Char"/>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148">
    <w:name w:val="font11"/>
    <w:basedOn w:val="1"/>
    <w:uiPriority w:val="0"/>
    <w:pPr>
      <w:widowControl/>
      <w:spacing w:before="100" w:beforeLines="0" w:beforeAutospacing="1" w:after="100" w:afterLines="0" w:afterAutospacing="1"/>
      <w:jc w:val="left"/>
    </w:pPr>
    <w:rPr>
      <w:rFonts w:hint="eastAsia" w:ascii="宋体" w:hAnsi="宋体"/>
      <w:kern w:val="0"/>
      <w:sz w:val="20"/>
      <w:szCs w:val="20"/>
    </w:rPr>
  </w:style>
  <w:style w:type="paragraph" w:customStyle="1" w:styleId="149">
    <w:name w:val="xl33"/>
    <w:basedOn w:val="1"/>
    <w:uiPriority w:val="0"/>
    <w:pPr>
      <w:widowControl/>
      <w:pBdr>
        <w:bottom w:val="single" w:color="auto" w:sz="4" w:space="0"/>
      </w:pBdr>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150">
    <w:name w:val="目录"/>
    <w:basedOn w:val="1"/>
    <w:uiPriority w:val="0"/>
    <w:pPr>
      <w:widowControl/>
      <w:spacing w:line="480" w:lineRule="auto"/>
      <w:jc w:val="center"/>
    </w:pPr>
    <w:rPr>
      <w:rFonts w:ascii="宋体"/>
      <w:b/>
      <w:kern w:val="0"/>
      <w:sz w:val="24"/>
      <w:szCs w:val="20"/>
      <w:lang/>
    </w:rPr>
  </w:style>
  <w:style w:type="paragraph" w:customStyle="1" w:styleId="151">
    <w:name w:val="p0"/>
    <w:basedOn w:val="1"/>
    <w:uiPriority w:val="0"/>
    <w:pPr>
      <w:widowControl/>
    </w:pPr>
    <w:rPr>
      <w:kern w:val="0"/>
      <w:szCs w:val="21"/>
    </w:rPr>
  </w:style>
  <w:style w:type="paragraph" w:customStyle="1" w:styleId="152">
    <w:name w:val="xl3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32"/>
      <w:szCs w:val="32"/>
    </w:rPr>
  </w:style>
  <w:style w:type="paragraph" w:customStyle="1" w:styleId="153">
    <w:name w:val="xl43"/>
    <w:basedOn w:val="1"/>
    <w:uiPriority w:val="0"/>
    <w:pPr>
      <w:widowControl/>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54">
    <w:name w:val="xl37"/>
    <w:basedOn w:val="1"/>
    <w:uiPriority w:val="0"/>
    <w:pPr>
      <w:widowControl/>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55">
    <w:name w:val=" Char1 Char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styleId="15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14 Char"/>
    <w:basedOn w:val="1"/>
    <w:uiPriority w:val="0"/>
    <w:pPr>
      <w:widowControl/>
      <w:spacing w:after="160" w:afterLines="0" w:line="240" w:lineRule="exact"/>
      <w:jc w:val="left"/>
    </w:pPr>
    <w:rPr>
      <w:rFonts w:ascii="Verdana" w:hAnsi="Verdana" w:eastAsia="仿宋_GB2312"/>
      <w:kern w:val="0"/>
      <w:sz w:val="30"/>
      <w:szCs w:val="30"/>
      <w:lang w:eastAsia="en-US"/>
    </w:rPr>
  </w:style>
  <w:style w:type="paragraph" w:customStyle="1" w:styleId="158">
    <w:name w:val="?y??"/>
    <w:uiPriority w:val="0"/>
    <w:pPr>
      <w:widowControl w:val="0"/>
      <w:overflowPunct w:val="0"/>
      <w:autoSpaceDE w:val="0"/>
      <w:autoSpaceDN w:val="0"/>
      <w:adjustRightInd w:val="0"/>
      <w:spacing w:line="357" w:lineRule="atLeast"/>
      <w:jc w:val="both"/>
      <w:textAlignment w:val="baseline"/>
    </w:pPr>
    <w:rPr>
      <w:color w:val="000000"/>
      <w:sz w:val="21"/>
      <w:lang w:val="en-US" w:eastAsia="zh-CN" w:bidi="ar-SA"/>
    </w:rPr>
  </w:style>
  <w:style w:type="paragraph" w:customStyle="1" w:styleId="159">
    <w:name w:val="缺省文本"/>
    <w:basedOn w:val="1"/>
    <w:uiPriority w:val="0"/>
    <w:pPr>
      <w:autoSpaceDE w:val="0"/>
      <w:autoSpaceDN w:val="0"/>
      <w:adjustRightInd w:val="0"/>
      <w:jc w:val="left"/>
    </w:pPr>
    <w:rPr>
      <w:kern w:val="0"/>
      <w:sz w:val="24"/>
      <w:szCs w:val="20"/>
    </w:rPr>
  </w:style>
  <w:style w:type="paragraph" w:styleId="160">
    <w:name w:val="List Paragraph"/>
    <w:basedOn w:val="1"/>
    <w:qFormat/>
    <w:uiPriority w:val="0"/>
    <w:pPr>
      <w:ind w:firstLine="420" w:firstLineChars="200"/>
    </w:pPr>
    <w:rPr>
      <w:rFonts w:ascii="Calibri" w:hAnsi="Calibri"/>
      <w:szCs w:val="22"/>
    </w:rPr>
  </w:style>
  <w:style w:type="paragraph" w:customStyle="1" w:styleId="161">
    <w:name w:val="xl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162">
    <w:name w:val="font9"/>
    <w:basedOn w:val="1"/>
    <w:uiPriority w:val="0"/>
    <w:pPr>
      <w:widowControl/>
      <w:spacing w:before="100" w:beforeLines="0" w:beforeAutospacing="1" w:after="100" w:afterLines="0" w:afterAutospacing="1"/>
      <w:jc w:val="left"/>
    </w:pPr>
    <w:rPr>
      <w:kern w:val="0"/>
      <w:sz w:val="24"/>
    </w:rPr>
  </w:style>
  <w:style w:type="paragraph" w:customStyle="1" w:styleId="163">
    <w:name w:val=" Char1"/>
    <w:basedOn w:val="1"/>
    <w:uiPriority w:val="0"/>
    <w:pPr>
      <w:spacing w:line="360" w:lineRule="auto"/>
      <w:ind w:left="559" w:leftChars="266"/>
      <w:jc w:val="left"/>
    </w:pPr>
    <w:rPr>
      <w:rFonts w:ascii="ˎ̥" w:hAnsi="ˎ̥" w:cs="宋体"/>
      <w:kern w:val="0"/>
      <w:sz w:val="24"/>
    </w:rPr>
  </w:style>
  <w:style w:type="paragraph" w:customStyle="1" w:styleId="164">
    <w:name w:val="列出段落1"/>
    <w:basedOn w:val="1"/>
    <w:uiPriority w:val="0"/>
    <w:pPr>
      <w:ind w:firstLine="420" w:firstLineChars="200"/>
    </w:pPr>
    <w:rPr>
      <w:rFonts w:ascii="Calibri" w:hAnsi="Calibri"/>
      <w:szCs w:val="22"/>
    </w:rPr>
  </w:style>
  <w:style w:type="paragraph" w:customStyle="1" w:styleId="165">
    <w:name w:val=" Char Char1"/>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166">
    <w:name w:val="font0"/>
    <w:basedOn w:val="1"/>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67">
    <w:name w:val="表格文字"/>
    <w:basedOn w:val="1"/>
    <w:uiPriority w:val="0"/>
    <w:pPr>
      <w:adjustRightInd w:val="0"/>
      <w:spacing w:line="420" w:lineRule="atLeast"/>
      <w:jc w:val="left"/>
      <w:textAlignment w:val="baseline"/>
    </w:pPr>
    <w:rPr>
      <w:kern w:val="0"/>
      <w:szCs w:val="20"/>
    </w:rPr>
  </w:style>
  <w:style w:type="paragraph" w:customStyle="1" w:styleId="168">
    <w:name w:val="xl30"/>
    <w:basedOn w:val="1"/>
    <w:uiPriority w:val="0"/>
    <w:pPr>
      <w:widowControl/>
      <w:pBdr>
        <w:top w:val="single" w:color="auto" w:sz="4" w:space="0"/>
        <w:bottom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69">
    <w:name w:val="2册标题2"/>
    <w:basedOn w:val="1"/>
    <w:next w:val="1"/>
    <w:uiPriority w:val="0"/>
    <w:pPr>
      <w:spacing w:before="156" w:beforeLines="50" w:after="156" w:afterLines="50"/>
      <w:ind w:left="-175" w:leftChars="-85" w:hanging="3" w:hangingChars="1"/>
      <w:outlineLvl w:val="1"/>
    </w:pPr>
    <w:rPr>
      <w:rFonts w:ascii="Arial" w:hAnsi="Arial" w:eastAsia="黑体" w:cs="Arial"/>
      <w:sz w:val="30"/>
      <w:szCs w:val="30"/>
    </w:rPr>
  </w:style>
  <w:style w:type="paragraph" w:customStyle="1" w:styleId="170">
    <w:name w:val="块引用"/>
    <w:basedOn w:val="1"/>
    <w:uiPriority w:val="0"/>
    <w:pPr>
      <w:keepLines/>
      <w:ind w:left="360" w:right="360"/>
      <w:jc w:val="center"/>
    </w:pPr>
    <w:rPr>
      <w:i/>
    </w:rPr>
  </w:style>
  <w:style w:type="paragraph" w:customStyle="1" w:styleId="171">
    <w:name w:val=" Char"/>
    <w:basedOn w:val="1"/>
    <w:uiPriority w:val="0"/>
    <w:rPr>
      <w:rFonts w:ascii="Tahoma" w:hAnsi="Tahoma"/>
      <w:sz w:val="24"/>
      <w:szCs w:val="20"/>
    </w:rPr>
  </w:style>
  <w:style w:type="paragraph" w:customStyle="1" w:styleId="172">
    <w:name w:val="默认段落字体 Para Char Char Char Char Char Char Char Char Char Char"/>
    <w:basedOn w:val="1"/>
    <w:uiPriority w:val="0"/>
    <w:rPr>
      <w:rFonts w:ascii="Tahoma" w:hAnsi="Tahoma"/>
      <w:sz w:val="24"/>
      <w:szCs w:val="20"/>
    </w:rPr>
  </w:style>
  <w:style w:type="paragraph" w:customStyle="1" w:styleId="173">
    <w:name w:val="Char"/>
    <w:basedOn w:val="1"/>
    <w:uiPriority w:val="0"/>
    <w:rPr>
      <w:szCs w:val="20"/>
    </w:rPr>
  </w:style>
  <w:style w:type="paragraph" w:customStyle="1" w:styleId="174">
    <w:name w:val="xl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75">
    <w:name w:val="black1"/>
    <w:basedOn w:val="1"/>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176">
    <w:name w:val="保留正文"/>
    <w:basedOn w:val="19"/>
    <w:uiPriority w:val="0"/>
    <w:pPr>
      <w:keepNext/>
      <w:tabs>
        <w:tab w:val="clear" w:pos="562"/>
        <w:tab w:val="clear" w:pos="3372"/>
        <w:tab w:val="clear" w:pos="3653"/>
      </w:tabs>
      <w:spacing w:after="160" w:afterLines="0"/>
    </w:pPr>
    <w:rPr>
      <w:sz w:val="21"/>
    </w:rPr>
  </w:style>
  <w:style w:type="paragraph" w:customStyle="1" w:styleId="17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78">
    <w:name w:val="文档正文"/>
    <w:basedOn w:val="1"/>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79">
    <w:name w:val="style1 style2"/>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80">
    <w:name w:val="List Paragraph1"/>
    <w:basedOn w:val="1"/>
    <w:qFormat/>
    <w:uiPriority w:val="0"/>
    <w:pPr>
      <w:tabs>
        <w:tab w:val="right" w:pos="-2120"/>
      </w:tabs>
      <w:adjustRightInd w:val="0"/>
      <w:spacing w:line="312" w:lineRule="atLeast"/>
      <w:ind w:firstLine="200" w:firstLineChars="200"/>
      <w:textAlignment w:val="baseline"/>
    </w:pPr>
    <w:rPr>
      <w:rFonts w:eastAsia="仿宋_GB2312"/>
      <w:kern w:val="0"/>
      <w:sz w:val="28"/>
      <w:szCs w:val="20"/>
    </w:rPr>
  </w:style>
  <w:style w:type="paragraph" w:customStyle="1" w:styleId="181">
    <w:name w:val="!我的正文 Ctr+Q"/>
    <w:basedOn w:val="1"/>
    <w:qFormat/>
    <w:uiPriority w:val="0"/>
    <w:pPr>
      <w:adjustRightInd w:val="0"/>
      <w:snapToGrid w:val="0"/>
      <w:spacing w:line="360" w:lineRule="auto"/>
      <w:ind w:firstLine="480" w:firstLineChars="200"/>
    </w:pPr>
    <w:rPr>
      <w:rFonts w:ascii="Arial" w:hAnsi="Arial" w:eastAsia="宋体" w:cs="Times New Roman"/>
      <w:sz w:val="24"/>
      <w:szCs w:val="21"/>
    </w:rPr>
  </w:style>
  <w:style w:type="table" w:customStyle="1" w:styleId="182">
    <w:name w:val="Table Normal"/>
    <w:qFormat/>
    <w:uiPriority w:val="0"/>
    <w:rPr>
      <w:rFonts w:ascii="Times New Roman" w:hAnsi="Times New Roman" w:eastAsia="宋体" w:cs="Times New Roman"/>
      <w:kern w:val="0"/>
      <w:sz w:val="20"/>
      <w:szCs w:val="20"/>
    </w:rPr>
    <w:tblPr>
      <w:tblStyle w:val="50"/>
      <w:tblCellMar>
        <w:top w:w="0" w:type="dxa"/>
        <w:left w:w="0" w:type="dxa"/>
        <w:bottom w:w="0" w:type="dxa"/>
        <w:right w:w="0" w:type="dxa"/>
      </w:tblCellMar>
    </w:tblPr>
  </w:style>
  <w:style w:type="paragraph" w:customStyle="1" w:styleId="183">
    <w:name w:val="标题 5（有编号）（绿盟科技）"/>
    <w:basedOn w:val="1"/>
    <w:next w:val="184"/>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8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85">
    <w:name w:val="1标题4"/>
    <w:basedOn w:val="1"/>
    <w:qFormat/>
    <w:uiPriority w:val="0"/>
    <w:pPr>
      <w:keepNext/>
      <w:keepLines/>
      <w:spacing w:before="100" w:beforeAutospacing="1" w:after="100" w:afterAutospacing="1" w:line="360" w:lineRule="auto"/>
      <w:ind w:left="853" w:hanging="853" w:hangingChars="284"/>
      <w:jc w:val="left"/>
      <w:outlineLvl w:val="3"/>
    </w:pPr>
    <w:rPr>
      <w:rFonts w:ascii="黑体" w:hAnsi="宋体" w:eastAsia="黑体"/>
      <w:b/>
      <w:sz w:val="30"/>
    </w:rPr>
  </w:style>
  <w:style w:type="paragraph" w:customStyle="1" w:styleId="18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Times New Roman"/>
      <w:color w:val="000000"/>
      <w:kern w:val="2"/>
      <w:sz w:val="21"/>
      <w:szCs w:val="21"/>
      <w:lang w:val="en-US" w:eastAsia="zh-CN" w:bidi="ar-SA"/>
    </w:rPr>
  </w:style>
  <w:style w:type="paragraph" w:customStyle="1" w:styleId="187">
    <w:name w:val="default"/>
    <w:basedOn w:val="1"/>
    <w:qFormat/>
    <w:uiPriority w:val="0"/>
    <w:pPr>
      <w:spacing w:line="360" w:lineRule="auto"/>
    </w:pPr>
    <w:rPr>
      <w:rFonts w:ascii="Arial" w:hAnsi="Arial" w:cs="Arial"/>
      <w:sz w:val="20"/>
    </w:rPr>
  </w:style>
  <w:style w:type="paragraph" w:customStyle="1" w:styleId="188">
    <w:name w:val="WPSOffice手动目录 1"/>
    <w:uiPriority w:val="0"/>
    <w:pPr>
      <w:ind w:leftChars="0"/>
    </w:pPr>
    <w:rPr>
      <w:sz w:val="20"/>
      <w:szCs w:val="20"/>
    </w:rPr>
  </w:style>
  <w:style w:type="paragraph" w:customStyle="1" w:styleId="189">
    <w:name w:val="WPSOffice手动目录 2"/>
    <w:uiPriority w:val="0"/>
    <w:pPr>
      <w:ind w:leftChars="200"/>
    </w:pPr>
    <w:rPr>
      <w:sz w:val="20"/>
      <w:szCs w:val="20"/>
    </w:rPr>
  </w:style>
  <w:style w:type="paragraph" w:customStyle="1" w:styleId="190">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191">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192">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193">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194">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character" w:customStyle="1" w:styleId="195">
    <w:name w:val="font51"/>
    <w:basedOn w:val="52"/>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84</Pages>
  <Words>9455</Words>
  <Characters>10400</Characters>
  <Lines>1</Lines>
  <Paragraphs>1</Paragraphs>
  <TotalTime>0</TotalTime>
  <ScaleCrop>false</ScaleCrop>
  <LinksUpToDate>false</LinksUpToDate>
  <CharactersWithSpaces>10755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2016-10-24T10:33:00Z</dcterms:created>
  <dc:creator>YlmF</dc:creator>
  <cp:lastModifiedBy>WPS_1489729211</cp:lastModifiedBy>
  <cp:lastPrinted>2025-07-03T01:04:20Z</cp:lastPrinted>
  <dcterms:modified xsi:type="dcterms:W3CDTF">2025-07-03T03:31:17Z</dcterms:modified>
  <dc:title>东莞市人民医院书架及档案密集架采购项目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FE3D6C3AC17D4B2DABD57A3E1098BCAD_13</vt:lpwstr>
  </property>
  <property fmtid="{D5CDD505-2E9C-101B-9397-08002B2CF9AE}" pid="4" name="commondata">
    <vt:lpwstr>eyJoZGlkIjoiYjc3ODE2NGUyM2U5YzI2MjI0YWYwMzg3YjFkZjc2YWQifQ==</vt:lpwstr>
  </property>
  <property fmtid="{D5CDD505-2E9C-101B-9397-08002B2CF9AE}" pid="5" name="KSOTemplateDocerSaveRecord">
    <vt:lpwstr>eyJoZGlkIjoiNDIzMWE1NTEyYjlhOTM5YzA2ZTJiYTUxNzgwZjc3MTgiLCJ1c2VySWQiOiIyNjk4NzAwNDQifQ==</vt:lpwstr>
  </property>
</Properties>
</file>