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0DF11">
      <w:pPr>
        <w:jc w:val="center"/>
        <w:rPr>
          <w:rFonts w:hint="eastAsia"/>
          <w:b/>
          <w:bCs/>
          <w:sz w:val="48"/>
          <w:szCs w:val="48"/>
        </w:rPr>
      </w:pPr>
      <w:r>
        <w:rPr>
          <w:rFonts w:hint="eastAsia"/>
          <w:b/>
          <w:bCs/>
          <w:sz w:val="48"/>
          <w:szCs w:val="48"/>
          <w:lang w:val="en-US" w:eastAsia="zh-CN"/>
        </w:rPr>
        <w:t>工程量清单</w:t>
      </w:r>
      <w:r>
        <w:rPr>
          <w:rFonts w:hint="eastAsia"/>
          <w:b/>
          <w:bCs/>
          <w:sz w:val="48"/>
          <w:szCs w:val="48"/>
        </w:rPr>
        <w:t>编制说明</w:t>
      </w:r>
    </w:p>
    <w:p w14:paraId="272FA3EC">
      <w:pPr>
        <w:jc w:val="center"/>
        <w:rPr>
          <w:rFonts w:hint="eastAsia"/>
          <w:b/>
          <w:bCs/>
          <w:sz w:val="48"/>
          <w:szCs w:val="48"/>
        </w:rPr>
      </w:pPr>
    </w:p>
    <w:p w14:paraId="6CB5AE56">
      <w:pPr>
        <w:rPr>
          <w:rFonts w:hint="eastAsia"/>
          <w:b/>
          <w:bCs/>
          <w:sz w:val="32"/>
          <w:szCs w:val="32"/>
        </w:rPr>
      </w:pPr>
      <w:r>
        <w:rPr>
          <w:rFonts w:hint="eastAsia"/>
          <w:b/>
          <w:bCs/>
          <w:sz w:val="32"/>
          <w:szCs w:val="32"/>
        </w:rPr>
        <w:t>一、工程概况</w:t>
      </w:r>
    </w:p>
    <w:p w14:paraId="3C011A4A">
      <w:pPr>
        <w:ind w:right="-1"/>
        <w:rPr>
          <w:rFonts w:hint="eastAsia" w:ascii="宋体" w:hAnsi="宋体" w:cs="宋体"/>
          <w:sz w:val="28"/>
          <w:szCs w:val="28"/>
          <w:highlight w:val="none"/>
          <w:lang w:val="en-US" w:eastAsia="zh-CN"/>
        </w:rPr>
      </w:pPr>
      <w:r>
        <w:rPr>
          <w:rFonts w:hint="eastAsia" w:ascii="宋体" w:hAnsi="宋体" w:cs="宋体"/>
          <w:sz w:val="28"/>
          <w:szCs w:val="28"/>
        </w:rPr>
        <w:t xml:space="preserve">   </w:t>
      </w:r>
      <w:r>
        <w:rPr>
          <w:rFonts w:hint="eastAsia" w:ascii="宋体" w:hAnsi="宋体" w:cs="宋体"/>
          <w:sz w:val="28"/>
          <w:szCs w:val="28"/>
          <w:highlight w:val="none"/>
        </w:rPr>
        <w:t xml:space="preserve">  本工程为</w:t>
      </w:r>
      <w:r>
        <w:rPr>
          <w:rFonts w:hint="eastAsia" w:ascii="宋体" w:hAnsi="宋体" w:cs="宋体"/>
          <w:color w:val="0000FF"/>
          <w:sz w:val="28"/>
          <w:szCs w:val="28"/>
          <w:highlight w:val="none"/>
        </w:rPr>
        <w:t>教育厅办公楼高低压配电室设施设备维修改造工程</w:t>
      </w:r>
      <w:r>
        <w:rPr>
          <w:rFonts w:hint="eastAsia" w:ascii="宋体" w:hAnsi="宋体" w:cs="宋体"/>
          <w:sz w:val="28"/>
          <w:szCs w:val="28"/>
          <w:highlight w:val="none"/>
        </w:rPr>
        <w:t>，地址位于</w:t>
      </w:r>
      <w:r>
        <w:rPr>
          <w:rFonts w:hint="eastAsia" w:ascii="宋体" w:hAnsi="宋体" w:cs="宋体"/>
          <w:color w:val="0000FF"/>
          <w:sz w:val="28"/>
          <w:szCs w:val="28"/>
          <w:highlight w:val="none"/>
        </w:rPr>
        <w:t>乌鲁木齐市天山区胜利路</w:t>
      </w:r>
      <w:r>
        <w:rPr>
          <w:rFonts w:hint="eastAsia" w:ascii="宋体" w:hAnsi="宋体" w:cs="宋体"/>
          <w:sz w:val="28"/>
          <w:szCs w:val="28"/>
          <w:highlight w:val="none"/>
          <w:lang w:val="en-US" w:eastAsia="zh-CN"/>
        </w:rPr>
        <w:t>，建设内容如下：</w:t>
      </w:r>
    </w:p>
    <w:p w14:paraId="5B0CACEF">
      <w:pPr>
        <w:numPr>
          <w:ilvl w:val="0"/>
          <w:numId w:val="0"/>
        </w:numPr>
        <w:ind w:right="-1" w:rightChars="0" w:firstLine="560" w:firstLineChars="200"/>
        <w:rPr>
          <w:rFonts w:hint="eastAsia" w:ascii="宋体" w:hAnsi="宋体" w:cs="宋体"/>
          <w:color w:val="FFFFFF" w:themeColor="background1"/>
          <w:sz w:val="28"/>
          <w:szCs w:val="28"/>
          <w:highlight w:val="none"/>
          <w:lang w:val="en-US" w:eastAsia="zh-CN"/>
          <w14:textFill>
            <w14:solidFill>
              <w14:schemeClr w14:val="bg1"/>
            </w14:solidFill>
          </w14:textFill>
        </w:rPr>
      </w:pPr>
      <w:r>
        <w:rPr>
          <w:rFonts w:hint="eastAsia" w:ascii="宋体" w:hAnsi="宋体" w:cs="宋体"/>
          <w:sz w:val="28"/>
          <w:szCs w:val="28"/>
          <w:highlight w:val="none"/>
          <w:lang w:val="en-US" w:eastAsia="zh-CN"/>
        </w:rPr>
        <w:t>1、电缆井:</w:t>
      </w:r>
      <w:r>
        <w:rPr>
          <w:rFonts w:hint="eastAsia" w:ascii="宋体" w:hAnsi="宋体" w:cs="宋体"/>
          <w:color w:val="auto"/>
          <w:sz w:val="28"/>
          <w:szCs w:val="28"/>
          <w:highlight w:val="none"/>
          <w:lang w:val="en-US" w:eastAsia="zh-CN"/>
        </w:rPr>
        <w:t>本工程J1~J12为现状电缆井，J13`J20为新建电缆井，</w:t>
      </w:r>
      <w:r>
        <w:rPr>
          <w:rFonts w:hint="eastAsia" w:ascii="宋体" w:hAnsi="宋体" w:cs="宋体"/>
          <w:sz w:val="28"/>
          <w:szCs w:val="28"/>
          <w:highlight w:val="none"/>
          <w:lang w:val="en-US" w:eastAsia="zh-CN"/>
        </w:rPr>
        <w:t xml:space="preserve">共新建电缆井8口，其中转角井1口(J20)、三通井4口(J3~J16)、直线井3口(J17~J19)。                              </w:t>
      </w:r>
    </w:p>
    <w:p w14:paraId="6723664D">
      <w:pPr>
        <w:numPr>
          <w:ilvl w:val="0"/>
          <w:numId w:val="0"/>
        </w:numPr>
        <w:ind w:right="-1" w:righ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2、电缆排管:本工程J1到J12段为现状电力排管,J13'10K安利一线教育厅电缆分接箱段为新建9孔电力排管，长度90米(开挖并恢复水泥路面90米);J16^新建2X1000KVA配电室段为新建4孔电力排管，长度190米(开挖并恢复沥青路面190米)，J1410K安利二线自治区农业厅电缆分接箱段为新建4孔电力排管,长度10米(开挖并恢复水泥路面10米)；</w:t>
      </w:r>
    </w:p>
    <w:p w14:paraId="21541D0C">
      <w:pPr>
        <w:numPr>
          <w:ilvl w:val="0"/>
          <w:numId w:val="0"/>
        </w:numPr>
        <w:ind w:right="-1" w:righ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 xml:space="preserve">3、原10kV安利二线自治区农业厅电缆分接箱113间隔返出电缆解列，引至新建二进八出开关站114间隔，再由10k安利二线自治区农业厅电缆分接箱13间隔返出1回10KV电缆，经电缆井(J14)沿排管数设35米至新建二进八出开关站111间隔，10kV进线电缆采用ZC-YJV~22-8.7/15-3x240mm²，电缆总长60米: </w:t>
      </w:r>
    </w:p>
    <w:p w14:paraId="4859FD7D">
      <w:pPr>
        <w:numPr>
          <w:ilvl w:val="0"/>
          <w:numId w:val="0"/>
        </w:numPr>
        <w:ind w:right="-1" w:righ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4、新建2X1000KVA配电室主供电源由新建二进八出环网柜113间隔返出1回10K电缆经电缆井(J1619)沿新建排管数设215米至新建2X1000KVA配电室AMI柜，电缆选用ZC-Yi~22-8.7/15-3x120mm²，电缆总长</w:t>
      </w:r>
      <w:r>
        <w:rPr>
          <w:rFonts w:hint="eastAsia" w:ascii="宋体" w:hAnsi="宋体" w:cs="宋体"/>
          <w:color w:val="auto"/>
          <w:sz w:val="28"/>
          <w:szCs w:val="28"/>
          <w:highlight w:val="none"/>
          <w:lang w:val="en-US" w:eastAsia="zh-CN"/>
        </w:rPr>
        <w:t>275米</w:t>
      </w:r>
      <w:r>
        <w:rPr>
          <w:rFonts w:hint="eastAsia" w:ascii="宋体" w:hAnsi="宋体" w:cs="宋体"/>
          <w:sz w:val="28"/>
          <w:szCs w:val="28"/>
          <w:highlight w:val="none"/>
          <w:lang w:val="en-US" w:eastAsia="zh-CN"/>
        </w:rPr>
        <w:t>。</w:t>
      </w:r>
    </w:p>
    <w:p w14:paraId="61991E87">
      <w:pPr>
        <w:numPr>
          <w:ilvl w:val="0"/>
          <w:numId w:val="0"/>
        </w:numPr>
        <w:ind w:right="-1" w:righ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5、新建2X1000KYA配电室备供电源由新建二进八出环网柜124间隔返出1回10KV电缆经电缆井(J16`J19)沿新建排管敷设215米至新建2X1000KVA配电室AH10柜，电缆选用ZC-YIV~22-8.7/15-3x120mm²，</w:t>
      </w:r>
      <w:r>
        <w:rPr>
          <w:rFonts w:hint="eastAsia" w:ascii="宋体" w:hAnsi="宋体" w:cs="宋体"/>
          <w:color w:val="auto"/>
          <w:sz w:val="28"/>
          <w:szCs w:val="28"/>
          <w:highlight w:val="none"/>
          <w:lang w:val="en-US" w:eastAsia="zh-CN"/>
        </w:rPr>
        <w:t>电缆总长275米</w:t>
      </w:r>
      <w:r>
        <w:rPr>
          <w:rFonts w:hint="eastAsia" w:ascii="宋体" w:hAnsi="宋体" w:cs="宋体"/>
          <w:sz w:val="28"/>
          <w:szCs w:val="28"/>
          <w:highlight w:val="none"/>
          <w:lang w:val="en-US" w:eastAsia="zh-CN"/>
        </w:rPr>
        <w:t>。</w:t>
      </w:r>
    </w:p>
    <w:p w14:paraId="7B4EE318">
      <w:pPr>
        <w:numPr>
          <w:ilvl w:val="0"/>
          <w:numId w:val="0"/>
        </w:numPr>
        <w:ind w:right="-1" w:rightChars="0" w:firstLine="560" w:firstLineChars="20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6、原10KV安利一线教育厅电缆分接箱114间隔返出电缆解列，引至新建二进八出开关站114间隔，再由10k安利一线教育厅电缆分接箱114间隔返出1回10kV电缆，经电缆T井(J16~J15)沿排管敷25米设至新建二进八出开关站121间隔，10kV进线电缆采用ZC-YJV22-8.7/15-3x240mm²，电缆总长60米;</w:t>
      </w:r>
    </w:p>
    <w:p w14:paraId="6591791D">
      <w:pPr>
        <w:ind w:right="-1" w:firstLine="560" w:firstLineChars="200"/>
        <w:rPr>
          <w:rFonts w:hint="default" w:ascii="宋体" w:hAnsi="宋体" w:cs="宋体"/>
          <w:sz w:val="28"/>
          <w:szCs w:val="28"/>
          <w:highlight w:val="none"/>
          <w:lang w:val="en-US" w:eastAsia="zh-CN"/>
        </w:rPr>
      </w:pPr>
      <w:r>
        <w:rPr>
          <w:rFonts w:hint="eastAsia" w:ascii="宋体" w:hAnsi="宋体" w:cs="宋体"/>
          <w:sz w:val="28"/>
          <w:szCs w:val="28"/>
          <w:highlight w:val="none"/>
          <w:lang w:val="en-US" w:eastAsia="zh-CN"/>
        </w:rPr>
        <w:t>7、由新建二进八出开关站114、124间隔分别出敷设一回电缆至原教育厅分接箱114间隔、农业厅分接箱13间隔原返出电缆处利用中间接头连接恢复供电、电缆选用ZC-YIV22-8.7/15-3x120mm²，电缆总长100米;；</w:t>
      </w:r>
    </w:p>
    <w:p w14:paraId="0D19624B">
      <w:pPr>
        <w:pStyle w:val="2"/>
        <w:keepNext w:val="0"/>
        <w:keepLines w:val="0"/>
        <w:widowControl/>
        <w:suppressLineNumbers w:val="0"/>
        <w:spacing w:before="0" w:beforeAutospacing="0" w:after="0" w:afterAutospacing="0"/>
        <w:ind w:left="0" w:right="0" w:firstLine="0"/>
        <w:rPr>
          <w:b/>
          <w:bCs/>
          <w:sz w:val="30"/>
          <w:szCs w:val="30"/>
        </w:rPr>
      </w:pPr>
      <w:r>
        <w:rPr>
          <w:rFonts w:hint="eastAsia" w:ascii="宋体" w:hAnsi="宋体" w:eastAsia="宋体" w:cs="宋体"/>
          <w:b/>
          <w:bCs/>
          <w:sz w:val="30"/>
          <w:szCs w:val="30"/>
          <w:lang w:val="en-US" w:eastAsia="zh-CN"/>
        </w:rPr>
        <w:t>二</w:t>
      </w:r>
      <w:r>
        <w:rPr>
          <w:rFonts w:hint="eastAsia" w:ascii="宋体" w:hAnsi="宋体" w:eastAsia="宋体" w:cs="宋体"/>
          <w:b/>
          <w:bCs/>
          <w:sz w:val="30"/>
          <w:szCs w:val="30"/>
        </w:rPr>
        <w:t xml:space="preserve">、清单编制依据： </w:t>
      </w:r>
    </w:p>
    <w:p w14:paraId="4475AF17">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 xml:space="preserve">1、《建筑工程工程量清单计价规范》GB50500-2013、《房屋建筑与装饰工程工程量计算规范》GB50854-2013及解释和勘误； </w:t>
      </w:r>
    </w:p>
    <w:p w14:paraId="46E3D31B">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、甲方提供的本工程的施工图纸</w:t>
      </w:r>
      <w:r>
        <w:rPr>
          <w:rFonts w:hint="eastAsia" w:ascii="宋体" w:hAnsi="宋体" w:eastAsia="宋体" w:cs="宋体"/>
          <w:sz w:val="30"/>
          <w:szCs w:val="30"/>
          <w:lang w:eastAsia="zh-CN"/>
        </w:rPr>
        <w:t>及设计答疑</w:t>
      </w:r>
      <w:r>
        <w:rPr>
          <w:rFonts w:hint="eastAsia" w:ascii="宋体" w:hAnsi="宋体" w:eastAsia="宋体" w:cs="宋体"/>
          <w:sz w:val="30"/>
          <w:szCs w:val="30"/>
        </w:rPr>
        <w:t>；</w:t>
      </w:r>
    </w:p>
    <w:p w14:paraId="4046B8BE">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、与本工程有关的标准（包括标准图集）、规范、技术资料；</w:t>
      </w:r>
    </w:p>
    <w:p w14:paraId="55607015">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lang w:val="en-US" w:eastAsia="zh-CN"/>
        </w:rPr>
        <w:t>4</w:t>
      </w:r>
      <w:r>
        <w:rPr>
          <w:rFonts w:hint="eastAsia" w:ascii="宋体" w:hAnsi="宋体" w:eastAsia="宋体" w:cs="宋体"/>
          <w:sz w:val="30"/>
          <w:szCs w:val="30"/>
        </w:rPr>
        <w:t>、招标文件、补充通知；</w:t>
      </w:r>
    </w:p>
    <w:p w14:paraId="5BEED533">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lang w:val="en-US" w:eastAsia="zh-CN"/>
        </w:rPr>
        <w:t>5</w:t>
      </w:r>
      <w:r>
        <w:rPr>
          <w:rFonts w:hint="eastAsia" w:ascii="宋体" w:hAnsi="宋体" w:eastAsia="宋体" w:cs="宋体"/>
          <w:sz w:val="30"/>
          <w:szCs w:val="30"/>
        </w:rPr>
        <w:t>、其他有关文件资料；</w:t>
      </w:r>
    </w:p>
    <w:p w14:paraId="7F7904AD">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四、其他说明事项</w:t>
      </w:r>
    </w:p>
    <w:p w14:paraId="08A65350">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1、一般说明</w:t>
      </w:r>
    </w:p>
    <w:p w14:paraId="6A581ED9">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（1）施工现场情况：以现场踏勘情况为准</w:t>
      </w:r>
    </w:p>
    <w:p w14:paraId="2785133A">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（2）交通运输情况：以现场踏勘情况为准</w:t>
      </w:r>
    </w:p>
    <w:p w14:paraId="1058CD3A">
      <w:pPr>
        <w:pStyle w:val="2"/>
        <w:keepNext w:val="0"/>
        <w:keepLines w:val="0"/>
        <w:widowControl/>
        <w:suppressLineNumbers w:val="0"/>
        <w:spacing w:before="0" w:beforeAutospacing="0" w:after="0" w:afterAutospacing="0"/>
        <w:ind w:left="0" w:right="0" w:firstLine="0"/>
        <w:rPr>
          <w:rFonts w:hint="default" w:eastAsia="宋体"/>
          <w:color w:val="0000FF"/>
          <w:sz w:val="30"/>
          <w:szCs w:val="30"/>
          <w:lang w:val="en-US" w:eastAsia="zh-CN"/>
        </w:rPr>
      </w:pPr>
      <w:r>
        <w:rPr>
          <w:rFonts w:hint="eastAsia" w:ascii="宋体" w:hAnsi="宋体" w:eastAsia="宋体" w:cs="宋体"/>
          <w:sz w:val="30"/>
          <w:szCs w:val="30"/>
        </w:rPr>
        <w:t>（3）自然地理条件：本工程位于</w:t>
      </w:r>
      <w:r>
        <w:rPr>
          <w:rFonts w:hint="eastAsia" w:ascii="宋体" w:hAnsi="宋体" w:cs="宋体"/>
          <w:color w:val="0000FF"/>
          <w:sz w:val="28"/>
          <w:szCs w:val="28"/>
          <w:highlight w:val="none"/>
        </w:rPr>
        <w:t>乌鲁木齐市天山区胜利路</w:t>
      </w:r>
      <w:r>
        <w:rPr>
          <w:rFonts w:hint="eastAsia" w:ascii="宋体" w:hAnsi="宋体" w:eastAsia="宋体" w:cs="宋体"/>
          <w:color w:val="0000FF"/>
          <w:sz w:val="30"/>
          <w:szCs w:val="30"/>
          <w:lang w:val="en-US" w:eastAsia="zh-CN"/>
        </w:rPr>
        <w:t>；</w:t>
      </w:r>
    </w:p>
    <w:p w14:paraId="0D0C9955">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（4）环境保护要求：满足省、市及当地政府对环境保护的相关要求和规定。</w:t>
      </w:r>
    </w:p>
    <w:p w14:paraId="06B80A0F">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（5）本工程投标报价按《建设工程工程量清单计价规范》、《房屋建筑与装饰工程工程量计算规范》的规定及要求，使用表格及格式按《建设工程工程量清单计价规范》要求执行，有更正的以勘误和解释为准。</w:t>
      </w:r>
    </w:p>
    <w:p w14:paraId="1BE0A58A">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（6）工程量清单中每一个项目，都需填入综合单价及合价，对于没有填入综合单价及合价的项目，</w:t>
      </w:r>
      <w:r>
        <w:rPr>
          <w:rFonts w:hint="eastAsia" w:ascii="宋体" w:hAnsi="宋体" w:eastAsia="宋体" w:cs="宋体"/>
          <w:sz w:val="30"/>
          <w:szCs w:val="30"/>
          <w:lang w:val="en-US" w:eastAsia="zh-CN"/>
        </w:rPr>
        <w:t>视为已包含在其他报价中。</w:t>
      </w:r>
      <w:r>
        <w:rPr>
          <w:rFonts w:hint="eastAsia" w:ascii="宋体" w:hAnsi="宋体" w:eastAsia="宋体" w:cs="宋体"/>
          <w:sz w:val="30"/>
          <w:szCs w:val="30"/>
        </w:rPr>
        <w:t>不同单项及单位工程中的分部分项工程量清单中相同（项目特征及工作内容相同）的报价应统一，如有差异，按最低一个报价进行结算。</w:t>
      </w:r>
    </w:p>
    <w:p w14:paraId="12BA087D">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7）本工程量清单中的分部分项工程量及措施项目工程量均是根据本工程施工图，按照“工程量计价规范”的规定进行计算的，仅作为施工企业投标报价的共同基础，不能作为最终结算与支付价款的依据，工程量的变化调整以业主与承包商的合同约定为准，或按《建设工程工程量清单计价规范》有关规定执行。</w:t>
      </w:r>
    </w:p>
    <w:p w14:paraId="66D143DA">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（8）工程量清单及其计价格式中的任何内容不得随意删除或涂改，若有错误，在招标答疑时提出，以补遗资料为准。</w:t>
      </w:r>
    </w:p>
    <w:p w14:paraId="5366E372">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（9）分部分项工程量清单中对工程项目的项目特征及具体做法只作重点描述，详细情况见施工图设计、技术说明及相关标准图集。组价时应结合投标人现场勘查情况包括完成所有工序工作内容的全部费用。</w:t>
      </w:r>
    </w:p>
    <w:p w14:paraId="1027ADED">
      <w:pPr>
        <w:pStyle w:val="2"/>
        <w:keepNext w:val="0"/>
        <w:keepLines w:val="0"/>
        <w:widowControl/>
        <w:suppressLineNumbers w:val="0"/>
        <w:spacing w:before="0" w:beforeAutospacing="0" w:after="0" w:afterAutospacing="0"/>
        <w:ind w:left="0" w:right="0" w:firstLine="0"/>
        <w:rPr>
          <w:rFonts w:hint="eastAsia" w:ascii="宋体" w:hAnsi="宋体" w:eastAsia="宋体" w:cs="宋体"/>
          <w:sz w:val="30"/>
          <w:szCs w:val="30"/>
        </w:rPr>
      </w:pPr>
      <w:r>
        <w:rPr>
          <w:rFonts w:hint="eastAsia" w:ascii="宋体" w:hAnsi="宋体" w:eastAsia="宋体" w:cs="宋体"/>
          <w:sz w:val="30"/>
          <w:szCs w:val="30"/>
        </w:rPr>
        <w:t>（10）投标人应充分考虑施工现场周边的实际情况对施工的影响，编制施工方案，并做出报价。</w:t>
      </w:r>
    </w:p>
    <w:p w14:paraId="1757F367">
      <w:pPr>
        <w:pStyle w:val="2"/>
        <w:keepNext w:val="0"/>
        <w:keepLines w:val="0"/>
        <w:widowControl/>
        <w:suppressLineNumbers w:val="0"/>
        <w:spacing w:before="0" w:beforeAutospacing="0" w:after="0" w:afterAutospacing="0"/>
        <w:ind w:left="0" w:right="0" w:firstLine="0"/>
        <w:rPr>
          <w:rFonts w:hint="eastAsia" w:ascii="宋体" w:hAnsi="宋体" w:eastAsia="宋体" w:cs="宋体"/>
          <w:sz w:val="30"/>
          <w:szCs w:val="30"/>
          <w:lang w:eastAsia="zh-CN"/>
        </w:rPr>
      </w:pP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11</w:t>
      </w:r>
      <w:r>
        <w:rPr>
          <w:rFonts w:hint="eastAsia" w:ascii="宋体" w:hAnsi="宋体" w:eastAsia="宋体" w:cs="宋体"/>
          <w:sz w:val="30"/>
          <w:szCs w:val="30"/>
          <w:lang w:eastAsia="zh-CN"/>
        </w:rPr>
        <w:t>）带★清单项需做单价分析表。</w:t>
      </w:r>
    </w:p>
    <w:p w14:paraId="10CBC9E4">
      <w:pPr>
        <w:pStyle w:val="2"/>
        <w:keepNext w:val="0"/>
        <w:keepLines w:val="0"/>
        <w:widowControl/>
        <w:suppressLineNumbers w:val="0"/>
        <w:spacing w:before="0" w:beforeAutospacing="0" w:after="0" w:afterAutospacing="0"/>
        <w:ind w:left="0" w:right="0" w:firstLine="0"/>
        <w:rPr>
          <w:rFonts w:hint="eastAsia" w:ascii="宋体" w:hAnsi="宋体" w:eastAsia="宋体" w:cs="宋体"/>
          <w:color w:val="0000FF"/>
          <w:sz w:val="30"/>
          <w:szCs w:val="30"/>
          <w:highlight w:val="none"/>
          <w:lang w:val="en-US" w:eastAsia="zh-CN"/>
        </w:rPr>
      </w:pPr>
      <w:r>
        <w:rPr>
          <w:rFonts w:hint="eastAsia" w:ascii="宋体" w:hAnsi="宋体" w:eastAsia="宋体" w:cs="宋体"/>
          <w:color w:val="0000FF"/>
          <w:sz w:val="30"/>
          <w:szCs w:val="30"/>
          <w:highlight w:val="none"/>
        </w:rPr>
        <w:t>（1</w:t>
      </w:r>
      <w:r>
        <w:rPr>
          <w:rFonts w:hint="eastAsia" w:ascii="宋体" w:hAnsi="宋体" w:eastAsia="宋体" w:cs="宋体"/>
          <w:color w:val="0000FF"/>
          <w:sz w:val="30"/>
          <w:szCs w:val="30"/>
          <w:highlight w:val="none"/>
          <w:lang w:val="en-US" w:eastAsia="zh-CN"/>
        </w:rPr>
        <w:t>2</w:t>
      </w:r>
      <w:r>
        <w:rPr>
          <w:rFonts w:hint="eastAsia" w:ascii="宋体" w:hAnsi="宋体" w:eastAsia="宋体" w:cs="宋体"/>
          <w:color w:val="0000FF"/>
          <w:sz w:val="30"/>
          <w:szCs w:val="30"/>
          <w:highlight w:val="none"/>
        </w:rPr>
        <w:t>）</w:t>
      </w:r>
      <w:r>
        <w:rPr>
          <w:rFonts w:hint="eastAsia" w:ascii="宋体" w:hAnsi="宋体" w:eastAsia="宋体" w:cs="宋体"/>
          <w:color w:val="0000FF"/>
          <w:sz w:val="30"/>
          <w:szCs w:val="30"/>
          <w:highlight w:val="none"/>
          <w:lang w:val="en-US" w:eastAsia="zh-CN"/>
        </w:rPr>
        <w:t>开关站基础按专业工程暂估价100000元考虑、智慧工地配置费40000元、干式变压器（型号SCB13-1000/10/0.4）按175000元材料暂估价考虑、二进八出开关站按365390元材料暂估价考虑，以上内容均不含税金，结算时以实际发生甲乙双方确认金额为准，不发生不计取。</w:t>
      </w:r>
    </w:p>
    <w:p w14:paraId="3A571703">
      <w:pPr>
        <w:pStyle w:val="2"/>
        <w:keepNext w:val="0"/>
        <w:keepLines w:val="0"/>
        <w:widowControl/>
        <w:suppressLineNumbers w:val="0"/>
        <w:spacing w:before="0" w:beforeAutospacing="0" w:after="0" w:afterAutospacing="0"/>
        <w:ind w:left="0" w:right="0" w:firstLine="0"/>
        <w:rPr>
          <w:rFonts w:hint="default" w:ascii="宋体" w:hAnsi="宋体" w:eastAsia="宋体" w:cs="宋体"/>
          <w:color w:val="0000FF"/>
          <w:sz w:val="30"/>
          <w:szCs w:val="30"/>
          <w:highlight w:val="none"/>
          <w:lang w:val="en-US" w:eastAsia="zh-CN"/>
        </w:rPr>
      </w:pPr>
      <w:r>
        <w:rPr>
          <w:rFonts w:hint="eastAsia" w:ascii="宋体" w:hAnsi="宋体" w:eastAsia="宋体" w:cs="宋体"/>
          <w:color w:val="0000FF"/>
          <w:sz w:val="30"/>
          <w:szCs w:val="30"/>
          <w:highlight w:val="none"/>
          <w:lang w:val="en-US" w:eastAsia="zh-CN"/>
        </w:rPr>
        <w:t>（13）</w:t>
      </w:r>
      <w:r>
        <w:rPr>
          <w:rFonts w:hint="eastAsia" w:ascii="宋体" w:hAnsi="宋体" w:eastAsia="宋体" w:cs="宋体"/>
          <w:sz w:val="28"/>
          <w:szCs w:val="28"/>
          <w:highlight w:val="none"/>
        </w:rPr>
        <w:t>本工程扬尘防治措施费已</w:t>
      </w:r>
      <w:r>
        <w:rPr>
          <w:rFonts w:hint="eastAsia" w:ascii="宋体" w:hAnsi="宋体" w:eastAsia="宋体" w:cs="宋体"/>
          <w:sz w:val="28"/>
          <w:szCs w:val="28"/>
          <w:highlight w:val="none"/>
          <w:lang w:val="en-US" w:eastAsia="zh-CN"/>
        </w:rPr>
        <w:t>按相关文件</w:t>
      </w:r>
      <w:r>
        <w:rPr>
          <w:rFonts w:hint="eastAsia" w:ascii="宋体" w:hAnsi="宋体" w:eastAsia="宋体" w:cs="宋体"/>
          <w:sz w:val="28"/>
          <w:szCs w:val="28"/>
          <w:highlight w:val="none"/>
        </w:rPr>
        <w:t>计算。</w:t>
      </w:r>
    </w:p>
    <w:p w14:paraId="03122962">
      <w:pPr>
        <w:pStyle w:val="2"/>
        <w:keepNext w:val="0"/>
        <w:keepLines w:val="0"/>
        <w:widowControl/>
        <w:suppressLineNumbers w:val="0"/>
        <w:spacing w:before="0" w:beforeAutospacing="0" w:after="0" w:afterAutospacing="0"/>
        <w:ind w:left="0" w:right="0" w:firstLine="0"/>
        <w:rPr>
          <w:sz w:val="30"/>
          <w:szCs w:val="30"/>
        </w:rPr>
      </w:pPr>
      <w:r>
        <w:rPr>
          <w:rFonts w:hint="eastAsia" w:ascii="宋体" w:hAnsi="宋体" w:eastAsia="宋体" w:cs="宋体"/>
          <w:sz w:val="30"/>
          <w:szCs w:val="30"/>
        </w:rPr>
        <w:t>（1</w:t>
      </w:r>
      <w:r>
        <w:rPr>
          <w:rFonts w:hint="eastAsia" w:ascii="宋体" w:hAnsi="宋体" w:eastAsia="宋体" w:cs="宋体"/>
          <w:sz w:val="30"/>
          <w:szCs w:val="30"/>
          <w:lang w:val="en-US" w:eastAsia="zh-CN"/>
        </w:rPr>
        <w:t>4</w:t>
      </w:r>
      <w:r>
        <w:rPr>
          <w:rFonts w:hint="eastAsia" w:ascii="宋体" w:hAnsi="宋体" w:eastAsia="宋体" w:cs="宋体"/>
          <w:sz w:val="30"/>
          <w:szCs w:val="30"/>
        </w:rPr>
        <w:t>）本说明未尽事项，以计价规范、工程量计算规范、计价管理办法、招标文件以及有关的法律、法规、建设行政主管部门的文件为准。</w:t>
      </w:r>
    </w:p>
    <w:p w14:paraId="59D2DD7E">
      <w:pPr>
        <w:rPr>
          <w:rFonts w:hint="eastAsia"/>
          <w:lang w:val="en-US" w:eastAsia="zh-CN"/>
        </w:rPr>
      </w:pPr>
      <w:r>
        <w:rPr>
          <w:rFonts w:hint="eastAsia"/>
          <w:lang w:val="en-US" w:eastAsia="zh-CN"/>
        </w:rPr>
        <w:t xml:space="preserve">    </w:t>
      </w:r>
    </w:p>
    <w:p w14:paraId="60E85E7C">
      <w:pPr>
        <w:rPr>
          <w:rFonts w:hint="eastAsia"/>
          <w:lang w:val="en-US" w:eastAsia="zh-CN"/>
        </w:rPr>
      </w:pPr>
    </w:p>
    <w:p w14:paraId="287655EB">
      <w:pPr>
        <w:rPr>
          <w:rFonts w:hint="eastAsia"/>
          <w:lang w:val="en-US" w:eastAsia="zh-CN"/>
        </w:rPr>
      </w:pPr>
    </w:p>
    <w:p w14:paraId="4A8607CC">
      <w:pPr>
        <w:rPr>
          <w:rFonts w:hint="eastAsia"/>
          <w:lang w:val="en-US" w:eastAsia="zh-CN"/>
        </w:rPr>
      </w:pPr>
    </w:p>
    <w:p w14:paraId="522E5E54">
      <w:pPr>
        <w:rPr>
          <w:rFonts w:hint="eastAsia"/>
          <w:lang w:val="en-US" w:eastAsia="zh-CN"/>
        </w:rPr>
      </w:pPr>
    </w:p>
    <w:p w14:paraId="3C2A6ACB">
      <w:pPr>
        <w:keepNext w:val="0"/>
        <w:keepLines w:val="0"/>
        <w:pageBreakBefore w:val="0"/>
        <w:widowControl w:val="0"/>
        <w:numPr>
          <w:ilvl w:val="0"/>
          <w:numId w:val="0"/>
        </w:numPr>
        <w:kinsoku/>
        <w:wordWrap/>
        <w:overflowPunct/>
        <w:topLinePunct w:val="0"/>
        <w:autoSpaceDE/>
        <w:autoSpaceDN/>
        <w:bidi w:val="0"/>
        <w:adjustRightInd/>
        <w:snapToGrid/>
        <w:ind w:leftChars="200"/>
        <w:jc w:val="center"/>
        <w:textAlignment w:val="auto"/>
        <w:rPr>
          <w:rFonts w:hint="eastAsia" w:ascii="宋体" w:hAnsi="宋体" w:eastAsia="宋体" w:cs="宋体"/>
          <w:sz w:val="30"/>
          <w:szCs w:val="30"/>
          <w:lang w:val="en-US" w:eastAsia="zh-CN"/>
        </w:rPr>
      </w:pPr>
      <w:r>
        <w:rPr>
          <w:rFonts w:hint="eastAsia"/>
          <w:b w:val="0"/>
          <w:bCs w:val="0"/>
          <w:sz w:val="28"/>
          <w:szCs w:val="28"/>
          <w:lang w:val="en-US" w:eastAsia="zh-CN"/>
        </w:rPr>
        <w:t xml:space="preserve">                        </w:t>
      </w:r>
      <w:r>
        <w:rPr>
          <w:rFonts w:hint="default"/>
          <w:b w:val="0"/>
          <w:bCs w:val="0"/>
          <w:sz w:val="28"/>
          <w:szCs w:val="28"/>
          <w:lang w:val="en-US" w:eastAsia="zh-CN"/>
        </w:rPr>
        <w:t>建达国信工程管理有限公司</w:t>
      </w:r>
    </w:p>
    <w:p w14:paraId="1DE3CBD2">
      <w:pPr>
        <w:pStyle w:val="2"/>
        <w:keepNext w:val="0"/>
        <w:keepLines w:val="0"/>
        <w:widowControl/>
        <w:suppressLineNumbers w:val="0"/>
        <w:spacing w:before="0" w:beforeAutospacing="0" w:after="0" w:afterAutospacing="0"/>
        <w:ind w:left="0" w:right="0" w:firstLine="0"/>
        <w:jc w:val="center"/>
        <w:rPr>
          <w:rFonts w:hint="default" w:ascii="宋体" w:hAnsi="宋体" w:eastAsia="宋体" w:cs="宋体"/>
          <w:sz w:val="30"/>
          <w:szCs w:val="30"/>
          <w:lang w:val="en-US" w:eastAsia="zh-CN"/>
        </w:rPr>
      </w:pPr>
      <w:r>
        <w:rPr>
          <w:rFonts w:hint="eastAsia" w:ascii="宋体" w:hAnsi="宋体" w:eastAsia="宋体" w:cs="宋体"/>
          <w:sz w:val="30"/>
          <w:szCs w:val="30"/>
          <w:lang w:val="en-US" w:eastAsia="zh-CN"/>
        </w:rPr>
        <w:t xml:space="preserve">                        2025年7月15日</w:t>
      </w:r>
      <w:bookmarkStart w:id="0" w:name="_GoBack"/>
      <w:bookmarkEnd w:id="0"/>
    </w:p>
    <w:sectPr>
      <w:pgSz w:w="11906" w:h="16838"/>
      <w:pgMar w:top="1440" w:right="1236" w:bottom="1440"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wZWU2MGJlNDZlNTJkNDE1OTUyZjdiNjZjOTlkMDUifQ=="/>
  </w:docVars>
  <w:rsids>
    <w:rsidRoot w:val="3AA326CB"/>
    <w:rsid w:val="00A47904"/>
    <w:rsid w:val="01C3376E"/>
    <w:rsid w:val="06797340"/>
    <w:rsid w:val="0BED3D64"/>
    <w:rsid w:val="0C5657F7"/>
    <w:rsid w:val="0DAA1462"/>
    <w:rsid w:val="13BA2070"/>
    <w:rsid w:val="17900457"/>
    <w:rsid w:val="1C147287"/>
    <w:rsid w:val="1EE95587"/>
    <w:rsid w:val="1F336C62"/>
    <w:rsid w:val="29CC322A"/>
    <w:rsid w:val="2D442CE4"/>
    <w:rsid w:val="2E754E73"/>
    <w:rsid w:val="35226201"/>
    <w:rsid w:val="3AA326CB"/>
    <w:rsid w:val="3AE51723"/>
    <w:rsid w:val="3C704DBB"/>
    <w:rsid w:val="3E4200E7"/>
    <w:rsid w:val="410945D9"/>
    <w:rsid w:val="42D503C2"/>
    <w:rsid w:val="48A75FFA"/>
    <w:rsid w:val="4A147C91"/>
    <w:rsid w:val="4D7C6029"/>
    <w:rsid w:val="4EA53668"/>
    <w:rsid w:val="4FCA6031"/>
    <w:rsid w:val="54136417"/>
    <w:rsid w:val="55B32881"/>
    <w:rsid w:val="55D05E5D"/>
    <w:rsid w:val="56975186"/>
    <w:rsid w:val="58E243B2"/>
    <w:rsid w:val="5F2E527D"/>
    <w:rsid w:val="781873E9"/>
    <w:rsid w:val="7D825F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1701</Words>
  <Characters>2080</Characters>
  <Lines>0</Lines>
  <Paragraphs>0</Paragraphs>
  <TotalTime>0</TotalTime>
  <ScaleCrop>false</ScaleCrop>
  <LinksUpToDate>false</LinksUpToDate>
  <CharactersWithSpaces>2170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2022-03-23T07:27:00Z</dcterms:created>
  <dc:creator>蝶恋花</dc:creator>
  <cp:lastModifiedBy>蝶恋花</cp:lastModifiedBy>
  <cp:lastPrinted>2022-03-30T03:29:00Z</cp:lastPrinted>
  <dcterms:modified xsi:type="dcterms:W3CDTF">2025-07-15T02:34:43Z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6686FF56E02C4F6B8967A2C7B915407C</vt:lpwstr>
  </property>
  <property fmtid="{D5CDD505-2E9C-101B-9397-08002B2CF9AE}" pid="4" name="KSOTemplateDocerSaveRecord">
    <vt:lpwstr>eyJoZGlkIjoiZTQwZWU2MGJlNDZlNTJkNDE1OTUyZjdiNjZjOTlkMDUiLCJ1c2VySWQiOiIzMjE1NDU3NTgifQ==</vt:lpwstr>
  </property>
</Properties>
</file>