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仿宋" w:hAnsi="仿宋" w:eastAsia="仿宋" w:cs="仿宋"/>
          <w:b/>
          <w:color w:val="000000" w:themeColor="text1"/>
          <w:sz w:val="24"/>
          <w:szCs w:val="24"/>
          <w14:textFill>
            <w14:solidFill>
              <w14:schemeClr w14:val="tx1"/>
            </w14:solidFill>
          </w14:textFill>
        </w:rPr>
      </w:pPr>
    </w:p>
    <w:p>
      <w:pPr>
        <w:pStyle w:val="38"/>
        <w:rPr>
          <w:rFonts w:ascii="仿宋" w:hAnsi="仿宋" w:eastAsia="仿宋" w:cs="仿宋"/>
          <w:b/>
          <w:color w:val="000000" w:themeColor="text1"/>
          <w:sz w:val="24"/>
          <w:szCs w:val="24"/>
          <w14:textFill>
            <w14:solidFill>
              <w14:schemeClr w14:val="tx1"/>
            </w14:solidFill>
          </w14:textFill>
        </w:rPr>
      </w:pPr>
    </w:p>
    <w:p>
      <w:pPr>
        <w:rPr>
          <w:color w:val="000000" w:themeColor="text1"/>
          <w14:textFill>
            <w14:solidFill>
              <w14:schemeClr w14:val="tx1"/>
            </w14:solidFill>
          </w14:textFill>
        </w:rPr>
      </w:pPr>
    </w:p>
    <w:p>
      <w:pPr>
        <w:tabs>
          <w:tab w:val="left" w:pos="1960"/>
          <w:tab w:val="left" w:pos="3480"/>
          <w:tab w:val="left" w:pos="4980"/>
        </w:tabs>
        <w:spacing w:line="520" w:lineRule="exact"/>
        <w:rPr>
          <w:rFonts w:ascii="仿宋" w:hAnsi="仿宋" w:eastAsia="仿宋" w:cs="仿宋"/>
          <w:b/>
          <w:color w:val="000000" w:themeColor="text1"/>
          <w:sz w:val="44"/>
          <w:szCs w:val="44"/>
          <w14:textFill>
            <w14:solidFill>
              <w14:schemeClr w14:val="tx1"/>
            </w14:solidFill>
          </w14:textFill>
        </w:rPr>
      </w:pPr>
    </w:p>
    <w:p>
      <w:pPr>
        <w:jc w:val="center"/>
        <w:rPr>
          <w:rFonts w:ascii="仿宋" w:hAnsi="仿宋" w:eastAsia="仿宋" w:cs="仿宋"/>
          <w:b/>
          <w:color w:val="000000" w:themeColor="text1"/>
          <w:sz w:val="44"/>
          <w:szCs w:val="44"/>
          <w14:textFill>
            <w14:solidFill>
              <w14:schemeClr w14:val="tx1"/>
            </w14:solidFill>
          </w14:textFill>
        </w:rPr>
      </w:pPr>
      <w:r>
        <w:rPr>
          <w:rFonts w:hint="eastAsia" w:ascii="仿宋" w:hAnsi="仿宋" w:eastAsia="仿宋" w:cs="仿宋"/>
          <w:b/>
          <w:color w:val="000000" w:themeColor="text1"/>
          <w:sz w:val="44"/>
          <w:szCs w:val="44"/>
          <w14:textFill>
            <w14:solidFill>
              <w14:schemeClr w14:val="tx1"/>
            </w14:solidFill>
          </w14:textFill>
        </w:rPr>
        <w:t>2023年塔城地区重大动物疫病强制免疫疫苗、人畜共患病防控工作项目（布鲁氏菌病活疫苗（M5株或M5-90株））</w:t>
      </w:r>
    </w:p>
    <w:p>
      <w:pPr>
        <w:tabs>
          <w:tab w:val="left" w:pos="1960"/>
          <w:tab w:val="left" w:pos="3480"/>
          <w:tab w:val="left" w:pos="4980"/>
        </w:tabs>
        <w:spacing w:line="520" w:lineRule="exact"/>
        <w:jc w:val="center"/>
        <w:rPr>
          <w:rFonts w:ascii="仿宋" w:hAnsi="仿宋" w:eastAsia="仿宋" w:cs="仿宋"/>
          <w:b/>
          <w:color w:val="000000" w:themeColor="text1"/>
          <w:sz w:val="44"/>
          <w:szCs w:val="44"/>
          <w14:textFill>
            <w14:solidFill>
              <w14:schemeClr w14:val="tx1"/>
            </w14:solidFill>
          </w14:textFill>
        </w:rPr>
      </w:pPr>
      <w:r>
        <w:rPr>
          <w:rFonts w:hint="eastAsia" w:ascii="仿宋" w:hAnsi="仿宋" w:eastAsia="仿宋" w:cs="仿宋"/>
          <w:b/>
          <w:color w:val="000000" w:themeColor="text1"/>
          <w:sz w:val="44"/>
          <w:szCs w:val="44"/>
          <w14:textFill>
            <w14:solidFill>
              <w14:schemeClr w14:val="tx1"/>
            </w14:solidFill>
          </w14:textFill>
        </w:rPr>
        <w:t>公开招标采购文件</w:t>
      </w:r>
    </w:p>
    <w:p>
      <w:pPr>
        <w:spacing w:line="400" w:lineRule="exact"/>
        <w:jc w:val="center"/>
        <w:rPr>
          <w:rFonts w:ascii="仿宋" w:hAnsi="仿宋" w:eastAsia="仿宋" w:cs="仿宋"/>
          <w:b/>
          <w:color w:val="000000" w:themeColor="text1"/>
          <w:sz w:val="32"/>
          <w:szCs w:val="32"/>
          <w14:textFill>
            <w14:solidFill>
              <w14:schemeClr w14:val="tx1"/>
            </w14:solidFill>
          </w14:textFill>
        </w:rPr>
      </w:pPr>
    </w:p>
    <w:p>
      <w:pPr>
        <w:spacing w:line="40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项目编号：HYGJ-ZFCG-2023-01-008</w:t>
      </w:r>
    </w:p>
    <w:p>
      <w:pPr>
        <w:spacing w:line="400" w:lineRule="exact"/>
        <w:rPr>
          <w:rFonts w:ascii="仿宋" w:hAnsi="仿宋" w:eastAsia="仿宋" w:cs="仿宋"/>
          <w:b/>
          <w:color w:val="000000" w:themeColor="text1"/>
          <w:sz w:val="32"/>
          <w:szCs w:val="32"/>
          <w14:textFill>
            <w14:solidFill>
              <w14:schemeClr w14:val="tx1"/>
            </w14:solidFill>
          </w14:textFill>
        </w:rPr>
      </w:pPr>
    </w:p>
    <w:p>
      <w:pPr>
        <w:pStyle w:val="8"/>
        <w:spacing w:before="0" w:after="0" w:line="400" w:lineRule="exact"/>
        <w:rPr>
          <w:rFonts w:ascii="仿宋" w:hAnsi="仿宋" w:eastAsia="仿宋" w:cs="仿宋"/>
          <w:color w:val="000000" w:themeColor="text1"/>
          <w:sz w:val="32"/>
          <w:szCs w:val="32"/>
          <w14:textFill>
            <w14:solidFill>
              <w14:schemeClr w14:val="tx1"/>
            </w14:solidFill>
          </w14:textFill>
        </w:rPr>
      </w:pPr>
    </w:p>
    <w:p>
      <w:pPr>
        <w:spacing w:line="400" w:lineRule="exact"/>
        <w:rPr>
          <w:rFonts w:ascii="仿宋" w:hAnsi="仿宋" w:eastAsia="仿宋" w:cs="仿宋"/>
          <w:color w:val="000000" w:themeColor="text1"/>
          <w:sz w:val="32"/>
          <w:szCs w:val="32"/>
          <w14:textFill>
            <w14:solidFill>
              <w14:schemeClr w14:val="tx1"/>
            </w14:solidFill>
          </w14:textFill>
        </w:rPr>
      </w:pPr>
    </w:p>
    <w:p>
      <w:pPr>
        <w:pStyle w:val="14"/>
        <w:spacing w:line="400" w:lineRule="exact"/>
        <w:ind w:left="0" w:leftChars="0"/>
        <w:rPr>
          <w:rFonts w:ascii="仿宋" w:hAnsi="仿宋" w:eastAsia="仿宋" w:cs="仿宋"/>
          <w:color w:val="000000" w:themeColor="text1"/>
          <w:sz w:val="32"/>
          <w:szCs w:val="32"/>
          <w14:textFill>
            <w14:solidFill>
              <w14:schemeClr w14:val="tx1"/>
            </w14:solidFill>
          </w14:textFill>
        </w:rPr>
      </w:pPr>
    </w:p>
    <w:p>
      <w:pPr>
        <w:rPr>
          <w:rFonts w:ascii="仿宋" w:hAnsi="仿宋" w:eastAsia="仿宋" w:cs="仿宋"/>
          <w:color w:val="000000" w:themeColor="text1"/>
          <w:sz w:val="32"/>
          <w:szCs w:val="32"/>
          <w14:textFill>
            <w14:solidFill>
              <w14:schemeClr w14:val="tx1"/>
            </w14:solidFill>
          </w14:textFill>
        </w:rPr>
      </w:pPr>
    </w:p>
    <w:p>
      <w:pPr>
        <w:pStyle w:val="2"/>
        <w:rPr>
          <w:rFonts w:ascii="仿宋" w:hAnsi="仿宋" w:eastAsia="仿宋" w:cs="仿宋"/>
          <w:color w:val="000000" w:themeColor="text1"/>
          <w:sz w:val="32"/>
          <w:szCs w:val="32"/>
          <w14:textFill>
            <w14:solidFill>
              <w14:schemeClr w14:val="tx1"/>
            </w14:solidFill>
          </w14:textFill>
        </w:rPr>
      </w:pPr>
    </w:p>
    <w:p>
      <w:pPr>
        <w:spacing w:line="400" w:lineRule="exact"/>
        <w:ind w:firstLine="1915" w:firstLineChars="596"/>
        <w:rPr>
          <w:rFonts w:ascii="仿宋" w:hAnsi="仿宋" w:eastAsia="仿宋" w:cs="仿宋"/>
          <w:b/>
          <w:color w:val="000000" w:themeColor="text1"/>
          <w:sz w:val="32"/>
          <w:szCs w:val="32"/>
          <w14:textFill>
            <w14:solidFill>
              <w14:schemeClr w14:val="tx1"/>
            </w14:solidFill>
          </w14:textFill>
        </w:rPr>
      </w:pP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采购人名称：塔城地区动物疾病控制与诊断中心</w:t>
      </w: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 xml:space="preserve">联 系 人：李树迅   </w:t>
      </w: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联系电话：15809016885</w:t>
      </w:r>
    </w:p>
    <w:p>
      <w:pPr>
        <w:spacing w:line="400" w:lineRule="exact"/>
        <w:rPr>
          <w:rFonts w:eastAsia="仿宋"/>
          <w:color w:val="000000" w:themeColor="text1"/>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地址：塔城市宏图街54号</w:t>
      </w:r>
    </w:p>
    <w:p>
      <w:pPr>
        <w:spacing w:line="400" w:lineRule="exact"/>
        <w:rPr>
          <w:rFonts w:ascii="仿宋" w:hAnsi="仿宋" w:eastAsia="仿宋" w:cs="仿宋"/>
          <w:b/>
          <w:color w:val="000000" w:themeColor="text1"/>
          <w:sz w:val="32"/>
          <w:szCs w:val="32"/>
          <w14:textFill>
            <w14:solidFill>
              <w14:schemeClr w14:val="tx1"/>
            </w14:solidFill>
          </w14:textFill>
        </w:rPr>
      </w:pPr>
    </w:p>
    <w:p>
      <w:pPr>
        <w:spacing w:line="400" w:lineRule="exact"/>
        <w:rPr>
          <w:rFonts w:ascii="仿宋" w:hAnsi="仿宋" w:eastAsia="仿宋" w:cs="仿宋"/>
          <w:b/>
          <w:color w:val="000000" w:themeColor="text1"/>
          <w:sz w:val="32"/>
          <w:szCs w:val="32"/>
          <w14:textFill>
            <w14:solidFill>
              <w14:schemeClr w14:val="tx1"/>
            </w14:solidFill>
          </w14:textFill>
        </w:rPr>
      </w:pP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采购代理机构：宏业国际项目管理有限公司</w:t>
      </w: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联系人：李苗</w:t>
      </w: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联系电话：15022921857</w:t>
      </w: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地址：乌鲁木齐水磨沟区红光山路万科大都会8号楼1202</w:t>
      </w:r>
    </w:p>
    <w:p>
      <w:pPr>
        <w:spacing w:line="400" w:lineRule="exact"/>
        <w:ind w:firstLine="1928" w:firstLineChars="6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br w:type="page"/>
      </w:r>
    </w:p>
    <w:p>
      <w:pPr>
        <w:spacing w:line="400" w:lineRule="exact"/>
        <w:jc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目  录</w:t>
      </w:r>
    </w:p>
    <w:p>
      <w:pPr>
        <w:pStyle w:val="30"/>
        <w:tabs>
          <w:tab w:val="right" w:leader="dot" w:pos="9683"/>
        </w:tabs>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fldChar w:fldCharType="begin"/>
      </w:r>
      <w:r>
        <w:rPr>
          <w:rFonts w:hint="eastAsia" w:ascii="仿宋" w:hAnsi="仿宋" w:eastAsia="仿宋" w:cs="仿宋"/>
          <w:b/>
          <w:color w:val="000000" w:themeColor="text1"/>
          <w:sz w:val="24"/>
          <w:szCs w:val="24"/>
          <w14:textFill>
            <w14:solidFill>
              <w14:schemeClr w14:val="tx1"/>
            </w14:solidFill>
          </w14:textFill>
        </w:rPr>
        <w:instrText xml:space="preserve"> TOC \o "1-2" \h \z \u </w:instrText>
      </w:r>
      <w:r>
        <w:rPr>
          <w:rFonts w:hint="eastAsia" w:ascii="仿宋" w:hAnsi="仿宋" w:eastAsia="仿宋" w:cs="仿宋"/>
          <w:b/>
          <w:color w:val="000000" w:themeColor="text1"/>
          <w:sz w:val="24"/>
          <w:szCs w:val="24"/>
          <w14:textFill>
            <w14:solidFill>
              <w14:schemeClr w14:val="tx1"/>
            </w14:solidFill>
          </w14:textFill>
        </w:rPr>
        <w:fldChar w:fldCharType="separate"/>
      </w:r>
      <w:r>
        <w:rPr>
          <w:rFonts w:hint="eastAsia" w:ascii="仿宋" w:hAnsi="仿宋" w:eastAsia="仿宋" w:cs="仿宋"/>
          <w:b/>
          <w:color w:val="000000" w:themeColor="text1"/>
          <w:sz w:val="24"/>
          <w:szCs w:val="24"/>
          <w14:textFill>
            <w14:solidFill>
              <w14:schemeClr w14:val="tx1"/>
            </w14:solidFill>
          </w14:textFill>
        </w:rPr>
        <w:fldChar w:fldCharType="begin"/>
      </w:r>
      <w:r>
        <w:rPr>
          <w:rFonts w:hint="eastAsia" w:ascii="仿宋" w:hAnsi="仿宋" w:eastAsia="仿宋" w:cs="仿宋"/>
          <w:b/>
          <w:color w:val="000000" w:themeColor="text1"/>
          <w:sz w:val="24"/>
          <w:szCs w:val="24"/>
          <w14:textFill>
            <w14:solidFill>
              <w14:schemeClr w14:val="tx1"/>
            </w14:solidFill>
          </w14:textFill>
        </w:rPr>
        <w:instrText xml:space="preserve"> TOC \o "1-2" \h \z \u </w:instrText>
      </w:r>
      <w:r>
        <w:rPr>
          <w:rFonts w:hint="eastAsia" w:ascii="仿宋" w:hAnsi="仿宋" w:eastAsia="仿宋" w:cs="仿宋"/>
          <w:b/>
          <w:color w:val="000000" w:themeColor="text1"/>
          <w:sz w:val="24"/>
          <w:szCs w:val="24"/>
          <w14:textFill>
            <w14:solidFill>
              <w14:schemeClr w14:val="tx1"/>
            </w14:solidFill>
          </w14:textFill>
        </w:rPr>
        <w:fldChar w:fldCharType="separate"/>
      </w:r>
      <w:r>
        <w:fldChar w:fldCharType="begin"/>
      </w:r>
      <w:r>
        <w:instrText xml:space="preserve"> HYPERLINK \l "_Toc462223629" </w:instrText>
      </w:r>
      <w:r>
        <w:fldChar w:fldCharType="separate"/>
      </w:r>
      <w:r>
        <w:rPr>
          <w:rStyle w:val="46"/>
          <w:rFonts w:hint="eastAsia" w:ascii="仿宋" w:hAnsi="仿宋" w:eastAsia="仿宋" w:cs="仿宋"/>
          <w:color w:val="000000" w:themeColor="text1"/>
          <w:sz w:val="24"/>
          <w:szCs w:val="24"/>
          <w14:textFill>
            <w14:solidFill>
              <w14:schemeClr w14:val="tx1"/>
            </w14:solidFill>
          </w14:textFill>
        </w:rPr>
        <w:t>第一章 招标公告</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fldChar w:fldCharType="end"/>
      </w:r>
    </w:p>
    <w:p>
      <w:pPr>
        <w:pStyle w:val="30"/>
        <w:tabs>
          <w:tab w:val="right" w:leader="dot" w:pos="9683"/>
        </w:tabs>
        <w:spacing w:line="400" w:lineRule="exact"/>
        <w:rPr>
          <w:rFonts w:ascii="仿宋" w:hAnsi="仿宋" w:eastAsia="仿宋" w:cs="仿宋"/>
          <w:color w:val="000000" w:themeColor="text1"/>
          <w:sz w:val="24"/>
          <w:szCs w:val="24"/>
          <w14:textFill>
            <w14:solidFill>
              <w14:schemeClr w14:val="tx1"/>
            </w14:solidFill>
          </w14:textFill>
        </w:rPr>
      </w:pPr>
      <w:r>
        <w:fldChar w:fldCharType="begin"/>
      </w:r>
      <w:r>
        <w:instrText xml:space="preserve"> HYPERLINK \l "_Toc462223630" </w:instrText>
      </w:r>
      <w:r>
        <w:fldChar w:fldCharType="separate"/>
      </w:r>
      <w:r>
        <w:rPr>
          <w:rStyle w:val="46"/>
          <w:rFonts w:hint="eastAsia" w:ascii="仿宋" w:hAnsi="仿宋" w:eastAsia="仿宋" w:cs="仿宋"/>
          <w:color w:val="000000" w:themeColor="text1"/>
          <w:sz w:val="24"/>
          <w:szCs w:val="24"/>
          <w14:textFill>
            <w14:solidFill>
              <w14:schemeClr w14:val="tx1"/>
            </w14:solidFill>
          </w14:textFill>
        </w:rPr>
        <w:t>第二章 供应商须知</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fldChar w:fldCharType="end"/>
      </w:r>
    </w:p>
    <w:p>
      <w:pPr>
        <w:pStyle w:val="30"/>
        <w:tabs>
          <w:tab w:val="right" w:leader="dot" w:pos="9683"/>
        </w:tabs>
        <w:spacing w:line="400" w:lineRule="exact"/>
        <w:rPr>
          <w:rFonts w:ascii="仿宋" w:hAnsi="仿宋" w:eastAsia="仿宋" w:cs="仿宋"/>
          <w:color w:val="000000" w:themeColor="text1"/>
          <w:sz w:val="24"/>
          <w:szCs w:val="24"/>
          <w14:textFill>
            <w14:solidFill>
              <w14:schemeClr w14:val="tx1"/>
            </w14:solidFill>
          </w14:textFill>
        </w:rPr>
      </w:pPr>
      <w:r>
        <w:fldChar w:fldCharType="begin"/>
      </w:r>
      <w:r>
        <w:instrText xml:space="preserve"> HYPERLINK \l "_Toc462223639" </w:instrText>
      </w:r>
      <w:r>
        <w:fldChar w:fldCharType="separate"/>
      </w:r>
      <w:r>
        <w:rPr>
          <w:rStyle w:val="46"/>
          <w:rFonts w:hint="eastAsia" w:ascii="仿宋" w:hAnsi="仿宋" w:eastAsia="仿宋" w:cs="仿宋"/>
          <w:color w:val="000000" w:themeColor="text1"/>
          <w:sz w:val="24"/>
          <w:szCs w:val="24"/>
          <w14:textFill>
            <w14:solidFill>
              <w14:schemeClr w14:val="tx1"/>
            </w14:solidFill>
          </w14:textFill>
        </w:rPr>
        <w:t>第三章 项目需求</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23</w:t>
      </w:r>
      <w:r>
        <w:rPr>
          <w:rFonts w:hint="eastAsia" w:ascii="仿宋" w:hAnsi="仿宋" w:eastAsia="仿宋" w:cs="仿宋"/>
          <w:color w:val="000000" w:themeColor="text1"/>
          <w:sz w:val="24"/>
          <w:szCs w:val="24"/>
          <w14:textFill>
            <w14:solidFill>
              <w14:schemeClr w14:val="tx1"/>
            </w14:solidFill>
          </w14:textFill>
        </w:rPr>
        <w:fldChar w:fldCharType="end"/>
      </w:r>
    </w:p>
    <w:p>
      <w:pPr>
        <w:pStyle w:val="30"/>
        <w:tabs>
          <w:tab w:val="right" w:leader="dot" w:pos="9683"/>
        </w:tabs>
        <w:spacing w:line="400" w:lineRule="exact"/>
        <w:rPr>
          <w:rFonts w:ascii="仿宋" w:hAnsi="仿宋" w:eastAsia="仿宋" w:cs="仿宋"/>
          <w:color w:val="000000" w:themeColor="text1"/>
          <w:sz w:val="24"/>
          <w:szCs w:val="24"/>
          <w14:textFill>
            <w14:solidFill>
              <w14:schemeClr w14:val="tx1"/>
            </w14:solidFill>
          </w14:textFill>
        </w:rPr>
      </w:pPr>
      <w:r>
        <w:fldChar w:fldCharType="begin"/>
      </w:r>
      <w:r>
        <w:instrText xml:space="preserve"> HYPERLINK \l "_Toc462223647" </w:instrText>
      </w:r>
      <w:r>
        <w:fldChar w:fldCharType="separate"/>
      </w:r>
      <w:r>
        <w:rPr>
          <w:rStyle w:val="46"/>
          <w:rFonts w:hint="eastAsia" w:ascii="仿宋" w:hAnsi="仿宋" w:eastAsia="仿宋" w:cs="仿宋"/>
          <w:color w:val="000000" w:themeColor="text1"/>
          <w:sz w:val="24"/>
          <w:szCs w:val="24"/>
          <w14:textFill>
            <w14:solidFill>
              <w14:schemeClr w14:val="tx1"/>
            </w14:solidFill>
          </w14:textFill>
        </w:rPr>
        <w:t>第四章 合同条款</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t>32</w:t>
      </w:r>
    </w:p>
    <w:p>
      <w:pPr>
        <w:pStyle w:val="30"/>
        <w:tabs>
          <w:tab w:val="right" w:leader="dot" w:pos="9683"/>
        </w:tabs>
        <w:spacing w:line="400" w:lineRule="exact"/>
        <w:rPr>
          <w:rFonts w:ascii="仿宋" w:hAnsi="仿宋" w:eastAsia="仿宋" w:cs="仿宋"/>
          <w:color w:val="000000" w:themeColor="text1"/>
          <w:sz w:val="24"/>
          <w:szCs w:val="24"/>
          <w14:textFill>
            <w14:solidFill>
              <w14:schemeClr w14:val="tx1"/>
            </w14:solidFill>
          </w14:textFill>
        </w:rPr>
      </w:pPr>
      <w:r>
        <w:fldChar w:fldCharType="begin"/>
      </w:r>
      <w:r>
        <w:instrText xml:space="preserve"> HYPERLINK \l "_Toc462223650" </w:instrText>
      </w:r>
      <w:r>
        <w:fldChar w:fldCharType="separate"/>
      </w:r>
      <w:r>
        <w:rPr>
          <w:rStyle w:val="46"/>
          <w:rFonts w:hint="eastAsia" w:ascii="仿宋" w:hAnsi="仿宋" w:eastAsia="仿宋" w:cs="仿宋"/>
          <w:color w:val="000000" w:themeColor="text1"/>
          <w:sz w:val="24"/>
          <w:szCs w:val="24"/>
          <w14:textFill>
            <w14:solidFill>
              <w14:schemeClr w14:val="tx1"/>
            </w14:solidFill>
          </w14:textFill>
        </w:rPr>
        <w:t>第五章 投标文件格式</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t>6</w:t>
      </w:r>
    </w:p>
    <w:p>
      <w:pPr>
        <w:pStyle w:val="30"/>
        <w:tabs>
          <w:tab w:val="right" w:leader="dot" w:pos="8541"/>
        </w:tabs>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fldChar w:fldCharType="end"/>
      </w:r>
    </w:p>
    <w:p>
      <w:pPr>
        <w:pStyle w:val="30"/>
        <w:tabs>
          <w:tab w:val="right" w:leader="dot" w:pos="9683"/>
        </w:tabs>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fldChar w:fldCharType="end"/>
      </w:r>
    </w:p>
    <w:p>
      <w:pPr>
        <w:widowControl/>
        <w:spacing w:line="400" w:lineRule="exact"/>
        <w:jc w:val="center"/>
        <w:outlineLvl w:val="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br w:type="page"/>
      </w:r>
      <w:bookmarkStart w:id="0" w:name="_Toc349573118"/>
      <w:bookmarkStart w:id="1" w:name="_Toc349637917"/>
      <w:bookmarkStart w:id="2" w:name="_Toc462223629"/>
      <w:bookmarkStart w:id="3" w:name="_Toc298240402"/>
      <w:r>
        <w:rPr>
          <w:rFonts w:hint="eastAsia" w:ascii="仿宋" w:hAnsi="仿宋" w:eastAsia="仿宋" w:cs="仿宋"/>
          <w:b/>
          <w:color w:val="000000" w:themeColor="text1"/>
          <w:sz w:val="24"/>
          <w:szCs w:val="24"/>
          <w14:textFill>
            <w14:solidFill>
              <w14:schemeClr w14:val="tx1"/>
            </w14:solidFill>
          </w14:textFill>
        </w:rPr>
        <w:t>第一章</w:t>
      </w:r>
      <w:bookmarkEnd w:id="0"/>
      <w:bookmarkEnd w:id="1"/>
      <w:bookmarkEnd w:id="2"/>
      <w:bookmarkEnd w:id="3"/>
      <w:bookmarkStart w:id="4" w:name="_Toc349573119"/>
      <w:bookmarkStart w:id="5" w:name="_Toc298240403"/>
      <w:bookmarkStart w:id="6" w:name="_Toc267301280"/>
      <w:bookmarkStart w:id="7" w:name="_Toc349637918"/>
      <w:bookmarkStart w:id="8" w:name="_Toc462223630"/>
      <w:r>
        <w:rPr>
          <w:rFonts w:hint="eastAsia" w:ascii="仿宋" w:hAnsi="仿宋" w:eastAsia="仿宋" w:cs="仿宋"/>
          <w:b/>
          <w:color w:val="000000" w:themeColor="text1"/>
          <w:sz w:val="24"/>
          <w:szCs w:val="24"/>
          <w14:textFill>
            <w14:solidFill>
              <w14:schemeClr w14:val="tx1"/>
            </w14:solidFill>
          </w14:textFill>
        </w:rPr>
        <w:t xml:space="preserve">  招标公告</w:t>
      </w:r>
    </w:p>
    <w:p>
      <w:pPr>
        <w:widowControl/>
        <w:spacing w:line="500" w:lineRule="exact"/>
        <w:jc w:val="center"/>
        <w:outlineLvl w:val="0"/>
        <w:rPr>
          <w:rFonts w:ascii="仿宋" w:hAnsi="仿宋" w:eastAsia="仿宋" w:cs="仿宋"/>
          <w:b/>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5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项目概况</w:t>
      </w:r>
    </w:p>
    <w:p>
      <w:pPr>
        <w:pBdr>
          <w:top w:val="single" w:color="auto" w:sz="4" w:space="1"/>
          <w:left w:val="single" w:color="auto" w:sz="4" w:space="4"/>
          <w:bottom w:val="single" w:color="auto" w:sz="4" w:space="1"/>
          <w:right w:val="single" w:color="auto" w:sz="4" w:space="4"/>
        </w:pBdr>
        <w:spacing w:line="5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2023年塔城地区重大动物疫病强制免疫疫苗、人畜共患病防控工作项目（布鲁氏菌病活疫苗（M5株或M5-90株））</w:t>
      </w:r>
      <w:r>
        <w:rPr>
          <w:rFonts w:hint="eastAsia" w:ascii="仿宋" w:hAnsi="仿宋" w:eastAsia="仿宋" w:cs="仿宋"/>
          <w:color w:val="000000" w:themeColor="text1"/>
          <w:sz w:val="24"/>
          <w:szCs w:val="24"/>
          <w14:textFill>
            <w14:solidFill>
              <w14:schemeClr w14:val="tx1"/>
            </w14:solidFill>
          </w14:textFill>
        </w:rPr>
        <w:t xml:space="preserve"> 的潜在投标人</w:t>
      </w:r>
      <w:r>
        <w:rPr>
          <w:rFonts w:hint="eastAsia" w:ascii="仿宋" w:hAnsi="仿宋" w:eastAsia="仿宋" w:cs="仿宋"/>
          <w:sz w:val="24"/>
          <w:szCs w:val="24"/>
        </w:rPr>
        <w:t>应于2023年2月</w:t>
      </w:r>
      <w:r>
        <w:rPr>
          <w:rFonts w:hint="eastAsia" w:ascii="仿宋" w:hAnsi="仿宋" w:eastAsia="仿宋" w:cs="仿宋"/>
          <w:sz w:val="24"/>
          <w:szCs w:val="24"/>
          <w:lang w:eastAsia="zh-CN"/>
        </w:rPr>
        <w:t>24日</w:t>
      </w:r>
      <w:r>
        <w:rPr>
          <w:rFonts w:hint="eastAsia" w:ascii="仿宋" w:hAnsi="仿宋" w:eastAsia="仿宋" w:cs="仿宋"/>
          <w:sz w:val="24"/>
          <w:szCs w:val="24"/>
        </w:rPr>
        <w:t>11点00分（北京时间）前在政采云客户端递交投标文件。</w:t>
      </w:r>
    </w:p>
    <w:p>
      <w:pPr>
        <w:pStyle w:val="35"/>
        <w:spacing w:before="0" w:beforeAutospacing="0" w:after="0" w:afterAutospacing="0" w:line="400" w:lineRule="exact"/>
        <w:ind w:left="210"/>
        <w:rPr>
          <w:rFonts w:ascii="仿宋" w:hAnsi="仿宋" w:eastAsia="仿宋" w:cs="仿宋"/>
          <w:b/>
          <w:bCs/>
          <w:color w:val="000000" w:themeColor="text1"/>
          <w14:textFill>
            <w14:solidFill>
              <w14:schemeClr w14:val="tx1"/>
            </w14:solidFill>
          </w14:textFill>
        </w:rPr>
      </w:pPr>
      <w:bookmarkStart w:id="9" w:name="_Toc86229022"/>
      <w:bookmarkStart w:id="10" w:name="_Toc28359002"/>
      <w:bookmarkStart w:id="11" w:name="_Toc28359079"/>
      <w:bookmarkStart w:id="12" w:name="_Toc35393621"/>
      <w:bookmarkStart w:id="13" w:name="_Toc35393790"/>
      <w:bookmarkStart w:id="14" w:name="_Hlk24379207"/>
      <w:r>
        <w:rPr>
          <w:rFonts w:hint="eastAsia" w:ascii="仿宋" w:hAnsi="仿宋" w:eastAsia="仿宋" w:cs="仿宋"/>
          <w:b/>
          <w:bCs/>
          <w:color w:val="000000" w:themeColor="text1"/>
          <w14:textFill>
            <w14:solidFill>
              <w14:schemeClr w14:val="tx1"/>
            </w14:solidFill>
          </w14:textFill>
        </w:rPr>
        <w:t>一、项目基本情况</w:t>
      </w:r>
      <w:bookmarkEnd w:id="9"/>
      <w:bookmarkEnd w:id="10"/>
      <w:bookmarkEnd w:id="11"/>
      <w:bookmarkEnd w:id="12"/>
      <w:bookmarkEnd w:id="13"/>
    </w:p>
    <w:p>
      <w:pPr>
        <w:pStyle w:val="35"/>
        <w:spacing w:before="0" w:beforeAutospacing="0" w:after="0" w:afterAutospacing="0" w:line="400" w:lineRule="exact"/>
        <w:ind w:left="728" w:leftChars="228" w:hanging="249" w:hangingChars="104"/>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采购项目名称：2023年塔城地区重大动物疫病强制免疫疫苗、人畜共患病防控工作项目（布鲁氏菌病活疫苗（M5株或M5-90株））</w:t>
      </w:r>
    </w:p>
    <w:p>
      <w:pPr>
        <w:pStyle w:val="35"/>
        <w:spacing w:before="0" w:beforeAutospacing="0" w:after="0" w:afterAutospacing="0" w:line="400" w:lineRule="exact"/>
        <w:ind w:left="728" w:leftChars="228" w:hanging="249" w:hangingChars="104"/>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采购项目编号：HYGJ-ZFCG-2023-01-008</w:t>
      </w:r>
    </w:p>
    <w:p>
      <w:pPr>
        <w:pStyle w:val="35"/>
        <w:spacing w:before="0" w:beforeAutospacing="0" w:after="0" w:afterAutospacing="0" w:line="400" w:lineRule="exact"/>
        <w:ind w:left="728" w:leftChars="228" w:hanging="249" w:hangingChars="104"/>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采购方式：公开招标</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采购组织类型：分散采购-委托中介机构 </w:t>
      </w:r>
    </w:p>
    <w:bookmarkEnd w:id="14"/>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预算金额：171100元</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最高限价：171100元</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p>
    <w:tbl>
      <w:tblPr>
        <w:tblStyle w:val="39"/>
        <w:tblW w:w="9116"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96"/>
        <w:gridCol w:w="2536"/>
        <w:gridCol w:w="1064"/>
        <w:gridCol w:w="1746"/>
        <w:gridCol w:w="465"/>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96"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标项序号</w:t>
            </w:r>
          </w:p>
        </w:tc>
        <w:tc>
          <w:tcPr>
            <w:tcW w:w="2536"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标项名称</w:t>
            </w:r>
          </w:p>
        </w:tc>
        <w:tc>
          <w:tcPr>
            <w:tcW w:w="1064"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数量</w:t>
            </w:r>
          </w:p>
        </w:tc>
        <w:tc>
          <w:tcPr>
            <w:tcW w:w="1746"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预算金额(元)</w:t>
            </w:r>
          </w:p>
        </w:tc>
        <w:tc>
          <w:tcPr>
            <w:tcW w:w="465"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单位</w:t>
            </w:r>
          </w:p>
        </w:tc>
        <w:tc>
          <w:tcPr>
            <w:tcW w:w="2409"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简要规格描述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0" w:hRule="atLeast"/>
        </w:trPr>
        <w:tc>
          <w:tcPr>
            <w:tcW w:w="896"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c>
          <w:tcPr>
            <w:tcW w:w="2536"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2023年塔城地区重大动物疫病强制免疫疫苗、人畜共患病防控工作项目（布鲁氏菌病活疫苗（M5株或M5-90株））</w:t>
            </w:r>
          </w:p>
        </w:tc>
        <w:tc>
          <w:tcPr>
            <w:tcW w:w="1064"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1</w:t>
            </w:r>
          </w:p>
        </w:tc>
        <w:tc>
          <w:tcPr>
            <w:tcW w:w="1746" w:type="dxa"/>
            <w:tcMar>
              <w:top w:w="75" w:type="dxa"/>
              <w:left w:w="150" w:type="dxa"/>
              <w:bottom w:w="75" w:type="dxa"/>
              <w:right w:w="150"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171100.00</w:t>
            </w:r>
          </w:p>
        </w:tc>
        <w:tc>
          <w:tcPr>
            <w:tcW w:w="465"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批</w:t>
            </w:r>
          </w:p>
        </w:tc>
        <w:tc>
          <w:tcPr>
            <w:tcW w:w="2409"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布鲁氏菌病活疫苗（M5或M5-90株）</w:t>
            </w:r>
          </w:p>
        </w:tc>
      </w:tr>
    </w:tbl>
    <w:p>
      <w:pPr>
        <w:pStyle w:val="35"/>
        <w:spacing w:before="0" w:beforeAutospacing="0" w:after="0" w:afterAutospacing="0" w:line="400" w:lineRule="exact"/>
        <w:ind w:left="210"/>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二、供应商资格要求： </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1.满足《中华人民共和国政府采购法》第二十二条规定；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1）具有独立承担民事责任的能力，有效的营业执照和相应的经营范围、良好的信誉，能够独立承担民事责任，承认并履行招标文件的各项规定；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2）符合中华人民共和国境内注册且具有独立的法人资格，具有有效的营业执照和相应的经营范围、良好的信誉，能够独立承担民事责任，承认并履行招标文件的各项规定；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3）提供2021年度财务审计报告；</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4）在以往经营活动中无任何不良记录</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5）投标人需具备《兽药生产许可证》或《兽药经营许可证》</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6）投标人所投标产品必须具有兽药产品批准文号</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7）所投产品生产商的有效期内的《兽药GMP证书》</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8）投标人投标产品必须具备兽用生物制品生产与检验报告（批签发报告）</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9）能开具符合税法规定的发票，税款由供应商承担；</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10）具有良好的商业信誉和财务状况，制度健全，依法纳税，合法经营，在以往经营活动中没有违规或违约行为；</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11）提供的资格、资质文件和业绩情况均真实有效，否则由报价单位承担由此引起的一切后果及损失；</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12）符合国家法律、法规规定的其他条件</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13）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14）参加招投标活动前三年内，在经营活动中没重大违法记录（受行政主管部门处罚的不能参加投标，提供声明书）。</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16）采购项目需要落实的政府采购政策：符合政府采购优先节约能源、保护环境及促进中小企业，监狱企业、残疾人福利性单位发展的，依据规定给予评审优惠</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2、本项目不接受联合体投标，允许大中型企业向小微企业分包，分包预留份额按新财购 〔2022〕22号文件内容执行。</w:t>
      </w:r>
    </w:p>
    <w:p>
      <w:pPr>
        <w:pStyle w:val="35"/>
        <w:spacing w:before="0" w:beforeAutospacing="0" w:after="0" w:afterAutospacing="0" w:line="400" w:lineRule="exact"/>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三、获取招标文件</w:t>
      </w:r>
    </w:p>
    <w:p>
      <w:pPr>
        <w:pStyle w:val="35"/>
        <w:spacing w:before="0" w:beforeAutospacing="0" w:after="0" w:afterAutospacing="0" w:line="400" w:lineRule="exact"/>
        <w:ind w:firstLine="480" w:firstLineChars="200"/>
        <w:rPr>
          <w:rFonts w:ascii="仿宋" w:hAnsi="仿宋" w:eastAsia="仿宋" w:cs="仿宋"/>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仿宋" w:hAnsi="仿宋" w:eastAsia="仿宋" w:cs="仿宋"/>
          <w:color w:val="000000" w:themeColor="text1"/>
          <w14:textFill>
            <w14:solidFill>
              <w14:schemeClr w14:val="tx1"/>
            </w14:solidFill>
          </w14:textFill>
        </w:rPr>
        <w:t>获取投标文件时</w:t>
      </w:r>
      <w:r>
        <w:rPr>
          <w:rStyle w:val="42"/>
          <w:rFonts w:hint="eastAsia" w:ascii="仿宋" w:hAnsi="仿宋" w:eastAsia="仿宋" w:cs="仿宋"/>
          <w:b w:val="0"/>
          <w:bCs w:val="0"/>
          <w:color w:val="000000" w:themeColor="text1"/>
          <w14:textFill>
            <w14:solidFill>
              <w14:schemeClr w14:val="tx1"/>
            </w14:solidFill>
          </w14:textFill>
        </w:rPr>
        <w:t>间：2023年2月</w:t>
      </w:r>
      <w:r>
        <w:rPr>
          <w:rStyle w:val="42"/>
          <w:rFonts w:hint="eastAsia" w:ascii="仿宋" w:hAnsi="仿宋" w:eastAsia="仿宋" w:cs="仿宋"/>
          <w:b w:val="0"/>
          <w:bCs w:val="0"/>
          <w:color w:val="000000" w:themeColor="text1"/>
          <w:lang w:val="en-US" w:eastAsia="zh-CN"/>
          <w14:textFill>
            <w14:solidFill>
              <w14:schemeClr w14:val="tx1"/>
            </w14:solidFill>
          </w14:textFill>
        </w:rPr>
        <w:t>4</w:t>
      </w:r>
      <w:r>
        <w:rPr>
          <w:rStyle w:val="42"/>
          <w:rFonts w:hint="eastAsia" w:ascii="仿宋" w:hAnsi="仿宋" w:eastAsia="仿宋" w:cs="仿宋"/>
          <w:b w:val="0"/>
          <w:bCs w:val="0"/>
          <w:color w:val="000000" w:themeColor="text1"/>
          <w14:textFill>
            <w14:solidFill>
              <w14:schemeClr w14:val="tx1"/>
            </w14:solidFill>
          </w14:textFill>
        </w:rPr>
        <w:t>日至2023年2月</w:t>
      </w:r>
      <w:r>
        <w:rPr>
          <w:rStyle w:val="42"/>
          <w:rFonts w:hint="eastAsia" w:ascii="仿宋" w:hAnsi="仿宋" w:eastAsia="仿宋" w:cs="仿宋"/>
          <w:b w:val="0"/>
          <w:bCs w:val="0"/>
          <w:color w:val="000000" w:themeColor="text1"/>
          <w:lang w:val="en-US" w:eastAsia="zh-CN"/>
          <w14:textFill>
            <w14:solidFill>
              <w14:schemeClr w14:val="tx1"/>
            </w14:solidFill>
          </w14:textFill>
        </w:rPr>
        <w:t>10</w:t>
      </w:r>
      <w:r>
        <w:rPr>
          <w:rStyle w:val="42"/>
          <w:rFonts w:hint="eastAsia" w:ascii="仿宋" w:hAnsi="仿宋" w:eastAsia="仿宋" w:cs="仿宋"/>
          <w:b w:val="0"/>
          <w:bCs w:val="0"/>
          <w:color w:val="000000" w:themeColor="text1"/>
          <w14:textFill>
            <w14:solidFill>
              <w14:schemeClr w14:val="tx1"/>
            </w14:solidFill>
          </w14:textFill>
        </w:rPr>
        <w:t>日，每天上午10:00至14:00，下午15:30至19:30（北京时间，法定节假日除外）</w:t>
      </w:r>
    </w:p>
    <w:p>
      <w:pPr>
        <w:pStyle w:val="35"/>
        <w:spacing w:before="0" w:beforeAutospacing="0" w:after="0" w:afterAutospacing="0" w:line="400" w:lineRule="exact"/>
        <w:ind w:firstLine="48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2、获取投标文件地址：</w:t>
      </w:r>
      <w:r>
        <w:rPr>
          <w:rStyle w:val="42"/>
          <w:rFonts w:hint="eastAsia" w:ascii="仿宋" w:hAnsi="仿宋" w:eastAsia="仿宋" w:cs="仿宋"/>
          <w:b w:val="0"/>
          <w:bCs w:val="0"/>
          <w:color w:val="000000" w:themeColor="text1"/>
          <w14:textFill>
            <w14:solidFill>
              <w14:schemeClr w14:val="tx1"/>
            </w14:solidFill>
          </w14:textFill>
        </w:rPr>
        <w:t>政采云平台http://www.zcygov.cn</w:t>
      </w:r>
    </w:p>
    <w:p>
      <w:pPr>
        <w:pStyle w:val="35"/>
        <w:spacing w:before="0" w:beforeAutospacing="0" w:after="0" w:afterAutospacing="0" w:line="400" w:lineRule="exact"/>
        <w:ind w:firstLine="470" w:firstLineChars="196"/>
        <w:rPr>
          <w:rStyle w:val="42"/>
          <w:rFonts w:ascii="仿宋" w:hAnsi="仿宋" w:eastAsia="仿宋" w:cs="仿宋"/>
          <w:b w:val="0"/>
          <w:bCs w:val="0"/>
          <w:color w:val="000000" w:themeColor="text1"/>
          <w:u w:val="single"/>
          <w14:textFill>
            <w14:solidFill>
              <w14:schemeClr w14:val="tx1"/>
            </w14:solidFill>
          </w14:textFill>
        </w:rPr>
      </w:pPr>
      <w:r>
        <w:rPr>
          <w:rStyle w:val="42"/>
          <w:rFonts w:hint="eastAsia" w:ascii="仿宋" w:hAnsi="仿宋" w:eastAsia="仿宋" w:cs="仿宋"/>
          <w:b w:val="0"/>
          <w:bCs w:val="0"/>
          <w:color w:val="000000" w:themeColor="text1"/>
          <w14:textFill>
            <w14:solidFill>
              <w14:schemeClr w14:val="tx1"/>
            </w14:solidFill>
          </w14:textFill>
        </w:rPr>
        <w:t xml:space="preserve">3、获取采购文件方式：线上获取。供应商登录政采云平台https://www.zcygov.cn/在线申请获取招标文件（进入“项目采购”应用，在获取招标文件菜单中选择项目，申请获取招标文件） </w:t>
      </w:r>
    </w:p>
    <w:p>
      <w:pPr>
        <w:pStyle w:val="35"/>
        <w:spacing w:before="0" w:beforeAutospacing="0" w:after="0" w:afterAutospacing="0" w:line="400" w:lineRule="exact"/>
        <w:ind w:firstLine="470" w:firstLineChars="196"/>
        <w:rPr>
          <w:rStyle w:val="42"/>
          <w:rFonts w:ascii="仿宋" w:hAnsi="仿宋" w:eastAsia="仿宋" w:cs="仿宋"/>
          <w:b w:val="0"/>
          <w:bCs w:val="0"/>
          <w:color w:val="000000" w:themeColor="text1"/>
          <w14:textFill>
            <w14:solidFill>
              <w14:schemeClr w14:val="tx1"/>
            </w14:solidFill>
          </w14:textFill>
        </w:rPr>
      </w:pPr>
      <w:r>
        <w:rPr>
          <w:rStyle w:val="42"/>
          <w:rFonts w:hint="eastAsia" w:ascii="仿宋" w:hAnsi="仿宋" w:eastAsia="仿宋" w:cs="仿宋"/>
          <w:b w:val="0"/>
          <w:bCs w:val="0"/>
          <w:color w:val="000000" w:themeColor="text1"/>
          <w14:textFill>
            <w14:solidFill>
              <w14:schemeClr w14:val="tx1"/>
            </w14:solidFill>
          </w14:textFill>
        </w:rPr>
        <w:t>4、采购标文件售价（元）：0/份</w:t>
      </w:r>
      <w:r>
        <w:rPr>
          <w:rStyle w:val="42"/>
          <w:rFonts w:hint="eastAsia" w:ascii="仿宋" w:hAnsi="仿宋" w:eastAsia="仿宋" w:cs="仿宋"/>
          <w:b w:val="0"/>
          <w:bCs w:val="0"/>
          <w:color w:val="000000" w:themeColor="text1"/>
          <w14:textFill>
            <w14:solidFill>
              <w14:schemeClr w14:val="tx1"/>
            </w14:solidFill>
          </w14:textFill>
        </w:rPr>
        <w:tab/>
      </w:r>
    </w:p>
    <w:p>
      <w:pPr>
        <w:pStyle w:val="7"/>
        <w:spacing w:line="400" w:lineRule="exact"/>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四、提交投标文件截止时间、开标时间和地点</w:t>
      </w:r>
    </w:p>
    <w:p>
      <w:pPr>
        <w:spacing w:line="400" w:lineRule="exact"/>
        <w:ind w:firstLine="480" w:firstLineChars="200"/>
        <w:rPr>
          <w:rStyle w:val="42"/>
          <w:rFonts w:ascii="仿宋" w:hAnsi="仿宋" w:eastAsia="仿宋" w:cs="仿宋"/>
          <w:b w:val="0"/>
          <w:bCs w:val="0"/>
          <w:color w:val="000000" w:themeColor="text1"/>
          <w:kern w:val="0"/>
          <w:sz w:val="24"/>
          <w:szCs w:val="24"/>
          <w14:textFill>
            <w14:solidFill>
              <w14:schemeClr w14:val="tx1"/>
            </w14:solidFill>
          </w14:textFill>
        </w:rPr>
      </w:pPr>
      <w:r>
        <w:rPr>
          <w:rStyle w:val="42"/>
          <w:rFonts w:hint="eastAsia" w:ascii="仿宋" w:hAnsi="仿宋" w:eastAsia="仿宋" w:cs="仿宋"/>
          <w:b w:val="0"/>
          <w:bCs w:val="0"/>
          <w:color w:val="000000" w:themeColor="text1"/>
          <w:kern w:val="0"/>
          <w:sz w:val="24"/>
          <w:szCs w:val="24"/>
          <w14:textFill>
            <w14:solidFill>
              <w14:schemeClr w14:val="tx1"/>
            </w14:solidFill>
          </w14:textFill>
        </w:rPr>
        <w:t>1.提交投标文件截止时间、开标时间：</w:t>
      </w:r>
      <w:r>
        <w:rPr>
          <w:rFonts w:hint="eastAsia" w:ascii="仿宋" w:hAnsi="仿宋" w:eastAsia="仿宋" w:cs="仿宋"/>
          <w:color w:val="000000" w:themeColor="text1"/>
          <w:sz w:val="24"/>
          <w:szCs w:val="24"/>
          <w14:textFill>
            <w14:solidFill>
              <w14:schemeClr w14:val="tx1"/>
            </w14:solidFill>
          </w14:textFill>
        </w:rPr>
        <w:t>2023年2月</w:t>
      </w:r>
      <w:r>
        <w:rPr>
          <w:rFonts w:hint="eastAsia" w:ascii="仿宋" w:hAnsi="仿宋" w:eastAsia="仿宋" w:cs="仿宋"/>
          <w:color w:val="000000" w:themeColor="text1"/>
          <w:sz w:val="24"/>
          <w:szCs w:val="24"/>
          <w:lang w:eastAsia="zh-CN"/>
          <w14:textFill>
            <w14:solidFill>
              <w14:schemeClr w14:val="tx1"/>
            </w14:solidFill>
          </w14:textFill>
        </w:rPr>
        <w:t>24日</w:t>
      </w:r>
      <w:r>
        <w:rPr>
          <w:rFonts w:hint="eastAsia" w:ascii="仿宋" w:hAnsi="仿宋" w:eastAsia="仿宋" w:cs="仿宋"/>
          <w:color w:val="000000" w:themeColor="text1"/>
          <w:sz w:val="24"/>
          <w:szCs w:val="24"/>
          <w14:textFill>
            <w14:solidFill>
              <w14:schemeClr w14:val="tx1"/>
            </w14:solidFill>
          </w14:textFill>
        </w:rPr>
        <w:t>11点00分</w:t>
      </w:r>
      <w:r>
        <w:rPr>
          <w:rStyle w:val="42"/>
          <w:rFonts w:hint="eastAsia" w:ascii="仿宋" w:hAnsi="仿宋" w:eastAsia="仿宋" w:cs="仿宋"/>
          <w:b w:val="0"/>
          <w:bCs w:val="0"/>
          <w:color w:val="000000" w:themeColor="text1"/>
          <w:kern w:val="0"/>
          <w:sz w:val="24"/>
          <w:szCs w:val="24"/>
          <w14:textFill>
            <w14:solidFill>
              <w14:schemeClr w14:val="tx1"/>
            </w14:solidFill>
          </w14:textFill>
        </w:rPr>
        <w:t>（北京时间）</w:t>
      </w:r>
    </w:p>
    <w:p>
      <w:pPr>
        <w:spacing w:line="400" w:lineRule="exact"/>
        <w:ind w:firstLine="480" w:firstLineChars="200"/>
        <w:rPr>
          <w:rStyle w:val="42"/>
          <w:rFonts w:ascii="仿宋" w:hAnsi="仿宋" w:eastAsia="仿宋" w:cs="仿宋"/>
          <w:b w:val="0"/>
          <w:bCs w:val="0"/>
          <w:color w:val="000000" w:themeColor="text1"/>
          <w14:textFill>
            <w14:solidFill>
              <w14:schemeClr w14:val="tx1"/>
            </w14:solidFill>
          </w14:textFill>
        </w:rPr>
      </w:pPr>
      <w:r>
        <w:rPr>
          <w:rStyle w:val="42"/>
          <w:rFonts w:hint="eastAsia" w:ascii="仿宋" w:hAnsi="仿宋" w:eastAsia="仿宋" w:cs="仿宋"/>
          <w:b w:val="0"/>
          <w:bCs w:val="0"/>
          <w:color w:val="000000" w:themeColor="text1"/>
          <w:kern w:val="0"/>
          <w:sz w:val="24"/>
          <w:szCs w:val="24"/>
          <w14:textFill>
            <w14:solidFill>
              <w14:schemeClr w14:val="tx1"/>
            </w14:solidFill>
          </w14:textFill>
        </w:rPr>
        <w:t>2.地点：</w:t>
      </w:r>
      <w:r>
        <w:rPr>
          <w:rStyle w:val="42"/>
          <w:rFonts w:hint="eastAsia" w:ascii="仿宋" w:hAnsi="仿宋" w:eastAsia="仿宋" w:cs="仿宋"/>
          <w:b w:val="0"/>
          <w:bCs w:val="0"/>
          <w:color w:val="000000" w:themeColor="text1"/>
          <w14:textFill>
            <w14:solidFill>
              <w14:schemeClr w14:val="tx1"/>
            </w14:solidFill>
          </w14:textFill>
        </w:rPr>
        <w:t>政采云客户端</w:t>
      </w:r>
    </w:p>
    <w:p>
      <w:pPr>
        <w:spacing w:line="400" w:lineRule="exact"/>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五、公告期限</w:t>
      </w:r>
    </w:p>
    <w:p>
      <w:pPr>
        <w:pStyle w:val="7"/>
        <w:spacing w:line="400" w:lineRule="exact"/>
        <w:ind w:firstLine="480" w:firstLineChars="200"/>
        <w:rPr>
          <w:rFonts w:ascii="仿宋" w:hAnsi="仿宋" w:eastAsia="仿宋" w:cs="仿宋"/>
          <w:bCs w:val="0"/>
          <w:color w:val="000000" w:themeColor="text1"/>
          <w:kern w:val="0"/>
          <w:sz w:val="24"/>
          <w:szCs w:val="24"/>
          <w14:textFill>
            <w14:solidFill>
              <w14:schemeClr w14:val="tx1"/>
            </w14:solidFill>
          </w14:textFill>
        </w:rPr>
      </w:pPr>
      <w:r>
        <w:rPr>
          <w:rFonts w:hint="eastAsia" w:ascii="仿宋" w:hAnsi="仿宋" w:eastAsia="仿宋" w:cs="仿宋"/>
          <w:bCs w:val="0"/>
          <w:color w:val="000000" w:themeColor="text1"/>
          <w:kern w:val="0"/>
          <w:sz w:val="24"/>
          <w:szCs w:val="24"/>
          <w14:textFill>
            <w14:solidFill>
              <w14:schemeClr w14:val="tx1"/>
            </w14:solidFill>
          </w14:textFill>
        </w:rPr>
        <w:t>招标公告及招标文件公告期限为自本公告发布之日起5个工作日。</w:t>
      </w:r>
    </w:p>
    <w:p>
      <w:pPr>
        <w:pStyle w:val="7"/>
        <w:spacing w:line="400" w:lineRule="exact"/>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六、补充说明</w:t>
      </w:r>
    </w:p>
    <w:p>
      <w:pPr>
        <w:spacing w:line="400" w:lineRule="exact"/>
        <w:ind w:firstLine="480" w:firstLineChars="200"/>
        <w:rPr>
          <w:rStyle w:val="42"/>
          <w:rFonts w:hint="eastAsia" w:ascii="仿宋" w:hAnsi="仿宋" w:eastAsia="仿宋" w:cs="仿宋"/>
          <w:b w:val="0"/>
          <w:bCs w:val="0"/>
          <w:color w:val="000000" w:themeColor="text1"/>
          <w:kern w:val="0"/>
          <w:sz w:val="24"/>
          <w:szCs w:val="24"/>
          <w14:textFill>
            <w14:solidFill>
              <w14:schemeClr w14:val="tx1"/>
            </w14:solidFill>
          </w14:textFill>
        </w:rPr>
      </w:pPr>
      <w:r>
        <w:rPr>
          <w:rStyle w:val="42"/>
          <w:rFonts w:hint="eastAsia" w:ascii="仿宋" w:hAnsi="仿宋" w:eastAsia="仿宋" w:cs="仿宋"/>
          <w:b w:val="0"/>
          <w:bCs w:val="0"/>
          <w:color w:val="000000" w:themeColor="text1"/>
          <w:kern w:val="0"/>
          <w:sz w:val="24"/>
          <w:szCs w:val="24"/>
          <w14:textFill>
            <w14:solidFill>
              <w14:schemeClr w14:val="tx1"/>
            </w14:solidFill>
          </w14:textFill>
        </w:rPr>
        <w:t>1、各供应商应在开标前确保成为新疆维吾尔自治区政府采购网正式注册入库供应商，并完成CA数字证书申领。因未注册入库、未办理CA数字证书等原因造成无法投标或投标失败等后果由供应商自行承担。</w:t>
      </w:r>
    </w:p>
    <w:p>
      <w:pPr>
        <w:spacing w:line="400" w:lineRule="exact"/>
        <w:ind w:firstLine="480" w:firstLineChars="200"/>
        <w:rPr>
          <w:rStyle w:val="42"/>
          <w:rFonts w:hint="eastAsia" w:ascii="仿宋" w:hAnsi="仿宋" w:eastAsia="仿宋" w:cs="仿宋"/>
          <w:b w:val="0"/>
          <w:bCs w:val="0"/>
          <w:color w:val="000000" w:themeColor="text1"/>
          <w:kern w:val="0"/>
          <w:sz w:val="24"/>
          <w:szCs w:val="24"/>
          <w14:textFill>
            <w14:solidFill>
              <w14:schemeClr w14:val="tx1"/>
            </w14:solidFill>
          </w14:textFill>
        </w:rPr>
      </w:pPr>
      <w:r>
        <w:rPr>
          <w:rStyle w:val="42"/>
          <w:rFonts w:hint="eastAsia" w:ascii="仿宋" w:hAnsi="仿宋" w:eastAsia="仿宋" w:cs="仿宋"/>
          <w:b w:val="0"/>
          <w:bCs w:val="0"/>
          <w:color w:val="000000" w:themeColor="text1"/>
          <w:kern w:val="0"/>
          <w:sz w:val="24"/>
          <w:szCs w:val="24"/>
          <w14:textFill>
            <w14:solidFill>
              <w14:schemeClr w14:val="tx1"/>
            </w14:solidFill>
          </w14:textFill>
        </w:rPr>
        <w:t>2、有意向参与新疆区域电子开评标的投标人，可访问新疆数字证书认证中心官方网站（https://www.xjca.com.cn/）或下载“新疆政务通”APP自行进行申领。如需咨询，请联系新疆CA服务热线0991-2819290。</w:t>
      </w:r>
    </w:p>
    <w:p>
      <w:pPr>
        <w:spacing w:line="400" w:lineRule="exact"/>
        <w:ind w:firstLine="480" w:firstLineChars="200"/>
        <w:rPr>
          <w:rStyle w:val="42"/>
          <w:rFonts w:hint="eastAsia" w:ascii="仿宋" w:hAnsi="仿宋" w:eastAsia="仿宋" w:cs="仿宋"/>
          <w:b w:val="0"/>
          <w:bCs w:val="0"/>
          <w:color w:val="000000" w:themeColor="text1"/>
          <w:kern w:val="0"/>
          <w:sz w:val="24"/>
          <w:szCs w:val="24"/>
          <w14:textFill>
            <w14:solidFill>
              <w14:schemeClr w14:val="tx1"/>
            </w14:solidFill>
          </w14:textFill>
        </w:rPr>
      </w:pPr>
      <w:r>
        <w:rPr>
          <w:rStyle w:val="42"/>
          <w:rFonts w:hint="eastAsia" w:ascii="仿宋" w:hAnsi="仿宋" w:eastAsia="仿宋" w:cs="仿宋"/>
          <w:b w:val="0"/>
          <w:bCs w:val="0"/>
          <w:color w:val="000000" w:themeColor="text1"/>
          <w:kern w:val="0"/>
          <w:sz w:val="24"/>
          <w:szCs w:val="24"/>
          <w14:textFill>
            <w14:solidFill>
              <w14:schemeClr w14:val="tx1"/>
            </w14:solidFill>
          </w14:textFill>
        </w:rPr>
        <w:t>3、供应商可前往新疆政府采购网（http://www.ccgp-xinjiang.gov.cn/）下载专区，下载政采云电子投标客户端，安装完成后，可通过账号密码或CA登录客户端进行响应文件制作。如有问题可拨打政采云客户服务热线400-881-7190进行咨询。</w:t>
      </w:r>
    </w:p>
    <w:p>
      <w:pPr>
        <w:spacing w:line="400" w:lineRule="exact"/>
        <w:ind w:firstLine="480" w:firstLineChars="200"/>
        <w:rPr>
          <w:rStyle w:val="42"/>
          <w:rFonts w:hint="eastAsia" w:ascii="仿宋" w:hAnsi="仿宋" w:eastAsia="仿宋" w:cs="仿宋"/>
          <w:b w:val="0"/>
          <w:bCs w:val="0"/>
          <w:color w:val="000000" w:themeColor="text1"/>
          <w:kern w:val="0"/>
          <w:sz w:val="24"/>
          <w:szCs w:val="24"/>
          <w14:textFill>
            <w14:solidFill>
              <w14:schemeClr w14:val="tx1"/>
            </w14:solidFill>
          </w14:textFill>
        </w:rPr>
      </w:pPr>
      <w:r>
        <w:rPr>
          <w:rStyle w:val="42"/>
          <w:rFonts w:hint="eastAsia" w:ascii="仿宋" w:hAnsi="仿宋" w:eastAsia="仿宋" w:cs="仿宋"/>
          <w:b w:val="0"/>
          <w:bCs w:val="0"/>
          <w:color w:val="000000" w:themeColor="text1"/>
          <w:kern w:val="0"/>
          <w:sz w:val="24"/>
          <w:szCs w:val="24"/>
          <w14:textFill>
            <w14:solidFill>
              <w14:schemeClr w14:val="tx1"/>
            </w14:solidFill>
          </w14:textFill>
        </w:rPr>
        <w:t>4、本项目采用不见面开标，供应商须在投标截止时间前通过CA在政采云平台上传加密的电子响应文件。备注：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w:t>
      </w:r>
    </w:p>
    <w:p>
      <w:pPr>
        <w:spacing w:line="400" w:lineRule="exact"/>
        <w:ind w:firstLine="480" w:firstLineChars="200"/>
        <w:rPr>
          <w:rStyle w:val="42"/>
          <w:rFonts w:hint="eastAsia" w:ascii="仿宋" w:hAnsi="仿宋" w:eastAsia="仿宋" w:cs="仿宋"/>
          <w:b w:val="0"/>
          <w:bCs w:val="0"/>
          <w:color w:val="000000" w:themeColor="text1"/>
          <w:kern w:val="0"/>
          <w:sz w:val="24"/>
          <w:szCs w:val="24"/>
          <w14:textFill>
            <w14:solidFill>
              <w14:schemeClr w14:val="tx1"/>
            </w14:solidFill>
          </w14:textFill>
        </w:rPr>
      </w:pPr>
      <w:r>
        <w:rPr>
          <w:rStyle w:val="42"/>
          <w:rFonts w:hint="eastAsia" w:ascii="仿宋" w:hAnsi="仿宋" w:eastAsia="仿宋" w:cs="仿宋"/>
          <w:b w:val="0"/>
          <w:bCs w:val="0"/>
          <w:color w:val="000000" w:themeColor="text1"/>
          <w:kern w:val="0"/>
          <w:sz w:val="24"/>
          <w:szCs w:val="24"/>
          <w14:textFill>
            <w14:solidFill>
              <w14:schemeClr w14:val="tx1"/>
            </w14:solidFill>
          </w14:textFill>
        </w:rPr>
        <w:t>5、供应商在开标前须提前配置好电脑浏览器（建议使用360浏览器或谷歌浏览器），开标时请使用制作加密电子响应文件的CA锁进行解密及报价确认。本项目响应文件解密时间定为60分钟，如因自身原因（如：浏览器故障、未安装相关驱动、网络故障、加密CA与解密CA不一致等）导致无法正常解密，后果由供应商自行承担。</w:t>
      </w:r>
    </w:p>
    <w:p>
      <w:pPr>
        <w:spacing w:line="400" w:lineRule="exact"/>
        <w:ind w:firstLine="480" w:firstLineChars="200"/>
        <w:rPr>
          <w:rStyle w:val="42"/>
          <w:rFonts w:hint="eastAsia" w:ascii="仿宋" w:hAnsi="仿宋" w:eastAsia="仿宋" w:cs="仿宋"/>
          <w:b w:val="0"/>
          <w:bCs w:val="0"/>
          <w:color w:val="000000" w:themeColor="text1"/>
          <w:kern w:val="0"/>
          <w:sz w:val="24"/>
          <w:szCs w:val="24"/>
          <w14:textFill>
            <w14:solidFill>
              <w14:schemeClr w14:val="tx1"/>
            </w14:solidFill>
          </w14:textFill>
        </w:rPr>
      </w:pPr>
      <w:r>
        <w:rPr>
          <w:rStyle w:val="42"/>
          <w:rFonts w:hint="eastAsia" w:ascii="仿宋" w:hAnsi="仿宋" w:eastAsia="仿宋" w:cs="仿宋"/>
          <w:b w:val="0"/>
          <w:bCs w:val="0"/>
          <w:color w:val="000000" w:themeColor="text1"/>
          <w:kern w:val="0"/>
          <w:sz w:val="24"/>
          <w:szCs w:val="24"/>
          <w14:textFill>
            <w14:solidFill>
              <w14:schemeClr w14:val="tx1"/>
            </w14:solidFill>
          </w14:textFill>
        </w:rPr>
        <w:t>6、为了保证开评标顺利进行，投标人开标所使用的电脑设备须具有视频及语音功能。</w:t>
      </w:r>
    </w:p>
    <w:p>
      <w:pPr>
        <w:pStyle w:val="7"/>
        <w:spacing w:line="400" w:lineRule="exact"/>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七、联系方式</w:t>
      </w:r>
    </w:p>
    <w:p>
      <w:pPr>
        <w:widowControl/>
        <w:shd w:val="clear" w:color="auto" w:fill="FFFFFF"/>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1、采购人名称：塔城地区动物疾病控制与诊断中心</w:t>
      </w:r>
    </w:p>
    <w:p>
      <w:pPr>
        <w:widowControl/>
        <w:shd w:val="clear" w:color="auto" w:fill="FFFFFF"/>
        <w:spacing w:line="400" w:lineRule="exact"/>
        <w:ind w:firstLine="592" w:firstLineChars="247"/>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联 系 人：李树迅   </w:t>
      </w:r>
    </w:p>
    <w:p>
      <w:pPr>
        <w:widowControl/>
        <w:shd w:val="clear" w:color="auto" w:fill="FFFFFF"/>
        <w:spacing w:line="400" w:lineRule="exact"/>
        <w:ind w:firstLine="592" w:firstLineChars="247"/>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联系电话：15809016885</w:t>
      </w:r>
    </w:p>
    <w:p>
      <w:pPr>
        <w:widowControl/>
        <w:shd w:val="clear" w:color="auto" w:fill="FFFFFF"/>
        <w:spacing w:line="400" w:lineRule="exact"/>
        <w:ind w:firstLine="592" w:firstLineChars="247"/>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地址：塔城市宏图街54号</w:t>
      </w:r>
    </w:p>
    <w:p>
      <w:pPr>
        <w:widowControl/>
        <w:shd w:val="clear" w:color="auto" w:fill="FFFFFF"/>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2、采购代理机构名称：宏业国际项目管理有限公司</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联系人：李苗</w:t>
      </w:r>
    </w:p>
    <w:p>
      <w:pPr>
        <w:pStyle w:val="35"/>
        <w:spacing w:before="0" w:beforeAutospacing="0" w:after="0" w:afterAutospacing="0" w:line="400" w:lineRule="exact"/>
        <w:ind w:firstLine="470" w:firstLineChars="196"/>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联系电话：15022921857</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地址：乌鲁木齐水磨沟区红光山路万科大都会8号楼1202</w:t>
      </w:r>
    </w:p>
    <w:p>
      <w:pPr>
        <w:widowControl/>
        <w:shd w:val="clear" w:color="auto" w:fill="FFFFFF"/>
        <w:spacing w:line="400" w:lineRule="exact"/>
        <w:ind w:firstLine="352" w:firstLineChars="147"/>
        <w:jc w:val="left"/>
        <w:rPr>
          <w:rFonts w:ascii="仿宋" w:hAnsi="仿宋" w:eastAsia="仿宋" w:cs="仿宋"/>
          <w:color w:val="000000" w:themeColor="text1"/>
          <w:kern w:val="0"/>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第二章  供应商须知</w:t>
      </w:r>
      <w:bookmarkEnd w:id="4"/>
      <w:bookmarkEnd w:id="5"/>
      <w:bookmarkEnd w:id="6"/>
      <w:bookmarkEnd w:id="7"/>
      <w:bookmarkEnd w:id="8"/>
      <w:bookmarkStart w:id="15" w:name="_Toc349573120"/>
      <w:bookmarkStart w:id="16" w:name="_Toc298240404"/>
      <w:bookmarkStart w:id="17" w:name="_Toc267301281"/>
      <w:bookmarkStart w:id="18" w:name="_Toc349637919"/>
    </w:p>
    <w:p>
      <w:pPr>
        <w:spacing w:line="400" w:lineRule="exact"/>
        <w:jc w:val="center"/>
        <w:rPr>
          <w:rFonts w:ascii="仿宋" w:hAnsi="仿宋" w:eastAsia="仿宋" w:cs="仿宋"/>
          <w:b/>
          <w:color w:val="000000" w:themeColor="text1"/>
          <w:sz w:val="24"/>
          <w:szCs w:val="24"/>
          <w14:textFill>
            <w14:solidFill>
              <w14:schemeClr w14:val="tx1"/>
            </w14:solidFill>
          </w14:textFill>
        </w:rPr>
      </w:pPr>
      <w:bookmarkStart w:id="19" w:name="_Toc462223631"/>
      <w:r>
        <w:rPr>
          <w:rFonts w:hint="eastAsia" w:ascii="仿宋" w:hAnsi="仿宋" w:eastAsia="仿宋" w:cs="仿宋"/>
          <w:b/>
          <w:color w:val="000000" w:themeColor="text1"/>
          <w:sz w:val="24"/>
          <w:szCs w:val="24"/>
          <w14:textFill>
            <w14:solidFill>
              <w14:schemeClr w14:val="tx1"/>
            </w14:solidFill>
          </w14:textFill>
        </w:rPr>
        <w:t>供应商须知前附表</w:t>
      </w:r>
      <w:bookmarkEnd w:id="15"/>
      <w:bookmarkEnd w:id="16"/>
      <w:bookmarkEnd w:id="17"/>
      <w:bookmarkEnd w:id="18"/>
      <w:bookmarkEnd w:id="19"/>
    </w:p>
    <w:tbl>
      <w:tblPr>
        <w:tblStyle w:val="39"/>
        <w:tblW w:w="952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17"/>
        <w:gridCol w:w="1395"/>
        <w:gridCol w:w="1108"/>
        <w:gridCol w:w="590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tblHeader/>
          <w:jc w:val="center"/>
        </w:trPr>
        <w:tc>
          <w:tcPr>
            <w:tcW w:w="1117" w:type="dxa"/>
            <w:vAlign w:val="center"/>
          </w:tcPr>
          <w:p>
            <w:pPr>
              <w:adjustRightInd w:val="0"/>
              <w:snapToGrid w:val="0"/>
              <w:spacing w:before="204" w:beforeLines="50"/>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序列号</w:t>
            </w:r>
          </w:p>
        </w:tc>
        <w:tc>
          <w:tcPr>
            <w:tcW w:w="2503" w:type="dxa"/>
            <w:gridSpan w:val="2"/>
            <w:vAlign w:val="center"/>
          </w:tcPr>
          <w:p>
            <w:pPr>
              <w:adjustRightInd w:val="0"/>
              <w:snapToGrid w:val="0"/>
              <w:spacing w:before="204" w:beforeLines="50"/>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条款名称</w:t>
            </w:r>
          </w:p>
        </w:tc>
        <w:tc>
          <w:tcPr>
            <w:tcW w:w="5903" w:type="dxa"/>
            <w:vAlign w:val="center"/>
          </w:tcPr>
          <w:p>
            <w:pPr>
              <w:adjustRightInd w:val="0"/>
              <w:snapToGrid w:val="0"/>
              <w:spacing w:before="204" w:beforeLines="50"/>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项目名称</w:t>
            </w:r>
          </w:p>
        </w:tc>
        <w:tc>
          <w:tcPr>
            <w:tcW w:w="5903" w:type="dxa"/>
            <w:vAlign w:val="center"/>
          </w:tcPr>
          <w:p>
            <w:pPr>
              <w:widowControl/>
              <w:wordWrap w:val="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2023年塔城地区重大动物疫病强制免疫疫苗、人畜共患病防控工作项目（布鲁氏菌病活疫苗（M5株或M5-90株））</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88"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采购人</w:t>
            </w:r>
          </w:p>
        </w:tc>
        <w:tc>
          <w:tcPr>
            <w:tcW w:w="5903" w:type="dxa"/>
            <w:vAlign w:val="center"/>
          </w:tcPr>
          <w:p>
            <w:pPr>
              <w:widowControl/>
              <w:shd w:val="clear" w:color="auto" w:fill="FFFFFF"/>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采购人名称：塔城地区动物疾病控制与诊断中心</w:t>
            </w:r>
          </w:p>
          <w:p>
            <w:pPr>
              <w:widowControl/>
              <w:shd w:val="clear" w:color="auto" w:fill="FFFFFF"/>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联 系 人：李树迅   </w:t>
            </w:r>
          </w:p>
          <w:p>
            <w:pPr>
              <w:widowControl/>
              <w:shd w:val="clear" w:color="auto" w:fill="FFFFFF"/>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联系电话：15809016885</w:t>
            </w:r>
          </w:p>
          <w:p>
            <w:pPr>
              <w:pStyle w:val="35"/>
              <w:shd w:val="clear" w:color="auto" w:fill="FFFFFF"/>
              <w:spacing w:before="0" w:beforeAutospacing="0" w:after="0" w:afterAutospacing="0" w:line="400" w:lineRule="exac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地址：塔城市宏图街54号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96"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3</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采购代理机构</w:t>
            </w:r>
          </w:p>
        </w:tc>
        <w:tc>
          <w:tcPr>
            <w:tcW w:w="5903" w:type="dxa"/>
            <w:vAlign w:val="center"/>
          </w:tcPr>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名称：宏业国际项目管理有限公司</w:t>
            </w:r>
          </w:p>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　址：乌鲁木齐水磨沟区红光山路万科大都会8号楼1202室</w:t>
            </w:r>
          </w:p>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联系人：李苗</w:t>
            </w:r>
          </w:p>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联系电话：15022921857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4"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资金来源</w:t>
            </w:r>
          </w:p>
        </w:tc>
        <w:tc>
          <w:tcPr>
            <w:tcW w:w="5903" w:type="dxa"/>
            <w:vAlign w:val="center"/>
          </w:tcPr>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《关于提前下达2023年中央动物防疫等补助经费预算通知》（塔地财农[2022]48号）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5</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项目预算</w:t>
            </w:r>
          </w:p>
        </w:tc>
        <w:tc>
          <w:tcPr>
            <w:tcW w:w="5903" w:type="dxa"/>
            <w:vAlign w:val="center"/>
          </w:tcPr>
          <w:p>
            <w:pPr>
              <w:adjustRightInd w:val="0"/>
              <w:snapToGrid w:val="0"/>
              <w:spacing w:before="204" w:beforeLines="50" w:line="276" w:lineRule="auto"/>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zh-CN"/>
                <w14:textFill>
                  <w14:solidFill>
                    <w14:schemeClr w14:val="tx1"/>
                  </w14:solidFill>
                </w14:textFill>
              </w:rPr>
              <w:t>金额（小写）：</w:t>
            </w:r>
            <w:r>
              <w:rPr>
                <w:rFonts w:hint="eastAsia" w:ascii="仿宋" w:hAnsi="仿宋" w:eastAsia="仿宋" w:cs="仿宋"/>
                <w:b/>
                <w:bCs/>
                <w:color w:val="000000" w:themeColor="text1"/>
                <w:kern w:val="0"/>
                <w:sz w:val="24"/>
                <w:szCs w:val="24"/>
                <w14:textFill>
                  <w14:solidFill>
                    <w14:schemeClr w14:val="tx1"/>
                  </w14:solidFill>
                </w14:textFill>
              </w:rPr>
              <w:t>171100.00元；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6</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最高限价</w:t>
            </w:r>
          </w:p>
        </w:tc>
        <w:tc>
          <w:tcPr>
            <w:tcW w:w="5903" w:type="dxa"/>
            <w:vAlign w:val="center"/>
          </w:tcPr>
          <w:p>
            <w:pPr>
              <w:adjustRightInd w:val="0"/>
              <w:snapToGrid w:val="0"/>
              <w:spacing w:before="204" w:beforeLines="50" w:line="276" w:lineRule="auto"/>
              <w:jc w:val="left"/>
              <w:rPr>
                <w:rFonts w:ascii="仿宋" w:hAnsi="仿宋" w:eastAsia="仿宋" w:cs="仿宋"/>
                <w:color w:val="000000" w:themeColor="text1"/>
                <w:sz w:val="24"/>
                <w:szCs w:val="24"/>
                <w:lang w:val="zh-CN"/>
                <w14:textFill>
                  <w14:solidFill>
                    <w14:schemeClr w14:val="tx1"/>
                  </w14:solidFill>
                </w14:textFill>
              </w:rPr>
            </w:pPr>
            <w:r>
              <w:rPr>
                <w:rFonts w:hint="eastAsia" w:ascii="仿宋" w:hAnsi="仿宋" w:eastAsia="仿宋" w:cs="仿宋"/>
                <w:b/>
                <w:bCs/>
                <w:color w:val="000000" w:themeColor="text1"/>
                <w:sz w:val="24"/>
                <w:szCs w:val="24"/>
                <w:lang w:val="zh-CN"/>
                <w14:textFill>
                  <w14:solidFill>
                    <w14:schemeClr w14:val="tx1"/>
                  </w14:solidFill>
                </w14:textFill>
              </w:rPr>
              <w:t>单价：</w:t>
            </w:r>
            <w:r>
              <w:rPr>
                <w:rFonts w:hint="eastAsia" w:ascii="仿宋" w:hAnsi="仿宋" w:eastAsia="仿宋" w:cs="仿宋"/>
                <w:b/>
                <w:bCs/>
                <w:color w:val="000000" w:themeColor="text1"/>
                <w:sz w:val="24"/>
                <w:szCs w:val="24"/>
                <w14:textFill>
                  <w14:solidFill>
                    <w14:schemeClr w14:val="tx1"/>
                  </w14:solidFill>
                </w14:textFill>
              </w:rPr>
              <w:t>0.29元/头份</w:t>
            </w:r>
            <w:r>
              <w:rPr>
                <w:rFonts w:hint="eastAsia" w:ascii="仿宋" w:hAnsi="仿宋" w:eastAsia="仿宋" w:cs="仿宋"/>
                <w:b/>
                <w:bCs/>
                <w:color w:val="000000" w:themeColor="text1"/>
                <w:sz w:val="24"/>
                <w:szCs w:val="24"/>
                <w:lang w:val="zh-CN"/>
                <w14:textFill>
                  <w14:solidFill>
                    <w14:schemeClr w14:val="tx1"/>
                  </w14:solidFill>
                </w14:textFill>
              </w:rPr>
              <w:t>（最高限价，</w:t>
            </w:r>
            <w:r>
              <w:rPr>
                <w:rFonts w:hint="eastAsia" w:ascii="仿宋" w:hAnsi="仿宋" w:eastAsia="仿宋" w:cs="仿宋"/>
                <w:b/>
                <w:bCs/>
                <w:color w:val="000000" w:themeColor="text1"/>
                <w:sz w:val="24"/>
                <w:szCs w:val="24"/>
                <w14:textFill>
                  <w14:solidFill>
                    <w14:schemeClr w14:val="tx1"/>
                  </w14:solidFill>
                </w14:textFill>
              </w:rPr>
              <w:t>超出此预算单价范围将做废标处理</w:t>
            </w:r>
            <w:r>
              <w:rPr>
                <w:rFonts w:hint="eastAsia" w:ascii="仿宋" w:hAnsi="仿宋" w:eastAsia="仿宋" w:cs="仿宋"/>
                <w:b/>
                <w:bCs/>
                <w:color w:val="000000" w:themeColor="text1"/>
                <w:sz w:val="24"/>
                <w:szCs w:val="24"/>
                <w:lang w:val="zh-CN"/>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7</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供应商资格条件</w:t>
            </w:r>
          </w:p>
        </w:tc>
        <w:tc>
          <w:tcPr>
            <w:tcW w:w="5903" w:type="dxa"/>
            <w:vAlign w:val="center"/>
          </w:tcPr>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1.满足《中华人民共和国政府采购法》第二十二条规定；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1）具有独立承担民事责任的能力，有效的营业执照；</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2）符合中华人民共和国境内注册且具有独立的法人资格，具有有效的营业执照和相应的经营范围、良好的信誉，能够独立承担民事责任，承认并履行招标文件的各项规定；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3）提供年度财务审计报告；</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4）在以往经营活动中无任何不良记录；</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5）投标人需具备《兽药生产许可证》或《兽药经营许可证》</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6）投标人所投标产品必须具有兽药产品批准文号</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7）所投产品生产商的有效期内的《兽药GMP证书》</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8）投标人投标产品必须具备兽用生物制品生产与检验报告（批签发报告）</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9）能开具符合税法规定的发票，税款由供应商承担；</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10）具有良好的商业信誉和财务状况，制度健全，依法纳税，合法经营，在以往经营活动中没有违规或违约行为；</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11）提供的资格、资质文件和业绩情况均真实有效，否则由报价单位承担由此引起的一切后果及损失；</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12）符合国家法律、法规规定的其他条件</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13）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14）参加招投标活动前三年内，在经营活动中没重大违法记录（受行政主管部门处罚的不能参加投标，提供声明书）。</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80" w:firstLineChars="200"/>
              <w:jc w:val="both"/>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2、本项目不接受联合体投标，允许大中型企业向小微企业分包，分包预留份额按新财购 〔2022〕22号文件内容执行。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restart"/>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8</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 xml:space="preserve">联合体投标    </w:t>
            </w:r>
          </w:p>
        </w:tc>
        <w:tc>
          <w:tcPr>
            <w:tcW w:w="5903" w:type="dxa"/>
            <w:vAlign w:val="center"/>
          </w:tcPr>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√不接受 </w:t>
            </w:r>
          </w:p>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□接受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备选方案</w:t>
            </w:r>
          </w:p>
        </w:tc>
        <w:tc>
          <w:tcPr>
            <w:tcW w:w="5903" w:type="dxa"/>
            <w:vAlign w:val="center"/>
          </w:tcPr>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不接收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9</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响应文件递交截止时间</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2023年2月</w:t>
            </w:r>
            <w:r>
              <w:rPr>
                <w:rFonts w:hint="eastAsia" w:ascii="仿宋" w:hAnsi="仿宋" w:eastAsia="仿宋" w:cs="仿宋"/>
                <w:color w:val="000000" w:themeColor="text1"/>
                <w:sz w:val="24"/>
                <w:szCs w:val="24"/>
                <w:lang w:eastAsia="zh-CN"/>
                <w14:textFill>
                  <w14:solidFill>
                    <w14:schemeClr w14:val="tx1"/>
                  </w14:solidFill>
                </w14:textFill>
              </w:rPr>
              <w:t>24日</w:t>
            </w:r>
            <w:r>
              <w:rPr>
                <w:rFonts w:hint="eastAsia" w:ascii="仿宋" w:hAnsi="仿宋" w:eastAsia="仿宋" w:cs="仿宋"/>
                <w:color w:val="000000" w:themeColor="text1"/>
                <w:sz w:val="24"/>
                <w:szCs w:val="24"/>
                <w14:textFill>
                  <w14:solidFill>
                    <w14:schemeClr w14:val="tx1"/>
                  </w14:solidFill>
                </w14:textFill>
              </w:rPr>
              <w:t>11点00分</w:t>
            </w:r>
            <w:r>
              <w:rPr>
                <w:rStyle w:val="42"/>
                <w:rFonts w:hint="eastAsia" w:ascii="仿宋" w:hAnsi="仿宋" w:eastAsia="仿宋" w:cs="仿宋"/>
                <w:b w:val="0"/>
                <w:bCs w:val="0"/>
                <w:color w:val="000000" w:themeColor="text1"/>
                <w:kern w:val="0"/>
                <w:sz w:val="24"/>
                <w:szCs w:val="24"/>
                <w14:textFill>
                  <w14:solidFill>
                    <w14:schemeClr w14:val="tx1"/>
                  </w14:solidFill>
                </w14:textFill>
              </w:rPr>
              <w:t>（北京时间）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10</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投标时间、地点</w:t>
            </w:r>
          </w:p>
        </w:tc>
        <w:tc>
          <w:tcPr>
            <w:tcW w:w="5903" w:type="dxa"/>
            <w:vAlign w:val="center"/>
          </w:tcPr>
          <w:p>
            <w:pPr>
              <w:spacing w:line="440" w:lineRule="exact"/>
              <w:jc w:val="left"/>
              <w:rPr>
                <w:rStyle w:val="42"/>
                <w:rFonts w:ascii="仿宋" w:hAnsi="仿宋" w:eastAsia="仿宋" w:cs="仿宋"/>
                <w:b w:val="0"/>
                <w:bCs w:val="0"/>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2023年2月</w:t>
            </w:r>
            <w:r>
              <w:rPr>
                <w:rFonts w:hint="eastAsia" w:ascii="仿宋" w:hAnsi="仿宋" w:eastAsia="仿宋" w:cs="仿宋"/>
                <w:color w:val="000000" w:themeColor="text1"/>
                <w:sz w:val="24"/>
                <w:szCs w:val="24"/>
                <w:lang w:eastAsia="zh-CN"/>
                <w14:textFill>
                  <w14:solidFill>
                    <w14:schemeClr w14:val="tx1"/>
                  </w14:solidFill>
                </w14:textFill>
              </w:rPr>
              <w:t>24日</w:t>
            </w:r>
            <w:r>
              <w:rPr>
                <w:rFonts w:hint="eastAsia" w:ascii="仿宋" w:hAnsi="仿宋" w:eastAsia="仿宋" w:cs="仿宋"/>
                <w:color w:val="000000" w:themeColor="text1"/>
                <w:sz w:val="24"/>
                <w:szCs w:val="24"/>
                <w14:textFill>
                  <w14:solidFill>
                    <w14:schemeClr w14:val="tx1"/>
                  </w14:solidFill>
                </w14:textFill>
              </w:rPr>
              <w:t>11点00分</w:t>
            </w:r>
            <w:r>
              <w:rPr>
                <w:rStyle w:val="42"/>
                <w:rFonts w:hint="eastAsia" w:ascii="仿宋" w:hAnsi="仿宋" w:eastAsia="仿宋" w:cs="仿宋"/>
                <w:b w:val="0"/>
                <w:bCs w:val="0"/>
                <w:color w:val="000000" w:themeColor="text1"/>
                <w:kern w:val="0"/>
                <w:sz w:val="24"/>
                <w:szCs w:val="24"/>
                <w14:textFill>
                  <w14:solidFill>
                    <w14:schemeClr w14:val="tx1"/>
                  </w14:solidFill>
                </w14:textFill>
              </w:rPr>
              <w:t>（北京时间）</w:t>
            </w:r>
          </w:p>
          <w:p>
            <w:pPr>
              <w:spacing w:line="440" w:lineRule="exact"/>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投标地点：</w:t>
            </w:r>
            <w:r>
              <w:rPr>
                <w:rFonts w:hint="eastAsia" w:ascii="仿宋" w:hAnsi="仿宋" w:eastAsia="仿宋" w:cs="仿宋"/>
                <w:sz w:val="24"/>
                <w:szCs w:val="24"/>
              </w:rPr>
              <w:t>政采云客户端</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56"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11</w:t>
            </w:r>
          </w:p>
        </w:tc>
        <w:tc>
          <w:tcPr>
            <w:tcW w:w="2503" w:type="dxa"/>
            <w:gridSpan w:val="2"/>
            <w:vAlign w:val="center"/>
          </w:tcPr>
          <w:p>
            <w:pPr>
              <w:adjustRightInd w:val="0"/>
              <w:snapToGrid w:val="0"/>
              <w:spacing w:before="204" w:beforeLines="5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评标小组的组建及评审专家的确定方式</w:t>
            </w:r>
          </w:p>
        </w:tc>
        <w:tc>
          <w:tcPr>
            <w:tcW w:w="5903" w:type="dxa"/>
            <w:vAlign w:val="center"/>
          </w:tcPr>
          <w:p>
            <w:pPr>
              <w:adjustRightInd w:val="0"/>
              <w:snapToGrid w:val="0"/>
              <w:spacing w:before="204" w:beforeLines="5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招标采购单位依法组建评标小组共5人组成，其中采购人代表不得超过评标小组的三分之一。本次评标采购人不委派代表参加评标小组评标。</w:t>
            </w:r>
          </w:p>
          <w:p>
            <w:pPr>
              <w:adjustRightInd w:val="0"/>
              <w:snapToGrid w:val="0"/>
              <w:spacing w:before="204" w:beforeLines="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小组确定方式：从采购专家库中随机抽取确定。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12</w:t>
            </w:r>
          </w:p>
        </w:tc>
        <w:tc>
          <w:tcPr>
            <w:tcW w:w="2503" w:type="dxa"/>
            <w:gridSpan w:val="2"/>
            <w:vAlign w:val="center"/>
          </w:tcPr>
          <w:p>
            <w:pPr>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投标保证金</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缴纳方式：电汇、网银转账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Merge w:val="restart"/>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13</w:t>
            </w:r>
          </w:p>
        </w:tc>
        <w:tc>
          <w:tcPr>
            <w:tcW w:w="2503" w:type="dxa"/>
            <w:gridSpan w:val="2"/>
            <w:vMerge w:val="restart"/>
            <w:vAlign w:val="center"/>
          </w:tcPr>
          <w:p>
            <w:pPr>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评审办法</w:t>
            </w:r>
          </w:p>
        </w:tc>
        <w:tc>
          <w:tcPr>
            <w:tcW w:w="5903" w:type="dxa"/>
            <w:vAlign w:val="center"/>
          </w:tcPr>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投标保证金：</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金额（小写）：1711.00元                                    </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金额（大写）：壹仟柒佰壹拾壹元整；（备注项目编号、项目名称 ）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2503" w:type="dxa"/>
            <w:gridSpan w:val="2"/>
            <w:vMerge w:val="continue"/>
            <w:vAlign w:val="center"/>
          </w:tcPr>
          <w:p>
            <w:pPr>
              <w:rPr>
                <w:rFonts w:ascii="仿宋" w:hAnsi="仿宋" w:eastAsia="仿宋" w:cs="仿宋"/>
                <w:bCs/>
                <w:color w:val="000000" w:themeColor="text1"/>
                <w:sz w:val="24"/>
                <w:szCs w:val="24"/>
                <w14:textFill>
                  <w14:solidFill>
                    <w14:schemeClr w14:val="tx1"/>
                  </w14:solidFill>
                </w14:textFill>
              </w:rPr>
            </w:pPr>
          </w:p>
        </w:tc>
        <w:tc>
          <w:tcPr>
            <w:tcW w:w="5903" w:type="dxa"/>
            <w:vAlign w:val="center"/>
          </w:tcPr>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收款单位：</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开户名称：宏业国际项目管理有限公司新疆分公司 </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开户行：交通银行股份有限公司乌鲁木齐大西门支行</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帐  号：6516 5100 1013 0008 14104</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(1)供应商必须投标截止时间前完成保证金缴纳工作。供应商需自行评估因异地、跨行、公休日等因素造成的投标保证金到账延迟风险，并承担相应责任。</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(2)投标保证金的提交以保证金账户到账时间为准。</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(3)标书内须放置投标保证金缴纳凭证。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18"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2503" w:type="dxa"/>
            <w:gridSpan w:val="2"/>
            <w:vMerge w:val="continue"/>
            <w:vAlign w:val="center"/>
          </w:tcPr>
          <w:p>
            <w:pPr>
              <w:adjustRightInd w:val="0"/>
              <w:snapToGrid w:val="0"/>
              <w:spacing w:before="204" w:beforeLines="50"/>
              <w:jc w:val="center"/>
              <w:rPr>
                <w:rFonts w:ascii="仿宋" w:hAnsi="仿宋" w:eastAsia="仿宋" w:cs="仿宋"/>
                <w:bCs/>
                <w:color w:val="000000" w:themeColor="text1"/>
                <w:sz w:val="24"/>
                <w:szCs w:val="24"/>
                <w14:textFill>
                  <w14:solidFill>
                    <w14:schemeClr w14:val="tx1"/>
                  </w14:solidFill>
                </w14:textFill>
              </w:rPr>
            </w:pPr>
          </w:p>
        </w:tc>
        <w:tc>
          <w:tcPr>
            <w:tcW w:w="5903" w:type="dxa"/>
            <w:vAlign w:val="center"/>
          </w:tcPr>
          <w:p>
            <w:pPr>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综合评分法，即指响应文件满足投标文件全部实质性要求且按照评审因素的量化指标评审得分最高的供应商为中标候选人的评标方法。每一供应商的最终得分为所有评委评分的算术平均值。得分相同的，报价较低的一方为中标人。得分且投标报价相同的，技术指标较优的一方为中标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14</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投标有效期</w:t>
            </w:r>
          </w:p>
        </w:tc>
        <w:tc>
          <w:tcPr>
            <w:tcW w:w="5903" w:type="dxa"/>
            <w:vAlign w:val="center"/>
          </w:tcPr>
          <w:p>
            <w:pPr>
              <w:adjustRightInd w:val="0"/>
              <w:snapToGrid w:val="0"/>
              <w:spacing w:before="204" w:beforeLines="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 xml:space="preserve">  90 </w:t>
            </w:r>
            <w:r>
              <w:rPr>
                <w:rFonts w:hint="eastAsia" w:ascii="仿宋" w:hAnsi="仿宋" w:eastAsia="仿宋" w:cs="仿宋"/>
                <w:color w:val="000000" w:themeColor="text1"/>
                <w:sz w:val="24"/>
                <w:szCs w:val="24"/>
                <w14:textFill>
                  <w14:solidFill>
                    <w14:schemeClr w14:val="tx1"/>
                  </w14:solidFill>
                </w14:textFill>
              </w:rPr>
              <w:t xml:space="preserve"> 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8"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15</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投标文件份数</w:t>
            </w:r>
          </w:p>
        </w:tc>
        <w:tc>
          <w:tcPr>
            <w:tcW w:w="5903" w:type="dxa"/>
            <w:vAlign w:val="center"/>
          </w:tcPr>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本次开标：政采云线上开标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16</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投标预备会</w:t>
            </w:r>
          </w:p>
        </w:tc>
        <w:tc>
          <w:tcPr>
            <w:tcW w:w="5903" w:type="dxa"/>
            <w:vAlign w:val="center"/>
          </w:tcPr>
          <w:p>
            <w:pPr>
              <w:autoSpaceDE w:val="0"/>
              <w:autoSpaceDN w:val="0"/>
              <w:adjustRightInd w:val="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□是</w:t>
            </w:r>
          </w:p>
          <w:p>
            <w:pPr>
              <w:autoSpaceDE w:val="0"/>
              <w:autoSpaceDN w:val="0"/>
              <w:adjustRightInd w:val="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√否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17</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踏勘现场</w:t>
            </w:r>
          </w:p>
        </w:tc>
        <w:tc>
          <w:tcPr>
            <w:tcW w:w="5903" w:type="dxa"/>
            <w:vAlign w:val="center"/>
          </w:tcPr>
          <w:p>
            <w:pPr>
              <w:autoSpaceDE w:val="0"/>
              <w:autoSpaceDN w:val="0"/>
              <w:adjustRightInd w:val="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18</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代理服务费</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本项目招标代理服务费参考《招标代理服务收费管理暂行办法》（计价格</w:t>
            </w:r>
            <w:r>
              <w:rPr>
                <w:rFonts w:hint="eastAsia" w:ascii="仿宋" w:hAnsi="仿宋" w:eastAsia="仿宋" w:cs="仿宋"/>
                <w:color w:val="000000" w:themeColor="text1"/>
                <w:sz w:val="24"/>
                <w:szCs w:val="24"/>
                <w14:textFill>
                  <w14:solidFill>
                    <w14:schemeClr w14:val="tx1"/>
                  </w14:solidFill>
                </w14:textFill>
              </w:rPr>
              <w:t>〔2002〕</w:t>
            </w:r>
            <w:r>
              <w:rPr>
                <w:rFonts w:hint="eastAsia" w:ascii="仿宋" w:hAnsi="仿宋" w:eastAsia="仿宋" w:cs="仿宋"/>
                <w:bCs/>
                <w:color w:val="000000" w:themeColor="text1"/>
                <w:sz w:val="24"/>
                <w:szCs w:val="24"/>
                <w14:textFill>
                  <w14:solidFill>
                    <w14:schemeClr w14:val="tx1"/>
                  </w14:solidFill>
                </w14:textFill>
              </w:rPr>
              <w:t>1980号）文件收取。由中标（成交）人支付。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19</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履约保证金</w:t>
            </w:r>
          </w:p>
        </w:tc>
        <w:tc>
          <w:tcPr>
            <w:tcW w:w="5903" w:type="dxa"/>
            <w:vAlign w:val="center"/>
          </w:tcPr>
          <w:p>
            <w:pPr>
              <w:spacing w:line="240" w:lineRule="atLeas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约保证金金额：合同金额的 / %</w:t>
            </w:r>
          </w:p>
          <w:p>
            <w:pPr>
              <w:spacing w:line="240" w:lineRule="atLeas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履约保证金递交：中标单位收到《中标通知书》，签订合同前缴纳</w:t>
            </w:r>
          </w:p>
          <w:p>
            <w:pPr>
              <w:spacing w:line="240" w:lineRule="atLeas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履约保证金形式：银行转账形式（中标单位未按采购文件规定缴纳履约保证金的，其投标保证金将不予退还）</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zh-CN"/>
                <w14:textFill>
                  <w14:solidFill>
                    <w14:schemeClr w14:val="tx1"/>
                  </w14:solidFill>
                </w14:textFill>
              </w:rPr>
              <w:t>履约保证金（质保金）退还：（1）履约保证金的有效期为该项目</w:t>
            </w:r>
            <w:r>
              <w:rPr>
                <w:rFonts w:hint="eastAsia" w:ascii="仿宋" w:hAnsi="仿宋" w:eastAsia="仿宋" w:cs="仿宋"/>
                <w:color w:val="000000" w:themeColor="text1"/>
                <w:sz w:val="24"/>
                <w:szCs w:val="24"/>
                <w14:textFill>
                  <w14:solidFill>
                    <w14:schemeClr w14:val="tx1"/>
                  </w14:solidFill>
                </w14:textFill>
              </w:rPr>
              <w:t>完成供货且通过采购人组织的项目验收</w:t>
            </w:r>
            <w:r>
              <w:rPr>
                <w:rFonts w:hint="eastAsia" w:ascii="仿宋" w:hAnsi="仿宋" w:eastAsia="仿宋" w:cs="仿宋"/>
                <w:color w:val="000000" w:themeColor="text1"/>
                <w:sz w:val="24"/>
                <w:szCs w:val="24"/>
                <w:lang w:val="zh-CN"/>
                <w14:textFill>
                  <w14:solidFill>
                    <w14:schemeClr w14:val="tx1"/>
                  </w14:solidFill>
                </w14:textFill>
              </w:rPr>
              <w:t>止。（2）供应商在</w:t>
            </w:r>
            <w:r>
              <w:rPr>
                <w:rFonts w:hint="eastAsia" w:ascii="仿宋" w:hAnsi="仿宋" w:eastAsia="仿宋" w:cs="仿宋"/>
                <w:color w:val="000000" w:themeColor="text1"/>
                <w:sz w:val="24"/>
                <w:szCs w:val="24"/>
                <w14:textFill>
                  <w14:solidFill>
                    <w14:schemeClr w14:val="tx1"/>
                  </w14:solidFill>
                </w14:textFill>
              </w:rPr>
              <w:t>产品</w:t>
            </w:r>
            <w:r>
              <w:rPr>
                <w:rFonts w:hint="eastAsia" w:ascii="仿宋" w:hAnsi="仿宋" w:eastAsia="仿宋" w:cs="仿宋"/>
                <w:color w:val="000000" w:themeColor="text1"/>
                <w:sz w:val="24"/>
                <w:szCs w:val="24"/>
                <w:lang w:val="zh-CN"/>
                <w14:textFill>
                  <w14:solidFill>
                    <w14:schemeClr w14:val="tx1"/>
                  </w14:solidFill>
                </w14:textFill>
              </w:rPr>
              <w:t>验收合格未发生违约行为，采购人七个工作日内予以退还。（如乙方未能履行合同规定的义务，甲方有权从履约保证金中取得补偿；履约保证金扣除甲方应得的补偿后的余额在有效期满后七工作日内无息退还给乙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20</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合同履约期限</w:t>
            </w:r>
          </w:p>
        </w:tc>
        <w:tc>
          <w:tcPr>
            <w:tcW w:w="5903"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签订合同后10日内完成供货或按采购人与中标企业签订的合同规定时间期限供货。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tabs>
                <w:tab w:val="left" w:pos="265"/>
              </w:tabs>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21</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供货期</w:t>
            </w:r>
          </w:p>
        </w:tc>
        <w:tc>
          <w:tcPr>
            <w:tcW w:w="5903"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ascii="仿宋" w:hAnsi="仿宋" w:eastAsia="仿宋" w:cs="仿宋"/>
                <w:color w:val="000000" w:themeColor="text1"/>
                <w:sz w:val="24"/>
                <w:szCs w:val="24"/>
                <w14:textFill>
                  <w14:solidFill>
                    <w14:schemeClr w14:val="tx1"/>
                  </w14:solidFill>
                </w14:textFill>
              </w:rPr>
              <w:t>10个工作日内，如遇特殊情况3个工作日内（以采购方实际需求为准）。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24</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付款方式</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以双方签订合同为准。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25</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质量标准</w:t>
            </w:r>
          </w:p>
        </w:tc>
        <w:tc>
          <w:tcPr>
            <w:tcW w:w="5903" w:type="dxa"/>
            <w:vAlign w:val="center"/>
          </w:tcPr>
          <w:p>
            <w:pPr>
              <w:wordWrap w:val="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26</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资料备查</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各供应商线上准备资料原件备查：</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（1）营业执照（三证合一）原件（复印件加盖公章）；</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（2）投标保证金交纳凭证（复印件加盖公章）；</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（3）投标方为法人投标需携带法人授权委托书原件及被授权人身份证原件或法人身份证明书及身份证原件（加盖公章）。</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（4）《兽药经营许可证》或《兽药生产许可证》原件，兽药产品批准文号证明复印件，投标人所投标产品必须具有兽药产品批准文号 ，所投产品生产商的有效期内的《兽药GMP证书》 ，投标人投标产品必须具备兽用生物制品生产与检验报告（批签发报告）</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在“信用中国”（www.creditchina.gov.cn）网站上未被列入失信被执行人、重大税收违法失信主体、政府采购严重违法失信名单和中国政府采购网（www.ccgp.gov.cn）网站上未被列入政府采购严重违法失信行为记录名单的网页打印件（网页打印件须自招标公告发布之日起至投标截止时间从上述网站中打印）加盖单位公章”。</w:t>
            </w:r>
          </w:p>
          <w:p>
            <w:pPr>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注：以上证件的复印件的均需加盖公章，证件齐全、满足要求的投标人为有效投标人，上述证件的公证件，本次招标不予认可；由采购单位、监督人员对所有证件进行审核。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27</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付款币种</w:t>
            </w:r>
          </w:p>
        </w:tc>
        <w:tc>
          <w:tcPr>
            <w:tcW w:w="5903" w:type="dxa"/>
            <w:vAlign w:val="center"/>
          </w:tcPr>
          <w:p>
            <w:pPr>
              <w:rPr>
                <w:rFonts w:ascii="仿宋" w:hAnsi="仿宋" w:eastAsia="仿宋" w:cs="仿宋"/>
                <w:color w:val="000000" w:themeColor="text1"/>
                <w:sz w:val="24"/>
                <w:szCs w:val="24"/>
                <w:lang w:val="zh-CN"/>
                <w14:textFill>
                  <w14:solidFill>
                    <w14:schemeClr w14:val="tx1"/>
                  </w14:solidFill>
                </w14:textFill>
              </w:rPr>
            </w:pPr>
            <w:r>
              <w:rPr>
                <w:rFonts w:hint="eastAsia" w:ascii="仿宋" w:hAnsi="仿宋" w:eastAsia="仿宋" w:cs="仿宋"/>
                <w:color w:val="000000" w:themeColor="text1"/>
                <w:sz w:val="24"/>
                <w:szCs w:val="24"/>
                <w:lang w:val="zh-CN"/>
                <w14:textFill>
                  <w14:solidFill>
                    <w14:schemeClr w14:val="tx1"/>
                  </w14:solidFill>
                </w14:textFill>
              </w:rPr>
              <w:t>1、付款币种：</w:t>
            </w:r>
          </w:p>
          <w:p>
            <w:pPr>
              <w:rPr>
                <w:color w:val="000000" w:themeColor="text1"/>
                <w14:textFill>
                  <w14:solidFill>
                    <w14:schemeClr w14:val="tx1"/>
                  </w14:solidFill>
                </w14:textFill>
              </w:rPr>
            </w:pPr>
            <w:r>
              <w:rPr>
                <w:rFonts w:hint="eastAsia" w:ascii="仿宋" w:hAnsi="仿宋" w:eastAsia="仿宋" w:cs="仿宋"/>
                <w:color w:val="000000" w:themeColor="text1"/>
                <w:sz w:val="24"/>
                <w:szCs w:val="24"/>
                <w:lang w:val="zh-CN"/>
                <w14:textFill>
                  <w14:solidFill>
                    <w14:schemeClr w14:val="tx1"/>
                  </w14:solidFill>
                </w14:textFill>
              </w:rPr>
              <w:t>本次采购所述的项目资金均以人民币支付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28</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封套上应载明的信息</w:t>
            </w:r>
          </w:p>
        </w:tc>
        <w:tc>
          <w:tcPr>
            <w:tcW w:w="5903" w:type="dxa"/>
            <w:vAlign w:val="center"/>
          </w:tcPr>
          <w:p>
            <w:pPr>
              <w:rPr>
                <w:rFonts w:hint="eastAsia" w:ascii="仿宋" w:hAnsi="仿宋" w:eastAsia="仿宋" w:cs="仿宋"/>
                <w:b/>
                <w:color w:val="000000" w:themeColor="text1"/>
                <w:sz w:val="24"/>
                <w:szCs w:val="24"/>
                <w:lang w:eastAsia="zh-CN"/>
                <w14:textFill>
                  <w14:solidFill>
                    <w14:schemeClr w14:val="tx1"/>
                  </w14:solidFill>
                </w14:textFill>
              </w:rPr>
            </w:pPr>
            <w:r>
              <w:rPr>
                <w:rFonts w:hint="eastAsia" w:ascii="仿宋" w:hAnsi="仿宋" w:eastAsia="仿宋" w:cs="仿宋"/>
                <w:bCs/>
                <w:color w:val="000000" w:themeColor="text1"/>
                <w:sz w:val="24"/>
                <w:szCs w:val="24"/>
                <w:lang w:val="en-US" w:eastAsia="zh-CN"/>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29</w:t>
            </w:r>
          </w:p>
        </w:tc>
        <w:tc>
          <w:tcPr>
            <w:tcW w:w="2503" w:type="dxa"/>
            <w:gridSpan w:val="2"/>
            <w:tcBorders>
              <w:right w:val="single" w:color="auto" w:sz="4" w:space="0"/>
            </w:tcBorders>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投标文件的组成部分</w:t>
            </w:r>
          </w:p>
        </w:tc>
        <w:tc>
          <w:tcPr>
            <w:tcW w:w="5903" w:type="dxa"/>
            <w:tcBorders>
              <w:left w:val="single" w:color="auto" w:sz="4" w:space="0"/>
            </w:tcBorders>
            <w:vAlign w:val="center"/>
          </w:tcPr>
          <w:p>
            <w:pPr>
              <w:jc w:val="center"/>
              <w:rPr>
                <w:rFonts w:ascii="仿宋" w:hAnsi="仿宋" w:eastAsia="仿宋" w:cs="仿宋"/>
                <w:bCs/>
                <w:color w:val="000000" w:themeColor="text1"/>
                <w:kern w:val="0"/>
                <w:sz w:val="24"/>
                <w:szCs w:val="24"/>
                <w:lang w:val="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66" w:hRule="atLeast"/>
          <w:jc w:val="center"/>
        </w:trPr>
        <w:tc>
          <w:tcPr>
            <w:tcW w:w="1117" w:type="dxa"/>
            <w:vMerge w:val="restart"/>
            <w:vAlign w:val="center"/>
          </w:tcPr>
          <w:p>
            <w:pPr>
              <w:jc w:val="center"/>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30</w:t>
            </w:r>
          </w:p>
        </w:tc>
        <w:tc>
          <w:tcPr>
            <w:tcW w:w="1395" w:type="dxa"/>
            <w:vMerge w:val="restart"/>
            <w:tcBorders>
              <w:right w:val="single" w:color="auto" w:sz="4" w:space="0"/>
            </w:tcBorders>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各供应商应在本项目采购公告发布之日起到响应文件递交截止时间期间，通过“信用中国”网站（</w:t>
            </w:r>
            <w:r>
              <w:fldChar w:fldCharType="begin"/>
            </w:r>
            <w:r>
              <w:instrText xml:space="preserve"> HYPERLINK "qq://txfile/" </w:instrText>
            </w:r>
            <w:r>
              <w:fldChar w:fldCharType="separate"/>
            </w:r>
            <w:r>
              <w:rPr>
                <w:rFonts w:hint="eastAsia" w:ascii="仿宋" w:hAnsi="仿宋" w:eastAsia="仿宋" w:cs="仿宋"/>
                <w:color w:val="000000" w:themeColor="text1"/>
                <w:sz w:val="24"/>
                <w:szCs w:val="24"/>
                <w14:textFill>
                  <w14:solidFill>
                    <w14:schemeClr w14:val="tx1"/>
                  </w14:solidFill>
                </w14:textFill>
              </w:rPr>
              <w:t>www.creditchina.Sov.cn</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t>）、中国政府采购网（</w:t>
            </w:r>
            <w:r>
              <w:fldChar w:fldCharType="begin"/>
            </w:r>
            <w:r>
              <w:instrText xml:space="preserve"> HYPERLINK "qq://txfile/" </w:instrText>
            </w:r>
            <w:r>
              <w:fldChar w:fldCharType="separate"/>
            </w:r>
            <w:r>
              <w:rPr>
                <w:rFonts w:hint="eastAsia" w:ascii="仿宋" w:hAnsi="仿宋" w:eastAsia="仿宋" w:cs="仿宋"/>
                <w:color w:val="000000" w:themeColor="text1"/>
                <w:sz w:val="24"/>
                <w:szCs w:val="24"/>
                <w14:textFill>
                  <w14:solidFill>
                    <w14:schemeClr w14:val="tx1"/>
                  </w14:solidFill>
                </w14:textFill>
              </w:rPr>
              <w:t>www.ccSp.Sov.cn</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t>）等渠道查询主体信用记录，并将信用信息查询记录作为响应文件组成部分。</w:t>
            </w:r>
          </w:p>
        </w:tc>
        <w:tc>
          <w:tcPr>
            <w:tcW w:w="1108" w:type="dxa"/>
            <w:tcBorders>
              <w:left w:val="single" w:color="auto" w:sz="4" w:space="0"/>
            </w:tcBorders>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目录</w:t>
            </w:r>
          </w:p>
        </w:tc>
        <w:tc>
          <w:tcPr>
            <w:tcW w:w="5903" w:type="dxa"/>
            <w:vAlign w:val="center"/>
          </w:tcPr>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文件封面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5"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1395" w:type="dxa"/>
            <w:vMerge w:val="continue"/>
            <w:tcBorders>
              <w:right w:val="single" w:color="auto" w:sz="4" w:space="0"/>
            </w:tcBorders>
            <w:vAlign w:val="center"/>
          </w:tcPr>
          <w:p>
            <w:pPr>
              <w:jc w:val="center"/>
              <w:rPr>
                <w:rFonts w:ascii="仿宋" w:hAnsi="仿宋" w:eastAsia="仿宋" w:cs="仿宋"/>
                <w:bCs/>
                <w:color w:val="000000" w:themeColor="text1"/>
                <w:sz w:val="24"/>
                <w:szCs w:val="24"/>
                <w14:textFill>
                  <w14:solidFill>
                    <w14:schemeClr w14:val="tx1"/>
                  </w14:solidFill>
                </w14:textFill>
              </w:rPr>
            </w:pPr>
          </w:p>
        </w:tc>
        <w:tc>
          <w:tcPr>
            <w:tcW w:w="1108" w:type="dxa"/>
            <w:tcBorders>
              <w:left w:val="single" w:color="auto" w:sz="4" w:space="0"/>
            </w:tcBorders>
            <w:vAlign w:val="center"/>
          </w:tcPr>
          <w:p>
            <w:pPr>
              <w:spacing w:line="360" w:lineRule="auto"/>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响应文件的组成部分</w:t>
            </w:r>
          </w:p>
        </w:tc>
        <w:tc>
          <w:tcPr>
            <w:tcW w:w="5903" w:type="dxa"/>
            <w:vAlign w:val="center"/>
          </w:tcPr>
          <w:p>
            <w:pPr>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响应文件目录</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3"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1395" w:type="dxa"/>
            <w:vMerge w:val="continue"/>
            <w:tcBorders>
              <w:right w:val="single" w:color="auto" w:sz="4" w:space="0"/>
            </w:tcBorders>
            <w:vAlign w:val="center"/>
          </w:tcPr>
          <w:p>
            <w:pPr>
              <w:jc w:val="center"/>
              <w:rPr>
                <w:rFonts w:ascii="仿宋" w:hAnsi="仿宋" w:eastAsia="仿宋" w:cs="仿宋"/>
                <w:bCs/>
                <w:color w:val="000000" w:themeColor="text1"/>
                <w:sz w:val="24"/>
                <w:szCs w:val="24"/>
                <w14:textFill>
                  <w14:solidFill>
                    <w14:schemeClr w14:val="tx1"/>
                  </w14:solidFill>
                </w14:textFill>
              </w:rPr>
            </w:pPr>
          </w:p>
        </w:tc>
        <w:tc>
          <w:tcPr>
            <w:tcW w:w="1108" w:type="dxa"/>
            <w:tcBorders>
              <w:left w:val="single" w:color="auto" w:sz="4" w:space="0"/>
            </w:tcBorders>
            <w:vAlign w:val="center"/>
          </w:tcPr>
          <w:p>
            <w:pPr>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其他资料</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★审查资料</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★投标函</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★法定代表人资格证明书及法定代表人授权委托书</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★开标一览表</w:t>
            </w:r>
          </w:p>
          <w:p>
            <w:pPr>
              <w:pStyle w:val="6"/>
              <w:ind w:firstLine="0" w:firstLineChars="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★报价明细表</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★供应商的资格声明</w:t>
            </w:r>
          </w:p>
          <w:p>
            <w:pPr>
              <w:pStyle w:val="6"/>
              <w:ind w:firstLine="0" w:firstLineChars="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★主要人员配备表</w:t>
            </w:r>
          </w:p>
          <w:p>
            <w:pPr>
              <w:pStyle w:val="6"/>
              <w:ind w:firstLine="0" w:firstLineChars="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★服务方案及保证措施、承诺及优惠条件、合理化建议等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1395" w:type="dxa"/>
            <w:vMerge w:val="continue"/>
            <w:vAlign w:val="center"/>
          </w:tcPr>
          <w:p>
            <w:pPr>
              <w:pStyle w:val="6"/>
              <w:ind w:firstLine="0" w:firstLineChars="0"/>
              <w:contextualSpacing/>
              <w:rPr>
                <w:rFonts w:ascii="仿宋" w:hAnsi="仿宋" w:eastAsia="仿宋" w:cs="仿宋"/>
                <w:bCs/>
                <w:color w:val="000000" w:themeColor="text1"/>
                <w:sz w:val="24"/>
                <w14:textFill>
                  <w14:solidFill>
                    <w14:schemeClr w14:val="tx1"/>
                  </w14:solidFill>
                </w14:textFill>
              </w:rPr>
            </w:pPr>
          </w:p>
        </w:tc>
        <w:tc>
          <w:tcPr>
            <w:tcW w:w="1108" w:type="dxa"/>
            <w:tcBorders>
              <w:left w:val="single" w:color="auto" w:sz="4" w:space="0"/>
            </w:tcBorders>
            <w:vAlign w:val="center"/>
          </w:tcPr>
          <w:p>
            <w:pPr>
              <w:jc w:val="center"/>
              <w:rPr>
                <w:rFonts w:ascii="仿宋" w:hAnsi="仿宋" w:eastAsia="仿宋" w:cs="仿宋"/>
                <w:color w:val="000000" w:themeColor="text1"/>
                <w:kern w:val="0"/>
                <w:sz w:val="24"/>
                <w:szCs w:val="24"/>
                <w14:textFill>
                  <w14:solidFill>
                    <w14:schemeClr w14:val="tx1"/>
                  </w14:solidFill>
                </w14:textFill>
              </w:rPr>
            </w:pPr>
          </w:p>
        </w:tc>
        <w:tc>
          <w:tcPr>
            <w:tcW w:w="5903" w:type="dxa"/>
            <w:vAlign w:val="center"/>
          </w:tcPr>
          <w:p>
            <w:pP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供应商认为有必要提供的其他资料（如有）。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117" w:type="dxa"/>
            <w:vAlign w:val="center"/>
          </w:tcPr>
          <w:p>
            <w:pPr>
              <w:pStyle w:val="6"/>
              <w:ind w:left="482" w:hanging="482" w:hangingChars="200"/>
              <w:contextualSpacing/>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注意</w:t>
            </w:r>
          </w:p>
          <w:p>
            <w:pPr>
              <w:pStyle w:val="6"/>
              <w:ind w:left="482" w:hanging="482" w:hangingChars="200"/>
              <w:contextualSpacing/>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事项</w:t>
            </w:r>
          </w:p>
        </w:tc>
        <w:tc>
          <w:tcPr>
            <w:tcW w:w="8406" w:type="dxa"/>
            <w:gridSpan w:val="3"/>
            <w:vAlign w:val="center"/>
          </w:tcPr>
          <w:p>
            <w:pPr>
              <w:pStyle w:val="17"/>
              <w:rPr>
                <w:rFonts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1、签字盖章要求：</w:t>
            </w:r>
          </w:p>
          <w:p>
            <w:pPr>
              <w:pStyle w:val="17"/>
              <w:rPr>
                <w:rFonts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(1)供应商资格证明材料、法定代表人身份证明或授权书应加盖公章；</w:t>
            </w:r>
          </w:p>
          <w:p>
            <w:pPr>
              <w:pStyle w:val="17"/>
              <w:rPr>
                <w:rFonts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(2)其他证明供应商资格的文件或证明材料应为加盖单位公章，样式可参照“投标文件格式”编制；</w:t>
            </w:r>
          </w:p>
          <w:p>
            <w:pPr>
              <w:pStyle w:val="17"/>
              <w:rPr>
                <w:rFonts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(3)本文件中明确要求盖章或签字的，须盖章或签字。</w:t>
            </w:r>
          </w:p>
          <w:p>
            <w:pPr>
              <w:pStyle w:val="17"/>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2、供应商提供的响应文件应当使用投标文件所提供响应文件格式（表格可按照同样格式扩展）。未提供格式的，需要时由供应商用文字或者表格、图片等其它形式提供。</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204" w:beforeLines="5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其他要求</w:t>
            </w:r>
          </w:p>
        </w:tc>
        <w:tc>
          <w:tcPr>
            <w:tcW w:w="8406" w:type="dxa"/>
            <w:gridSpan w:val="3"/>
            <w:vAlign w:val="center"/>
          </w:tcPr>
          <w:p>
            <w:pPr>
              <w:pStyle w:val="17"/>
              <w:rPr>
                <w:rFonts w:ascii="仿宋" w:hAnsi="仿宋" w:eastAsia="仿宋" w:cs="仿宋"/>
                <w:b/>
                <w:color w:val="000000" w:themeColor="text1"/>
                <w:szCs w:val="24"/>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51"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其他</w:t>
            </w:r>
          </w:p>
        </w:tc>
        <w:tc>
          <w:tcPr>
            <w:tcW w:w="8406" w:type="dxa"/>
            <w:gridSpan w:val="3"/>
            <w:vAlign w:val="center"/>
          </w:tcPr>
          <w:p>
            <w:pPr>
              <w:pStyle w:val="17"/>
              <w:rPr>
                <w:rFonts w:ascii="仿宋" w:hAnsi="仿宋" w:eastAsia="仿宋" w:cs="仿宋"/>
                <w:b/>
                <w:color w:val="000000" w:themeColor="text1"/>
                <w:szCs w:val="24"/>
                <w14:textFill>
                  <w14:solidFill>
                    <w14:schemeClr w14:val="tx1"/>
                  </w14:solidFill>
                </w14:textFill>
              </w:rPr>
            </w:pPr>
          </w:p>
        </w:tc>
      </w:tr>
    </w:tbl>
    <w:p>
      <w:pPr>
        <w:pStyle w:val="4"/>
        <w:spacing w:before="0" w:after="0"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br w:type="page"/>
      </w:r>
      <w:bookmarkStart w:id="20" w:name="_Toc267301282"/>
      <w:bookmarkStart w:id="21" w:name="_Toc462223632"/>
      <w:bookmarkStart w:id="22" w:name="_Toc349573121"/>
      <w:bookmarkStart w:id="23" w:name="_Toc349637920"/>
      <w:bookmarkStart w:id="24" w:name="_Toc298240405"/>
      <w:r>
        <w:rPr>
          <w:rFonts w:hint="eastAsia" w:ascii="仿宋" w:hAnsi="仿宋" w:eastAsia="仿宋" w:cs="仿宋"/>
          <w:color w:val="000000" w:themeColor="text1"/>
          <w:sz w:val="24"/>
          <w:szCs w:val="24"/>
          <w14:textFill>
            <w14:solidFill>
              <w14:schemeClr w14:val="tx1"/>
            </w14:solidFill>
          </w14:textFill>
        </w:rPr>
        <w:t>（一）说　明</w:t>
      </w:r>
      <w:bookmarkEnd w:id="20"/>
      <w:bookmarkEnd w:id="21"/>
      <w:bookmarkEnd w:id="22"/>
      <w:bookmarkEnd w:id="23"/>
      <w:bookmarkEnd w:id="24"/>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1、适用范围</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 本投标文件仅适用于本次投标邀请中所叙述项目的货物采购。</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2、定义</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 “招标代理机构”系指宏业国际项目管理有限公司；</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 “需方”系指塔城地区动物疾病控制与诊断中心；</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 “投标供应商”系指向招标代理机构提交投标性文件的制造商或代理商；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 “成交方”系指在本次投标中成交，将被授予合同的供应商，即成为“成交方”。</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3、合格的供应商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 有能力提供投标文件中所要求的货物、资格审查合格的制造商或代理商为合格的供应商；</w:t>
      </w:r>
    </w:p>
    <w:p>
      <w:pPr>
        <w:spacing w:line="4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 供应商必须遵守有关的国内法律和规章条例。</w:t>
      </w:r>
    </w:p>
    <w:p>
      <w:pPr>
        <w:pStyle w:val="35"/>
        <w:wordWrap/>
        <w:spacing w:before="0" w:beforeAutospacing="0" w:after="0" w:afterAutospacing="0" w:line="400" w:lineRule="exact"/>
        <w:ind w:left="0" w:leftChars="0" w:right="0" w:firstLine="468" w:firstLineChars="195"/>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3.3本项目不接受联合体投标，允许大中型企业向小微企业分包，分包预留份额按新财购 〔2022〕22号文件内容执行。。</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4、供应商资格</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4.1 、落实政府采购政策需满足的资格要求：详见政府采购法。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4.2 、供应商须符合《中华人民共和国政府采购法》第二十二条规定,并提供《中华人民共和国政府采购法实施条例》第十七条所要求的材料；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①供应商提供有效的统一社会信用代码的营业执照，供应商必须是中华人民共和国境内注册的，具有独立承担民事责任的能力；</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② 财务状况报告：供应商提供2021年度经第三方权威机构出具的完整的财务审计报告或自发布公告之日起基本开户银行出具的资信证明；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③ 依法缴纳税收：供应商提供自投标截止之日前半年内任意一个月依法缴纳税收的凭据，依法免税的供应商，应提供充足的证明材料；</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 xml:space="preserve">④ 供应商逐月缴纳社会保障资金的，提供自投标截止之日前半年内任意一个月缴纳社会保障资金的凭证；供应商逐年缴纳社会保障资金的，提供上年度缴纳社会保障资金的凭证；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 xml:space="preserve">⑤ 供应商具备履行合同所必需的设备和专业技术能力的证明材料；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⑥ 供应商提供参加政府采购活动前 3 年内在经营活动中没有重大违法记录的书面声明（截至开标日成立不满 3 年的供应商，可提供自成立以来无重大违法记录的书面声明）。</w:t>
      </w:r>
    </w:p>
    <w:p>
      <w:pPr>
        <w:pStyle w:val="35"/>
        <w:spacing w:before="0" w:beforeAutospacing="0" w:after="0" w:afterAutospacing="0" w:line="400" w:lineRule="exact"/>
        <w:ind w:left="420" w:leftChars="200"/>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⑦投标人需具备《兽药生产许可证》或《兽药经营许可证》</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⑧投标人所投标产品必须具有兽药产品批准文号</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⑨所投产品生产商的有效期内的《兽药GMP证书》</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⑩投标人投标产品必须具备兽用生物制品生产与检验报告（批签发报告）</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⑪能开具符合税法规定的发票，税款由供应商承担；</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⑫具有良好的商业信誉和财务状况，制度健全，依法纳税，合法经营，在以往经营活动中没有违规或违约行为；</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⑬提供的资格、资质文件和业绩情况均真实有效，否则由报价单位承担由此引起的一切后果及损失；</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⑭符合国家法律、法规规定的其他条件</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⑯参加招投标活动前三年内，在经营活动中没重大违法记录（受行政主管部门处罚的不能参加投标，提供声明书）。</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⑱采购项目需要落实的政府采购政策：符合政府采购优先节约能源、保护环境及促进中小企业，监狱企业、残疾人福利性单位发展的，依据规定给予评审优惠</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2、本项目不接受联合体投标，允许大中型企业向小微企业分包，分包预留份额按新财购 〔2022〕22号文件内容执行。</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4.3、供应商提供法人授权委托书及被授权人身份证明原件；</w:t>
      </w:r>
      <w:r>
        <w:rPr>
          <w:rFonts w:hint="eastAsia" w:ascii="仿宋" w:hAnsi="仿宋" w:eastAsia="仿宋" w:cs="仿宋"/>
          <w:color w:val="000000" w:themeColor="text1"/>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5、投标费用</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5.1 无论投标过程中的作法和结果如何，供应商将自行承担所有与参加投标有关的全部费用。</w:t>
      </w:r>
      <w:bookmarkStart w:id="25" w:name="_Toc349573122"/>
      <w:bookmarkStart w:id="26" w:name="_Toc349637921"/>
      <w:bookmarkStart w:id="27" w:name="_Toc267301283"/>
      <w:bookmarkStart w:id="28" w:name="_Toc298240406"/>
    </w:p>
    <w:p>
      <w:pPr>
        <w:pStyle w:val="4"/>
        <w:pageBreakBefore/>
        <w:widowControl/>
        <w:spacing w:before="0" w:after="0" w:line="400" w:lineRule="exact"/>
        <w:jc w:val="center"/>
        <w:rPr>
          <w:rFonts w:ascii="仿宋" w:hAnsi="仿宋" w:eastAsia="仿宋" w:cs="仿宋"/>
          <w:color w:val="000000" w:themeColor="text1"/>
          <w:sz w:val="24"/>
          <w:szCs w:val="24"/>
          <w14:textFill>
            <w14:solidFill>
              <w14:schemeClr w14:val="tx1"/>
            </w14:solidFill>
          </w14:textFill>
        </w:rPr>
      </w:pPr>
      <w:bookmarkStart w:id="29" w:name="_Toc462223633"/>
      <w:r>
        <w:rPr>
          <w:rFonts w:hint="eastAsia" w:ascii="仿宋" w:hAnsi="仿宋" w:eastAsia="仿宋" w:cs="仿宋"/>
          <w:color w:val="000000" w:themeColor="text1"/>
          <w:sz w:val="24"/>
          <w:szCs w:val="24"/>
          <w14:textFill>
            <w14:solidFill>
              <w14:schemeClr w14:val="tx1"/>
            </w14:solidFill>
          </w14:textFill>
        </w:rPr>
        <w:t>（二）  投标文件</w:t>
      </w:r>
      <w:bookmarkEnd w:id="25"/>
      <w:bookmarkEnd w:id="26"/>
      <w:bookmarkEnd w:id="27"/>
      <w:bookmarkEnd w:id="28"/>
      <w:bookmarkEnd w:id="29"/>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6、投标文件构成</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6.1投标文件包括：</w:t>
      </w:r>
    </w:p>
    <w:p>
      <w:pPr>
        <w:spacing w:line="400" w:lineRule="exact"/>
        <w:ind w:firstLine="753" w:firstLineChars="314"/>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6.1.1 投标公告；</w:t>
      </w:r>
    </w:p>
    <w:p>
      <w:pPr>
        <w:spacing w:line="400" w:lineRule="exact"/>
        <w:ind w:firstLine="753" w:firstLineChars="314"/>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6.1.2 供应商须知；</w:t>
      </w:r>
    </w:p>
    <w:p>
      <w:pPr>
        <w:spacing w:line="400" w:lineRule="exact"/>
        <w:ind w:firstLine="753" w:firstLineChars="314"/>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6.1.3 项目需求；</w:t>
      </w:r>
    </w:p>
    <w:p>
      <w:pPr>
        <w:spacing w:line="400" w:lineRule="exact"/>
        <w:ind w:firstLine="753" w:firstLineChars="314"/>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6.1.4 合同条款；</w:t>
      </w:r>
    </w:p>
    <w:p>
      <w:pPr>
        <w:spacing w:line="400" w:lineRule="exact"/>
        <w:ind w:firstLine="753" w:firstLineChars="314"/>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6.1.5 投标文件格式。</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6.2 投标文件以中文编写。</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6.3 供应商应认真阅读投标文件中所有的事项、格式、条款和规范等要求，从而对投标文件作出实质性响应。如果没有按照投标文件要求提交全部投标文件或资料，没有对投标文件作出实质性响应，其风险应由供应商自行承担。</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7、投标文件澄清</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7.1 供应商对投标文件有疑问的，可以向招标代理机构提出询问，招标代理机构将及时做出答复；</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7.2 供应商对投标文件有质疑，须在得到招标文件之日起至质疑截止时间止，以书面形式向招标机构提出质疑；招标机构在收到书面质疑后7个工作日内做出答复，并以书面形式通知质疑投标人。</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 投标文件的修改</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8.1 投标人对招标文件有疑问的，可以向招标代理机构提出询问，招标代理机构将及时做出答复；</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8.2 供应商在规定的时间内未对投标文件提出澄清要求的，招标代理机构将视其为同意。</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8.3 在投标截止时间前，招标机构可视具体情况延长投标截止时间，并将变更时间书面通知所有购买投标文件的供应商。</w:t>
      </w:r>
    </w:p>
    <w:p>
      <w:pPr>
        <w:pStyle w:val="4"/>
        <w:spacing w:before="0" w:after="0" w:line="400" w:lineRule="exact"/>
        <w:jc w:val="center"/>
        <w:rPr>
          <w:rFonts w:ascii="仿宋" w:hAnsi="仿宋" w:eastAsia="仿宋" w:cs="仿宋"/>
          <w:color w:val="000000" w:themeColor="text1"/>
          <w:sz w:val="24"/>
          <w:szCs w:val="24"/>
          <w14:textFill>
            <w14:solidFill>
              <w14:schemeClr w14:val="tx1"/>
            </w14:solidFill>
          </w14:textFill>
        </w:rPr>
      </w:pPr>
      <w:bookmarkStart w:id="30" w:name="_Toc349573123"/>
      <w:bookmarkStart w:id="31" w:name="_Toc298240407"/>
      <w:bookmarkStart w:id="32" w:name="_Toc462223634"/>
      <w:bookmarkStart w:id="33" w:name="_Toc267301284"/>
      <w:bookmarkStart w:id="34" w:name="_Toc349637922"/>
      <w:r>
        <w:rPr>
          <w:rFonts w:hint="eastAsia" w:ascii="仿宋" w:hAnsi="仿宋" w:eastAsia="仿宋" w:cs="仿宋"/>
          <w:color w:val="000000" w:themeColor="text1"/>
          <w:sz w:val="24"/>
          <w:szCs w:val="24"/>
          <w14:textFill>
            <w14:solidFill>
              <w14:schemeClr w14:val="tx1"/>
            </w14:solidFill>
          </w14:textFill>
        </w:rPr>
        <w:t>（三） 投标性文件的编写</w:t>
      </w:r>
      <w:bookmarkEnd w:id="30"/>
      <w:bookmarkEnd w:id="31"/>
      <w:bookmarkEnd w:id="32"/>
      <w:bookmarkEnd w:id="33"/>
      <w:bookmarkEnd w:id="34"/>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9、要求</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9.1 供应商应仔细阅读投标文件的所有内容，按投标文件的要求提供投标性文件，并保证所提供的全部资料的真实性，以使其投标对投标文件作出实质性响应，否则，其投标可能被拒绝。</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10、投标语言</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10.1投标性文件及供应商与招标代理机构就投标交换的文件和来往信件，应以中文书写（投标供应商提交的支持文件和印刷的文献可以使用别的语言，但其相应内容必须附有中文翻译文本，在解释投标文件时以翻译文本为主）。</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11、投标性文件的构成</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11.1 供应商编写的投标性文件应包括下列内容：</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（1）响 应 函</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（2）法定代表人资格证明书、法定代表人授权书</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（3）投标保证金</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（4）投标人的资格证明材料</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（5）近三年同类产品的销售及服务业绩证明</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（6）提供2021度经过审计的财务审计报告/财务报表（包括资产负债表、损益表及经营状况）</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（7）依法缴纳税收和社会保障资金的良好记录的证明材料（附复印件）</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（8）供货计划与措施、疫苗运输、验收方案</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（9）质量保证措施</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（10）售后服务附表</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（11）技术/商务响应与偏离表</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（12）开标一览表及分项价格表</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（13）投标人认为需提供的其它资料</w:t>
      </w:r>
    </w:p>
    <w:p>
      <w:pPr>
        <w:spacing w:line="400" w:lineRule="exact"/>
        <w:ind w:firstLine="720" w:firstLineChars="3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11.1.11 投标人认为有必要提交的其他相关证明材料</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12、投标文件格式</w:t>
      </w:r>
    </w:p>
    <w:p>
      <w:pPr>
        <w:spacing w:line="400" w:lineRule="exact"/>
        <w:ind w:left="120" w:hanging="120" w:hangingChars="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12.1 供应商应按投标文件的范本格式中提供的文件格式填写。</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13、投标报价</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13.1 供应商应在投标报价表上标明单价和总价。单价和总价要相符。小写和大写要相符。供应商应在投标报价表中标明其提供的所有服务及其相关工作范围内所有费用的总价，不接受有任何选择性投标报价。</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13.2 算术性修正。算术性修正是指对投标文件的报价明细进行校核，并对其算术上和运算上的差错给予修正。修正的原则如下：</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13.2.1 当以数字表示的金额与文字表示的金额有差异时，以文字表示的金额为准；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13.2.2 当单价与数量相乘不等于合价时，以单价计算为准。如果单价有明显的小数点位置差错，应以标出的合价为准，同时对单价予以修正；</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13.2.3 当各明细部分的价格累计不等于合价时，应以各明细的累计计数为准，修正合价。</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13.2.4 按以上原则对算术性差错修正，应取得供应商的同意，并确认修正后最终投标报价。如果供应商拒绝确认，则其投标文件将不予以评审并按废标处理，没收其投标担保。</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14、投标货币</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14.1人民币报价。</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15、供应商的证明文件：</w:t>
      </w:r>
    </w:p>
    <w:p>
      <w:pPr>
        <w:spacing w:line="400" w:lineRule="exact"/>
        <w:ind w:firstLine="480" w:firstLineChars="200"/>
        <w:rPr>
          <w:rFonts w:ascii="仿宋" w:hAnsi="仿宋" w:eastAsia="仿宋" w:cs="仿宋"/>
          <w:color w:val="000000" w:themeColor="text1"/>
          <w:spacing w:val="8"/>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供应商必须提交证明其有资格进行投标和有能力履行合同的文件（范本格式），作为投标文件的一部分。（</w:t>
      </w:r>
      <w:r>
        <w:rPr>
          <w:rFonts w:hint="eastAsia" w:ascii="仿宋" w:hAnsi="仿宋" w:eastAsia="仿宋" w:cs="仿宋"/>
          <w:color w:val="000000" w:themeColor="text1"/>
          <w:spacing w:val="8"/>
          <w:sz w:val="24"/>
          <w:szCs w:val="24"/>
          <w14:textFill>
            <w14:solidFill>
              <w14:schemeClr w14:val="tx1"/>
            </w14:solidFill>
          </w14:textFill>
        </w:rPr>
        <w:t>如不满足以下条款将导致废标）</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15.1 、落实政府采购政策需满足的资格要求：详见政府采购法。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15.2、供应商须符合《中华人民共和国政府采购法》第二十二条规定,并提供《中华人民共和国政府采购法实施条例》第十七条所要求的材料；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①供应商提供有效的统一社会信用代码的营业执照，供应商必须是中华人民共和国境内注册的，具有独立承担民事责任的能力；</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② 财务状况报告：供应商提供2021年度经第三方权威机构出具的完整的财务审计报告或自发布公告之日起基本开户银行出具的资信证明；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③ 依法缴纳税收：供应商提供自投标截止之日前半年内任意一个月依法缴纳税收的凭据，依法免税的供应商，应提供充足的证明材料；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④ 供应商逐月缴纳社会保障资金的，提供自投标截止之日前半年内任意一个月缴纳社会保障资金的凭证；供应商逐年缴纳社会保障资金的，提供上年度缴纳社会保障资金的凭证；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⑤ 供应商具备履行合同所必需的设备和专业技术能力的证明材料；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⑥ 供应商提供参加政府采购活动前 3 年内在经营活动中没有重大违法记录的书面声明（截至开标日成立不满 3 年的供应商，可提供自成立以来无重大违法记录的书面声明）。 </w:t>
      </w:r>
    </w:p>
    <w:p>
      <w:pPr>
        <w:pStyle w:val="35"/>
        <w:spacing w:before="0" w:beforeAutospacing="0" w:after="0" w:afterAutospacing="0" w:line="400" w:lineRule="exact"/>
        <w:ind w:left="420" w:leftChars="200"/>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⑦投标人需具备《兽药生产许可证》或《兽药经营许可证》</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⑧投标人所投标产品必须具有兽药产品批准文号</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⑨所投产品生产商的有效期内的《兽药GMP证书》</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⑩投标人投标产品必须具备兽用生物制品生产与检验报告（批签发报告）</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⑪能开具符合税法规定的发票，税款由供应商承担；</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⑫具有良好的商业信誉和财务状况，制度健全，依法纳税，合法经营，在以往经营活动中没有违规或违约行为；</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⑬提供的资格、资质文件和业绩情况均真实有效，否则由报价单位承担由此引起的一切后果及损失；</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⑭符合国家法律、法规规定的其他条件</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⑯参加招投标活动前三年内，在经营活动中没重大违法记录（受行政主管部门处罚的不能参加投标，提供声明书）。</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⑱采购项目需要落实的政府采购政策：符合政府采购优先节约能源、保护环境及促进中小企业，监狱企业、残疾人福利性单位发展的，依据规定给予评审优惠</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15.3、供应商提供法人授权委托书及被授权人身份证明原件；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15.4、供应商提供在“信用中国”（www.creditchina.Sov.cn）网站上未被列入失信被执行人、重大税收违法失信主体、政府采购严重违法失信名单和中国政府采购网（www.ccSp.Sov.cn）网站上未被列入政府采购严重违法失信行为记录名单的网页打印件（网页打印件须自招标公告发布之日起至投标截止时间从上述网站中打印）。被列入以上条款尚在处罚期内的将拒绝其参本次采购活动；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15.5、本项目不接受联合体投标，允许大中型企业向小微企业分包，分包预留份额按新财购 〔2022〕22号文件内容执行；</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15.6、单位负责人为同一人或者存在直接控股、管理关系的不同投标人，不得同时参加本项目的竞争。</w:t>
      </w:r>
    </w:p>
    <w:p>
      <w:pPr>
        <w:tabs>
          <w:tab w:val="left" w:pos="252"/>
          <w:tab w:val="left" w:pos="671"/>
        </w:tabs>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注：①投标性文件中，所有供应商签字、法人代表签字、法人代表授权人签字和其它签字处须同时加盖有关有法律效力的印章方为有效；</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②所有资格证明文件必须满足投标文件要求，否则将导致废标。</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16、参数符合投标文件规定的技术要求</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16.1供应商提交的成果资料符合投标文件规定的要求，作为投标文件的一部分。</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17、投标的有效期</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17.1 投标文件从投标之日起，投标有效期为90天。（如不满足将导致废标）</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17.2 在特殊情况下，招标代理机构可与供应商商量延长投标文件的有效期。</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18、投标性文件的书写要求。</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18.1 </w:t>
      </w:r>
      <w:r>
        <w:rPr>
          <w:rFonts w:hint="eastAsia" w:ascii="仿宋" w:hAnsi="仿宋" w:eastAsia="仿宋" w:cs="仿宋"/>
          <w:color w:val="000000" w:themeColor="text1"/>
          <w:sz w:val="24"/>
          <w:szCs w:val="24"/>
          <w:highlight w:val="yellow"/>
          <w:lang w:eastAsia="zh-CN"/>
          <w14:textFill>
            <w14:solidFill>
              <w14:schemeClr w14:val="tx1"/>
            </w14:solidFill>
          </w14:textFill>
        </w:rPr>
        <w:t>投标</w:t>
      </w:r>
      <w:r>
        <w:rPr>
          <w:rFonts w:hint="eastAsia" w:ascii="仿宋" w:hAnsi="仿宋" w:eastAsia="仿宋" w:cs="仿宋"/>
          <w:color w:val="000000" w:themeColor="text1"/>
          <w:sz w:val="24"/>
          <w:szCs w:val="24"/>
          <w:highlight w:val="yellow"/>
          <w14:textFill>
            <w14:solidFill>
              <w14:schemeClr w14:val="tx1"/>
            </w14:solidFill>
          </w14:textFill>
        </w:rPr>
        <w:t>性文件须</w:t>
      </w:r>
      <w:r>
        <w:rPr>
          <w:rFonts w:hint="eastAsia" w:ascii="仿宋" w:hAnsi="仿宋" w:eastAsia="仿宋" w:cs="仿宋"/>
          <w:color w:val="000000" w:themeColor="text1"/>
          <w:sz w:val="24"/>
          <w:szCs w:val="24"/>
          <w:highlight w:val="yellow"/>
          <w:lang w:eastAsia="zh-CN"/>
          <w14:textFill>
            <w14:solidFill>
              <w14:schemeClr w14:val="tx1"/>
            </w14:solidFill>
          </w14:textFill>
        </w:rPr>
        <w:t>是加盖公章后的扫描件</w:t>
      </w:r>
      <w:r>
        <w:rPr>
          <w:rFonts w:hint="eastAsia" w:ascii="仿宋" w:hAnsi="仿宋" w:eastAsia="仿宋" w:cs="仿宋"/>
          <w:color w:val="000000" w:themeColor="text1"/>
          <w:sz w:val="24"/>
          <w:szCs w:val="24"/>
          <w:highlight w:val="none"/>
          <w14:textFill>
            <w14:solidFill>
              <w14:schemeClr w14:val="tx1"/>
            </w14:solidFill>
          </w14:textFill>
        </w:rPr>
        <w:t>。</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18.2 投标性文件应清楚工整，修改处应由投标供应商全权代表签章。</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18.3 </w:t>
      </w:r>
      <w:r>
        <w:rPr>
          <w:rFonts w:hint="eastAsia" w:ascii="仿宋" w:hAnsi="仿宋" w:eastAsia="仿宋" w:cs="仿宋"/>
          <w:b/>
          <w:color w:val="000000" w:themeColor="text1"/>
          <w:sz w:val="24"/>
          <w:szCs w:val="24"/>
          <w14:textFill>
            <w14:solidFill>
              <w14:schemeClr w14:val="tx1"/>
            </w14:solidFill>
          </w14:textFill>
        </w:rPr>
        <w:t>投标性文件中要求由投标人法定代表人或被授权人签字的内容必须签字、盖章的内容必须盖章，否则视为无效投标。</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18.4电报、电话、传真形式的投标概不接受。</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19、投标保证金</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19.1供应商按照供应商须知附表中要求缴纳投标保证金。</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19.2 本次招标仅接受网银或电汇作为投标保证金，投标保证金有效期应当与投标有效期一致。</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19.3投标保证金的退还时间：</w:t>
      </w:r>
    </w:p>
    <w:p>
      <w:pPr>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19.3.1中标供应商的投标保证金，将在合同签订后的5个工作日内予以退还；未中标供应商的投标保证金在中标通知书发出后5个工作日内予以退还。</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19.4未按规定提交投标保证金的投标，将被视为投标无效。</w:t>
      </w:r>
    </w:p>
    <w:p>
      <w:pPr>
        <w:pStyle w:val="23"/>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19.5下列任何情况发生时，投标保证金将被没收：</w:t>
      </w:r>
    </w:p>
    <w:p>
      <w:pPr>
        <w:pStyle w:val="23"/>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19.5.1供应商在投标文件规定的投标有效期内撤回其投标；</w:t>
      </w:r>
    </w:p>
    <w:p>
      <w:pPr>
        <w:pStyle w:val="23"/>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19.5.2成交方在规定期限内未能：</w:t>
      </w:r>
    </w:p>
    <w:p>
      <w:pPr>
        <w:pStyle w:val="23"/>
        <w:spacing w:line="400" w:lineRule="exact"/>
        <w:ind w:firstLine="960" w:firstLineChars="4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19.5.2.1按本须知第31条规定签订合同；</w:t>
      </w:r>
    </w:p>
    <w:p>
      <w:pPr>
        <w:pStyle w:val="23"/>
        <w:spacing w:line="400" w:lineRule="exact"/>
        <w:ind w:firstLine="960" w:firstLineChars="4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19.5.2.2按须知第32条向买方提交履约保证金；</w:t>
      </w:r>
    </w:p>
    <w:p>
      <w:pPr>
        <w:pStyle w:val="23"/>
        <w:spacing w:line="400" w:lineRule="exact"/>
        <w:ind w:firstLine="960" w:firstLineChars="4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19.5.2.3按本须知第33条规定向招标代理机构交纳代理服务费。</w:t>
      </w:r>
    </w:p>
    <w:p>
      <w:pPr>
        <w:pStyle w:val="4"/>
        <w:spacing w:before="0" w:after="0" w:line="400" w:lineRule="exact"/>
        <w:jc w:val="center"/>
        <w:rPr>
          <w:rFonts w:ascii="仿宋" w:hAnsi="仿宋" w:eastAsia="仿宋" w:cs="仿宋"/>
          <w:color w:val="000000" w:themeColor="text1"/>
          <w:sz w:val="24"/>
          <w:szCs w:val="24"/>
          <w14:textFill>
            <w14:solidFill>
              <w14:schemeClr w14:val="tx1"/>
            </w14:solidFill>
          </w14:textFill>
        </w:rPr>
      </w:pPr>
      <w:bookmarkStart w:id="35" w:name="_Toc462223635"/>
      <w:bookmarkStart w:id="36" w:name="_Toc298240408"/>
      <w:bookmarkStart w:id="37" w:name="_Toc349637923"/>
      <w:bookmarkStart w:id="38" w:name="_Toc349573124"/>
      <w:bookmarkStart w:id="39" w:name="_Toc267301285"/>
      <w:r>
        <w:rPr>
          <w:rFonts w:hint="eastAsia" w:ascii="仿宋" w:hAnsi="仿宋" w:eastAsia="仿宋" w:cs="仿宋"/>
          <w:color w:val="000000" w:themeColor="text1"/>
          <w:sz w:val="24"/>
          <w:szCs w:val="24"/>
          <w14:textFill>
            <w14:solidFill>
              <w14:schemeClr w14:val="tx1"/>
            </w14:solidFill>
          </w14:textFill>
        </w:rPr>
        <w:t>（四）  投标文件的递交</w:t>
      </w:r>
      <w:bookmarkEnd w:id="35"/>
      <w:bookmarkEnd w:id="36"/>
      <w:bookmarkEnd w:id="37"/>
      <w:bookmarkEnd w:id="38"/>
      <w:bookmarkEnd w:id="39"/>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性文件的密封与标记</w:t>
      </w:r>
      <w:r>
        <w:rPr>
          <w:rFonts w:hint="eastAsia" w:ascii="仿宋" w:hAnsi="仿宋" w:eastAsia="仿宋" w:cs="仿宋"/>
          <w:color w:val="000000" w:themeColor="text1"/>
          <w:sz w:val="24"/>
          <w:szCs w:val="24"/>
          <w:highlight w:val="none"/>
          <w:lang w:eastAsia="zh-CN"/>
          <w14:textFill>
            <w14:solidFill>
              <w14:schemeClr w14:val="tx1"/>
            </w14:solidFill>
          </w14:textFill>
        </w:rPr>
        <w:t>遵循政采云客户端投标文件投标的相关要求</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文件递交截止时间</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21.1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文件的递交截止时间为：。</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文件以密封形式递交至：</w:t>
      </w:r>
      <w:r>
        <w:rPr>
          <w:rFonts w:hint="eastAsia" w:ascii="仿宋" w:hAnsi="仿宋" w:eastAsia="仿宋" w:cs="仿宋"/>
          <w:color w:val="000000" w:themeColor="text1"/>
          <w:sz w:val="24"/>
          <w:szCs w:val="24"/>
          <w:highlight w:val="none"/>
          <w:lang w:eastAsia="zh-CN"/>
          <w14:textFill>
            <w14:solidFill>
              <w14:schemeClr w14:val="tx1"/>
            </w14:solidFill>
          </w14:textFill>
        </w:rPr>
        <w:t>政采云客户端。</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21.2 所有投标文件都必须按招标代理机构在投标邀请中规定的投标截止时间之前送到投标文件规定的地点。</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21.3 出现第8.2款因投标文件的修改推迟投标截止时间时，则按招标代理机构修改通知规定的时间递交。</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22、投标文件的修改和撤销</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22.1 供应商在提交投标文件后可对其投标文件进行修改或撤销，但招标代理机构须在投标截止时间之前收到该修改或撤销的书面通知，该通知须有经正式授权的供应商代表签字。</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22.2 供应商不得在投标时间起至投标有效期期满前撤销投标文件。否则招标代理机构将没收其投标保证金。</w:t>
      </w:r>
    </w:p>
    <w:p>
      <w:pPr>
        <w:pStyle w:val="4"/>
        <w:spacing w:before="0" w:after="0" w:line="400" w:lineRule="exact"/>
        <w:jc w:val="center"/>
        <w:rPr>
          <w:rFonts w:ascii="仿宋" w:hAnsi="仿宋" w:eastAsia="仿宋" w:cs="仿宋"/>
          <w:color w:val="000000" w:themeColor="text1"/>
          <w:sz w:val="24"/>
          <w:szCs w:val="24"/>
          <w14:textFill>
            <w14:solidFill>
              <w14:schemeClr w14:val="tx1"/>
            </w14:solidFill>
          </w14:textFill>
        </w:rPr>
      </w:pPr>
      <w:bookmarkStart w:id="40" w:name="_Toc298240409"/>
      <w:bookmarkStart w:id="41" w:name="_Toc349637924"/>
      <w:bookmarkStart w:id="42" w:name="_Toc462223636"/>
      <w:bookmarkStart w:id="43" w:name="_Toc267301286"/>
      <w:bookmarkStart w:id="44" w:name="_Toc349573125"/>
      <w:r>
        <w:rPr>
          <w:rFonts w:hint="eastAsia" w:ascii="仿宋" w:hAnsi="仿宋" w:eastAsia="仿宋" w:cs="仿宋"/>
          <w:color w:val="000000" w:themeColor="text1"/>
          <w:sz w:val="24"/>
          <w:szCs w:val="24"/>
          <w14:textFill>
            <w14:solidFill>
              <w14:schemeClr w14:val="tx1"/>
            </w14:solidFill>
          </w14:textFill>
        </w:rPr>
        <w:t>（五） 投标程序</w:t>
      </w:r>
      <w:bookmarkEnd w:id="40"/>
      <w:bookmarkEnd w:id="41"/>
      <w:bookmarkEnd w:id="42"/>
      <w:bookmarkEnd w:id="43"/>
      <w:bookmarkEnd w:id="44"/>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23、投标</w:t>
      </w:r>
    </w:p>
    <w:p>
      <w:pPr>
        <w:spacing w:line="400" w:lineRule="exact"/>
        <w:ind w:left="239" w:leftChars="114" w:firstLine="120" w:firstLineChars="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23.1投标时，</w:t>
      </w:r>
      <w:r>
        <w:rPr>
          <w:rFonts w:hint="eastAsia" w:ascii="仿宋" w:hAnsi="仿宋" w:eastAsia="仿宋" w:cs="仿宋"/>
          <w:color w:val="000000" w:themeColor="text1"/>
          <w:sz w:val="24"/>
          <w:szCs w:val="24"/>
          <w:highlight w:val="none"/>
          <w:lang w:eastAsia="zh-CN"/>
          <w14:textFill>
            <w14:solidFill>
              <w14:schemeClr w14:val="tx1"/>
            </w14:solidFill>
          </w14:textFill>
        </w:rPr>
        <w:t>资格审查小组</w:t>
      </w:r>
      <w:r>
        <w:rPr>
          <w:rFonts w:hint="eastAsia" w:ascii="仿宋" w:hAnsi="仿宋" w:eastAsia="仿宋" w:cs="仿宋"/>
          <w:color w:val="000000" w:themeColor="text1"/>
          <w:sz w:val="24"/>
          <w:szCs w:val="24"/>
          <w:highlight w:val="none"/>
          <w14:textFill>
            <w14:solidFill>
              <w14:schemeClr w14:val="tx1"/>
            </w14:solidFill>
          </w14:textFill>
        </w:rPr>
        <w:t>对供应商进行资格初审</w:t>
      </w:r>
      <w:r>
        <w:rPr>
          <w:rFonts w:hint="eastAsia" w:ascii="仿宋" w:hAnsi="仿宋" w:eastAsia="仿宋" w:cs="仿宋"/>
          <w:color w:val="000000" w:themeColor="text1"/>
          <w:sz w:val="24"/>
          <w:szCs w:val="24"/>
          <w14:textFill>
            <w14:solidFill>
              <w14:schemeClr w14:val="tx1"/>
            </w14:solidFill>
          </w14:textFill>
        </w:rPr>
        <w:t>。</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23.2 本次投标按投标文件中投标邀请规定的时间地点进行投标，将邀请供应商的法定代表人或其授权委托人准时参加投标会。</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23.3宣布投标文件开启顺序。</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23.4 投标时检查投标文件密封情况。</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23.5 投标原则在投标会议上宣布。</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23.6 对采购方的纪律要求</w:t>
      </w:r>
    </w:p>
    <w:p>
      <w:pPr>
        <w:spacing w:line="400" w:lineRule="exact"/>
        <w:ind w:firstLine="360" w:firstLineChars="1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采购方不得泄露投标活动中应当保密的情况和资料，不得与供应商串通损害国家利益、社会公共利益或者他人合法权益。</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23.7对供应商的纪律要求</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供应商不得互相串通投标或者与采购人串通投标，不得向采购人或者投标小组成员行贿谋取成交，不得以他人名义投标或者以其他方式弄虚作假骗取成交；供应商不得以任何方式干扰、影响投标工作。</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23.8 对与投标活动有关的工作人员的纪律要求</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与投标活动有关的工作人员不得收受他人的财物或者好处，不得向其他人透露对投标文件的评审和比较、成交候选人的推荐情况及投标有关其他情况。在投标活动中，与投标活动有关的工作人员不得擅离职守，影响投标程序正常进行。</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23.9对投标小组成员要求投标纪律</w:t>
      </w:r>
    </w:p>
    <w:p>
      <w:pPr>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23.9.1投标小组应当依照有关法律法规的规定，按照投标文件确定的投标标准和办法客观、公正的对投标文件提出评审意见。投标文件设有规定的投标标准和方法不得作为投标依据。</w:t>
      </w:r>
    </w:p>
    <w:p>
      <w:pPr>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23.9.2投标小组成员不得私下接触供应商，不得收受供应商给予的财物或者其他好处，不得向采购方征询确定成交方意向。</w:t>
      </w:r>
    </w:p>
    <w:p>
      <w:pPr>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23.9.3不得接受任何单位或个人明示或暗示提出的倾向或排斥特定供应商的要求。</w:t>
      </w:r>
    </w:p>
    <w:p>
      <w:pPr>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23.9.4不得有其他不客观，不公正履行职务的行为。</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24、投标过程</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24.1 投标的依据为投标文件和投标文件。</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24.2 投标后投标小组审查投标文件是否完整，是否有计算错误，要求的保证金是否提供，文件是否恰当地签署。</w:t>
      </w:r>
    </w:p>
    <w:p>
      <w:pPr>
        <w:spacing w:line="400" w:lineRule="exact"/>
        <w:ind w:firstLine="562" w:firstLineChars="20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初步评审（符合性审查）</w:t>
      </w:r>
    </w:p>
    <w:tbl>
      <w:tblPr>
        <w:tblStyle w:val="39"/>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621"/>
        <w:gridCol w:w="4340"/>
        <w:gridCol w:w="732"/>
        <w:gridCol w:w="720"/>
        <w:gridCol w:w="789"/>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trPr>
        <w:tc>
          <w:tcPr>
            <w:tcW w:w="817"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w:t>
            </w:r>
          </w:p>
        </w:tc>
        <w:tc>
          <w:tcPr>
            <w:tcW w:w="4961" w:type="dxa"/>
            <w:gridSpan w:val="2"/>
            <w:tcBorders>
              <w:bottom w:val="single" w:color="auto" w:sz="4" w:space="0"/>
            </w:tcBorders>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评  审  内  容</w:t>
            </w:r>
          </w:p>
        </w:tc>
        <w:tc>
          <w:tcPr>
            <w:tcW w:w="732"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投标人1</w:t>
            </w:r>
          </w:p>
        </w:tc>
        <w:tc>
          <w:tcPr>
            <w:tcW w:w="720"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投标人2</w:t>
            </w:r>
          </w:p>
        </w:tc>
        <w:tc>
          <w:tcPr>
            <w:tcW w:w="789"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投标人3</w:t>
            </w:r>
          </w:p>
        </w:tc>
        <w:tc>
          <w:tcPr>
            <w:tcW w:w="735"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817" w:type="dxa"/>
            <w:vMerge w:val="restart"/>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初</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步</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评</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审</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符</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性</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审</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查</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表</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投标报价是否高于本项目的最高限价；</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投标保证金的缴纳主体是否与投标人一致、提供投标担保或者所提供的投标担保不符合采购文件要求；</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企业信誉（信用查询）是否满足采购文件的要求；</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法定代表人身份证明书及法定代表人授权委托书是否按采购文件规定格式完整提供、并按采购文件要求签字盖章。</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投标文件需求没有采购人不可接收的重大偏离</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8754" w:type="dxa"/>
            <w:gridSpan w:val="7"/>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结论：是否通过初步评审（符合性审查）（初步评审（符合性审查）合格后方可进入详细评审阶段）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trPr>
        <w:tc>
          <w:tcPr>
            <w:tcW w:w="8754" w:type="dxa"/>
            <w:gridSpan w:val="7"/>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评标委员会成员签名：</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8754" w:type="dxa"/>
            <w:gridSpan w:val="7"/>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备注：如果投标文件中有一项未通过上述审查标准，评标委员会将认定整个投标文件不响应采购文件而予以投标无效，并且不允许投标人通过修改或撤销其不符合要求的差异或保留，使之成为具有响应性的投标。通过重大偏差审核的以“√”标记；未通过重大偏差审核的以“×”标记，并予以说明。</w:t>
            </w:r>
          </w:p>
        </w:tc>
      </w:tr>
    </w:tbl>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24.3 在对投标文件进行详细评估之前，投标小组将依据供应商提供的资格证明文件审查供应商的财务、技术和生产能力。如果确定供应商无资格履行合同，其投标将被拒绝。</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24.4 投标小组将确定每一投标文件是否对投标文件的要求作出了实质性的响应，而没有重大偏离。实质性响应的投标文件是指符合投标文件的所有条款、条件和规定且没有重大偏离或保留。重大偏离或保留系指影响到投标文件规定的供货范围、质量和性能，或限制了买方的权利和供应商的义务的规定，而纠正这些偏离将影响到其他提交实质性响应投标的供应商的公平竞争地位。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25、投标文件的澄清</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25.1为有助于对投标文件进行审查、评估和比较，投标小组将对供应商进行投标，请供应商澄清其投标内容，供应商有责任按照招标代理机构通知的时间、地点指派专人进行答疑和澄清。投标时供应商代表应作书面记录。并对重要内容作出书面答复。</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25.2 要澄清的答复应是书面的，但不得对投标内容进行实质性修改。澄清文件须由供应商法人代表或法人授权代表签字和/或加盖公章并作为投标文件的组成部分。</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26、确定成交供应商的办法</w:t>
      </w:r>
    </w:p>
    <w:p>
      <w:pPr>
        <w:spacing w:line="4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26.1投标小组按照投标文件要求对投标文件中的供应商资格、供应商资格证明文件、重要技术指标以及技术和商务上要求的其它重要内容进行审核。</w:t>
      </w:r>
    </w:p>
    <w:p>
      <w:pPr>
        <w:spacing w:line="4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26.2投标小组和供应商投标过程中作出的书面承诺是否符合投标文件中对质量、技术和服务的要求。</w:t>
      </w:r>
    </w:p>
    <w:p>
      <w:pPr>
        <w:pStyle w:val="14"/>
        <w:spacing w:line="400" w:lineRule="exact"/>
        <w:ind w:left="0" w:leftChars="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对响应文件的评估和比较分为两步进行，投标小组会按照投标文件要求对响应文件中的供应商资格、供应商资格证明文件、重要技术指标以及技术和商务上要求的其它重要内容进行审核，审核合格后即视为实质性响应的投标文件，进行第二个步骤：对实质性响应的投标文件进行评估和比较采用综合评分法进行打分评比，打分方法：总分为100分，其中价格因素占30分，商务技术因素占70分。将每位投标商的价格得分、商务得分、技术得分相加即为该投标商的总得分。详细评分标准如下：</w:t>
      </w:r>
    </w:p>
    <w:p>
      <w:pPr>
        <w:rPr>
          <w:color w:val="000000" w:themeColor="text1"/>
          <w14:textFill>
            <w14:solidFill>
              <w14:schemeClr w14:val="tx1"/>
            </w14:solidFill>
          </w14:textFill>
        </w:rPr>
      </w:pPr>
    </w:p>
    <w:tbl>
      <w:tblPr>
        <w:tblStyle w:val="39"/>
        <w:tblW w:w="9940"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491"/>
        <w:gridCol w:w="176"/>
        <w:gridCol w:w="773"/>
        <w:gridCol w:w="126"/>
        <w:gridCol w:w="6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序号</w:t>
            </w:r>
          </w:p>
        </w:tc>
        <w:tc>
          <w:tcPr>
            <w:tcW w:w="1667"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rPr>
              <w:t>评标项目</w:t>
            </w:r>
          </w:p>
        </w:tc>
        <w:tc>
          <w:tcPr>
            <w:tcW w:w="899"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rPr>
              <w:t>评标</w:t>
            </w:r>
          </w:p>
          <w:p>
            <w:pPr>
              <w:adjustRightInd w:val="0"/>
              <w:snapToGrid w:val="0"/>
              <w:spacing w:line="320" w:lineRule="exact"/>
              <w:jc w:val="center"/>
              <w:rPr>
                <w:rFonts w:ascii="宋体" w:hAnsi="宋体" w:cs="宋体"/>
                <w:kern w:val="0"/>
              </w:rPr>
            </w:pPr>
            <w:r>
              <w:rPr>
                <w:rFonts w:hint="eastAsia" w:ascii="宋体" w:hAnsi="宋体" w:cs="宋体"/>
                <w:kern w:val="0"/>
              </w:rPr>
              <w:t>权重</w:t>
            </w:r>
          </w:p>
        </w:tc>
        <w:tc>
          <w:tcPr>
            <w:tcW w:w="6758" w:type="dxa"/>
            <w:vAlign w:val="center"/>
          </w:tcPr>
          <w:p>
            <w:pPr>
              <w:adjustRightInd w:val="0"/>
              <w:snapToGrid w:val="0"/>
              <w:spacing w:line="320" w:lineRule="exact"/>
              <w:ind w:firstLine="420" w:firstLineChars="200"/>
              <w:jc w:val="center"/>
              <w:rPr>
                <w:rFonts w:ascii="宋体" w:hAnsi="宋体" w:cs="宋体"/>
                <w:kern w:val="0"/>
              </w:rPr>
            </w:pPr>
            <w:r>
              <w:rPr>
                <w:rFonts w:hint="eastAsia" w:ascii="宋体" w:hAnsi="宋体" w:cs="宋体"/>
                <w:kern w:val="0"/>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一</w:t>
            </w:r>
          </w:p>
        </w:tc>
        <w:tc>
          <w:tcPr>
            <w:tcW w:w="1667"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rPr>
              <w:t>投标价格</w:t>
            </w:r>
          </w:p>
          <w:p>
            <w:pPr>
              <w:adjustRightInd w:val="0"/>
              <w:snapToGrid w:val="0"/>
              <w:spacing w:line="320" w:lineRule="exact"/>
              <w:jc w:val="center"/>
              <w:rPr>
                <w:rFonts w:ascii="宋体" w:hAnsi="宋体" w:cs="宋体"/>
                <w:kern w:val="0"/>
              </w:rPr>
            </w:pPr>
            <w:r>
              <w:rPr>
                <w:rFonts w:hint="eastAsia" w:ascii="宋体" w:hAnsi="宋体" w:cs="宋体"/>
                <w:kern w:val="0"/>
              </w:rPr>
              <w:t>评分A</w:t>
            </w:r>
          </w:p>
          <w:p>
            <w:pPr>
              <w:adjustRightInd w:val="0"/>
              <w:snapToGrid w:val="0"/>
              <w:spacing w:line="320" w:lineRule="exact"/>
              <w:jc w:val="center"/>
              <w:rPr>
                <w:rFonts w:ascii="宋体" w:hAnsi="宋体" w:cs="宋体"/>
                <w:kern w:val="0"/>
              </w:rPr>
            </w:pPr>
            <w:r>
              <w:rPr>
                <w:rFonts w:hint="eastAsia" w:ascii="宋体" w:hAnsi="宋体" w:cs="宋体"/>
                <w:kern w:val="0"/>
              </w:rPr>
              <w:t>（30分）</w:t>
            </w:r>
          </w:p>
        </w:tc>
        <w:tc>
          <w:tcPr>
            <w:tcW w:w="899"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rPr>
              <w:t>30分</w:t>
            </w:r>
          </w:p>
        </w:tc>
        <w:tc>
          <w:tcPr>
            <w:tcW w:w="6758" w:type="dxa"/>
            <w:vAlign w:val="center"/>
          </w:tcPr>
          <w:p>
            <w:pPr>
              <w:spacing w:line="360" w:lineRule="auto"/>
              <w:ind w:firstLine="210" w:firstLineChars="100"/>
              <w:rPr>
                <w:rFonts w:ascii="宋体" w:hAnsi="宋体" w:cs="宋体"/>
                <w:color w:val="000000"/>
                <w:szCs w:val="21"/>
              </w:rPr>
            </w:pPr>
            <w:r>
              <w:rPr>
                <w:rFonts w:hint="eastAsia" w:ascii="宋体" w:hAnsi="宋体" w:cs="宋体"/>
                <w:szCs w:val="21"/>
              </w:rPr>
              <w:t>1.投标报价为每头份的单价。报价不得高于最高限价，超过最高限价的投标文件为无效投标文件。</w:t>
            </w:r>
          </w:p>
          <w:p>
            <w:pPr>
              <w:snapToGrid w:val="0"/>
              <w:spacing w:line="360" w:lineRule="auto"/>
              <w:ind w:firstLine="210" w:firstLineChars="100"/>
              <w:jc w:val="left"/>
              <w:rPr>
                <w:rFonts w:ascii="宋体" w:hAnsi="宋体" w:cs="宋体"/>
                <w:szCs w:val="21"/>
              </w:rPr>
            </w:pPr>
            <w:r>
              <w:rPr>
                <w:rFonts w:hint="eastAsia" w:ascii="宋体" w:hAnsi="宋体" w:cs="宋体"/>
                <w:bCs/>
                <w:szCs w:val="21"/>
              </w:rPr>
              <w:t>2.综合评分法中的价格分统一采用低价优先法计算，即满足投标文件要求且最后报价最低的供应商的价格为评标基准价，</w:t>
            </w:r>
            <w:r>
              <w:rPr>
                <w:rFonts w:hint="eastAsia" w:ascii="宋体" w:hAnsi="宋体" w:cs="宋体"/>
                <w:color w:val="000000"/>
                <w:szCs w:val="21"/>
              </w:rPr>
              <w:t>报价等于基准报价时得满分。</w:t>
            </w:r>
            <w:r>
              <w:rPr>
                <w:rFonts w:hint="eastAsia" w:ascii="宋体" w:hAnsi="宋体" w:cs="宋体"/>
                <w:szCs w:val="21"/>
              </w:rPr>
              <w:t>其他投标人的价格分统一按照下列公式计算：</w:t>
            </w:r>
          </w:p>
          <w:p>
            <w:pPr>
              <w:snapToGrid w:val="0"/>
              <w:ind w:firstLine="465"/>
              <w:rPr>
                <w:rFonts w:ascii="宋体" w:hAnsi="宋体" w:cs="宋体"/>
                <w:szCs w:val="21"/>
              </w:rPr>
            </w:pPr>
            <w:r>
              <w:rPr>
                <w:rFonts w:hint="eastAsia" w:ascii="宋体" w:hAnsi="宋体" w:cs="宋体"/>
                <w:szCs w:val="21"/>
              </w:rPr>
              <w:t>预估数量×单价=投标报价</w:t>
            </w:r>
          </w:p>
          <w:p>
            <w:pPr>
              <w:snapToGrid w:val="0"/>
              <w:ind w:firstLine="465"/>
              <w:rPr>
                <w:rFonts w:ascii="宋体" w:hAnsi="宋体" w:cs="宋体"/>
                <w:szCs w:val="21"/>
              </w:rPr>
            </w:pPr>
            <w:r>
              <w:rPr>
                <w:rFonts w:hint="eastAsia" w:ascii="宋体" w:hAnsi="宋体" w:cs="宋体"/>
                <w:szCs w:val="21"/>
              </w:rPr>
              <w:t>投标报价得分=(评标基准价／评标报价)×投标报价权重</w:t>
            </w:r>
          </w:p>
          <w:p>
            <w:pPr>
              <w:snapToGrid w:val="0"/>
              <w:ind w:firstLine="465"/>
              <w:rPr>
                <w:rFonts w:ascii="宋体" w:hAnsi="宋体" w:cs="宋体"/>
                <w:szCs w:val="21"/>
              </w:rPr>
            </w:pPr>
          </w:p>
          <w:p>
            <w:pPr>
              <w:snapToGrid w:val="0"/>
              <w:ind w:firstLine="465"/>
              <w:rPr>
                <w:rFonts w:ascii="宋体" w:hAnsi="宋体" w:cs="宋体"/>
                <w:b/>
                <w:bCs/>
                <w:szCs w:val="21"/>
              </w:rPr>
            </w:pPr>
            <w:r>
              <w:rPr>
                <w:rFonts w:hint="eastAsia" w:ascii="宋体" w:hAnsi="宋体" w:cs="宋体"/>
                <w:b/>
                <w:bCs/>
                <w:szCs w:val="21"/>
              </w:rPr>
              <w:t>注：1、预估数量不作为实际采购数量，实际采购数量以年度实际发生数量为准。</w:t>
            </w:r>
          </w:p>
          <w:p>
            <w:pPr>
              <w:snapToGrid w:val="0"/>
              <w:ind w:firstLine="888" w:firstLineChars="421"/>
              <w:rPr>
                <w:rFonts w:ascii="宋体" w:hAnsi="宋体" w:cs="宋体"/>
                <w:b/>
                <w:bCs/>
                <w:szCs w:val="21"/>
              </w:rPr>
            </w:pPr>
            <w:r>
              <w:rPr>
                <w:rFonts w:hint="eastAsia" w:ascii="宋体" w:hAnsi="宋体" w:cs="宋体"/>
                <w:b/>
                <w:bCs/>
                <w:szCs w:val="21"/>
              </w:rPr>
              <w:t>2、各投标供应商不得采取恶意竞价方式投标，不得以低于成本的价格参与投标。如评标委员会一致认为供应商恶意报价，其投标文件将作无效投标处理。</w:t>
            </w:r>
          </w:p>
          <w:p>
            <w:pPr>
              <w:snapToGrid w:val="0"/>
              <w:ind w:firstLine="465"/>
              <w:rPr>
                <w:rFonts w:ascii="宋体" w:hAnsi="宋体" w:cs="宋体"/>
                <w:kern w:val="0"/>
              </w:rPr>
            </w:pPr>
            <w:r>
              <w:rPr>
                <w:rFonts w:hint="eastAsia" w:ascii="宋体" w:hAnsi="宋体" w:cs="宋体"/>
                <w:b/>
                <w:bCs/>
                <w:szCs w:val="21"/>
              </w:rPr>
              <w:t>3、根据采购人要求，投标人所报投标单价若低于预算单价的90%时（即相比采购预算单价下浮超过10%），投标人需做出报价合理性说明，说明不合理或明显低于成本价的，视为有可能影响产品质量或者不能诚信履约，按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二</w:t>
            </w:r>
          </w:p>
        </w:tc>
        <w:tc>
          <w:tcPr>
            <w:tcW w:w="9324" w:type="dxa"/>
            <w:gridSpan w:val="5"/>
            <w:vAlign w:val="center"/>
          </w:tcPr>
          <w:p>
            <w:pPr>
              <w:adjustRightInd w:val="0"/>
              <w:snapToGrid w:val="0"/>
              <w:spacing w:line="320" w:lineRule="exact"/>
              <w:jc w:val="left"/>
              <w:rPr>
                <w:rFonts w:ascii="宋体" w:hAnsi="宋体" w:cs="宋体"/>
                <w:kern w:val="0"/>
                <w:lang w:val="zh-CN"/>
              </w:rPr>
            </w:pPr>
            <w:r>
              <w:rPr>
                <w:rFonts w:hint="eastAsia" w:ascii="宋体" w:hAnsi="宋体" w:cs="宋体"/>
                <w:kern w:val="0"/>
              </w:rPr>
              <w:t>技术部分评分B（满分30分，B=B1+B2+B3+B4+B5+B6+B7）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trPr>
        <w:tc>
          <w:tcPr>
            <w:tcW w:w="616" w:type="dxa"/>
            <w:vAlign w:val="center"/>
          </w:tcPr>
          <w:p>
            <w:pPr>
              <w:adjustRightInd w:val="0"/>
              <w:snapToGrid w:val="0"/>
              <w:spacing w:line="320" w:lineRule="exact"/>
              <w:jc w:val="center"/>
              <w:rPr>
                <w:rFonts w:ascii="宋体" w:hAnsi="宋体" w:cs="宋体"/>
                <w:kern w:val="0"/>
                <w:szCs w:val="24"/>
                <w:lang w:val="zh-CN"/>
              </w:rPr>
            </w:pPr>
            <w:r>
              <w:rPr>
                <w:rFonts w:hint="eastAsia" w:ascii="宋体" w:hAnsi="宋体" w:cs="宋体"/>
                <w:kern w:val="0"/>
                <w:szCs w:val="24"/>
                <w:lang w:val="zh-CN"/>
              </w:rPr>
              <w:t>B1</w:t>
            </w:r>
          </w:p>
          <w:p>
            <w:pPr>
              <w:adjustRightInd w:val="0"/>
              <w:snapToGrid w:val="0"/>
              <w:spacing w:line="320" w:lineRule="exact"/>
              <w:jc w:val="center"/>
              <w:rPr>
                <w:rFonts w:ascii="宋体" w:hAnsi="宋体" w:cs="宋体"/>
                <w:kern w:val="0"/>
              </w:rPr>
            </w:pPr>
          </w:p>
        </w:tc>
        <w:tc>
          <w:tcPr>
            <w:tcW w:w="1667" w:type="dxa"/>
            <w:gridSpan w:val="2"/>
            <w:vAlign w:val="center"/>
          </w:tcPr>
          <w:p>
            <w:pPr>
              <w:adjustRightInd w:val="0"/>
              <w:snapToGrid w:val="0"/>
              <w:spacing w:line="360" w:lineRule="auto"/>
              <w:jc w:val="center"/>
              <w:rPr>
                <w:rFonts w:ascii="宋体" w:hAnsi="宋体" w:cs="宋体"/>
                <w:kern w:val="0"/>
                <w:szCs w:val="21"/>
              </w:rPr>
            </w:pPr>
            <w:r>
              <w:rPr>
                <w:rFonts w:hint="eastAsia" w:ascii="宋体" w:hAnsi="宋体" w:cs="宋体"/>
                <w:szCs w:val="21"/>
              </w:rPr>
              <w:t>生产企业特点</w:t>
            </w:r>
            <w:r>
              <w:rPr>
                <w:rFonts w:hint="eastAsia" w:ascii="宋体" w:hAnsi="宋体" w:cs="宋体"/>
                <w:bCs/>
                <w:szCs w:val="21"/>
              </w:rPr>
              <w:t>（6分）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0-6分</w:t>
            </w:r>
          </w:p>
        </w:tc>
        <w:tc>
          <w:tcPr>
            <w:tcW w:w="6758" w:type="dxa"/>
            <w:vAlign w:val="center"/>
          </w:tcPr>
          <w:p>
            <w:pPr>
              <w:pStyle w:val="23"/>
              <w:ind w:firstLine="210" w:firstLineChars="100"/>
              <w:rPr>
                <w:rFonts w:hAnsi="宋体" w:cs="宋体"/>
                <w:szCs w:val="21"/>
                <w:lang w:val="zh-CN"/>
              </w:rPr>
            </w:pPr>
            <w:r>
              <w:rPr>
                <w:rFonts w:hint="eastAsia" w:hAnsi="宋体" w:cs="宋体"/>
                <w:color w:val="000000"/>
                <w:szCs w:val="21"/>
              </w:rPr>
              <w:t>（1）</w:t>
            </w:r>
            <w:r>
              <w:rPr>
                <w:rFonts w:hint="eastAsia" w:hAnsi="宋体" w:cs="宋体"/>
                <w:szCs w:val="21"/>
              </w:rPr>
              <w:t>生产线设备满足并优于本次疫苗采购的得3分，其次得1-3分未提供不得分。（提供设备清晰发票复印件，数额可辨认）；</w:t>
            </w:r>
            <w:r>
              <w:rPr>
                <w:rFonts w:hint="eastAsia" w:hAnsi="宋体" w:cs="宋体"/>
                <w:color w:val="000000"/>
                <w:szCs w:val="21"/>
              </w:rPr>
              <w:t>（2）</w:t>
            </w:r>
            <w:r>
              <w:rPr>
                <w:rFonts w:hint="eastAsia" w:hAnsi="宋体" w:cs="宋体"/>
                <w:szCs w:val="21"/>
              </w:rPr>
              <w:t>生产工艺先进性满足并优于本次疫苗采购的（提供国家级权威部门出具的鉴定文件或报告得3分；省级权威部门出具的鉴定文件或报告得2分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B2</w:t>
            </w:r>
          </w:p>
        </w:tc>
        <w:tc>
          <w:tcPr>
            <w:tcW w:w="1667" w:type="dxa"/>
            <w:gridSpan w:val="2"/>
            <w:vAlign w:val="center"/>
          </w:tcPr>
          <w:p>
            <w:pPr>
              <w:adjustRightInd w:val="0"/>
              <w:snapToGrid w:val="0"/>
              <w:spacing w:line="360" w:lineRule="auto"/>
              <w:jc w:val="center"/>
              <w:rPr>
                <w:rFonts w:ascii="宋体" w:hAnsi="宋体" w:cs="宋体"/>
                <w:kern w:val="0"/>
                <w:szCs w:val="21"/>
                <w:lang w:val="zh-CN"/>
              </w:rPr>
            </w:pPr>
            <w:r>
              <w:rPr>
                <w:rFonts w:hint="eastAsia" w:ascii="宋体" w:hAnsi="宋体" w:cs="宋体"/>
                <w:szCs w:val="21"/>
              </w:rPr>
              <w:t>产品规格（3分）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0-3分</w:t>
            </w:r>
          </w:p>
        </w:tc>
        <w:tc>
          <w:tcPr>
            <w:tcW w:w="6758" w:type="dxa"/>
            <w:vAlign w:val="center"/>
          </w:tcPr>
          <w:p>
            <w:pPr>
              <w:pStyle w:val="23"/>
              <w:ind w:firstLine="210" w:firstLineChars="100"/>
              <w:rPr>
                <w:rFonts w:hAnsi="宋体" w:cs="宋体"/>
                <w:kern w:val="0"/>
                <w:szCs w:val="21"/>
              </w:rPr>
            </w:pPr>
            <w:r>
              <w:rPr>
                <w:rFonts w:hint="eastAsia" w:hAnsi="宋体" w:cs="宋体"/>
                <w:szCs w:val="21"/>
              </w:rPr>
              <w:t>（1）产品规格分别为50头份/瓶或100头份/瓶，其中投标人供货产品规格中能够提供50头份/瓶的得1分，50头份/瓶、100头份两种规格都提供的得2分；</w:t>
            </w:r>
            <w:r>
              <w:rPr>
                <w:rFonts w:hint="eastAsia" w:hAnsi="宋体" w:cs="宋体"/>
                <w:color w:val="000000"/>
                <w:szCs w:val="21"/>
              </w:rPr>
              <w:t>（2）疫苗提供冻干苗，并配稀释液，满分1分。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B3</w:t>
            </w:r>
          </w:p>
        </w:tc>
        <w:tc>
          <w:tcPr>
            <w:tcW w:w="1667" w:type="dxa"/>
            <w:gridSpan w:val="2"/>
            <w:vAlign w:val="center"/>
          </w:tcPr>
          <w:p>
            <w:pPr>
              <w:adjustRightInd w:val="0"/>
              <w:snapToGrid w:val="0"/>
              <w:spacing w:line="360" w:lineRule="auto"/>
              <w:jc w:val="center"/>
              <w:rPr>
                <w:rFonts w:ascii="宋体" w:hAnsi="宋体" w:cs="宋体"/>
                <w:szCs w:val="21"/>
              </w:rPr>
            </w:pPr>
            <w:r>
              <w:rPr>
                <w:rFonts w:hint="eastAsia" w:ascii="宋体" w:hAnsi="宋体" w:cs="宋体"/>
                <w:szCs w:val="21"/>
              </w:rPr>
              <w:t>供货时限</w:t>
            </w:r>
            <w:r>
              <w:rPr>
                <w:rFonts w:hint="eastAsia" w:ascii="宋体" w:hAnsi="宋体" w:cs="宋体"/>
                <w:bCs/>
                <w:szCs w:val="21"/>
              </w:rPr>
              <w:t>（4分）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0-4分</w:t>
            </w:r>
          </w:p>
        </w:tc>
        <w:tc>
          <w:tcPr>
            <w:tcW w:w="6758" w:type="dxa"/>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最长不超过10日，投标人提供2021年在供货时的企业出库单、运输证明、采购人签收单等材料，以上述三项材料上的时间作为计算供货时限。</w:t>
            </w:r>
          </w:p>
          <w:p>
            <w:pPr>
              <w:pStyle w:val="29"/>
              <w:pBdr>
                <w:bottom w:val="none" w:color="auto" w:sz="0" w:space="0"/>
              </w:pBdr>
              <w:ind w:firstLine="210" w:firstLineChars="100"/>
              <w:jc w:val="both"/>
              <w:rPr>
                <w:rFonts w:ascii="宋体" w:hAnsi="宋体" w:cs="宋体"/>
                <w:kern w:val="0"/>
                <w:sz w:val="21"/>
                <w:szCs w:val="21"/>
              </w:rPr>
            </w:pPr>
            <w:r>
              <w:rPr>
                <w:rFonts w:hint="eastAsia" w:ascii="宋体" w:hAnsi="宋体" w:cs="宋体"/>
                <w:sz w:val="21"/>
                <w:szCs w:val="21"/>
              </w:rPr>
              <w:t>（1）5日内供货到位的得4分；（2）6-10日供货到位的得2分；（3）无证明材料或超过10天的不得分。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B4</w:t>
            </w:r>
          </w:p>
        </w:tc>
        <w:tc>
          <w:tcPr>
            <w:tcW w:w="1667" w:type="dxa"/>
            <w:gridSpan w:val="2"/>
            <w:vAlign w:val="center"/>
          </w:tcPr>
          <w:p>
            <w:pPr>
              <w:adjustRightInd w:val="0"/>
              <w:snapToGrid w:val="0"/>
              <w:spacing w:line="360" w:lineRule="auto"/>
              <w:jc w:val="center"/>
              <w:rPr>
                <w:rFonts w:ascii="宋体" w:hAnsi="宋体" w:cs="宋体"/>
                <w:bCs/>
                <w:szCs w:val="21"/>
                <w:highlight w:val="yellow"/>
              </w:rPr>
            </w:pPr>
            <w:r>
              <w:rPr>
                <w:rFonts w:hint="eastAsia" w:ascii="宋体" w:hAnsi="宋体" w:cs="宋体"/>
                <w:szCs w:val="21"/>
              </w:rPr>
              <w:t>安全性</w:t>
            </w:r>
            <w:r>
              <w:rPr>
                <w:rFonts w:hint="eastAsia" w:ascii="宋体" w:hAnsi="宋体" w:cs="宋体"/>
                <w:bCs/>
                <w:szCs w:val="21"/>
              </w:rPr>
              <w:t>（4分）</w:t>
            </w:r>
          </w:p>
        </w:tc>
        <w:tc>
          <w:tcPr>
            <w:tcW w:w="899" w:type="dxa"/>
            <w:gridSpan w:val="2"/>
            <w:vAlign w:val="center"/>
          </w:tcPr>
          <w:p>
            <w:pPr>
              <w:adjustRightInd w:val="0"/>
              <w:snapToGrid w:val="0"/>
              <w:spacing w:line="360" w:lineRule="auto"/>
              <w:rPr>
                <w:rFonts w:ascii="宋体" w:hAnsi="宋体" w:cs="宋体"/>
                <w:kern w:val="0"/>
                <w:szCs w:val="21"/>
                <w:highlight w:val="yellow"/>
              </w:rPr>
            </w:pPr>
            <w:r>
              <w:rPr>
                <w:rFonts w:hint="eastAsia" w:ascii="宋体" w:hAnsi="宋体" w:cs="宋体"/>
                <w:kern w:val="0"/>
                <w:szCs w:val="21"/>
              </w:rPr>
              <w:t>0-4分</w:t>
            </w:r>
          </w:p>
        </w:tc>
        <w:tc>
          <w:tcPr>
            <w:tcW w:w="6758" w:type="dxa"/>
            <w:vAlign w:val="center"/>
          </w:tcPr>
          <w:p>
            <w:pPr>
              <w:pStyle w:val="29"/>
              <w:pBdr>
                <w:bottom w:val="none" w:color="auto" w:sz="0" w:space="0"/>
              </w:pBdr>
              <w:ind w:firstLine="210" w:firstLineChars="100"/>
              <w:jc w:val="both"/>
              <w:rPr>
                <w:rFonts w:ascii="宋体" w:hAnsi="宋体" w:cs="宋体"/>
                <w:sz w:val="21"/>
                <w:szCs w:val="21"/>
                <w:highlight w:val="yellow"/>
              </w:rPr>
            </w:pPr>
            <w:r>
              <w:rPr>
                <w:rFonts w:hint="eastAsia" w:ascii="宋体" w:hAnsi="宋体" w:cs="宋体"/>
                <w:sz w:val="21"/>
                <w:szCs w:val="21"/>
              </w:rPr>
              <w:t>每提供1份相关安全性证明文件，并提供地州市和（或）省级以上动物疫控机构出具的良好的评价证明材料和满意度反馈表的得1分，满分4分。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B5</w:t>
            </w:r>
          </w:p>
        </w:tc>
        <w:tc>
          <w:tcPr>
            <w:tcW w:w="1667" w:type="dxa"/>
            <w:gridSpan w:val="2"/>
            <w:vAlign w:val="center"/>
          </w:tcPr>
          <w:p>
            <w:pPr>
              <w:adjustRightInd w:val="0"/>
              <w:snapToGrid w:val="0"/>
              <w:jc w:val="center"/>
              <w:rPr>
                <w:rFonts w:ascii="宋体" w:hAnsi="宋体" w:cs="宋体"/>
                <w:bCs/>
                <w:szCs w:val="21"/>
              </w:rPr>
            </w:pPr>
            <w:r>
              <w:rPr>
                <w:rFonts w:hint="eastAsia" w:ascii="宋体" w:hAnsi="宋体" w:cs="宋体"/>
                <w:szCs w:val="21"/>
              </w:rPr>
              <w:t>对于所投产品的研发实力、技术革新或成果、专利</w:t>
            </w:r>
            <w:r>
              <w:rPr>
                <w:rFonts w:hint="eastAsia" w:ascii="宋体" w:hAnsi="宋体" w:cs="宋体"/>
                <w:color w:val="000000"/>
                <w:szCs w:val="21"/>
              </w:rPr>
              <w:t>（5分）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0-5分</w:t>
            </w:r>
          </w:p>
        </w:tc>
        <w:tc>
          <w:tcPr>
            <w:tcW w:w="6758" w:type="dxa"/>
            <w:vAlign w:val="center"/>
          </w:tcPr>
          <w:p>
            <w:pPr>
              <w:ind w:firstLine="210" w:firstLineChars="100"/>
              <w:rPr>
                <w:rFonts w:ascii="宋体" w:hAnsi="宋体" w:cs="宋体"/>
                <w:color w:val="000000"/>
                <w:szCs w:val="21"/>
                <w:highlight w:val="yellow"/>
              </w:rPr>
            </w:pPr>
            <w:r>
              <w:rPr>
                <w:rFonts w:hint="eastAsia" w:ascii="宋体" w:hAnsi="宋体" w:cs="宋体"/>
                <w:color w:val="000000"/>
                <w:szCs w:val="21"/>
              </w:rPr>
              <w:t>（1）</w:t>
            </w:r>
            <w:r>
              <w:rPr>
                <w:rFonts w:hint="eastAsia" w:ascii="宋体" w:hAnsi="宋体" w:cs="宋体"/>
                <w:szCs w:val="21"/>
              </w:rPr>
              <w:t>对于所投产品国家认定企业技术中心的得1分，没有的不得分（提供证明材料）；</w:t>
            </w:r>
            <w:r>
              <w:rPr>
                <w:rFonts w:hint="eastAsia" w:ascii="宋体" w:hAnsi="宋体" w:cs="宋体"/>
                <w:color w:val="000000"/>
                <w:szCs w:val="21"/>
              </w:rPr>
              <w:t>（2）</w:t>
            </w:r>
            <w:r>
              <w:rPr>
                <w:rFonts w:hint="eastAsia" w:ascii="宋体" w:hAnsi="宋体" w:cs="宋体"/>
                <w:szCs w:val="21"/>
              </w:rPr>
              <w:t>对于所投产品技术革新或新成果：有国家有关部门或农业农村部认可的项目和成果的，1项得1分，没有不得分，最高得2分；</w:t>
            </w:r>
            <w:r>
              <w:rPr>
                <w:rFonts w:hint="eastAsia" w:ascii="宋体" w:hAnsi="宋体" w:cs="宋体"/>
                <w:color w:val="000000"/>
                <w:szCs w:val="21"/>
              </w:rPr>
              <w:t>（3）</w:t>
            </w:r>
            <w:r>
              <w:rPr>
                <w:rFonts w:hint="eastAsia" w:ascii="宋体" w:hAnsi="宋体" w:cs="宋体"/>
                <w:szCs w:val="21"/>
              </w:rPr>
              <w:t>对于所投产品的专利技术有一项得1分，最高得2分。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B6</w:t>
            </w:r>
          </w:p>
        </w:tc>
        <w:tc>
          <w:tcPr>
            <w:tcW w:w="1667" w:type="dxa"/>
            <w:gridSpan w:val="2"/>
            <w:vAlign w:val="center"/>
          </w:tcPr>
          <w:p>
            <w:pPr>
              <w:adjustRightInd w:val="0"/>
              <w:snapToGrid w:val="0"/>
              <w:jc w:val="center"/>
              <w:rPr>
                <w:rFonts w:ascii="宋体" w:hAnsi="宋体" w:cs="宋体"/>
                <w:bCs/>
                <w:szCs w:val="21"/>
              </w:rPr>
            </w:pPr>
            <w:r>
              <w:rPr>
                <w:rFonts w:hint="eastAsia" w:ascii="宋体" w:hAnsi="宋体" w:cs="宋体"/>
                <w:szCs w:val="21"/>
              </w:rPr>
              <w:t>所投产品检验报告</w:t>
            </w:r>
            <w:r>
              <w:rPr>
                <w:rFonts w:hint="eastAsia" w:ascii="宋体" w:hAnsi="宋体" w:cs="宋体"/>
                <w:bCs/>
                <w:szCs w:val="21"/>
              </w:rPr>
              <w:t>（3分）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0-3分</w:t>
            </w:r>
          </w:p>
        </w:tc>
        <w:tc>
          <w:tcPr>
            <w:tcW w:w="6758" w:type="dxa"/>
            <w:vAlign w:val="center"/>
          </w:tcPr>
          <w:p>
            <w:pPr>
              <w:pStyle w:val="29"/>
              <w:pBdr>
                <w:bottom w:val="none" w:color="auto" w:sz="0" w:space="0"/>
              </w:pBdr>
              <w:ind w:firstLine="210" w:firstLineChars="100"/>
              <w:jc w:val="both"/>
              <w:rPr>
                <w:rFonts w:ascii="宋体" w:hAnsi="宋体" w:cs="宋体"/>
                <w:sz w:val="21"/>
                <w:szCs w:val="21"/>
                <w:highlight w:val="yellow"/>
              </w:rPr>
            </w:pPr>
            <w:r>
              <w:rPr>
                <w:rFonts w:hint="eastAsia" w:ascii="宋体" w:hAnsi="宋体" w:cs="宋体"/>
                <w:sz w:val="21"/>
                <w:szCs w:val="21"/>
              </w:rPr>
              <w:t>6.提供所投产品2021年以来的5个批次的中国兽医药品监察所审核意见的《兽用生物制品生产与检验报告》，每提供1个批次的得0.6分（满分3分）。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B7</w:t>
            </w:r>
          </w:p>
        </w:tc>
        <w:tc>
          <w:tcPr>
            <w:tcW w:w="1667" w:type="dxa"/>
            <w:gridSpan w:val="2"/>
            <w:vAlign w:val="center"/>
          </w:tcPr>
          <w:p>
            <w:pPr>
              <w:adjustRightInd w:val="0"/>
              <w:snapToGrid w:val="0"/>
              <w:spacing w:line="360" w:lineRule="auto"/>
              <w:jc w:val="center"/>
              <w:rPr>
                <w:rFonts w:ascii="宋体" w:hAnsi="宋体" w:cs="宋体"/>
                <w:color w:val="000000"/>
                <w:szCs w:val="21"/>
              </w:rPr>
            </w:pPr>
            <w:r>
              <w:rPr>
                <w:rFonts w:hint="eastAsia" w:ascii="宋体" w:hAnsi="宋体" w:cs="宋体"/>
                <w:color w:val="000000"/>
                <w:szCs w:val="21"/>
              </w:rPr>
              <w:t>检验结果</w:t>
            </w:r>
          </w:p>
          <w:p>
            <w:pPr>
              <w:adjustRightInd w:val="0"/>
              <w:snapToGrid w:val="0"/>
              <w:spacing w:line="360" w:lineRule="auto"/>
              <w:jc w:val="center"/>
              <w:rPr>
                <w:rFonts w:ascii="宋体" w:hAnsi="宋体" w:cs="宋体"/>
                <w:bCs/>
                <w:szCs w:val="21"/>
              </w:rPr>
            </w:pPr>
            <w:r>
              <w:rPr>
                <w:rFonts w:hint="eastAsia" w:ascii="宋体" w:hAnsi="宋体" w:cs="宋体"/>
                <w:bCs/>
                <w:szCs w:val="21"/>
              </w:rPr>
              <w:t>（5分）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0-5分</w:t>
            </w:r>
          </w:p>
        </w:tc>
        <w:tc>
          <w:tcPr>
            <w:tcW w:w="6758" w:type="dxa"/>
            <w:vAlign w:val="center"/>
          </w:tcPr>
          <w:p>
            <w:pPr>
              <w:ind w:firstLine="210" w:firstLineChars="100"/>
              <w:rPr>
                <w:rFonts w:ascii="宋体" w:hAnsi="宋体" w:cs="宋体"/>
                <w:color w:val="000000"/>
                <w:szCs w:val="21"/>
                <w:highlight w:val="yellow"/>
              </w:rPr>
            </w:pPr>
            <w:r>
              <w:rPr>
                <w:rFonts w:hint="eastAsia" w:ascii="宋体" w:hAnsi="宋体" w:cs="宋体"/>
                <w:szCs w:val="21"/>
              </w:rPr>
              <w:t>布氏菌病活疫苗（M5株或M5-90株）活菌计数均达到国家标准（每头份活菌含量 ≥1 X 10</w:t>
            </w:r>
            <w:r>
              <w:rPr>
                <w:rFonts w:hint="eastAsia" w:ascii="宋体" w:hAnsi="宋体" w:cs="宋体"/>
                <w:szCs w:val="21"/>
                <w:vertAlign w:val="superscript"/>
              </w:rPr>
              <w:t xml:space="preserve">9 </w:t>
            </w:r>
            <w:r>
              <w:rPr>
                <w:rFonts w:hint="eastAsia" w:ascii="宋体" w:hAnsi="宋体" w:cs="宋体"/>
                <w:szCs w:val="21"/>
              </w:rPr>
              <w:t>CFU的得2分；活菌计数每高 1 X 10</w:t>
            </w:r>
            <w:r>
              <w:rPr>
                <w:rFonts w:hint="eastAsia" w:ascii="宋体" w:hAnsi="宋体" w:cs="宋体"/>
                <w:szCs w:val="21"/>
                <w:vertAlign w:val="superscript"/>
              </w:rPr>
              <w:t>9</w:t>
            </w:r>
            <w:r>
              <w:rPr>
                <w:rFonts w:hint="eastAsia" w:ascii="宋体" w:hAnsi="宋体" w:cs="宋体"/>
                <w:szCs w:val="21"/>
              </w:rPr>
              <w:t xml:space="preserve"> CFU增加1分；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三</w:t>
            </w:r>
          </w:p>
        </w:tc>
        <w:tc>
          <w:tcPr>
            <w:tcW w:w="9324" w:type="dxa"/>
            <w:gridSpan w:val="5"/>
            <w:vAlign w:val="center"/>
          </w:tcPr>
          <w:p>
            <w:pPr>
              <w:adjustRightInd w:val="0"/>
              <w:snapToGrid w:val="0"/>
              <w:spacing w:line="320" w:lineRule="exact"/>
              <w:jc w:val="left"/>
              <w:rPr>
                <w:rFonts w:ascii="宋体" w:hAnsi="宋体" w:cs="宋体"/>
                <w:kern w:val="0"/>
                <w:lang w:val="zh-CN"/>
              </w:rPr>
            </w:pPr>
            <w:r>
              <w:rPr>
                <w:rFonts w:hint="eastAsia" w:ascii="宋体" w:hAnsi="宋体" w:cs="宋体"/>
                <w:kern w:val="0"/>
              </w:rPr>
              <w:t>商务部分评分C（满分40分，C=C1+C2+C3+C4+C5+C6+C7）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616" w:type="dxa"/>
            <w:tcBorders>
              <w:top w:val="single" w:color="auto" w:sz="4" w:space="0"/>
            </w:tcBorders>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C1</w:t>
            </w:r>
          </w:p>
        </w:tc>
        <w:tc>
          <w:tcPr>
            <w:tcW w:w="1491" w:type="dxa"/>
            <w:tcBorders>
              <w:top w:val="single" w:color="auto" w:sz="4" w:space="0"/>
            </w:tcBorders>
            <w:vAlign w:val="center"/>
          </w:tcPr>
          <w:p>
            <w:pPr>
              <w:autoSpaceDE w:val="0"/>
              <w:autoSpaceDN w:val="0"/>
              <w:adjustRightInd w:val="0"/>
              <w:snapToGrid w:val="0"/>
              <w:spacing w:line="320" w:lineRule="exact"/>
              <w:jc w:val="center"/>
              <w:rPr>
                <w:rFonts w:ascii="宋体" w:hAnsi="宋体" w:cs="宋体"/>
                <w:szCs w:val="21"/>
              </w:rPr>
            </w:pPr>
            <w:r>
              <w:rPr>
                <w:rFonts w:hint="eastAsia" w:ascii="宋体" w:hAnsi="宋体" w:cs="宋体"/>
                <w:szCs w:val="21"/>
              </w:rPr>
              <w:t>财务状况</w:t>
            </w:r>
          </w:p>
          <w:p>
            <w:pPr>
              <w:adjustRightInd w:val="0"/>
              <w:snapToGrid w:val="0"/>
              <w:spacing w:line="320" w:lineRule="exact"/>
              <w:jc w:val="center"/>
              <w:rPr>
                <w:rFonts w:ascii="仿宋_GB2312" w:hAnsi="仿宋_GB2312" w:eastAsia="仿宋_GB2312" w:cs="仿宋_GB2312"/>
                <w:sz w:val="24"/>
                <w:szCs w:val="24"/>
                <w:shd w:val="clear" w:color="auto" w:fill="FFFFFF"/>
              </w:rPr>
            </w:pPr>
            <w:r>
              <w:rPr>
                <w:rFonts w:hint="eastAsia" w:ascii="宋体" w:hAnsi="宋体" w:cs="宋体"/>
                <w:szCs w:val="21"/>
              </w:rPr>
              <w:t>（2分）</w:t>
            </w:r>
          </w:p>
        </w:tc>
        <w:tc>
          <w:tcPr>
            <w:tcW w:w="949" w:type="dxa"/>
            <w:gridSpan w:val="2"/>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0-2分</w:t>
            </w:r>
          </w:p>
        </w:tc>
        <w:tc>
          <w:tcPr>
            <w:tcW w:w="6884" w:type="dxa"/>
            <w:gridSpan w:val="2"/>
            <w:vAlign w:val="center"/>
          </w:tcPr>
          <w:p>
            <w:pPr>
              <w:adjustRightInd w:val="0"/>
              <w:snapToGrid w:val="0"/>
              <w:spacing w:line="320" w:lineRule="exact"/>
              <w:ind w:firstLine="210" w:firstLineChars="100"/>
              <w:rPr>
                <w:rFonts w:ascii="仿宋_GB2312" w:hAnsi="仿宋_GB2312" w:eastAsia="仿宋_GB2312" w:cs="仿宋_GB2312"/>
                <w:sz w:val="24"/>
                <w:szCs w:val="24"/>
              </w:rPr>
            </w:pPr>
            <w:r>
              <w:rPr>
                <w:rFonts w:hint="eastAsia" w:ascii="宋体" w:hAnsi="宋体" w:cs="宋体"/>
                <w:szCs w:val="21"/>
              </w:rPr>
              <w:t xml:space="preserve">根据投标人提供的财务报表，由评委会对投标人的财务能力综合评审。提供2021年财务会计报表复印件/审计报告复印件加盖公章，否则不计分）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C2</w:t>
            </w:r>
          </w:p>
        </w:tc>
        <w:tc>
          <w:tcPr>
            <w:tcW w:w="1491" w:type="dxa"/>
            <w:vAlign w:val="center"/>
          </w:tcPr>
          <w:p>
            <w:pPr>
              <w:adjustRightInd w:val="0"/>
              <w:snapToGrid w:val="0"/>
              <w:spacing w:line="360" w:lineRule="auto"/>
              <w:jc w:val="center"/>
              <w:rPr>
                <w:rFonts w:ascii="宋体" w:hAnsi="宋体" w:cs="宋体"/>
                <w:bCs/>
                <w:szCs w:val="21"/>
              </w:rPr>
            </w:pPr>
            <w:r>
              <w:rPr>
                <w:rFonts w:hint="eastAsia" w:ascii="宋体" w:hAnsi="宋体" w:cs="宋体"/>
                <w:bCs/>
                <w:szCs w:val="21"/>
              </w:rPr>
              <w:t>产品业绩</w:t>
            </w:r>
          </w:p>
          <w:p>
            <w:pPr>
              <w:adjustRightInd w:val="0"/>
              <w:snapToGrid w:val="0"/>
              <w:spacing w:line="360" w:lineRule="auto"/>
              <w:jc w:val="center"/>
              <w:rPr>
                <w:rFonts w:ascii="宋体" w:hAnsi="宋体" w:cs="宋体"/>
                <w:kern w:val="0"/>
              </w:rPr>
            </w:pPr>
            <w:r>
              <w:rPr>
                <w:rFonts w:hint="eastAsia" w:ascii="宋体" w:hAnsi="宋体" w:cs="宋体"/>
                <w:bCs/>
                <w:szCs w:val="21"/>
              </w:rPr>
              <w:t>（6分）</w:t>
            </w:r>
          </w:p>
        </w:tc>
        <w:tc>
          <w:tcPr>
            <w:tcW w:w="949" w:type="dxa"/>
            <w:gridSpan w:val="2"/>
            <w:vAlign w:val="center"/>
          </w:tcPr>
          <w:p>
            <w:pPr>
              <w:adjustRightInd w:val="0"/>
              <w:snapToGrid w:val="0"/>
              <w:spacing w:line="360" w:lineRule="auto"/>
              <w:jc w:val="center"/>
              <w:rPr>
                <w:rFonts w:ascii="宋体" w:hAnsi="宋体" w:cs="宋体"/>
                <w:kern w:val="0"/>
              </w:rPr>
            </w:pPr>
            <w:r>
              <w:rPr>
                <w:rFonts w:hint="eastAsia" w:ascii="宋体" w:hAnsi="宋体" w:cs="宋体"/>
                <w:kern w:val="0"/>
                <w:szCs w:val="24"/>
              </w:rPr>
              <w:t>0-6分</w:t>
            </w:r>
          </w:p>
        </w:tc>
        <w:tc>
          <w:tcPr>
            <w:tcW w:w="6884" w:type="dxa"/>
            <w:gridSpan w:val="2"/>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2022年所投产品在全国各省（含计划单列市）中标情况，提供合同、中标通知书等证明材料（满分6分）：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 xml:space="preserve">（1）10个省及以上的得6分；（2）6－9个的得5分；（3）3-5个得4分；（4）3个以下的得3分；（5）未提供的不得分。  </w:t>
            </w:r>
          </w:p>
          <w:p>
            <w:pPr>
              <w:adjustRightInd w:val="0"/>
              <w:snapToGrid w:val="0"/>
              <w:spacing w:line="320" w:lineRule="exact"/>
              <w:rPr>
                <w:rFonts w:ascii="宋体" w:hAnsi="宋体" w:cs="宋体"/>
                <w:kern w:val="0"/>
                <w:szCs w:val="21"/>
              </w:rPr>
            </w:pPr>
            <w:r>
              <w:rPr>
                <w:rFonts w:hint="eastAsia" w:ascii="宋体" w:hAnsi="宋体" w:cs="宋体"/>
                <w:szCs w:val="21"/>
              </w:rPr>
              <w:t>2021年3月1日以后新批准产品的企业（以批准文号时间为依据），不需提供业绩证明，得所有非新批准产品企业得分的平均分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C3</w:t>
            </w:r>
          </w:p>
        </w:tc>
        <w:tc>
          <w:tcPr>
            <w:tcW w:w="1491" w:type="dxa"/>
            <w:vAlign w:val="center"/>
          </w:tcPr>
          <w:p>
            <w:pPr>
              <w:adjustRightInd w:val="0"/>
              <w:snapToGrid w:val="0"/>
              <w:spacing w:line="360" w:lineRule="auto"/>
              <w:jc w:val="center"/>
              <w:rPr>
                <w:szCs w:val="21"/>
              </w:rPr>
            </w:pPr>
            <w:r>
              <w:rPr>
                <w:rFonts w:hint="eastAsia"/>
                <w:szCs w:val="21"/>
              </w:rPr>
              <w:t>培训情况</w:t>
            </w:r>
          </w:p>
          <w:p>
            <w:pPr>
              <w:adjustRightInd w:val="0"/>
              <w:snapToGrid w:val="0"/>
              <w:spacing w:line="360" w:lineRule="auto"/>
              <w:jc w:val="center"/>
              <w:rPr>
                <w:rFonts w:ascii="宋体" w:hAnsi="宋体" w:cs="宋体"/>
                <w:szCs w:val="21"/>
              </w:rPr>
            </w:pPr>
            <w:r>
              <w:rPr>
                <w:rFonts w:hint="eastAsia" w:ascii="宋体" w:hAnsi="宋体" w:cs="宋体"/>
                <w:bCs/>
                <w:szCs w:val="21"/>
              </w:rPr>
              <w:t>（6分）</w:t>
            </w:r>
          </w:p>
        </w:tc>
        <w:tc>
          <w:tcPr>
            <w:tcW w:w="949" w:type="dxa"/>
            <w:gridSpan w:val="2"/>
            <w:vAlign w:val="center"/>
          </w:tcPr>
          <w:p>
            <w:pPr>
              <w:adjustRightInd w:val="0"/>
              <w:snapToGrid w:val="0"/>
              <w:spacing w:line="360" w:lineRule="auto"/>
              <w:jc w:val="center"/>
              <w:rPr>
                <w:rFonts w:ascii="宋体" w:hAnsi="宋体" w:cs="宋体"/>
                <w:kern w:val="0"/>
              </w:rPr>
            </w:pPr>
            <w:r>
              <w:rPr>
                <w:rFonts w:hint="eastAsia" w:ascii="宋体" w:hAnsi="宋体" w:cs="宋体"/>
                <w:kern w:val="0"/>
                <w:szCs w:val="24"/>
              </w:rPr>
              <w:t>0-6分</w:t>
            </w:r>
          </w:p>
        </w:tc>
        <w:tc>
          <w:tcPr>
            <w:tcW w:w="6884" w:type="dxa"/>
            <w:gridSpan w:val="2"/>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 xml:space="preserve">1.提供重大动物疫病防控技术培训承诺，培训费用大于等于中标金额2%的得4分；大于等于中标金额1%小于2%的得2分。其它不得分（满分 </w:t>
            </w:r>
            <w:r>
              <w:rPr>
                <w:rFonts w:hint="eastAsia" w:ascii="宋体" w:hAnsi="宋体" w:cs="宋体"/>
                <w:sz w:val="21"/>
                <w:szCs w:val="21"/>
                <w:lang w:val="en-US" w:eastAsia="zh-CN"/>
              </w:rPr>
              <w:t>4</w:t>
            </w:r>
            <w:r>
              <w:rPr>
                <w:rFonts w:hint="eastAsia" w:ascii="宋体" w:hAnsi="宋体" w:cs="宋体"/>
                <w:sz w:val="21"/>
                <w:szCs w:val="21"/>
              </w:rPr>
              <w:t>分）。</w:t>
            </w:r>
          </w:p>
          <w:p>
            <w:pPr>
              <w:pStyle w:val="29"/>
              <w:pBdr>
                <w:bottom w:val="none" w:color="auto" w:sz="0" w:space="0"/>
              </w:pBdr>
              <w:ind w:firstLine="210" w:firstLineChars="100"/>
              <w:jc w:val="both"/>
              <w:rPr>
                <w:rFonts w:ascii="宋体" w:hAnsi="宋体" w:cs="宋体"/>
                <w:kern w:val="0"/>
                <w:sz w:val="21"/>
                <w:szCs w:val="21"/>
              </w:rPr>
            </w:pPr>
            <w:r>
              <w:rPr>
                <w:rFonts w:hint="eastAsia" w:ascii="宋体" w:hAnsi="宋体" w:cs="宋体"/>
                <w:sz w:val="21"/>
                <w:szCs w:val="21"/>
              </w:rPr>
              <w:t>2.制定技术培训方案，方案可行、可操作的得2分。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hint="default" w:ascii="宋体" w:hAnsi="宋体" w:eastAsia="宋体" w:cs="宋体"/>
                <w:kern w:val="0"/>
                <w:lang w:val="en-US" w:eastAsia="zh-CN"/>
              </w:rPr>
            </w:pPr>
            <w:r>
              <w:rPr>
                <w:rFonts w:hint="eastAsia" w:ascii="宋体" w:hAnsi="宋体" w:cs="宋体"/>
                <w:kern w:val="0"/>
                <w:lang w:val="en-US" w:eastAsia="zh-CN"/>
              </w:rPr>
              <w:t>C5</w:t>
            </w:r>
          </w:p>
        </w:tc>
        <w:tc>
          <w:tcPr>
            <w:tcW w:w="1491" w:type="dxa"/>
            <w:vAlign w:val="center"/>
          </w:tcPr>
          <w:p>
            <w:pPr>
              <w:adjustRightInd w:val="0"/>
              <w:snapToGrid w:val="0"/>
              <w:spacing w:line="320" w:lineRule="exact"/>
              <w:jc w:val="center"/>
              <w:rPr>
                <w:rFonts w:ascii="宋体" w:hAnsi="宋体" w:cs="宋体"/>
                <w:szCs w:val="21"/>
              </w:rPr>
            </w:pPr>
            <w:r>
              <w:rPr>
                <w:rFonts w:hint="eastAsia" w:ascii="宋体" w:hAnsi="宋体" w:cs="宋体"/>
                <w:szCs w:val="21"/>
              </w:rPr>
              <w:t>疫苗免疫副反应、免疫失败、产品质量问题等处理方案、损失补偿（12分）</w:t>
            </w:r>
          </w:p>
        </w:tc>
        <w:tc>
          <w:tcPr>
            <w:tcW w:w="949"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0-12分</w:t>
            </w:r>
          </w:p>
        </w:tc>
        <w:tc>
          <w:tcPr>
            <w:tcW w:w="6884" w:type="dxa"/>
            <w:gridSpan w:val="2"/>
            <w:vAlign w:val="center"/>
          </w:tcPr>
          <w:p>
            <w:pPr>
              <w:pStyle w:val="29"/>
              <w:pBdr>
                <w:bottom w:val="none" w:color="auto" w:sz="0" w:space="0"/>
              </w:pBdr>
              <w:ind w:firstLine="222" w:firstLineChars="100"/>
              <w:jc w:val="both"/>
              <w:rPr>
                <w:rFonts w:ascii="宋体" w:hAnsi="宋体" w:cs="宋体"/>
                <w:spacing w:val="6"/>
                <w:sz w:val="21"/>
                <w:szCs w:val="21"/>
              </w:rPr>
            </w:pPr>
            <w:r>
              <w:rPr>
                <w:rFonts w:hint="eastAsia" w:ascii="宋体" w:hAnsi="宋体" w:cs="宋体"/>
                <w:spacing w:val="6"/>
                <w:sz w:val="21"/>
                <w:szCs w:val="21"/>
              </w:rPr>
              <w:t>1、投标企业承诺因疫苗反应、免疫失败、产品质量导致畜禽死亡或流产造成损失按照不低于国家标准补偿得</w:t>
            </w:r>
            <w:r>
              <w:rPr>
                <w:rFonts w:hint="eastAsia" w:ascii="宋体" w:hAnsi="宋体" w:cs="宋体"/>
                <w:spacing w:val="6"/>
                <w:sz w:val="21"/>
                <w:szCs w:val="21"/>
                <w:lang w:val="en-US" w:eastAsia="zh-CN"/>
              </w:rPr>
              <w:t>1</w:t>
            </w:r>
            <w:r>
              <w:rPr>
                <w:rFonts w:hint="eastAsia" w:ascii="宋体" w:hAnsi="宋体" w:cs="宋体"/>
                <w:spacing w:val="6"/>
                <w:sz w:val="21"/>
                <w:szCs w:val="21"/>
              </w:rPr>
              <w:t>分</w:t>
            </w:r>
            <w:r>
              <w:rPr>
                <w:rFonts w:hint="eastAsia" w:ascii="宋体" w:hAnsi="宋体" w:cs="宋体"/>
                <w:spacing w:val="6"/>
                <w:sz w:val="21"/>
                <w:szCs w:val="21"/>
                <w:lang w:eastAsia="zh-CN"/>
              </w:rPr>
              <w:t>，</w:t>
            </w:r>
            <w:r>
              <w:rPr>
                <w:rFonts w:hint="eastAsia" w:ascii="宋体" w:hAnsi="宋体" w:cs="宋体"/>
                <w:spacing w:val="6"/>
                <w:sz w:val="21"/>
                <w:szCs w:val="21"/>
              </w:rPr>
              <w:t>提供承诺书的得</w:t>
            </w:r>
            <w:r>
              <w:rPr>
                <w:rFonts w:hint="eastAsia" w:ascii="宋体" w:hAnsi="宋体" w:cs="宋体"/>
                <w:spacing w:val="6"/>
                <w:sz w:val="21"/>
                <w:szCs w:val="21"/>
                <w:lang w:val="en-US" w:eastAsia="zh-CN"/>
              </w:rPr>
              <w:t>1</w:t>
            </w:r>
            <w:r>
              <w:rPr>
                <w:rFonts w:hint="eastAsia" w:ascii="宋体" w:hAnsi="宋体" w:cs="宋体"/>
                <w:spacing w:val="6"/>
                <w:sz w:val="21"/>
                <w:szCs w:val="21"/>
              </w:rPr>
              <w:t>分。（满分2分）。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2、有疫苗副反应补偿方案并建立补偿准备金（满分7分）</w:t>
            </w:r>
          </w:p>
          <w:p>
            <w:pPr>
              <w:pStyle w:val="29"/>
              <w:pBdr>
                <w:bottom w:val="none" w:color="auto" w:sz="0" w:space="0"/>
              </w:pBdr>
              <w:ind w:firstLine="210" w:firstLineChars="100"/>
              <w:jc w:val="both"/>
              <w:rPr>
                <w:rFonts w:ascii="宋体" w:hAnsi="宋体" w:cs="宋体"/>
                <w:spacing w:val="6"/>
                <w:sz w:val="21"/>
                <w:szCs w:val="21"/>
              </w:rPr>
            </w:pPr>
            <w:r>
              <w:rPr>
                <w:rFonts w:hint="eastAsia" w:ascii="宋体" w:hAnsi="宋体" w:cs="宋体"/>
                <w:sz w:val="21"/>
                <w:szCs w:val="21"/>
              </w:rPr>
              <w:t>（1）制定补偿方案并建立补偿准备金的得2分；（2）提供2021年以来地州市对产品使用效果和副反应处理等售后服务满意度证明资料，每提供1份资料的得0.5分（满分5分）；（3）没有的不得分。</w:t>
            </w:r>
          </w:p>
          <w:p>
            <w:pPr>
              <w:ind w:firstLine="210" w:firstLineChars="100"/>
              <w:rPr>
                <w:rFonts w:ascii="宋体" w:hAnsi="宋体" w:cs="宋体"/>
                <w:szCs w:val="21"/>
              </w:rPr>
            </w:pPr>
            <w:r>
              <w:rPr>
                <w:rFonts w:hint="eastAsia" w:ascii="宋体" w:hAnsi="宋体" w:cs="宋体"/>
                <w:szCs w:val="21"/>
              </w:rPr>
              <w:t>3、投标人承诺响应时间（满分3分）：</w:t>
            </w:r>
          </w:p>
          <w:p>
            <w:pPr>
              <w:adjustRightInd w:val="0"/>
              <w:snapToGrid w:val="0"/>
              <w:spacing w:line="320" w:lineRule="exact"/>
              <w:rPr>
                <w:rFonts w:ascii="宋体" w:hAnsi="宋体" w:cs="宋体"/>
                <w:szCs w:val="21"/>
              </w:rPr>
            </w:pPr>
            <w:r>
              <w:rPr>
                <w:rFonts w:hint="eastAsia" w:ascii="宋体" w:hAnsi="宋体" w:cs="宋体"/>
                <w:szCs w:val="21"/>
              </w:rPr>
              <w:t>（1）投标人承诺措施全面、可行性强，在接到通报后能立即做出响应，并在48小时内派专人到现场处理的得2分；（2）投标人承诺及时兑付的得1分；（3）无承诺不得分。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C5</w:t>
            </w:r>
          </w:p>
        </w:tc>
        <w:tc>
          <w:tcPr>
            <w:tcW w:w="1491" w:type="dxa"/>
            <w:vAlign w:val="center"/>
          </w:tcPr>
          <w:p>
            <w:pPr>
              <w:adjustRightInd w:val="0"/>
              <w:snapToGrid w:val="0"/>
              <w:spacing w:line="320" w:lineRule="exact"/>
              <w:jc w:val="center"/>
              <w:rPr>
                <w:rFonts w:ascii="宋体" w:hAnsi="宋体" w:eastAsia="仿宋_GB2312" w:cs="宋体"/>
                <w:szCs w:val="21"/>
              </w:rPr>
            </w:pPr>
            <w:r>
              <w:rPr>
                <w:rFonts w:hint="eastAsia" w:ascii="宋体" w:hAnsi="宋体" w:cs="宋体"/>
                <w:szCs w:val="21"/>
              </w:rPr>
              <w:t>抗体水平监测（2分）</w:t>
            </w:r>
          </w:p>
        </w:tc>
        <w:tc>
          <w:tcPr>
            <w:tcW w:w="949" w:type="dxa"/>
            <w:gridSpan w:val="2"/>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0-2分</w:t>
            </w:r>
          </w:p>
        </w:tc>
        <w:tc>
          <w:tcPr>
            <w:tcW w:w="6884" w:type="dxa"/>
            <w:gridSpan w:val="2"/>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投标企业进行抗体水平监测并制定监测方案（免疫抗体监测比例为中标产品免疫数量的万分之五）（满分2分）。</w:t>
            </w:r>
          </w:p>
          <w:p>
            <w:pPr>
              <w:adjustRightInd w:val="0"/>
              <w:snapToGrid w:val="0"/>
              <w:spacing w:line="320" w:lineRule="exact"/>
              <w:rPr>
                <w:rFonts w:ascii="宋体" w:hAnsi="宋体" w:cs="宋体"/>
                <w:szCs w:val="21"/>
              </w:rPr>
            </w:pPr>
            <w:r>
              <w:rPr>
                <w:rFonts w:hint="eastAsia" w:ascii="宋体" w:hAnsi="宋体" w:cs="宋体"/>
                <w:szCs w:val="21"/>
              </w:rPr>
              <w:t>（1）制定监测方案的得1分；（2）承诺提供满足中标产品免疫抗体水平监测所需的技术支持且监测方案具有可行性的得1分。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5"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C6</w:t>
            </w:r>
          </w:p>
        </w:tc>
        <w:tc>
          <w:tcPr>
            <w:tcW w:w="1491" w:type="dxa"/>
            <w:vAlign w:val="center"/>
          </w:tcPr>
          <w:p>
            <w:pPr>
              <w:adjustRightInd w:val="0"/>
              <w:snapToGrid w:val="0"/>
              <w:spacing w:line="320" w:lineRule="exact"/>
              <w:jc w:val="center"/>
              <w:rPr>
                <w:rFonts w:ascii="宋体" w:hAnsi="宋体" w:cs="宋体"/>
                <w:kern w:val="0"/>
                <w:szCs w:val="21"/>
              </w:rPr>
            </w:pPr>
            <w:r>
              <w:rPr>
                <w:rFonts w:hint="eastAsia" w:ascii="宋体" w:hAnsi="宋体" w:cs="宋体"/>
                <w:szCs w:val="21"/>
              </w:rPr>
              <w:t>售后服务及质量保障措施（10分）</w:t>
            </w:r>
          </w:p>
        </w:tc>
        <w:tc>
          <w:tcPr>
            <w:tcW w:w="949"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0-10分</w:t>
            </w:r>
          </w:p>
        </w:tc>
        <w:tc>
          <w:tcPr>
            <w:tcW w:w="6884" w:type="dxa"/>
            <w:gridSpan w:val="2"/>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1、根据2022年度投标人的项目进度计划安排、配送方案、验收组织安排是否完整合理、是否符合需求，以及质量保证措施、等综合情况进行赋分（满分6分）。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1）横向比较项目进度计划安排、配送方案、验收组织安排完整合理、符合需求，以及质量保证措施（提供兽医部门出具的证明）的材料完整、清晰，得2分，其次得1分，没有不得分；（2）产品包装（满分2分）。产品供货提供不低于合同数量20%的小规格包装的得1分；产品供货提供不低于合同数量30%的小规格包装的得2分；（3）承诺投标产品交货时产品有效期在8个月以上得2分，低于8个月以下的不得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2、 2022年度疫苗的冷链运输（满分4分）：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（1）承诺疫苗用专用冷藏车运输有全程温控记录设备和数据的得3分；（2）提供2022年国内5个地州市的冷链运输供货完整记录凭证的得1分；（3）没有全程温控记录设备和数据的不得分。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C7</w:t>
            </w:r>
          </w:p>
        </w:tc>
        <w:tc>
          <w:tcPr>
            <w:tcW w:w="1491" w:type="dxa"/>
            <w:vAlign w:val="center"/>
          </w:tcPr>
          <w:p>
            <w:pPr>
              <w:pStyle w:val="29"/>
              <w:pBdr>
                <w:bottom w:val="none" w:color="auto" w:sz="0" w:space="0"/>
              </w:pBdr>
              <w:spacing w:line="360" w:lineRule="exact"/>
              <w:rPr>
                <w:rFonts w:ascii="宋体" w:hAnsi="宋体" w:cs="宋体"/>
                <w:kern w:val="0"/>
                <w:szCs w:val="24"/>
                <w:lang w:val="zh-CN"/>
              </w:rPr>
            </w:pPr>
            <w:r>
              <w:rPr>
                <w:rFonts w:hint="eastAsia" w:ascii="宋体" w:hAnsi="宋体" w:cs="宋体"/>
                <w:sz w:val="24"/>
                <w:szCs w:val="24"/>
              </w:rPr>
              <w:t>产品保险</w:t>
            </w:r>
          </w:p>
          <w:p>
            <w:pPr>
              <w:adjustRightInd w:val="0"/>
              <w:snapToGrid w:val="0"/>
              <w:spacing w:line="320" w:lineRule="exact"/>
              <w:jc w:val="center"/>
              <w:rPr>
                <w:rFonts w:ascii="宋体" w:hAnsi="宋体" w:cs="宋体"/>
                <w:szCs w:val="21"/>
              </w:rPr>
            </w:pPr>
            <w:r>
              <w:rPr>
                <w:rFonts w:hint="eastAsia" w:ascii="宋体" w:hAnsi="宋体" w:cs="宋体"/>
                <w:kern w:val="0"/>
                <w:szCs w:val="24"/>
                <w:lang w:val="zh-CN"/>
              </w:rPr>
              <w:t>（</w:t>
            </w:r>
            <w:r>
              <w:rPr>
                <w:rFonts w:hint="eastAsia" w:ascii="宋体" w:hAnsi="宋体" w:cs="宋体"/>
                <w:kern w:val="0"/>
                <w:szCs w:val="24"/>
              </w:rPr>
              <w:t>2</w:t>
            </w:r>
            <w:r>
              <w:rPr>
                <w:rFonts w:hint="eastAsia" w:ascii="宋体" w:hAnsi="宋体" w:cs="宋体"/>
                <w:kern w:val="0"/>
                <w:szCs w:val="24"/>
                <w:lang w:val="zh-CN"/>
              </w:rPr>
              <w:t>分）</w:t>
            </w:r>
          </w:p>
        </w:tc>
        <w:tc>
          <w:tcPr>
            <w:tcW w:w="949"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0-2</w:t>
            </w:r>
            <w:r>
              <w:rPr>
                <w:rFonts w:hint="eastAsia" w:ascii="宋体" w:hAnsi="宋体" w:cs="宋体"/>
                <w:kern w:val="0"/>
                <w:szCs w:val="24"/>
                <w:lang w:val="zh-CN"/>
              </w:rPr>
              <w:t>分</w:t>
            </w:r>
          </w:p>
        </w:tc>
        <w:tc>
          <w:tcPr>
            <w:tcW w:w="6884" w:type="dxa"/>
            <w:gridSpan w:val="2"/>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有在保险有效期内的产品投保证明（须提供有效的证明材料）得2分，没有或过期的不得分</w:t>
            </w:r>
            <w:r>
              <w:rPr>
                <w:rFonts w:hint="eastAsia" w:ascii="宋体" w:hAnsi="宋体" w:cs="宋体"/>
                <w:sz w:val="21"/>
                <w:szCs w:val="21"/>
                <w:lang w:val="zh-CN"/>
              </w:rPr>
              <w:t>（满分</w:t>
            </w:r>
            <w:r>
              <w:rPr>
                <w:rFonts w:hint="eastAsia" w:ascii="宋体" w:hAnsi="宋体" w:cs="宋体"/>
                <w:sz w:val="21"/>
                <w:szCs w:val="21"/>
              </w:rPr>
              <w:t>2</w:t>
            </w:r>
            <w:r>
              <w:rPr>
                <w:rFonts w:hint="eastAsia" w:ascii="宋体" w:hAnsi="宋体" w:cs="宋体"/>
                <w:sz w:val="21"/>
                <w:szCs w:val="21"/>
                <w:lang w:val="zh-CN"/>
              </w:rPr>
              <w:t>分）</w:t>
            </w:r>
          </w:p>
        </w:tc>
      </w:tr>
    </w:tbl>
    <w:p>
      <w:pPr>
        <w:pStyle w:val="14"/>
        <w:spacing w:line="400" w:lineRule="exact"/>
        <w:ind w:left="0" w:leftChars="0"/>
        <w:rPr>
          <w:rFonts w:ascii="仿宋" w:hAnsi="仿宋" w:eastAsia="仿宋" w:cs="仿宋"/>
          <w:bCs/>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26.4</w:t>
      </w:r>
      <w:r>
        <w:rPr>
          <w:rFonts w:hint="eastAsia" w:ascii="仿宋" w:hAnsi="仿宋" w:eastAsia="仿宋" w:cs="仿宋"/>
          <w:color w:val="000000" w:themeColor="text1"/>
          <w:sz w:val="24"/>
          <w:szCs w:val="24"/>
          <w:shd w:val="clear" w:color="auto" w:fill="FFFFFF"/>
          <w14:textFill>
            <w14:solidFill>
              <w14:schemeClr w14:val="tx1"/>
            </w14:solidFill>
          </w14:textFill>
        </w:rPr>
        <w:t>投标小组应当根据综合评分情况，按照评审得分由高到低顺序推荐3名以上成交候选供应商。评审得分相同的，按照最后报价由低到高的顺序推荐。评审得分且最后报价相同的，按照设计指标优劣顺序推荐。</w:t>
      </w:r>
    </w:p>
    <w:p>
      <w:pPr>
        <w:spacing w:line="4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26.5采购人根据投标小组推荐的成交候选供应商名单，根据相关法律法规的规定确定最终成交商。如果排名第一的成交候选供应商的实际情况与其投标资料不相符，将取消其成交资格，由排名第二的成交候选供应商递补，以此类推。</w:t>
      </w:r>
    </w:p>
    <w:p>
      <w:pPr>
        <w:spacing w:line="4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26.6本项目将对小型和微型企业产品的价格给予10%-20%的扣除，用扣除后的价格参与评审并计算商务得分。若投标人和小微企业产品/服务制造商均符合小微企业条件，并且提供了《中小企业声明函》及加盖单位公章的声明函附件（须说明投标人和产品制造商的从业人员、营业收入、资产总额等相关情况）的，则其评标价=投标人报价中属于小型和微型企业产品的价格部分×（100%-价格优惠）+ 投标人报价中不属于小型和微型企业产品的价格部分；否则，其评标价=投标人报价。（大中型企业向小微企业分包的，评审给予4%-6%的价格扣除）</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27．投标过程的保密性</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27.1 投标后，直到授予合同为止，凡是属于审查、澄清、评价和比较的有关资料以及授予成交方的建议等投标小组成员或参与投标的有关工作人员均不得向供应商或其他无关的人员透露，违者给予警告、取消担任投标小组成员的资格，不得再参加任何项目的投标。</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27.2 供应商在投标过程中，所进行的力图影响投标结果的，不符合《政府采购法》及本次投标中有关规定的活动，将被取消其投标资格。</w:t>
      </w:r>
    </w:p>
    <w:p>
      <w:pPr>
        <w:pStyle w:val="4"/>
        <w:spacing w:before="0" w:after="0" w:line="400" w:lineRule="exact"/>
        <w:jc w:val="center"/>
        <w:rPr>
          <w:rFonts w:ascii="仿宋" w:hAnsi="仿宋" w:eastAsia="仿宋" w:cs="仿宋"/>
          <w:color w:val="000000" w:themeColor="text1"/>
          <w:sz w:val="24"/>
          <w:szCs w:val="24"/>
          <w14:textFill>
            <w14:solidFill>
              <w14:schemeClr w14:val="tx1"/>
            </w14:solidFill>
          </w14:textFill>
        </w:rPr>
      </w:pPr>
      <w:bookmarkStart w:id="45" w:name="_Toc462223637"/>
      <w:bookmarkStart w:id="46" w:name="_Toc349637925"/>
      <w:bookmarkStart w:id="47" w:name="_Toc298240410"/>
      <w:bookmarkStart w:id="48" w:name="_Toc349573126"/>
      <w:bookmarkStart w:id="49" w:name="_Toc267301287"/>
      <w:r>
        <w:rPr>
          <w:rFonts w:hint="eastAsia" w:ascii="仿宋" w:hAnsi="仿宋" w:eastAsia="仿宋" w:cs="仿宋"/>
          <w:color w:val="000000" w:themeColor="text1"/>
          <w:sz w:val="24"/>
          <w:szCs w:val="24"/>
          <w14:textFill>
            <w14:solidFill>
              <w14:schemeClr w14:val="tx1"/>
            </w14:solidFill>
          </w14:textFill>
        </w:rPr>
        <w:t>（六）  授予合同</w:t>
      </w:r>
      <w:bookmarkEnd w:id="45"/>
      <w:bookmarkEnd w:id="46"/>
      <w:bookmarkEnd w:id="47"/>
      <w:bookmarkEnd w:id="48"/>
      <w:bookmarkEnd w:id="49"/>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28、合同授予标准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28.1</w:t>
      </w:r>
      <w:r>
        <w:rPr>
          <w:rFonts w:hint="eastAsia" w:ascii="仿宋" w:hAnsi="仿宋" w:eastAsia="仿宋" w:cs="仿宋"/>
          <w:bCs/>
          <w:color w:val="000000" w:themeColor="text1"/>
          <w:sz w:val="24"/>
          <w:szCs w:val="24"/>
          <w14:textFill>
            <w14:solidFill>
              <w14:schemeClr w14:val="tx1"/>
            </w14:solidFill>
          </w14:textFill>
        </w:rPr>
        <w:t>合同将授予被确定为实质上响应投标文件要求，符合采购需求、质量和服务相等且报价最低的供应商</w:t>
      </w:r>
      <w:r>
        <w:rPr>
          <w:rFonts w:hint="eastAsia" w:ascii="仿宋" w:hAnsi="仿宋" w:eastAsia="仿宋" w:cs="仿宋"/>
          <w:color w:val="000000" w:themeColor="text1"/>
          <w:sz w:val="24"/>
          <w:szCs w:val="24"/>
          <w14:textFill>
            <w14:solidFill>
              <w14:schemeClr w14:val="tx1"/>
            </w14:solidFill>
          </w14:textFill>
        </w:rPr>
        <w:t>。</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28.2 最低报价不一定是被授予合同的保证。</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28.3 如果确定该供应商无法圆满履行合同，招标代理机构将对下一个可能中标的供应商资格作出类似的审查。</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29、接受和拒绝任何或所有投标的权力</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29.1为维护国家利益，买方在授予合同之前仍有选择或拒绝任何全部投标的权力，并对所采取的行为不作任何解释。</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30、成交通知书</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30.1 成交公告期满后，招标代理机构将以书面形式发出《中标通知书》，但发出时间不超过投标有效期，《中标通知书》一经发出即发生法律效力。</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30.2 《中标通知书》将作为签订合同的依据。</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30.3 招标代理机构将在成交方按规定签订合同并提交履约保证金（如适用）后退还其投标保证金。</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31、签订合同</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31.1 供应商收到《中标通知书》后，按《中标通知书》中规定的时间地点与买方签订合同。买方和成交方不得再订立背离合同实质性内容的其他协议。</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31.2如成交方拒签合同，则按违约处理。招标代理机构没收其投标保证金。</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31.3投标文件、成交方的投标文件及其澄清文件等，均为签订经济合同的依据。</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32、履约保证金（如适用）</w:t>
      </w:r>
    </w:p>
    <w:p>
      <w:pPr>
        <w:spacing w:line="400" w:lineRule="exact"/>
        <w:ind w:left="341" w:hanging="340" w:hangingChars="142"/>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32.1成交方应按合同规定的方式、时间和金额向买方提交履约保证金。</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33、招标代理服务费</w:t>
      </w:r>
    </w:p>
    <w:p>
      <w:pPr>
        <w:pStyle w:val="23"/>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33.1成交方须向招标代理机构按如下标准和期限交纳招标代理代理服务费：</w:t>
      </w:r>
    </w:p>
    <w:p>
      <w:pPr>
        <w:pStyle w:val="23"/>
        <w:adjustRightInd w:val="0"/>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33.1.1</w:t>
      </w:r>
      <w:r>
        <w:rPr>
          <w:rFonts w:hint="eastAsia" w:ascii="仿宋" w:hAnsi="仿宋" w:eastAsia="仿宋" w:cs="仿宋"/>
          <w:color w:val="000000" w:themeColor="text1"/>
          <w:sz w:val="24"/>
          <w:szCs w:val="24"/>
          <w14:textFill>
            <w14:solidFill>
              <w14:schemeClr w14:val="tx1"/>
            </w14:solidFill>
          </w14:textFill>
        </w:rPr>
        <w:t>成交方须向宏业国际项目管理有限公司支付招标代理服务费。</w:t>
      </w:r>
    </w:p>
    <w:p>
      <w:pPr>
        <w:pStyle w:val="23"/>
        <w:adjustRightInd w:val="0"/>
        <w:spacing w:line="400" w:lineRule="exact"/>
        <w:ind w:firstLine="720" w:firstLineChars="3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33.1.2 在合同签订后一周内，成交方须按规定的标准以网银或电汇的方式一次性向招标代理机构缴纳投标代理服务费。</w:t>
      </w:r>
      <w:bookmarkStart w:id="50" w:name="_Toc267301288"/>
    </w:p>
    <w:p>
      <w:pPr>
        <w:pStyle w:val="4"/>
        <w:spacing w:before="0" w:after="0" w:line="400" w:lineRule="exact"/>
        <w:jc w:val="center"/>
        <w:rPr>
          <w:rFonts w:ascii="仿宋" w:hAnsi="仿宋" w:eastAsia="仿宋" w:cs="仿宋"/>
          <w:bCs/>
          <w:color w:val="000000" w:themeColor="text1"/>
          <w:sz w:val="24"/>
          <w:szCs w:val="24"/>
          <w14:textFill>
            <w14:solidFill>
              <w14:schemeClr w14:val="tx1"/>
            </w14:solidFill>
          </w14:textFill>
        </w:rPr>
      </w:pPr>
      <w:bookmarkStart w:id="51" w:name="_Toc462223638"/>
      <w:r>
        <w:rPr>
          <w:rFonts w:hint="eastAsia" w:ascii="仿宋" w:hAnsi="仿宋" w:eastAsia="仿宋" w:cs="仿宋"/>
          <w:color w:val="000000" w:themeColor="text1"/>
          <w:sz w:val="24"/>
          <w:szCs w:val="24"/>
          <w14:textFill>
            <w14:solidFill>
              <w14:schemeClr w14:val="tx1"/>
            </w14:solidFill>
          </w14:textFill>
        </w:rPr>
        <w:t>（七）  投标失败条件</w:t>
      </w:r>
      <w:bookmarkEnd w:id="51"/>
    </w:p>
    <w:p>
      <w:pPr>
        <w:pStyle w:val="23"/>
        <w:tabs>
          <w:tab w:val="left" w:pos="720"/>
          <w:tab w:val="left" w:pos="900"/>
          <w:tab w:val="left" w:pos="1260"/>
        </w:tabs>
        <w:adjustRightInd w:val="0"/>
        <w:spacing w:line="400" w:lineRule="exact"/>
        <w:ind w:left="720" w:hanging="720" w:hangingChars="3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34、出现影响采购公正的违法、违规行为的；</w:t>
      </w:r>
    </w:p>
    <w:p>
      <w:pPr>
        <w:pStyle w:val="23"/>
        <w:tabs>
          <w:tab w:val="left" w:pos="720"/>
          <w:tab w:val="left" w:pos="900"/>
          <w:tab w:val="left" w:pos="1260"/>
        </w:tabs>
        <w:adjustRightInd w:val="0"/>
        <w:spacing w:line="400" w:lineRule="exact"/>
        <w:ind w:left="720" w:hanging="720" w:hangingChars="3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35、因重大变故，采购任务取消的；</w:t>
      </w:r>
    </w:p>
    <w:p>
      <w:pPr>
        <w:pStyle w:val="23"/>
        <w:tabs>
          <w:tab w:val="left" w:pos="720"/>
          <w:tab w:val="left" w:pos="900"/>
          <w:tab w:val="left" w:pos="1260"/>
        </w:tabs>
        <w:adjustRightInd w:val="0"/>
        <w:spacing w:line="400" w:lineRule="exact"/>
        <w:ind w:left="720" w:hanging="720" w:hangingChars="3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36、投标文件截止时间后，实际参与的供应商不足法定家数的；</w:t>
      </w:r>
    </w:p>
    <w:p>
      <w:pPr>
        <w:pStyle w:val="23"/>
        <w:tabs>
          <w:tab w:val="left" w:pos="720"/>
          <w:tab w:val="left" w:pos="900"/>
          <w:tab w:val="left" w:pos="1260"/>
        </w:tabs>
        <w:adjustRightInd w:val="0"/>
        <w:spacing w:line="400" w:lineRule="exact"/>
        <w:ind w:left="720" w:hanging="720" w:hangingChars="3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37、最终报价均超过采购预算的；</w:t>
      </w:r>
    </w:p>
    <w:p>
      <w:pPr>
        <w:spacing w:line="40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38、对投标文件作出实质性响应的供应商不足法定家数的；</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br w:type="page"/>
      </w:r>
    </w:p>
    <w:p>
      <w:pPr>
        <w:pStyle w:val="38"/>
        <w:rPr>
          <w:color w:val="000000" w:themeColor="text1"/>
          <w14:textFill>
            <w14:solidFill>
              <w14:schemeClr w14:val="tx1"/>
            </w14:solidFill>
          </w14:textFill>
        </w:rPr>
        <w:sectPr>
          <w:headerReference r:id="rId4" w:type="first"/>
          <w:footerReference r:id="rId7" w:type="first"/>
          <w:headerReference r:id="rId3" w:type="default"/>
          <w:footerReference r:id="rId5" w:type="default"/>
          <w:footerReference r:id="rId6" w:type="even"/>
          <w:pgSz w:w="11907" w:h="16840"/>
          <w:pgMar w:top="1077" w:right="1417" w:bottom="1417" w:left="1417" w:header="680" w:footer="799" w:gutter="0"/>
          <w:pgNumType w:start="1"/>
          <w:cols w:space="720" w:num="1"/>
          <w:titlePg/>
          <w:docGrid w:type="lines" w:linePitch="409" w:charSpace="0"/>
        </w:sectPr>
      </w:pPr>
    </w:p>
    <w:bookmarkEnd w:id="50"/>
    <w:p>
      <w:pPr>
        <w:adjustRightInd w:val="0"/>
        <w:snapToGrid w:val="0"/>
        <w:spacing w:line="360" w:lineRule="auto"/>
        <w:jc w:val="center"/>
        <w:outlineLvl w:val="0"/>
        <w:rPr>
          <w:rFonts w:ascii="宋体" w:hAnsi="宋体" w:cs="宋体"/>
          <w:b/>
          <w:color w:val="000000" w:themeColor="text1"/>
          <w:sz w:val="32"/>
          <w:szCs w:val="32"/>
          <w14:textFill>
            <w14:solidFill>
              <w14:schemeClr w14:val="tx1"/>
            </w14:solidFill>
          </w14:textFill>
        </w:rPr>
      </w:pPr>
      <w:bookmarkStart w:id="52" w:name="_Toc5694"/>
      <w:r>
        <w:rPr>
          <w:rFonts w:hint="eastAsia" w:ascii="仿宋" w:hAnsi="仿宋" w:eastAsia="仿宋" w:cs="仿宋"/>
          <w:b/>
          <w:color w:val="000000" w:themeColor="text1"/>
          <w:sz w:val="24"/>
          <w:szCs w:val="24"/>
          <w14:textFill>
            <w14:solidFill>
              <w14:schemeClr w14:val="tx1"/>
            </w14:solidFill>
          </w14:textFill>
        </w:rPr>
        <w:t xml:space="preserve">第三章 </w:t>
      </w:r>
      <w:bookmarkEnd w:id="52"/>
      <w:r>
        <w:rPr>
          <w:rFonts w:hint="eastAsia" w:ascii="仿宋" w:hAnsi="仿宋" w:eastAsia="仿宋" w:cs="仿宋"/>
          <w:b/>
          <w:color w:val="000000" w:themeColor="text1"/>
          <w:sz w:val="24"/>
          <w:szCs w:val="24"/>
          <w14:textFill>
            <w14:solidFill>
              <w14:schemeClr w14:val="tx1"/>
            </w14:solidFill>
          </w14:textFill>
        </w:rPr>
        <w:t>采购需求</w:t>
      </w:r>
    </w:p>
    <w:p>
      <w:pPr>
        <w:adjustRightInd w:val="0"/>
        <w:snapToGrid w:val="0"/>
        <w:spacing w:line="360" w:lineRule="auto"/>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一、采购项目名称</w:t>
      </w:r>
    </w:p>
    <w:p>
      <w:pPr>
        <w:overflowPunct w:val="0"/>
        <w:spacing w:line="360" w:lineRule="auto"/>
        <w:rPr>
          <w:rFonts w:ascii="宋体" w:hAnsi="宋体" w:cs="宋体"/>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2023年塔城地区重大动物疫病强制免疫疫苗、人畜共患病防控工作项目（布鲁氏菌病活疫苗（M5株或M5-90株））</w:t>
      </w:r>
    </w:p>
    <w:p>
      <w:pPr>
        <w:numPr>
          <w:ilvl w:val="0"/>
          <w:numId w:val="2"/>
        </w:numPr>
        <w:adjustRightInd w:val="0"/>
        <w:snapToGrid w:val="0"/>
        <w:spacing w:line="360" w:lineRule="auto"/>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采购内容</w:t>
      </w:r>
    </w:p>
    <w:p>
      <w:pPr>
        <w:pStyle w:val="38"/>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采购布氏菌病活疫苗（M5株或M5-90株）；（详见下表技术参数）</w:t>
      </w:r>
    </w:p>
    <w:p>
      <w:pPr>
        <w:numPr>
          <w:ilvl w:val="0"/>
          <w:numId w:val="2"/>
        </w:numPr>
        <w:spacing w:line="360" w:lineRule="auto"/>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交货安装地点</w:t>
      </w:r>
    </w:p>
    <w:p>
      <w:pPr>
        <w:spacing w:line="360" w:lineRule="auto"/>
        <w:ind w:firstLine="960" w:firstLineChars="4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采购人指定的地点</w:t>
      </w:r>
      <w:r>
        <w:rPr>
          <w:rFonts w:hint="eastAsia" w:ascii="宋体" w:hAnsi="宋体" w:cs="宋体"/>
          <w:color w:val="000000" w:themeColor="text1"/>
          <w:sz w:val="22"/>
          <w:szCs w:val="22"/>
          <w14:textFill>
            <w14:solidFill>
              <w14:schemeClr w14:val="tx1"/>
            </w14:solidFill>
          </w14:textFill>
        </w:rPr>
        <w:t>。</w:t>
      </w:r>
    </w:p>
    <w:p>
      <w:pPr>
        <w:pStyle w:val="38"/>
        <w:numPr>
          <w:ilvl w:val="0"/>
          <w:numId w:val="2"/>
        </w:numPr>
        <w:ind w:firstLine="0"/>
        <w:rPr>
          <w:rFonts w:ascii="宋体" w:hAnsi="宋体" w:eastAsia="宋体" w:cs="宋体"/>
          <w:b/>
          <w:color w:val="000000" w:themeColor="text1"/>
          <w:sz w:val="22"/>
          <w:szCs w:val="22"/>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采购清单及</w:t>
      </w:r>
      <w:r>
        <w:rPr>
          <w:rFonts w:hint="eastAsia" w:ascii="宋体" w:hAnsi="宋体" w:eastAsia="宋体" w:cs="宋体"/>
          <w:b/>
          <w:color w:val="000000" w:themeColor="text1"/>
          <w:sz w:val="24"/>
          <w:szCs w:val="24"/>
          <w14:textFill>
            <w14:solidFill>
              <w14:schemeClr w14:val="tx1"/>
            </w14:solidFill>
          </w14:textFill>
        </w:rPr>
        <w:t>技术参数</w:t>
      </w:r>
    </w:p>
    <w:tbl>
      <w:tblPr>
        <w:tblStyle w:val="39"/>
        <w:tblpPr w:leftFromText="180" w:rightFromText="180" w:vertAnchor="text" w:horzAnchor="page" w:tblpX="1117" w:tblpY="219"/>
        <w:tblOverlap w:val="never"/>
        <w:tblW w:w="9810" w:type="dxa"/>
        <w:tblInd w:w="0" w:type="dxa"/>
        <w:tblLayout w:type="fixed"/>
        <w:tblCellMar>
          <w:top w:w="0" w:type="dxa"/>
          <w:left w:w="0" w:type="dxa"/>
          <w:bottom w:w="0" w:type="dxa"/>
          <w:right w:w="0" w:type="dxa"/>
        </w:tblCellMar>
      </w:tblPr>
      <w:tblGrid>
        <w:gridCol w:w="675"/>
        <w:gridCol w:w="2485"/>
        <w:gridCol w:w="1234"/>
        <w:gridCol w:w="4531"/>
        <w:gridCol w:w="885"/>
      </w:tblGrid>
      <w:tr>
        <w:tblPrEx>
          <w:tblCellMar>
            <w:top w:w="0" w:type="dxa"/>
            <w:left w:w="0" w:type="dxa"/>
            <w:bottom w:w="0" w:type="dxa"/>
            <w:right w:w="0" w:type="dxa"/>
          </w:tblCellMar>
        </w:tblPrEx>
        <w:trPr>
          <w:trHeight w:val="720" w:hRule="atLeast"/>
        </w:trPr>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序号</w:t>
            </w:r>
          </w:p>
        </w:tc>
        <w:tc>
          <w:tcPr>
            <w:tcW w:w="2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疫苗品名</w:t>
            </w:r>
          </w:p>
        </w:tc>
        <w:tc>
          <w:tcPr>
            <w:tcW w:w="12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作用与用途</w:t>
            </w:r>
          </w:p>
        </w:tc>
        <w:tc>
          <w:tcPr>
            <w:tcW w:w="4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主要技术参数及要求</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备注</w:t>
            </w:r>
          </w:p>
        </w:tc>
      </w:tr>
      <w:tr>
        <w:tblPrEx>
          <w:tblCellMar>
            <w:top w:w="0" w:type="dxa"/>
            <w:left w:w="0" w:type="dxa"/>
            <w:bottom w:w="0" w:type="dxa"/>
            <w:right w:w="0" w:type="dxa"/>
          </w:tblCellMar>
        </w:tblPrEx>
        <w:trPr>
          <w:trHeight w:val="3907" w:hRule="atLeast"/>
        </w:trPr>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1</w:t>
            </w:r>
          </w:p>
        </w:tc>
        <w:tc>
          <w:tcPr>
            <w:tcW w:w="2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b/>
                <w:bCs/>
                <w:color w:val="000000" w:themeColor="text1"/>
                <w:sz w:val="24"/>
                <w:szCs w:val="24"/>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布氏菌病活疫苗（M5株或M5-90株）</w:t>
            </w:r>
          </w:p>
        </w:tc>
        <w:tc>
          <w:tcPr>
            <w:tcW w:w="12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bCs/>
                <w:color w:val="000000" w:themeColor="text1"/>
                <w:sz w:val="24"/>
                <w:szCs w:val="24"/>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用于预防羊布氏菌病</w:t>
            </w:r>
          </w:p>
        </w:tc>
        <w:tc>
          <w:tcPr>
            <w:tcW w:w="4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1.规格：50、100头份/瓶。</w:t>
            </w:r>
          </w:p>
          <w:p>
            <w:pPr>
              <w:widowControl/>
              <w:jc w:val="left"/>
              <w:textAlignment w:val="center"/>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2.贮藏与有效期：2-8℃避光保存，有效期12个月；</w:t>
            </w:r>
          </w:p>
          <w:p>
            <w:pPr>
              <w:widowControl/>
              <w:jc w:val="left"/>
              <w:textAlignment w:val="center"/>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3.产品的安全检验指标应符合中国兽医药品监察所审核认可的“兽用生物制品生产与检验报告”要求，免疫期为36个月；</w:t>
            </w:r>
          </w:p>
          <w:p>
            <w:pPr>
              <w:widowControl/>
              <w:jc w:val="left"/>
              <w:textAlignment w:val="center"/>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4.交货时有效期在8个月以上。</w:t>
            </w:r>
          </w:p>
          <w:p>
            <w:pPr>
              <w:widowControl/>
              <w:jc w:val="left"/>
              <w:textAlignment w:val="center"/>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5.每头份活菌数含量高于1.0×10</w:t>
            </w:r>
            <w:r>
              <w:rPr>
                <w:rFonts w:hint="eastAsia" w:ascii="宋体" w:hAnsi="宋体" w:cs="宋体"/>
                <w:color w:val="000000" w:themeColor="text1"/>
                <w:sz w:val="22"/>
                <w:szCs w:val="22"/>
                <w:vertAlign w:val="superscript"/>
                <w14:textFill>
                  <w14:solidFill>
                    <w14:schemeClr w14:val="tx1"/>
                  </w14:solidFill>
                </w14:textFill>
              </w:rPr>
              <w:t>9</w:t>
            </w:r>
            <w:r>
              <w:rPr>
                <w:rFonts w:hint="eastAsia" w:ascii="宋体" w:hAnsi="宋体" w:cs="宋体"/>
                <w:color w:val="000000" w:themeColor="text1"/>
                <w:sz w:val="22"/>
                <w:szCs w:val="22"/>
                <w14:textFill>
                  <w14:solidFill>
                    <w14:schemeClr w14:val="tx1"/>
                  </w14:solidFill>
                </w14:textFill>
              </w:rPr>
              <w:t>CFU活菌；</w:t>
            </w:r>
          </w:p>
          <w:p>
            <w:pPr>
              <w:widowControl/>
              <w:jc w:val="left"/>
              <w:textAlignment w:val="center"/>
              <w:rPr>
                <w:rFonts w:ascii="宋体" w:hAnsi="宋体" w:cs="宋体"/>
                <w:b/>
                <w:bCs/>
                <w:color w:val="000000" w:themeColor="text1"/>
                <w:sz w:val="24"/>
                <w:szCs w:val="24"/>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6.应有实用可行的免疫操作规程，人员防护措施，环境保护措施（疫苗污染用具的回收），确保人畜安全。</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b/>
                <w:bCs/>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1605" w:hRule="atLeast"/>
        </w:trPr>
        <w:tc>
          <w:tcPr>
            <w:tcW w:w="9810" w:type="dxa"/>
            <w:gridSpan w:val="5"/>
            <w:tcBorders>
              <w:top w:val="nil"/>
              <w:left w:val="nil"/>
              <w:bottom w:val="nil"/>
              <w:right w:val="nil"/>
            </w:tcBorders>
            <w:tcMar>
              <w:top w:w="15" w:type="dxa"/>
              <w:left w:w="15" w:type="dxa"/>
              <w:right w:w="15" w:type="dxa"/>
            </w:tcMar>
            <w:vAlign w:val="center"/>
          </w:tcPr>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本项目采购最高限单价:0.29元/头份，预估数量: 59万头份</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注：预估数量不作为实际采购数量，实际采购新量以年度实际发生数量为准。</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1、产品质量及技术标准应符合或遵守《中华人民共和国兽用生物制品生产规程》《中华人民共和国兽用生物制品质量标准》及颁布的相应产品质量标准。</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2、产品的物理性状、无菌检验、安全检验、效力检验等指标应出具中国兽医药品监察所审核认可的“兽用生物制品生产与检验报告”（批签发记录）。</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3、投标单位应在投标文件中提供农业部备案的兽药注册目录，质量标准、说明书和标签。</w:t>
            </w:r>
          </w:p>
          <w:p>
            <w:pPr>
              <w:widowControl/>
              <w:spacing w:line="360" w:lineRule="auto"/>
              <w:jc w:val="left"/>
              <w:textAlignment w:val="center"/>
              <w:rPr>
                <w:rFonts w:ascii="等线" w:hAnsi="等线" w:eastAsia="等线" w:cs="等线"/>
                <w:color w:val="000000" w:themeColor="text1"/>
                <w:sz w:val="22"/>
                <w:szCs w:val="22"/>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4、招标之前或之后，</w:t>
            </w:r>
            <w:r>
              <w:rPr>
                <w:rFonts w:hint="eastAsia" w:ascii="宋体" w:hAnsi="宋体" w:cs="宋体"/>
                <w:b/>
                <w:bCs/>
                <w:color w:val="000000" w:themeColor="text1"/>
                <w:kern w:val="0"/>
                <w:sz w:val="22"/>
                <w:szCs w:val="22"/>
                <w:lang w:bidi="ar"/>
                <w14:textFill>
                  <w14:solidFill>
                    <w14:schemeClr w14:val="tx1"/>
                  </w14:solidFill>
                </w14:textFill>
              </w:rPr>
              <w:t>如遇农业农村部政策调整，有关疫苗毒株变更，相应产品直接变更。</w:t>
            </w:r>
          </w:p>
        </w:tc>
      </w:tr>
    </w:tbl>
    <w:p>
      <w:pPr>
        <w:adjustRightInd w:val="0"/>
        <w:snapToGrid w:val="0"/>
        <w:spacing w:line="360" w:lineRule="auto"/>
        <w:rPr>
          <w:rFonts w:ascii="宋体" w:hAnsi="宋体" w:cs="宋体"/>
          <w:b/>
          <w:color w:val="000000" w:themeColor="text1"/>
          <w:sz w:val="22"/>
          <w:szCs w:val="22"/>
          <w14:textFill>
            <w14:solidFill>
              <w14:schemeClr w14:val="tx1"/>
            </w14:solidFill>
          </w14:textFill>
        </w:rPr>
      </w:pP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（一）货物技术要求</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*1、应是在良好生产规范（GMP）条件下生产的合格货物。</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*2、所投货物必须严格按照中华人民共和国《兽用生物制品规程》、中华人民共和国《兽用生物制品质量标准》和中华人民共和国《兽药典》进行生产和检验。</w:t>
      </w:r>
    </w:p>
    <w:p>
      <w:pPr>
        <w:tabs>
          <w:tab w:val="left" w:pos="1822"/>
        </w:tabs>
        <w:ind w:firstLine="440" w:firstLineChars="20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3、有效期：交货时疫苗有效期符合“招标项目技术需求”中的“主要技术参数及要求”的相应规定。</w:t>
      </w:r>
    </w:p>
    <w:p>
      <w:pPr>
        <w:tabs>
          <w:tab w:val="left" w:pos="1822"/>
        </w:tabs>
        <w:ind w:firstLine="440" w:firstLineChars="20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*4、所投疫苗严格执行国家农业部规定的货物批签发制度，并在每批疫苗送出前，厂家具有该批次疫苗质量的检验报告。符合《规程》的质量标准，并提供检验报告。</w:t>
      </w:r>
    </w:p>
    <w:p>
      <w:pPr>
        <w:tabs>
          <w:tab w:val="left" w:pos="1822"/>
        </w:tabs>
        <w:ind w:firstLine="440" w:firstLineChars="20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5、所有疫苗须按相应的国家标准和疫苗的特殊要求包装。内外包装的标志编号清晰，标签内容完整（包括产品名称、批准文号、生产批号、生产日期、有效期、使用说明、商标、注意事项、保存条件、生产企业名称、电话等）。</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（二）、运输要求</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1、运输时，要用冷藏车（温度控制在指定保藏温度）在48小时内送到买方指定地点，最长不得超过72小时；利用航空运输的，出仓到交货在24小时内完成。对冷藏车实施24小时实时温度监控，运输过程中每隔4-6小时和到达交货地点时检查并记录温度。严防日光暴晒。</w:t>
      </w:r>
    </w:p>
    <w:p>
      <w:pPr>
        <w:tabs>
          <w:tab w:val="left" w:pos="1822"/>
        </w:tabs>
        <w:ind w:firstLine="660" w:firstLineChars="30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2、每批货发运时，必须事先通知货物接收单位做好收货准备，每批货发运的具体时间、地点、数量由采购单位提前通知。</w:t>
      </w:r>
    </w:p>
    <w:p>
      <w:pPr>
        <w:tabs>
          <w:tab w:val="left" w:pos="1822"/>
        </w:tabs>
        <w:ind w:firstLine="660" w:firstLineChars="30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3、验收：厂家发货时提供清单一份，写明货物批号、数量、出厂日期，由接收单位签字盖章验收，并将验收单送达采购单位指定单位。</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（三）、采购疫苗数量及毒株的调整</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合同商谈时，采购方有权根据资金情况，对货物数量进行适当调整。若应国家强制免疫政策调整或国家将部分病种的疫苗退出强制免疫计划，购买方有权减少该品种的疫苗使用量或取决该品种疫苗本次招标无效，由此造成的一切损失由中标方承担，采购方不承担任何责任。</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（四）、售后服务</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1、供应商应根据销售计划无偿为采购人提供畜禽免疫相关知识的培训，采购人可以提出培训计划，培训费用由供应商承担，培训对象为采购人确定的相关兽医技术人员。</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2、因注射疫苗造成畜禽发病、死亡或经济损失的，供应商48小时内派人现场调查解决或由双方组成联合调查组认定，确认是由于疫苗质量引起的损失，将由供应商赔偿。</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3、如因注射疫苗爆发疫情，采购人与供应商应会同有关部门组成调查小组查清原因，确认是由产品质量原因造成，供应商承担扑疫经费，并赔偿相应的经济损失。</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4、如果某地畜禽注射中标人提供的疫苗后出现规模性群体性动物不良反应，供应商应在24小时内派专业技术人员到达现场，进行采样、分析和解决问题，并承担不良反应所造成的一切损失；因疫苗原因造成畜禽群体性应激反应甚至死亡的，经采购人或其授权的县级以上动物疫病预防控制机构认定后，给与赔付。由于大多数动物疫苗普遍存在过敏反应和造成动物因疫苗过敏死亡现象，供应商应主动对受损失的养殖户进行补偿。</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5、经采购人组织对各类疫苗抗体效价测定，达不到国家要求的疫苗，停止继续使用，中止疫苗合同，供应商必须对提供疫苗造成的损失进行赔偿。</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（五）、其他</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1、投标人必须在投标文件中对以上条款和服务承诺明确列出，承诺内容必须达到本篇及招标文件其他条款的要求。</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2、其他未尽事宜由供需双方在采购合同中详细约定。</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3、若中标人不能按招标文件规定的交货期正常交货，采购人有权终止合同，并将相关情况上报给采购计划主管部门，取消其中标资格。</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4、采购人根据国家免疫政策的调整情况，享有本次采购疫苗品种、类别、数量调整的权利。</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5、采购人有权对中标人供应的每一个批次的产品质量的实验室抽检和免疫效果评价，经检测和评价不符合国家相关标准和要求的，立即对产品进行退货、中止合同且上报监督部门对其进行惩罚。</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6、知识产权：采购人在中华人民共和国境内使用投标人提供的货物及服务时免受第三方提出的侵犯其专利权或其他知识产权的起诉。如果第三方提出侵权指控，中标人应承担由此而引发的一切法律责任和费用。</w:t>
      </w:r>
    </w:p>
    <w:p>
      <w:pPr>
        <w:adjustRightInd w:val="0"/>
        <w:snapToGrid w:val="0"/>
        <w:spacing w:line="360" w:lineRule="auto"/>
        <w:rPr>
          <w:rFonts w:ascii="宋体" w:hAnsi="宋体" w:cs="宋体"/>
          <w:b/>
          <w:color w:val="000000" w:themeColor="text1"/>
          <w:sz w:val="24"/>
          <w:szCs w:val="24"/>
          <w14:textFill>
            <w14:solidFill>
              <w14:schemeClr w14:val="tx1"/>
            </w14:solidFill>
          </w14:textFill>
        </w:rPr>
      </w:pPr>
    </w:p>
    <w:p>
      <w:pPr>
        <w:adjustRightInd w:val="0"/>
        <w:snapToGrid w:val="0"/>
        <w:spacing w:line="360" w:lineRule="auto"/>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五、售后服务要求</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b/>
          <w:bCs/>
          <w:color w:val="000000" w:themeColor="text1"/>
          <w:kern w:val="0"/>
          <w:sz w:val="24"/>
          <w:szCs w:val="24"/>
          <w:lang w:bidi="ar"/>
          <w14:textFill>
            <w14:solidFill>
              <w14:schemeClr w14:val="tx1"/>
            </w14:solidFill>
          </w14:textFill>
        </w:rPr>
        <w:t>1、合同货物的质保期：</w:t>
      </w:r>
      <w:r>
        <w:rPr>
          <w:rFonts w:hint="eastAsia" w:ascii="宋体" w:hAnsi="宋体" w:cs="宋体"/>
          <w:color w:val="000000" w:themeColor="text1"/>
          <w:kern w:val="0"/>
          <w:sz w:val="22"/>
          <w:szCs w:val="22"/>
          <w:lang w:bidi="ar"/>
          <w14:textFill>
            <w14:solidFill>
              <w14:schemeClr w14:val="tx1"/>
            </w14:solidFill>
          </w14:textFill>
        </w:rPr>
        <w:t>三年。</w:t>
      </w:r>
    </w:p>
    <w:p>
      <w:pPr>
        <w:tabs>
          <w:tab w:val="center" w:pos="4832"/>
          <w:tab w:val="left" w:pos="7140"/>
        </w:tabs>
        <w:spacing w:line="360" w:lineRule="auto"/>
        <w:jc w:val="left"/>
        <w:outlineLvl w:val="2"/>
        <w:rPr>
          <w:rFonts w:ascii="宋体" w:cs="Arial"/>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2"/>
          <w:szCs w:val="22"/>
          <w:lang w:bidi="ar"/>
          <w14:textFill>
            <w14:solidFill>
              <w14:schemeClr w14:val="tx1"/>
            </w14:solidFill>
          </w14:textFill>
        </w:rPr>
        <w:t>2、</w:t>
      </w:r>
      <w:r>
        <w:rPr>
          <w:rFonts w:hint="eastAsia" w:ascii="宋体" w:hAnsi="宋体" w:cs="宋体"/>
          <w:b/>
          <w:color w:val="000000" w:themeColor="text1"/>
          <w:sz w:val="24"/>
          <w:szCs w:val="24"/>
          <w14:textFill>
            <w14:solidFill>
              <w14:schemeClr w14:val="tx1"/>
            </w14:solidFill>
          </w14:textFill>
        </w:rPr>
        <w:t>供货期、地点、运输方式及验收方式</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2.1 供货期：10个工作日内，如遇特殊情况3个工作日内（以采购方实际需求为准）。</w:t>
      </w:r>
    </w:p>
    <w:p>
      <w:pPr>
        <w:spacing w:line="360" w:lineRule="auto"/>
        <w:ind w:firstLine="440" w:firstLineChars="200"/>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2.2 供货地点：</w:t>
      </w:r>
      <w:r>
        <w:rPr>
          <w:rFonts w:hint="eastAsia" w:ascii="宋体" w:hAnsi="宋体" w:cs="宋体"/>
          <w:color w:val="000000" w:themeColor="text1"/>
          <w:kern w:val="0"/>
          <w:sz w:val="22"/>
          <w:szCs w:val="22"/>
          <w14:textFill>
            <w14:solidFill>
              <w14:schemeClr w14:val="tx1"/>
            </w14:solidFill>
          </w14:textFill>
        </w:rPr>
        <w:t>采购方指定地点。</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2.3 运输要求：由中标企业通过冷链运输疫苗，送至采购人指定地点，专用疫苗冷链运输，必须有连续温度监控仪，内包装有泡沫保温箱、外包装使用纸箱，供货后必须向收货方和采购方提供出库单据、与实物相对应批号的兽用生物制品生产与中监所的批签发报告和温度监控记录表。</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2.4 验收方式</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⑴ 中标企业必须保证所供应疫苗有效期应满足采购人要求（详见：“招标项目技术需求”中的“主要技术参数”）。</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⑵ 采购人按质量标准和疫苗的具体要求，对所有疫苗进行逐件核验（包装、产品名称、文号、批号、商标、规格、生产日期、失效日期、贮存条件、防伪标识、作用与用途、用法与用量、企业名称、批签发报告、运输过程中温度监控记录等）。采购人经核验发现该批货物不符合具体要求的，于到货之日起5个工作日内电话或书面通知乙方并退回该批疫苗，所产生的费用由乙方负责。</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⑶ 产品说明书内注意事项与瓶签说明必须一致。</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⑷ 在采购人查验货物时如数量少于定货数量，以采购人实际收到的数量为准，按采购人要求决定是否补发；如数量多于定货数量，由采购人根据需要决定接受或退货。</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⑸ 疫苗在运输过程中出现的破损或失效由中标企业负责。</w:t>
      </w:r>
    </w:p>
    <w:p>
      <w:pPr>
        <w:widowControl/>
        <w:spacing w:line="360" w:lineRule="auto"/>
        <w:ind w:firstLine="440" w:firstLineChars="200"/>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投标人提供的产品必须是原装正品，符合产品质量标准，具有该产品的出厂标准和国家规定的行业标准。</w:t>
      </w:r>
    </w:p>
    <w:p>
      <w:pPr>
        <w:tabs>
          <w:tab w:val="center" w:pos="4832"/>
          <w:tab w:val="left" w:pos="7140"/>
        </w:tabs>
        <w:spacing w:line="360" w:lineRule="auto"/>
        <w:jc w:val="left"/>
        <w:outlineLvl w:val="2"/>
        <w:rPr>
          <w:rFonts w:ascii="宋体" w:cs="Arial"/>
          <w:color w:val="000000" w:themeColor="text1"/>
          <w:kern w:val="0"/>
          <w:sz w:val="24"/>
          <w:szCs w:val="24"/>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3、</w:t>
      </w:r>
      <w:r>
        <w:rPr>
          <w:rFonts w:hint="eastAsia" w:ascii="宋体" w:hAnsi="宋体" w:cs="宋体"/>
          <w:b/>
          <w:color w:val="000000" w:themeColor="text1"/>
          <w:sz w:val="24"/>
          <w:szCs w:val="24"/>
          <w14:textFill>
            <w14:solidFill>
              <w14:schemeClr w14:val="tx1"/>
            </w14:solidFill>
          </w14:textFill>
        </w:rPr>
        <w:t>质量责任</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3.1 投标人保证所投标产品应是最新或最佳的原材料生产，完全符合国家标准规定的质量、性能和技术规格（疫苗包括包装上印刷的产品名称、文号、批号、商标、规格、生产日期、失效日期、贮存条件、防伪标识、作用与用途、用法与用量、企业名称、批签发报告、运输过程中温度监控记录等。保证在疫苗在低温贮藏条件下运送，在投标文件中承诺的质量保证期内对任何质量问题负责，采购人有权对中标企业提供的产品作质量检验，经检测不合格的，将终止合同并追究其相应责任（检测费用由乙方支付）。</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3.2 在使用疫苗过程中出现的苗源反应引起的畜禽死亡或因免疫失败而导致疫情暴发的均由中标企业负责处理，并且对造成的损失给予经济赔偿。</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⑴ 因注射疫苗引起的畜禽副反应或死亡，经双方联合调查确认后，由中标企业负责对造成的损失给予赔偿。</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⑵ 在规定的免疫保护期内，免疫后的动物又发生疫情时，中标企业接到采购人电话或传真通知后，要及时派专业技术人员到达现场调查核实实际情况，由中标企业负责承担一切经济损失以及全部费用。</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⑶ 采购人在疫苗的使用过程中，发现疫苗的副反应大或免疫效果差，采购人可根据情况调整采购比例；情况严重的，采购人有权停止采购该中标产品，将库存疫苗做退货处理，其采购合同未执行数量由其余供货服务商履行，由于疫苗副反应大或免疫效果差造成的经济损失，由中标企业承担责任。</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⑷ 若在疫苗的使用过程中，发现中标企业所提供的全部产品出现质量问题，采购人有权停止采购该分包的产品，并将相关情况上报给采购计划主管部门和农业农村部备案，终止该中标企业的采购合同，并追究其违约责任。</w:t>
      </w:r>
    </w:p>
    <w:p>
      <w:pPr>
        <w:widowControl/>
        <w:spacing w:line="360" w:lineRule="auto"/>
        <w:ind w:firstLine="440" w:firstLineChars="200"/>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质保期内出现产品质量及安装调试问题，由中标方负责包修、包换或包退，并承担因此而产生的一切费用。供应商应在收到招标人通知后1小时内派员到现场维修，保证设备至正常使用。</w:t>
      </w:r>
    </w:p>
    <w:p>
      <w:pPr>
        <w:tabs>
          <w:tab w:val="center" w:pos="4832"/>
          <w:tab w:val="left" w:pos="7140"/>
        </w:tabs>
        <w:spacing w:line="360" w:lineRule="auto"/>
        <w:jc w:val="left"/>
        <w:outlineLvl w:val="2"/>
        <w:rPr>
          <w:rFonts w:ascii="宋体" w:cs="Arial"/>
          <w:color w:val="000000" w:themeColor="text1"/>
          <w:kern w:val="0"/>
          <w:sz w:val="24"/>
          <w:szCs w:val="24"/>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w:t>
      </w:r>
      <w:r>
        <w:rPr>
          <w:rFonts w:hint="eastAsia" w:ascii="宋体" w:hAnsi="宋体" w:cs="宋体"/>
          <w:b/>
          <w:color w:val="000000" w:themeColor="text1"/>
          <w:sz w:val="24"/>
          <w:szCs w:val="24"/>
          <w14:textFill>
            <w14:solidFill>
              <w14:schemeClr w14:val="tx1"/>
            </w14:solidFill>
          </w14:textFill>
        </w:rPr>
        <w:t>质量保证及售后服务</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 xml:space="preserve">4.1 培训：采购方根据供货服务商的承诺，协商免费培训时间、地点及方式，使采购人的使用人员能够正常操作相关设备。 </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4.2 优惠承诺：按照投标人承诺为准。</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4.3 投标人需要其他详细阐明的：</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⑴ 所投货物的免费质量保证期：按生产商及国家有关规定。</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⑵ 质保期内服务基本要求：</w:t>
      </w:r>
    </w:p>
    <w:p>
      <w:pPr>
        <w:spacing w:line="360" w:lineRule="auto"/>
        <w:ind w:firstLine="660" w:firstLineChars="3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①交货时采购人对产品进行抽检，发现产品有沉淀、混浊、变色、分层等现象，采购人拒收，并要求中标人重新发货。并承担所有费用，更换疫苗到达最终用户地不得超过24小时。</w:t>
      </w:r>
    </w:p>
    <w:p>
      <w:pPr>
        <w:spacing w:line="360" w:lineRule="auto"/>
        <w:ind w:firstLine="660" w:firstLineChars="3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②供货服务商在疫苗质保期内保证疫苗的质量，在有效期内对因检定表明是疫苗质量引起的任何缺陷，实施更换和其它补偿。</w:t>
      </w:r>
    </w:p>
    <w:p>
      <w:pPr>
        <w:spacing w:line="360" w:lineRule="auto"/>
        <w:ind w:firstLine="660" w:firstLineChars="3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③交货时疫苗有效期不得低于中标人在投标文件中承诺的有效期时长，且包装规格必须与投标文件承诺一致，疫苗的供货有效期有效（详见：“招标项目技术标准和服务要求”中的“主要技术参数”中的具体要求）否则采购人拒收，并要求中标人重新发货。</w:t>
      </w:r>
    </w:p>
    <w:p>
      <w:pPr>
        <w:spacing w:line="360" w:lineRule="auto"/>
        <w:ind w:firstLine="660" w:firstLineChars="3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④交货时需提供产品出厂合格证、使用说明书和中国兽医药品监察所对该批产品的批签发报告扫描件。质保期内供货服务商接到甲方产品出现问题的通知后，至少满足24小时内到达产品使用现场，进行处理。除不可抗力和使用方责任外，费用全部由乙方承担。质保期内产品质量经权威机构鉴定不符合质量要求的，按合同约定承担违约责任，供货服务商应及时收回不合格产品，所产生的费用由中标人自行负责，采购方立即停止合同。</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⑶ 质保期外服务基本要求：</w:t>
      </w:r>
    </w:p>
    <w:p>
      <w:pPr>
        <w:spacing w:line="360" w:lineRule="auto"/>
        <w:ind w:firstLine="660" w:firstLineChars="3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供货服务商接到使用方产品出现问题的通知后，24小时内到达产品现场，进行处理，并提供预防接种异常反应处理方案。</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 xml:space="preserve">4.4 售后服务和技术支持要求 </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⑴ 送货地点为</w:t>
      </w:r>
      <w:r>
        <w:rPr>
          <w:rFonts w:hint="eastAsia" w:ascii="宋体" w:hAnsi="宋体" w:cs="宋体"/>
          <w:color w:val="000000" w:themeColor="text1"/>
          <w:kern w:val="0"/>
          <w:sz w:val="22"/>
          <w:szCs w:val="22"/>
          <w14:textFill>
            <w14:solidFill>
              <w14:schemeClr w14:val="tx1"/>
            </w14:solidFill>
          </w14:textFill>
        </w:rPr>
        <w:t>采购人指定地点</w:t>
      </w:r>
      <w:r>
        <w:rPr>
          <w:rFonts w:hint="eastAsia" w:ascii="宋体" w:hAnsi="宋体" w:cs="宋体"/>
          <w:color w:val="000000" w:themeColor="text1"/>
          <w:sz w:val="22"/>
          <w:szCs w:val="22"/>
          <w14:textFill>
            <w14:solidFill>
              <w14:schemeClr w14:val="tx1"/>
            </w14:solidFill>
          </w14:textFill>
        </w:rPr>
        <w:t>。</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⑵ 供货服务商免费提供技术咨询和相关宣传资料。如采购方需要，供货服务商应免费开展相关疫苗实验、检测、培训等，一切费用由中标企业承担。</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⑶ 疫苗免疫造成畜禽副反应、死亡或经济损失的，中标企业无条件及时派人调查或参加由供需双方组成的联合调查小组进行调查。经调查认定或经国家权威部门鉴定，确认是因疫苗质量引起的损失，由中标人负责给予补偿。</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⑷ 如因免疫失败，导致疫情暴发，双方会同有关部门组成调查组查清原因，经权威部门确认是由产品质量原因造成的，中标企业应承担扑疫经费，并赔偿相应的经济损失。</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⑸ 详细售后服务内容见本章节部分。如投标人有更优质的服务内容，以投标人承诺的服务内容为准。</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4.5 以上内容及“项目技术规格、数量及技术要求”中的商务要求投标人必须在投标文件上清楚阐明。如投标人有更优质的服务内容，以投标人承诺的服务内容为准。</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b/>
          <w:bCs/>
          <w:color w:val="000000" w:themeColor="text1"/>
          <w:kern w:val="0"/>
          <w:sz w:val="24"/>
          <w:szCs w:val="24"/>
          <w:lang w:bidi="ar"/>
          <w14:textFill>
            <w14:solidFill>
              <w14:schemeClr w14:val="tx1"/>
            </w14:solidFill>
          </w14:textFill>
        </w:rPr>
        <w:t>5、服务保证：</w:t>
      </w:r>
      <w:r>
        <w:rPr>
          <w:rFonts w:hint="eastAsia" w:ascii="宋体" w:hAnsi="宋体" w:cs="宋体"/>
          <w:color w:val="000000" w:themeColor="text1"/>
          <w:kern w:val="0"/>
          <w:sz w:val="22"/>
          <w:szCs w:val="22"/>
          <w:lang w:bidi="ar"/>
          <w14:textFill>
            <w14:solidFill>
              <w14:schemeClr w14:val="tx1"/>
            </w14:solidFill>
          </w14:textFill>
        </w:rPr>
        <w:t>供应商能够提供的其他服务及优惠条件，在投标文件服务承诺部分另行逐条表述。</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p>
    <w:p>
      <w:pPr>
        <w:pStyle w:val="2"/>
        <w:rPr>
          <w:color w:val="000000" w:themeColor="text1"/>
          <w14:textFill>
            <w14:solidFill>
              <w14:schemeClr w14:val="tx1"/>
            </w14:solidFill>
          </w14:textFill>
        </w:rPr>
        <w:sectPr>
          <w:pgSz w:w="11907" w:h="16840"/>
          <w:pgMar w:top="1440" w:right="1247" w:bottom="1440" w:left="1361" w:header="1077" w:footer="799" w:gutter="0"/>
          <w:cols w:space="720" w:num="1"/>
          <w:titlePg/>
          <w:docGrid w:type="lines" w:linePitch="409" w:charSpace="0"/>
        </w:sectPr>
      </w:pPr>
    </w:p>
    <w:p>
      <w:pPr>
        <w:spacing w:line="360" w:lineRule="auto"/>
        <w:jc w:val="center"/>
        <w:rPr>
          <w:rFonts w:ascii="宋体" w:hAnsi="宋体"/>
          <w:color w:val="000000" w:themeColor="text1"/>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第四章  合同条款（仅供参考）</w:t>
      </w:r>
    </w:p>
    <w:p>
      <w:pPr>
        <w:spacing w:line="360" w:lineRule="auto"/>
        <w:jc w:val="center"/>
        <w:rPr>
          <w:rFonts w:ascii="宋体" w:hAnsi="宋体" w:cs="宋体"/>
          <w:b/>
          <w:bCs/>
          <w:color w:val="000000" w:themeColor="text1"/>
          <w:sz w:val="44"/>
          <w:szCs w:val="44"/>
          <w14:textFill>
            <w14:solidFill>
              <w14:schemeClr w14:val="tx1"/>
            </w14:solidFill>
          </w14:textFill>
        </w:rPr>
      </w:pPr>
      <w:r>
        <w:rPr>
          <w:rFonts w:hint="eastAsia" w:ascii="宋体" w:hAnsi="宋体" w:cs="宋体"/>
          <w:b/>
          <w:bCs/>
          <w:color w:val="000000" w:themeColor="text1"/>
          <w:sz w:val="44"/>
          <w:szCs w:val="44"/>
          <w14:textFill>
            <w14:solidFill>
              <w14:schemeClr w14:val="tx1"/>
            </w14:solidFill>
          </w14:textFill>
        </w:rPr>
        <w:t>塔城地区动物疾病控制与诊断中心(物资类招标采购）供货合同</w:t>
      </w:r>
    </w:p>
    <w:p>
      <w:pPr>
        <w:spacing w:line="360" w:lineRule="auto"/>
        <w:rPr>
          <w:rFonts w:ascii="宋体" w:hAnsi="宋体" w:cs="宋体"/>
          <w:b/>
          <w:bCs/>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甲   方：</w:t>
      </w:r>
      <w:r>
        <w:rPr>
          <w:rFonts w:hint="eastAsia" w:ascii="宋体" w:hAnsi="宋体" w:cs="宋体"/>
          <w:b/>
          <w:bCs/>
          <w:color w:val="000000" w:themeColor="text1"/>
          <w:sz w:val="24"/>
          <w:szCs w:val="28"/>
          <w14:textFill>
            <w14:solidFill>
              <w14:schemeClr w14:val="tx1"/>
            </w14:solidFill>
          </w14:textFill>
        </w:rPr>
        <w:t>塔城地区动物疾病控制与诊断中心</w:t>
      </w:r>
    </w:p>
    <w:p>
      <w:pPr>
        <w:spacing w:line="360" w:lineRule="auto"/>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 xml:space="preserve">乙   方：       </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按照20  年  月   日组织的招标文件编号为</w:t>
      </w:r>
      <w:r>
        <w:rPr>
          <w:rFonts w:hint="eastAsia" w:ascii="宋体" w:hAnsi="宋体" w:cs="宋体"/>
          <w:bCs/>
          <w:color w:val="000000" w:themeColor="text1"/>
          <w:sz w:val="24"/>
          <w:szCs w:val="28"/>
          <w:u w:val="single"/>
          <w14:textFill>
            <w14:solidFill>
              <w14:schemeClr w14:val="tx1"/>
            </w14:solidFill>
          </w14:textFill>
        </w:rPr>
        <w:t xml:space="preserve">             </w:t>
      </w:r>
      <w:r>
        <w:rPr>
          <w:rFonts w:hint="eastAsia" w:ascii="宋体" w:hAnsi="宋体" w:cs="宋体"/>
          <w:color w:val="000000" w:themeColor="text1"/>
          <w:sz w:val="24"/>
          <w:szCs w:val="28"/>
          <w14:textFill>
            <w14:solidFill>
              <w14:schemeClr w14:val="tx1"/>
            </w14:solidFill>
          </w14:textFill>
        </w:rPr>
        <w:t>的</w:t>
      </w:r>
      <w:r>
        <w:rPr>
          <w:rFonts w:hint="eastAsia" w:ascii="宋体" w:hAnsi="宋体" w:cs="宋体"/>
          <w:bCs/>
          <w:color w:val="000000" w:themeColor="text1"/>
          <w:sz w:val="24"/>
          <w:szCs w:val="28"/>
          <w:u w:val="single"/>
          <w14:textFill>
            <w14:solidFill>
              <w14:schemeClr w14:val="tx1"/>
            </w14:solidFill>
          </w14:textFill>
        </w:rPr>
        <w:t xml:space="preserve">               </w:t>
      </w:r>
      <w:r>
        <w:rPr>
          <w:rFonts w:hint="eastAsia" w:ascii="宋体" w:hAnsi="宋体" w:cs="宋体"/>
          <w:color w:val="000000" w:themeColor="text1"/>
          <w:sz w:val="24"/>
          <w:szCs w:val="28"/>
          <w14:textFill>
            <w14:solidFill>
              <w14:schemeClr w14:val="tx1"/>
            </w14:solidFill>
          </w14:textFill>
        </w:rPr>
        <w:t>项目，经评定，乙方</w:t>
      </w:r>
      <w:r>
        <w:rPr>
          <w:rFonts w:hint="eastAsia" w:ascii="宋体" w:hAnsi="宋体" w:cs="宋体"/>
          <w:color w:val="000000" w:themeColor="text1"/>
          <w:sz w:val="24"/>
          <w:szCs w:val="28"/>
          <w:u w:val="single"/>
          <w14:textFill>
            <w14:solidFill>
              <w14:schemeClr w14:val="tx1"/>
            </w14:solidFill>
          </w14:textFill>
        </w:rPr>
        <w:t xml:space="preserve">                     </w:t>
      </w:r>
      <w:r>
        <w:rPr>
          <w:rFonts w:hint="eastAsia" w:ascii="宋体" w:hAnsi="宋体" w:cs="宋体"/>
          <w:color w:val="000000" w:themeColor="text1"/>
          <w:sz w:val="24"/>
          <w:szCs w:val="28"/>
          <w14:textFill>
            <w14:solidFill>
              <w14:schemeClr w14:val="tx1"/>
            </w14:solidFill>
          </w14:textFill>
        </w:rPr>
        <w:t>为</w:t>
      </w:r>
      <w:r>
        <w:rPr>
          <w:rFonts w:hint="eastAsia" w:ascii="宋体" w:hAnsi="宋体" w:cs="宋体"/>
          <w:color w:val="000000" w:themeColor="text1"/>
          <w:sz w:val="24"/>
          <w:szCs w:val="28"/>
          <w:u w:val="single"/>
          <w14:textFill>
            <w14:solidFill>
              <w14:schemeClr w14:val="tx1"/>
            </w14:solidFill>
          </w14:textFill>
        </w:rPr>
        <w:t>第   包</w:t>
      </w:r>
      <w:r>
        <w:rPr>
          <w:rFonts w:hint="eastAsia" w:ascii="宋体" w:hAnsi="宋体" w:cs="宋体"/>
          <w:color w:val="000000" w:themeColor="text1"/>
          <w:sz w:val="24"/>
          <w:szCs w:val="28"/>
          <w14:textFill>
            <w14:solidFill>
              <w14:schemeClr w14:val="tx1"/>
            </w14:solidFill>
          </w14:textFill>
        </w:rPr>
        <w:t>中标方。根据《中华人民共和国政府采购法》和《中华人民共和国民法典》的规定，按照公平、公正、平等自愿和诚实信用、协商一致的原则，甲、乙双方授权代表就所供物资相关事宜达成如下条款。</w:t>
      </w:r>
    </w:p>
    <w:p>
      <w:pPr>
        <w:numPr>
          <w:ilvl w:val="0"/>
          <w:numId w:val="3"/>
        </w:num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货物名称、品种名称、数量及价格</w:t>
      </w:r>
    </w:p>
    <w:tbl>
      <w:tblPr>
        <w:tblStyle w:val="39"/>
        <w:tblW w:w="5000" w:type="pct"/>
        <w:tblInd w:w="0" w:type="dxa"/>
        <w:tblLayout w:type="autofit"/>
        <w:tblCellMar>
          <w:top w:w="0" w:type="dxa"/>
          <w:left w:w="108" w:type="dxa"/>
          <w:bottom w:w="0" w:type="dxa"/>
          <w:right w:w="108" w:type="dxa"/>
        </w:tblCellMar>
      </w:tblPr>
      <w:tblGrid>
        <w:gridCol w:w="1194"/>
        <w:gridCol w:w="1713"/>
        <w:gridCol w:w="2181"/>
        <w:gridCol w:w="1600"/>
        <w:gridCol w:w="872"/>
        <w:gridCol w:w="1163"/>
        <w:gridCol w:w="1165"/>
      </w:tblGrid>
      <w:tr>
        <w:tblPrEx>
          <w:tblCellMar>
            <w:top w:w="0" w:type="dxa"/>
            <w:left w:w="108" w:type="dxa"/>
            <w:bottom w:w="0" w:type="dxa"/>
            <w:right w:w="108" w:type="dxa"/>
          </w:tblCellMar>
        </w:tblPrEx>
        <w:trPr>
          <w:trHeight w:val="751" w:hRule="exact"/>
        </w:trPr>
        <w:tc>
          <w:tcPr>
            <w:tcW w:w="604"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序号</w:t>
            </w:r>
          </w:p>
        </w:tc>
        <w:tc>
          <w:tcPr>
            <w:tcW w:w="866"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 xml:space="preserve"> </w:t>
            </w:r>
          </w:p>
        </w:tc>
        <w:tc>
          <w:tcPr>
            <w:tcW w:w="1103"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p>
        </w:tc>
        <w:tc>
          <w:tcPr>
            <w:tcW w:w="809"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p>
        </w:tc>
        <w:tc>
          <w:tcPr>
            <w:tcW w:w="441"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p>
        </w:tc>
        <w:tc>
          <w:tcPr>
            <w:tcW w:w="588"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p>
        </w:tc>
        <w:tc>
          <w:tcPr>
            <w:tcW w:w="588"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p>
        </w:tc>
      </w:tr>
      <w:tr>
        <w:tblPrEx>
          <w:tblCellMar>
            <w:top w:w="0" w:type="dxa"/>
            <w:left w:w="108" w:type="dxa"/>
            <w:bottom w:w="0" w:type="dxa"/>
            <w:right w:w="108" w:type="dxa"/>
          </w:tblCellMar>
        </w:tblPrEx>
        <w:trPr>
          <w:trHeight w:val="665" w:hRule="exact"/>
        </w:trPr>
        <w:tc>
          <w:tcPr>
            <w:tcW w:w="604" w:type="pct"/>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r>
              <w:rPr>
                <w:rFonts w:hint="eastAsia" w:ascii="宋体" w:hAnsi="宋体" w:cs="宋体"/>
                <w:color w:val="000000" w:themeColor="text1"/>
                <w:kern w:val="0"/>
                <w:sz w:val="24"/>
                <w:szCs w:val="28"/>
                <w14:textFill>
                  <w14:solidFill>
                    <w14:schemeClr w14:val="tx1"/>
                  </w14:solidFill>
                </w14:textFill>
              </w:rPr>
              <w:t>1</w:t>
            </w:r>
          </w:p>
        </w:tc>
        <w:tc>
          <w:tcPr>
            <w:tcW w:w="866"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r>
              <w:rPr>
                <w:rFonts w:hint="eastAsia" w:ascii="宋体" w:hAnsi="宋体" w:cs="宋体"/>
                <w:color w:val="000000" w:themeColor="text1"/>
                <w:kern w:val="0"/>
                <w:sz w:val="24"/>
                <w:szCs w:val="28"/>
                <w14:textFill>
                  <w14:solidFill>
                    <w14:schemeClr w14:val="tx1"/>
                  </w14:solidFill>
                </w14:textFill>
              </w:rPr>
              <w:t xml:space="preserve"> </w:t>
            </w:r>
          </w:p>
        </w:tc>
        <w:tc>
          <w:tcPr>
            <w:tcW w:w="1103"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p>
        </w:tc>
        <w:tc>
          <w:tcPr>
            <w:tcW w:w="809"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p>
        </w:tc>
        <w:tc>
          <w:tcPr>
            <w:tcW w:w="441"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p>
        </w:tc>
        <w:tc>
          <w:tcPr>
            <w:tcW w:w="588"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p>
        </w:tc>
        <w:tc>
          <w:tcPr>
            <w:tcW w:w="588"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p>
        </w:tc>
      </w:tr>
      <w:tr>
        <w:tblPrEx>
          <w:tblCellMar>
            <w:top w:w="0" w:type="dxa"/>
            <w:left w:w="108" w:type="dxa"/>
            <w:bottom w:w="0" w:type="dxa"/>
            <w:right w:w="108" w:type="dxa"/>
          </w:tblCellMar>
        </w:tblPrEx>
        <w:trPr>
          <w:trHeight w:val="1300" w:hRule="exact"/>
        </w:trPr>
        <w:tc>
          <w:tcPr>
            <w:tcW w:w="5000" w:type="pct"/>
            <w:gridSpan w:val="7"/>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总计：大写人民币</w:t>
            </w:r>
            <w:r>
              <w:rPr>
                <w:rFonts w:hint="eastAsia" w:ascii="宋体" w:hAnsi="宋体" w:cs="宋体"/>
                <w:color w:val="000000" w:themeColor="text1"/>
                <w:kern w:val="0"/>
                <w:sz w:val="24"/>
                <w:szCs w:val="28"/>
                <w:u w:val="single"/>
                <w14:textFill>
                  <w14:solidFill>
                    <w14:schemeClr w14:val="tx1"/>
                  </w14:solidFill>
                </w14:textFill>
              </w:rPr>
              <w:t xml:space="preserve">       元整</w:t>
            </w:r>
            <w:r>
              <w:rPr>
                <w:rFonts w:hint="eastAsia" w:ascii="宋体" w:hAnsi="宋体" w:cs="宋体"/>
                <w:color w:val="000000" w:themeColor="text1"/>
                <w:sz w:val="24"/>
                <w:szCs w:val="28"/>
                <w14:textFill>
                  <w14:solidFill>
                    <w14:schemeClr w14:val="tx1"/>
                  </w14:solidFill>
                </w14:textFill>
              </w:rPr>
              <w:t>，小写</w:t>
            </w:r>
            <w:r>
              <w:rPr>
                <w:rFonts w:ascii="宋体" w:hAnsi="宋体" w:cs="Calibri"/>
                <w:color w:val="000000" w:themeColor="text1"/>
                <w:sz w:val="24"/>
                <w:szCs w:val="28"/>
                <w:u w:val="single"/>
                <w14:textFill>
                  <w14:solidFill>
                    <w14:schemeClr w14:val="tx1"/>
                  </w14:solidFill>
                </w14:textFill>
              </w:rPr>
              <w:t>¥</w:t>
            </w:r>
            <w:r>
              <w:rPr>
                <w:rFonts w:hint="eastAsia" w:ascii="宋体" w:hAnsi="宋体" w:cs="宋体"/>
                <w:color w:val="000000" w:themeColor="text1"/>
                <w:kern w:val="0"/>
                <w:sz w:val="24"/>
                <w:szCs w:val="28"/>
                <w:u w:val="single"/>
                <w14:textFill>
                  <w14:solidFill>
                    <w14:schemeClr w14:val="tx1"/>
                  </w14:solidFill>
                </w14:textFill>
              </w:rPr>
              <w:t xml:space="preserve">     </w:t>
            </w:r>
            <w:r>
              <w:rPr>
                <w:rFonts w:hint="eastAsia" w:ascii="宋体" w:hAnsi="宋体" w:cs="宋体"/>
                <w:color w:val="000000" w:themeColor="text1"/>
                <w:kern w:val="0"/>
                <w:sz w:val="24"/>
                <w:szCs w:val="28"/>
                <w14:textFill>
                  <w14:solidFill>
                    <w14:schemeClr w14:val="tx1"/>
                  </w14:solidFill>
                </w14:textFill>
              </w:rPr>
              <w:t>元</w:t>
            </w:r>
            <w:r>
              <w:rPr>
                <w:rFonts w:hint="eastAsia" w:ascii="宋体" w:hAnsi="宋体" w:cs="宋体"/>
                <w:color w:val="000000" w:themeColor="text1"/>
                <w:sz w:val="24"/>
                <w:szCs w:val="28"/>
                <w14:textFill>
                  <w14:solidFill>
                    <w14:schemeClr w14:val="tx1"/>
                  </w14:solidFill>
                </w14:textFill>
              </w:rPr>
              <w:t>（包括但不限于</w:t>
            </w:r>
            <w:r>
              <w:rPr>
                <w:rFonts w:hint="eastAsia" w:ascii="宋体" w:hAnsi="宋体" w:cs="宋体"/>
                <w:bCs/>
                <w:color w:val="000000" w:themeColor="text1"/>
                <w:sz w:val="24"/>
                <w:szCs w:val="24"/>
                <w14:textFill>
                  <w14:solidFill>
                    <w14:schemeClr w14:val="tx1"/>
                  </w14:solidFill>
                </w14:textFill>
              </w:rPr>
              <w:t>运费、装卸费及税</w:t>
            </w:r>
            <w:r>
              <w:rPr>
                <w:rFonts w:hint="eastAsia" w:ascii="宋体" w:hAnsi="宋体" w:cs="宋体"/>
                <w:color w:val="000000" w:themeColor="text1"/>
                <w:sz w:val="24"/>
                <w:szCs w:val="28"/>
                <w14:textFill>
                  <w14:solidFill>
                    <w14:schemeClr w14:val="tx1"/>
                  </w14:solidFill>
                </w14:textFill>
              </w:rPr>
              <w:t>费等所有相关费用）</w:t>
            </w:r>
          </w:p>
        </w:tc>
      </w:tr>
    </w:tbl>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二、报价币种、合同总价</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1、本合同总金额为</w:t>
      </w:r>
      <w:r>
        <w:rPr>
          <w:rFonts w:ascii="宋体" w:hAnsi="宋体" w:cs="Calibri"/>
          <w:color w:val="000000" w:themeColor="text1"/>
          <w:sz w:val="24"/>
          <w:szCs w:val="28"/>
          <w:u w:val="single"/>
          <w14:textFill>
            <w14:solidFill>
              <w14:schemeClr w14:val="tx1"/>
            </w14:solidFill>
          </w14:textFill>
        </w:rPr>
        <w:t>¥</w:t>
      </w:r>
      <w:r>
        <w:rPr>
          <w:rFonts w:hint="eastAsia" w:ascii="宋体" w:hAnsi="宋体" w:cs="宋体"/>
          <w:color w:val="000000" w:themeColor="text1"/>
          <w:sz w:val="24"/>
          <w:szCs w:val="28"/>
          <w:u w:val="single"/>
          <w14:textFill>
            <w14:solidFill>
              <w14:schemeClr w14:val="tx1"/>
            </w14:solidFill>
          </w14:textFill>
        </w:rPr>
        <w:t xml:space="preserve">    </w:t>
      </w:r>
      <w:r>
        <w:rPr>
          <w:rFonts w:hint="eastAsia" w:ascii="宋体" w:hAnsi="宋体" w:cs="宋体"/>
          <w:color w:val="000000" w:themeColor="text1"/>
          <w:sz w:val="24"/>
          <w:szCs w:val="28"/>
          <w14:textFill>
            <w14:solidFill>
              <w14:schemeClr w14:val="tx1"/>
            </w14:solidFill>
          </w14:textFill>
        </w:rPr>
        <w:t>元，大写人民币</w:t>
      </w:r>
      <w:r>
        <w:rPr>
          <w:rFonts w:hint="eastAsia" w:ascii="宋体" w:hAnsi="宋体" w:cs="宋体"/>
          <w:color w:val="000000" w:themeColor="text1"/>
          <w:kern w:val="0"/>
          <w:sz w:val="24"/>
          <w:szCs w:val="28"/>
          <w:u w:val="single"/>
          <w14:textFill>
            <w14:solidFill>
              <w14:schemeClr w14:val="tx1"/>
            </w14:solidFill>
          </w14:textFill>
        </w:rPr>
        <w:t xml:space="preserve">       </w:t>
      </w:r>
      <w:r>
        <w:rPr>
          <w:rFonts w:hint="eastAsia" w:ascii="宋体" w:hAnsi="宋体" w:cs="宋体"/>
          <w:color w:val="000000" w:themeColor="text1"/>
          <w:kern w:val="0"/>
          <w:sz w:val="24"/>
          <w:szCs w:val="28"/>
          <w14:textFill>
            <w14:solidFill>
              <w14:schemeClr w14:val="tx1"/>
            </w14:solidFill>
          </w14:textFill>
        </w:rPr>
        <w:t>元整</w:t>
      </w:r>
      <w:r>
        <w:rPr>
          <w:rFonts w:hint="eastAsia" w:ascii="宋体" w:hAnsi="宋体" w:cs="宋体"/>
          <w:color w:val="000000" w:themeColor="text1"/>
          <w:sz w:val="24"/>
          <w:szCs w:val="28"/>
          <w14:textFill>
            <w14:solidFill>
              <w14:schemeClr w14:val="tx1"/>
            </w14:solidFill>
          </w14:textFill>
        </w:rPr>
        <w:t>，含税及</w:t>
      </w:r>
      <w:r>
        <w:rPr>
          <w:rFonts w:hint="eastAsia" w:ascii="宋体" w:hAnsi="宋体" w:cs="宋体"/>
          <w:bCs/>
          <w:color w:val="000000" w:themeColor="text1"/>
          <w:sz w:val="24"/>
          <w:szCs w:val="24"/>
          <w14:textFill>
            <w14:solidFill>
              <w14:schemeClr w14:val="tx1"/>
            </w14:solidFill>
          </w14:textFill>
        </w:rPr>
        <w:t>运费、装卸费</w:t>
      </w:r>
      <w:r>
        <w:rPr>
          <w:rFonts w:hint="eastAsia" w:ascii="宋体" w:hAnsi="宋体" w:cs="宋体"/>
          <w:color w:val="000000" w:themeColor="text1"/>
          <w:sz w:val="24"/>
          <w:szCs w:val="28"/>
          <w14:textFill>
            <w14:solidFill>
              <w14:schemeClr w14:val="tx1"/>
            </w14:solidFill>
          </w14:textFill>
        </w:rPr>
        <w:t>等所有相关费用。</w:t>
      </w:r>
    </w:p>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三、付款方式</w:t>
      </w:r>
    </w:p>
    <w:p>
      <w:pPr>
        <w:spacing w:line="360" w:lineRule="auto"/>
        <w:ind w:firstLine="480" w:firstLineChars="200"/>
        <w:rPr>
          <w:rFonts w:ascii="宋体" w:hAnsi="宋体" w:cs="宋体"/>
          <w:b/>
          <w:color w:val="000000" w:themeColor="text1"/>
          <w:kern w:val="0"/>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货款支付办法：明确支付的时间与方式：月结，附发票。</w:t>
      </w:r>
    </w:p>
    <w:p>
      <w:pPr>
        <w:spacing w:line="360" w:lineRule="auto"/>
        <w:ind w:firstLine="482" w:firstLineChars="200"/>
        <w:rPr>
          <w:rFonts w:ascii="宋体" w:hAnsi="宋体" w:cs="宋体"/>
          <w:b/>
          <w:color w:val="000000" w:themeColor="text1"/>
          <w:kern w:val="0"/>
          <w:sz w:val="24"/>
          <w:szCs w:val="28"/>
          <w14:textFill>
            <w14:solidFill>
              <w14:schemeClr w14:val="tx1"/>
            </w14:solidFill>
          </w14:textFill>
        </w:rPr>
      </w:pPr>
      <w:r>
        <w:rPr>
          <w:rFonts w:hint="eastAsia" w:ascii="宋体" w:hAnsi="宋体" w:cs="宋体"/>
          <w:b/>
          <w:color w:val="000000" w:themeColor="text1"/>
          <w:kern w:val="0"/>
          <w:sz w:val="24"/>
          <w:szCs w:val="28"/>
          <w14:textFill>
            <w14:solidFill>
              <w14:schemeClr w14:val="tx1"/>
            </w14:solidFill>
          </w14:textFill>
        </w:rPr>
        <w:t>乙方账户信息如下：</w:t>
      </w:r>
    </w:p>
    <w:p>
      <w:pPr>
        <w:spacing w:line="360" w:lineRule="auto"/>
        <w:ind w:firstLine="482" w:firstLineChars="200"/>
        <w:rPr>
          <w:rFonts w:ascii="宋体" w:hAnsi="宋体" w:cs="宋体"/>
          <w:b/>
          <w:color w:val="000000" w:themeColor="text1"/>
          <w:kern w:val="0"/>
          <w:sz w:val="24"/>
          <w:szCs w:val="28"/>
          <w:u w:val="single"/>
          <w14:textFill>
            <w14:solidFill>
              <w14:schemeClr w14:val="tx1"/>
            </w14:solidFill>
          </w14:textFill>
        </w:rPr>
      </w:pPr>
      <w:r>
        <w:rPr>
          <w:rFonts w:hint="eastAsia" w:ascii="宋体" w:hAnsi="宋体" w:cs="宋体"/>
          <w:b/>
          <w:color w:val="000000" w:themeColor="text1"/>
          <w:kern w:val="0"/>
          <w:sz w:val="24"/>
          <w:szCs w:val="28"/>
          <w14:textFill>
            <w14:solidFill>
              <w14:schemeClr w14:val="tx1"/>
            </w14:solidFill>
          </w14:textFill>
        </w:rPr>
        <w:t>开户名称：</w:t>
      </w:r>
      <w:r>
        <w:rPr>
          <w:rFonts w:hint="eastAsia" w:ascii="宋体" w:hAnsi="宋体" w:cs="宋体"/>
          <w:b/>
          <w:color w:val="000000" w:themeColor="text1"/>
          <w:kern w:val="0"/>
          <w:sz w:val="24"/>
          <w:szCs w:val="28"/>
          <w:u w:val="single"/>
          <w14:textFill>
            <w14:solidFill>
              <w14:schemeClr w14:val="tx1"/>
            </w14:solidFill>
          </w14:textFill>
        </w:rPr>
        <w:t xml:space="preserve">                              </w:t>
      </w:r>
    </w:p>
    <w:p>
      <w:pPr>
        <w:spacing w:line="360" w:lineRule="auto"/>
        <w:ind w:firstLine="482" w:firstLineChars="200"/>
        <w:rPr>
          <w:rFonts w:ascii="宋体" w:hAnsi="宋体" w:cs="宋体"/>
          <w:b/>
          <w:color w:val="000000" w:themeColor="text1"/>
          <w:kern w:val="0"/>
          <w:sz w:val="24"/>
          <w:szCs w:val="28"/>
          <w:u w:val="single"/>
          <w14:textFill>
            <w14:solidFill>
              <w14:schemeClr w14:val="tx1"/>
            </w14:solidFill>
          </w14:textFill>
        </w:rPr>
      </w:pPr>
      <w:r>
        <w:rPr>
          <w:rFonts w:hint="eastAsia" w:ascii="宋体" w:hAnsi="宋体" w:cs="宋体"/>
          <w:b/>
          <w:color w:val="000000" w:themeColor="text1"/>
          <w:kern w:val="0"/>
          <w:sz w:val="24"/>
          <w:szCs w:val="28"/>
          <w14:textFill>
            <w14:solidFill>
              <w14:schemeClr w14:val="tx1"/>
            </w14:solidFill>
          </w14:textFill>
        </w:rPr>
        <w:t>账    号：</w:t>
      </w:r>
      <w:r>
        <w:rPr>
          <w:rFonts w:hint="eastAsia" w:ascii="宋体" w:hAnsi="宋体" w:cs="宋体"/>
          <w:b/>
          <w:color w:val="000000" w:themeColor="text1"/>
          <w:kern w:val="0"/>
          <w:sz w:val="24"/>
          <w:szCs w:val="28"/>
          <w:u w:val="single"/>
          <w14:textFill>
            <w14:solidFill>
              <w14:schemeClr w14:val="tx1"/>
            </w14:solidFill>
          </w14:textFill>
        </w:rPr>
        <w:t xml:space="preserve">                             </w:t>
      </w:r>
    </w:p>
    <w:p>
      <w:pPr>
        <w:spacing w:line="360" w:lineRule="auto"/>
        <w:ind w:firstLine="482" w:firstLineChars="200"/>
        <w:rPr>
          <w:rFonts w:ascii="宋体" w:hAnsi="宋体" w:cs="宋体"/>
          <w:b/>
          <w:color w:val="000000" w:themeColor="text1"/>
          <w:kern w:val="0"/>
          <w:sz w:val="24"/>
          <w:szCs w:val="28"/>
          <w:u w:val="single"/>
          <w14:textFill>
            <w14:solidFill>
              <w14:schemeClr w14:val="tx1"/>
            </w14:solidFill>
          </w14:textFill>
        </w:rPr>
      </w:pPr>
      <w:r>
        <w:rPr>
          <w:rFonts w:hint="eastAsia" w:ascii="宋体" w:hAnsi="宋体" w:cs="宋体"/>
          <w:b/>
          <w:color w:val="000000" w:themeColor="text1"/>
          <w:kern w:val="0"/>
          <w:sz w:val="24"/>
          <w:szCs w:val="28"/>
          <w14:textFill>
            <w14:solidFill>
              <w14:schemeClr w14:val="tx1"/>
            </w14:solidFill>
          </w14:textFill>
        </w:rPr>
        <w:t>开 户 行：</w:t>
      </w:r>
      <w:r>
        <w:rPr>
          <w:rFonts w:hint="eastAsia" w:ascii="宋体" w:hAnsi="宋体" w:cs="宋体"/>
          <w:b/>
          <w:color w:val="000000" w:themeColor="text1"/>
          <w:kern w:val="0"/>
          <w:sz w:val="24"/>
          <w:szCs w:val="28"/>
          <w:u w:val="single"/>
          <w14:textFill>
            <w14:solidFill>
              <w14:schemeClr w14:val="tx1"/>
            </w14:solidFill>
          </w14:textFill>
        </w:rPr>
        <w:t xml:space="preserve">                              </w:t>
      </w:r>
    </w:p>
    <w:p>
      <w:pPr>
        <w:spacing w:line="360" w:lineRule="auto"/>
        <w:ind w:firstLine="480" w:firstLineChars="200"/>
        <w:rPr>
          <w:rFonts w:ascii="宋体" w:hAnsi="宋体" w:cs="宋体"/>
          <w:b/>
          <w:color w:val="000000" w:themeColor="text1"/>
          <w:kern w:val="0"/>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2. 本合同约定价款为含税价，乙方应在甲方付款前提供符合甲方财务做账需求的等额增值税专用发票，否则甲方有权拒付款项且不承担违约责任。</w:t>
      </w:r>
    </w:p>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四、交货地点、时间</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w:t>
      </w:r>
    </w:p>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五、货物质量验收办法，质保期要求：</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货物送达指定地点后，由食堂经理、库管清点验收，做出入库登记。并查验保质期。</w:t>
      </w:r>
    </w:p>
    <w:p>
      <w:pPr>
        <w:numPr>
          <w:ilvl w:val="0"/>
          <w:numId w:val="4"/>
        </w:num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 xml:space="preserve">质量要求: </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必须达到国家IS0900标准。</w:t>
      </w:r>
    </w:p>
    <w:p>
      <w:pPr>
        <w:numPr>
          <w:ilvl w:val="0"/>
          <w:numId w:val="4"/>
        </w:num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技术指标、服务内容：</w:t>
      </w:r>
    </w:p>
    <w:p>
      <w:pPr>
        <w:spacing w:line="360" w:lineRule="auto"/>
        <w:ind w:firstLine="480" w:firstLineChars="200"/>
        <w:rPr>
          <w:rFonts w:ascii="宋体" w:hAnsi="宋体" w:cs="宋体"/>
          <w:bCs/>
          <w:color w:val="000000" w:themeColor="text1"/>
          <w:sz w:val="24"/>
          <w:szCs w:val="28"/>
          <w14:textFill>
            <w14:solidFill>
              <w14:schemeClr w14:val="tx1"/>
            </w14:solidFill>
          </w14:textFill>
        </w:rPr>
      </w:pPr>
      <w:r>
        <w:rPr>
          <w:rFonts w:hint="eastAsia" w:ascii="宋体" w:hAnsi="宋体" w:cs="宋体"/>
          <w:bCs/>
          <w:color w:val="000000" w:themeColor="text1"/>
          <w:sz w:val="24"/>
          <w:szCs w:val="28"/>
          <w14:textFill>
            <w14:solidFill>
              <w14:schemeClr w14:val="tx1"/>
            </w14:solidFill>
          </w14:textFill>
        </w:rPr>
        <w:t>质量符合国家食品卫生安全检疫标准，提供合格产品，并提供相应有效的生产经营许可证、卫生许可证、检疫报告、税务登记证等相关证照。</w:t>
      </w:r>
    </w:p>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八、甲、乙双方的权利及义务</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1、若甲方对订购的设备有任何更改，包括设备的型号、品种、规格、数量、颜色、交货期等事宜，应书面通知乙方，交货期从变更之日起顺延。若乙方接到通知后不予更改，由此造成的甲方损失，由乙方承担。</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2、若乙方在交货时，由于甲方的原因或要求，不能及时将设备送达指定地点和验收时，则乙方可按甲方要求延期交货，甲方向乙方出具书面确认书。</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3、若甲方在验收后的质量保证期内，发现设备内有部分出现质量问题，应及时通知乙方，若需要更换时，乙方应在接到通知后10天内给予更换。</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4、乙方须按合同要求提供质量合格的设备，如期交付至甲方指定的交货地点。合同标的物需安装调试的，乙方提供免费的安装调试。</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5、乙方对售予甲方的设备提供的质量保证期的质量保证范围，不包括意外事件、不可抗力原因及甲方的违规使用。</w:t>
      </w:r>
    </w:p>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九、合同变更、违约及其它</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合同的变更需甲、乙双方协商一致签订补充协议，并由法定代表人或授权代理人签字（盖章）且加盖单位公章后立即生效。补充协议与本合同具有同等法律效力，补充协议与本合同内容不一致的，以补充协议为准。</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2、乙方必须在本合同规定的时间内按时交货，否则由乙方负责承担全部责任。乙方逾期交货的，按日承担合同总额千分之五的违约金；逾期交货超过【 15 】天的，甲方有权单方解除合同，乙方除退还货款外还应当另行承担合同总额【 20】%的违约金。</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3、乙方应严格按甲方规定的货物名称、品种名称、数量和质量提供相应的产品。乙方提供的产品不符合合同约定的，甲方有权选择要求乙方重新供货或单方解除合同。甲方选择要求重新供货的，乙方逾期送达的，按照本条上一款承担违约责任；甲方选择单方解除合同的，乙方除退还货款外还应当另行承担合同总额【20】%的违约金。合同生效后，乙方中途废止合同（不可抗力原因除外），应按给甲方造成的损失向甲方支付赔偿金，并向甲方支付合同总金额20%的违约金；甲方中途废止合同（不可抗力原因除外），应按实际损失向乙方支付赔偿金，向乙方支付合同总金额10%的违约金。</w:t>
      </w:r>
    </w:p>
    <w:p>
      <w:pPr>
        <w:pStyle w:val="59"/>
        <w:spacing w:line="360" w:lineRule="auto"/>
        <w:ind w:firstLine="480" w:firstLineChars="200"/>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4、除不可抗力及乙方违约外，如果甲方没有按照本合同约定的付款方式付款，应事先告知乙方，并征得乙方同意，否则甲方应向乙方支付违约金，每迟延付款一日，违约金就应付未付款按全国银行间同业拆借中心公布的贷款市场报价利率计算</w:t>
      </w:r>
      <w:r>
        <w:rPr>
          <w:rFonts w:ascii="宋体" w:hAnsi="宋体" w:cs="宋体"/>
          <w:color w:val="000000" w:themeColor="text1"/>
          <w:szCs w:val="28"/>
          <w14:textFill>
            <w14:solidFill>
              <w14:schemeClr w14:val="tx1"/>
            </w14:solidFill>
          </w14:textFill>
        </w:rPr>
        <w:t>，</w:t>
      </w:r>
      <w:r>
        <w:rPr>
          <w:rFonts w:ascii="宋体" w:hAnsi="宋体" w:cs="宋体"/>
          <w:color w:val="000000" w:themeColor="text1"/>
          <w14:textFill>
            <w14:solidFill>
              <w14:schemeClr w14:val="tx1"/>
            </w14:solidFill>
          </w14:textFill>
        </w:rPr>
        <w:t>违约金数额不得超过应付未付金额的10%</w:t>
      </w:r>
      <w:r>
        <w:rPr>
          <w:rFonts w:hint="eastAsia" w:ascii="宋体" w:hAnsi="宋体" w:cs="宋体"/>
          <w:color w:val="000000" w:themeColor="text1"/>
          <w:szCs w:val="28"/>
          <w14:textFill>
            <w14:solidFill>
              <w14:schemeClr w14:val="tx1"/>
            </w14:solidFill>
          </w14:textFill>
        </w:rPr>
        <w:t>。</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5、合同文本不得涂改，如需修改应在合同附件中注明。经甲、乙双方协商达成一致修改意见，需经甲、乙双方代表共同签署此附件，方能生效。</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6、</w:t>
      </w:r>
      <w:r>
        <w:rPr>
          <w:rFonts w:hint="eastAsia" w:ascii="宋体" w:hAnsi="宋体" w:cs="宋体"/>
          <w:color w:val="000000" w:themeColor="text1"/>
          <w:sz w:val="24"/>
          <w14:textFill>
            <w14:solidFill>
              <w14:schemeClr w14:val="tx1"/>
            </w14:solidFill>
          </w14:textFill>
        </w:rPr>
        <w:t>招标文件、投标文件、询价文件、报价文件及谈判会议上的答疑记录等均作为合同的附件，是本合同不可分割的组成部分，均与本合同具有同等法律效力，本合同未述及和不详之处，以附件为准。</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7、合同经甲、乙双方法定代表人或授权代理人签字（盖章）并加盖单位公章后立即生效。</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8、甲、乙双方发生争议时，应先协商解决，经协商不能达成协议时，任何一方均可向</w:t>
      </w:r>
      <w:r>
        <w:rPr>
          <w:rFonts w:hint="eastAsia" w:ascii="宋体" w:hAnsi="宋体" w:cs="宋体"/>
          <w:color w:val="000000" w:themeColor="text1"/>
          <w:sz w:val="24"/>
          <w:szCs w:val="28"/>
          <w:u w:val="single"/>
          <w14:textFill>
            <w14:solidFill>
              <w14:schemeClr w14:val="tx1"/>
            </w14:solidFill>
          </w14:textFill>
        </w:rPr>
        <w:t>甲方所在地</w:t>
      </w:r>
      <w:r>
        <w:rPr>
          <w:rFonts w:hint="eastAsia" w:ascii="宋体" w:hAnsi="宋体" w:cs="宋体"/>
          <w:color w:val="000000" w:themeColor="text1"/>
          <w:sz w:val="24"/>
          <w:szCs w:val="28"/>
          <w14:textFill>
            <w14:solidFill>
              <w14:schemeClr w14:val="tx1"/>
            </w14:solidFill>
          </w14:textFill>
        </w:rPr>
        <w:t>人民法院提起诉讼。</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9、合同一式陆份，甲方执叁份，乙方执叁份。</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10、货物送达指定地点后，由食堂经理、库管清点验收，做出入库登记。并查验保质期。</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11、一方违约，还应赔偿守约方因此遭受的其他损失，包括为主张权益所支付的律师费、交通费、公证费、鉴定费、评估费等全部费用。</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12、乙方违约的，甲方有权将相应违约金从应给乙方支付的货款中直接予以扣除。</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13、本合同尾部载明的双方地址、电话等信息，系双方有效联系方式，如发生变更，应提前书面通知另一方，否则依该联系方式送达相关文书的，视为送达成功。</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14、本协议中所载的书面通知方式仅指当事人亲自送达、挂号信、EMS方式。一方采取当事人亲自送达方式的，另一方有积极配合签收的义务。如一方拒绝签收而使另一方变更送达方式的，由此所生的费用应当由违约方承担；如以EMS或快递方式寄送的，如无相反证据证明，自寄送之日起的第三日为送达之日。</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15、未经另外一方的事先书面同意，任何一方均不得向第三方或其关联企业转让本协议项下的权利义务。</w:t>
      </w:r>
    </w:p>
    <w:p>
      <w:pPr>
        <w:rPr>
          <w:rFonts w:ascii="宋体" w:hAnsi="宋体"/>
          <w:color w:val="000000" w:themeColor="text1"/>
          <w14:textFill>
            <w14:solidFill>
              <w14:schemeClr w14:val="tx1"/>
            </w14:solidFill>
          </w14:textFill>
        </w:rPr>
      </w:pPr>
    </w:p>
    <w:tbl>
      <w:tblPr>
        <w:tblStyle w:val="39"/>
        <w:tblW w:w="5000" w:type="pct"/>
        <w:jc w:val="center"/>
        <w:tblLayout w:type="autofit"/>
        <w:tblCellMar>
          <w:top w:w="0" w:type="dxa"/>
          <w:left w:w="108" w:type="dxa"/>
          <w:bottom w:w="0" w:type="dxa"/>
          <w:right w:w="108" w:type="dxa"/>
        </w:tblCellMar>
      </w:tblPr>
      <w:tblGrid>
        <w:gridCol w:w="1426"/>
        <w:gridCol w:w="2951"/>
        <w:gridCol w:w="1578"/>
        <w:gridCol w:w="3933"/>
      </w:tblGrid>
      <w:tr>
        <w:tblPrEx>
          <w:tblCellMar>
            <w:top w:w="0" w:type="dxa"/>
            <w:left w:w="108" w:type="dxa"/>
            <w:bottom w:w="0" w:type="dxa"/>
            <w:right w:w="108" w:type="dxa"/>
          </w:tblCellMar>
        </w:tblPrEx>
        <w:trPr>
          <w:trHeight w:val="590" w:hRule="atLeast"/>
          <w:jc w:val="center"/>
        </w:trPr>
        <w:tc>
          <w:tcPr>
            <w:tcW w:w="721" w:type="pct"/>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甲方：</w:t>
            </w:r>
          </w:p>
        </w:tc>
        <w:tc>
          <w:tcPr>
            <w:tcW w:w="1492" w:type="pct"/>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c>
          <w:tcPr>
            <w:tcW w:w="798" w:type="pct"/>
            <w:vAlign w:val="center"/>
          </w:tcPr>
          <w:p>
            <w:pPr>
              <w:pStyle w:val="59"/>
              <w:spacing w:line="360" w:lineRule="auto"/>
              <w:jc w:val="distribute"/>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乙方:</w:t>
            </w:r>
          </w:p>
        </w:tc>
        <w:tc>
          <w:tcPr>
            <w:tcW w:w="1989" w:type="pct"/>
            <w:vAlign w:val="center"/>
          </w:tcPr>
          <w:p>
            <w:pPr>
              <w:pStyle w:val="59"/>
              <w:spacing w:line="360" w:lineRule="auto"/>
              <w:rPr>
                <w:rFonts w:ascii="宋体" w:hAnsi="宋体" w:cs="宋体"/>
                <w:color w:val="000000" w:themeColor="text1"/>
                <w:szCs w:val="28"/>
                <w14:textFill>
                  <w14:solidFill>
                    <w14:schemeClr w14:val="tx1"/>
                  </w14:solidFill>
                </w14:textFill>
              </w:rPr>
            </w:pPr>
          </w:p>
        </w:tc>
      </w:tr>
      <w:tr>
        <w:tblPrEx>
          <w:tblCellMar>
            <w:top w:w="0" w:type="dxa"/>
            <w:left w:w="108" w:type="dxa"/>
            <w:bottom w:w="0" w:type="dxa"/>
            <w:right w:w="108" w:type="dxa"/>
          </w:tblCellMar>
        </w:tblPrEx>
        <w:trPr>
          <w:jc w:val="center"/>
        </w:trPr>
        <w:tc>
          <w:tcPr>
            <w:tcW w:w="721" w:type="pct"/>
            <w:vAlign w:val="center"/>
          </w:tcPr>
          <w:p>
            <w:pPr>
              <w:pStyle w:val="59"/>
              <w:spacing w:line="360" w:lineRule="auto"/>
              <w:jc w:val="distribute"/>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单位名称：</w:t>
            </w:r>
          </w:p>
        </w:tc>
        <w:tc>
          <w:tcPr>
            <w:tcW w:w="1492" w:type="pct"/>
            <w:vAlign w:val="center"/>
          </w:tcPr>
          <w:p>
            <w:pPr>
              <w:pStyle w:val="59"/>
              <w:spacing w:line="360" w:lineRule="auto"/>
              <w:ind w:right="-260" w:rightChars="-124"/>
              <w:rPr>
                <w:rFonts w:ascii="宋体" w:hAnsi="宋体" w:cs="宋体"/>
                <w:color w:val="000000" w:themeColor="text1"/>
                <w:szCs w:val="28"/>
                <w14:textFill>
                  <w14:solidFill>
                    <w14:schemeClr w14:val="tx1"/>
                  </w14:solidFill>
                </w14:textFill>
              </w:rPr>
            </w:pPr>
          </w:p>
        </w:tc>
        <w:tc>
          <w:tcPr>
            <w:tcW w:w="798" w:type="pct"/>
            <w:vAlign w:val="center"/>
          </w:tcPr>
          <w:p>
            <w:pPr>
              <w:pStyle w:val="59"/>
              <w:spacing w:line="360" w:lineRule="auto"/>
              <w:jc w:val="distribute"/>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单位名称: </w:t>
            </w:r>
          </w:p>
        </w:tc>
        <w:tc>
          <w:tcPr>
            <w:tcW w:w="1989" w:type="pct"/>
            <w:vAlign w:val="center"/>
          </w:tcPr>
          <w:p>
            <w:pPr>
              <w:pStyle w:val="59"/>
              <w:spacing w:line="360" w:lineRule="auto"/>
              <w:ind w:right="-260" w:rightChars="-124"/>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59"/>
              <w:spacing w:line="360" w:lineRule="auto"/>
              <w:jc w:val="distribute"/>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公章：</w:t>
            </w:r>
          </w:p>
        </w:tc>
        <w:tc>
          <w:tcPr>
            <w:tcW w:w="1492" w:type="pct"/>
            <w:vAlign w:val="center"/>
          </w:tcPr>
          <w:p>
            <w:pPr>
              <w:pStyle w:val="59"/>
              <w:spacing w:line="360" w:lineRule="auto"/>
              <w:rPr>
                <w:rFonts w:ascii="宋体" w:hAnsi="宋体" w:cs="宋体"/>
                <w:color w:val="000000" w:themeColor="text1"/>
                <w:szCs w:val="28"/>
                <w14:textFill>
                  <w14:solidFill>
                    <w14:schemeClr w14:val="tx1"/>
                  </w14:solidFill>
                </w14:textFill>
              </w:rPr>
            </w:pPr>
          </w:p>
        </w:tc>
        <w:tc>
          <w:tcPr>
            <w:tcW w:w="798" w:type="pct"/>
            <w:vAlign w:val="center"/>
          </w:tcPr>
          <w:p>
            <w:pPr>
              <w:pStyle w:val="59"/>
              <w:spacing w:line="360" w:lineRule="auto"/>
              <w:jc w:val="distribute"/>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公章:</w:t>
            </w:r>
          </w:p>
        </w:tc>
        <w:tc>
          <w:tcPr>
            <w:tcW w:w="1989" w:type="pct"/>
            <w:vAlign w:val="center"/>
          </w:tcPr>
          <w:p>
            <w:pPr>
              <w:pStyle w:val="59"/>
              <w:spacing w:line="360" w:lineRule="auto"/>
              <w:rPr>
                <w:rFonts w:ascii="宋体" w:hAnsi="宋体" w:cs="宋体"/>
                <w:color w:val="000000" w:themeColor="text1"/>
                <w:szCs w:val="28"/>
                <w14:textFill>
                  <w14:solidFill>
                    <w14:schemeClr w14:val="tx1"/>
                  </w14:solidFill>
                </w14:textFill>
              </w:rPr>
            </w:pPr>
          </w:p>
        </w:tc>
      </w:tr>
      <w:tr>
        <w:tblPrEx>
          <w:tblCellMar>
            <w:top w:w="0" w:type="dxa"/>
            <w:left w:w="108" w:type="dxa"/>
            <w:bottom w:w="0" w:type="dxa"/>
            <w:right w:w="108" w:type="dxa"/>
          </w:tblCellMar>
        </w:tblPrEx>
        <w:trPr>
          <w:jc w:val="center"/>
        </w:trPr>
        <w:tc>
          <w:tcPr>
            <w:tcW w:w="2213" w:type="pct"/>
            <w:gridSpan w:val="2"/>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法定代表人或授权代理人签字：</w:t>
            </w:r>
          </w:p>
        </w:tc>
        <w:tc>
          <w:tcPr>
            <w:tcW w:w="2787" w:type="pct"/>
            <w:gridSpan w:val="2"/>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法定代表人或授权代理人签字：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电话：</w:t>
            </w:r>
          </w:p>
        </w:tc>
        <w:tc>
          <w:tcPr>
            <w:tcW w:w="1492"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p>
        </w:tc>
        <w:tc>
          <w:tcPr>
            <w:tcW w:w="798"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电话:</w:t>
            </w:r>
          </w:p>
        </w:tc>
        <w:tc>
          <w:tcPr>
            <w:tcW w:w="1989" w:type="pct"/>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传真：</w:t>
            </w:r>
          </w:p>
        </w:tc>
        <w:tc>
          <w:tcPr>
            <w:tcW w:w="1492"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p>
        </w:tc>
        <w:tc>
          <w:tcPr>
            <w:tcW w:w="798"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传真:</w:t>
            </w:r>
          </w:p>
        </w:tc>
        <w:tc>
          <w:tcPr>
            <w:tcW w:w="1989" w:type="pct"/>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联系人：</w:t>
            </w:r>
          </w:p>
        </w:tc>
        <w:tc>
          <w:tcPr>
            <w:tcW w:w="1492"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  </w:t>
            </w:r>
          </w:p>
        </w:tc>
        <w:tc>
          <w:tcPr>
            <w:tcW w:w="798"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联系人: </w:t>
            </w:r>
          </w:p>
        </w:tc>
        <w:tc>
          <w:tcPr>
            <w:tcW w:w="1989" w:type="pct"/>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通讯地址:    </w:t>
            </w:r>
          </w:p>
        </w:tc>
        <w:tc>
          <w:tcPr>
            <w:tcW w:w="1492" w:type="pct"/>
            <w:vAlign w:val="center"/>
          </w:tcPr>
          <w:p>
            <w:pPr>
              <w:pStyle w:val="59"/>
              <w:spacing w:line="360" w:lineRule="auto"/>
              <w:rPr>
                <w:rFonts w:ascii="宋体" w:hAnsi="宋体" w:cs="宋体"/>
                <w:color w:val="000000" w:themeColor="text1"/>
                <w:szCs w:val="28"/>
                <w14:textFill>
                  <w14:solidFill>
                    <w14:schemeClr w14:val="tx1"/>
                  </w14:solidFill>
                </w14:textFill>
              </w:rPr>
            </w:pPr>
          </w:p>
        </w:tc>
        <w:tc>
          <w:tcPr>
            <w:tcW w:w="798"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通讯地址:</w:t>
            </w:r>
          </w:p>
        </w:tc>
        <w:tc>
          <w:tcPr>
            <w:tcW w:w="1989" w:type="pct"/>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开户银行:                  </w:t>
            </w:r>
          </w:p>
        </w:tc>
        <w:tc>
          <w:tcPr>
            <w:tcW w:w="1492" w:type="pct"/>
            <w:vAlign w:val="center"/>
          </w:tcPr>
          <w:p>
            <w:pPr>
              <w:pStyle w:val="59"/>
              <w:spacing w:line="360" w:lineRule="auto"/>
              <w:rPr>
                <w:rFonts w:ascii="宋体" w:hAnsi="宋体" w:cs="宋体"/>
                <w:color w:val="000000" w:themeColor="text1"/>
                <w:szCs w:val="28"/>
                <w14:textFill>
                  <w14:solidFill>
                    <w14:schemeClr w14:val="tx1"/>
                  </w14:solidFill>
                </w14:textFill>
              </w:rPr>
            </w:pPr>
          </w:p>
        </w:tc>
        <w:tc>
          <w:tcPr>
            <w:tcW w:w="798"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开户银行:</w:t>
            </w:r>
          </w:p>
        </w:tc>
        <w:tc>
          <w:tcPr>
            <w:tcW w:w="1989" w:type="pct"/>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帐  号：            </w:t>
            </w:r>
          </w:p>
        </w:tc>
        <w:tc>
          <w:tcPr>
            <w:tcW w:w="1492" w:type="pct"/>
            <w:vAlign w:val="center"/>
          </w:tcPr>
          <w:p>
            <w:pPr>
              <w:pStyle w:val="59"/>
              <w:spacing w:line="360" w:lineRule="auto"/>
              <w:rPr>
                <w:rFonts w:ascii="宋体" w:hAnsi="宋体" w:cs="宋体"/>
                <w:color w:val="000000" w:themeColor="text1"/>
                <w:szCs w:val="28"/>
                <w14:textFill>
                  <w14:solidFill>
                    <w14:schemeClr w14:val="tx1"/>
                  </w14:solidFill>
                </w14:textFill>
              </w:rPr>
            </w:pPr>
          </w:p>
        </w:tc>
        <w:tc>
          <w:tcPr>
            <w:tcW w:w="798"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帐    号：</w:t>
            </w:r>
          </w:p>
        </w:tc>
        <w:tc>
          <w:tcPr>
            <w:tcW w:w="1989" w:type="pct"/>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bl>
    <w:p>
      <w:pPr>
        <w:spacing w:line="360" w:lineRule="auto"/>
        <w:ind w:right="-105" w:firstLine="4320" w:firstLineChars="1800"/>
        <w:rPr>
          <w:rFonts w:ascii="宋体" w:hAnsi="宋体" w:cs="宋体"/>
          <w:color w:val="000000" w:themeColor="text1"/>
          <w:sz w:val="24"/>
          <w:szCs w:val="28"/>
          <w14:textFill>
            <w14:solidFill>
              <w14:schemeClr w14:val="tx1"/>
            </w14:solidFill>
          </w14:textFill>
        </w:rPr>
      </w:pPr>
      <w:bookmarkStart w:id="53" w:name="OLE_LINK1"/>
      <w:r>
        <w:rPr>
          <w:rFonts w:hint="eastAsia" w:ascii="宋体" w:hAnsi="宋体" w:cs="宋体"/>
          <w:color w:val="000000" w:themeColor="text1"/>
          <w:sz w:val="24"/>
          <w:szCs w:val="28"/>
          <w14:textFill>
            <w14:solidFill>
              <w14:schemeClr w14:val="tx1"/>
            </w14:solidFill>
          </w14:textFill>
        </w:rPr>
        <w:t>二〇      年    月    日</w:t>
      </w:r>
    </w:p>
    <w:p>
      <w:pPr>
        <w:pStyle w:val="19"/>
        <w:ind w:left="0"/>
        <w:rPr>
          <w:rFonts w:ascii="宋体" w:hAnsi="宋体"/>
          <w:color w:val="000000" w:themeColor="text1"/>
          <w14:textFill>
            <w14:solidFill>
              <w14:schemeClr w14:val="tx1"/>
            </w14:solidFill>
          </w14:textFill>
        </w:rPr>
      </w:pPr>
    </w:p>
    <w:bookmarkEnd w:id="53"/>
    <w:p>
      <w:pPr>
        <w:pStyle w:val="3"/>
        <w:spacing w:line="400" w:lineRule="exact"/>
        <w:ind w:left="0" w:firstLine="0"/>
        <w:rPr>
          <w:rFonts w:ascii="仿宋" w:hAnsi="仿宋" w:eastAsia="仿宋" w:cs="仿宋"/>
          <w:color w:val="000000" w:themeColor="text1"/>
          <w:sz w:val="24"/>
          <w:szCs w:val="24"/>
          <w14:textFill>
            <w14:solidFill>
              <w14:schemeClr w14:val="tx1"/>
            </w14:solidFill>
          </w14:textFill>
        </w:rPr>
      </w:pP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p>
    <w:p>
      <w:pPr>
        <w:pStyle w:val="19"/>
        <w:rPr>
          <w:color w:val="000000" w:themeColor="text1"/>
          <w14:textFill>
            <w14:solidFill>
              <w14:schemeClr w14:val="tx1"/>
            </w14:solidFill>
          </w14:textFill>
        </w:rPr>
      </w:pPr>
    </w:p>
    <w:p>
      <w:pPr>
        <w:pStyle w:val="3"/>
        <w:spacing w:line="400" w:lineRule="exact"/>
        <w:ind w:left="0" w:firstLine="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第五章  投标文件格式</w:t>
      </w:r>
    </w:p>
    <w:p>
      <w:pPr>
        <w:pStyle w:val="23"/>
        <w:adjustRightInd w:val="0"/>
        <w:snapToGrid w:val="0"/>
        <w:spacing w:line="360" w:lineRule="auto"/>
        <w:jc w:val="center"/>
        <w:rPr>
          <w:rFonts w:hAnsi="宋体" w:cs="宋体"/>
          <w:b/>
          <w:color w:val="000000" w:themeColor="text1"/>
          <w:sz w:val="32"/>
          <w:szCs w:val="32"/>
          <w14:textFill>
            <w14:solidFill>
              <w14:schemeClr w14:val="tx1"/>
            </w14:solidFill>
          </w14:textFill>
        </w:rPr>
      </w:pPr>
      <w:bookmarkStart w:id="54" w:name="_Toc25097_WPSOffice_Level1"/>
    </w:p>
    <w:p>
      <w:pPr>
        <w:pStyle w:val="23"/>
        <w:adjustRightInd w:val="0"/>
        <w:snapToGrid w:val="0"/>
        <w:spacing w:line="360" w:lineRule="auto"/>
        <w:jc w:val="center"/>
        <w:rPr>
          <w:rFonts w:hAnsi="宋体" w:cs="宋体"/>
          <w:b/>
          <w:color w:val="000000" w:themeColor="text1"/>
          <w:sz w:val="32"/>
          <w:szCs w:val="32"/>
          <w14:textFill>
            <w14:solidFill>
              <w14:schemeClr w14:val="tx1"/>
            </w14:solidFill>
          </w14:textFill>
        </w:rPr>
      </w:pPr>
      <w:r>
        <w:rPr>
          <w:rFonts w:hint="eastAsia" w:hAnsi="宋体" w:cs="宋体"/>
          <w:b/>
          <w:color w:val="000000" w:themeColor="text1"/>
          <w:sz w:val="32"/>
          <w:szCs w:val="32"/>
          <w14:textFill>
            <w14:solidFill>
              <w14:schemeClr w14:val="tx1"/>
            </w14:solidFill>
          </w14:textFill>
        </w:rPr>
        <w:t>开标一览表</w:t>
      </w:r>
      <w:bookmarkEnd w:id="54"/>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项目名称： </w:t>
      </w:r>
    </w:p>
    <w:p>
      <w:pPr>
        <w:pStyle w:val="23"/>
        <w:adjustRightInd w:val="0"/>
        <w:snapToGrid w:val="0"/>
        <w:spacing w:line="360" w:lineRule="auto"/>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项目编号： </w:t>
      </w:r>
    </w:p>
    <w:tbl>
      <w:tblPr>
        <w:tblStyle w:val="39"/>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330"/>
        <w:gridCol w:w="1542"/>
        <w:gridCol w:w="1372"/>
        <w:gridCol w:w="137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序号</w:t>
            </w:r>
          </w:p>
        </w:tc>
        <w:tc>
          <w:tcPr>
            <w:tcW w:w="1496"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货物名称</w:t>
            </w:r>
          </w:p>
        </w:tc>
        <w:tc>
          <w:tcPr>
            <w:tcW w:w="333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投标报价（总价）</w:t>
            </w:r>
          </w:p>
        </w:tc>
        <w:tc>
          <w:tcPr>
            <w:tcW w:w="154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color w:val="000000" w:themeColor="text1"/>
                <w:kern w:val="0"/>
                <w:sz w:val="22"/>
                <w:lang w:val="zh-CN"/>
                <w14:textFill>
                  <w14:solidFill>
                    <w14:schemeClr w14:val="tx1"/>
                  </w14:solidFill>
                </w14:textFill>
              </w:rPr>
              <w:t>合同履约期限</w:t>
            </w:r>
          </w:p>
        </w:tc>
        <w:tc>
          <w:tcPr>
            <w:tcW w:w="137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到库质保期</w:t>
            </w:r>
          </w:p>
        </w:tc>
        <w:tc>
          <w:tcPr>
            <w:tcW w:w="137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1</w:t>
            </w:r>
          </w:p>
        </w:tc>
        <w:tc>
          <w:tcPr>
            <w:tcW w:w="1496"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3330"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 xml:space="preserve">大写：       </w:t>
            </w:r>
            <w:r>
              <w:rPr>
                <w:rFonts w:hint="eastAsia" w:hAnsi="宋体" w:cs="宋体"/>
                <w:color w:val="000000" w:themeColor="text1"/>
                <w:sz w:val="24"/>
                <w:szCs w:val="24"/>
                <w14:textFill>
                  <w14:solidFill>
                    <w14:schemeClr w14:val="tx1"/>
                  </w14:solidFill>
                </w14:textFill>
              </w:rPr>
              <w:t>（元）</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 xml:space="preserve">小写：       </w:t>
            </w:r>
            <w:r>
              <w:rPr>
                <w:rFonts w:hint="eastAsia" w:hAnsi="宋体" w:cs="宋体"/>
                <w:color w:val="000000" w:themeColor="text1"/>
                <w:sz w:val="24"/>
                <w:szCs w:val="24"/>
                <w14:textFill>
                  <w14:solidFill>
                    <w14:schemeClr w14:val="tx1"/>
                  </w14:solidFill>
                </w14:textFill>
              </w:rPr>
              <w:t>（元）</w:t>
            </w:r>
          </w:p>
        </w:tc>
        <w:tc>
          <w:tcPr>
            <w:tcW w:w="154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137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137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bl>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注: 1、此表需密封后单独提交。</w:t>
      </w:r>
    </w:p>
    <w:p>
      <w:pPr>
        <w:pStyle w:val="23"/>
        <w:numPr>
          <w:ilvl w:val="0"/>
          <w:numId w:val="5"/>
        </w:numPr>
        <w:adjustRightInd w:val="0"/>
        <w:snapToGrid w:val="0"/>
        <w:spacing w:line="360" w:lineRule="auto"/>
        <w:rPr>
          <w:rFonts w:hAnsi="宋体" w:cs="宋体"/>
          <w:bCs/>
          <w:color w:val="000000" w:themeColor="text1"/>
          <w:sz w:val="22"/>
          <w14:textFill>
            <w14:solidFill>
              <w14:schemeClr w14:val="tx1"/>
            </w14:solidFill>
          </w14:textFill>
        </w:rPr>
      </w:pPr>
      <w:bookmarkStart w:id="55" w:name="_Toc17653_WPSOffice_Level1"/>
      <w:r>
        <w:rPr>
          <w:rFonts w:hint="eastAsia" w:hAnsi="宋体" w:cs="宋体"/>
          <w:bCs/>
          <w:color w:val="000000" w:themeColor="text1"/>
          <w:sz w:val="22"/>
          <w14:textFill>
            <w14:solidFill>
              <w14:schemeClr w14:val="tx1"/>
            </w14:solidFill>
          </w14:textFill>
        </w:rPr>
        <w:t>报价一经涂改，应在涂改处加盖单位公章或者由法定代表人或授权委托人签字或盖章，否则其投标作无效标处理。</w:t>
      </w:r>
      <w:bookmarkEnd w:id="55"/>
    </w:p>
    <w:p>
      <w:pPr>
        <w:pStyle w:val="23"/>
        <w:numPr>
          <w:ilvl w:val="0"/>
          <w:numId w:val="5"/>
        </w:numPr>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投标报价应与“分项价格表”中的“投标总价”相一致。</w:t>
      </w:r>
    </w:p>
    <w:p>
      <w:pPr>
        <w:pStyle w:val="23"/>
        <w:numPr>
          <w:ilvl w:val="0"/>
          <w:numId w:val="5"/>
        </w:numPr>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此投标报价仅作报价评审作用，最终中标以投标单价为准，最终结算以实际发生数量为准。</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投标人（盖单位章）：</w:t>
      </w:r>
    </w:p>
    <w:p>
      <w:pPr>
        <w:pStyle w:val="23"/>
        <w:adjustRightInd w:val="0"/>
        <w:snapToGrid w:val="0"/>
        <w:spacing w:line="360" w:lineRule="auto"/>
        <w:rPr>
          <w:rFonts w:hAnsi="宋体" w:cs="宋体"/>
          <w:bCs/>
          <w:color w:val="000000" w:themeColor="text1"/>
          <w:sz w:val="22"/>
          <w:u w:val="single"/>
          <w14:textFill>
            <w14:solidFill>
              <w14:schemeClr w14:val="tx1"/>
            </w14:solidFill>
          </w14:textFill>
        </w:rPr>
      </w:pPr>
      <w:r>
        <w:rPr>
          <w:rFonts w:hint="eastAsia" w:hAnsi="宋体" w:cs="宋体"/>
          <w:bCs/>
          <w:color w:val="000000" w:themeColor="text1"/>
          <w:sz w:val="22"/>
          <w14:textFill>
            <w14:solidFill>
              <w14:schemeClr w14:val="tx1"/>
            </w14:solidFill>
          </w14:textFill>
        </w:rPr>
        <w:t>法定代表人或其委托代理人（</w:t>
      </w:r>
      <w:r>
        <w:rPr>
          <w:rFonts w:hint="eastAsia" w:hAnsi="宋体" w:cs="宋体"/>
          <w:color w:val="000000" w:themeColor="text1"/>
          <w:sz w:val="22"/>
          <w14:textFill>
            <w14:solidFill>
              <w14:schemeClr w14:val="tx1"/>
            </w14:solidFill>
          </w14:textFill>
        </w:rPr>
        <w:t>签字或盖章</w:t>
      </w:r>
      <w:r>
        <w:rPr>
          <w:rFonts w:hint="eastAsia" w:hAnsi="宋体" w:cs="宋体"/>
          <w:bCs/>
          <w:color w:val="000000" w:themeColor="text1"/>
          <w:sz w:val="22"/>
          <w14:textFill>
            <w14:solidFill>
              <w14:schemeClr w14:val="tx1"/>
            </w14:solidFill>
          </w14:textFill>
        </w:rPr>
        <w:t>）：</w:t>
      </w:r>
      <w:r>
        <w:rPr>
          <w:rFonts w:hint="eastAsia" w:hAnsi="宋体" w:cs="宋体"/>
          <w:bCs/>
          <w:color w:val="000000" w:themeColor="text1"/>
          <w:sz w:val="22"/>
          <w:u w:val="single"/>
          <w14:textFill>
            <w14:solidFill>
              <w14:schemeClr w14:val="tx1"/>
            </w14:solidFill>
          </w14:textFill>
        </w:rPr>
        <w:t xml:space="preserve">       </w:t>
      </w:r>
    </w:p>
    <w:p>
      <w:pPr>
        <w:pStyle w:val="23"/>
        <w:adjustRightInd w:val="0"/>
        <w:snapToGrid w:val="0"/>
        <w:spacing w:line="360" w:lineRule="auto"/>
        <w:rPr>
          <w:rFonts w:hAnsi="宋体" w:cs="宋体"/>
          <w:b/>
          <w:color w:val="000000" w:themeColor="text1"/>
          <w:sz w:val="22"/>
          <w14:textFill>
            <w14:solidFill>
              <w14:schemeClr w14:val="tx1"/>
            </w14:solidFill>
          </w14:textFill>
        </w:rPr>
        <w:sectPr>
          <w:footerReference r:id="rId8" w:type="default"/>
          <w:pgSz w:w="11906" w:h="16838"/>
          <w:pgMar w:top="1440" w:right="1117" w:bottom="1440" w:left="1117" w:header="851" w:footer="992" w:gutter="0"/>
          <w:cols w:space="720" w:num="1"/>
          <w:docGrid w:linePitch="312" w:charSpace="0"/>
        </w:sectPr>
      </w:pPr>
      <w:r>
        <w:rPr>
          <w:rFonts w:hint="eastAsia" w:hAnsi="宋体" w:cs="宋体"/>
          <w:bCs/>
          <w:color w:val="000000" w:themeColor="text1"/>
          <w:sz w:val="22"/>
          <w14:textFill>
            <w14:solidFill>
              <w14:schemeClr w14:val="tx1"/>
            </w14:solidFill>
          </w14:textFill>
        </w:rPr>
        <w:t xml:space="preserve">日期： </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年</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月</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日</w:t>
      </w:r>
    </w:p>
    <w:p>
      <w:pPr>
        <w:rPr>
          <w:rFonts w:ascii="宋体" w:hAnsi="宋体" w:cs="宋体"/>
          <w:b/>
          <w:bCs/>
          <w:color w:val="000000" w:themeColor="text1"/>
          <w:sz w:val="24"/>
          <w:szCs w:val="24"/>
          <w14:textFill>
            <w14:solidFill>
              <w14:schemeClr w14:val="tx1"/>
            </w14:solidFill>
          </w14:textFill>
        </w:rPr>
      </w:pPr>
    </w:p>
    <w:p>
      <w:pPr>
        <w:pStyle w:val="23"/>
        <w:adjustRightInd w:val="0"/>
        <w:snapToGrid w:val="0"/>
        <w:spacing w:line="360" w:lineRule="auto"/>
        <w:jc w:val="center"/>
        <w:outlineLvl w:val="0"/>
        <w:rPr>
          <w:rFonts w:hAnsi="宋体" w:cs="宋体"/>
          <w:b/>
          <w:color w:val="000000" w:themeColor="text1"/>
          <w:sz w:val="28"/>
          <w:szCs w:val="28"/>
          <w14:textFill>
            <w14:solidFill>
              <w14:schemeClr w14:val="tx1"/>
            </w14:solidFill>
          </w14:textFill>
        </w:rPr>
      </w:pPr>
      <w:bookmarkStart w:id="56" w:name="_Toc8986"/>
      <w:bookmarkStart w:id="57" w:name="_Toc20459"/>
      <w:r>
        <w:rPr>
          <w:rFonts w:hint="eastAsia" w:hAnsi="宋体" w:cs="宋体"/>
          <w:b/>
          <w:color w:val="000000" w:themeColor="text1"/>
          <w:sz w:val="28"/>
          <w:szCs w:val="28"/>
          <w14:textFill>
            <w14:solidFill>
              <w14:schemeClr w14:val="tx1"/>
            </w14:solidFill>
          </w14:textFill>
        </w:rPr>
        <w:t>分项价格表</w:t>
      </w:r>
      <w:bookmarkEnd w:id="56"/>
      <w:bookmarkEnd w:id="57"/>
    </w:p>
    <w:p>
      <w:pPr>
        <w:pStyle w:val="23"/>
        <w:adjustRightInd w:val="0"/>
        <w:snapToGrid w:val="0"/>
        <w:spacing w:line="360" w:lineRule="auto"/>
        <w:jc w:val="left"/>
        <w:rPr>
          <w:rFonts w:hAnsi="宋体" w:cs="宋体"/>
          <w:b/>
          <w:color w:val="000000" w:themeColor="text1"/>
          <w:sz w:val="28"/>
          <w:szCs w:val="28"/>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项目名称： </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项目编号：                                                    金额单位：元</w:t>
      </w:r>
    </w:p>
    <w:tbl>
      <w:tblPr>
        <w:tblStyle w:val="39"/>
        <w:tblW w:w="0" w:type="auto"/>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序号</w:t>
            </w:r>
          </w:p>
        </w:tc>
        <w:tc>
          <w:tcPr>
            <w:tcW w:w="1534"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货物名称</w:t>
            </w:r>
          </w:p>
        </w:tc>
        <w:tc>
          <w:tcPr>
            <w:tcW w:w="70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单位</w:t>
            </w:r>
          </w:p>
        </w:tc>
        <w:tc>
          <w:tcPr>
            <w:tcW w:w="964"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数量</w:t>
            </w:r>
          </w:p>
        </w:tc>
        <w:tc>
          <w:tcPr>
            <w:tcW w:w="89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单价</w:t>
            </w:r>
          </w:p>
        </w:tc>
        <w:tc>
          <w:tcPr>
            <w:tcW w:w="991"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合计</w:t>
            </w:r>
          </w:p>
        </w:tc>
        <w:tc>
          <w:tcPr>
            <w:tcW w:w="126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规格/型号</w:t>
            </w:r>
          </w:p>
        </w:tc>
        <w:tc>
          <w:tcPr>
            <w:tcW w:w="2475"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主要技术参数</w:t>
            </w:r>
          </w:p>
        </w:tc>
        <w:tc>
          <w:tcPr>
            <w:tcW w:w="832"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合计</w:t>
            </w: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投标总价：小写：                      大写：                      </w:t>
            </w: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bl>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备注：1、上述全部报价均应包括项目实施所需的设备费、包装运输费、装卸费、培训费、管理费、利润、税费及其他一切费用。</w:t>
      </w:r>
    </w:p>
    <w:p>
      <w:pPr>
        <w:pStyle w:val="23"/>
        <w:adjustRightInd w:val="0"/>
        <w:snapToGrid w:val="0"/>
        <w:spacing w:line="360" w:lineRule="auto"/>
        <w:ind w:firstLine="663" w:firstLineChars="300"/>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2、投标企业需根据招标文件第三章的采购需求进行报价，不得缺项、漏项，否则将被视为无效投标。</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投标人（盖单位章）：</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法定代表人或其委托代理人（签字或盖章）：       </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sectPr>
          <w:pgSz w:w="11906" w:h="16838"/>
          <w:pgMar w:top="1440" w:right="1117" w:bottom="1440" w:left="1117" w:header="851" w:footer="992" w:gutter="0"/>
          <w:cols w:space="720" w:num="1"/>
          <w:docGrid w:linePitch="312" w:charSpace="0"/>
        </w:sectPr>
      </w:pPr>
      <w:r>
        <w:rPr>
          <w:rFonts w:hint="eastAsia" w:hAnsi="宋体" w:cs="宋体"/>
          <w:b/>
          <w:color w:val="000000" w:themeColor="text1"/>
          <w:sz w:val="22"/>
          <w14:textFill>
            <w14:solidFill>
              <w14:schemeClr w14:val="tx1"/>
            </w14:solidFill>
          </w14:textFill>
        </w:rPr>
        <w:t xml:space="preserve">日期：         年    月  </w:t>
      </w:r>
    </w:p>
    <w:p>
      <w:pPr>
        <w:rPr>
          <w:color w:val="000000" w:themeColor="text1"/>
          <w14:textFill>
            <w14:solidFill>
              <w14:schemeClr w14:val="tx1"/>
            </w14:solidFill>
          </w14:textFill>
        </w:rPr>
      </w:pPr>
    </w:p>
    <w:p>
      <w:pPr>
        <w:autoSpaceDE w:val="0"/>
        <w:autoSpaceDN w:val="0"/>
        <w:adjustRightInd w:val="0"/>
        <w:spacing w:line="400" w:lineRule="exact"/>
        <w:jc w:val="right"/>
        <w:rPr>
          <w:rFonts w:ascii="仿宋" w:hAnsi="仿宋" w:eastAsia="仿宋" w:cs="仿宋"/>
          <w:b/>
          <w:color w:val="000000" w:themeColor="text1"/>
          <w:spacing w:val="-6"/>
          <w:kern w:val="0"/>
          <w:sz w:val="24"/>
          <w:szCs w:val="24"/>
          <w:bdr w:val="single" w:color="auto" w:sz="4" w:space="0"/>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 xml:space="preserve">         </w:t>
      </w:r>
      <w:r>
        <w:rPr>
          <w:rFonts w:hint="eastAsia" w:ascii="仿宋" w:hAnsi="仿宋" w:eastAsia="仿宋" w:cs="仿宋"/>
          <w:b/>
          <w:color w:val="000000" w:themeColor="text1"/>
          <w:spacing w:val="-6"/>
          <w:kern w:val="0"/>
          <w:sz w:val="24"/>
          <w:szCs w:val="24"/>
          <w:bdr w:val="single" w:color="auto" w:sz="4" w:space="0"/>
          <w14:textFill>
            <w14:solidFill>
              <w14:schemeClr w14:val="tx1"/>
            </w14:solidFill>
          </w14:textFill>
        </w:rPr>
        <w:t>正本(或副本)</w:t>
      </w:r>
    </w:p>
    <w:p>
      <w:pPr>
        <w:spacing w:line="400" w:lineRule="exact"/>
        <w:rPr>
          <w:rFonts w:ascii="仿宋" w:hAnsi="仿宋" w:eastAsia="仿宋" w:cs="仿宋"/>
          <w:b/>
          <w:color w:val="000000" w:themeColor="text1"/>
          <w:sz w:val="24"/>
          <w:szCs w:val="24"/>
          <w14:textFill>
            <w14:solidFill>
              <w14:schemeClr w14:val="tx1"/>
            </w14:solidFill>
          </w14:textFill>
        </w:rPr>
      </w:pPr>
    </w:p>
    <w:p>
      <w:pPr>
        <w:pStyle w:val="2"/>
        <w:rPr>
          <w:rFonts w:ascii="仿宋" w:hAnsi="仿宋" w:eastAsia="仿宋" w:cs="仿宋"/>
          <w:b/>
          <w:color w:val="000000" w:themeColor="text1"/>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p>
    <w:p>
      <w:pPr>
        <w:pStyle w:val="2"/>
        <w:rPr>
          <w:color w:val="000000" w:themeColor="text1"/>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pStyle w:val="6"/>
        <w:spacing w:line="400" w:lineRule="exact"/>
        <w:ind w:firstLine="480"/>
        <w:rPr>
          <w:rFonts w:ascii="仿宋" w:hAnsi="仿宋" w:eastAsia="仿宋" w:cs="仿宋"/>
          <w:color w:val="000000" w:themeColor="text1"/>
          <w:sz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（项目名称）</w:t>
      </w: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（项目编号）</w:t>
      </w: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响应文件</w:t>
      </w: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p>
    <w:p>
      <w:pPr>
        <w:pStyle w:val="6"/>
        <w:spacing w:line="400" w:lineRule="exact"/>
        <w:ind w:firstLine="1440" w:firstLineChars="600"/>
        <w:rPr>
          <w:rFonts w:ascii="仿宋" w:hAnsi="仿宋" w:eastAsia="仿宋" w:cs="仿宋"/>
          <w:color w:val="000000" w:themeColor="text1"/>
          <w:sz w:val="24"/>
          <w:u w:val="single"/>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采购人：</w:t>
      </w:r>
      <w:r>
        <w:rPr>
          <w:rFonts w:hint="eastAsia" w:ascii="仿宋" w:hAnsi="仿宋" w:eastAsia="仿宋" w:cs="仿宋"/>
          <w:color w:val="000000" w:themeColor="text1"/>
          <w:sz w:val="24"/>
          <w:u w:val="single"/>
          <w14:textFill>
            <w14:solidFill>
              <w14:schemeClr w14:val="tx1"/>
            </w14:solidFill>
          </w14:textFill>
        </w:rPr>
        <w:t xml:space="preserve">                      </w:t>
      </w:r>
    </w:p>
    <w:p>
      <w:pPr>
        <w:pStyle w:val="6"/>
        <w:spacing w:line="400" w:lineRule="exact"/>
        <w:ind w:firstLine="1440" w:firstLineChars="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供应商：</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（盖章）</w:t>
      </w:r>
    </w:p>
    <w:p>
      <w:pPr>
        <w:pStyle w:val="6"/>
        <w:spacing w:line="400" w:lineRule="exact"/>
        <w:ind w:firstLine="1440" w:firstLineChars="600"/>
        <w:rPr>
          <w:rFonts w:ascii="仿宋" w:hAnsi="仿宋" w:eastAsia="仿宋" w:cs="仿宋"/>
          <w:color w:val="000000" w:themeColor="text1"/>
          <w:sz w:val="24"/>
          <w:u w:val="single"/>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法定代表人：</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（签字或盖章）</w:t>
      </w:r>
    </w:p>
    <w:p>
      <w:pPr>
        <w:pStyle w:val="6"/>
        <w:spacing w:line="400" w:lineRule="exact"/>
        <w:ind w:firstLine="1440" w:firstLineChars="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委托代理人：</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（签字）</w:t>
      </w:r>
    </w:p>
    <w:p>
      <w:pPr>
        <w:pStyle w:val="6"/>
        <w:spacing w:line="400" w:lineRule="exact"/>
        <w:ind w:firstLine="1440" w:firstLineChars="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联系方式：</w:t>
      </w:r>
      <w:r>
        <w:rPr>
          <w:rFonts w:hint="eastAsia" w:ascii="仿宋" w:hAnsi="仿宋" w:eastAsia="仿宋" w:cs="仿宋"/>
          <w:color w:val="000000" w:themeColor="text1"/>
          <w:sz w:val="24"/>
          <w:u w:val="single"/>
          <w14:textFill>
            <w14:solidFill>
              <w14:schemeClr w14:val="tx1"/>
            </w14:solidFill>
          </w14:textFill>
        </w:rPr>
        <w:t xml:space="preserve">                     </w:t>
      </w:r>
    </w:p>
    <w:p>
      <w:pPr>
        <w:pStyle w:val="6"/>
        <w:spacing w:line="400" w:lineRule="exact"/>
        <w:ind w:firstLine="1440" w:firstLineChars="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联系地址：</w:t>
      </w:r>
      <w:r>
        <w:rPr>
          <w:rFonts w:hint="eastAsia" w:ascii="仿宋" w:hAnsi="仿宋" w:eastAsia="仿宋" w:cs="仿宋"/>
          <w:color w:val="000000" w:themeColor="text1"/>
          <w:sz w:val="24"/>
          <w:u w:val="single"/>
          <w14:textFill>
            <w14:solidFill>
              <w14:schemeClr w14:val="tx1"/>
            </w14:solidFill>
          </w14:textFill>
        </w:rPr>
        <w:t xml:space="preserve">                     </w:t>
      </w:r>
    </w:p>
    <w:p>
      <w:pPr>
        <w:pStyle w:val="6"/>
        <w:spacing w:line="400" w:lineRule="exact"/>
        <w:ind w:firstLine="1440" w:firstLineChars="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日期：   年    月    日</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目   录</w:t>
      </w: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 响 应 函（附件1）</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二、法定代表人身份证明（附件2）</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三、法定代表人授权委托书（附件3）</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四、投标报价表（开标一览表）（附件4）</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五、商务偏离表（附件5）</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六、资格证明文件</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七、类似业绩（附件6）</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八、技术偏离表（附件7）</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九、技术部分</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十、中小微企业证明文件等（如有）（附件11）</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十一、投标人认为有必要提交的其他相关证明材料</w:t>
      </w:r>
    </w:p>
    <w:p>
      <w:pPr>
        <w:pStyle w:val="34"/>
        <w:spacing w:line="400" w:lineRule="exact"/>
        <w:rPr>
          <w:rFonts w:ascii="仿宋" w:hAnsi="仿宋" w:eastAsia="仿宋" w:cs="仿宋"/>
          <w:b/>
          <w:color w:val="000000" w:themeColor="text1"/>
          <w:sz w:val="24"/>
          <w:szCs w:val="24"/>
          <w14:textFill>
            <w14:solidFill>
              <w14:schemeClr w14:val="tx1"/>
            </w14:solidFill>
          </w14:textFill>
        </w:rPr>
        <w:sectPr>
          <w:headerReference r:id="rId9" w:type="default"/>
          <w:pgSz w:w="11906" w:h="16838"/>
          <w:pgMar w:top="1304" w:right="1247" w:bottom="1418" w:left="1247" w:header="851" w:footer="992" w:gutter="0"/>
          <w:cols w:space="720" w:num="1"/>
          <w:docGrid w:linePitch="312" w:charSpace="0"/>
        </w:sectPr>
      </w:pP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附件1：</w:t>
      </w:r>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一、投标函</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致：</w:t>
      </w:r>
      <w:r>
        <w:rPr>
          <w:rFonts w:hint="eastAsia" w:ascii="仿宋" w:hAnsi="仿宋" w:eastAsia="仿宋" w:cs="仿宋"/>
          <w:color w:val="000000" w:themeColor="text1"/>
          <w:sz w:val="24"/>
          <w:szCs w:val="24"/>
          <w14:textFill>
            <w14:solidFill>
              <w14:schemeClr w14:val="tx1"/>
            </w14:solidFill>
          </w14:textFill>
        </w:rPr>
        <w:t>宏业国际项目管理有限公司</w:t>
      </w:r>
    </w:p>
    <w:p>
      <w:pPr>
        <w:spacing w:line="400" w:lineRule="exact"/>
        <w:ind w:firstLine="456"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6"/>
          <w:sz w:val="24"/>
          <w:szCs w:val="24"/>
          <w14:textFill>
            <w14:solidFill>
              <w14:schemeClr w14:val="tx1"/>
            </w14:solidFill>
          </w14:textFill>
        </w:rPr>
        <w:t>根据贵方</w:t>
      </w:r>
      <w:r>
        <w:rPr>
          <w:rFonts w:hint="eastAsia" w:ascii="仿宋" w:hAnsi="仿宋" w:eastAsia="仿宋" w:cs="仿宋"/>
          <w:color w:val="000000" w:themeColor="text1"/>
          <w:spacing w:val="-6"/>
          <w:sz w:val="24"/>
          <w:szCs w:val="24"/>
          <w:u w:val="single"/>
          <w14:textFill>
            <w14:solidFill>
              <w14:schemeClr w14:val="tx1"/>
            </w14:solidFill>
          </w14:textFill>
        </w:rPr>
        <w:t xml:space="preserve">                             </w:t>
      </w:r>
      <w:r>
        <w:rPr>
          <w:rFonts w:hint="eastAsia" w:ascii="仿宋" w:hAnsi="仿宋" w:eastAsia="仿宋" w:cs="仿宋"/>
          <w:color w:val="000000" w:themeColor="text1"/>
          <w:spacing w:val="-6"/>
          <w:sz w:val="24"/>
          <w:szCs w:val="24"/>
          <w14:textFill>
            <w14:solidFill>
              <w14:schemeClr w14:val="tx1"/>
            </w14:solidFill>
          </w14:textFill>
        </w:rPr>
        <w:t>项目</w:t>
      </w:r>
      <w:r>
        <w:rPr>
          <w:rFonts w:hint="eastAsia" w:ascii="仿宋" w:hAnsi="仿宋" w:eastAsia="仿宋" w:cs="仿宋"/>
          <w:color w:val="000000" w:themeColor="text1"/>
          <w:sz w:val="24"/>
          <w:szCs w:val="24"/>
          <w14:textFill>
            <w14:solidFill>
              <w14:schemeClr w14:val="tx1"/>
            </w14:solidFill>
          </w14:textFill>
        </w:rPr>
        <w:t>的</w:t>
      </w:r>
      <w:r>
        <w:rPr>
          <w:rFonts w:hint="eastAsia" w:ascii="仿宋" w:hAnsi="仿宋" w:eastAsia="仿宋" w:cs="仿宋"/>
          <w:color w:val="000000" w:themeColor="text1"/>
          <w:spacing w:val="-6"/>
          <w:sz w:val="24"/>
          <w:szCs w:val="24"/>
          <w14:textFill>
            <w14:solidFill>
              <w14:schemeClr w14:val="tx1"/>
            </w14:solidFill>
          </w14:textFill>
        </w:rPr>
        <w:t>招标采购</w:t>
      </w:r>
      <w:r>
        <w:rPr>
          <w:rFonts w:hint="eastAsia" w:ascii="仿宋" w:hAnsi="仿宋" w:eastAsia="仿宋" w:cs="仿宋"/>
          <w:color w:val="000000" w:themeColor="text1"/>
          <w:sz w:val="24"/>
          <w:szCs w:val="24"/>
          <w14:textFill>
            <w14:solidFill>
              <w14:schemeClr w14:val="tx1"/>
            </w14:solidFill>
          </w14:textFill>
        </w:rPr>
        <w:t>(项目编号:</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)，正式授权的下述签字人</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（姓名和职务）代表供应商</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（投标供应商名称），提交下述文件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1.投标函</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2.开标一览表</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3.投标报价表</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4.投标保证金</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5.按投标文件要求供应商提交的全部文件</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据此函，签字人兹宣布同意如下条款：</w:t>
      </w:r>
    </w:p>
    <w:p>
      <w:pPr>
        <w:numPr>
          <w:ilvl w:val="0"/>
          <w:numId w:val="6"/>
        </w:numPr>
        <w:spacing w:line="400" w:lineRule="exact"/>
        <w:ind w:left="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所附投标价格表中规定的应提供和交付的货物投标总报价为</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（大写）。（此投标报价仅作报价评审作用，最终中标以投标单价为准，最终结算以实际发生数量为准。）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⑵ 我们将按投标文件的规定履行合同责任和义务。</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⑶ 我们已详细审查全部投标文件，包括修改意见（如有则附）以及全部参考资料和有关附件。我们完全理解并同意放弃对这方面有不明及误解而要求招标方解释和承担责任的权利。</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⑷ 在供应商须知规定的投标有效期内遵循本投标性文件，并在投标须知规定的投标有效期期满之前具有约束力。</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⑸ 如果在规定的投标有效期内撤回投标，我们的投标保证金可被贵方没收。</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⑹ 同意提供贵方可能要求的与本投标有关的任何证据或资料。</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⑺ 我们同意提供按照招标单位可能出示的与其投标有关的一切数据或资料。</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⑻ 我们理解贵方不一定要接受最低报价的投标或收到的任何投标。</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⑼ 与本投标有关的一切正式往来通讯请寄至：</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电话：</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传真：</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附件2：</w:t>
      </w:r>
      <w:bookmarkStart w:id="58" w:name="_Toc139965362"/>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bookmarkStart w:id="59" w:name="_Toc327439494"/>
      <w:r>
        <w:rPr>
          <w:rFonts w:hint="eastAsia" w:ascii="仿宋" w:hAnsi="仿宋" w:eastAsia="仿宋" w:cs="仿宋"/>
          <w:b/>
          <w:color w:val="000000" w:themeColor="text1"/>
          <w:sz w:val="24"/>
          <w:szCs w:val="24"/>
          <w14:textFill>
            <w14:solidFill>
              <w14:schemeClr w14:val="tx1"/>
            </w14:solidFill>
          </w14:textFill>
        </w:rPr>
        <w:t>二、法定代表人身份证明</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单位性质：</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地址：</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成立时间：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日</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经营期限：</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姓名：</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性别：</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年龄：</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职务：</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身份证号码：</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系</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（投标供应商名称）的法定代表人。</w:t>
      </w:r>
    </w:p>
    <w:p>
      <w:pPr>
        <w:spacing w:line="400" w:lineRule="exact"/>
        <w:ind w:firstLine="960" w:firstLineChars="4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特此证明。</w:t>
      </w: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法定代表人（签字或盖章）：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法定代表人身份证</w:t>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复印件正面</w:t>
            </w:r>
          </w:p>
        </w:tc>
        <w:tc>
          <w:tcPr>
            <w:tcW w:w="4610" w:type="dxa"/>
            <w:vAlign w:val="center"/>
          </w:tcPr>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法定代表人身份证</w:t>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复印件反面</w:t>
            </w:r>
          </w:p>
        </w:tc>
      </w:tr>
    </w:tbl>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附件3：</w:t>
      </w:r>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三、法定代表人授权委托书</w:t>
      </w: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ind w:firstLine="480" w:firstLineChars="200"/>
        <w:jc w:val="lef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本授权书声明：我单位的</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（法人代表姓名、职务）代表本单位授权</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jc w:val="lef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（被授权人的姓名、职务）为本单位的合法代理人，就</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项目的投标及合同的执行、完成，以本单位的名义处理一切与之有关的事务。</w:t>
      </w:r>
    </w:p>
    <w:p>
      <w:pPr>
        <w:spacing w:line="400" w:lineRule="exact"/>
        <w:ind w:firstLine="538"/>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本授权书于</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日签字生效，特此声明。</w:t>
      </w:r>
    </w:p>
    <w:p>
      <w:pPr>
        <w:spacing w:line="400" w:lineRule="exact"/>
        <w:ind w:firstLine="538"/>
        <w:jc w:val="left"/>
        <w:rPr>
          <w:rFonts w:ascii="仿宋" w:hAnsi="仿宋" w:eastAsia="仿宋" w:cs="仿宋"/>
          <w:color w:val="000000" w:themeColor="text1"/>
          <w:sz w:val="24"/>
          <w:szCs w:val="24"/>
          <w14:textFill>
            <w14:solidFill>
              <w14:schemeClr w14:val="tx1"/>
            </w14:solidFill>
          </w14:textFill>
        </w:rPr>
      </w:pPr>
    </w:p>
    <w:p>
      <w:pPr>
        <w:spacing w:line="400" w:lineRule="exact"/>
        <w:ind w:firstLine="538"/>
        <w:jc w:val="left"/>
        <w:rPr>
          <w:rFonts w:ascii="仿宋" w:hAnsi="仿宋" w:eastAsia="仿宋" w:cs="仿宋"/>
          <w:color w:val="000000" w:themeColor="text1"/>
          <w:sz w:val="24"/>
          <w:szCs w:val="24"/>
          <w14:textFill>
            <w14:solidFill>
              <w14:schemeClr w14:val="tx1"/>
            </w14:solidFill>
          </w14:textFill>
        </w:rPr>
      </w:pPr>
    </w:p>
    <w:p>
      <w:pPr>
        <w:spacing w:line="400" w:lineRule="exact"/>
        <w:ind w:firstLine="437"/>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37"/>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法定代表人（签字或盖章）：</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ind w:firstLine="437"/>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授权代表人（签字或盖章）：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70" w:firstLineChars="196"/>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日期：</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日   </w:t>
      </w:r>
    </w:p>
    <w:p>
      <w:pPr>
        <w:spacing w:line="400" w:lineRule="exact"/>
        <w:jc w:val="right"/>
        <w:rPr>
          <w:rFonts w:ascii="仿宋" w:hAnsi="仿宋" w:eastAsia="仿宋" w:cs="仿宋"/>
          <w:color w:val="000000" w:themeColor="text1"/>
          <w:sz w:val="24"/>
          <w:szCs w:val="24"/>
          <w14:textFill>
            <w14:solidFill>
              <w14:schemeClr w14:val="tx1"/>
            </w14:solidFill>
          </w14:textFill>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法定代表人身份证</w:t>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复印件（正、反面）</w:t>
            </w:r>
          </w:p>
        </w:tc>
        <w:tc>
          <w:tcPr>
            <w:tcW w:w="4610" w:type="dxa"/>
            <w:vAlign w:val="center"/>
          </w:tcPr>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被授权人身份证</w:t>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复印件（正、反面）</w:t>
            </w:r>
          </w:p>
        </w:tc>
      </w:tr>
    </w:tbl>
    <w:p>
      <w:pPr>
        <w:spacing w:line="400" w:lineRule="exact"/>
        <w:rPr>
          <w:rFonts w:ascii="仿宋" w:hAnsi="仿宋" w:eastAsia="仿宋" w:cs="仿宋"/>
          <w:color w:val="000000" w:themeColor="text1"/>
          <w:spacing w:val="10"/>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br w:type="page"/>
      </w:r>
    </w:p>
    <w:p>
      <w:pPr>
        <w:pStyle w:val="37"/>
        <w:ind w:firstLine="240"/>
        <w:rPr>
          <w:color w:val="000000" w:themeColor="text1"/>
          <w14:textFill>
            <w14:solidFill>
              <w14:schemeClr w14:val="tx1"/>
            </w14:solidFill>
          </w14:textFill>
        </w:rPr>
        <w:sectPr>
          <w:pgSz w:w="11906" w:h="16838"/>
          <w:pgMar w:top="1304" w:right="1247" w:bottom="1418" w:left="1247" w:header="851" w:footer="992" w:gutter="0"/>
          <w:cols w:space="720" w:num="1"/>
          <w:docGrid w:linePitch="312" w:charSpace="0"/>
        </w:sectPr>
      </w:pPr>
    </w:p>
    <w:bookmarkEnd w:id="58"/>
    <w:bookmarkEnd w:id="59"/>
    <w:p>
      <w:pPr>
        <w:spacing w:line="400" w:lineRule="exact"/>
        <w:jc w:val="lef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附件4：</w:t>
      </w:r>
    </w:p>
    <w:p>
      <w:pPr>
        <w:pStyle w:val="23"/>
        <w:adjustRightInd w:val="0"/>
        <w:snapToGrid w:val="0"/>
        <w:spacing w:line="360" w:lineRule="auto"/>
        <w:jc w:val="center"/>
        <w:rPr>
          <w:rFonts w:hAnsi="宋体" w:cs="宋体"/>
          <w:b/>
          <w:color w:val="000000" w:themeColor="text1"/>
          <w:sz w:val="32"/>
          <w:szCs w:val="32"/>
          <w14:textFill>
            <w14:solidFill>
              <w14:schemeClr w14:val="tx1"/>
            </w14:solidFill>
          </w14:textFill>
        </w:rPr>
      </w:pPr>
      <w:r>
        <w:rPr>
          <w:rFonts w:hint="eastAsia" w:hAnsi="宋体" w:cs="宋体"/>
          <w:b/>
          <w:color w:val="000000" w:themeColor="text1"/>
          <w:sz w:val="32"/>
          <w:szCs w:val="32"/>
          <w14:textFill>
            <w14:solidFill>
              <w14:schemeClr w14:val="tx1"/>
            </w14:solidFill>
          </w14:textFill>
        </w:rPr>
        <w:t>开标一览表</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项目名称： </w:t>
      </w:r>
    </w:p>
    <w:p>
      <w:pPr>
        <w:pStyle w:val="23"/>
        <w:adjustRightInd w:val="0"/>
        <w:snapToGrid w:val="0"/>
        <w:spacing w:line="360" w:lineRule="auto"/>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项目编号： </w:t>
      </w:r>
    </w:p>
    <w:tbl>
      <w:tblPr>
        <w:tblStyle w:val="39"/>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330"/>
        <w:gridCol w:w="1542"/>
        <w:gridCol w:w="1372"/>
        <w:gridCol w:w="137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序号</w:t>
            </w:r>
          </w:p>
        </w:tc>
        <w:tc>
          <w:tcPr>
            <w:tcW w:w="1496"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货物名称</w:t>
            </w:r>
          </w:p>
        </w:tc>
        <w:tc>
          <w:tcPr>
            <w:tcW w:w="333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投标报价（总价）</w:t>
            </w:r>
          </w:p>
        </w:tc>
        <w:tc>
          <w:tcPr>
            <w:tcW w:w="154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color w:val="000000" w:themeColor="text1"/>
                <w:kern w:val="0"/>
                <w:sz w:val="22"/>
                <w:lang w:val="zh-CN"/>
                <w14:textFill>
                  <w14:solidFill>
                    <w14:schemeClr w14:val="tx1"/>
                  </w14:solidFill>
                </w14:textFill>
              </w:rPr>
              <w:t>合同履约期限</w:t>
            </w:r>
          </w:p>
        </w:tc>
        <w:tc>
          <w:tcPr>
            <w:tcW w:w="137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到库质保期</w:t>
            </w:r>
          </w:p>
        </w:tc>
        <w:tc>
          <w:tcPr>
            <w:tcW w:w="137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1</w:t>
            </w:r>
          </w:p>
        </w:tc>
        <w:tc>
          <w:tcPr>
            <w:tcW w:w="1496"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3330"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 xml:space="preserve">大写：       </w:t>
            </w:r>
            <w:r>
              <w:rPr>
                <w:rFonts w:hint="eastAsia" w:hAnsi="宋体" w:cs="宋体"/>
                <w:color w:val="000000" w:themeColor="text1"/>
                <w:sz w:val="24"/>
                <w:szCs w:val="24"/>
                <w14:textFill>
                  <w14:solidFill>
                    <w14:schemeClr w14:val="tx1"/>
                  </w14:solidFill>
                </w14:textFill>
              </w:rPr>
              <w:t>（元）</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 xml:space="preserve">小写：       </w:t>
            </w:r>
            <w:r>
              <w:rPr>
                <w:rFonts w:hint="eastAsia" w:hAnsi="宋体" w:cs="宋体"/>
                <w:color w:val="000000" w:themeColor="text1"/>
                <w:sz w:val="24"/>
                <w:szCs w:val="24"/>
                <w14:textFill>
                  <w14:solidFill>
                    <w14:schemeClr w14:val="tx1"/>
                  </w14:solidFill>
                </w14:textFill>
              </w:rPr>
              <w:t>（元）</w:t>
            </w:r>
          </w:p>
        </w:tc>
        <w:tc>
          <w:tcPr>
            <w:tcW w:w="154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137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137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bl>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注: 1、此表需密封后单独提交。</w:t>
      </w:r>
    </w:p>
    <w:p>
      <w:pPr>
        <w:pStyle w:val="23"/>
        <w:numPr>
          <w:ilvl w:val="0"/>
          <w:numId w:val="7"/>
        </w:numPr>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报价一经涂改，应在涂改处加盖单位公章或者由法定代表人或授权委托人签字或盖章，否则其投标作无效标处理。</w:t>
      </w:r>
    </w:p>
    <w:p>
      <w:pPr>
        <w:pStyle w:val="23"/>
        <w:numPr>
          <w:ilvl w:val="0"/>
          <w:numId w:val="7"/>
        </w:numPr>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投标报价应与“分项价格表”中的“投标总价”相一致。</w:t>
      </w:r>
    </w:p>
    <w:p>
      <w:pPr>
        <w:pStyle w:val="23"/>
        <w:numPr>
          <w:ilvl w:val="0"/>
          <w:numId w:val="7"/>
        </w:numPr>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此投标报价仅作报价评审作用，最终中标以投标单价为准，最终结算以实际发生数量为准。</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投标人（盖单位章）：</w:t>
      </w:r>
    </w:p>
    <w:p>
      <w:pPr>
        <w:pStyle w:val="23"/>
        <w:adjustRightInd w:val="0"/>
        <w:snapToGrid w:val="0"/>
        <w:spacing w:line="360" w:lineRule="auto"/>
        <w:rPr>
          <w:rFonts w:hAnsi="宋体" w:cs="宋体"/>
          <w:bCs/>
          <w:color w:val="000000" w:themeColor="text1"/>
          <w:sz w:val="22"/>
          <w:u w:val="single"/>
          <w14:textFill>
            <w14:solidFill>
              <w14:schemeClr w14:val="tx1"/>
            </w14:solidFill>
          </w14:textFill>
        </w:rPr>
      </w:pPr>
      <w:r>
        <w:rPr>
          <w:rFonts w:hint="eastAsia" w:hAnsi="宋体" w:cs="宋体"/>
          <w:bCs/>
          <w:color w:val="000000" w:themeColor="text1"/>
          <w:sz w:val="22"/>
          <w14:textFill>
            <w14:solidFill>
              <w14:schemeClr w14:val="tx1"/>
            </w14:solidFill>
          </w14:textFill>
        </w:rPr>
        <w:t>法定代表人或其委托代理人（</w:t>
      </w:r>
      <w:r>
        <w:rPr>
          <w:rFonts w:hint="eastAsia" w:hAnsi="宋体" w:cs="宋体"/>
          <w:color w:val="000000" w:themeColor="text1"/>
          <w:sz w:val="22"/>
          <w14:textFill>
            <w14:solidFill>
              <w14:schemeClr w14:val="tx1"/>
            </w14:solidFill>
          </w14:textFill>
        </w:rPr>
        <w:t>签字或盖章</w:t>
      </w:r>
      <w:r>
        <w:rPr>
          <w:rFonts w:hint="eastAsia" w:hAnsi="宋体" w:cs="宋体"/>
          <w:bCs/>
          <w:color w:val="000000" w:themeColor="text1"/>
          <w:sz w:val="22"/>
          <w14:textFill>
            <w14:solidFill>
              <w14:schemeClr w14:val="tx1"/>
            </w14:solidFill>
          </w14:textFill>
        </w:rPr>
        <w:t>）：</w:t>
      </w:r>
      <w:r>
        <w:rPr>
          <w:rFonts w:hint="eastAsia" w:hAnsi="宋体" w:cs="宋体"/>
          <w:bCs/>
          <w:color w:val="000000" w:themeColor="text1"/>
          <w:sz w:val="22"/>
          <w:u w:val="single"/>
          <w14:textFill>
            <w14:solidFill>
              <w14:schemeClr w14:val="tx1"/>
            </w14:solidFill>
          </w14:textFill>
        </w:rPr>
        <w:t xml:space="preserve">       </w:t>
      </w:r>
    </w:p>
    <w:p>
      <w:pPr>
        <w:pStyle w:val="23"/>
        <w:adjustRightInd w:val="0"/>
        <w:snapToGrid w:val="0"/>
        <w:spacing w:line="360" w:lineRule="auto"/>
        <w:rPr>
          <w:rFonts w:hAnsi="宋体" w:cs="宋体"/>
          <w:b/>
          <w:color w:val="000000" w:themeColor="text1"/>
          <w:sz w:val="22"/>
          <w14:textFill>
            <w14:solidFill>
              <w14:schemeClr w14:val="tx1"/>
            </w14:solidFill>
          </w14:textFill>
        </w:rPr>
        <w:sectPr>
          <w:pgSz w:w="11906" w:h="16838"/>
          <w:pgMar w:top="1440" w:right="1117" w:bottom="1440" w:left="1117" w:header="851" w:footer="992" w:gutter="0"/>
          <w:cols w:space="720" w:num="1"/>
          <w:docGrid w:linePitch="312" w:charSpace="0"/>
        </w:sectPr>
      </w:pPr>
      <w:r>
        <w:rPr>
          <w:rFonts w:hint="eastAsia" w:hAnsi="宋体" w:cs="宋体"/>
          <w:bCs/>
          <w:color w:val="000000" w:themeColor="text1"/>
          <w:sz w:val="22"/>
          <w14:textFill>
            <w14:solidFill>
              <w14:schemeClr w14:val="tx1"/>
            </w14:solidFill>
          </w14:textFill>
        </w:rPr>
        <w:t xml:space="preserve">日期： </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年</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月</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日</w:t>
      </w:r>
    </w:p>
    <w:p>
      <w:pPr>
        <w:rPr>
          <w:rFonts w:ascii="宋体" w:hAnsi="宋体" w:cs="宋体"/>
          <w:b/>
          <w:bCs/>
          <w:color w:val="000000" w:themeColor="text1"/>
          <w:sz w:val="24"/>
          <w:szCs w:val="24"/>
          <w14:textFill>
            <w14:solidFill>
              <w14:schemeClr w14:val="tx1"/>
            </w14:solidFill>
          </w14:textFill>
        </w:rPr>
      </w:pPr>
    </w:p>
    <w:p>
      <w:pPr>
        <w:pStyle w:val="23"/>
        <w:adjustRightInd w:val="0"/>
        <w:snapToGrid w:val="0"/>
        <w:spacing w:line="360" w:lineRule="auto"/>
        <w:jc w:val="center"/>
        <w:outlineLvl w:val="0"/>
        <w:rPr>
          <w:rFonts w:hAnsi="宋体" w:cs="宋体"/>
          <w:b/>
          <w:color w:val="000000" w:themeColor="text1"/>
          <w:sz w:val="28"/>
          <w:szCs w:val="28"/>
          <w14:textFill>
            <w14:solidFill>
              <w14:schemeClr w14:val="tx1"/>
            </w14:solidFill>
          </w14:textFill>
        </w:rPr>
      </w:pPr>
      <w:r>
        <w:rPr>
          <w:rFonts w:hint="eastAsia" w:hAnsi="宋体" w:cs="宋体"/>
          <w:b/>
          <w:color w:val="000000" w:themeColor="text1"/>
          <w:sz w:val="28"/>
          <w:szCs w:val="28"/>
          <w14:textFill>
            <w14:solidFill>
              <w14:schemeClr w14:val="tx1"/>
            </w14:solidFill>
          </w14:textFill>
        </w:rPr>
        <w:t>分项价格表</w:t>
      </w:r>
    </w:p>
    <w:p>
      <w:pPr>
        <w:pStyle w:val="23"/>
        <w:adjustRightInd w:val="0"/>
        <w:snapToGrid w:val="0"/>
        <w:spacing w:line="360" w:lineRule="auto"/>
        <w:jc w:val="left"/>
        <w:rPr>
          <w:rFonts w:hAnsi="宋体" w:cs="宋体"/>
          <w:b/>
          <w:color w:val="000000" w:themeColor="text1"/>
          <w:sz w:val="28"/>
          <w:szCs w:val="28"/>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项目名称： </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项目编号：                                                    金额单位：元</w:t>
      </w:r>
    </w:p>
    <w:tbl>
      <w:tblPr>
        <w:tblStyle w:val="39"/>
        <w:tblW w:w="0" w:type="auto"/>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序号</w:t>
            </w:r>
          </w:p>
        </w:tc>
        <w:tc>
          <w:tcPr>
            <w:tcW w:w="1534"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货物名称</w:t>
            </w:r>
          </w:p>
        </w:tc>
        <w:tc>
          <w:tcPr>
            <w:tcW w:w="70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单位</w:t>
            </w:r>
          </w:p>
        </w:tc>
        <w:tc>
          <w:tcPr>
            <w:tcW w:w="964"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数量</w:t>
            </w:r>
          </w:p>
        </w:tc>
        <w:tc>
          <w:tcPr>
            <w:tcW w:w="89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单价</w:t>
            </w:r>
          </w:p>
        </w:tc>
        <w:tc>
          <w:tcPr>
            <w:tcW w:w="991"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合计</w:t>
            </w:r>
          </w:p>
        </w:tc>
        <w:tc>
          <w:tcPr>
            <w:tcW w:w="126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规格/型号</w:t>
            </w:r>
          </w:p>
        </w:tc>
        <w:tc>
          <w:tcPr>
            <w:tcW w:w="2475"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主要技术参数</w:t>
            </w:r>
          </w:p>
        </w:tc>
        <w:tc>
          <w:tcPr>
            <w:tcW w:w="832"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合计</w:t>
            </w: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投标总价：小写：                      大写：                      </w:t>
            </w: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bl>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备注：1、上述全部报价均应包括项目实施所需的设备费、包装运输费、装卸费、培训费、管理费、利润、税费及其他一切费用。</w:t>
      </w:r>
    </w:p>
    <w:p>
      <w:pPr>
        <w:pStyle w:val="23"/>
        <w:adjustRightInd w:val="0"/>
        <w:snapToGrid w:val="0"/>
        <w:spacing w:line="360" w:lineRule="auto"/>
        <w:ind w:firstLine="663" w:firstLineChars="300"/>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2、投标企业需根据招标文件第三章的采购需求进行报价，不得缺项、漏项，否则将被视为无效投标。</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投标人（盖单位章）：</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法定代表人或其委托代理人（签字或盖章）：       </w:t>
      </w:r>
    </w:p>
    <w:p>
      <w:pPr>
        <w:rPr>
          <w:rFonts w:ascii="仿宋" w:hAnsi="仿宋" w:eastAsia="仿宋" w:cs="仿宋"/>
          <w:b/>
          <w:color w:val="000000" w:themeColor="text1"/>
          <w:sz w:val="24"/>
          <w:szCs w:val="24"/>
          <w14:textFill>
            <w14:solidFill>
              <w14:schemeClr w14:val="tx1"/>
            </w14:solidFill>
          </w14:textFill>
        </w:rPr>
      </w:pPr>
      <w:r>
        <w:rPr>
          <w:rFonts w:hint="eastAsia" w:ascii="宋体" w:hAnsi="宋体" w:cs="宋体"/>
          <w:b/>
          <w:color w:val="000000" w:themeColor="text1"/>
          <w:sz w:val="22"/>
          <w:szCs w:val="22"/>
          <w14:textFill>
            <w14:solidFill>
              <w14:schemeClr w14:val="tx1"/>
            </w14:solidFill>
          </w14:textFill>
        </w:rPr>
        <w:t xml:space="preserve">日期：         年    月  </w:t>
      </w: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附件5：</w:t>
      </w:r>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五、商务偏离表</w:t>
      </w:r>
    </w:p>
    <w:p>
      <w:pPr>
        <w:spacing w:line="400" w:lineRule="exact"/>
        <w:jc w:val="center"/>
        <w:rPr>
          <w:rFonts w:ascii="仿宋" w:hAnsi="仿宋" w:eastAsia="仿宋" w:cs="仿宋"/>
          <w:b/>
          <w:color w:val="000000" w:themeColor="text1"/>
          <w:sz w:val="24"/>
          <w:szCs w:val="24"/>
          <w14:textFill>
            <w14:solidFill>
              <w14:schemeClr w14:val="tx1"/>
            </w14:solidFill>
          </w14:textFill>
        </w:rPr>
      </w:pPr>
    </w:p>
    <w:tbl>
      <w:tblPr>
        <w:tblStyle w:val="39"/>
        <w:tblW w:w="94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638"/>
        <w:gridCol w:w="1983"/>
        <w:gridCol w:w="2348"/>
        <w:gridCol w:w="2345"/>
        <w:gridCol w:w="1274"/>
        <w:gridCol w:w="9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序号</w:t>
            </w: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招标文件条目号</w:t>
            </w: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招标文件的商务条款</w:t>
            </w: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投标文件的商务条款</w:t>
            </w: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偏离情况</w:t>
            </w: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bl>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注：除本商务偏离表中所列的偏离内容外，其他所有商务条款均应完全响应“投标文件”中的要求。</w:t>
      </w: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u w:val="single"/>
          <w14:textFill>
            <w14:solidFill>
              <w14:schemeClr w14:val="tx1"/>
            </w14:solidFill>
          </w14:textFill>
        </w:rPr>
      </w:pPr>
      <w:bookmarkStart w:id="60" w:name="_Toc327439493"/>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rPr>
          <w:rFonts w:ascii="仿宋" w:hAnsi="仿宋" w:eastAsia="仿宋" w:cs="仿宋"/>
          <w:bCs/>
          <w:color w:val="000000" w:themeColor="text1"/>
          <w:sz w:val="24"/>
          <w:szCs w:val="24"/>
          <w:u w:val="single"/>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六、资格证明文件</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满足《中华人民共和国政府采购法》第二十二条规定；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具有独立承担民事责任的能力，有效的营业执照和相应的经营范围、良好的信誉，能够独立承担民事责任，承认并履行招标文件的各项规定；</w:t>
      </w: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① 供应商提供有效的统一社会信用代码的营业执照（须有相应经营范围）副本，供应商必须是中华人民共和国境内注册的，具有独立承担民事责任的能力；</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② 财务状况报告：供应商提供2021年度经第三方权威机构出具的完整的财务审计报告或自发布公告之日起基本开户银行出具的资信证明；</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③ 依法缴纳税收：供应商提供自投标截止之日前半年内任意一个月依法缴纳税收的凭据，依法免税的供应商，应提供充足的证明材料；</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④ 供应商逐月缴纳社会保障资金的，提供自投标截止之日前半年内任意一个月缴纳社会保障资金的凭证；供应商逐年缴纳社会保障资金的，提供上年度缴纳社会保障资金的凭证；</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⑤ 供应商具备履行合同所必需的《兽药生产许可证》或《兽药经营许可证》</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⑥投标人所投标产品必须具有兽药产品批准文号</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⑦所投产品生产商的有效期内的《兽药GMP证书》</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⑧投标人投标产品必须具备兽用生物制品生产与检验报告（批签发报告）和专业技术能力的证明材料；</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⑨供应商提供参加政府采购活动前 3 年内在经营活动中没有重大违法记录的书面声明（截至开标日成立不满 3 年的供应商，可提供自成立以来无重大违法记录的书面声明）。（附件9）</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⑩供应商提供在“信用中国”（www.creditchina.Sov.cn）网站上未被列入失信被执行人、重大税收违法失信主体、政府采购严重违法失信名单和中国政府采购网（www.ccSp.Sov.cn）网站上未被列入政府采购严重违法失信行为记录名单的网页打印件（网页打印件须自投标公告发布之日起至投标截止时间从上述网站中打印）。被列入以上条款尚在处罚期内的将拒绝其参本次采购活动；</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⑪供应商反商业贿赂承诺书（附件10）</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⑫投标保证金提交证明</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sectPr>
          <w:pgSz w:w="11906" w:h="16838"/>
          <w:pgMar w:top="1304" w:right="1247" w:bottom="1418" w:left="1247" w:header="851" w:footer="992" w:gutter="0"/>
          <w:cols w:space="720" w:num="1"/>
          <w:docGrid w:linePitch="312" w:charSpace="0"/>
        </w:sectPr>
      </w:pP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附件6：</w:t>
      </w:r>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七、类似业绩</w:t>
      </w:r>
    </w:p>
    <w:p>
      <w:pPr>
        <w:spacing w:line="400" w:lineRule="exact"/>
        <w:jc w:val="center"/>
        <w:rPr>
          <w:rFonts w:ascii="仿宋" w:hAnsi="仿宋" w:eastAsia="仿宋" w:cs="仿宋"/>
          <w:color w:val="000000" w:themeColor="text1"/>
          <w:sz w:val="24"/>
          <w:szCs w:val="24"/>
          <w14:textFill>
            <w14:solidFill>
              <w14:schemeClr w14:val="tx1"/>
            </w14:solidFill>
          </w14:textFill>
        </w:rPr>
      </w:pPr>
    </w:p>
    <w:tbl>
      <w:tblPr>
        <w:tblStyle w:val="39"/>
        <w:tblW w:w="9224" w:type="dxa"/>
        <w:jc w:val="center"/>
        <w:tblLayout w:type="fixed"/>
        <w:tblCellMar>
          <w:top w:w="0" w:type="dxa"/>
          <w:left w:w="108" w:type="dxa"/>
          <w:bottom w:w="0" w:type="dxa"/>
          <w:right w:w="108" w:type="dxa"/>
        </w:tblCellMar>
      </w:tblPr>
      <w:tblGrid>
        <w:gridCol w:w="727"/>
        <w:gridCol w:w="2445"/>
        <w:gridCol w:w="1704"/>
        <w:gridCol w:w="1543"/>
        <w:gridCol w:w="1440"/>
        <w:gridCol w:w="1365"/>
      </w:tblGrid>
      <w:tr>
        <w:tblPrEx>
          <w:tblCellMar>
            <w:top w:w="0" w:type="dxa"/>
            <w:left w:w="108" w:type="dxa"/>
            <w:bottom w:w="0" w:type="dxa"/>
            <w:right w:w="108" w:type="dxa"/>
          </w:tblCellMar>
        </w:tblPrEx>
        <w:trPr>
          <w:trHeight w:val="1020"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序号</w:t>
            </w:r>
          </w:p>
        </w:tc>
        <w:tc>
          <w:tcPr>
            <w:tcW w:w="24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项目名称</w:t>
            </w:r>
          </w:p>
        </w:tc>
        <w:tc>
          <w:tcPr>
            <w:tcW w:w="17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采购单位名称</w:t>
            </w:r>
          </w:p>
        </w:tc>
        <w:tc>
          <w:tcPr>
            <w:tcW w:w="15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采购单位联系人及电话</w:t>
            </w:r>
          </w:p>
        </w:tc>
        <w:tc>
          <w:tcPr>
            <w:tcW w:w="14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合同金额</w:t>
            </w:r>
          </w:p>
        </w:tc>
        <w:tc>
          <w:tcPr>
            <w:tcW w:w="13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签订日期</w:t>
            </w: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bl>
    <w:p>
      <w:pPr>
        <w:spacing w:line="400" w:lineRule="exact"/>
        <w:ind w:firstLine="240" w:firstLineChars="1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注：后附相关证明材料</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rPr>
          <w:rFonts w:ascii="仿宋" w:hAnsi="仿宋" w:eastAsia="仿宋" w:cs="仿宋"/>
          <w:b/>
          <w:bCs/>
          <w:color w:val="000000" w:themeColor="text1"/>
          <w:sz w:val="24"/>
          <w:szCs w:val="24"/>
          <w14:textFill>
            <w14:solidFill>
              <w14:schemeClr w14:val="tx1"/>
            </w14:solidFill>
          </w14:textFill>
        </w:rPr>
      </w:pPr>
    </w:p>
    <w:p>
      <w:pPr>
        <w:snapToGrid w:val="0"/>
        <w:spacing w:line="400" w:lineRule="exact"/>
        <w:jc w:val="center"/>
        <w:rPr>
          <w:rFonts w:ascii="仿宋" w:hAnsi="仿宋" w:eastAsia="仿宋" w:cs="仿宋"/>
          <w:b/>
          <w:color w:val="000000" w:themeColor="text1"/>
          <w:sz w:val="24"/>
          <w:szCs w:val="24"/>
          <w14:textFill>
            <w14:solidFill>
              <w14:schemeClr w14:val="tx1"/>
            </w14:solidFill>
          </w14:textFill>
        </w:rPr>
      </w:pPr>
    </w:p>
    <w:p>
      <w:pPr>
        <w:snapToGrid w:val="0"/>
        <w:spacing w:line="400" w:lineRule="exact"/>
        <w:jc w:val="center"/>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附件7：</w:t>
      </w:r>
    </w:p>
    <w:p>
      <w:pPr>
        <w:snapToGrid w:val="0"/>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八、技术偏离表</w:t>
      </w:r>
    </w:p>
    <w:tbl>
      <w:tblPr>
        <w:tblStyle w:val="39"/>
        <w:tblW w:w="9755" w:type="dxa"/>
        <w:jc w:val="center"/>
        <w:tblLayout w:type="fixed"/>
        <w:tblCellMar>
          <w:top w:w="0" w:type="dxa"/>
          <w:left w:w="0" w:type="dxa"/>
          <w:bottom w:w="0" w:type="dxa"/>
          <w:right w:w="0" w:type="dxa"/>
        </w:tblCellMar>
      </w:tblPr>
      <w:tblGrid>
        <w:gridCol w:w="672"/>
        <w:gridCol w:w="2383"/>
        <w:gridCol w:w="2302"/>
        <w:gridCol w:w="2495"/>
        <w:gridCol w:w="1203"/>
        <w:gridCol w:w="700"/>
      </w:tblGrid>
      <w:tr>
        <w:tblPrEx>
          <w:tblCellMar>
            <w:top w:w="0" w:type="dxa"/>
            <w:left w:w="0" w:type="dxa"/>
            <w:bottom w:w="0" w:type="dxa"/>
            <w:right w:w="0" w:type="dxa"/>
          </w:tblCellMar>
        </w:tblPrEx>
        <w:trPr>
          <w:cantSplit/>
          <w:trHeight w:val="549" w:hRule="atLeast"/>
          <w:jc w:val="center"/>
        </w:trPr>
        <w:tc>
          <w:tcPr>
            <w:tcW w:w="67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序号</w:t>
            </w:r>
          </w:p>
        </w:tc>
        <w:tc>
          <w:tcPr>
            <w:tcW w:w="2383"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招标内容</w:t>
            </w:r>
          </w:p>
        </w:tc>
        <w:tc>
          <w:tcPr>
            <w:tcW w:w="4797" w:type="dxa"/>
            <w:gridSpan w:val="2"/>
            <w:tcBorders>
              <w:top w:val="single" w:color="auto" w:sz="4" w:space="0"/>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规格响应情况</w:t>
            </w:r>
          </w:p>
        </w:tc>
        <w:tc>
          <w:tcPr>
            <w:tcW w:w="120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偏离情况</w:t>
            </w:r>
          </w:p>
        </w:tc>
        <w:tc>
          <w:tcPr>
            <w:tcW w:w="70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说明</w:t>
            </w:r>
          </w:p>
        </w:tc>
      </w:tr>
      <w:tr>
        <w:tblPrEx>
          <w:tblCellMar>
            <w:top w:w="0" w:type="dxa"/>
            <w:left w:w="0" w:type="dxa"/>
            <w:bottom w:w="0" w:type="dxa"/>
            <w:right w:w="0" w:type="dxa"/>
          </w:tblCellMar>
        </w:tblPrEx>
        <w:trPr>
          <w:cantSplit/>
          <w:trHeight w:val="1048" w:hRule="atLeast"/>
          <w:jc w:val="center"/>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8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pStyle w:val="23"/>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投标文件技术要求</w:t>
            </w:r>
          </w:p>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的内容与数值</w:t>
            </w: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pStyle w:val="23"/>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投标供应商的技术响</w:t>
            </w:r>
          </w:p>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应内容与数值</w:t>
            </w: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59" w:hRule="atLeast"/>
          <w:jc w:val="center"/>
        </w:trPr>
        <w:tc>
          <w:tcPr>
            <w:tcW w:w="672" w:type="dxa"/>
            <w:tcBorders>
              <w:top w:val="nil"/>
              <w:left w:val="single" w:color="auto" w:sz="4" w:space="0"/>
              <w:bottom w:val="single" w:color="auto" w:sz="4" w:space="0"/>
              <w:right w:val="single" w:color="auto" w:sz="4" w:space="0"/>
            </w:tcBorders>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r>
    </w:tbl>
    <w:p>
      <w:pPr>
        <w:snapToGrid w:val="0"/>
        <w:spacing w:line="400" w:lineRule="exact"/>
        <w:jc w:val="center"/>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注：无论正偏离或负偏离,供应商均需在“技术偏离表”一栏中列明响应的详细内容，否则视同供应商响应情况为“响应”。</w:t>
      </w:r>
    </w:p>
    <w:p>
      <w:pPr>
        <w:pStyle w:val="23"/>
        <w:spacing w:line="400" w:lineRule="exact"/>
        <w:jc w:val="center"/>
        <w:rPr>
          <w:rFonts w:ascii="仿宋" w:hAnsi="仿宋" w:eastAsia="仿宋" w:cs="仿宋"/>
          <w:b/>
          <w:color w:val="000000" w:themeColor="text1"/>
          <w:sz w:val="24"/>
          <w:szCs w:val="24"/>
          <w14:textFill>
            <w14:solidFill>
              <w14:schemeClr w14:val="tx1"/>
            </w14:solidFill>
          </w14:textFill>
        </w:rPr>
      </w:pPr>
    </w:p>
    <w:p>
      <w:pPr>
        <w:pStyle w:val="31"/>
        <w:spacing w:line="400" w:lineRule="exact"/>
        <w:ind w:left="480" w:hanging="480"/>
        <w:rPr>
          <w:rFonts w:ascii="仿宋" w:hAnsi="仿宋" w:eastAsia="仿宋" w:cs="仿宋"/>
          <w:b w:val="0"/>
          <w:color w:val="000000" w:themeColor="text1"/>
          <w:szCs w:val="24"/>
          <w14:textFill>
            <w14:solidFill>
              <w14:schemeClr w14:val="tx1"/>
            </w14:solidFill>
          </w14:textFill>
        </w:rPr>
      </w:pPr>
    </w:p>
    <w:p>
      <w:pPr>
        <w:pStyle w:val="31"/>
        <w:spacing w:line="400" w:lineRule="exact"/>
        <w:ind w:left="480" w:hanging="480"/>
        <w:rPr>
          <w:rFonts w:ascii="仿宋" w:hAnsi="仿宋" w:eastAsia="仿宋" w:cs="仿宋"/>
          <w:b w:val="0"/>
          <w:color w:val="000000" w:themeColor="text1"/>
          <w:szCs w:val="24"/>
          <w14:textFill>
            <w14:solidFill>
              <w14:schemeClr w14:val="tx1"/>
            </w14:solidFill>
          </w14:textFill>
        </w:rPr>
      </w:pPr>
    </w:p>
    <w:p>
      <w:pPr>
        <w:spacing w:line="400" w:lineRule="exact"/>
        <w:rPr>
          <w:rFonts w:ascii="仿宋" w:hAnsi="仿宋" w:eastAsia="仿宋" w:cs="仿宋"/>
          <w:bCs/>
          <w:color w:val="000000" w:themeColor="text1"/>
          <w:sz w:val="24"/>
          <w:szCs w:val="24"/>
          <w14:textFill>
            <w14:solidFill>
              <w14:schemeClr w14:val="tx1"/>
            </w14:solidFill>
          </w14:textFill>
        </w:rPr>
      </w:pPr>
    </w:p>
    <w:p>
      <w:pPr>
        <w:spacing w:line="400" w:lineRule="exact"/>
        <w:rPr>
          <w:rFonts w:ascii="仿宋" w:hAnsi="仿宋" w:eastAsia="仿宋" w:cs="仿宋"/>
          <w:bCs/>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rPr>
          <w:rFonts w:ascii="仿宋" w:hAnsi="仿宋" w:eastAsia="仿宋" w:cs="仿宋"/>
          <w:b/>
          <w:bCs/>
          <w:color w:val="000000" w:themeColor="text1"/>
          <w:sz w:val="24"/>
          <w:szCs w:val="24"/>
          <w14:textFill>
            <w14:solidFill>
              <w14:schemeClr w14:val="tx1"/>
            </w14:solidFill>
          </w14:textFill>
        </w:rPr>
      </w:pPr>
    </w:p>
    <w:bookmarkEnd w:id="60"/>
    <w:p>
      <w:pPr>
        <w:pStyle w:val="7"/>
        <w:spacing w:line="400" w:lineRule="exact"/>
        <w:rPr>
          <w:rFonts w:ascii="仿宋" w:hAnsi="仿宋" w:eastAsia="仿宋" w:cs="仿宋"/>
          <w:color w:val="000000" w:themeColor="text1"/>
          <w:sz w:val="24"/>
          <w:szCs w:val="24"/>
          <w14:textFill>
            <w14:solidFill>
              <w14:schemeClr w14:val="tx1"/>
            </w14:solidFill>
          </w14:textFill>
        </w:rPr>
        <w:sectPr>
          <w:pgSz w:w="11906" w:h="16838"/>
          <w:pgMar w:top="1304" w:right="1247" w:bottom="1418" w:left="1247" w:header="851" w:footer="992" w:gutter="0"/>
          <w:cols w:space="720" w:num="1"/>
          <w:docGrid w:linePitch="312" w:charSpace="0"/>
        </w:sectPr>
      </w:pPr>
      <w:bookmarkStart w:id="61" w:name="_Toc400536597"/>
      <w:bookmarkStart w:id="62" w:name="_Toc258923314"/>
    </w:p>
    <w:bookmarkEnd w:id="61"/>
    <w:bookmarkEnd w:id="62"/>
    <w:p>
      <w:pPr>
        <w:snapToGrid w:val="0"/>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九、技术部分</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技术部分包含但不限于以下内容：</w:t>
      </w:r>
    </w:p>
    <w:p>
      <w:pPr>
        <w:numPr>
          <w:ilvl w:val="0"/>
          <w:numId w:val="8"/>
        </w:num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生产企业特点、产品规格、供货时限、安全性</w:t>
      </w:r>
    </w:p>
    <w:p>
      <w:pPr>
        <w:numPr>
          <w:ilvl w:val="0"/>
          <w:numId w:val="8"/>
        </w:num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对于所投产品的研发实力、技术革新或成果、专利、实用性、所投产品检验报告、病毒含量</w:t>
      </w:r>
    </w:p>
    <w:p>
      <w:pPr>
        <w:numPr>
          <w:ilvl w:val="0"/>
          <w:numId w:val="8"/>
        </w:num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技术培训、售后服务的内容和措施</w:t>
      </w:r>
    </w:p>
    <w:p>
      <w:pPr>
        <w:numPr>
          <w:ilvl w:val="0"/>
          <w:numId w:val="8"/>
        </w:num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优惠条件:投标人承诺给予招标人的各种优惠条件，包括售后服务、备品备件、专用耗材等方面的优惠（附件8）</w:t>
      </w:r>
    </w:p>
    <w:p>
      <w:pPr>
        <w:numPr>
          <w:ilvl w:val="0"/>
          <w:numId w:val="8"/>
        </w:num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投标人需要说明的其他文件和说明(格式略)。</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sectPr>
          <w:pgSz w:w="11906" w:h="16838"/>
          <w:pgMar w:top="1304" w:right="1247" w:bottom="1417" w:left="1247" w:header="851" w:footer="992" w:gutter="0"/>
          <w:cols w:space="720" w:num="1"/>
          <w:docGrid w:type="lines" w:linePitch="312" w:charSpace="0"/>
        </w:sectPr>
      </w:pP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附件8：</w:t>
      </w:r>
    </w:p>
    <w:p>
      <w:pPr>
        <w:spacing w:line="400" w:lineRule="exact"/>
        <w:jc w:val="center"/>
        <w:rPr>
          <w:rFonts w:ascii="仿宋" w:hAnsi="仿宋" w:eastAsia="仿宋" w:cs="仿宋"/>
          <w:b/>
          <w:color w:val="000000" w:themeColor="text1"/>
          <w:sz w:val="24"/>
          <w:szCs w:val="24"/>
          <w14:textFill>
            <w14:solidFill>
              <w14:schemeClr w14:val="tx1"/>
            </w14:solidFill>
          </w14:textFill>
        </w:rPr>
      </w:pPr>
      <w:bookmarkStart w:id="63" w:name="_Toc258923315"/>
      <w:bookmarkStart w:id="64" w:name="_Toc400536598"/>
      <w:r>
        <w:rPr>
          <w:rFonts w:hint="eastAsia" w:ascii="仿宋" w:hAnsi="仿宋" w:eastAsia="仿宋" w:cs="仿宋"/>
          <w:b/>
          <w:color w:val="000000" w:themeColor="text1"/>
          <w:sz w:val="24"/>
          <w:szCs w:val="24"/>
          <w14:textFill>
            <w14:solidFill>
              <w14:schemeClr w14:val="tx1"/>
            </w14:solidFill>
          </w14:textFill>
        </w:rPr>
        <w:t>优惠条件承诺书</w:t>
      </w:r>
      <w:bookmarkEnd w:id="63"/>
      <w:bookmarkEnd w:id="64"/>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致：宏业国际项目管理有限公司</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经仔细阅读你们的投标文件，对所投标项目向贵单位特作如下优惠条件承诺：</w:t>
      </w:r>
    </w:p>
    <w:p>
      <w:pPr>
        <w:spacing w:line="400" w:lineRule="exact"/>
        <w:ind w:firstLine="360" w:firstLineChars="15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p>
      <w:pPr>
        <w:spacing w:line="400" w:lineRule="exact"/>
        <w:ind w:firstLine="360" w:firstLineChars="15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p>
      <w:pPr>
        <w:spacing w:line="400" w:lineRule="exact"/>
        <w:ind w:firstLine="360" w:firstLineChars="15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p>
    <w:p>
      <w:pPr>
        <w:spacing w:line="400" w:lineRule="exact"/>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特此承诺！</w:t>
      </w:r>
    </w:p>
    <w:p>
      <w:pPr>
        <w:spacing w:line="400" w:lineRule="exact"/>
        <w:textAlignment w:val="baseline"/>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职务：</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地址：</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电话：</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传真：</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日期：</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日</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r>
        <w:rPr>
          <w:rFonts w:hint="eastAsia" w:ascii="仿宋" w:hAnsi="仿宋" w:eastAsia="仿宋" w:cs="仿宋"/>
          <w:b/>
          <w:color w:val="000000" w:themeColor="text1"/>
          <w:sz w:val="24"/>
          <w:szCs w:val="24"/>
          <w14:textFill>
            <w14:solidFill>
              <w14:schemeClr w14:val="tx1"/>
            </w14:solidFill>
          </w14:textFill>
        </w:rPr>
        <w:t>附件9：</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无重大违法记录声明</w:t>
      </w:r>
    </w:p>
    <w:p>
      <w:pPr>
        <w:spacing w:line="400" w:lineRule="exact"/>
        <w:jc w:val="center"/>
        <w:rPr>
          <w:rFonts w:ascii="仿宋" w:hAnsi="仿宋" w:eastAsia="仿宋" w:cs="仿宋"/>
          <w:b/>
          <w:bCs/>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致：宏业国际项目管理有限公司</w:t>
      </w:r>
    </w:p>
    <w:p>
      <w:pPr>
        <w:spacing w:line="400" w:lineRule="exact"/>
        <w:ind w:firstLine="48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我单位参加政府采购活动前三年内，在经营活动中没有重大违法记录。</w:t>
      </w:r>
    </w:p>
    <w:p>
      <w:pPr>
        <w:spacing w:line="400" w:lineRule="exact"/>
        <w:ind w:firstLine="48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若采购单位在本项目采购过程中发现我单位近三年内在经营活动中有重大违法记录，我单位将无条件地退出本项目的招标，并承担因此引起的一切后果。</w:t>
      </w:r>
    </w:p>
    <w:p>
      <w:pPr>
        <w:spacing w:line="400" w:lineRule="exact"/>
        <w:ind w:firstLine="480"/>
        <w:rPr>
          <w:rFonts w:ascii="仿宋" w:hAnsi="仿宋" w:eastAsia="仿宋" w:cs="仿宋"/>
          <w:bCs/>
          <w:color w:val="000000" w:themeColor="text1"/>
          <w:sz w:val="24"/>
          <w:szCs w:val="24"/>
          <w14:textFill>
            <w14:solidFill>
              <w14:schemeClr w14:val="tx1"/>
            </w14:solidFill>
          </w14:textFill>
        </w:rPr>
      </w:pPr>
    </w:p>
    <w:p>
      <w:pPr>
        <w:spacing w:line="400" w:lineRule="exact"/>
        <w:ind w:firstLine="480"/>
        <w:rPr>
          <w:rFonts w:ascii="仿宋" w:hAnsi="仿宋" w:eastAsia="仿宋" w:cs="仿宋"/>
          <w:bCs/>
          <w:color w:val="000000" w:themeColor="text1"/>
          <w:sz w:val="24"/>
          <w:szCs w:val="24"/>
          <w14:textFill>
            <w14:solidFill>
              <w14:schemeClr w14:val="tx1"/>
            </w14:solidFill>
          </w14:textFill>
        </w:rPr>
      </w:pPr>
    </w:p>
    <w:p>
      <w:pPr>
        <w:spacing w:line="400" w:lineRule="exact"/>
        <w:ind w:firstLine="48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特此声明!</w:t>
      </w:r>
    </w:p>
    <w:p>
      <w:pPr>
        <w:spacing w:line="400" w:lineRule="exact"/>
        <w:ind w:firstLine="480"/>
        <w:rPr>
          <w:rFonts w:ascii="仿宋" w:hAnsi="仿宋" w:eastAsia="仿宋" w:cs="仿宋"/>
          <w:bCs/>
          <w:color w:val="000000" w:themeColor="text1"/>
          <w:sz w:val="24"/>
          <w:szCs w:val="24"/>
          <w14:textFill>
            <w14:solidFill>
              <w14:schemeClr w14:val="tx1"/>
            </w14:solidFill>
          </w14:textFill>
        </w:rPr>
      </w:pPr>
    </w:p>
    <w:p>
      <w:pPr>
        <w:spacing w:line="400" w:lineRule="exact"/>
        <w:rPr>
          <w:rFonts w:ascii="仿宋" w:hAnsi="仿宋" w:eastAsia="仿宋" w:cs="仿宋"/>
          <w:bCs/>
          <w:color w:val="000000" w:themeColor="text1"/>
          <w:sz w:val="24"/>
          <w:szCs w:val="24"/>
          <w14:textFill>
            <w14:solidFill>
              <w14:schemeClr w14:val="tx1"/>
            </w14:solidFill>
          </w14:textFill>
        </w:rPr>
      </w:pPr>
    </w:p>
    <w:p>
      <w:pPr>
        <w:spacing w:line="400" w:lineRule="exact"/>
        <w:rPr>
          <w:rFonts w:ascii="仿宋" w:hAnsi="仿宋" w:eastAsia="仿宋" w:cs="仿宋"/>
          <w:bCs/>
          <w:color w:val="000000" w:themeColor="text1"/>
          <w:sz w:val="24"/>
          <w:szCs w:val="24"/>
          <w14:textFill>
            <w14:solidFill>
              <w14:schemeClr w14:val="tx1"/>
            </w14:solidFill>
          </w14:textFill>
        </w:rPr>
      </w:pPr>
    </w:p>
    <w:p>
      <w:pPr>
        <w:spacing w:line="400" w:lineRule="exact"/>
        <w:rPr>
          <w:rFonts w:ascii="仿宋" w:hAnsi="仿宋" w:eastAsia="仿宋" w:cs="仿宋"/>
          <w:bCs/>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附件10：</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十、供应商反商业贿赂承诺书</w:t>
      </w:r>
    </w:p>
    <w:p>
      <w:pPr>
        <w:autoSpaceDE w:val="0"/>
        <w:autoSpaceDN w:val="0"/>
        <w:adjustRightInd w:val="0"/>
        <w:spacing w:line="400" w:lineRule="exact"/>
        <w:jc w:val="left"/>
        <w:rPr>
          <w:rFonts w:ascii="仿宋" w:hAnsi="仿宋" w:eastAsia="仿宋" w:cs="仿宋"/>
          <w:color w:val="000000" w:themeColor="text1"/>
          <w:kern w:val="0"/>
          <w:sz w:val="24"/>
          <w:szCs w:val="24"/>
          <w14:textFill>
            <w14:solidFill>
              <w14:schemeClr w14:val="tx1"/>
            </w14:solidFill>
          </w14:textFill>
        </w:rPr>
      </w:pPr>
    </w:p>
    <w:p>
      <w:pPr>
        <w:autoSpaceDE w:val="0"/>
        <w:autoSpaceDN w:val="0"/>
        <w:adjustRightInd w:val="0"/>
        <w:spacing w:line="400" w:lineRule="exact"/>
        <w:ind w:firstLine="432"/>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我公司承诺在</w:t>
      </w:r>
      <w:r>
        <w:rPr>
          <w:rFonts w:hint="eastAsia" w:ascii="仿宋" w:hAnsi="仿宋" w:eastAsia="仿宋" w:cs="仿宋"/>
          <w:color w:val="000000" w:themeColor="text1"/>
          <w:kern w:val="0"/>
          <w:sz w:val="24"/>
          <w:szCs w:val="24"/>
          <w:u w:val="single"/>
          <w14:textFill>
            <w14:solidFill>
              <w14:schemeClr w14:val="tx1"/>
            </w14:solidFill>
          </w14:textFill>
        </w:rPr>
        <w:t>（项目编号、项目名称）</w:t>
      </w:r>
      <w:r>
        <w:rPr>
          <w:rFonts w:hint="eastAsia" w:ascii="仿宋" w:hAnsi="仿宋" w:eastAsia="仿宋" w:cs="仿宋"/>
          <w:color w:val="000000" w:themeColor="text1"/>
          <w:kern w:val="0"/>
          <w:sz w:val="24"/>
          <w:szCs w:val="24"/>
          <w14:textFill>
            <w14:solidFill>
              <w14:schemeClr w14:val="tx1"/>
            </w14:solidFill>
          </w14:textFill>
        </w:rPr>
        <w:t xml:space="preserve">招标活动中，不给予国家工作人员以及中介机构工作人员及其亲属各种形式的商业贿赂（包括送礼金礼品、有价证券、购物券、回 扣、佣金、咨询费、劳务费、赞助费、宣传费、支付旅游费用、报销各种消费凭证、宴请、娱乐等），如有上述行为，我公司及项目参与人员愿意按照《反不正当竞争法》的 有关规定接受处罚 </w:t>
      </w:r>
    </w:p>
    <w:p>
      <w:pPr>
        <w:autoSpaceDE w:val="0"/>
        <w:autoSpaceDN w:val="0"/>
        <w:adjustRightInd w:val="0"/>
        <w:spacing w:line="400" w:lineRule="exact"/>
        <w:jc w:val="left"/>
        <w:rPr>
          <w:rFonts w:ascii="仿宋" w:hAnsi="仿宋" w:eastAsia="仿宋" w:cs="仿宋"/>
          <w:color w:val="000000" w:themeColor="text1"/>
          <w:kern w:val="0"/>
          <w:sz w:val="24"/>
          <w:szCs w:val="24"/>
          <w14:textFill>
            <w14:solidFill>
              <w14:schemeClr w14:val="tx1"/>
            </w14:solidFill>
          </w14:textFill>
        </w:rPr>
      </w:pPr>
    </w:p>
    <w:p>
      <w:pPr>
        <w:autoSpaceDE w:val="0"/>
        <w:autoSpaceDN w:val="0"/>
        <w:adjustRightInd w:val="0"/>
        <w:spacing w:line="400" w:lineRule="exact"/>
        <w:ind w:firstLine="897"/>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法定代表人：</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p>
    <w:p>
      <w:pPr>
        <w:autoSpaceDE w:val="0"/>
        <w:autoSpaceDN w:val="0"/>
        <w:adjustRightInd w:val="0"/>
        <w:spacing w:line="400" w:lineRule="exact"/>
        <w:ind w:firstLine="897"/>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法人授权代表：</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p>
    <w:p>
      <w:pPr>
        <w:autoSpaceDE w:val="0"/>
        <w:autoSpaceDN w:val="0"/>
        <w:adjustRightInd w:val="0"/>
        <w:spacing w:line="400" w:lineRule="exact"/>
        <w:ind w:firstLine="897"/>
        <w:jc w:val="left"/>
        <w:rPr>
          <w:rFonts w:ascii="仿宋" w:hAnsi="仿宋" w:eastAsia="仿宋" w:cs="仿宋"/>
          <w:b/>
          <w:bCs/>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项目经办人： </w:t>
      </w:r>
      <w:r>
        <w:rPr>
          <w:rFonts w:hint="eastAsia" w:ascii="仿宋" w:hAnsi="仿宋" w:eastAsia="仿宋" w:cs="仿宋"/>
          <w:color w:val="000000" w:themeColor="text1"/>
          <w:kern w:val="0"/>
          <w:sz w:val="24"/>
          <w:szCs w:val="24"/>
          <w:u w:val="single"/>
          <w14:textFill>
            <w14:solidFill>
              <w14:schemeClr w14:val="tx1"/>
            </w14:solidFill>
          </w14:textFill>
        </w:rPr>
        <w:t xml:space="preserve">                          </w:t>
      </w:r>
    </w:p>
    <w:p>
      <w:pPr>
        <w:autoSpaceDE w:val="0"/>
        <w:autoSpaceDN w:val="0"/>
        <w:adjustRightInd w:val="0"/>
        <w:spacing w:line="400" w:lineRule="exact"/>
        <w:jc w:val="left"/>
        <w:rPr>
          <w:rFonts w:ascii="仿宋" w:hAnsi="仿宋" w:eastAsia="仿宋" w:cs="仿宋"/>
          <w:color w:val="000000" w:themeColor="text1"/>
          <w:kern w:val="0"/>
          <w:sz w:val="24"/>
          <w:szCs w:val="24"/>
          <w14:textFill>
            <w14:solidFill>
              <w14:schemeClr w14:val="tx1"/>
            </w14:solidFill>
          </w14:textFill>
        </w:rPr>
      </w:pPr>
    </w:p>
    <w:p>
      <w:pPr>
        <w:autoSpaceDE w:val="0"/>
        <w:autoSpaceDN w:val="0"/>
        <w:adjustRightInd w:val="0"/>
        <w:spacing w:line="400" w:lineRule="exact"/>
        <w:ind w:firstLine="48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我公司承诺在参加本次投标前三年内，无以下行为： </w:t>
      </w:r>
    </w:p>
    <w:p>
      <w:pPr>
        <w:autoSpaceDE w:val="0"/>
        <w:autoSpaceDN w:val="0"/>
        <w:adjustRightInd w:val="0"/>
        <w:spacing w:line="400" w:lineRule="exact"/>
        <w:ind w:firstLine="48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重大违法行为； </w:t>
      </w:r>
    </w:p>
    <w:p>
      <w:pPr>
        <w:autoSpaceDE w:val="0"/>
        <w:autoSpaceDN w:val="0"/>
        <w:adjustRightInd w:val="0"/>
        <w:spacing w:line="400" w:lineRule="exact"/>
        <w:ind w:firstLine="48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商业贿赂行为； </w:t>
      </w:r>
    </w:p>
    <w:p>
      <w:pPr>
        <w:autoSpaceDE w:val="0"/>
        <w:autoSpaceDN w:val="0"/>
        <w:adjustRightInd w:val="0"/>
        <w:spacing w:line="400" w:lineRule="exact"/>
        <w:ind w:firstLine="48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政府采购法《第七十七条》，列入不良行为记录名单的各种行为； </w:t>
      </w:r>
    </w:p>
    <w:p>
      <w:pPr>
        <w:autoSpaceDE w:val="0"/>
        <w:autoSpaceDN w:val="0"/>
        <w:adjustRightInd w:val="0"/>
        <w:spacing w:line="400" w:lineRule="exact"/>
        <w:jc w:val="left"/>
        <w:rPr>
          <w:rFonts w:ascii="仿宋" w:hAnsi="仿宋" w:eastAsia="仿宋" w:cs="仿宋"/>
          <w:color w:val="000000" w:themeColor="text1"/>
          <w:kern w:val="0"/>
          <w:sz w:val="24"/>
          <w:szCs w:val="24"/>
          <w14:textFill>
            <w14:solidFill>
              <w14:schemeClr w14:val="tx1"/>
            </w14:solidFill>
          </w14:textFill>
        </w:rPr>
      </w:pPr>
    </w:p>
    <w:p>
      <w:pPr>
        <w:autoSpaceDE w:val="0"/>
        <w:autoSpaceDN w:val="0"/>
        <w:adjustRightInd w:val="0"/>
        <w:spacing w:line="400" w:lineRule="exact"/>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如有上述行为，我公司及项目参与人员自愿放弃本次项目的投标、报价资格，若为预中标、成交人，也自愿放弃中标、成交资格 </w:t>
      </w:r>
    </w:p>
    <w:p>
      <w:pPr>
        <w:autoSpaceDE w:val="0"/>
        <w:autoSpaceDN w:val="0"/>
        <w:adjustRightInd w:val="0"/>
        <w:spacing w:line="400" w:lineRule="exact"/>
        <w:ind w:firstLine="480"/>
        <w:jc w:val="left"/>
        <w:rPr>
          <w:rFonts w:ascii="仿宋" w:hAnsi="仿宋" w:eastAsia="仿宋" w:cs="仿宋"/>
          <w:b/>
          <w:bCs/>
          <w:color w:val="000000" w:themeColor="text1"/>
          <w:kern w:val="0"/>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pStyle w:val="34"/>
        <w:spacing w:line="400" w:lineRule="exact"/>
        <w:rPr>
          <w:rFonts w:ascii="仿宋" w:hAnsi="仿宋" w:eastAsia="仿宋" w:cs="仿宋"/>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widowControl/>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附件11：</w:t>
      </w:r>
    </w:p>
    <w:p>
      <w:pPr>
        <w:widowControl/>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中小微企业证明文件等（如有）</w:t>
      </w:r>
    </w:p>
    <w:p>
      <w:pPr>
        <w:widowControl/>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中小微企业证明文件</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认为本企业符合《关于印发中小企业划型标准规定的通知》（工信部联企业〔2011〕300号）规定的中小企业划型标准，属于小型或微型企业，且提供的标的物为本企业制造的货物、承担的工程或者服务，须进行声明并提交以下证明文件：小微企业声明函（按附表1格式填写，格式附后）。</w:t>
      </w:r>
    </w:p>
    <w:p>
      <w:pPr>
        <w:tabs>
          <w:tab w:val="left" w:pos="6300"/>
        </w:tabs>
        <w:snapToGrid w:val="0"/>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附表1：</w:t>
      </w:r>
    </w:p>
    <w:p>
      <w:pPr>
        <w:widowControl/>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小微企业声明函</w:t>
      </w:r>
    </w:p>
    <w:p>
      <w:pPr>
        <w:tabs>
          <w:tab w:val="left" w:pos="6300"/>
        </w:tabs>
        <w:snapToGrid w:val="0"/>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（采购人名称）：</w:t>
      </w:r>
    </w:p>
    <w:p>
      <w:pPr>
        <w:tabs>
          <w:tab w:val="left" w:pos="6300"/>
        </w:tabs>
        <w:snapToGrid w:val="0"/>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本公司郑重声明，根据《政府采购促进中小企业发展暂行办法》（财库〔2011〕181号）的规定。本公司为</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（请填写：小型、微型）企业。即，本公司同时满足以下条件：</w:t>
      </w:r>
    </w:p>
    <w:p>
      <w:pPr>
        <w:tabs>
          <w:tab w:val="left" w:pos="6300"/>
        </w:tabs>
        <w:snapToGrid w:val="0"/>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1.根据《工业和信息化部、国家统计局、国家发展和改革委员会、财政部关于印发中小企业划型标准规定的通知》（工信部联企业〔2011〕300号）规定的划分标准，本公司为</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行业（行业类别）的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（请填写：小型、微型）企业。</w:t>
      </w:r>
    </w:p>
    <w:p>
      <w:pPr>
        <w:tabs>
          <w:tab w:val="left" w:pos="6300"/>
        </w:tabs>
        <w:snapToGrid w:val="0"/>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2.本公司参加</w:t>
      </w:r>
      <w:r>
        <w:rPr>
          <w:rFonts w:hint="eastAsia" w:ascii="仿宋" w:hAnsi="仿宋" w:eastAsia="仿宋" w:cs="仿宋"/>
          <w:color w:val="000000" w:themeColor="text1"/>
          <w:kern w:val="0"/>
          <w:sz w:val="24"/>
          <w:szCs w:val="24"/>
          <w14:textFill>
            <w14:solidFill>
              <w14:schemeClr w14:val="tx1"/>
            </w14:solidFill>
          </w14:textFill>
        </w:rPr>
        <w:t>本项目提供本企业制造的货物、承担的工程或者服务，或者提供其它小微企业制造的货物。本项目采购的货物、工程或者服务</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（请填写：“全部由我公司提供”、“部分由我公司提供”、或“全部不是我公司提供”）。</w:t>
      </w:r>
      <w:r>
        <w:rPr>
          <w:rFonts w:hint="eastAsia" w:ascii="仿宋" w:hAnsi="仿宋" w:eastAsia="仿宋" w:cs="仿宋"/>
          <w:color w:val="000000" w:themeColor="text1"/>
          <w:sz w:val="24"/>
          <w:szCs w:val="24"/>
          <w14:textFill>
            <w14:solidFill>
              <w14:schemeClr w14:val="tx1"/>
            </w14:solidFill>
          </w14:textFill>
        </w:rPr>
        <w:t>本条所称货物不包括使用大中型企业注册商标的货物。</w:t>
      </w:r>
    </w:p>
    <w:p>
      <w:pPr>
        <w:tabs>
          <w:tab w:val="left" w:pos="6300"/>
        </w:tabs>
        <w:snapToGrid w:val="0"/>
        <w:spacing w:line="400" w:lineRule="exact"/>
        <w:ind w:firstLine="480" w:firstLineChars="200"/>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企业基本情况表</w:t>
      </w:r>
    </w:p>
    <w:tbl>
      <w:tblPr>
        <w:tblStyle w:val="3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73"/>
        <w:gridCol w:w="2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应纳税所得额（万元）</w:t>
            </w: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从业人员（名）</w:t>
            </w: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p>
        </w:tc>
      </w:tr>
    </w:tbl>
    <w:p>
      <w:pPr>
        <w:tabs>
          <w:tab w:val="left" w:pos="6300"/>
        </w:tabs>
        <w:snapToGrid w:val="0"/>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本公司对上述声明的真实性负责。如有虚假，将依法承担相应责任。</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说明：</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1.填写前请认真阅读《工业和信息化部、国家统计局、国家发展和改革委员会、财政部关于印发中小企业划型标准规定的通知》（工信部联企业[2011]300号）和《财政部 工业和信息化部关于印发＜政府采购促进中小企业发展暂行办法＞的通知》(财库[2011]181号)相关规定。</w:t>
      </w:r>
    </w:p>
    <w:p>
      <w:pPr>
        <w:tabs>
          <w:tab w:val="left" w:pos="6300"/>
        </w:tabs>
        <w:snapToGrid w:val="0"/>
        <w:spacing w:line="400" w:lineRule="exact"/>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2.填写《企业基本情况表》时，应注意以下事项：①除建筑业、房地产开发经营、租赁和商务服务业等三个行业外，其余行业无需填写资产总额项；②农、林、牧、渔业无需填写从业人员和资产总额项。</w:t>
      </w:r>
    </w:p>
    <w:p>
      <w:pPr>
        <w:tabs>
          <w:tab w:val="left" w:pos="6300"/>
        </w:tabs>
        <w:snapToGrid w:val="0"/>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投标人填写本函第2条若是填写“部分由我公司制造”或“全部不是我公司制造”的，还需提供所涉及的其它企业的《小微企业声明函》，否则视为投标人提供非小微企业的货物、工程或服务。所涉及的其它企业填写《小微企业声明函》时可不填写第2条。</w:t>
      </w:r>
    </w:p>
    <w:p>
      <w:pPr>
        <w:tabs>
          <w:tab w:val="left" w:pos="6300"/>
        </w:tabs>
        <w:snapToGrid w:val="0"/>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4.出具此声明函的供应商须提供国家企业信用信息公示系统（ http://www.Ssxt.Sov.cn/index.html）或小微企业名录网（ http://xwqy.Ssxt.Sov.cn）的网络截图，如未附明确的小微企业名录网络截图的，将不按小型、微型企业处理。如已附网络截图但有虚假的，</w:t>
      </w:r>
      <w:r>
        <w:rPr>
          <w:rFonts w:hint="eastAsia" w:ascii="仿宋" w:hAnsi="仿宋" w:eastAsia="仿宋" w:cs="仿宋"/>
          <w:color w:val="000000" w:themeColor="text1"/>
          <w:kern w:val="0"/>
          <w:sz w:val="24"/>
          <w:szCs w:val="24"/>
          <w14:textFill>
            <w14:solidFill>
              <w14:schemeClr w14:val="tx1"/>
            </w14:solidFill>
          </w14:textFill>
        </w:rPr>
        <w:t>按提供虚假资料进行处理。</w:t>
      </w:r>
    </w:p>
    <w:p>
      <w:pPr>
        <w:tabs>
          <w:tab w:val="left" w:pos="6300"/>
        </w:tabs>
        <w:snapToGrid w:val="0"/>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5.其他证明材料（上一年度或近期的审计报告，须能反映出资产总额、应纳税所得额等指标）。</w:t>
      </w:r>
    </w:p>
    <w:p>
      <w:pPr>
        <w:pStyle w:val="23"/>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6.未按上述要求填写并提供证明材料的，评审时不予以考虑</w:t>
      </w:r>
    </w:p>
    <w:p>
      <w:pPr>
        <w:pStyle w:val="23"/>
        <w:spacing w:line="400" w:lineRule="exact"/>
        <w:rPr>
          <w:rFonts w:ascii="仿宋" w:hAnsi="仿宋" w:eastAsia="仿宋" w:cs="仿宋"/>
          <w:color w:val="000000" w:themeColor="text1"/>
          <w:sz w:val="24"/>
          <w:szCs w:val="24"/>
          <w14:textFill>
            <w14:solidFill>
              <w14:schemeClr w14:val="tx1"/>
            </w14:solidFill>
          </w14:textFill>
        </w:rPr>
      </w:pPr>
    </w:p>
    <w:p>
      <w:pPr>
        <w:pStyle w:val="23"/>
        <w:spacing w:line="400" w:lineRule="exact"/>
        <w:rPr>
          <w:rFonts w:ascii="仿宋" w:hAnsi="仿宋" w:eastAsia="仿宋" w:cs="仿宋"/>
          <w:color w:val="000000" w:themeColor="text1"/>
          <w:sz w:val="24"/>
          <w:szCs w:val="24"/>
          <w14:textFill>
            <w14:solidFill>
              <w14:schemeClr w14:val="tx1"/>
            </w14:solidFill>
          </w14:textFill>
        </w:rPr>
      </w:pPr>
    </w:p>
    <w:p>
      <w:pPr>
        <w:pStyle w:val="23"/>
        <w:spacing w:line="400" w:lineRule="exact"/>
        <w:rPr>
          <w:rFonts w:ascii="仿宋" w:hAnsi="仿宋" w:eastAsia="仿宋" w:cs="仿宋"/>
          <w:color w:val="000000" w:themeColor="text1"/>
          <w:sz w:val="24"/>
          <w:szCs w:val="24"/>
          <w14:textFill>
            <w14:solidFill>
              <w14:schemeClr w14:val="tx1"/>
            </w14:solidFill>
          </w14:textFill>
        </w:rPr>
      </w:pPr>
    </w:p>
    <w:p>
      <w:pPr>
        <w:pStyle w:val="23"/>
        <w:spacing w:line="400" w:lineRule="exact"/>
        <w:rPr>
          <w:rFonts w:ascii="仿宋" w:hAnsi="仿宋" w:eastAsia="仿宋" w:cs="仿宋"/>
          <w:color w:val="000000" w:themeColor="text1"/>
          <w:sz w:val="24"/>
          <w:szCs w:val="24"/>
          <w14:textFill>
            <w14:solidFill>
              <w14:schemeClr w14:val="tx1"/>
            </w14:solidFill>
          </w14:textFill>
        </w:rPr>
        <w:sectPr>
          <w:pgSz w:w="11906" w:h="16838"/>
          <w:pgMar w:top="1304" w:right="1247" w:bottom="1417" w:left="1247" w:header="851" w:footer="992" w:gutter="0"/>
          <w:cols w:space="720" w:num="1"/>
          <w:docGrid w:type="lines" w:linePitch="312" w:charSpace="0"/>
        </w:sectPr>
      </w:pP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pPr>
      <w:r>
        <w:rPr>
          <w:rFonts w:hint="eastAsia" w:hAnsi="宋体" w:cs="宋体"/>
          <w:b/>
          <w:color w:val="000000" w:themeColor="text1"/>
          <w:sz w:val="28"/>
          <w:szCs w:val="28"/>
          <w14:textFill>
            <w14:solidFill>
              <w14:schemeClr w14:val="tx1"/>
            </w14:solidFill>
          </w14:textFill>
        </w:rPr>
        <w:t>投标人（2021年）财务状况</w:t>
      </w: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adjustRightInd w:val="0"/>
        <w:snapToGrid w:val="0"/>
        <w:spacing w:line="360" w:lineRule="auto"/>
        <w:rPr>
          <w:rFonts w:hAnsi="宋体" w:cs="宋体"/>
          <w:b/>
          <w:color w:val="000000" w:themeColor="text1"/>
          <w:sz w:val="22"/>
          <w:lang w:val="zh-CN"/>
          <w14:textFill>
            <w14:solidFill>
              <w14:schemeClr w14:val="tx1"/>
            </w14:solidFill>
          </w14:textFill>
        </w:rPr>
      </w:pPr>
      <w:r>
        <w:rPr>
          <w:rFonts w:hint="eastAsia" w:hAnsi="宋体" w:cs="宋体"/>
          <w:b/>
          <w:color w:val="000000" w:themeColor="text1"/>
          <w:sz w:val="22"/>
          <w:lang w:val="zh-CN"/>
          <w14:textFill>
            <w14:solidFill>
              <w14:schemeClr w14:val="tx1"/>
            </w14:solidFill>
          </w14:textFill>
        </w:rPr>
        <w:t>一、开户情况</w:t>
      </w:r>
    </w:p>
    <w:tbl>
      <w:tblPr>
        <w:tblStyle w:val="39"/>
        <w:tblW w:w="0" w:type="auto"/>
        <w:jc w:val="center"/>
        <w:tblLayout w:type="fixed"/>
        <w:tblCellMar>
          <w:top w:w="0" w:type="dxa"/>
          <w:left w:w="28" w:type="dxa"/>
          <w:bottom w:w="0" w:type="dxa"/>
          <w:right w:w="28" w:type="dxa"/>
        </w:tblCellMar>
      </w:tblPr>
      <w:tblGrid>
        <w:gridCol w:w="1451"/>
        <w:gridCol w:w="3480"/>
        <w:gridCol w:w="3720"/>
      </w:tblGrid>
      <w:tr>
        <w:tblPrEx>
          <w:tblCellMar>
            <w:top w:w="0" w:type="dxa"/>
            <w:left w:w="28" w:type="dxa"/>
            <w:bottom w:w="0" w:type="dxa"/>
            <w:right w:w="28" w:type="dxa"/>
          </w:tblCellMar>
        </w:tblPrEx>
        <w:trPr>
          <w:cantSplit/>
          <w:trHeight w:val="380" w:hRule="atLeast"/>
          <w:jc w:val="center"/>
        </w:trPr>
        <w:tc>
          <w:tcPr>
            <w:tcW w:w="1451" w:type="dxa"/>
            <w:vMerge w:val="restart"/>
            <w:tcBorders>
              <w:top w:val="single" w:color="auto" w:sz="6" w:space="0"/>
              <w:left w:val="single" w:color="auto" w:sz="6" w:space="0"/>
              <w:bottom w:val="nil"/>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开户银行</w:t>
            </w:r>
          </w:p>
        </w:tc>
        <w:tc>
          <w:tcPr>
            <w:tcW w:w="7200" w:type="dxa"/>
            <w:gridSpan w:val="2"/>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银行名称：</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7200" w:type="dxa"/>
            <w:gridSpan w:val="2"/>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银行地址：</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3480" w:type="dxa"/>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电话：</w:t>
            </w:r>
          </w:p>
        </w:tc>
        <w:tc>
          <w:tcPr>
            <w:tcW w:w="3720"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联系人及职务：</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3480" w:type="dxa"/>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传真：</w:t>
            </w:r>
          </w:p>
        </w:tc>
        <w:tc>
          <w:tcPr>
            <w:tcW w:w="3720"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电传：</w:t>
            </w:r>
          </w:p>
        </w:tc>
      </w:tr>
    </w:tbl>
    <w:p>
      <w:pPr>
        <w:pStyle w:val="23"/>
        <w:adjustRightInd w:val="0"/>
        <w:snapToGrid w:val="0"/>
        <w:spacing w:line="360" w:lineRule="auto"/>
        <w:rPr>
          <w:rFonts w:hAnsi="宋体" w:cs="宋体"/>
          <w:b/>
          <w:color w:val="000000" w:themeColor="text1"/>
          <w:sz w:val="22"/>
          <w:lang w:val="zh-CN"/>
          <w14:textFill>
            <w14:solidFill>
              <w14:schemeClr w14:val="tx1"/>
            </w14:solidFill>
          </w14:textFill>
        </w:rPr>
      </w:pPr>
    </w:p>
    <w:p>
      <w:pPr>
        <w:pStyle w:val="23"/>
        <w:adjustRightInd w:val="0"/>
        <w:snapToGrid w:val="0"/>
        <w:spacing w:line="360" w:lineRule="auto"/>
        <w:rPr>
          <w:rFonts w:hAnsi="宋体" w:cs="宋体"/>
          <w:b/>
          <w:color w:val="000000" w:themeColor="text1"/>
          <w:sz w:val="22"/>
          <w:lang w:val="zh-CN"/>
          <w14:textFill>
            <w14:solidFill>
              <w14:schemeClr w14:val="tx1"/>
            </w14:solidFill>
          </w14:textFill>
        </w:rPr>
      </w:pPr>
      <w:r>
        <w:rPr>
          <w:rFonts w:hint="eastAsia" w:hAnsi="宋体" w:cs="宋体"/>
          <w:b/>
          <w:color w:val="000000" w:themeColor="text1"/>
          <w:sz w:val="22"/>
          <w:lang w:val="zh-CN"/>
          <w14:textFill>
            <w14:solidFill>
              <w14:schemeClr w14:val="tx1"/>
            </w14:solidFill>
          </w14:textFill>
        </w:rPr>
        <w:t>二、资产负债情况</w:t>
      </w:r>
    </w:p>
    <w:tbl>
      <w:tblPr>
        <w:tblStyle w:val="39"/>
        <w:tblW w:w="0" w:type="auto"/>
        <w:jc w:val="center"/>
        <w:tblLayout w:type="fixed"/>
        <w:tblCellMar>
          <w:top w:w="0" w:type="dxa"/>
          <w:left w:w="28" w:type="dxa"/>
          <w:bottom w:w="0" w:type="dxa"/>
          <w:right w:w="28" w:type="dxa"/>
        </w:tblCellMar>
      </w:tblPr>
      <w:tblGrid>
        <w:gridCol w:w="2128"/>
        <w:gridCol w:w="6472"/>
      </w:tblGrid>
      <w:tr>
        <w:tblPrEx>
          <w:tblCellMar>
            <w:top w:w="0" w:type="dxa"/>
            <w:left w:w="28" w:type="dxa"/>
            <w:bottom w:w="0" w:type="dxa"/>
            <w:right w:w="28" w:type="dxa"/>
          </w:tblCellMar>
        </w:tblPrEx>
        <w:trPr>
          <w:cantSplit/>
          <w:trHeight w:val="450" w:hRule="atLeast"/>
          <w:jc w:val="center"/>
        </w:trPr>
        <w:tc>
          <w:tcPr>
            <w:tcW w:w="2128" w:type="dxa"/>
            <w:vMerge w:val="restart"/>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财务状况</w:t>
            </w:r>
          </w:p>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单位：元</w:t>
            </w:r>
          </w:p>
        </w:tc>
        <w:tc>
          <w:tcPr>
            <w:tcW w:w="6472" w:type="dxa"/>
            <w:vMerge w:val="restart"/>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20</w:t>
            </w:r>
            <w:r>
              <w:rPr>
                <w:rFonts w:hint="eastAsia" w:hAnsi="宋体" w:cs="宋体"/>
                <w:bCs/>
                <w:color w:val="000000" w:themeColor="text1"/>
                <w:sz w:val="22"/>
                <w14:textFill>
                  <w14:solidFill>
                    <w14:schemeClr w14:val="tx1"/>
                  </w14:solidFill>
                </w14:textFill>
              </w:rPr>
              <w:t>21</w:t>
            </w:r>
            <w:r>
              <w:rPr>
                <w:rFonts w:hint="eastAsia" w:hAnsi="宋体" w:cs="宋体"/>
                <w:bCs/>
                <w:color w:val="000000" w:themeColor="text1"/>
                <w:sz w:val="22"/>
                <w:lang w:val="zh-CN"/>
                <w14:textFill>
                  <w14:solidFill>
                    <w14:schemeClr w14:val="tx1"/>
                  </w14:solidFill>
                </w14:textFill>
              </w:rPr>
              <w:t>年</w:t>
            </w:r>
          </w:p>
        </w:tc>
      </w:tr>
      <w:tr>
        <w:tblPrEx>
          <w:tblCellMar>
            <w:top w:w="0" w:type="dxa"/>
            <w:left w:w="28" w:type="dxa"/>
            <w:bottom w:w="0" w:type="dxa"/>
            <w:right w:w="28" w:type="dxa"/>
          </w:tblCellMar>
        </w:tblPrEx>
        <w:trPr>
          <w:cantSplit/>
          <w:trHeight w:val="440" w:hRule="atLeast"/>
          <w:jc w:val="center"/>
        </w:trPr>
        <w:tc>
          <w:tcPr>
            <w:tcW w:w="2128" w:type="dxa"/>
            <w:vMerge w:val="continue"/>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c>
          <w:tcPr>
            <w:tcW w:w="6472" w:type="dxa"/>
            <w:vMerge w:val="continue"/>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1.总资产</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2.流动资产</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3.总负债</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4.流动负债</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5.税前利润</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6.税后利润</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bl>
    <w:p>
      <w:pPr>
        <w:pStyle w:val="23"/>
        <w:adjustRightInd w:val="0"/>
        <w:snapToGrid w:val="0"/>
        <w:spacing w:line="360" w:lineRule="auto"/>
        <w:rPr>
          <w:rFonts w:hAnsi="宋体" w:cs="宋体"/>
          <w:b/>
          <w:color w:val="000000" w:themeColor="text1"/>
          <w:sz w:val="22"/>
          <w:lang w:val="zh-CN"/>
          <w14:textFill>
            <w14:solidFill>
              <w14:schemeClr w14:val="tx1"/>
            </w14:solidFill>
          </w14:textFill>
        </w:rPr>
      </w:pPr>
    </w:p>
    <w:p>
      <w:pPr>
        <w:pStyle w:val="23"/>
        <w:adjustRightInd w:val="0"/>
        <w:snapToGrid w:val="0"/>
        <w:spacing w:line="360" w:lineRule="auto"/>
        <w:ind w:firstLine="442" w:firstLineChars="200"/>
        <w:rPr>
          <w:rFonts w:hAnsi="宋体" w:cs="宋体"/>
          <w:b/>
          <w:color w:val="000000" w:themeColor="text1"/>
          <w:sz w:val="22"/>
          <w:lang w:val="zh-CN"/>
          <w14:textFill>
            <w14:solidFill>
              <w14:schemeClr w14:val="tx1"/>
            </w14:solidFill>
          </w14:textFill>
        </w:rPr>
      </w:pPr>
      <w:r>
        <w:rPr>
          <w:rFonts w:hint="eastAsia" w:hAnsi="宋体" w:cs="宋体"/>
          <w:b/>
          <w:color w:val="000000" w:themeColor="text1"/>
          <w:sz w:val="22"/>
          <w:lang w:val="zh-CN"/>
          <w14:textFill>
            <w14:solidFill>
              <w14:schemeClr w14:val="tx1"/>
            </w14:solidFill>
          </w14:textFill>
        </w:rPr>
        <w:t>说明：后附20</w:t>
      </w:r>
      <w:r>
        <w:rPr>
          <w:rFonts w:hint="eastAsia" w:hAnsi="宋体" w:cs="宋体"/>
          <w:b/>
          <w:color w:val="000000" w:themeColor="text1"/>
          <w:sz w:val="22"/>
          <w14:textFill>
            <w14:solidFill>
              <w14:schemeClr w14:val="tx1"/>
            </w14:solidFill>
          </w14:textFill>
        </w:rPr>
        <w:t>21</w:t>
      </w:r>
      <w:r>
        <w:rPr>
          <w:rFonts w:hint="eastAsia" w:hAnsi="宋体" w:cs="宋体"/>
          <w:b/>
          <w:color w:val="000000" w:themeColor="text1"/>
          <w:sz w:val="22"/>
          <w:lang w:val="zh-CN"/>
          <w14:textFill>
            <w14:solidFill>
              <w14:schemeClr w14:val="tx1"/>
            </w14:solidFill>
          </w14:textFill>
        </w:rPr>
        <w:t>年度的财务报表，包括资产负债表、现金流量表和损益表（全本）。</w:t>
      </w:r>
    </w:p>
    <w:p>
      <w:pPr>
        <w:pStyle w:val="23"/>
        <w:adjustRightInd w:val="0"/>
        <w:snapToGrid w:val="0"/>
        <w:spacing w:line="360" w:lineRule="auto"/>
        <w:rPr>
          <w:rFonts w:hAnsi="宋体" w:cs="宋体"/>
          <w:b/>
          <w:color w:val="000000" w:themeColor="text1"/>
          <w:sz w:val="22"/>
          <w:lang w:val="zh-CN"/>
          <w14:textFill>
            <w14:solidFill>
              <w14:schemeClr w14:val="tx1"/>
            </w14:solidFill>
          </w14:textFill>
        </w:rPr>
      </w:pP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adjustRightInd w:val="0"/>
        <w:snapToGrid w:val="0"/>
        <w:spacing w:line="360" w:lineRule="auto"/>
        <w:ind w:firstLine="440" w:firstLineChars="200"/>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投标人：（盖章）：</w:t>
      </w:r>
      <w:r>
        <w:rPr>
          <w:rFonts w:hint="eastAsia" w:hAnsi="宋体" w:cs="宋体"/>
          <w:bCs/>
          <w:color w:val="000000" w:themeColor="text1"/>
          <w:sz w:val="22"/>
          <w:u w:val="single"/>
          <w14:textFill>
            <w14:solidFill>
              <w14:schemeClr w14:val="tx1"/>
            </w14:solidFill>
          </w14:textFill>
        </w:rPr>
        <w:t xml:space="preserve">                           </w:t>
      </w:r>
    </w:p>
    <w:p>
      <w:pPr>
        <w:pStyle w:val="23"/>
        <w:adjustRightInd w:val="0"/>
        <w:snapToGrid w:val="0"/>
        <w:spacing w:line="360" w:lineRule="auto"/>
        <w:ind w:firstLine="440" w:firstLineChars="200"/>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法定代表人或其委托代理人(签字或盖章)：</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 xml:space="preserve">        </w:t>
      </w:r>
    </w:p>
    <w:p>
      <w:pPr>
        <w:pStyle w:val="23"/>
        <w:adjustRightInd w:val="0"/>
        <w:snapToGrid w:val="0"/>
        <w:spacing w:line="360" w:lineRule="auto"/>
        <w:ind w:firstLine="440" w:firstLineChars="200"/>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日          期：</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年</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 xml:space="preserve"> 月</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日</w:t>
      </w: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adjustRightInd w:val="0"/>
        <w:snapToGrid w:val="0"/>
        <w:spacing w:line="360" w:lineRule="auto"/>
        <w:outlineLvl w:val="0"/>
        <w:rPr>
          <w:rFonts w:hAnsi="宋体" w:cs="宋体"/>
          <w:b/>
          <w:color w:val="000000" w:themeColor="text1"/>
          <w:szCs w:val="24"/>
          <w14:textFill>
            <w14:solidFill>
              <w14:schemeClr w14:val="tx1"/>
            </w14:solidFill>
          </w14:textFill>
        </w:rPr>
      </w:pP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sectPr>
          <w:pgSz w:w="11906" w:h="16838"/>
          <w:pgMar w:top="1440" w:right="1117" w:bottom="1440" w:left="1117" w:header="851" w:footer="992" w:gutter="0"/>
          <w:cols w:space="720" w:num="1"/>
          <w:docGrid w:linePitch="312" w:charSpace="0"/>
        </w:sectPr>
      </w:pP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pPr>
      <w:r>
        <w:rPr>
          <w:rFonts w:hint="eastAsia" w:hAnsi="宋体" w:cs="宋体"/>
          <w:b/>
          <w:color w:val="000000" w:themeColor="text1"/>
          <w:sz w:val="28"/>
          <w:szCs w:val="28"/>
          <w14:textFill>
            <w14:solidFill>
              <w14:schemeClr w14:val="tx1"/>
            </w14:solidFill>
          </w14:textFill>
        </w:rPr>
        <w:t>资格、能力证明材料</w:t>
      </w: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pPr>
    </w:p>
    <w:p>
      <w:pPr>
        <w:pStyle w:val="23"/>
        <w:adjustRightInd w:val="0"/>
        <w:snapToGrid w:val="0"/>
        <w:spacing w:line="360" w:lineRule="auto"/>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一、资格性证明材料</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1）营业执照复印件；</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2）税务登记证复印件或依法缴纳税收证明材料的复印件；</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3）社保登记证复印件或由社保机构出具的近半年社保缴纳证明复印件；</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4）法人授权委托书原件、法定代表人和委托代理人身份证复印件；</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5）提供2021年度财务会计报表/审计报告复印件；</w:t>
      </w:r>
    </w:p>
    <w:p>
      <w:pPr>
        <w:adjustRightInd w:val="0"/>
        <w:snapToGrid w:val="0"/>
        <w:spacing w:line="360" w:lineRule="auto"/>
        <w:rPr>
          <w:rFonts w:ascii="宋体" w:hAnsi="宋体" w:cs="宋体"/>
          <w:color w:val="000000" w:themeColor="text1"/>
          <w:kern w:val="0"/>
          <w:sz w:val="22"/>
          <w:szCs w:val="22"/>
          <w14:textFill>
            <w14:solidFill>
              <w14:schemeClr w14:val="tx1"/>
            </w14:solidFill>
          </w14:textFill>
        </w:rPr>
      </w:pPr>
      <w:r>
        <w:rPr>
          <w:rFonts w:hint="eastAsia" w:ascii="宋体" w:hAnsi="宋体" w:cs="宋体"/>
          <w:bCs/>
          <w:color w:val="000000" w:themeColor="text1"/>
          <w:sz w:val="22"/>
          <w:szCs w:val="22"/>
          <w14:textFill>
            <w14:solidFill>
              <w14:schemeClr w14:val="tx1"/>
            </w14:solidFill>
          </w14:textFill>
        </w:rPr>
        <w:t>6）</w:t>
      </w:r>
      <w:r>
        <w:rPr>
          <w:rFonts w:hint="eastAsia" w:ascii="宋体" w:hAnsi="宋体" w:cs="宋体"/>
          <w:color w:val="000000" w:themeColor="text1"/>
          <w:kern w:val="0"/>
          <w:sz w:val="22"/>
          <w:szCs w:val="22"/>
          <w14:textFill>
            <w14:solidFill>
              <w14:schemeClr w14:val="tx1"/>
            </w14:solidFill>
          </w14:textFill>
        </w:rPr>
        <w:t>提供网站截图复印件（查询渠道：“信用中国”网站（www.creditchina.gov.cn）、中国政府采购网（www.ccgp.gov.cn））。</w:t>
      </w:r>
    </w:p>
    <w:p>
      <w:pPr>
        <w:adjustRightInd w:val="0"/>
        <w:snapToGrid w:val="0"/>
        <w:spacing w:line="360" w:lineRule="auto"/>
        <w:rPr>
          <w:rFonts w:ascii="宋体" w:hAnsi="宋体" w:cs="宋体"/>
          <w:color w:val="000000" w:themeColor="text1"/>
          <w:kern w:val="0"/>
          <w:sz w:val="22"/>
          <w:szCs w:val="22"/>
          <w14:textFill>
            <w14:solidFill>
              <w14:schemeClr w14:val="tx1"/>
            </w14:solidFill>
          </w14:textFill>
        </w:rPr>
      </w:pP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二、能力证明材料</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（1）结合评标办法补充的其他资料或投标人认为有必要提供的其他能力证明材料；</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sectPr>
          <w:pgSz w:w="11906" w:h="16838"/>
          <w:pgMar w:top="1440" w:right="1117" w:bottom="1440" w:left="1117" w:header="851" w:footer="992" w:gutter="0"/>
          <w:cols w:space="720" w:num="1"/>
          <w:docGrid w:linePitch="312" w:charSpace="0"/>
        </w:sectPr>
      </w:pPr>
      <w:r>
        <w:rPr>
          <w:rFonts w:hint="eastAsia" w:hAnsi="宋体" w:cs="宋体"/>
          <w:bCs/>
          <w:color w:val="000000" w:themeColor="text1"/>
          <w:sz w:val="22"/>
          <w14:textFill>
            <w14:solidFill>
              <w14:schemeClr w14:val="tx1"/>
            </w14:solidFill>
          </w14:textFill>
        </w:rPr>
        <w:t>注：以上复印件均需要加盖投标人公章。</w:t>
      </w: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pP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pPr>
      <w:r>
        <w:rPr>
          <w:rFonts w:hint="eastAsia" w:hAnsi="宋体" w:cs="宋体"/>
          <w:b/>
          <w:color w:val="000000" w:themeColor="text1"/>
          <w:sz w:val="28"/>
          <w:szCs w:val="28"/>
          <w14:textFill>
            <w14:solidFill>
              <w14:schemeClr w14:val="tx1"/>
            </w14:solidFill>
          </w14:textFill>
        </w:rPr>
        <w:t>售后服务方案</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①供货的措施计划与保证措施，疫苗检测、运输、验收的方案和措施</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②培训计划，售后服务优惠承诺（包含但不限于包括售后服务等方面的优惠）</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③售后服务体系及服务情况</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④质保期承诺</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⑤人员培训计划及保证措施承诺</w:t>
      </w:r>
    </w:p>
    <w:p>
      <w:pPr>
        <w:spacing w:line="360" w:lineRule="auto"/>
        <w:rPr>
          <w:rFonts w:ascii="宋体" w:hAnsi="宋体" w:cs="宋体"/>
          <w:bCs/>
          <w:color w:val="000000" w:themeColor="text1"/>
          <w:sz w:val="22"/>
          <w:szCs w:val="22"/>
          <w:lang w:val="en-GB"/>
          <w14:textFill>
            <w14:solidFill>
              <w14:schemeClr w14:val="tx1"/>
            </w14:solidFill>
          </w14:textFill>
        </w:rPr>
      </w:pPr>
      <w:r>
        <w:rPr>
          <w:rFonts w:hint="eastAsia" w:ascii="宋体" w:hAnsi="宋体" w:cs="宋体"/>
          <w:bCs/>
          <w:color w:val="000000" w:themeColor="text1"/>
          <w:sz w:val="22"/>
          <w:szCs w:val="22"/>
          <w:lang w:val="en-GB"/>
          <w14:textFill>
            <w14:solidFill>
              <w14:schemeClr w14:val="tx1"/>
            </w14:solidFill>
          </w14:textFill>
        </w:rPr>
        <w:t>⑥其它服务承诺</w:t>
      </w:r>
    </w:p>
    <w:p>
      <w:pPr>
        <w:spacing w:line="360" w:lineRule="auto"/>
        <w:rPr>
          <w:rFonts w:ascii="宋体" w:hAnsi="宋体" w:cs="宋体"/>
          <w:bCs/>
          <w:color w:val="000000" w:themeColor="text1"/>
          <w:sz w:val="22"/>
          <w:szCs w:val="22"/>
          <w14:textFill>
            <w14:solidFill>
              <w14:schemeClr w14:val="tx1"/>
            </w14:solidFill>
          </w14:textFill>
        </w:rPr>
      </w:pPr>
      <w:r>
        <w:rPr>
          <w:rFonts w:hint="eastAsia" w:ascii="宋体" w:hAnsi="宋体" w:cs="宋体"/>
          <w:bCs/>
          <w:color w:val="000000" w:themeColor="text1"/>
          <w:sz w:val="22"/>
          <w:szCs w:val="22"/>
          <w:lang w:val="en-GB"/>
          <w14:textFill>
            <w14:solidFill>
              <w14:schemeClr w14:val="tx1"/>
            </w14:solidFill>
          </w14:textFill>
        </w:rPr>
        <w:t>⑦提供本项目的详细培训方案</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u w:val="single"/>
          <w14:textFill>
            <w14:solidFill>
              <w14:schemeClr w14:val="tx1"/>
            </w14:solidFill>
          </w14:textFill>
        </w:rPr>
      </w:pPr>
      <w:r>
        <w:rPr>
          <w:rFonts w:hint="eastAsia" w:hAnsi="宋体" w:cs="宋体"/>
          <w:bCs/>
          <w:color w:val="000000" w:themeColor="text1"/>
          <w:sz w:val="22"/>
          <w14:textFill>
            <w14:solidFill>
              <w14:schemeClr w14:val="tx1"/>
            </w14:solidFill>
          </w14:textFill>
        </w:rPr>
        <w:t>项目编号：</w:t>
      </w:r>
      <w:r>
        <w:rPr>
          <w:rFonts w:hint="eastAsia" w:hAnsi="宋体" w:cs="宋体"/>
          <w:bCs/>
          <w:color w:val="000000" w:themeColor="text1"/>
          <w:sz w:val="22"/>
          <w:u w:val="single"/>
          <w14:textFill>
            <w14:solidFill>
              <w14:schemeClr w14:val="tx1"/>
            </w14:solidFill>
          </w14:textFill>
        </w:rPr>
        <w:t xml:space="preserve">                           </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投标人名称：</w:t>
      </w:r>
    </w:p>
    <w:tbl>
      <w:tblPr>
        <w:tblStyle w:val="39"/>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1624"/>
        <w:gridCol w:w="191"/>
        <w:gridCol w:w="1440"/>
        <w:gridCol w:w="889"/>
        <w:gridCol w:w="1196"/>
        <w:gridCol w:w="20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服务网点名称</w:t>
            </w:r>
          </w:p>
        </w:tc>
        <w:tc>
          <w:tcPr>
            <w:tcW w:w="5340" w:type="dxa"/>
            <w:gridSpan w:val="5"/>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040" w:type="dxa"/>
            <w:vMerge w:val="restart"/>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地址</w:t>
            </w:r>
          </w:p>
        </w:tc>
        <w:tc>
          <w:tcPr>
            <w:tcW w:w="5340" w:type="dxa"/>
            <w:gridSpan w:val="5"/>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040" w:type="dxa"/>
            <w:vMerge w:val="continue"/>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注册资本金</w:t>
            </w:r>
          </w:p>
        </w:tc>
        <w:tc>
          <w:tcPr>
            <w:tcW w:w="1624"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520" w:type="dxa"/>
            <w:gridSpan w:val="3"/>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其中：投标人出资比例</w:t>
            </w:r>
          </w:p>
        </w:tc>
        <w:tc>
          <w:tcPr>
            <w:tcW w:w="1196"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040" w:type="dxa"/>
            <w:vMerge w:val="restart"/>
            <w:tcBorders>
              <w:top w:val="single" w:color="auto" w:sz="4" w:space="0"/>
              <w:left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提供相关证明材料（如：营业执照或租房合同等）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员工总人数</w:t>
            </w:r>
          </w:p>
        </w:tc>
        <w:tc>
          <w:tcPr>
            <w:tcW w:w="1624"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520" w:type="dxa"/>
            <w:gridSpan w:val="3"/>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其中：技术人员数</w:t>
            </w:r>
          </w:p>
        </w:tc>
        <w:tc>
          <w:tcPr>
            <w:tcW w:w="1196"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040" w:type="dxa"/>
            <w:vMerge w:val="continue"/>
            <w:tcBorders>
              <w:left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经营期限</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vMerge w:val="continue"/>
            <w:tcBorders>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售后服务协议</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售后服务内容</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vMerge w:val="restart"/>
            <w:tcBorders>
              <w:top w:val="single" w:color="auto" w:sz="4" w:space="0"/>
              <w:left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此部分内容做附件进行详细说明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服务承诺</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vMerge w:val="continue"/>
            <w:tcBorders>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工作业绩</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业务咨询电话</w:t>
            </w:r>
          </w:p>
        </w:tc>
        <w:tc>
          <w:tcPr>
            <w:tcW w:w="1815" w:type="dxa"/>
            <w:gridSpan w:val="2"/>
            <w:tcBorders>
              <w:top w:val="single" w:color="auto" w:sz="4" w:space="0"/>
              <w:left w:val="single" w:color="auto" w:sz="4"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1440" w:type="dxa"/>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传 真</w:t>
            </w:r>
          </w:p>
        </w:tc>
        <w:tc>
          <w:tcPr>
            <w:tcW w:w="2085" w:type="dxa"/>
            <w:gridSpan w:val="2"/>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vMerge w:val="restart"/>
            <w:tcBorders>
              <w:top w:val="single" w:color="auto" w:sz="4" w:space="0"/>
              <w:left w:val="single" w:color="auto" w:sz="2"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附人员身份证等相关证件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负责人</w:t>
            </w:r>
          </w:p>
        </w:tc>
        <w:tc>
          <w:tcPr>
            <w:tcW w:w="1815" w:type="dxa"/>
            <w:gridSpan w:val="2"/>
            <w:tcBorders>
              <w:top w:val="single" w:color="auto" w:sz="4" w:space="0"/>
              <w:left w:val="single" w:color="auto" w:sz="4"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1440" w:type="dxa"/>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联系电话</w:t>
            </w:r>
          </w:p>
        </w:tc>
        <w:tc>
          <w:tcPr>
            <w:tcW w:w="2085" w:type="dxa"/>
            <w:gridSpan w:val="2"/>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vMerge w:val="continue"/>
            <w:tcBorders>
              <w:left w:val="single" w:color="auto" w:sz="2"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bl>
    <w:p>
      <w:pPr>
        <w:pStyle w:val="23"/>
        <w:adjustRightInd w:val="0"/>
        <w:snapToGrid w:val="0"/>
        <w:spacing w:line="360" w:lineRule="auto"/>
        <w:rPr>
          <w:rFonts w:hAnsi="宋体" w:cs="宋体"/>
          <w:bCs/>
          <w:color w:val="000000" w:themeColor="text1"/>
          <w:sz w:val="22"/>
          <w:u w:val="single"/>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u w:val="single"/>
          <w14:textFill>
            <w14:solidFill>
              <w14:schemeClr w14:val="tx1"/>
            </w14:solidFill>
          </w14:textFill>
        </w:rPr>
      </w:pPr>
      <w:r>
        <w:rPr>
          <w:rFonts w:hint="eastAsia" w:hAnsi="宋体" w:cs="宋体"/>
          <w:bCs/>
          <w:color w:val="000000" w:themeColor="text1"/>
          <w:sz w:val="22"/>
          <w14:textFill>
            <w14:solidFill>
              <w14:schemeClr w14:val="tx1"/>
            </w14:solidFill>
          </w14:textFill>
        </w:rPr>
        <w:t>投标人（盖章）：</w:t>
      </w:r>
      <w:r>
        <w:rPr>
          <w:rFonts w:hint="eastAsia" w:hAnsi="宋体" w:cs="宋体"/>
          <w:bCs/>
          <w:color w:val="000000" w:themeColor="text1"/>
          <w:sz w:val="22"/>
          <w:u w:val="single"/>
          <w14:textFill>
            <w14:solidFill>
              <w14:schemeClr w14:val="tx1"/>
            </w14:solidFill>
          </w14:textFill>
        </w:rPr>
        <w:t xml:space="preserve">                   </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法定代表人或其委托代理人(</w:t>
      </w:r>
      <w:r>
        <w:rPr>
          <w:rFonts w:hint="eastAsia" w:hAnsi="宋体" w:cs="宋体"/>
          <w:color w:val="000000" w:themeColor="text1"/>
          <w:sz w:val="22"/>
          <w14:textFill>
            <w14:solidFill>
              <w14:schemeClr w14:val="tx1"/>
            </w14:solidFill>
          </w14:textFill>
        </w:rPr>
        <w:t>签字或盖章</w:t>
      </w:r>
      <w:r>
        <w:rPr>
          <w:rFonts w:hint="eastAsia" w:hAnsi="宋体" w:cs="宋体"/>
          <w:bCs/>
          <w:color w:val="000000" w:themeColor="text1"/>
          <w:sz w:val="22"/>
          <w14:textFill>
            <w14:solidFill>
              <w14:schemeClr w14:val="tx1"/>
            </w14:solidFill>
          </w14:textFill>
        </w:rPr>
        <w:t>)：</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 xml:space="preserve"> </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日          期：</w:t>
      </w:r>
      <w:r>
        <w:rPr>
          <w:rFonts w:hint="eastAsia" w:hAnsi="宋体" w:cs="宋体"/>
          <w:bCs/>
          <w:color w:val="000000" w:themeColor="text1"/>
          <w:sz w:val="22"/>
          <w:u w:val="single"/>
          <w14:textFill>
            <w14:solidFill>
              <w14:schemeClr w14:val="tx1"/>
            </w14:solidFill>
          </w14:textFill>
        </w:rPr>
        <w:t xml:space="preserve">       年      月     </w:t>
      </w:r>
      <w:r>
        <w:rPr>
          <w:rFonts w:hint="eastAsia" w:hAnsi="宋体" w:cs="宋体"/>
          <w:bCs/>
          <w:color w:val="000000" w:themeColor="text1"/>
          <w:sz w:val="22"/>
          <w14:textFill>
            <w14:solidFill>
              <w14:schemeClr w14:val="tx1"/>
            </w14:solidFill>
          </w14:textFill>
        </w:rPr>
        <w:t>日</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 xml:space="preserve"> </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ind w:firstLine="1968" w:firstLineChars="700"/>
        <w:rPr>
          <w:rFonts w:hAnsi="宋体" w:cs="宋体"/>
          <w:b/>
          <w:color w:val="000000" w:themeColor="text1"/>
          <w:sz w:val="28"/>
          <w:szCs w:val="28"/>
          <w14:textFill>
            <w14:solidFill>
              <w14:schemeClr w14:val="tx1"/>
            </w14:solidFill>
          </w14:textFill>
        </w:rPr>
      </w:pPr>
      <w:bookmarkStart w:id="65" w:name="_Toc12421_WPSOffice_Level2"/>
      <w:r>
        <w:rPr>
          <w:rFonts w:hint="eastAsia" w:hAnsi="宋体" w:cs="宋体"/>
          <w:b/>
          <w:color w:val="000000" w:themeColor="text1"/>
          <w:sz w:val="28"/>
          <w:szCs w:val="28"/>
          <w14:textFill>
            <w14:solidFill>
              <w14:schemeClr w14:val="tx1"/>
            </w14:solidFill>
          </w14:textFill>
        </w:rPr>
        <w:t>供应商认为需要提供的其它资料</w:t>
      </w:r>
      <w:bookmarkEnd w:id="65"/>
    </w:p>
    <w:p>
      <w:pPr>
        <w:pStyle w:val="140"/>
        <w:ind w:firstLine="560"/>
        <w:rPr>
          <w:rFonts w:ascii="宋体" w:hAnsi="宋体" w:eastAsia="宋体" w:cs="宋体"/>
          <w:bCs/>
          <w:color w:val="000000" w:themeColor="text1"/>
          <w:sz w:val="28"/>
          <w:szCs w:val="28"/>
          <w14:textFill>
            <w14:solidFill>
              <w14:schemeClr w14:val="tx1"/>
            </w14:solidFill>
          </w14:textFill>
        </w:rPr>
      </w:pPr>
    </w:p>
    <w:p>
      <w:pPr>
        <w:pStyle w:val="23"/>
        <w:spacing w:line="360" w:lineRule="auto"/>
        <w:ind w:firstLine="480" w:firstLineChars="200"/>
        <w:rPr>
          <w:rFonts w:hAnsi="宋体" w:cs="宋体"/>
          <w:bCs/>
          <w:color w:val="000000" w:themeColor="text1"/>
          <w:sz w:val="24"/>
          <w:szCs w:val="24"/>
          <w14:textFill>
            <w14:solidFill>
              <w14:schemeClr w14:val="tx1"/>
            </w14:solidFill>
          </w14:textFill>
        </w:rPr>
      </w:pPr>
      <w:r>
        <w:rPr>
          <w:rFonts w:hint="eastAsia" w:hAnsi="宋体" w:cs="宋体"/>
          <w:bCs/>
          <w:color w:val="000000" w:themeColor="text1"/>
          <w:sz w:val="24"/>
          <w:szCs w:val="24"/>
          <w14:textFill>
            <w14:solidFill>
              <w14:schemeClr w14:val="tx1"/>
            </w14:solidFill>
          </w14:textFill>
        </w:rPr>
        <w:t>提供其他与项目有关的资料（结合评分表自附），</w:t>
      </w:r>
      <w:r>
        <w:rPr>
          <w:rFonts w:hint="eastAsia" w:cs="宋体"/>
          <w:color w:val="000000" w:themeColor="text1"/>
          <w:sz w:val="24"/>
          <w:szCs w:val="24"/>
          <w14:textFill>
            <w14:solidFill>
              <w14:schemeClr w14:val="tx1"/>
            </w14:solidFill>
          </w14:textFill>
        </w:rPr>
        <w:t>包括但不限于以下材料</w:t>
      </w:r>
      <w:r>
        <w:rPr>
          <w:rFonts w:hint="eastAsia" w:hAnsi="宋体" w:cs="宋体"/>
          <w:bCs/>
          <w:color w:val="000000" w:themeColor="text1"/>
          <w:sz w:val="24"/>
          <w:szCs w:val="24"/>
          <w14:textFill>
            <w14:solidFill>
              <w14:schemeClr w14:val="tx1"/>
            </w14:solidFill>
          </w14:textFill>
        </w:rPr>
        <w:t>。</w:t>
      </w:r>
    </w:p>
    <w:p>
      <w:pPr>
        <w:pStyle w:val="23"/>
        <w:spacing w:line="360" w:lineRule="auto"/>
        <w:ind w:firstLine="480" w:firstLineChars="20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1.提供农业部备案的兽药注册目录，质量标准、说明书和标签；</w:t>
      </w:r>
    </w:p>
    <w:p>
      <w:pPr>
        <w:pStyle w:val="23"/>
        <w:spacing w:line="360" w:lineRule="auto"/>
        <w:ind w:firstLine="480" w:firstLineChars="20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2.研发实力证明；</w:t>
      </w:r>
    </w:p>
    <w:p>
      <w:pPr>
        <w:pStyle w:val="23"/>
        <w:spacing w:line="360" w:lineRule="auto"/>
        <w:ind w:firstLine="480" w:firstLineChars="20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3.安全性证明文件；</w:t>
      </w:r>
    </w:p>
    <w:p>
      <w:pPr>
        <w:pStyle w:val="23"/>
        <w:adjustRightInd w:val="0"/>
        <w:snapToGrid w:val="0"/>
        <w:spacing w:line="360" w:lineRule="auto"/>
        <w:ind w:firstLine="480" w:firstLineChars="20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4.技术革新或新成果（若有）</w:t>
      </w:r>
    </w:p>
    <w:p>
      <w:pPr>
        <w:pStyle w:val="23"/>
        <w:spacing w:line="360" w:lineRule="auto"/>
        <w:ind w:firstLine="480" w:firstLineChars="20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5.出具中国兽医药品监察所审核认可的“兽用生物制品生产与检验报告”。</w:t>
      </w:r>
    </w:p>
    <w:p>
      <w:pPr>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br w:type="page"/>
      </w:r>
      <w:bookmarkStart w:id="66" w:name="_GoBack"/>
      <w:bookmarkEnd w:id="66"/>
    </w:p>
    <w:p>
      <w:pPr>
        <w:pStyle w:val="23"/>
        <w:adjustRightInd w:val="0"/>
        <w:snapToGrid w:val="0"/>
        <w:spacing w:line="360" w:lineRule="auto"/>
        <w:jc w:val="center"/>
        <w:outlineLvl w:val="0"/>
        <w:rPr>
          <w:rFonts w:hAnsi="宋体" w:cs="宋体"/>
          <w:b/>
          <w:color w:val="000000" w:themeColor="text1"/>
          <w:sz w:val="32"/>
          <w:szCs w:val="32"/>
          <w14:textFill>
            <w14:solidFill>
              <w14:schemeClr w14:val="tx1"/>
            </w14:solidFill>
          </w14:textFill>
        </w:rPr>
      </w:pPr>
      <w:r>
        <w:rPr>
          <w:rFonts w:hint="eastAsia" w:hAnsi="宋体" w:cs="宋体"/>
          <w:b/>
          <w:color w:val="000000" w:themeColor="text1"/>
          <w:sz w:val="32"/>
          <w:szCs w:val="32"/>
          <w14:textFill>
            <w14:solidFill>
              <w14:schemeClr w14:val="tx1"/>
            </w14:solidFill>
          </w14:textFill>
        </w:rPr>
        <w:t>补充条款</w:t>
      </w:r>
    </w:p>
    <w:p>
      <w:pPr>
        <w:jc w:val="center"/>
        <w:rPr>
          <w:rFonts w:ascii="宋体" w:hAnsi="宋体" w:cs="宋体"/>
          <w:color w:val="000000" w:themeColor="text1"/>
          <w:sz w:val="24"/>
          <w:szCs w:val="24"/>
          <w14:textFill>
            <w14:solidFill>
              <w14:schemeClr w14:val="tx1"/>
            </w14:solidFill>
          </w14:textFill>
        </w:rPr>
      </w:pPr>
      <w:r>
        <w:rPr>
          <w:rFonts w:hint="eastAsia" w:ascii="Calibri" w:hAnsi="Calibri"/>
          <w:b/>
          <w:bCs/>
          <w:color w:val="000000" w:themeColor="text1"/>
          <w:sz w:val="24"/>
          <w:szCs w:val="24"/>
          <w14:textFill>
            <w14:solidFill>
              <w14:schemeClr w14:val="tx1"/>
            </w14:solidFill>
          </w14:textFill>
        </w:rPr>
        <w:t>投标保证金退还申请书</w:t>
      </w: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致：</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（招标代理机构）</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我公司报名参加了</w:t>
      </w:r>
      <w:r>
        <w:rPr>
          <w:rFonts w:hint="eastAsia" w:ascii="宋体" w:hAnsi="宋体" w:cs="宋体"/>
          <w:color w:val="000000" w:themeColor="text1"/>
          <w:sz w:val="24"/>
          <w:szCs w:val="24"/>
          <w:u w:val="single"/>
          <w14:textFill>
            <w14:solidFill>
              <w14:schemeClr w14:val="tx1"/>
            </w14:solidFill>
          </w14:textFill>
        </w:rPr>
        <w:t xml:space="preserve">                                    （项目名称标包号、项目编号）</w:t>
      </w:r>
      <w:r>
        <w:rPr>
          <w:rFonts w:hint="eastAsia" w:ascii="宋体" w:hAnsi="宋体" w:cs="宋体"/>
          <w:color w:val="000000" w:themeColor="text1"/>
          <w:sz w:val="24"/>
          <w:szCs w:val="24"/>
          <w14:textFill>
            <w14:solidFill>
              <w14:schemeClr w14:val="tx1"/>
            </w14:solidFill>
          </w14:textFill>
        </w:rPr>
        <w:t>的投标并递交了投标保证金人民币</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拾</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万</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仟</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佰</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拾</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元整，￥</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元），在此我方说明如下：</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1、根据投标要求，我公司向贵单位缴纳了投标保证金现该项目已定标，我公司未中标，因此，请将我司缴纳的投标保证金金额退还至以下账户。</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2、如我单位中标，我们将按照规定缴纳招标代理服务费。我方承诺，如我单位未按规定缴纳招标代理服务费，承诺同意贵方可从我单位提交的投标保证金内抵销。</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3、如果我单位未遵守有关招标文件关于招标保证金的规定，贵方可以抵销我单位投标保证金。</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1"/>
        <w:gridCol w:w="4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投标人（收款单位）名称</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投标人（收款单位）纳税人识别号</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投标人（收款单位）注册地址、电话</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开户银行、行号、账号</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联系人、联系电话（手机）</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投标人地址（很重要：如中标通知书、发票等直接寄往该地址）</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bl>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特此承诺！</w:t>
      </w:r>
    </w:p>
    <w:p>
      <w:pPr>
        <w:tabs>
          <w:tab w:val="left" w:pos="5580"/>
        </w:tabs>
        <w:spacing w:line="360" w:lineRule="auto"/>
        <w:ind w:firstLine="3120" w:firstLineChars="1300"/>
        <w:rPr>
          <w:rFonts w:ascii="宋体" w:hAnsi="宋体"/>
          <w:color w:val="000000" w:themeColor="text1"/>
          <w:sz w:val="24"/>
          <w:szCs w:val="22"/>
          <w14:textFill>
            <w14:solidFill>
              <w14:schemeClr w14:val="tx1"/>
            </w14:solidFill>
          </w14:textFill>
        </w:rPr>
      </w:pPr>
      <w:r>
        <w:rPr>
          <w:rFonts w:hint="eastAsia" w:ascii="宋体" w:hAnsi="宋体"/>
          <w:color w:val="000000" w:themeColor="text1"/>
          <w:sz w:val="24"/>
          <w:szCs w:val="22"/>
          <w14:textFill>
            <w14:solidFill>
              <w14:schemeClr w14:val="tx1"/>
            </w14:solidFill>
          </w14:textFill>
        </w:rPr>
        <w:t>投标人（盖</w:t>
      </w:r>
      <w:r>
        <w:rPr>
          <w:rFonts w:ascii="宋体" w:hAnsi="宋体"/>
          <w:color w:val="000000" w:themeColor="text1"/>
          <w:sz w:val="24"/>
          <w:szCs w:val="22"/>
          <w14:textFill>
            <w14:solidFill>
              <w14:schemeClr w14:val="tx1"/>
            </w14:solidFill>
          </w14:textFill>
        </w:rPr>
        <w:t>章）：</w:t>
      </w:r>
      <w:r>
        <w:rPr>
          <w:rFonts w:hint="eastAsia" w:ascii="宋体" w:hAnsi="宋体"/>
          <w:color w:val="000000" w:themeColor="text1"/>
          <w:sz w:val="24"/>
          <w:szCs w:val="22"/>
          <w:u w:val="single"/>
          <w14:textFill>
            <w14:solidFill>
              <w14:schemeClr w14:val="tx1"/>
            </w14:solidFill>
          </w14:textFill>
        </w:rPr>
        <w:t xml:space="preserve">            </w:t>
      </w:r>
      <w:r>
        <w:rPr>
          <w:rFonts w:ascii="宋体" w:hAnsi="宋体"/>
          <w:color w:val="000000" w:themeColor="text1"/>
          <w:sz w:val="24"/>
          <w:szCs w:val="22"/>
          <w:u w:val="single"/>
          <w14:textFill>
            <w14:solidFill>
              <w14:schemeClr w14:val="tx1"/>
            </w14:solidFill>
          </w14:textFill>
        </w:rPr>
        <w:t xml:space="preserve">  </w:t>
      </w:r>
      <w:r>
        <w:rPr>
          <w:rFonts w:hint="eastAsia" w:ascii="宋体" w:hAnsi="宋体"/>
          <w:color w:val="000000" w:themeColor="text1"/>
          <w:sz w:val="24"/>
          <w:szCs w:val="22"/>
          <w:u w:val="single"/>
          <w14:textFill>
            <w14:solidFill>
              <w14:schemeClr w14:val="tx1"/>
            </w14:solidFill>
          </w14:textFill>
        </w:rPr>
        <w:t xml:space="preserve">               </w:t>
      </w:r>
      <w:r>
        <w:rPr>
          <w:rFonts w:hint="eastAsia" w:ascii="宋体" w:hAnsi="宋体"/>
          <w:color w:val="000000" w:themeColor="text1"/>
          <w:sz w:val="24"/>
          <w:szCs w:val="22"/>
          <w14:textFill>
            <w14:solidFill>
              <w14:schemeClr w14:val="tx1"/>
            </w14:solidFill>
          </w14:textFill>
        </w:rPr>
        <w:t xml:space="preserve">                    </w:t>
      </w:r>
    </w:p>
    <w:p>
      <w:pPr>
        <w:tabs>
          <w:tab w:val="left" w:pos="5580"/>
        </w:tabs>
        <w:spacing w:line="360" w:lineRule="auto"/>
        <w:ind w:firstLine="3120" w:firstLineChars="1300"/>
        <w:rPr>
          <w:rFonts w:ascii="宋体" w:hAnsi="宋体" w:cs="宋体"/>
          <w:color w:val="000000" w:themeColor="text1"/>
          <w:kern w:val="0"/>
          <w:sz w:val="24"/>
          <w:szCs w:val="24"/>
          <w:u w:val="single"/>
          <w14:textFill>
            <w14:solidFill>
              <w14:schemeClr w14:val="tx1"/>
            </w14:solidFill>
          </w14:textFill>
        </w:rPr>
      </w:pPr>
      <w:r>
        <w:rPr>
          <w:rFonts w:hint="eastAsia" w:ascii="宋体" w:hAnsi="宋体"/>
          <w:color w:val="000000" w:themeColor="text1"/>
          <w:sz w:val="24"/>
          <w:szCs w:val="22"/>
          <w14:textFill>
            <w14:solidFill>
              <w14:schemeClr w14:val="tx1"/>
            </w14:solidFill>
          </w14:textFill>
        </w:rPr>
        <w:t>法定代表人或</w:t>
      </w:r>
      <w:r>
        <w:rPr>
          <w:rFonts w:hint="eastAsia" w:ascii="宋体" w:hAnsi="宋体" w:cs="宋体"/>
          <w:color w:val="000000" w:themeColor="text1"/>
          <w:kern w:val="0"/>
          <w:sz w:val="24"/>
          <w:szCs w:val="24"/>
          <w14:textFill>
            <w14:solidFill>
              <w14:schemeClr w14:val="tx1"/>
            </w14:solidFill>
          </w14:textFill>
        </w:rPr>
        <w:t>委托代理人</w:t>
      </w:r>
      <w:r>
        <w:rPr>
          <w:rFonts w:hint="eastAsia" w:ascii="宋体" w:hAnsi="宋体"/>
          <w:color w:val="000000" w:themeColor="text1"/>
          <w:sz w:val="24"/>
          <w:szCs w:val="22"/>
          <w14:textFill>
            <w14:solidFill>
              <w14:schemeClr w14:val="tx1"/>
            </w14:solidFill>
          </w14:textFill>
        </w:rPr>
        <w:t>（签字）</w:t>
      </w:r>
      <w:r>
        <w:rPr>
          <w:rFonts w:hint="eastAsia" w:ascii="宋体" w:hAnsi="宋体" w:cs="宋体"/>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4"/>
          <w:szCs w:val="24"/>
          <w:u w:val="single"/>
          <w14:textFill>
            <w14:solidFill>
              <w14:schemeClr w14:val="tx1"/>
            </w14:solidFill>
          </w14:textFill>
        </w:rPr>
        <w:t xml:space="preserve">             </w:t>
      </w:r>
    </w:p>
    <w:p>
      <w:pPr>
        <w:spacing w:line="360" w:lineRule="auto"/>
        <w:ind w:firstLine="3120" w:firstLineChars="1300"/>
        <w:rPr>
          <w:rFonts w:ascii="Calibri" w:hAnsi="Calibri"/>
          <w:color w:val="000000" w:themeColor="text1"/>
          <w:szCs w:val="22"/>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日期：       年   月   日</w:t>
      </w:r>
    </w:p>
    <w:p>
      <w:pPr>
        <w:tabs>
          <w:tab w:val="left" w:pos="780"/>
        </w:tabs>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附件：</w:t>
      </w:r>
      <w:r>
        <w:rPr>
          <w:rFonts w:hint="eastAsia" w:ascii="宋体" w:hAnsi="宋体" w:cs="宋体"/>
          <w:color w:val="000000" w:themeColor="text1"/>
          <w:szCs w:val="21"/>
          <w14:textFill>
            <w14:solidFill>
              <w14:schemeClr w14:val="tx1"/>
            </w14:solidFill>
          </w14:textFill>
        </w:rPr>
        <w:t>1．经办人授权委托书、经办人身份证复印件、投标保证金回执单复印件（以上均需加盖公章）。</w:t>
      </w:r>
    </w:p>
    <w:p>
      <w:pPr>
        <w:tabs>
          <w:tab w:val="left" w:pos="780"/>
        </w:tabs>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说明：</w:t>
      </w:r>
      <w:r>
        <w:rPr>
          <w:rFonts w:hint="eastAsia" w:ascii="宋体" w:hAnsi="宋体" w:cs="宋体"/>
          <w:color w:val="000000" w:themeColor="text1"/>
          <w:szCs w:val="21"/>
          <w14:textFill>
            <w14:solidFill>
              <w14:schemeClr w14:val="tx1"/>
            </w14:solidFill>
          </w14:textFill>
        </w:rPr>
        <w:t>1．为保障资金安全，上述账户不能为私人账户。 </w:t>
      </w:r>
    </w:p>
    <w:p>
      <w:pPr>
        <w:tabs>
          <w:tab w:val="left" w:pos="780"/>
        </w:tabs>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2．如因上述账户信息有误或账户信息变更未及时通知导致投标保证金无法退还或丢失等可能产生的一切后果由投标人自行负责。 </w:t>
      </w:r>
    </w:p>
    <w:p>
      <w:pPr>
        <w:ind w:firstLine="630" w:firstLineChars="300"/>
        <w:rPr>
          <w:rFonts w:hAnsi="宋体" w:cs="宋体"/>
          <w:b/>
          <w:color w:val="000000" w:themeColor="text1"/>
          <w:sz w:val="22"/>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3．招标方退还该笔投标保证金后，无论是否开具收据，均不再作为招标方已收款依据。</w:t>
      </w:r>
    </w:p>
    <w:p>
      <w:pPr>
        <w:pStyle w:val="23"/>
        <w:spacing w:line="360" w:lineRule="auto"/>
        <w:ind w:firstLine="56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开标结束后将此表发送至邮箱244033910@qq.com。</w:t>
      </w:r>
    </w:p>
    <w:sectPr>
      <w:pgSz w:w="11906" w:h="16838"/>
      <w:pgMar w:top="1304" w:right="1247" w:bottom="1417"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仿宋">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Meiryo">
    <w:panose1 w:val="020B0604030504040204"/>
    <w:charset w:val="80"/>
    <w:family w:val="auto"/>
    <w:pitch w:val="default"/>
    <w:sig w:usb0="E10102FF" w:usb1="EAC7FFFF" w:usb2="00010012" w:usb3="00000000" w:csb0="6002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34</w:t>
                          </w:r>
                          <w:r>
                            <w:rPr>
                              <w:rFonts w:hint="eastAsia"/>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yXxm/EAQAAjw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mV&#10;vU329AEr6noMDzBlSGHSOrRg05tUsCFber5aqobIJBWX69V6XZLbks7mhHCKp88DYLxX3rIU1Bzo&#10;zrKV4vQB49g6t6Rpzt9pY6guKuP+KhBmqhSJ8cgxRXHYDxPxvW/OpLan6665o+3mzLx35GbajDmA&#10;OdjPwTGAPnREbZl5Ybg9RiKRuaUJI+w0mO4pq5t2Ki3Cn3nuevqP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GyXxm/EAQAAjwMAAA4AAAAAAAAAAQAgAAAAHwEAAGRycy9lMm9Eb2MueG1s&#10;UEsFBgAAAAAGAAYAWQEAAFU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34</w:t>
                    </w:r>
                    <w:r>
                      <w:rPr>
                        <w:rFonts w:hint="eastAsia"/>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right" w:y="1"/>
      <w:rPr>
        <w:rStyle w:val="43"/>
      </w:rPr>
    </w:pPr>
    <w:r>
      <w:fldChar w:fldCharType="begin"/>
    </w:r>
    <w:r>
      <w:rPr>
        <w:rStyle w:val="43"/>
      </w:rPr>
      <w:instrText xml:space="preserve">PAGE  </w:instrText>
    </w:r>
    <w:r>
      <w:fldChar w:fldCharType="end"/>
    </w:r>
  </w:p>
  <w:p>
    <w:pPr>
      <w:pStyle w:val="2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qBisHEAQAAjw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dX&#10;9jbZ0wesqOsxPMCUIYVJ69CCTW9SwYZs6flqqRoik1RcrlfrdUluSzqbE8Ipnj4PgPFeectSUHOg&#10;O8tWitMHjGPr3JKmOX+njaG6qIz7q0CYqVIkxiPHFMVhP0zE9745k9qerrvmjrabM/PekZtpM+YA&#10;5mA/B8cA+tARtWXmheH2GIlE5pYmjLDTYLqnrG7aqbQIf+a56+k/2v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NqBisHEAQAAjwMAAA4AAAAAAAAAAQAgAAAAHwEAAGRycy9lMm9Eb2MueG1s&#10;UEsFBgAAAAAGAAYAWQEAAFU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63</w:t>
                          </w:r>
                          <w:r>
                            <w:rPr>
                              <w:rFonts w:hint="eastAsia"/>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wkk3XEAQAAjwMAAA4AAABkcnMvZTJvRG9jLnhtbK1TzY7TMBC+I/EO&#10;lu80aVdCVdR0hVQtQkKw0sIDuI7TWPKfZtwmfQF4A05cuPNcfQ7GTtJdlsseuCQz48k33/d5srkd&#10;rGEnBai9q/lyUXKmnPSNdoeaf/1y92bNGUbhGmG8UzU/K+S329evNn2o1Mp33jQKGIE4rPpQ8y7G&#10;UBUFyk5ZgQsflKPD1oMVkVI4FA2IntCtKVZl+bboPTQBvFSIVN2Nh3xChJcA+rbVUu28PFrl4ogK&#10;yohIkrDTAfk2s21bJePntkUVmak5KY35SUMo3qdnsd2I6gAidFpOFMRLKDzTZIV2NPQKtRNRsCPo&#10;f6CsluDRt3EhvS1GIdkRUrEsn3nz0ImgshayGsPVdPx/sPLT6R6Ybmp+w5kTli788uP75efvy69v&#10;7CbZ0wesqOsh3MOUIYVJ69CCTW9SwYZs6flqqRoik1RcrlfrdUluSzqbE8IpHj8PgPG98paloOZA&#10;d5atFKePGMfWuSVNc/5OG0N1URn3V4EwU6VIjEeOKYrDfpiI731zJrU9XXfNHW03Z+aDIzfTZswB&#10;zMF+Do4B9KEjasvMC8O7YyQSmVuaMMJOg+mesrppp9IiPM1z1+N/t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Bwkk3XEAQAAjwMAAA4AAAAAAAAAAQAgAAAAHwEAAGRycy9lMm9Eb2MueG1s&#10;UEsFBgAAAAAGAAYAWQEAAFU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63</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jc w:val="both"/>
      <w:rPr>
        <w:rFonts w:ascii="宋体" w:hAnsi="宋体" w:cs="宋体"/>
        <w:sz w:val="24"/>
        <w:szCs w:val="24"/>
      </w:rPr>
    </w:pPr>
    <w:r>
      <w:rPr>
        <w:rFonts w:hint="eastAsia"/>
      </w:rPr>
      <w:t xml:space="preserve">                                  </w:t>
    </w:r>
    <w:r>
      <w:rPr>
        <w:rFonts w:hint="eastAsia"/>
        <w:sz w:val="22"/>
        <w:szCs w:val="22"/>
      </w:rPr>
      <w:t xml:space="preserve">宏业国际项目管理有限公司 </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auto" w:sz="12" w:space="1"/>
      </w:pBdr>
    </w:pPr>
    <w:r>
      <w:rPr>
        <w:rFonts w:hint="eastAsia"/>
        <w:sz w:val="21"/>
        <w:szCs w:val="21"/>
      </w:rPr>
      <w:t>宏业国际项目管理有限公司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pPr>
    <w:r>
      <w:rPr>
        <w:rFonts w:hint="eastAsia"/>
        <w:sz w:val="22"/>
        <w:szCs w:val="22"/>
      </w:rPr>
      <w:t xml:space="preserve">宏业国际项目管理有限公司  </w: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867C16"/>
    <w:multiLevelType w:val="singleLevel"/>
    <w:tmpl w:val="9A867C16"/>
    <w:lvl w:ilvl="0" w:tentative="0">
      <w:start w:val="6"/>
      <w:numFmt w:val="chineseCounting"/>
      <w:suff w:val="nothing"/>
      <w:lvlText w:val="%1、"/>
      <w:lvlJc w:val="left"/>
      <w:rPr>
        <w:rFonts w:hint="eastAsia"/>
      </w:rPr>
    </w:lvl>
  </w:abstractNum>
  <w:abstractNum w:abstractNumId="1">
    <w:nsid w:val="B6708008"/>
    <w:multiLevelType w:val="singleLevel"/>
    <w:tmpl w:val="B6708008"/>
    <w:lvl w:ilvl="0" w:tentative="0">
      <w:start w:val="1"/>
      <w:numFmt w:val="decimal"/>
      <w:lvlText w:val="(%1)"/>
      <w:lvlJc w:val="left"/>
      <w:pPr>
        <w:tabs>
          <w:tab w:val="left" w:pos="312"/>
        </w:tabs>
      </w:pPr>
    </w:lvl>
  </w:abstractNum>
  <w:abstractNum w:abstractNumId="2">
    <w:nsid w:val="B73165D8"/>
    <w:multiLevelType w:val="singleLevel"/>
    <w:tmpl w:val="B73165D8"/>
    <w:lvl w:ilvl="0" w:tentative="0">
      <w:start w:val="2"/>
      <w:numFmt w:val="decimal"/>
      <w:suff w:val="nothing"/>
      <w:lvlText w:val="%1、"/>
      <w:lvlJc w:val="left"/>
    </w:lvl>
  </w:abstractNum>
  <w:abstractNum w:abstractNumId="3">
    <w:nsid w:val="F7048A4B"/>
    <w:multiLevelType w:val="singleLevel"/>
    <w:tmpl w:val="F7048A4B"/>
    <w:lvl w:ilvl="0" w:tentative="0">
      <w:start w:val="2"/>
      <w:numFmt w:val="decimal"/>
      <w:suff w:val="nothing"/>
      <w:lvlText w:val="%1、"/>
      <w:lvlJc w:val="left"/>
    </w:lvl>
  </w:abstractNum>
  <w:abstractNum w:abstractNumId="4">
    <w:nsid w:val="0000000B"/>
    <w:multiLevelType w:val="multilevel"/>
    <w:tmpl w:val="0000000B"/>
    <w:lvl w:ilvl="0" w:tentative="0">
      <w:start w:val="1"/>
      <w:numFmt w:val="bullet"/>
      <w:lvlText w:val=""/>
      <w:lvlJc w:val="left"/>
      <w:pPr>
        <w:tabs>
          <w:tab w:val="left" w:pos="780"/>
        </w:tabs>
        <w:ind w:left="780" w:hanging="420"/>
      </w:pPr>
      <w:rPr>
        <w:rFonts w:hint="default" w:ascii="Wingdings" w:hAnsi="Wingdings"/>
      </w:rPr>
    </w:lvl>
    <w:lvl w:ilvl="1" w:tentative="0">
      <w:start w:val="1"/>
      <w:numFmt w:val="bullet"/>
      <w:lvlText w:val=""/>
      <w:lvlJc w:val="left"/>
      <w:pPr>
        <w:tabs>
          <w:tab w:val="left" w:pos="1200"/>
        </w:tabs>
        <w:ind w:left="1200" w:hanging="420"/>
      </w:pPr>
      <w:rPr>
        <w:rFonts w:hint="default" w:ascii="Wingdings" w:hAnsi="Wingdings"/>
      </w:rPr>
    </w:lvl>
    <w:lvl w:ilvl="2" w:tentative="0">
      <w:start w:val="1"/>
      <w:numFmt w:val="bullet"/>
      <w:lvlText w:val=""/>
      <w:lvlJc w:val="left"/>
      <w:pPr>
        <w:tabs>
          <w:tab w:val="left" w:pos="1620"/>
        </w:tabs>
        <w:ind w:left="1620" w:hanging="420"/>
      </w:pPr>
      <w:rPr>
        <w:rFonts w:hint="default" w:ascii="Wingdings" w:hAnsi="Wingdings"/>
      </w:rPr>
    </w:lvl>
    <w:lvl w:ilvl="3" w:tentative="0">
      <w:start w:val="1"/>
      <w:numFmt w:val="bullet"/>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abstractNum w:abstractNumId="5">
    <w:nsid w:val="246319BB"/>
    <w:multiLevelType w:val="multilevel"/>
    <w:tmpl w:val="246319BB"/>
    <w:lvl w:ilvl="0" w:tentative="0">
      <w:start w:val="1"/>
      <w:numFmt w:val="decimalEnclosedParen"/>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3658B331"/>
    <w:multiLevelType w:val="singleLevel"/>
    <w:tmpl w:val="3658B331"/>
    <w:lvl w:ilvl="0" w:tentative="0">
      <w:start w:val="2"/>
      <w:numFmt w:val="chineseCounting"/>
      <w:suff w:val="nothing"/>
      <w:lvlText w:val="%1、"/>
      <w:lvlJc w:val="left"/>
      <w:rPr>
        <w:rFonts w:hint="eastAsia"/>
      </w:rPr>
    </w:lvl>
  </w:abstractNum>
  <w:abstractNum w:abstractNumId="7">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7"/>
  </w:num>
  <w:num w:numId="2">
    <w:abstractNumId w:val="6"/>
  </w:num>
  <w:num w:numId="3">
    <w:abstractNumId w:val="4"/>
  </w:num>
  <w:num w:numId="4">
    <w:abstractNumId w:val="0"/>
  </w:num>
  <w:num w:numId="5">
    <w:abstractNumId w:val="3"/>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jNmZmOTdiNDMzN2Q4OWQyMTk0MzA4ZmJkMTYxNDQifQ=="/>
    <w:docVar w:name="KSO_WPS_MARK_KEY" w:val="8f5a041f-b9ad-428d-b417-882a7a41424e"/>
  </w:docVars>
  <w:rsids>
    <w:rsidRoot w:val="0010740B"/>
    <w:rsid w:val="00033F79"/>
    <w:rsid w:val="000803B9"/>
    <w:rsid w:val="0010740B"/>
    <w:rsid w:val="00107556"/>
    <w:rsid w:val="00115D85"/>
    <w:rsid w:val="001E5D32"/>
    <w:rsid w:val="00285158"/>
    <w:rsid w:val="00386A79"/>
    <w:rsid w:val="00394B2D"/>
    <w:rsid w:val="004569CB"/>
    <w:rsid w:val="004A117D"/>
    <w:rsid w:val="00507446"/>
    <w:rsid w:val="00587F3C"/>
    <w:rsid w:val="005A0D51"/>
    <w:rsid w:val="0067479A"/>
    <w:rsid w:val="006942A6"/>
    <w:rsid w:val="006F34D9"/>
    <w:rsid w:val="007A4A0E"/>
    <w:rsid w:val="007B665F"/>
    <w:rsid w:val="0086449A"/>
    <w:rsid w:val="008C6C96"/>
    <w:rsid w:val="009C1207"/>
    <w:rsid w:val="00A37DE8"/>
    <w:rsid w:val="00A4090B"/>
    <w:rsid w:val="00A67013"/>
    <w:rsid w:val="00A841B5"/>
    <w:rsid w:val="00A92772"/>
    <w:rsid w:val="00AB2218"/>
    <w:rsid w:val="00B2314D"/>
    <w:rsid w:val="00B413EA"/>
    <w:rsid w:val="00C603FA"/>
    <w:rsid w:val="00CF572F"/>
    <w:rsid w:val="00D17727"/>
    <w:rsid w:val="00E04D5D"/>
    <w:rsid w:val="00E259D7"/>
    <w:rsid w:val="00E30544"/>
    <w:rsid w:val="00E93FAB"/>
    <w:rsid w:val="00EC795C"/>
    <w:rsid w:val="00F0096B"/>
    <w:rsid w:val="00F22A61"/>
    <w:rsid w:val="00F43C45"/>
    <w:rsid w:val="00F6344F"/>
    <w:rsid w:val="00F64A8A"/>
    <w:rsid w:val="00F64D95"/>
    <w:rsid w:val="01540852"/>
    <w:rsid w:val="017657C8"/>
    <w:rsid w:val="019F0CAA"/>
    <w:rsid w:val="02D359A2"/>
    <w:rsid w:val="0307187B"/>
    <w:rsid w:val="036208CD"/>
    <w:rsid w:val="03782B4D"/>
    <w:rsid w:val="03C44E26"/>
    <w:rsid w:val="03DE126C"/>
    <w:rsid w:val="044932F9"/>
    <w:rsid w:val="0481129B"/>
    <w:rsid w:val="04C43110"/>
    <w:rsid w:val="0507235C"/>
    <w:rsid w:val="054F07D9"/>
    <w:rsid w:val="05B96E85"/>
    <w:rsid w:val="05C43042"/>
    <w:rsid w:val="05ED58B4"/>
    <w:rsid w:val="061463D3"/>
    <w:rsid w:val="07F13E6C"/>
    <w:rsid w:val="083C2724"/>
    <w:rsid w:val="08FD71AF"/>
    <w:rsid w:val="09582BA6"/>
    <w:rsid w:val="096977A7"/>
    <w:rsid w:val="097E79A1"/>
    <w:rsid w:val="09AA0CC1"/>
    <w:rsid w:val="09E412E0"/>
    <w:rsid w:val="0A5813A7"/>
    <w:rsid w:val="0AA11E2C"/>
    <w:rsid w:val="0AF67B2D"/>
    <w:rsid w:val="0AF80CAA"/>
    <w:rsid w:val="0B1C0A08"/>
    <w:rsid w:val="0B4D7AB8"/>
    <w:rsid w:val="0B674E03"/>
    <w:rsid w:val="0BF90AE4"/>
    <w:rsid w:val="0CC21072"/>
    <w:rsid w:val="0CD12600"/>
    <w:rsid w:val="0CDD0064"/>
    <w:rsid w:val="0D223219"/>
    <w:rsid w:val="0D99308F"/>
    <w:rsid w:val="0DA559B2"/>
    <w:rsid w:val="0DB8037C"/>
    <w:rsid w:val="0DBE1BCE"/>
    <w:rsid w:val="0DEB1BBD"/>
    <w:rsid w:val="0E8D5049"/>
    <w:rsid w:val="0ECD1AB4"/>
    <w:rsid w:val="0F2A375A"/>
    <w:rsid w:val="0F345C78"/>
    <w:rsid w:val="0F382290"/>
    <w:rsid w:val="0FD03957"/>
    <w:rsid w:val="0FE4089C"/>
    <w:rsid w:val="105E41AB"/>
    <w:rsid w:val="10D93C93"/>
    <w:rsid w:val="115C5A72"/>
    <w:rsid w:val="1188256A"/>
    <w:rsid w:val="11994C65"/>
    <w:rsid w:val="120522C8"/>
    <w:rsid w:val="12481FCC"/>
    <w:rsid w:val="12870D7E"/>
    <w:rsid w:val="12AD766B"/>
    <w:rsid w:val="12C66037"/>
    <w:rsid w:val="13D13FE2"/>
    <w:rsid w:val="1410707E"/>
    <w:rsid w:val="15095B9A"/>
    <w:rsid w:val="15256B20"/>
    <w:rsid w:val="15367EF7"/>
    <w:rsid w:val="154A56B9"/>
    <w:rsid w:val="16025E2F"/>
    <w:rsid w:val="16111629"/>
    <w:rsid w:val="17D84C98"/>
    <w:rsid w:val="180112F6"/>
    <w:rsid w:val="18345F44"/>
    <w:rsid w:val="18C76615"/>
    <w:rsid w:val="1912647A"/>
    <w:rsid w:val="19237869"/>
    <w:rsid w:val="19421710"/>
    <w:rsid w:val="19921E03"/>
    <w:rsid w:val="1A365A99"/>
    <w:rsid w:val="1AC92A69"/>
    <w:rsid w:val="1ACA3B0B"/>
    <w:rsid w:val="1B383CEE"/>
    <w:rsid w:val="1B384A4E"/>
    <w:rsid w:val="1D10290C"/>
    <w:rsid w:val="1D296C19"/>
    <w:rsid w:val="1DB24DD5"/>
    <w:rsid w:val="1DB34F4D"/>
    <w:rsid w:val="1E1F1B80"/>
    <w:rsid w:val="1E4A2472"/>
    <w:rsid w:val="1E637F72"/>
    <w:rsid w:val="1EC33ECA"/>
    <w:rsid w:val="1EF46AD2"/>
    <w:rsid w:val="1EF7781D"/>
    <w:rsid w:val="1F4F472B"/>
    <w:rsid w:val="1F9D3B08"/>
    <w:rsid w:val="20DD0C14"/>
    <w:rsid w:val="215C7877"/>
    <w:rsid w:val="224D7E71"/>
    <w:rsid w:val="226715E5"/>
    <w:rsid w:val="23081F03"/>
    <w:rsid w:val="234C14C9"/>
    <w:rsid w:val="23671171"/>
    <w:rsid w:val="2368771E"/>
    <w:rsid w:val="23F043B9"/>
    <w:rsid w:val="247456DF"/>
    <w:rsid w:val="25667607"/>
    <w:rsid w:val="25A521AF"/>
    <w:rsid w:val="267A2947"/>
    <w:rsid w:val="268D6FA0"/>
    <w:rsid w:val="2776673B"/>
    <w:rsid w:val="2781750A"/>
    <w:rsid w:val="27924ABA"/>
    <w:rsid w:val="2867327A"/>
    <w:rsid w:val="288914B1"/>
    <w:rsid w:val="28BD4CDE"/>
    <w:rsid w:val="2A1711BC"/>
    <w:rsid w:val="2A331144"/>
    <w:rsid w:val="2B320DF2"/>
    <w:rsid w:val="2BAA609E"/>
    <w:rsid w:val="2D0C0414"/>
    <w:rsid w:val="2D346567"/>
    <w:rsid w:val="2D9A2207"/>
    <w:rsid w:val="2E0E30F7"/>
    <w:rsid w:val="2E3D5918"/>
    <w:rsid w:val="2E6764C9"/>
    <w:rsid w:val="2EB571A4"/>
    <w:rsid w:val="31025D2C"/>
    <w:rsid w:val="31AA0271"/>
    <w:rsid w:val="328A7B87"/>
    <w:rsid w:val="33076A80"/>
    <w:rsid w:val="330D1186"/>
    <w:rsid w:val="34862B60"/>
    <w:rsid w:val="350925D2"/>
    <w:rsid w:val="354B4A67"/>
    <w:rsid w:val="35886536"/>
    <w:rsid w:val="35DD4CB1"/>
    <w:rsid w:val="362F55ED"/>
    <w:rsid w:val="36865185"/>
    <w:rsid w:val="36E65426"/>
    <w:rsid w:val="376C7344"/>
    <w:rsid w:val="38054762"/>
    <w:rsid w:val="385E0D11"/>
    <w:rsid w:val="38680FA1"/>
    <w:rsid w:val="386B0BAC"/>
    <w:rsid w:val="39007C46"/>
    <w:rsid w:val="39AC2C5A"/>
    <w:rsid w:val="39EB76EF"/>
    <w:rsid w:val="3A1F7725"/>
    <w:rsid w:val="3A577D39"/>
    <w:rsid w:val="3A6C5593"/>
    <w:rsid w:val="3A77523F"/>
    <w:rsid w:val="3A965DCE"/>
    <w:rsid w:val="3AB361F8"/>
    <w:rsid w:val="3ADB3E00"/>
    <w:rsid w:val="3B5E6906"/>
    <w:rsid w:val="3B986CBB"/>
    <w:rsid w:val="3BAD4288"/>
    <w:rsid w:val="3CE0063C"/>
    <w:rsid w:val="3D740E64"/>
    <w:rsid w:val="3F851ADA"/>
    <w:rsid w:val="3FB4129F"/>
    <w:rsid w:val="3FBA0885"/>
    <w:rsid w:val="3FDC6F95"/>
    <w:rsid w:val="403E1F5F"/>
    <w:rsid w:val="40B82A44"/>
    <w:rsid w:val="40CA494F"/>
    <w:rsid w:val="411E27A8"/>
    <w:rsid w:val="41837C0C"/>
    <w:rsid w:val="41E22DC7"/>
    <w:rsid w:val="41FA7DE9"/>
    <w:rsid w:val="420A5691"/>
    <w:rsid w:val="421229E4"/>
    <w:rsid w:val="42B13D32"/>
    <w:rsid w:val="43482915"/>
    <w:rsid w:val="43CA6E72"/>
    <w:rsid w:val="44664090"/>
    <w:rsid w:val="446A1002"/>
    <w:rsid w:val="44801419"/>
    <w:rsid w:val="44B40DFC"/>
    <w:rsid w:val="44EC2651"/>
    <w:rsid w:val="450F6A31"/>
    <w:rsid w:val="45154265"/>
    <w:rsid w:val="45620E8D"/>
    <w:rsid w:val="45EA49FE"/>
    <w:rsid w:val="46032F36"/>
    <w:rsid w:val="46360220"/>
    <w:rsid w:val="465E7CB8"/>
    <w:rsid w:val="46DD2912"/>
    <w:rsid w:val="46E8256E"/>
    <w:rsid w:val="478B4A59"/>
    <w:rsid w:val="47A3169B"/>
    <w:rsid w:val="47FD0C82"/>
    <w:rsid w:val="48022AA8"/>
    <w:rsid w:val="483D3A2C"/>
    <w:rsid w:val="48E2765F"/>
    <w:rsid w:val="492E7842"/>
    <w:rsid w:val="494F7F54"/>
    <w:rsid w:val="495746D1"/>
    <w:rsid w:val="49651784"/>
    <w:rsid w:val="496C3FBD"/>
    <w:rsid w:val="49951CE4"/>
    <w:rsid w:val="49E72937"/>
    <w:rsid w:val="4A280DAA"/>
    <w:rsid w:val="4A2C4394"/>
    <w:rsid w:val="4AB573FC"/>
    <w:rsid w:val="4B450FC6"/>
    <w:rsid w:val="4BDE6AB3"/>
    <w:rsid w:val="4BE17AFB"/>
    <w:rsid w:val="4C63431C"/>
    <w:rsid w:val="4D706D4F"/>
    <w:rsid w:val="4DFA6940"/>
    <w:rsid w:val="4EFD621C"/>
    <w:rsid w:val="4F3C45A3"/>
    <w:rsid w:val="50130FBD"/>
    <w:rsid w:val="50BE4216"/>
    <w:rsid w:val="50D6330E"/>
    <w:rsid w:val="50E5707E"/>
    <w:rsid w:val="517D5E7F"/>
    <w:rsid w:val="51AC1F40"/>
    <w:rsid w:val="51E00991"/>
    <w:rsid w:val="521A26B0"/>
    <w:rsid w:val="5263221D"/>
    <w:rsid w:val="53663306"/>
    <w:rsid w:val="53850DE6"/>
    <w:rsid w:val="53BA4E1E"/>
    <w:rsid w:val="54414F42"/>
    <w:rsid w:val="544E0A09"/>
    <w:rsid w:val="54673759"/>
    <w:rsid w:val="546E406F"/>
    <w:rsid w:val="54B9335E"/>
    <w:rsid w:val="55DF158C"/>
    <w:rsid w:val="56602162"/>
    <w:rsid w:val="568B6949"/>
    <w:rsid w:val="56EA1678"/>
    <w:rsid w:val="570137BC"/>
    <w:rsid w:val="57036846"/>
    <w:rsid w:val="57547DC2"/>
    <w:rsid w:val="576C0DA0"/>
    <w:rsid w:val="58006BC0"/>
    <w:rsid w:val="585E0F1A"/>
    <w:rsid w:val="58E40770"/>
    <w:rsid w:val="58E829A7"/>
    <w:rsid w:val="5956150A"/>
    <w:rsid w:val="5987078B"/>
    <w:rsid w:val="5A490FF5"/>
    <w:rsid w:val="5B376D49"/>
    <w:rsid w:val="5B6B5022"/>
    <w:rsid w:val="5BE52E11"/>
    <w:rsid w:val="5BE86C13"/>
    <w:rsid w:val="5C2E04A2"/>
    <w:rsid w:val="5C314037"/>
    <w:rsid w:val="5CC44962"/>
    <w:rsid w:val="5D2C42B6"/>
    <w:rsid w:val="5D4B7C1F"/>
    <w:rsid w:val="5DA24E17"/>
    <w:rsid w:val="5E0F686A"/>
    <w:rsid w:val="5E9B0E94"/>
    <w:rsid w:val="5F0B0627"/>
    <w:rsid w:val="5F7D3905"/>
    <w:rsid w:val="612730AE"/>
    <w:rsid w:val="61641B17"/>
    <w:rsid w:val="61905AF4"/>
    <w:rsid w:val="619D39D4"/>
    <w:rsid w:val="62400EAD"/>
    <w:rsid w:val="62D022B3"/>
    <w:rsid w:val="6358747B"/>
    <w:rsid w:val="64206061"/>
    <w:rsid w:val="645541C2"/>
    <w:rsid w:val="6460505B"/>
    <w:rsid w:val="647014C5"/>
    <w:rsid w:val="64C35501"/>
    <w:rsid w:val="64ED1AE5"/>
    <w:rsid w:val="657C0B87"/>
    <w:rsid w:val="65F04C74"/>
    <w:rsid w:val="66F41BC6"/>
    <w:rsid w:val="682855FA"/>
    <w:rsid w:val="687B3C27"/>
    <w:rsid w:val="687D3777"/>
    <w:rsid w:val="690232D2"/>
    <w:rsid w:val="69360245"/>
    <w:rsid w:val="69556629"/>
    <w:rsid w:val="69CC30A8"/>
    <w:rsid w:val="69E60A9C"/>
    <w:rsid w:val="6A3E7B36"/>
    <w:rsid w:val="6AB37D1A"/>
    <w:rsid w:val="6AFC73AE"/>
    <w:rsid w:val="6B835F1F"/>
    <w:rsid w:val="6B9A086E"/>
    <w:rsid w:val="6BC1359C"/>
    <w:rsid w:val="6BF846D1"/>
    <w:rsid w:val="6C192F45"/>
    <w:rsid w:val="6D201C56"/>
    <w:rsid w:val="6D9608C0"/>
    <w:rsid w:val="6E2B11CE"/>
    <w:rsid w:val="6E916532"/>
    <w:rsid w:val="6EA27DCE"/>
    <w:rsid w:val="6EC26886"/>
    <w:rsid w:val="6ED04B50"/>
    <w:rsid w:val="6EE13152"/>
    <w:rsid w:val="6F1A502C"/>
    <w:rsid w:val="6F2B6D0F"/>
    <w:rsid w:val="6FD64AFF"/>
    <w:rsid w:val="701029C9"/>
    <w:rsid w:val="71F43575"/>
    <w:rsid w:val="71F45899"/>
    <w:rsid w:val="721372E8"/>
    <w:rsid w:val="72785B7B"/>
    <w:rsid w:val="72920F99"/>
    <w:rsid w:val="72B16CEB"/>
    <w:rsid w:val="732D61CF"/>
    <w:rsid w:val="735E501F"/>
    <w:rsid w:val="73C3376E"/>
    <w:rsid w:val="73F11CA9"/>
    <w:rsid w:val="741B2C62"/>
    <w:rsid w:val="74204E87"/>
    <w:rsid w:val="747D6965"/>
    <w:rsid w:val="74FF3956"/>
    <w:rsid w:val="7508421A"/>
    <w:rsid w:val="757C3BD5"/>
    <w:rsid w:val="75852944"/>
    <w:rsid w:val="765E2E38"/>
    <w:rsid w:val="76CA7D2C"/>
    <w:rsid w:val="76E65A48"/>
    <w:rsid w:val="77362AB4"/>
    <w:rsid w:val="77D200E8"/>
    <w:rsid w:val="77D4404A"/>
    <w:rsid w:val="77E73078"/>
    <w:rsid w:val="78747050"/>
    <w:rsid w:val="78833A69"/>
    <w:rsid w:val="78BD0159"/>
    <w:rsid w:val="78EE0B2B"/>
    <w:rsid w:val="79FD2D9D"/>
    <w:rsid w:val="7A4D46B7"/>
    <w:rsid w:val="7B186783"/>
    <w:rsid w:val="7B2C1062"/>
    <w:rsid w:val="7B7E0A21"/>
    <w:rsid w:val="7BAC1ED5"/>
    <w:rsid w:val="7BD019F5"/>
    <w:rsid w:val="7C1761F8"/>
    <w:rsid w:val="7CC876FF"/>
    <w:rsid w:val="7CD10C1B"/>
    <w:rsid w:val="7DAC056D"/>
    <w:rsid w:val="7DF6455A"/>
    <w:rsid w:val="7E146715"/>
    <w:rsid w:val="7E80598D"/>
    <w:rsid w:val="7EAE3FE5"/>
    <w:rsid w:val="7F117E7A"/>
    <w:rsid w:val="7F135CCD"/>
    <w:rsid w:val="7F3B6C94"/>
    <w:rsid w:val="7F937319"/>
    <w:rsid w:val="7FC91006"/>
    <w:rsid w:val="7FE27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qFormat="1" w:unhideWhenUsed="0" w:uiPriority="99" w:semiHidden="0"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87"/>
    <w:qFormat/>
    <w:uiPriority w:val="0"/>
    <w:pPr>
      <w:keepNext/>
      <w:tabs>
        <w:tab w:val="left" w:pos="360"/>
      </w:tabs>
      <w:ind w:left="360" w:hanging="360"/>
      <w:outlineLvl w:val="0"/>
    </w:pPr>
    <w:rPr>
      <w:b/>
    </w:rPr>
  </w:style>
  <w:style w:type="paragraph" w:styleId="4">
    <w:name w:val="heading 2"/>
    <w:basedOn w:val="1"/>
    <w:next w:val="5"/>
    <w:link w:val="88"/>
    <w:qFormat/>
    <w:uiPriority w:val="0"/>
    <w:pPr>
      <w:keepNext/>
      <w:keepLines/>
      <w:spacing w:before="260" w:after="260" w:line="416" w:lineRule="auto"/>
      <w:outlineLvl w:val="1"/>
    </w:pPr>
    <w:rPr>
      <w:rFonts w:ascii="Arial" w:hAnsi="Arial" w:eastAsia="黑体"/>
      <w:b/>
      <w:sz w:val="32"/>
    </w:rPr>
  </w:style>
  <w:style w:type="paragraph" w:styleId="7">
    <w:name w:val="heading 3"/>
    <w:basedOn w:val="1"/>
    <w:next w:val="1"/>
    <w:link w:val="89"/>
    <w:qFormat/>
    <w:uiPriority w:val="0"/>
    <w:pPr>
      <w:outlineLvl w:val="2"/>
    </w:pPr>
    <w:rPr>
      <w:bCs/>
      <w:szCs w:val="32"/>
    </w:rPr>
  </w:style>
  <w:style w:type="paragraph" w:styleId="8">
    <w:name w:val="heading 4"/>
    <w:basedOn w:val="1"/>
    <w:next w:val="1"/>
    <w:link w:val="90"/>
    <w:qFormat/>
    <w:uiPriority w:val="0"/>
    <w:pPr>
      <w:keepNext/>
      <w:keepLines/>
      <w:spacing w:before="280" w:after="290" w:line="376" w:lineRule="auto"/>
      <w:outlineLvl w:val="3"/>
    </w:pPr>
    <w:rPr>
      <w:rFonts w:ascii="Arial" w:hAnsi="Arial" w:eastAsia="黑体"/>
      <w:b/>
      <w:bCs/>
      <w:sz w:val="28"/>
      <w:szCs w:val="28"/>
    </w:rPr>
  </w:style>
  <w:style w:type="paragraph" w:styleId="9">
    <w:name w:val="heading 5"/>
    <w:basedOn w:val="1"/>
    <w:next w:val="1"/>
    <w:link w:val="91"/>
    <w:qFormat/>
    <w:uiPriority w:val="0"/>
    <w:pPr>
      <w:keepNext/>
      <w:keepLines/>
      <w:tabs>
        <w:tab w:val="left" w:pos="1440"/>
      </w:tabs>
      <w:spacing w:before="280" w:after="290" w:line="372" w:lineRule="auto"/>
      <w:ind w:left="1440" w:hanging="900"/>
      <w:outlineLvl w:val="4"/>
    </w:pPr>
    <w:rPr>
      <w:b/>
      <w:sz w:val="28"/>
    </w:rPr>
  </w:style>
  <w:style w:type="paragraph" w:styleId="10">
    <w:name w:val="heading 6"/>
    <w:basedOn w:val="1"/>
    <w:next w:val="1"/>
    <w:link w:val="92"/>
    <w:qFormat/>
    <w:uiPriority w:val="0"/>
    <w:pPr>
      <w:keepNext/>
      <w:keepLines/>
      <w:tabs>
        <w:tab w:val="left" w:pos="1440"/>
      </w:tabs>
      <w:spacing w:before="240" w:after="64" w:line="317" w:lineRule="auto"/>
      <w:ind w:left="1440" w:hanging="900"/>
      <w:outlineLvl w:val="5"/>
    </w:pPr>
    <w:rPr>
      <w:rFonts w:ascii="Arial" w:hAnsi="Arial" w:eastAsia="黑体"/>
      <w:b/>
      <w:sz w:val="24"/>
    </w:rPr>
  </w:style>
  <w:style w:type="paragraph" w:styleId="11">
    <w:name w:val="heading 7"/>
    <w:basedOn w:val="1"/>
    <w:next w:val="1"/>
    <w:link w:val="93"/>
    <w:qFormat/>
    <w:uiPriority w:val="0"/>
    <w:pPr>
      <w:keepNext/>
      <w:keepLines/>
      <w:tabs>
        <w:tab w:val="left" w:pos="1440"/>
      </w:tabs>
      <w:spacing w:before="240" w:after="64" w:line="317" w:lineRule="auto"/>
      <w:ind w:left="1440" w:hanging="900"/>
      <w:outlineLvl w:val="6"/>
    </w:pPr>
    <w:rPr>
      <w:b/>
      <w:sz w:val="24"/>
    </w:rPr>
  </w:style>
  <w:style w:type="paragraph" w:styleId="12">
    <w:name w:val="heading 8"/>
    <w:basedOn w:val="1"/>
    <w:next w:val="1"/>
    <w:link w:val="94"/>
    <w:qFormat/>
    <w:uiPriority w:val="0"/>
    <w:pPr>
      <w:keepNext/>
      <w:keepLines/>
      <w:tabs>
        <w:tab w:val="left" w:pos="1440"/>
      </w:tabs>
      <w:spacing w:before="240" w:after="64" w:line="317" w:lineRule="auto"/>
      <w:ind w:left="1440" w:hanging="900"/>
      <w:outlineLvl w:val="7"/>
    </w:pPr>
    <w:rPr>
      <w:rFonts w:ascii="Arial" w:hAnsi="Arial" w:eastAsia="黑体"/>
      <w:sz w:val="24"/>
    </w:rPr>
  </w:style>
  <w:style w:type="paragraph" w:styleId="13">
    <w:name w:val="heading 9"/>
    <w:basedOn w:val="1"/>
    <w:next w:val="1"/>
    <w:link w:val="95"/>
    <w:qFormat/>
    <w:uiPriority w:val="0"/>
    <w:pPr>
      <w:keepNext/>
      <w:keepLines/>
      <w:tabs>
        <w:tab w:val="left" w:pos="1440"/>
      </w:tabs>
      <w:spacing w:before="240" w:after="64" w:line="317" w:lineRule="auto"/>
      <w:ind w:left="1440" w:hanging="900"/>
      <w:outlineLvl w:val="8"/>
    </w:pPr>
    <w:rPr>
      <w:rFonts w:ascii="Arial" w:hAnsi="Arial" w:eastAsia="黑体"/>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28"/>
    <w:qFormat/>
    <w:uiPriority w:val="0"/>
    <w:rPr>
      <w:rFonts w:ascii="Arial" w:hAnsi="Arial" w:cs="Arial"/>
      <w:sz w:val="24"/>
      <w:szCs w:val="22"/>
    </w:rPr>
  </w:style>
  <w:style w:type="paragraph" w:customStyle="1" w:styleId="5">
    <w:name w:val="文档正文"/>
    <w:basedOn w:val="6"/>
    <w:qFormat/>
    <w:uiPriority w:val="0"/>
    <w:pPr>
      <w:suppressAutoHyphens/>
      <w:spacing w:line="312" w:lineRule="atLeast"/>
      <w:ind w:firstLine="567"/>
      <w:jc w:val="left"/>
      <w:textAlignment w:val="baseline"/>
    </w:pPr>
    <w:rPr>
      <w:rFonts w:ascii="长城仿宋" w:hAnsi="长城仿宋" w:eastAsia="长城仿宋" w:cs="Tahoma"/>
      <w:b/>
      <w:w w:val="80"/>
      <w:kern w:val="1"/>
      <w:sz w:val="28"/>
      <w:szCs w:val="20"/>
    </w:rPr>
  </w:style>
  <w:style w:type="paragraph" w:styleId="6">
    <w:name w:val="Normal Indent"/>
    <w:basedOn w:val="1"/>
    <w:next w:val="1"/>
    <w:link w:val="118"/>
    <w:qFormat/>
    <w:uiPriority w:val="99"/>
    <w:pPr>
      <w:ind w:firstLine="420" w:firstLineChars="200"/>
    </w:pPr>
    <w:rPr>
      <w:rFonts w:ascii="Calibri" w:hAnsi="Calibri" w:cs="黑体"/>
      <w:szCs w:val="24"/>
    </w:rPr>
  </w:style>
  <w:style w:type="paragraph" w:styleId="14">
    <w:name w:val="table of authorities"/>
    <w:basedOn w:val="1"/>
    <w:next w:val="1"/>
    <w:unhideWhenUsed/>
    <w:qFormat/>
    <w:uiPriority w:val="99"/>
    <w:pPr>
      <w:ind w:left="420" w:leftChars="200"/>
    </w:pPr>
  </w:style>
  <w:style w:type="paragraph" w:styleId="15">
    <w:name w:val="caption"/>
    <w:basedOn w:val="1"/>
    <w:next w:val="1"/>
    <w:qFormat/>
    <w:uiPriority w:val="0"/>
    <w:rPr>
      <w:rFonts w:ascii="Arial" w:hAnsi="Arial" w:eastAsia="黑体" w:cs="Arial"/>
      <w:sz w:val="20"/>
    </w:rPr>
  </w:style>
  <w:style w:type="paragraph" w:styleId="16">
    <w:name w:val="Document Map"/>
    <w:basedOn w:val="1"/>
    <w:link w:val="127"/>
    <w:qFormat/>
    <w:uiPriority w:val="0"/>
    <w:pPr>
      <w:shd w:val="clear" w:color="auto" w:fill="000080"/>
    </w:pPr>
    <w:rPr>
      <w:rFonts w:ascii="Calibri" w:hAnsi="Calibri" w:cs="黑体"/>
      <w:szCs w:val="22"/>
    </w:rPr>
  </w:style>
  <w:style w:type="paragraph" w:styleId="17">
    <w:name w:val="toa heading"/>
    <w:basedOn w:val="1"/>
    <w:next w:val="1"/>
    <w:qFormat/>
    <w:uiPriority w:val="0"/>
    <w:pPr>
      <w:spacing w:before="120"/>
    </w:pPr>
    <w:rPr>
      <w:rFonts w:ascii="Arial" w:hAnsi="Arial"/>
      <w:sz w:val="24"/>
      <w:szCs w:val="21"/>
    </w:rPr>
  </w:style>
  <w:style w:type="paragraph" w:styleId="18">
    <w:name w:val="annotation text"/>
    <w:basedOn w:val="1"/>
    <w:link w:val="132"/>
    <w:unhideWhenUsed/>
    <w:qFormat/>
    <w:uiPriority w:val="99"/>
    <w:pPr>
      <w:jc w:val="left"/>
    </w:pPr>
  </w:style>
  <w:style w:type="paragraph" w:styleId="19">
    <w:name w:val="index 6"/>
    <w:basedOn w:val="1"/>
    <w:next w:val="1"/>
    <w:qFormat/>
    <w:uiPriority w:val="99"/>
    <w:pPr>
      <w:ind w:left="2100"/>
    </w:pPr>
  </w:style>
  <w:style w:type="paragraph" w:styleId="20">
    <w:name w:val="Salutation"/>
    <w:basedOn w:val="1"/>
    <w:next w:val="1"/>
    <w:link w:val="97"/>
    <w:qFormat/>
    <w:uiPriority w:val="0"/>
    <w:rPr>
      <w:rFonts w:ascii="宋体"/>
      <w:b/>
      <w:sz w:val="28"/>
    </w:rPr>
  </w:style>
  <w:style w:type="paragraph" w:styleId="21">
    <w:name w:val="Body Text Indent"/>
    <w:basedOn w:val="1"/>
    <w:next w:val="1"/>
    <w:link w:val="99"/>
    <w:qFormat/>
    <w:uiPriority w:val="0"/>
    <w:pPr>
      <w:ind w:firstLine="480"/>
    </w:pPr>
    <w:rPr>
      <w:rFonts w:ascii="宋体" w:hAnsi="宋体"/>
      <w:sz w:val="24"/>
    </w:rPr>
  </w:style>
  <w:style w:type="paragraph" w:styleId="22">
    <w:name w:val="toc 3"/>
    <w:basedOn w:val="1"/>
    <w:next w:val="1"/>
    <w:qFormat/>
    <w:uiPriority w:val="39"/>
    <w:pPr>
      <w:ind w:left="840" w:leftChars="400"/>
    </w:pPr>
  </w:style>
  <w:style w:type="paragraph" w:styleId="23">
    <w:name w:val="Plain Text"/>
    <w:basedOn w:val="1"/>
    <w:link w:val="129"/>
    <w:qFormat/>
    <w:uiPriority w:val="0"/>
    <w:rPr>
      <w:rFonts w:ascii="宋体" w:hAnsi="Courier New" w:cs="黑体"/>
      <w:szCs w:val="22"/>
    </w:rPr>
  </w:style>
  <w:style w:type="paragraph" w:styleId="24">
    <w:name w:val="Date"/>
    <w:basedOn w:val="1"/>
    <w:next w:val="1"/>
    <w:link w:val="101"/>
    <w:qFormat/>
    <w:uiPriority w:val="0"/>
    <w:pPr>
      <w:ind w:left="100"/>
    </w:pPr>
    <w:rPr>
      <w:sz w:val="24"/>
    </w:rPr>
  </w:style>
  <w:style w:type="paragraph" w:styleId="25">
    <w:name w:val="Body Text Indent 2"/>
    <w:basedOn w:val="1"/>
    <w:link w:val="126"/>
    <w:qFormat/>
    <w:uiPriority w:val="0"/>
    <w:pPr>
      <w:ind w:firstLine="435"/>
    </w:pPr>
    <w:rPr>
      <w:rFonts w:ascii="宋体" w:hAnsi="宋体" w:cs="黑体"/>
      <w:sz w:val="24"/>
      <w:szCs w:val="22"/>
    </w:rPr>
  </w:style>
  <w:style w:type="paragraph" w:styleId="26">
    <w:name w:val="Balloon Text"/>
    <w:basedOn w:val="1"/>
    <w:link w:val="103"/>
    <w:semiHidden/>
    <w:qFormat/>
    <w:uiPriority w:val="0"/>
    <w:rPr>
      <w:sz w:val="18"/>
      <w:szCs w:val="18"/>
    </w:rPr>
  </w:style>
  <w:style w:type="paragraph" w:styleId="27">
    <w:name w:val="footer"/>
    <w:basedOn w:val="1"/>
    <w:link w:val="104"/>
    <w:unhideWhenUsed/>
    <w:qFormat/>
    <w:uiPriority w:val="99"/>
    <w:pPr>
      <w:tabs>
        <w:tab w:val="center" w:pos="4153"/>
        <w:tab w:val="right" w:pos="8306"/>
      </w:tabs>
      <w:snapToGrid w:val="0"/>
      <w:jc w:val="left"/>
    </w:pPr>
    <w:rPr>
      <w:sz w:val="18"/>
      <w:szCs w:val="18"/>
    </w:rPr>
  </w:style>
  <w:style w:type="paragraph" w:styleId="28">
    <w:name w:val="envelope return"/>
    <w:basedOn w:val="1"/>
    <w:qFormat/>
    <w:uiPriority w:val="0"/>
    <w:pPr>
      <w:topLinePunct/>
      <w:snapToGrid w:val="0"/>
    </w:pPr>
    <w:rPr>
      <w:rFonts w:ascii="Arial" w:hAnsi="Arial" w:cs="Arial"/>
    </w:rPr>
  </w:style>
  <w:style w:type="paragraph" w:styleId="29">
    <w:name w:val="header"/>
    <w:basedOn w:val="1"/>
    <w:link w:val="105"/>
    <w:unhideWhenUsed/>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style>
  <w:style w:type="paragraph" w:styleId="31">
    <w:name w:val="Body Text Indent 3"/>
    <w:basedOn w:val="1"/>
    <w:link w:val="106"/>
    <w:qFormat/>
    <w:uiPriority w:val="0"/>
    <w:pPr>
      <w:ind w:left="471" w:hanging="471" w:hangingChars="200"/>
    </w:pPr>
    <w:rPr>
      <w:rFonts w:ascii="Arial" w:hAnsi="Arial" w:cs="Arial"/>
      <w:b/>
      <w:bCs/>
      <w:sz w:val="24"/>
    </w:rPr>
  </w:style>
  <w:style w:type="paragraph" w:styleId="32">
    <w:name w:val="toc 2"/>
    <w:basedOn w:val="1"/>
    <w:next w:val="1"/>
    <w:qFormat/>
    <w:uiPriority w:val="39"/>
    <w:pPr>
      <w:ind w:left="420" w:leftChars="200"/>
    </w:pPr>
  </w:style>
  <w:style w:type="paragraph" w:styleId="33">
    <w:name w:val="Body Text 2"/>
    <w:basedOn w:val="1"/>
    <w:link w:val="107"/>
    <w:qFormat/>
    <w:uiPriority w:val="0"/>
    <w:pPr>
      <w:spacing w:line="360" w:lineRule="auto"/>
    </w:pPr>
    <w:rPr>
      <w:b/>
      <w:sz w:val="28"/>
      <w:szCs w:val="21"/>
    </w:rPr>
  </w:style>
  <w:style w:type="paragraph" w:styleId="34">
    <w:name w:val="HTML Preformatted"/>
    <w:basedOn w:val="1"/>
    <w:qFormat/>
    <w:uiPriority w:val="0"/>
    <w:rPr>
      <w:rFonts w:ascii="Courier New" w:hAnsi="Courier New"/>
      <w:sz w:val="20"/>
    </w:rPr>
  </w:style>
  <w:style w:type="paragraph" w:styleId="35">
    <w:name w:val="Normal (Web)"/>
    <w:basedOn w:val="1"/>
    <w:link w:val="13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36">
    <w:name w:val="annotation subject"/>
    <w:basedOn w:val="18"/>
    <w:next w:val="18"/>
    <w:link w:val="133"/>
    <w:unhideWhenUsed/>
    <w:qFormat/>
    <w:uiPriority w:val="99"/>
    <w:rPr>
      <w:b/>
      <w:bCs/>
    </w:rPr>
  </w:style>
  <w:style w:type="paragraph" w:styleId="37">
    <w:name w:val="Body Text First Indent"/>
    <w:basedOn w:val="2"/>
    <w:next w:val="38"/>
    <w:link w:val="130"/>
    <w:qFormat/>
    <w:uiPriority w:val="0"/>
    <w:pPr>
      <w:spacing w:after="120"/>
      <w:ind w:firstLine="420" w:firstLineChars="100"/>
    </w:pPr>
  </w:style>
  <w:style w:type="paragraph" w:styleId="38">
    <w:name w:val="Body Text First Indent 2"/>
    <w:basedOn w:val="21"/>
    <w:next w:val="21"/>
    <w:unhideWhenUsed/>
    <w:qFormat/>
    <w:uiPriority w:val="99"/>
    <w:pPr>
      <w:ind w:firstLine="420"/>
    </w:pPr>
    <w:rPr>
      <w:rFonts w:ascii="Arial" w:hAnsi="Arial" w:eastAsia="仿宋_GB2312"/>
      <w:sz w:val="28"/>
    </w:rPr>
  </w:style>
  <w:style w:type="table" w:styleId="40">
    <w:name w:val="Table Grid"/>
    <w:basedOn w:val="3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Strong"/>
    <w:basedOn w:val="41"/>
    <w:qFormat/>
    <w:uiPriority w:val="0"/>
    <w:rPr>
      <w:b/>
      <w:bCs/>
    </w:rPr>
  </w:style>
  <w:style w:type="character" w:styleId="43">
    <w:name w:val="page number"/>
    <w:basedOn w:val="41"/>
    <w:qFormat/>
    <w:uiPriority w:val="0"/>
  </w:style>
  <w:style w:type="character" w:styleId="44">
    <w:name w:val="FollowedHyperlink"/>
    <w:qFormat/>
    <w:uiPriority w:val="0"/>
    <w:rPr>
      <w:color w:val="800080"/>
      <w:u w:val="single"/>
    </w:rPr>
  </w:style>
  <w:style w:type="character" w:styleId="45">
    <w:name w:val="Emphasis"/>
    <w:qFormat/>
    <w:uiPriority w:val="0"/>
    <w:rPr>
      <w:color w:val="CC0033"/>
    </w:rPr>
  </w:style>
  <w:style w:type="character" w:styleId="46">
    <w:name w:val="Hyperlink"/>
    <w:basedOn w:val="41"/>
    <w:qFormat/>
    <w:uiPriority w:val="99"/>
    <w:rPr>
      <w:color w:val="0000FF"/>
      <w:u w:val="single"/>
    </w:rPr>
  </w:style>
  <w:style w:type="character" w:styleId="47">
    <w:name w:val="annotation reference"/>
    <w:basedOn w:val="41"/>
    <w:unhideWhenUsed/>
    <w:qFormat/>
    <w:uiPriority w:val="99"/>
    <w:rPr>
      <w:sz w:val="21"/>
      <w:szCs w:val="21"/>
    </w:rPr>
  </w:style>
  <w:style w:type="paragraph" w:customStyle="1" w:styleId="48">
    <w:name w:val="标题 5（有编号）（绿盟科技）"/>
    <w:basedOn w:val="1"/>
    <w:next w:val="49"/>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49">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50">
    <w:name w:val="所标正文"/>
    <w:basedOn w:val="1"/>
    <w:link w:val="111"/>
    <w:qFormat/>
    <w:uiPriority w:val="0"/>
    <w:pPr>
      <w:spacing w:line="360" w:lineRule="auto"/>
      <w:ind w:firstLine="200" w:firstLineChars="200"/>
    </w:pPr>
    <w:rPr>
      <w:rFonts w:ascii="仿宋_GB2312" w:hAnsi="Calibri" w:eastAsia="仿宋_GB2312" w:cs="黑体"/>
      <w:sz w:val="30"/>
      <w:szCs w:val="28"/>
    </w:rPr>
  </w:style>
  <w:style w:type="paragraph" w:customStyle="1" w:styleId="51">
    <w:name w:val="正文文字"/>
    <w:basedOn w:val="1"/>
    <w:link w:val="112"/>
    <w:qFormat/>
    <w:uiPriority w:val="0"/>
    <w:pPr>
      <w:widowControl/>
      <w:spacing w:line="2375" w:lineRule="atLeast"/>
      <w:ind w:firstLine="419"/>
      <w:textAlignment w:val="baseline"/>
    </w:pPr>
    <w:rPr>
      <w:rFonts w:ascii="宋体" w:hAnsi="Calibri" w:cs="黑体"/>
      <w:color w:val="000000"/>
      <w:sz w:val="28"/>
      <w:szCs w:val="22"/>
      <w:u w:color="000000"/>
    </w:rPr>
  </w:style>
  <w:style w:type="paragraph" w:customStyle="1" w:styleId="52">
    <w:name w:val="样式 正文缩进 + 首行缩进:  2 字符"/>
    <w:basedOn w:val="6"/>
    <w:link w:val="119"/>
    <w:qFormat/>
    <w:uiPriority w:val="0"/>
    <w:pPr>
      <w:spacing w:line="360" w:lineRule="auto"/>
      <w:ind w:firstLine="200"/>
    </w:pPr>
    <w:rPr>
      <w:sz w:val="24"/>
      <w:szCs w:val="22"/>
    </w:rPr>
  </w:style>
  <w:style w:type="paragraph" w:customStyle="1" w:styleId="53">
    <w:name w:val="标准段落正文"/>
    <w:basedOn w:val="1"/>
    <w:link w:val="120"/>
    <w:qFormat/>
    <w:uiPriority w:val="0"/>
    <w:pPr>
      <w:spacing w:line="360" w:lineRule="auto"/>
      <w:ind w:firstLine="482"/>
    </w:pPr>
    <w:rPr>
      <w:rFonts w:ascii="Calibri" w:hAnsi="Calibri" w:cs="宋体"/>
      <w:sz w:val="24"/>
      <w:szCs w:val="22"/>
    </w:rPr>
  </w:style>
  <w:style w:type="paragraph" w:customStyle="1" w:styleId="54">
    <w:name w:val="列出段落1"/>
    <w:basedOn w:val="1"/>
    <w:qFormat/>
    <w:uiPriority w:val="34"/>
    <w:pPr>
      <w:ind w:firstLine="420" w:firstLineChars="200"/>
    </w:pPr>
    <w:rPr>
      <w:rFonts w:ascii="Calibri" w:hAnsi="Calibri"/>
      <w:szCs w:val="22"/>
    </w:rPr>
  </w:style>
  <w:style w:type="paragraph" w:customStyle="1" w:styleId="55">
    <w:name w:val="标题 31"/>
    <w:basedOn w:val="1"/>
    <w:next w:val="1"/>
    <w:qFormat/>
    <w:uiPriority w:val="0"/>
    <w:pPr>
      <w:adjustRightInd w:val="0"/>
      <w:snapToGrid w:val="0"/>
      <w:spacing w:line="360" w:lineRule="auto"/>
      <w:outlineLvl w:val="2"/>
    </w:pPr>
    <w:rPr>
      <w:rFonts w:hAnsi="宋体"/>
      <w:b/>
      <w:bCs/>
      <w:sz w:val="24"/>
      <w:szCs w:val="21"/>
    </w:rPr>
  </w:style>
  <w:style w:type="paragraph" w:customStyle="1" w:styleId="56">
    <w:name w:val="Char"/>
    <w:basedOn w:val="1"/>
    <w:semiHidden/>
    <w:qFormat/>
    <w:uiPriority w:val="0"/>
    <w:rPr>
      <w:rFonts w:ascii="Tahoma" w:hAnsi="Tahoma" w:cs="仿宋_GB2312"/>
      <w:sz w:val="24"/>
      <w:szCs w:val="28"/>
    </w:rPr>
  </w:style>
  <w:style w:type="paragraph" w:customStyle="1" w:styleId="57">
    <w:name w:val="正文缩进1"/>
    <w:basedOn w:val="1"/>
    <w:qFormat/>
    <w:uiPriority w:val="0"/>
    <w:pPr>
      <w:ind w:firstLine="420" w:firstLineChars="200"/>
    </w:pPr>
    <w:rPr>
      <w:rFonts w:ascii="Calibri" w:hAnsi="Calibri"/>
    </w:rPr>
  </w:style>
  <w:style w:type="paragraph" w:customStyle="1" w:styleId="58">
    <w:name w:val="条目3"/>
    <w:basedOn w:val="23"/>
    <w:qFormat/>
    <w:uiPriority w:val="0"/>
  </w:style>
  <w:style w:type="paragraph" w:customStyle="1" w:styleId="59">
    <w:name w:val="缺省文本"/>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0">
    <w:name w:val="普通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61">
    <w:name w:val="列出段落11"/>
    <w:basedOn w:val="1"/>
    <w:qFormat/>
    <w:uiPriority w:val="0"/>
    <w:pPr>
      <w:ind w:firstLine="420" w:firstLineChars="200"/>
    </w:pPr>
  </w:style>
  <w:style w:type="paragraph" w:customStyle="1" w:styleId="62">
    <w:name w:val="Char1"/>
    <w:basedOn w:val="1"/>
    <w:qFormat/>
    <w:uiPriority w:val="0"/>
    <w:pPr>
      <w:widowControl/>
      <w:spacing w:after="160" w:line="240" w:lineRule="exact"/>
      <w:jc w:val="left"/>
    </w:pPr>
    <w:rPr>
      <w:rFonts w:ascii="Verdana" w:hAnsi="Verdana"/>
      <w:kern w:val="0"/>
      <w:sz w:val="20"/>
      <w:lang w:eastAsia="en-US"/>
    </w:rPr>
  </w:style>
  <w:style w:type="paragraph" w:customStyle="1" w:styleId="63">
    <w:name w:val="首页大标题"/>
    <w:basedOn w:val="50"/>
    <w:qFormat/>
    <w:uiPriority w:val="0"/>
    <w:pPr>
      <w:ind w:firstLine="0" w:firstLineChars="0"/>
      <w:jc w:val="center"/>
    </w:pPr>
    <w:rPr>
      <w:rFonts w:ascii="黑体" w:eastAsia="黑体"/>
      <w:b/>
      <w:sz w:val="52"/>
    </w:rPr>
  </w:style>
  <w:style w:type="paragraph" w:customStyle="1" w:styleId="64">
    <w:name w:val="Default Tex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5">
    <w:name w:val="p0"/>
    <w:basedOn w:val="1"/>
    <w:qFormat/>
    <w:uiPriority w:val="0"/>
    <w:pPr>
      <w:widowControl/>
    </w:pPr>
    <w:rPr>
      <w:kern w:val="0"/>
      <w:szCs w:val="21"/>
    </w:rPr>
  </w:style>
  <w:style w:type="paragraph" w:customStyle="1" w:styleId="66">
    <w:name w:val="条目2"/>
    <w:basedOn w:val="23"/>
    <w:qFormat/>
    <w:uiPriority w:val="0"/>
    <w:pPr>
      <w:tabs>
        <w:tab w:val="left" w:pos="420"/>
      </w:tabs>
      <w:spacing w:line="360" w:lineRule="auto"/>
      <w:ind w:left="420" w:hanging="420"/>
    </w:pPr>
    <w:rPr>
      <w:color w:val="000000"/>
      <w:sz w:val="30"/>
    </w:rPr>
  </w:style>
  <w:style w:type="paragraph" w:customStyle="1" w:styleId="67">
    <w:name w:val="1 Char Char Char Char"/>
    <w:basedOn w:val="1"/>
    <w:qFormat/>
    <w:uiPriority w:val="0"/>
    <w:rPr>
      <w:rFonts w:ascii="Tahoma" w:hAnsi="Tahoma"/>
      <w:sz w:val="24"/>
    </w:rPr>
  </w:style>
  <w:style w:type="paragraph" w:customStyle="1" w:styleId="68">
    <w:name w:val="列出段落2"/>
    <w:basedOn w:val="1"/>
    <w:qFormat/>
    <w:uiPriority w:val="34"/>
    <w:pPr>
      <w:ind w:firstLine="420" w:firstLineChars="200"/>
    </w:pPr>
    <w:rPr>
      <w:rFonts w:ascii="Calibri" w:hAnsi="Calibri" w:cs="黑体"/>
      <w:szCs w:val="22"/>
    </w:rPr>
  </w:style>
  <w:style w:type="paragraph" w:customStyle="1" w:styleId="69">
    <w:name w:val="宋体小四"/>
    <w:basedOn w:val="1"/>
    <w:qFormat/>
    <w:uiPriority w:val="0"/>
    <w:pPr>
      <w:spacing w:line="360" w:lineRule="auto"/>
      <w:ind w:firstLine="480" w:firstLineChars="200"/>
    </w:pPr>
    <w:rPr>
      <w:rFonts w:ascii="Arial" w:hAnsi="Arial"/>
      <w:sz w:val="24"/>
    </w:rPr>
  </w:style>
  <w:style w:type="paragraph" w:customStyle="1" w:styleId="70">
    <w:name w:val="列出段落21"/>
    <w:basedOn w:val="1"/>
    <w:qFormat/>
    <w:uiPriority w:val="34"/>
    <w:pPr>
      <w:ind w:firstLine="420" w:firstLineChars="200"/>
    </w:pPr>
    <w:rPr>
      <w:rFonts w:ascii="Calibri" w:hAnsi="Calibri" w:cs="黑体"/>
      <w:szCs w:val="24"/>
    </w:rPr>
  </w:style>
  <w:style w:type="paragraph" w:customStyle="1" w:styleId="71">
    <w:name w:val="验收文档-首页保密文字"/>
    <w:basedOn w:val="1"/>
    <w:qFormat/>
    <w:uiPriority w:val="0"/>
    <w:pPr>
      <w:tabs>
        <w:tab w:val="left" w:pos="2700"/>
      </w:tabs>
      <w:spacing w:line="520" w:lineRule="exact"/>
      <w:jc w:val="center"/>
    </w:pPr>
    <w:rPr>
      <w:rFonts w:ascii="仿宋_GB2312" w:eastAsia="仿宋_GB2312" w:cs="黑体"/>
      <w:sz w:val="28"/>
      <w:szCs w:val="24"/>
    </w:rPr>
  </w:style>
  <w:style w:type="paragraph" w:customStyle="1" w:styleId="72">
    <w:name w:val="样式1"/>
    <w:basedOn w:val="7"/>
    <w:qFormat/>
    <w:uiPriority w:val="0"/>
    <w:rPr>
      <w:rFonts w:ascii="宋体" w:hAnsi="宋体"/>
      <w:szCs w:val="21"/>
    </w:rPr>
  </w:style>
  <w:style w:type="paragraph" w:customStyle="1" w:styleId="73">
    <w:name w:val="验收文档-首页主标题"/>
    <w:basedOn w:val="1"/>
    <w:qFormat/>
    <w:uiPriority w:val="0"/>
    <w:pPr>
      <w:jc w:val="center"/>
    </w:pPr>
    <w:rPr>
      <w:rFonts w:ascii="黑体" w:eastAsia="黑体"/>
      <w:sz w:val="52"/>
      <w:szCs w:val="52"/>
    </w:rPr>
  </w:style>
  <w:style w:type="paragraph" w:customStyle="1" w:styleId="74">
    <w:name w:val="TOC 标题1"/>
    <w:basedOn w:val="3"/>
    <w:next w:val="1"/>
    <w:unhideWhenUsed/>
    <w:qFormat/>
    <w:uiPriority w:val="39"/>
    <w:pPr>
      <w:widowControl/>
      <w:spacing w:before="240" w:line="259" w:lineRule="auto"/>
      <w:ind w:left="0" w:firstLine="0"/>
      <w:jc w:val="left"/>
      <w:outlineLvl w:val="9"/>
    </w:pPr>
    <w:rPr>
      <w:rFonts w:ascii="Cambria" w:hAnsi="Cambria" w:cs="黑体"/>
      <w:color w:val="365F90"/>
      <w:kern w:val="0"/>
      <w:sz w:val="32"/>
      <w:szCs w:val="32"/>
    </w:rPr>
  </w:style>
  <w:style w:type="paragraph" w:customStyle="1" w:styleId="75">
    <w:name w:val="标书正文"/>
    <w:basedOn w:val="1"/>
    <w:qFormat/>
    <w:uiPriority w:val="0"/>
    <w:pPr>
      <w:spacing w:line="560" w:lineRule="exact"/>
      <w:ind w:firstLine="723" w:firstLineChars="200"/>
      <w:jc w:val="center"/>
    </w:pPr>
    <w:rPr>
      <w:rFonts w:ascii="仿宋_GB2312" w:eastAsia="仿宋_GB2312"/>
      <w:b/>
      <w:sz w:val="36"/>
    </w:rPr>
  </w:style>
  <w:style w:type="paragraph" w:customStyle="1" w:styleId="76">
    <w:name w:val="表头"/>
    <w:basedOn w:val="1"/>
    <w:qFormat/>
    <w:uiPriority w:val="0"/>
    <w:pPr>
      <w:widowControl/>
      <w:spacing w:line="276" w:lineRule="auto"/>
      <w:jc w:val="center"/>
    </w:pPr>
    <w:rPr>
      <w:rFonts w:ascii="宋体" w:hAnsi="宋体"/>
      <w:b/>
    </w:rPr>
  </w:style>
  <w:style w:type="paragraph" w:customStyle="1" w:styleId="77">
    <w:name w:val="表格内容"/>
    <w:basedOn w:val="1"/>
    <w:qFormat/>
    <w:uiPriority w:val="0"/>
    <w:pPr>
      <w:widowControl/>
      <w:spacing w:line="276" w:lineRule="auto"/>
      <w:jc w:val="left"/>
    </w:pPr>
    <w:rPr>
      <w:rFonts w:ascii="宋体" w:hAnsi="宋体"/>
      <w:kern w:val="0"/>
    </w:rPr>
  </w:style>
  <w:style w:type="paragraph" w:customStyle="1" w:styleId="78">
    <w:name w:val="表格内容左对齐"/>
    <w:basedOn w:val="1"/>
    <w:qFormat/>
    <w:uiPriority w:val="2"/>
    <w:pPr>
      <w:widowControl/>
      <w:jc w:val="left"/>
    </w:pPr>
    <w:rPr>
      <w:rFonts w:ascii="Calibri" w:hAnsi="Calibri"/>
      <w:kern w:val="0"/>
    </w:rPr>
  </w:style>
  <w:style w:type="paragraph" w:customStyle="1" w:styleId="79">
    <w:name w:val="List Paragraph1"/>
    <w:basedOn w:val="1"/>
    <w:semiHidden/>
    <w:qFormat/>
    <w:uiPriority w:val="0"/>
    <w:pPr>
      <w:ind w:firstLine="420" w:firstLineChars="200"/>
    </w:pPr>
    <w:rPr>
      <w:rFonts w:ascii="Calibri" w:hAnsi="Calibri"/>
      <w:szCs w:val="24"/>
    </w:rPr>
  </w:style>
  <w:style w:type="paragraph" w:customStyle="1" w:styleId="80">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rFonts w:ascii="@仿宋_GB2312" w:hAnsi="@仿宋_GB2312" w:eastAsia="@仿宋_GB2312" w:cs="@仿宋_GB2312"/>
      <w:sz w:val="24"/>
    </w:rPr>
  </w:style>
  <w:style w:type="paragraph" w:customStyle="1" w:styleId="81">
    <w:name w:val="正文1"/>
    <w:qFormat/>
    <w:uiPriority w:val="99"/>
    <w:rPr>
      <w:rFonts w:ascii="Times New Roman" w:hAnsi="Times New Roman" w:eastAsia="Times New Roman" w:cs="Times New Roman"/>
      <w:sz w:val="24"/>
      <w:szCs w:val="24"/>
      <w:lang w:val="en-US" w:eastAsia="zh-CN" w:bidi="ar-SA"/>
    </w:rPr>
  </w:style>
  <w:style w:type="paragraph" w:customStyle="1" w:styleId="82">
    <w:name w:val="准备书正文"/>
    <w:qFormat/>
    <w:uiPriority w:val="0"/>
    <w:pPr>
      <w:spacing w:beforeLines="5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83">
    <w:name w:val="!正文ctrl+q"/>
    <w:basedOn w:val="1"/>
    <w:qFormat/>
    <w:uiPriority w:val="0"/>
    <w:pPr>
      <w:ind w:firstLine="200"/>
    </w:pPr>
    <w:rPr>
      <w:rFonts w:eastAsia="仿宋_GB2312"/>
      <w:kern w:val="0"/>
      <w:sz w:val="28"/>
      <w:szCs w:val="24"/>
    </w:rPr>
  </w:style>
  <w:style w:type="paragraph" w:customStyle="1" w:styleId="84">
    <w:name w:val="0正文"/>
    <w:basedOn w:val="1"/>
    <w:link w:val="135"/>
    <w:qFormat/>
    <w:uiPriority w:val="0"/>
    <w:rPr>
      <w:rFonts w:ascii="Calibri" w:hAnsi="Calibri" w:cs="黑体"/>
      <w:szCs w:val="22"/>
    </w:rPr>
  </w:style>
  <w:style w:type="paragraph" w:customStyle="1" w:styleId="85">
    <w:name w:val="样式 首行缩进:  0.74 厘米"/>
    <w:basedOn w:val="1"/>
    <w:qFormat/>
    <w:uiPriority w:val="0"/>
    <w:pPr>
      <w:ind w:firstLine="420"/>
    </w:pPr>
    <w:rPr>
      <w:rFonts w:ascii="Arial" w:hAnsi="Arial" w:eastAsia="仿宋_GB2312" w:cs="Arial"/>
      <w:bCs/>
      <w:sz w:val="28"/>
      <w:szCs w:val="28"/>
    </w:rPr>
  </w:style>
  <w:style w:type="paragraph" w:customStyle="1" w:styleId="86">
    <w:name w:val="标准文本"/>
    <w:basedOn w:val="1"/>
    <w:qFormat/>
    <w:uiPriority w:val="0"/>
    <w:pPr>
      <w:spacing w:line="360" w:lineRule="auto"/>
      <w:ind w:firstLine="480" w:firstLineChars="200"/>
    </w:pPr>
    <w:rPr>
      <w:rFonts w:cs="宋体"/>
      <w:sz w:val="24"/>
    </w:rPr>
  </w:style>
  <w:style w:type="character" w:customStyle="1" w:styleId="87">
    <w:name w:val="标题 1 字符"/>
    <w:basedOn w:val="41"/>
    <w:link w:val="3"/>
    <w:qFormat/>
    <w:uiPriority w:val="0"/>
    <w:rPr>
      <w:rFonts w:ascii="Times New Roman" w:hAnsi="Times New Roman" w:eastAsia="宋体" w:cs="Times New Roman"/>
      <w:b/>
      <w:szCs w:val="20"/>
    </w:rPr>
  </w:style>
  <w:style w:type="character" w:customStyle="1" w:styleId="88">
    <w:name w:val="标题 2 字符"/>
    <w:basedOn w:val="41"/>
    <w:link w:val="4"/>
    <w:qFormat/>
    <w:uiPriority w:val="0"/>
    <w:rPr>
      <w:rFonts w:ascii="Arial" w:hAnsi="Arial" w:eastAsia="黑体" w:cs="Times New Roman"/>
      <w:b/>
      <w:sz w:val="32"/>
      <w:szCs w:val="20"/>
    </w:rPr>
  </w:style>
  <w:style w:type="character" w:customStyle="1" w:styleId="89">
    <w:name w:val="标题 3 字符"/>
    <w:basedOn w:val="41"/>
    <w:link w:val="7"/>
    <w:qFormat/>
    <w:uiPriority w:val="0"/>
    <w:rPr>
      <w:rFonts w:ascii="Times New Roman" w:hAnsi="Times New Roman" w:eastAsia="宋体" w:cs="Times New Roman"/>
      <w:b/>
      <w:bCs/>
      <w:sz w:val="32"/>
      <w:szCs w:val="32"/>
    </w:rPr>
  </w:style>
  <w:style w:type="character" w:customStyle="1" w:styleId="90">
    <w:name w:val="标题 4 字符"/>
    <w:basedOn w:val="41"/>
    <w:link w:val="8"/>
    <w:qFormat/>
    <w:uiPriority w:val="0"/>
    <w:rPr>
      <w:rFonts w:ascii="Arial" w:hAnsi="Arial" w:eastAsia="黑体" w:cs="Times New Roman"/>
      <w:b/>
      <w:bCs/>
      <w:sz w:val="28"/>
      <w:szCs w:val="28"/>
    </w:rPr>
  </w:style>
  <w:style w:type="character" w:customStyle="1" w:styleId="91">
    <w:name w:val="标题 5 字符"/>
    <w:basedOn w:val="41"/>
    <w:link w:val="9"/>
    <w:qFormat/>
    <w:uiPriority w:val="0"/>
    <w:rPr>
      <w:rFonts w:ascii="Times New Roman" w:hAnsi="Times New Roman" w:eastAsia="宋体" w:cs="Times New Roman"/>
      <w:b/>
      <w:sz w:val="28"/>
      <w:szCs w:val="20"/>
    </w:rPr>
  </w:style>
  <w:style w:type="character" w:customStyle="1" w:styleId="92">
    <w:name w:val="标题 6 字符"/>
    <w:basedOn w:val="41"/>
    <w:link w:val="10"/>
    <w:qFormat/>
    <w:uiPriority w:val="0"/>
    <w:rPr>
      <w:rFonts w:ascii="Arial" w:hAnsi="Arial" w:eastAsia="黑体" w:cs="Times New Roman"/>
      <w:b/>
      <w:sz w:val="24"/>
      <w:szCs w:val="20"/>
    </w:rPr>
  </w:style>
  <w:style w:type="character" w:customStyle="1" w:styleId="93">
    <w:name w:val="标题 7 字符"/>
    <w:basedOn w:val="41"/>
    <w:link w:val="11"/>
    <w:qFormat/>
    <w:uiPriority w:val="0"/>
    <w:rPr>
      <w:rFonts w:ascii="Times New Roman" w:hAnsi="Times New Roman" w:eastAsia="宋体" w:cs="Times New Roman"/>
      <w:b/>
      <w:sz w:val="24"/>
      <w:szCs w:val="20"/>
    </w:rPr>
  </w:style>
  <w:style w:type="character" w:customStyle="1" w:styleId="94">
    <w:name w:val="标题 8 字符"/>
    <w:basedOn w:val="41"/>
    <w:link w:val="12"/>
    <w:qFormat/>
    <w:uiPriority w:val="0"/>
    <w:rPr>
      <w:rFonts w:ascii="Arial" w:hAnsi="Arial" w:eastAsia="黑体" w:cs="Times New Roman"/>
      <w:sz w:val="24"/>
      <w:szCs w:val="20"/>
    </w:rPr>
  </w:style>
  <w:style w:type="character" w:customStyle="1" w:styleId="95">
    <w:name w:val="标题 9 字符"/>
    <w:basedOn w:val="41"/>
    <w:link w:val="13"/>
    <w:qFormat/>
    <w:uiPriority w:val="0"/>
    <w:rPr>
      <w:rFonts w:ascii="Arial" w:hAnsi="Arial" w:eastAsia="黑体" w:cs="Times New Roman"/>
      <w:szCs w:val="20"/>
    </w:rPr>
  </w:style>
  <w:style w:type="character" w:customStyle="1" w:styleId="96">
    <w:name w:val="文档结构图 Char"/>
    <w:basedOn w:val="41"/>
    <w:qFormat/>
    <w:uiPriority w:val="0"/>
    <w:rPr>
      <w:rFonts w:ascii="宋体" w:hAnsi="Times New Roman" w:eastAsia="宋体" w:cs="Times New Roman"/>
      <w:sz w:val="18"/>
      <w:szCs w:val="18"/>
    </w:rPr>
  </w:style>
  <w:style w:type="character" w:customStyle="1" w:styleId="97">
    <w:name w:val="称呼 字符"/>
    <w:basedOn w:val="41"/>
    <w:link w:val="20"/>
    <w:qFormat/>
    <w:uiPriority w:val="0"/>
    <w:rPr>
      <w:rFonts w:ascii="宋体" w:hAnsi="Times New Roman" w:eastAsia="宋体" w:cs="Times New Roman"/>
      <w:b/>
      <w:sz w:val="28"/>
      <w:szCs w:val="20"/>
    </w:rPr>
  </w:style>
  <w:style w:type="character" w:customStyle="1" w:styleId="98">
    <w:name w:val="正文文本 Char"/>
    <w:basedOn w:val="41"/>
    <w:qFormat/>
    <w:uiPriority w:val="0"/>
    <w:rPr>
      <w:rFonts w:ascii="Times New Roman" w:hAnsi="Times New Roman" w:eastAsia="宋体" w:cs="Times New Roman"/>
      <w:szCs w:val="20"/>
    </w:rPr>
  </w:style>
  <w:style w:type="character" w:customStyle="1" w:styleId="99">
    <w:name w:val="正文文本缩进 字符"/>
    <w:basedOn w:val="41"/>
    <w:link w:val="21"/>
    <w:qFormat/>
    <w:uiPriority w:val="0"/>
    <w:rPr>
      <w:rFonts w:ascii="宋体" w:hAnsi="宋体" w:eastAsia="宋体" w:cs="Times New Roman"/>
      <w:sz w:val="24"/>
      <w:szCs w:val="20"/>
    </w:rPr>
  </w:style>
  <w:style w:type="character" w:customStyle="1" w:styleId="100">
    <w:name w:val="纯文本 Char"/>
    <w:basedOn w:val="41"/>
    <w:qFormat/>
    <w:uiPriority w:val="0"/>
    <w:rPr>
      <w:rFonts w:ascii="宋体" w:hAnsi="Courier New" w:eastAsia="宋体" w:cs="Courier New"/>
      <w:szCs w:val="21"/>
    </w:rPr>
  </w:style>
  <w:style w:type="character" w:customStyle="1" w:styleId="101">
    <w:name w:val="日期 字符"/>
    <w:basedOn w:val="41"/>
    <w:link w:val="24"/>
    <w:qFormat/>
    <w:uiPriority w:val="0"/>
    <w:rPr>
      <w:rFonts w:ascii="Times New Roman" w:hAnsi="Times New Roman" w:eastAsia="宋体" w:cs="Times New Roman"/>
      <w:sz w:val="24"/>
      <w:szCs w:val="20"/>
    </w:rPr>
  </w:style>
  <w:style w:type="character" w:customStyle="1" w:styleId="102">
    <w:name w:val="正文文本缩进 2 Char"/>
    <w:basedOn w:val="41"/>
    <w:qFormat/>
    <w:uiPriority w:val="0"/>
    <w:rPr>
      <w:rFonts w:ascii="Times New Roman" w:hAnsi="Times New Roman" w:eastAsia="宋体" w:cs="Times New Roman"/>
      <w:szCs w:val="20"/>
    </w:rPr>
  </w:style>
  <w:style w:type="character" w:customStyle="1" w:styleId="103">
    <w:name w:val="批注框文本 字符"/>
    <w:basedOn w:val="41"/>
    <w:link w:val="26"/>
    <w:semiHidden/>
    <w:qFormat/>
    <w:uiPriority w:val="0"/>
    <w:rPr>
      <w:rFonts w:ascii="Times New Roman" w:hAnsi="Times New Roman" w:eastAsia="宋体" w:cs="Times New Roman"/>
      <w:sz w:val="18"/>
      <w:szCs w:val="18"/>
    </w:rPr>
  </w:style>
  <w:style w:type="character" w:customStyle="1" w:styleId="104">
    <w:name w:val="页脚 字符"/>
    <w:basedOn w:val="41"/>
    <w:link w:val="27"/>
    <w:qFormat/>
    <w:uiPriority w:val="99"/>
    <w:rPr>
      <w:rFonts w:ascii="Times New Roman" w:hAnsi="Times New Roman" w:eastAsia="宋体" w:cs="Times New Roman"/>
      <w:sz w:val="18"/>
      <w:szCs w:val="18"/>
    </w:rPr>
  </w:style>
  <w:style w:type="character" w:customStyle="1" w:styleId="105">
    <w:name w:val="页眉 字符"/>
    <w:basedOn w:val="41"/>
    <w:link w:val="29"/>
    <w:qFormat/>
    <w:uiPriority w:val="99"/>
    <w:rPr>
      <w:rFonts w:ascii="Times New Roman" w:hAnsi="Times New Roman" w:eastAsia="宋体" w:cs="Times New Roman"/>
      <w:sz w:val="18"/>
      <w:szCs w:val="18"/>
    </w:rPr>
  </w:style>
  <w:style w:type="character" w:customStyle="1" w:styleId="106">
    <w:name w:val="正文文本缩进 3 字符"/>
    <w:basedOn w:val="41"/>
    <w:link w:val="31"/>
    <w:qFormat/>
    <w:uiPriority w:val="0"/>
    <w:rPr>
      <w:rFonts w:ascii="Arial" w:hAnsi="Arial" w:eastAsia="宋体" w:cs="Arial"/>
      <w:b/>
      <w:bCs/>
      <w:sz w:val="24"/>
      <w:szCs w:val="20"/>
    </w:rPr>
  </w:style>
  <w:style w:type="character" w:customStyle="1" w:styleId="107">
    <w:name w:val="正文文本 2 字符"/>
    <w:basedOn w:val="41"/>
    <w:link w:val="33"/>
    <w:qFormat/>
    <w:uiPriority w:val="0"/>
    <w:rPr>
      <w:rFonts w:ascii="Times New Roman" w:hAnsi="Times New Roman" w:eastAsia="宋体" w:cs="Times New Roman"/>
      <w:b/>
      <w:sz w:val="28"/>
      <w:szCs w:val="21"/>
    </w:rPr>
  </w:style>
  <w:style w:type="character" w:customStyle="1" w:styleId="108">
    <w:name w:val="正文首行缩进 Char"/>
    <w:basedOn w:val="98"/>
    <w:qFormat/>
    <w:uiPriority w:val="0"/>
    <w:rPr>
      <w:rFonts w:ascii="Times New Roman" w:hAnsi="Times New Roman" w:eastAsia="宋体" w:cs="Times New Roman"/>
      <w:szCs w:val="20"/>
    </w:rPr>
  </w:style>
  <w:style w:type="character" w:customStyle="1" w:styleId="109">
    <w:name w:val="p21"/>
    <w:qFormat/>
    <w:uiPriority w:val="0"/>
    <w:rPr>
      <w:rFonts w:hint="default" w:ascii="Arial" w:hAnsi="Arial" w:cs="Arial"/>
      <w:color w:val="333333"/>
      <w:sz w:val="18"/>
      <w:szCs w:val="18"/>
      <w:u w:val="none"/>
    </w:rPr>
  </w:style>
  <w:style w:type="character" w:customStyle="1" w:styleId="110">
    <w:name w:val="font21"/>
    <w:basedOn w:val="41"/>
    <w:qFormat/>
    <w:uiPriority w:val="0"/>
    <w:rPr>
      <w:rFonts w:hint="eastAsia" w:ascii="宋体" w:hAnsi="宋体" w:eastAsia="宋体" w:cs="宋体"/>
      <w:color w:val="000000"/>
      <w:sz w:val="22"/>
      <w:szCs w:val="22"/>
      <w:u w:val="none"/>
    </w:rPr>
  </w:style>
  <w:style w:type="character" w:customStyle="1" w:styleId="111">
    <w:name w:val="所标正文 Char Char"/>
    <w:link w:val="50"/>
    <w:qFormat/>
    <w:uiPriority w:val="0"/>
    <w:rPr>
      <w:rFonts w:ascii="仿宋_GB2312" w:hAnsi="Calibri" w:eastAsia="仿宋_GB2312"/>
      <w:sz w:val="30"/>
      <w:szCs w:val="28"/>
    </w:rPr>
  </w:style>
  <w:style w:type="character" w:customStyle="1" w:styleId="112">
    <w:name w:val="正文文字 Char1"/>
    <w:link w:val="51"/>
    <w:qFormat/>
    <w:uiPriority w:val="0"/>
    <w:rPr>
      <w:rFonts w:ascii="宋体" w:eastAsia="宋体"/>
      <w:color w:val="000000"/>
      <w:sz w:val="28"/>
      <w:u w:val="none" w:color="000000"/>
    </w:rPr>
  </w:style>
  <w:style w:type="character" w:customStyle="1" w:styleId="113">
    <w:name w:val="marklong"/>
    <w:basedOn w:val="41"/>
    <w:qFormat/>
    <w:uiPriority w:val="0"/>
  </w:style>
  <w:style w:type="character" w:customStyle="1" w:styleId="114">
    <w:name w:val="unnamed1"/>
    <w:basedOn w:val="41"/>
    <w:qFormat/>
    <w:uiPriority w:val="0"/>
  </w:style>
  <w:style w:type="character" w:customStyle="1" w:styleId="115">
    <w:name w:val="css21"/>
    <w:qFormat/>
    <w:uiPriority w:val="0"/>
    <w:rPr>
      <w:sz w:val="18"/>
      <w:szCs w:val="18"/>
    </w:rPr>
  </w:style>
  <w:style w:type="character" w:customStyle="1" w:styleId="116">
    <w:name w:val="font01"/>
    <w:basedOn w:val="41"/>
    <w:qFormat/>
    <w:uiPriority w:val="0"/>
    <w:rPr>
      <w:rFonts w:hint="eastAsia" w:ascii="宋体" w:hAnsi="宋体" w:eastAsia="宋体" w:cs="宋体"/>
      <w:color w:val="000000"/>
      <w:sz w:val="22"/>
      <w:szCs w:val="22"/>
      <w:u w:val="none"/>
    </w:rPr>
  </w:style>
  <w:style w:type="character" w:customStyle="1" w:styleId="117">
    <w:name w:val="纯文本 Char Char Char Char Char Char"/>
    <w:qFormat/>
    <w:locked/>
    <w:uiPriority w:val="0"/>
    <w:rPr>
      <w:rFonts w:ascii="宋体" w:hAnsi="Courier New" w:eastAsia="宋体"/>
      <w:kern w:val="2"/>
      <w:sz w:val="21"/>
      <w:lang w:val="en-US" w:eastAsia="zh-CN" w:bidi="ar-SA"/>
    </w:rPr>
  </w:style>
  <w:style w:type="character" w:customStyle="1" w:styleId="118">
    <w:name w:val="正文缩进 字符"/>
    <w:link w:val="6"/>
    <w:qFormat/>
    <w:uiPriority w:val="99"/>
    <w:rPr>
      <w:szCs w:val="24"/>
    </w:rPr>
  </w:style>
  <w:style w:type="character" w:customStyle="1" w:styleId="119">
    <w:name w:val="样式 正文缩进 + 首行缩进:  2 字符 Char"/>
    <w:link w:val="52"/>
    <w:qFormat/>
    <w:uiPriority w:val="0"/>
    <w:rPr>
      <w:sz w:val="24"/>
    </w:rPr>
  </w:style>
  <w:style w:type="character" w:customStyle="1" w:styleId="120">
    <w:name w:val="标准段落正文 Char"/>
    <w:link w:val="53"/>
    <w:qFormat/>
    <w:uiPriority w:val="0"/>
    <w:rPr>
      <w:rFonts w:cs="宋体"/>
      <w:sz w:val="24"/>
    </w:rPr>
  </w:style>
  <w:style w:type="character" w:customStyle="1" w:styleId="121">
    <w:name w:val="正文文字 Char"/>
    <w:qFormat/>
    <w:uiPriority w:val="0"/>
    <w:rPr>
      <w:rFonts w:ascii="Arial" w:hAnsi="Arial" w:eastAsia="宋体" w:cs="Arial"/>
      <w:kern w:val="2"/>
      <w:sz w:val="24"/>
      <w:lang w:val="en-US" w:eastAsia="zh-CN" w:bidi="ar-SA"/>
    </w:rPr>
  </w:style>
  <w:style w:type="character" w:customStyle="1" w:styleId="122">
    <w:name w:val="书籍标题1"/>
    <w:qFormat/>
    <w:uiPriority w:val="0"/>
    <w:rPr>
      <w:b/>
      <w:bCs/>
      <w:smallCaps/>
      <w:spacing w:val="5"/>
    </w:rPr>
  </w:style>
  <w:style w:type="character" w:customStyle="1" w:styleId="123">
    <w:name w:val="con"/>
    <w:qFormat/>
    <w:uiPriority w:val="0"/>
  </w:style>
  <w:style w:type="character" w:customStyle="1" w:styleId="124">
    <w:name w:val="明显参考1"/>
    <w:qFormat/>
    <w:uiPriority w:val="0"/>
    <w:rPr>
      <w:b/>
      <w:bCs/>
      <w:smallCaps/>
      <w:color w:val="C0504D"/>
      <w:spacing w:val="5"/>
      <w:u w:val="single"/>
    </w:rPr>
  </w:style>
  <w:style w:type="character" w:customStyle="1" w:styleId="125">
    <w:name w:val="grame"/>
    <w:basedOn w:val="41"/>
    <w:qFormat/>
    <w:uiPriority w:val="0"/>
  </w:style>
  <w:style w:type="character" w:customStyle="1" w:styleId="126">
    <w:name w:val="正文文本缩进 2 字符"/>
    <w:basedOn w:val="41"/>
    <w:link w:val="25"/>
    <w:qFormat/>
    <w:uiPriority w:val="0"/>
    <w:rPr>
      <w:rFonts w:ascii="宋体" w:hAnsi="宋体"/>
      <w:sz w:val="24"/>
    </w:rPr>
  </w:style>
  <w:style w:type="character" w:customStyle="1" w:styleId="127">
    <w:name w:val="文档结构图 字符"/>
    <w:basedOn w:val="41"/>
    <w:link w:val="16"/>
    <w:qFormat/>
    <w:uiPriority w:val="0"/>
    <w:rPr>
      <w:shd w:val="clear" w:color="auto" w:fill="000080"/>
    </w:rPr>
  </w:style>
  <w:style w:type="character" w:customStyle="1" w:styleId="128">
    <w:name w:val="正文文本 字符"/>
    <w:basedOn w:val="41"/>
    <w:link w:val="2"/>
    <w:qFormat/>
    <w:uiPriority w:val="0"/>
    <w:rPr>
      <w:rFonts w:ascii="Arial" w:hAnsi="Arial" w:cs="Arial"/>
      <w:sz w:val="24"/>
    </w:rPr>
  </w:style>
  <w:style w:type="character" w:customStyle="1" w:styleId="129">
    <w:name w:val="纯文本 字符"/>
    <w:basedOn w:val="41"/>
    <w:link w:val="23"/>
    <w:qFormat/>
    <w:uiPriority w:val="0"/>
    <w:rPr>
      <w:rFonts w:ascii="宋体" w:hAnsi="Courier New" w:eastAsia="宋体"/>
    </w:rPr>
  </w:style>
  <w:style w:type="character" w:customStyle="1" w:styleId="130">
    <w:name w:val="正文首行缩进 字符"/>
    <w:basedOn w:val="128"/>
    <w:link w:val="37"/>
    <w:qFormat/>
    <w:uiPriority w:val="0"/>
    <w:rPr>
      <w:rFonts w:ascii="Arial" w:hAnsi="Arial" w:cs="Arial"/>
      <w:sz w:val="24"/>
    </w:rPr>
  </w:style>
  <w:style w:type="character" w:customStyle="1" w:styleId="131">
    <w:name w:val="普通(网站) 字符"/>
    <w:link w:val="35"/>
    <w:qFormat/>
    <w:uiPriority w:val="99"/>
    <w:rPr>
      <w:rFonts w:ascii="Arial Unicode MS" w:hAnsi="Arial Unicode MS" w:eastAsia="Arial Unicode MS" w:cs="Arial Unicode MS"/>
      <w:kern w:val="0"/>
      <w:sz w:val="24"/>
      <w:szCs w:val="24"/>
    </w:rPr>
  </w:style>
  <w:style w:type="character" w:customStyle="1" w:styleId="132">
    <w:name w:val="批注文字 字符"/>
    <w:basedOn w:val="41"/>
    <w:link w:val="18"/>
    <w:qFormat/>
    <w:uiPriority w:val="99"/>
    <w:rPr>
      <w:kern w:val="2"/>
      <w:sz w:val="21"/>
    </w:rPr>
  </w:style>
  <w:style w:type="character" w:customStyle="1" w:styleId="133">
    <w:name w:val="批注主题 字符"/>
    <w:basedOn w:val="132"/>
    <w:link w:val="36"/>
    <w:semiHidden/>
    <w:qFormat/>
    <w:uiPriority w:val="99"/>
    <w:rPr>
      <w:b/>
      <w:bCs/>
      <w:kern w:val="2"/>
      <w:sz w:val="21"/>
    </w:rPr>
  </w:style>
  <w:style w:type="character" w:customStyle="1" w:styleId="134">
    <w:name w:val="bookmark-item"/>
    <w:basedOn w:val="41"/>
    <w:qFormat/>
    <w:uiPriority w:val="0"/>
  </w:style>
  <w:style w:type="character" w:customStyle="1" w:styleId="135">
    <w:name w:val="0正文 Char"/>
    <w:link w:val="84"/>
    <w:qFormat/>
    <w:uiPriority w:val="0"/>
    <w:rPr>
      <w:rFonts w:ascii="Calibri" w:hAnsi="Calibri" w:cs="黑体"/>
      <w:kern w:val="2"/>
      <w:szCs w:val="22"/>
    </w:rPr>
  </w:style>
  <w:style w:type="table" w:customStyle="1" w:styleId="136">
    <w:name w:val="网格表 5 深色 - 着色 31"/>
    <w:basedOn w:val="3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AF1DD"/>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9BBB59"/>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9BBB59"/>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9BBB59"/>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9BBB59"/>
      </w:tcPr>
    </w:tblStylePr>
    <w:tblStylePr w:type="band1Vert">
      <w:tcPr>
        <w:shd w:val="clear" w:color="auto" w:fill="D6E3BC"/>
      </w:tcPr>
    </w:tblStylePr>
    <w:tblStylePr w:type="band1Horz">
      <w:tcPr>
        <w:shd w:val="clear" w:color="auto" w:fill="D6E3BC"/>
      </w:tcPr>
    </w:tblStylePr>
  </w:style>
  <w:style w:type="character" w:customStyle="1" w:styleId="137">
    <w:name w:val="font41"/>
    <w:basedOn w:val="41"/>
    <w:qFormat/>
    <w:uiPriority w:val="0"/>
    <w:rPr>
      <w:rFonts w:ascii="Arial" w:hAnsi="Arial" w:cs="Arial"/>
      <w:color w:val="000000"/>
      <w:sz w:val="20"/>
      <w:szCs w:val="20"/>
      <w:u w:val="none"/>
    </w:rPr>
  </w:style>
  <w:style w:type="paragraph" w:customStyle="1" w:styleId="138">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character" w:customStyle="1" w:styleId="139">
    <w:name w:val="font101"/>
    <w:basedOn w:val="41"/>
    <w:qFormat/>
    <w:uiPriority w:val="0"/>
    <w:rPr>
      <w:rFonts w:hint="eastAsia" w:ascii="宋体" w:hAnsi="宋体" w:eastAsia="宋体" w:cs="宋体"/>
      <w:color w:val="000000"/>
      <w:sz w:val="18"/>
      <w:szCs w:val="18"/>
      <w:u w:val="none"/>
    </w:rPr>
  </w:style>
  <w:style w:type="paragraph" w:customStyle="1" w:styleId="140">
    <w:name w:val="采购正文"/>
    <w:basedOn w:val="1"/>
    <w:qFormat/>
    <w:uiPriority w:val="0"/>
    <w:pPr>
      <w:snapToGrid w:val="0"/>
      <w:spacing w:line="560" w:lineRule="exact"/>
      <w:ind w:firstLine="480" w:firstLineChars="200"/>
    </w:pPr>
    <w:rPr>
      <w:rFonts w:ascii="仿宋" w:hAnsi="仿宋" w:eastAsia="仿宋"/>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59</Pages>
  <Words>29128</Words>
  <Characters>30701</Characters>
  <Lines>275</Lines>
  <Paragraphs>77</Paragraphs>
  <TotalTime>8</TotalTime>
  <ScaleCrop>false</ScaleCrop>
  <LinksUpToDate>false</LinksUpToDate>
  <CharactersWithSpaces>34172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2021-06-18T01:34:00Z</dcterms:created>
  <dc:creator>Administrator</dc:creator>
  <cp:lastModifiedBy>Administrator</cp:lastModifiedBy>
  <cp:lastPrinted>2021-07-13T03:13:00Z</cp:lastPrinted>
  <dcterms:modified xsi:type="dcterms:W3CDTF">2023-02-08T12:55:12Z</dcterms:modified>
  <dc:title>教育教学平台建设项目—新疆艺术学院思政课教学资源项目_x000b_采购文件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FB58222A11384189BDBEB98D59D87770</vt:lpwstr>
  </property>
</Properties>
</file>