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F2A4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44"/>
          <w:szCs w:val="44"/>
          <w:lang w:eastAsia="zh-CN"/>
        </w:rPr>
      </w:pPr>
    </w:p>
    <w:p w14:paraId="7A183CA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44"/>
          <w:szCs w:val="44"/>
          <w:lang w:eastAsia="zh-CN"/>
        </w:rPr>
      </w:pPr>
    </w:p>
    <w:p w14:paraId="075744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44"/>
          <w:szCs w:val="44"/>
          <w:lang w:eastAsia="zh-CN"/>
        </w:rPr>
      </w:pPr>
    </w:p>
    <w:p w14:paraId="0E28D3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b/>
          <w:bCs/>
          <w:sz w:val="44"/>
          <w:szCs w:val="44"/>
          <w:lang w:eastAsia="zh-CN"/>
        </w:rPr>
        <w:t>2025年兵团某单位某训练中心地下室改造项目（监理）（三次）</w:t>
      </w:r>
    </w:p>
    <w:p w14:paraId="2E23A7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lang w:eastAsia="zh-CN"/>
        </w:rPr>
      </w:pPr>
    </w:p>
    <w:p w14:paraId="3C604E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lang w:eastAsia="zh-CN"/>
        </w:rPr>
      </w:pPr>
    </w:p>
    <w:p w14:paraId="61FD8B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lang w:eastAsia="zh-CN"/>
        </w:rPr>
      </w:pPr>
    </w:p>
    <w:p w14:paraId="13C112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lang w:eastAsia="zh-CN"/>
        </w:rPr>
      </w:pPr>
    </w:p>
    <w:p w14:paraId="6F4ADC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竞争性磋商文件</w:t>
      </w:r>
    </w:p>
    <w:p w14:paraId="6F81C7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（服务）</w:t>
      </w:r>
    </w:p>
    <w:p w14:paraId="7290E2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p>
    <w:p w14:paraId="08A1C41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rPr>
      </w:pPr>
    </w:p>
    <w:p w14:paraId="5D48CA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（2025年版）</w:t>
      </w:r>
    </w:p>
    <w:p w14:paraId="5A31196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p>
    <w:p w14:paraId="39403C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p>
    <w:p w14:paraId="431D04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p>
    <w:p w14:paraId="6262C7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p>
    <w:p w14:paraId="791E427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p>
    <w:p w14:paraId="4738363E">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仿宋" w:hAnsi="仿宋" w:eastAsia="仿宋" w:cs="仿宋"/>
          <w:b w:val="0"/>
          <w:bCs w:val="0"/>
          <w:sz w:val="28"/>
          <w:szCs w:val="28"/>
          <w:u w:val="single"/>
        </w:rPr>
      </w:pPr>
      <w:r>
        <w:rPr>
          <w:rFonts w:hint="eastAsia" w:ascii="仿宋" w:hAnsi="仿宋" w:eastAsia="仿宋" w:cs="仿宋"/>
          <w:b/>
          <w:bCs/>
          <w:sz w:val="28"/>
          <w:szCs w:val="28"/>
        </w:rPr>
        <w:t>项目编号：</w:t>
      </w:r>
      <w:r>
        <w:rPr>
          <w:rFonts w:hint="eastAsia" w:ascii="仿宋" w:hAnsi="仿宋" w:eastAsia="仿宋" w:cs="仿宋"/>
          <w:b w:val="0"/>
          <w:bCs w:val="0"/>
          <w:sz w:val="28"/>
          <w:szCs w:val="28"/>
          <w:u w:val="single"/>
        </w:rPr>
        <w:t>ZTFGYLGC-[2025]5</w:t>
      </w:r>
      <w:r>
        <w:rPr>
          <w:rFonts w:hint="eastAsia" w:ascii="仿宋" w:hAnsi="仿宋" w:eastAsia="仿宋" w:cs="仿宋"/>
          <w:b w:val="0"/>
          <w:bCs w:val="0"/>
          <w:sz w:val="28"/>
          <w:szCs w:val="28"/>
          <w:u w:val="single"/>
          <w:lang w:val="en-US" w:eastAsia="zh-CN"/>
        </w:rPr>
        <w:t>/02</w:t>
      </w:r>
    </w:p>
    <w:p w14:paraId="16EA1D1A">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仿宋" w:hAnsi="仿宋" w:eastAsia="仿宋" w:cs="仿宋"/>
          <w:b w:val="0"/>
          <w:bCs w:val="0"/>
          <w:spacing w:val="-28"/>
          <w:sz w:val="28"/>
          <w:szCs w:val="28"/>
          <w:u w:val="single"/>
        </w:rPr>
      </w:pPr>
      <w:r>
        <w:rPr>
          <w:rFonts w:hint="eastAsia" w:ascii="仿宋" w:hAnsi="仿宋" w:eastAsia="仿宋" w:cs="仿宋"/>
          <w:b/>
          <w:bCs/>
          <w:sz w:val="28"/>
          <w:szCs w:val="28"/>
        </w:rPr>
        <w:t>项目名称：</w:t>
      </w:r>
      <w:r>
        <w:rPr>
          <w:rFonts w:hint="eastAsia" w:ascii="仿宋" w:hAnsi="仿宋" w:eastAsia="仿宋" w:cs="仿宋"/>
          <w:b w:val="0"/>
          <w:bCs w:val="0"/>
          <w:spacing w:val="-28"/>
          <w:sz w:val="28"/>
          <w:szCs w:val="28"/>
          <w:u w:val="single"/>
          <w:lang w:eastAsia="zh-CN"/>
        </w:rPr>
        <w:t>2025年兵团某单位某训练中心地下室改造项目（监理）（三次）</w:t>
      </w:r>
    </w:p>
    <w:p w14:paraId="5D13693E">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仿宋" w:hAnsi="仿宋" w:eastAsia="仿宋" w:cs="仿宋"/>
          <w:b w:val="0"/>
          <w:bCs w:val="0"/>
          <w:sz w:val="28"/>
          <w:szCs w:val="28"/>
          <w:u w:val="single"/>
        </w:rPr>
      </w:pPr>
      <w:r>
        <w:rPr>
          <w:rFonts w:hint="eastAsia" w:ascii="仿宋" w:hAnsi="仿宋" w:eastAsia="仿宋" w:cs="仿宋"/>
          <w:b/>
          <w:bCs/>
          <w:sz w:val="28"/>
          <w:szCs w:val="28"/>
        </w:rPr>
        <w:t>采购人：</w:t>
      </w:r>
      <w:r>
        <w:rPr>
          <w:rFonts w:hint="eastAsia" w:ascii="仿宋" w:hAnsi="仿宋" w:eastAsia="仿宋" w:cs="仿宋"/>
          <w:b w:val="0"/>
          <w:bCs w:val="0"/>
          <w:sz w:val="28"/>
          <w:szCs w:val="28"/>
          <w:u w:val="single"/>
          <w:lang w:val="en-US" w:eastAsia="zh-CN"/>
        </w:rPr>
        <w:t>兵团某单位</w:t>
      </w:r>
    </w:p>
    <w:p w14:paraId="3F3F8FF3">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both"/>
        <w:textAlignment w:val="baseline"/>
        <w:rPr>
          <w:rFonts w:hint="eastAsia" w:ascii="仿宋" w:hAnsi="仿宋" w:eastAsia="仿宋" w:cs="仿宋"/>
          <w:b w:val="0"/>
          <w:bCs w:val="0"/>
          <w:sz w:val="28"/>
          <w:szCs w:val="28"/>
          <w:u w:val="single"/>
        </w:rPr>
      </w:pPr>
      <w:r>
        <w:rPr>
          <w:rFonts w:hint="eastAsia" w:ascii="仿宋" w:hAnsi="仿宋" w:eastAsia="仿宋" w:cs="仿宋"/>
          <w:b/>
          <w:bCs/>
          <w:sz w:val="28"/>
          <w:szCs w:val="28"/>
        </w:rPr>
        <w:t>采购代理机构：</w:t>
      </w:r>
      <w:r>
        <w:rPr>
          <w:rFonts w:hint="eastAsia" w:ascii="仿宋" w:hAnsi="仿宋" w:eastAsia="仿宋" w:cs="仿宋"/>
          <w:b w:val="0"/>
          <w:bCs w:val="0"/>
          <w:sz w:val="28"/>
          <w:szCs w:val="28"/>
          <w:u w:val="single"/>
          <w:lang w:val="en-US" w:eastAsia="zh-CN"/>
        </w:rPr>
        <w:t>中通服供应链股份有限公司</w:t>
      </w:r>
    </w:p>
    <w:p w14:paraId="4254240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p>
    <w:p w14:paraId="447B28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p>
    <w:p w14:paraId="4B55CB8D">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lang w:val="en-US" w:eastAsia="zh-CN"/>
        </w:rPr>
        <w:t>2025</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07</w:t>
      </w:r>
      <w:r>
        <w:rPr>
          <w:rFonts w:hint="eastAsia" w:ascii="仿宋" w:hAnsi="仿宋" w:eastAsia="仿宋" w:cs="仿宋"/>
          <w:b/>
          <w:bCs/>
          <w:sz w:val="28"/>
          <w:szCs w:val="28"/>
        </w:rPr>
        <w:t>月</w:t>
      </w:r>
    </w:p>
    <w:p w14:paraId="3BEF0ED5">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8"/>
          <w:szCs w:val="28"/>
        </w:rPr>
      </w:pPr>
      <w:r>
        <w:rPr>
          <w:rFonts w:hint="eastAsia" w:ascii="仿宋" w:hAnsi="仿宋" w:eastAsia="仿宋" w:cs="仿宋"/>
          <w:b/>
          <w:bCs/>
          <w:sz w:val="28"/>
          <w:szCs w:val="28"/>
        </w:rPr>
        <w:br w:type="page"/>
      </w:r>
    </w:p>
    <w:sdt>
      <w:sdtPr>
        <w:rPr>
          <w:rFonts w:hint="eastAsia" w:ascii="仿宋" w:hAnsi="仿宋" w:eastAsia="仿宋" w:cs="仿宋"/>
          <w:snapToGrid w:val="0"/>
          <w:color w:val="000000"/>
          <w:kern w:val="0"/>
          <w:sz w:val="21"/>
          <w:szCs w:val="21"/>
          <w:lang w:val="en-US" w:eastAsia="en-US" w:bidi="ar-SA"/>
        </w:rPr>
        <w:id w:val="147459548"/>
        <w15:color w:val="DBDBDB"/>
        <w:docPartObj>
          <w:docPartGallery w:val="Table of Contents"/>
          <w:docPartUnique/>
        </w:docPartObj>
      </w:sdtPr>
      <w:sdtEndPr>
        <w:rPr>
          <w:rFonts w:hint="eastAsia" w:ascii="仿宋" w:hAnsi="仿宋" w:eastAsia="仿宋" w:cs="仿宋"/>
          <w:snapToGrid w:val="0"/>
          <w:color w:val="000000"/>
          <w:kern w:val="0"/>
          <w:sz w:val="21"/>
          <w:szCs w:val="21"/>
          <w:lang w:val="en-US" w:eastAsia="en-US" w:bidi="ar-SA"/>
        </w:rPr>
      </w:sdtEndPr>
      <w:sdtContent>
        <w:p w14:paraId="4959099A">
          <w:pPr>
            <w:keepNext w:val="0"/>
            <w:keepLines w:val="0"/>
            <w:pageBreakBefore w:val="0"/>
            <w:widowControl/>
            <w:kinsoku w:val="0"/>
            <w:overflowPunct/>
            <w:topLinePunct w:val="0"/>
            <w:autoSpaceDE w:val="0"/>
            <w:autoSpaceDN w:val="0"/>
            <w:bidi w:val="0"/>
            <w:adjustRightInd w:val="0"/>
            <w:snapToGrid w:val="0"/>
            <w:spacing w:before="0" w:beforeLines="0" w:after="0" w:afterLines="0" w:line="360" w:lineRule="auto"/>
            <w:ind w:left="0" w:leftChars="0" w:right="0" w:rightChars="0" w:firstLine="0" w:firstLineChars="0"/>
            <w:jc w:val="center"/>
            <w:textAlignment w:val="baseline"/>
            <w:rPr>
              <w:rFonts w:hint="eastAsia" w:ascii="仿宋" w:hAnsi="仿宋" w:eastAsia="仿宋" w:cs="仿宋"/>
            </w:rPr>
          </w:pPr>
          <w:r>
            <w:rPr>
              <w:rFonts w:hint="eastAsia" w:ascii="仿宋" w:hAnsi="仿宋" w:eastAsia="仿宋" w:cs="仿宋"/>
              <w:b/>
              <w:bCs/>
              <w:sz w:val="28"/>
              <w:szCs w:val="28"/>
            </w:rPr>
            <w:t>目</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录</w:t>
          </w:r>
        </w:p>
        <w:p w14:paraId="1C493F91">
          <w:pPr>
            <w:pStyle w:val="7"/>
            <w:keepNext w:val="0"/>
            <w:keepLines w:val="0"/>
            <w:pageBreakBefore w:val="0"/>
            <w:widowControl/>
            <w:tabs>
              <w:tab w:val="right" w:leader="dot" w:pos="8366"/>
            </w:tabs>
            <w:kinsoku w:val="0"/>
            <w:wordWrap/>
            <w:overflowPunct/>
            <w:topLinePunct w:val="0"/>
            <w:autoSpaceDE w:val="0"/>
            <w:autoSpaceDN w:val="0"/>
            <w:bidi w:val="0"/>
            <w:adjustRightInd w:val="0"/>
            <w:snapToGrid w:val="0"/>
            <w:spacing w:line="480" w:lineRule="auto"/>
            <w:textAlignment w:val="baseline"/>
            <w:rPr>
              <w:b/>
              <w:bCs/>
            </w:rPr>
          </w:pPr>
          <w:r>
            <w:rPr>
              <w:rFonts w:hint="eastAsia" w:ascii="仿宋" w:hAnsi="仿宋" w:eastAsia="仿宋" w:cs="仿宋"/>
              <w:snapToGrid w:val="0"/>
              <w:color w:val="000000"/>
              <w:kern w:val="0"/>
              <w:sz w:val="21"/>
              <w:szCs w:val="21"/>
              <w:lang w:val="en-US" w:eastAsia="en-US" w:bidi="ar-SA"/>
            </w:rPr>
            <w:fldChar w:fldCharType="begin"/>
          </w:r>
          <w:r>
            <w:rPr>
              <w:rFonts w:hint="eastAsia" w:ascii="仿宋" w:hAnsi="仿宋" w:eastAsia="仿宋" w:cs="仿宋"/>
              <w:snapToGrid w:val="0"/>
              <w:color w:val="000000"/>
              <w:kern w:val="0"/>
              <w:sz w:val="21"/>
              <w:szCs w:val="21"/>
              <w:lang w:val="en-US" w:eastAsia="en-US" w:bidi="ar-SA"/>
            </w:rPr>
            <w:instrText xml:space="preserve">TOC \o "1-1" \h \u </w:instrText>
          </w:r>
          <w:r>
            <w:rPr>
              <w:rFonts w:hint="eastAsia" w:ascii="仿宋" w:hAnsi="仿宋" w:eastAsia="仿宋" w:cs="仿宋"/>
              <w:snapToGrid w:val="0"/>
              <w:color w:val="000000"/>
              <w:kern w:val="0"/>
              <w:sz w:val="21"/>
              <w:szCs w:val="21"/>
              <w:lang w:val="en-US" w:eastAsia="en-US" w:bidi="ar-SA"/>
            </w:rPr>
            <w:fldChar w:fldCharType="separate"/>
          </w:r>
          <w:r>
            <w:rPr>
              <w:rFonts w:hint="eastAsia" w:ascii="仿宋" w:hAnsi="仿宋" w:eastAsia="仿宋" w:cs="仿宋"/>
              <w:b/>
              <w:bCs/>
              <w:snapToGrid w:val="0"/>
              <w:color w:val="000000"/>
              <w:kern w:val="0"/>
              <w:szCs w:val="21"/>
              <w:lang w:val="en-US" w:eastAsia="en-US" w:bidi="ar-SA"/>
            </w:rPr>
            <w:fldChar w:fldCharType="begin"/>
          </w:r>
          <w:r>
            <w:rPr>
              <w:rFonts w:hint="eastAsia" w:ascii="仿宋" w:hAnsi="仿宋" w:eastAsia="仿宋" w:cs="仿宋"/>
              <w:b/>
              <w:bCs/>
              <w:snapToGrid w:val="0"/>
              <w:kern w:val="0"/>
              <w:szCs w:val="21"/>
              <w:lang w:val="en-US" w:eastAsia="en-US" w:bidi="ar-SA"/>
            </w:rPr>
            <w:instrText xml:space="preserve"> HYPERLINK \l _Toc4114 </w:instrText>
          </w:r>
          <w:r>
            <w:rPr>
              <w:rFonts w:hint="eastAsia" w:ascii="仿宋" w:hAnsi="仿宋" w:eastAsia="仿宋" w:cs="仿宋"/>
              <w:b/>
              <w:bCs/>
              <w:snapToGrid w:val="0"/>
              <w:kern w:val="0"/>
              <w:szCs w:val="21"/>
              <w:lang w:val="en-US" w:eastAsia="en-US" w:bidi="ar-SA"/>
            </w:rPr>
            <w:fldChar w:fldCharType="separate"/>
          </w:r>
          <w:r>
            <w:rPr>
              <w:rFonts w:hint="eastAsia" w:ascii="仿宋" w:hAnsi="仿宋" w:eastAsia="仿宋" w:cs="仿宋"/>
              <w:b/>
              <w:bCs/>
              <w:szCs w:val="28"/>
            </w:rPr>
            <w:t>第一章</w:t>
          </w:r>
          <w:r>
            <w:rPr>
              <w:rFonts w:hint="eastAsia" w:ascii="仿宋" w:hAnsi="仿宋" w:eastAsia="仿宋" w:cs="仿宋"/>
              <w:b/>
              <w:bCs/>
              <w:szCs w:val="28"/>
              <w:lang w:val="en-US" w:eastAsia="zh-CN"/>
            </w:rPr>
            <w:t xml:space="preserve"> </w:t>
          </w:r>
          <w:r>
            <w:rPr>
              <w:rFonts w:hint="eastAsia" w:ascii="仿宋" w:hAnsi="仿宋" w:eastAsia="仿宋" w:cs="仿宋"/>
              <w:b/>
              <w:bCs/>
              <w:szCs w:val="28"/>
            </w:rPr>
            <w:t>竞争性磋商公告</w:t>
          </w:r>
          <w:r>
            <w:rPr>
              <w:b/>
              <w:bCs/>
            </w:rPr>
            <w:tab/>
          </w:r>
          <w:r>
            <w:rPr>
              <w:b/>
              <w:bCs/>
            </w:rPr>
            <w:fldChar w:fldCharType="begin"/>
          </w:r>
          <w:r>
            <w:rPr>
              <w:b/>
              <w:bCs/>
            </w:rPr>
            <w:instrText xml:space="preserve"> PAGEREF _Toc4114 \h </w:instrText>
          </w:r>
          <w:r>
            <w:rPr>
              <w:b/>
              <w:bCs/>
            </w:rPr>
            <w:fldChar w:fldCharType="separate"/>
          </w:r>
          <w:r>
            <w:rPr>
              <w:b/>
              <w:bCs/>
            </w:rPr>
            <w:t>- 1 -</w:t>
          </w:r>
          <w:r>
            <w:rPr>
              <w:b/>
              <w:bCs/>
            </w:rPr>
            <w:fldChar w:fldCharType="end"/>
          </w:r>
          <w:r>
            <w:rPr>
              <w:rFonts w:hint="eastAsia" w:ascii="仿宋" w:hAnsi="仿宋" w:eastAsia="仿宋" w:cs="仿宋"/>
              <w:b/>
              <w:bCs/>
              <w:snapToGrid w:val="0"/>
              <w:color w:val="000000"/>
              <w:kern w:val="0"/>
              <w:szCs w:val="21"/>
              <w:lang w:val="en-US" w:eastAsia="en-US" w:bidi="ar-SA"/>
            </w:rPr>
            <w:fldChar w:fldCharType="end"/>
          </w:r>
        </w:p>
        <w:p w14:paraId="67AE22B9">
          <w:pPr>
            <w:pStyle w:val="7"/>
            <w:keepNext w:val="0"/>
            <w:keepLines w:val="0"/>
            <w:pageBreakBefore w:val="0"/>
            <w:widowControl/>
            <w:tabs>
              <w:tab w:val="right" w:leader="dot" w:pos="8366"/>
            </w:tabs>
            <w:kinsoku w:val="0"/>
            <w:wordWrap/>
            <w:overflowPunct/>
            <w:topLinePunct w:val="0"/>
            <w:autoSpaceDE w:val="0"/>
            <w:autoSpaceDN w:val="0"/>
            <w:bidi w:val="0"/>
            <w:adjustRightInd w:val="0"/>
            <w:snapToGrid w:val="0"/>
            <w:spacing w:line="480" w:lineRule="auto"/>
            <w:textAlignment w:val="baseline"/>
            <w:rPr>
              <w:b/>
              <w:bCs/>
            </w:rPr>
          </w:pPr>
          <w:r>
            <w:rPr>
              <w:rFonts w:hint="eastAsia" w:ascii="仿宋" w:hAnsi="仿宋" w:eastAsia="仿宋" w:cs="仿宋"/>
              <w:b/>
              <w:bCs/>
              <w:snapToGrid w:val="0"/>
              <w:color w:val="000000"/>
              <w:kern w:val="0"/>
              <w:szCs w:val="21"/>
              <w:lang w:val="en-US" w:eastAsia="en-US" w:bidi="ar-SA"/>
            </w:rPr>
            <w:fldChar w:fldCharType="begin"/>
          </w:r>
          <w:r>
            <w:rPr>
              <w:rFonts w:hint="eastAsia" w:ascii="仿宋" w:hAnsi="仿宋" w:eastAsia="仿宋" w:cs="仿宋"/>
              <w:b/>
              <w:bCs/>
              <w:snapToGrid w:val="0"/>
              <w:kern w:val="0"/>
              <w:szCs w:val="21"/>
              <w:lang w:val="en-US" w:eastAsia="en-US" w:bidi="ar-SA"/>
            </w:rPr>
            <w:instrText xml:space="preserve"> HYPERLINK \l _Toc9833 </w:instrText>
          </w:r>
          <w:r>
            <w:rPr>
              <w:rFonts w:hint="eastAsia" w:ascii="仿宋" w:hAnsi="仿宋" w:eastAsia="仿宋" w:cs="仿宋"/>
              <w:b/>
              <w:bCs/>
              <w:snapToGrid w:val="0"/>
              <w:kern w:val="0"/>
              <w:szCs w:val="21"/>
              <w:lang w:val="en-US" w:eastAsia="en-US" w:bidi="ar-SA"/>
            </w:rPr>
            <w:fldChar w:fldCharType="separate"/>
          </w:r>
          <w:r>
            <w:rPr>
              <w:rFonts w:hint="eastAsia" w:ascii="仿宋" w:hAnsi="仿宋" w:eastAsia="仿宋" w:cs="仿宋"/>
              <w:b/>
              <w:bCs/>
              <w:szCs w:val="28"/>
            </w:rPr>
            <w:t>第二章</w:t>
          </w:r>
          <w:r>
            <w:rPr>
              <w:rFonts w:hint="eastAsia" w:ascii="仿宋" w:hAnsi="仿宋" w:eastAsia="仿宋" w:cs="仿宋"/>
              <w:b/>
              <w:bCs/>
              <w:szCs w:val="28"/>
              <w:lang w:val="en-US" w:eastAsia="zh-CN"/>
            </w:rPr>
            <w:t xml:space="preserve"> </w:t>
          </w:r>
          <w:r>
            <w:rPr>
              <w:rFonts w:hint="eastAsia" w:ascii="仿宋" w:hAnsi="仿宋" w:eastAsia="仿宋" w:cs="仿宋"/>
              <w:b/>
              <w:bCs/>
              <w:szCs w:val="28"/>
            </w:rPr>
            <w:t>供应商须知</w:t>
          </w:r>
          <w:r>
            <w:rPr>
              <w:b/>
              <w:bCs/>
            </w:rPr>
            <w:tab/>
          </w:r>
          <w:r>
            <w:rPr>
              <w:b/>
              <w:bCs/>
            </w:rPr>
            <w:fldChar w:fldCharType="begin"/>
          </w:r>
          <w:r>
            <w:rPr>
              <w:b/>
              <w:bCs/>
            </w:rPr>
            <w:instrText xml:space="preserve"> PAGEREF _Toc9833 \h </w:instrText>
          </w:r>
          <w:r>
            <w:rPr>
              <w:b/>
              <w:bCs/>
            </w:rPr>
            <w:fldChar w:fldCharType="separate"/>
          </w:r>
          <w:r>
            <w:rPr>
              <w:b/>
              <w:bCs/>
            </w:rPr>
            <w:t>- 4 -</w:t>
          </w:r>
          <w:r>
            <w:rPr>
              <w:b/>
              <w:bCs/>
            </w:rPr>
            <w:fldChar w:fldCharType="end"/>
          </w:r>
          <w:r>
            <w:rPr>
              <w:rFonts w:hint="eastAsia" w:ascii="仿宋" w:hAnsi="仿宋" w:eastAsia="仿宋" w:cs="仿宋"/>
              <w:b/>
              <w:bCs/>
              <w:snapToGrid w:val="0"/>
              <w:color w:val="000000"/>
              <w:kern w:val="0"/>
              <w:szCs w:val="21"/>
              <w:lang w:val="en-US" w:eastAsia="en-US" w:bidi="ar-SA"/>
            </w:rPr>
            <w:fldChar w:fldCharType="end"/>
          </w:r>
        </w:p>
        <w:p w14:paraId="1A394BBD">
          <w:pPr>
            <w:pStyle w:val="7"/>
            <w:keepNext w:val="0"/>
            <w:keepLines w:val="0"/>
            <w:pageBreakBefore w:val="0"/>
            <w:widowControl/>
            <w:tabs>
              <w:tab w:val="right" w:leader="dot" w:pos="8366"/>
            </w:tabs>
            <w:kinsoku w:val="0"/>
            <w:wordWrap/>
            <w:overflowPunct/>
            <w:topLinePunct w:val="0"/>
            <w:autoSpaceDE w:val="0"/>
            <w:autoSpaceDN w:val="0"/>
            <w:bidi w:val="0"/>
            <w:adjustRightInd w:val="0"/>
            <w:snapToGrid w:val="0"/>
            <w:spacing w:line="480" w:lineRule="auto"/>
            <w:textAlignment w:val="baseline"/>
            <w:rPr>
              <w:b/>
              <w:bCs/>
            </w:rPr>
          </w:pPr>
          <w:r>
            <w:rPr>
              <w:rFonts w:hint="eastAsia" w:ascii="仿宋" w:hAnsi="仿宋" w:eastAsia="仿宋" w:cs="仿宋"/>
              <w:b/>
              <w:bCs/>
              <w:snapToGrid w:val="0"/>
              <w:color w:val="000000"/>
              <w:kern w:val="0"/>
              <w:szCs w:val="21"/>
              <w:lang w:val="en-US" w:eastAsia="en-US" w:bidi="ar-SA"/>
            </w:rPr>
            <w:fldChar w:fldCharType="begin"/>
          </w:r>
          <w:r>
            <w:rPr>
              <w:rFonts w:hint="eastAsia" w:ascii="仿宋" w:hAnsi="仿宋" w:eastAsia="仿宋" w:cs="仿宋"/>
              <w:b/>
              <w:bCs/>
              <w:snapToGrid w:val="0"/>
              <w:kern w:val="0"/>
              <w:szCs w:val="21"/>
              <w:lang w:val="en-US" w:eastAsia="en-US" w:bidi="ar-SA"/>
            </w:rPr>
            <w:instrText xml:space="preserve"> HYPERLINK \l _Toc27501 </w:instrText>
          </w:r>
          <w:r>
            <w:rPr>
              <w:rFonts w:hint="eastAsia" w:ascii="仿宋" w:hAnsi="仿宋" w:eastAsia="仿宋" w:cs="仿宋"/>
              <w:b/>
              <w:bCs/>
              <w:snapToGrid w:val="0"/>
              <w:kern w:val="0"/>
              <w:szCs w:val="21"/>
              <w:lang w:val="en-US" w:eastAsia="en-US" w:bidi="ar-SA"/>
            </w:rPr>
            <w:fldChar w:fldCharType="separate"/>
          </w:r>
          <w:r>
            <w:rPr>
              <w:rFonts w:hint="eastAsia" w:ascii="仿宋" w:hAnsi="仿宋" w:eastAsia="仿宋" w:cs="仿宋"/>
              <w:b/>
              <w:bCs/>
              <w:szCs w:val="28"/>
            </w:rPr>
            <w:t>第三章</w:t>
          </w:r>
          <w:r>
            <w:rPr>
              <w:rFonts w:hint="eastAsia" w:ascii="仿宋" w:hAnsi="仿宋" w:eastAsia="仿宋" w:cs="仿宋"/>
              <w:b/>
              <w:bCs/>
              <w:szCs w:val="28"/>
              <w:lang w:val="en-US" w:eastAsia="zh-CN"/>
            </w:rPr>
            <w:t xml:space="preserve"> </w:t>
          </w:r>
          <w:r>
            <w:rPr>
              <w:rFonts w:hint="eastAsia" w:ascii="仿宋" w:hAnsi="仿宋" w:eastAsia="仿宋" w:cs="仿宋"/>
              <w:b/>
              <w:bCs/>
              <w:szCs w:val="28"/>
            </w:rPr>
            <w:t>项目采购需求</w:t>
          </w:r>
          <w:r>
            <w:rPr>
              <w:b/>
              <w:bCs/>
            </w:rPr>
            <w:tab/>
          </w:r>
          <w:r>
            <w:rPr>
              <w:b/>
              <w:bCs/>
            </w:rPr>
            <w:fldChar w:fldCharType="begin"/>
          </w:r>
          <w:r>
            <w:rPr>
              <w:b/>
              <w:bCs/>
            </w:rPr>
            <w:instrText xml:space="preserve"> PAGEREF _Toc27501 \h </w:instrText>
          </w:r>
          <w:r>
            <w:rPr>
              <w:b/>
              <w:bCs/>
            </w:rPr>
            <w:fldChar w:fldCharType="separate"/>
          </w:r>
          <w:r>
            <w:rPr>
              <w:b/>
              <w:bCs/>
            </w:rPr>
            <w:t>- 35 -</w:t>
          </w:r>
          <w:r>
            <w:rPr>
              <w:b/>
              <w:bCs/>
            </w:rPr>
            <w:fldChar w:fldCharType="end"/>
          </w:r>
          <w:r>
            <w:rPr>
              <w:rFonts w:hint="eastAsia" w:ascii="仿宋" w:hAnsi="仿宋" w:eastAsia="仿宋" w:cs="仿宋"/>
              <w:b/>
              <w:bCs/>
              <w:snapToGrid w:val="0"/>
              <w:color w:val="000000"/>
              <w:kern w:val="0"/>
              <w:szCs w:val="21"/>
              <w:lang w:val="en-US" w:eastAsia="en-US" w:bidi="ar-SA"/>
            </w:rPr>
            <w:fldChar w:fldCharType="end"/>
          </w:r>
        </w:p>
        <w:p w14:paraId="41CADFD3">
          <w:pPr>
            <w:pStyle w:val="7"/>
            <w:keepNext w:val="0"/>
            <w:keepLines w:val="0"/>
            <w:pageBreakBefore w:val="0"/>
            <w:widowControl/>
            <w:tabs>
              <w:tab w:val="right" w:leader="dot" w:pos="8366"/>
            </w:tabs>
            <w:kinsoku w:val="0"/>
            <w:wordWrap/>
            <w:overflowPunct/>
            <w:topLinePunct w:val="0"/>
            <w:autoSpaceDE w:val="0"/>
            <w:autoSpaceDN w:val="0"/>
            <w:bidi w:val="0"/>
            <w:adjustRightInd w:val="0"/>
            <w:snapToGrid w:val="0"/>
            <w:spacing w:line="480" w:lineRule="auto"/>
            <w:textAlignment w:val="baseline"/>
            <w:rPr>
              <w:b/>
              <w:bCs/>
            </w:rPr>
          </w:pPr>
          <w:r>
            <w:rPr>
              <w:rFonts w:hint="eastAsia" w:ascii="仿宋" w:hAnsi="仿宋" w:eastAsia="仿宋" w:cs="仿宋"/>
              <w:b/>
              <w:bCs/>
              <w:snapToGrid w:val="0"/>
              <w:color w:val="000000"/>
              <w:kern w:val="0"/>
              <w:szCs w:val="21"/>
              <w:lang w:val="en-US" w:eastAsia="en-US" w:bidi="ar-SA"/>
            </w:rPr>
            <w:fldChar w:fldCharType="begin"/>
          </w:r>
          <w:r>
            <w:rPr>
              <w:rFonts w:hint="eastAsia" w:ascii="仿宋" w:hAnsi="仿宋" w:eastAsia="仿宋" w:cs="仿宋"/>
              <w:b/>
              <w:bCs/>
              <w:snapToGrid w:val="0"/>
              <w:kern w:val="0"/>
              <w:szCs w:val="21"/>
              <w:lang w:val="en-US" w:eastAsia="en-US" w:bidi="ar-SA"/>
            </w:rPr>
            <w:instrText xml:space="preserve"> HYPERLINK \l _Toc24692 </w:instrText>
          </w:r>
          <w:r>
            <w:rPr>
              <w:rFonts w:hint="eastAsia" w:ascii="仿宋" w:hAnsi="仿宋" w:eastAsia="仿宋" w:cs="仿宋"/>
              <w:b/>
              <w:bCs/>
              <w:snapToGrid w:val="0"/>
              <w:kern w:val="0"/>
              <w:szCs w:val="21"/>
              <w:lang w:val="en-US" w:eastAsia="en-US" w:bidi="ar-SA"/>
            </w:rPr>
            <w:fldChar w:fldCharType="separate"/>
          </w:r>
          <w:r>
            <w:rPr>
              <w:rFonts w:hint="eastAsia" w:ascii="仿宋" w:hAnsi="仿宋" w:eastAsia="仿宋" w:cs="仿宋"/>
              <w:b/>
              <w:bCs/>
              <w:szCs w:val="28"/>
            </w:rPr>
            <w:t>第四章</w:t>
          </w:r>
          <w:r>
            <w:rPr>
              <w:rFonts w:hint="eastAsia" w:ascii="仿宋" w:hAnsi="仿宋" w:eastAsia="仿宋" w:cs="仿宋"/>
              <w:b/>
              <w:bCs/>
              <w:szCs w:val="28"/>
              <w:lang w:val="en-US" w:eastAsia="zh-CN"/>
            </w:rPr>
            <w:t xml:space="preserve"> </w:t>
          </w:r>
          <w:r>
            <w:rPr>
              <w:rFonts w:hint="eastAsia" w:ascii="仿宋" w:hAnsi="仿宋" w:eastAsia="仿宋" w:cs="仿宋"/>
              <w:b/>
              <w:bCs/>
              <w:szCs w:val="28"/>
            </w:rPr>
            <w:t>评审方法及标准</w:t>
          </w:r>
          <w:r>
            <w:rPr>
              <w:b/>
              <w:bCs/>
            </w:rPr>
            <w:tab/>
          </w:r>
          <w:r>
            <w:rPr>
              <w:b/>
              <w:bCs/>
            </w:rPr>
            <w:fldChar w:fldCharType="begin"/>
          </w:r>
          <w:r>
            <w:rPr>
              <w:b/>
              <w:bCs/>
            </w:rPr>
            <w:instrText xml:space="preserve"> PAGEREF _Toc24692 \h </w:instrText>
          </w:r>
          <w:r>
            <w:rPr>
              <w:b/>
              <w:bCs/>
            </w:rPr>
            <w:fldChar w:fldCharType="separate"/>
          </w:r>
          <w:r>
            <w:rPr>
              <w:b/>
              <w:bCs/>
            </w:rPr>
            <w:t>- 36 -</w:t>
          </w:r>
          <w:r>
            <w:rPr>
              <w:b/>
              <w:bCs/>
            </w:rPr>
            <w:fldChar w:fldCharType="end"/>
          </w:r>
          <w:r>
            <w:rPr>
              <w:rFonts w:hint="eastAsia" w:ascii="仿宋" w:hAnsi="仿宋" w:eastAsia="仿宋" w:cs="仿宋"/>
              <w:b/>
              <w:bCs/>
              <w:snapToGrid w:val="0"/>
              <w:color w:val="000000"/>
              <w:kern w:val="0"/>
              <w:szCs w:val="21"/>
              <w:lang w:val="en-US" w:eastAsia="en-US" w:bidi="ar-SA"/>
            </w:rPr>
            <w:fldChar w:fldCharType="end"/>
          </w:r>
        </w:p>
        <w:p w14:paraId="5EE37423">
          <w:pPr>
            <w:pStyle w:val="7"/>
            <w:keepNext w:val="0"/>
            <w:keepLines w:val="0"/>
            <w:pageBreakBefore w:val="0"/>
            <w:widowControl/>
            <w:tabs>
              <w:tab w:val="right" w:leader="dot" w:pos="8366"/>
            </w:tabs>
            <w:kinsoku w:val="0"/>
            <w:wordWrap/>
            <w:overflowPunct/>
            <w:topLinePunct w:val="0"/>
            <w:autoSpaceDE w:val="0"/>
            <w:autoSpaceDN w:val="0"/>
            <w:bidi w:val="0"/>
            <w:adjustRightInd w:val="0"/>
            <w:snapToGrid w:val="0"/>
            <w:spacing w:line="480" w:lineRule="auto"/>
            <w:textAlignment w:val="baseline"/>
            <w:rPr>
              <w:b/>
              <w:bCs/>
            </w:rPr>
          </w:pPr>
          <w:r>
            <w:rPr>
              <w:rFonts w:hint="eastAsia" w:ascii="仿宋" w:hAnsi="仿宋" w:eastAsia="仿宋" w:cs="仿宋"/>
              <w:b/>
              <w:bCs/>
              <w:snapToGrid w:val="0"/>
              <w:color w:val="000000"/>
              <w:kern w:val="0"/>
              <w:szCs w:val="21"/>
              <w:lang w:val="en-US" w:eastAsia="en-US" w:bidi="ar-SA"/>
            </w:rPr>
            <w:fldChar w:fldCharType="begin"/>
          </w:r>
          <w:r>
            <w:rPr>
              <w:rFonts w:hint="eastAsia" w:ascii="仿宋" w:hAnsi="仿宋" w:eastAsia="仿宋" w:cs="仿宋"/>
              <w:b/>
              <w:bCs/>
              <w:snapToGrid w:val="0"/>
              <w:kern w:val="0"/>
              <w:szCs w:val="21"/>
              <w:lang w:val="en-US" w:eastAsia="en-US" w:bidi="ar-SA"/>
            </w:rPr>
            <w:instrText xml:space="preserve"> HYPERLINK \l _Toc18386 </w:instrText>
          </w:r>
          <w:r>
            <w:rPr>
              <w:rFonts w:hint="eastAsia" w:ascii="仿宋" w:hAnsi="仿宋" w:eastAsia="仿宋" w:cs="仿宋"/>
              <w:b/>
              <w:bCs/>
              <w:snapToGrid w:val="0"/>
              <w:kern w:val="0"/>
              <w:szCs w:val="21"/>
              <w:lang w:val="en-US" w:eastAsia="en-US" w:bidi="ar-SA"/>
            </w:rPr>
            <w:fldChar w:fldCharType="separate"/>
          </w:r>
          <w:r>
            <w:rPr>
              <w:rFonts w:hint="eastAsia" w:ascii="仿宋" w:hAnsi="仿宋" w:eastAsia="仿宋" w:cs="仿宋"/>
              <w:b/>
              <w:bCs/>
              <w:szCs w:val="28"/>
            </w:rPr>
            <w:t>第五章</w:t>
          </w:r>
          <w:r>
            <w:rPr>
              <w:rFonts w:hint="eastAsia" w:ascii="仿宋" w:hAnsi="仿宋" w:eastAsia="仿宋" w:cs="仿宋"/>
              <w:b/>
              <w:bCs/>
              <w:szCs w:val="28"/>
              <w:lang w:val="en-US" w:eastAsia="zh-CN"/>
            </w:rPr>
            <w:t xml:space="preserve"> </w:t>
          </w:r>
          <w:r>
            <w:rPr>
              <w:rFonts w:hint="eastAsia" w:ascii="仿宋" w:hAnsi="仿宋" w:eastAsia="仿宋" w:cs="仿宋"/>
              <w:b/>
              <w:bCs/>
              <w:szCs w:val="28"/>
            </w:rPr>
            <w:t>合同草案</w:t>
          </w:r>
          <w:r>
            <w:rPr>
              <w:b/>
              <w:bCs/>
            </w:rPr>
            <w:tab/>
          </w:r>
          <w:r>
            <w:rPr>
              <w:b/>
              <w:bCs/>
            </w:rPr>
            <w:fldChar w:fldCharType="begin"/>
          </w:r>
          <w:r>
            <w:rPr>
              <w:b/>
              <w:bCs/>
            </w:rPr>
            <w:instrText xml:space="preserve"> PAGEREF _Toc18386 \h </w:instrText>
          </w:r>
          <w:r>
            <w:rPr>
              <w:b/>
              <w:bCs/>
            </w:rPr>
            <w:fldChar w:fldCharType="separate"/>
          </w:r>
          <w:r>
            <w:rPr>
              <w:b/>
              <w:bCs/>
            </w:rPr>
            <w:t>- 47 -</w:t>
          </w:r>
          <w:r>
            <w:rPr>
              <w:b/>
              <w:bCs/>
            </w:rPr>
            <w:fldChar w:fldCharType="end"/>
          </w:r>
          <w:r>
            <w:rPr>
              <w:rFonts w:hint="eastAsia" w:ascii="仿宋" w:hAnsi="仿宋" w:eastAsia="仿宋" w:cs="仿宋"/>
              <w:b/>
              <w:bCs/>
              <w:snapToGrid w:val="0"/>
              <w:color w:val="000000"/>
              <w:kern w:val="0"/>
              <w:szCs w:val="21"/>
              <w:lang w:val="en-US" w:eastAsia="en-US" w:bidi="ar-SA"/>
            </w:rPr>
            <w:fldChar w:fldCharType="end"/>
          </w:r>
        </w:p>
        <w:p w14:paraId="0B50EABD">
          <w:pPr>
            <w:pStyle w:val="7"/>
            <w:keepNext w:val="0"/>
            <w:keepLines w:val="0"/>
            <w:pageBreakBefore w:val="0"/>
            <w:widowControl/>
            <w:tabs>
              <w:tab w:val="right" w:leader="dot" w:pos="8366"/>
            </w:tabs>
            <w:kinsoku w:val="0"/>
            <w:wordWrap/>
            <w:overflowPunct/>
            <w:topLinePunct w:val="0"/>
            <w:autoSpaceDE w:val="0"/>
            <w:autoSpaceDN w:val="0"/>
            <w:bidi w:val="0"/>
            <w:adjustRightInd w:val="0"/>
            <w:snapToGrid w:val="0"/>
            <w:spacing w:line="480" w:lineRule="auto"/>
            <w:textAlignment w:val="baseline"/>
          </w:pPr>
          <w:r>
            <w:rPr>
              <w:rFonts w:hint="eastAsia" w:ascii="仿宋" w:hAnsi="仿宋" w:eastAsia="仿宋" w:cs="仿宋"/>
              <w:b/>
              <w:bCs/>
              <w:snapToGrid w:val="0"/>
              <w:color w:val="000000"/>
              <w:kern w:val="0"/>
              <w:szCs w:val="21"/>
              <w:lang w:val="en-US" w:eastAsia="en-US" w:bidi="ar-SA"/>
            </w:rPr>
            <w:fldChar w:fldCharType="begin"/>
          </w:r>
          <w:r>
            <w:rPr>
              <w:rFonts w:hint="eastAsia" w:ascii="仿宋" w:hAnsi="仿宋" w:eastAsia="仿宋" w:cs="仿宋"/>
              <w:b/>
              <w:bCs/>
              <w:snapToGrid w:val="0"/>
              <w:kern w:val="0"/>
              <w:szCs w:val="21"/>
              <w:lang w:val="en-US" w:eastAsia="en-US" w:bidi="ar-SA"/>
            </w:rPr>
            <w:instrText xml:space="preserve"> HYPERLINK \l _Toc28105 </w:instrText>
          </w:r>
          <w:r>
            <w:rPr>
              <w:rFonts w:hint="eastAsia" w:ascii="仿宋" w:hAnsi="仿宋" w:eastAsia="仿宋" w:cs="仿宋"/>
              <w:b/>
              <w:bCs/>
              <w:snapToGrid w:val="0"/>
              <w:kern w:val="0"/>
              <w:szCs w:val="21"/>
              <w:lang w:val="en-US" w:eastAsia="en-US" w:bidi="ar-SA"/>
            </w:rPr>
            <w:fldChar w:fldCharType="separate"/>
          </w:r>
          <w:r>
            <w:rPr>
              <w:rFonts w:hint="eastAsia" w:ascii="仿宋" w:hAnsi="仿宋" w:eastAsia="仿宋" w:cs="仿宋"/>
              <w:b/>
              <w:bCs/>
              <w:szCs w:val="28"/>
            </w:rPr>
            <w:t>第六章</w:t>
          </w:r>
          <w:r>
            <w:rPr>
              <w:rFonts w:hint="eastAsia" w:ascii="仿宋" w:hAnsi="仿宋" w:eastAsia="仿宋" w:cs="仿宋"/>
              <w:b/>
              <w:bCs/>
              <w:szCs w:val="28"/>
              <w:lang w:val="en-US" w:eastAsia="zh-CN"/>
            </w:rPr>
            <w:t xml:space="preserve"> </w:t>
          </w:r>
          <w:r>
            <w:rPr>
              <w:rFonts w:hint="eastAsia" w:ascii="仿宋" w:hAnsi="仿宋" w:eastAsia="仿宋" w:cs="仿宋"/>
              <w:b/>
              <w:bCs/>
              <w:szCs w:val="28"/>
            </w:rPr>
            <w:t>响应文件的格式</w:t>
          </w:r>
          <w:r>
            <w:rPr>
              <w:b/>
              <w:bCs/>
            </w:rPr>
            <w:tab/>
          </w:r>
          <w:r>
            <w:rPr>
              <w:b/>
              <w:bCs/>
            </w:rPr>
            <w:fldChar w:fldCharType="begin"/>
          </w:r>
          <w:r>
            <w:rPr>
              <w:b/>
              <w:bCs/>
            </w:rPr>
            <w:instrText xml:space="preserve"> PAGEREF _Toc28105 \h </w:instrText>
          </w:r>
          <w:r>
            <w:rPr>
              <w:b/>
              <w:bCs/>
            </w:rPr>
            <w:fldChar w:fldCharType="separate"/>
          </w:r>
          <w:r>
            <w:rPr>
              <w:b/>
              <w:bCs/>
            </w:rPr>
            <w:t>- 62 -</w:t>
          </w:r>
          <w:r>
            <w:rPr>
              <w:b/>
              <w:bCs/>
            </w:rPr>
            <w:fldChar w:fldCharType="end"/>
          </w:r>
          <w:r>
            <w:rPr>
              <w:rFonts w:hint="eastAsia" w:ascii="仿宋" w:hAnsi="仿宋" w:eastAsia="仿宋" w:cs="仿宋"/>
              <w:b/>
              <w:bCs/>
              <w:snapToGrid w:val="0"/>
              <w:color w:val="000000"/>
              <w:kern w:val="0"/>
              <w:szCs w:val="21"/>
              <w:lang w:val="en-US" w:eastAsia="en-US" w:bidi="ar-SA"/>
            </w:rPr>
            <w:fldChar w:fldCharType="end"/>
          </w:r>
        </w:p>
        <w:p w14:paraId="019D4C55">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Cs w:val="21"/>
              <w:lang w:val="en-US" w:eastAsia="en-US" w:bidi="ar-SA"/>
            </w:rPr>
            <w:fldChar w:fldCharType="end"/>
          </w:r>
        </w:p>
      </w:sdtContent>
    </w:sdt>
    <w:p w14:paraId="26321641">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sectPr>
          <w:headerReference r:id="rId5" w:type="default"/>
          <w:footerReference r:id="rId6" w:type="default"/>
          <w:pgSz w:w="11906" w:h="16839"/>
          <w:pgMar w:top="1218" w:right="1755" w:bottom="400" w:left="1785" w:header="865" w:footer="0" w:gutter="0"/>
          <w:cols w:space="720" w:num="1"/>
        </w:sectPr>
      </w:pPr>
    </w:p>
    <w:p w14:paraId="72800595">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outlineLvl w:val="0"/>
        <w:rPr>
          <w:rFonts w:hint="eastAsia" w:ascii="仿宋" w:hAnsi="仿宋" w:eastAsia="仿宋" w:cs="仿宋"/>
        </w:rPr>
      </w:pPr>
      <w:bookmarkStart w:id="0" w:name="bookmark1"/>
      <w:bookmarkEnd w:id="0"/>
      <w:bookmarkStart w:id="1" w:name="_Toc4114"/>
      <w:r>
        <w:rPr>
          <w:rFonts w:hint="eastAsia" w:ascii="仿宋" w:hAnsi="仿宋" w:eastAsia="仿宋" w:cs="仿宋"/>
          <w:b/>
          <w:bCs/>
          <w:sz w:val="28"/>
          <w:szCs w:val="28"/>
        </w:rPr>
        <w:t>第一章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竞争性磋商公告</w:t>
      </w:r>
      <w:bookmarkEnd w:id="1"/>
    </w:p>
    <w:p w14:paraId="031C16DA">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p>
    <w:p w14:paraId="6A769F21">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仿宋" w:hAnsi="仿宋" w:eastAsia="仿宋" w:cs="仿宋"/>
          <w:b/>
          <w:bCs/>
          <w:sz w:val="28"/>
          <w:szCs w:val="28"/>
          <w:lang w:val="en-US" w:eastAsia="zh-CN"/>
        </w:rPr>
      </w:pPr>
      <w:bookmarkStart w:id="2" w:name="bookmark11"/>
      <w:bookmarkEnd w:id="2"/>
      <w:bookmarkStart w:id="3" w:name="_Toc571"/>
      <w:bookmarkStart w:id="4" w:name="_Toc23089"/>
      <w:r>
        <w:rPr>
          <w:rFonts w:hint="eastAsia" w:ascii="仿宋" w:hAnsi="仿宋" w:eastAsia="仿宋" w:cs="仿宋"/>
          <w:b/>
          <w:bCs/>
          <w:sz w:val="28"/>
          <w:szCs w:val="28"/>
          <w:lang w:eastAsia="zh-CN"/>
        </w:rPr>
        <w:t>2025年兵团某单位某训练中心地下室改造项目（监理）（三次）</w:t>
      </w:r>
    </w:p>
    <w:p w14:paraId="1732D4F6">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仿宋" w:hAnsi="仿宋" w:eastAsia="仿宋" w:cs="仿宋"/>
        </w:rPr>
      </w:pPr>
      <w:r>
        <w:rPr>
          <w:rFonts w:hint="eastAsia" w:ascii="仿宋" w:hAnsi="仿宋" w:eastAsia="仿宋" w:cs="仿宋"/>
          <w:b/>
          <w:bCs/>
          <w:sz w:val="28"/>
          <w:szCs w:val="28"/>
        </w:rPr>
        <w:t>竞争性磋商公告</w:t>
      </w:r>
      <w:bookmarkEnd w:id="3"/>
      <w:bookmarkEnd w:id="4"/>
    </w:p>
    <w:tbl>
      <w:tblPr>
        <w:tblStyle w:val="11"/>
        <w:tblW w:w="871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19"/>
      </w:tblGrid>
      <w:tr w14:paraId="59CA8FC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69" w:hRule="atLeast"/>
        </w:trPr>
        <w:tc>
          <w:tcPr>
            <w:tcW w:w="8719" w:type="dxa"/>
            <w:vAlign w:val="top"/>
          </w:tcPr>
          <w:p w14:paraId="10548266">
            <w:pPr>
              <w:keepNext w:val="0"/>
              <w:keepLines w:val="0"/>
              <w:pageBreakBefore w:val="0"/>
              <w:widowControl/>
              <w:kinsoku w:val="0"/>
              <w:wordWrap/>
              <w:overflowPunct/>
              <w:topLinePunct w:val="0"/>
              <w:autoSpaceDE w:val="0"/>
              <w:autoSpaceDN w:val="0"/>
              <w:bidi w:val="0"/>
              <w:adjustRightInd w:val="0"/>
              <w:snapToGrid w:val="0"/>
              <w:spacing w:before="0" w:beforeLines="100" w:line="360" w:lineRule="auto"/>
              <w:textAlignment w:val="baseline"/>
              <w:rPr>
                <w:rFonts w:hint="eastAsia" w:ascii="仿宋" w:hAnsi="仿宋" w:eastAsia="仿宋" w:cs="仿宋"/>
                <w:sz w:val="21"/>
                <w:szCs w:val="21"/>
              </w:rPr>
            </w:pPr>
            <w:bookmarkStart w:id="5" w:name="_Toc17114"/>
            <w:bookmarkStart w:id="6" w:name="_Toc3013"/>
            <w:r>
              <w:rPr>
                <w:rFonts w:hint="eastAsia" w:ascii="仿宋" w:hAnsi="仿宋" w:eastAsia="仿宋" w:cs="仿宋"/>
                <w:sz w:val="21"/>
                <w:szCs w:val="21"/>
              </w:rPr>
              <w:t>项目概况：</w:t>
            </w:r>
            <w:bookmarkEnd w:id="5"/>
            <w:bookmarkEnd w:id="6"/>
          </w:p>
          <w:p w14:paraId="0BB503F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rPr>
            </w:pPr>
            <w:r>
              <w:rPr>
                <w:rFonts w:hint="eastAsia" w:ascii="仿宋" w:hAnsi="仿宋" w:eastAsia="仿宋" w:cs="仿宋"/>
                <w:sz w:val="21"/>
                <w:szCs w:val="21"/>
                <w:lang w:eastAsia="zh-CN"/>
              </w:rPr>
              <w:t>2025年兵团某单位某训练中心地下室改造项目（监理）（三次）的潜在</w:t>
            </w:r>
            <w:r>
              <w:rPr>
                <w:rFonts w:hint="eastAsia" w:ascii="仿宋" w:hAnsi="仿宋" w:eastAsia="仿宋" w:cs="仿宋"/>
                <w:sz w:val="21"/>
                <w:szCs w:val="21"/>
              </w:rPr>
              <w:t>供应商应在政采云平台线上获取采购文件，并于</w:t>
            </w:r>
            <w:r>
              <w:rPr>
                <w:rFonts w:hint="eastAsia" w:ascii="仿宋" w:hAnsi="仿宋" w:eastAsia="仿宋" w:cs="仿宋"/>
                <w:sz w:val="21"/>
                <w:szCs w:val="21"/>
                <w:lang w:val="en-US" w:eastAsia="zh-CN"/>
              </w:rPr>
              <w:t>2025</w:t>
            </w:r>
            <w:r>
              <w:rPr>
                <w:rFonts w:hint="eastAsia" w:ascii="仿宋" w:hAnsi="仿宋" w:eastAsia="仿宋" w:cs="仿宋"/>
                <w:sz w:val="21"/>
                <w:szCs w:val="21"/>
              </w:rPr>
              <w:t>年</w:t>
            </w:r>
            <w:r>
              <w:rPr>
                <w:rFonts w:hint="eastAsia" w:ascii="仿宋" w:hAnsi="仿宋" w:eastAsia="仿宋" w:cs="仿宋"/>
                <w:sz w:val="21"/>
                <w:szCs w:val="21"/>
                <w:lang w:val="en-US" w:eastAsia="zh-CN"/>
              </w:rPr>
              <w:t>07</w:t>
            </w:r>
            <w:r>
              <w:rPr>
                <w:rFonts w:hint="eastAsia" w:ascii="仿宋" w:hAnsi="仿宋" w:eastAsia="仿宋" w:cs="仿宋"/>
                <w:sz w:val="21"/>
                <w:szCs w:val="21"/>
              </w:rPr>
              <w:t>月</w:t>
            </w:r>
            <w:r>
              <w:rPr>
                <w:rFonts w:hint="eastAsia" w:ascii="仿宋" w:hAnsi="仿宋" w:eastAsia="仿宋" w:cs="仿宋"/>
                <w:sz w:val="21"/>
                <w:szCs w:val="21"/>
                <w:lang w:val="en-US" w:eastAsia="zh-CN"/>
              </w:rPr>
              <w:t>21</w:t>
            </w:r>
            <w:r>
              <w:rPr>
                <w:rFonts w:hint="eastAsia" w:ascii="仿宋" w:hAnsi="仿宋" w:eastAsia="仿宋" w:cs="仿宋"/>
                <w:sz w:val="21"/>
                <w:szCs w:val="21"/>
              </w:rPr>
              <w:t>日</w:t>
            </w:r>
            <w:r>
              <w:rPr>
                <w:rFonts w:hint="eastAsia" w:ascii="仿宋" w:hAnsi="仿宋" w:eastAsia="仿宋" w:cs="仿宋"/>
                <w:sz w:val="21"/>
                <w:szCs w:val="21"/>
                <w:lang w:val="en-US" w:eastAsia="zh-CN"/>
              </w:rPr>
              <w:t>11</w:t>
            </w:r>
            <w:r>
              <w:rPr>
                <w:rFonts w:hint="eastAsia" w:ascii="仿宋" w:hAnsi="仿宋" w:eastAsia="仿宋" w:cs="仿宋"/>
                <w:sz w:val="21"/>
                <w:szCs w:val="21"/>
              </w:rPr>
              <w:t>时</w:t>
            </w:r>
            <w:r>
              <w:rPr>
                <w:rFonts w:hint="eastAsia" w:ascii="仿宋" w:hAnsi="仿宋" w:eastAsia="仿宋" w:cs="仿宋"/>
                <w:sz w:val="21"/>
                <w:szCs w:val="21"/>
                <w:lang w:val="en-US" w:eastAsia="zh-CN"/>
              </w:rPr>
              <w:t>00</w:t>
            </w:r>
            <w:r>
              <w:rPr>
                <w:rFonts w:hint="eastAsia" w:ascii="仿宋" w:hAnsi="仿宋" w:eastAsia="仿宋" w:cs="仿宋"/>
                <w:sz w:val="21"/>
                <w:szCs w:val="21"/>
              </w:rPr>
              <w:t>分（北京时间）前提交响应文件。</w:t>
            </w:r>
          </w:p>
        </w:tc>
      </w:tr>
    </w:tbl>
    <w:p w14:paraId="59CE1433">
      <w:pPr>
        <w:keepNext w:val="0"/>
        <w:keepLines w:val="0"/>
        <w:pageBreakBefore w:val="0"/>
        <w:widowControl/>
        <w:kinsoku w:val="0"/>
        <w:wordWrap/>
        <w:overflowPunct/>
        <w:topLinePunct w:val="0"/>
        <w:autoSpaceDE w:val="0"/>
        <w:autoSpaceDN w:val="0"/>
        <w:bidi w:val="0"/>
        <w:adjustRightInd w:val="0"/>
        <w:snapToGrid w:val="0"/>
        <w:spacing w:before="0" w:beforeLines="100" w:line="360" w:lineRule="auto"/>
        <w:ind w:firstLine="0" w:firstLineChars="0"/>
        <w:textAlignment w:val="baseline"/>
        <w:rPr>
          <w:rFonts w:hint="eastAsia" w:ascii="仿宋" w:hAnsi="仿宋" w:eastAsia="仿宋" w:cs="仿宋"/>
          <w:b/>
          <w:bCs/>
          <w:sz w:val="24"/>
          <w:szCs w:val="24"/>
        </w:rPr>
      </w:pPr>
      <w:bookmarkStart w:id="7" w:name="bookmark5"/>
      <w:bookmarkEnd w:id="7"/>
      <w:bookmarkStart w:id="8" w:name="bookmark3"/>
      <w:bookmarkEnd w:id="8"/>
      <w:bookmarkStart w:id="9" w:name="_Toc4467"/>
      <w:bookmarkStart w:id="10" w:name="_Toc554"/>
      <w:r>
        <w:rPr>
          <w:rFonts w:hint="eastAsia" w:ascii="仿宋" w:hAnsi="仿宋" w:eastAsia="仿宋" w:cs="仿宋"/>
          <w:b/>
          <w:bCs/>
          <w:sz w:val="24"/>
          <w:szCs w:val="24"/>
        </w:rPr>
        <w:t>一、项目基本情况</w:t>
      </w:r>
      <w:bookmarkEnd w:id="9"/>
      <w:bookmarkEnd w:id="10"/>
    </w:p>
    <w:p w14:paraId="1E45D75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sz w:val="21"/>
          <w:szCs w:val="21"/>
          <w:lang w:eastAsia="zh-CN"/>
        </w:rPr>
      </w:pPr>
      <w:r>
        <w:rPr>
          <w:rFonts w:hint="eastAsia" w:ascii="仿宋" w:hAnsi="仿宋" w:eastAsia="仿宋" w:cs="仿宋"/>
          <w:sz w:val="21"/>
          <w:szCs w:val="21"/>
        </w:rPr>
        <w:t>1.项目编号：</w:t>
      </w:r>
      <w:r>
        <w:rPr>
          <w:rFonts w:hint="eastAsia" w:ascii="仿宋" w:hAnsi="仿宋" w:eastAsia="仿宋" w:cs="仿宋"/>
          <w:sz w:val="21"/>
          <w:szCs w:val="21"/>
          <w:lang w:eastAsia="zh-CN"/>
        </w:rPr>
        <w:t>ZTFGYLGC-[2025]5/02</w:t>
      </w:r>
    </w:p>
    <w:p w14:paraId="546B829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sz w:val="21"/>
          <w:szCs w:val="21"/>
        </w:rPr>
      </w:pPr>
      <w:r>
        <w:rPr>
          <w:rFonts w:hint="eastAsia" w:ascii="仿宋" w:hAnsi="仿宋" w:eastAsia="仿宋" w:cs="仿宋"/>
          <w:sz w:val="21"/>
          <w:szCs w:val="21"/>
        </w:rPr>
        <w:t>2.项目名称：</w:t>
      </w:r>
      <w:r>
        <w:rPr>
          <w:rFonts w:hint="eastAsia" w:ascii="仿宋" w:hAnsi="仿宋" w:eastAsia="仿宋" w:cs="仿宋"/>
          <w:sz w:val="21"/>
          <w:szCs w:val="21"/>
          <w:lang w:eastAsia="zh-CN"/>
        </w:rPr>
        <w:t>2025年兵团某单位某训练中心地下室改造项目（监理）（三次）</w:t>
      </w:r>
    </w:p>
    <w:p w14:paraId="412018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sz w:val="21"/>
          <w:szCs w:val="21"/>
          <w:lang w:eastAsia="zh-CN"/>
        </w:rPr>
      </w:pPr>
      <w:r>
        <w:rPr>
          <w:rFonts w:hint="eastAsia" w:ascii="仿宋" w:hAnsi="仿宋" w:eastAsia="仿宋" w:cs="仿宋"/>
          <w:sz w:val="21"/>
          <w:szCs w:val="21"/>
        </w:rPr>
        <w:t>3.采购方式：竞争性磋商</w:t>
      </w:r>
    </w:p>
    <w:p w14:paraId="0F71C77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sz w:val="21"/>
          <w:szCs w:val="21"/>
          <w:lang w:val="en-US" w:eastAsia="zh-CN"/>
        </w:rPr>
      </w:pPr>
      <w:r>
        <w:rPr>
          <w:rFonts w:hint="eastAsia" w:ascii="仿宋" w:hAnsi="仿宋" w:eastAsia="仿宋" w:cs="仿宋"/>
          <w:sz w:val="21"/>
          <w:szCs w:val="21"/>
        </w:rPr>
        <w:t>4.预算金额：</w:t>
      </w:r>
      <w:r>
        <w:rPr>
          <w:rFonts w:hint="eastAsia" w:ascii="仿宋" w:hAnsi="仿宋" w:eastAsia="仿宋" w:cs="仿宋"/>
          <w:sz w:val="21"/>
          <w:szCs w:val="21"/>
          <w:lang w:val="en-US" w:eastAsia="zh-CN"/>
        </w:rPr>
        <w:t>49846.97元</w:t>
      </w:r>
    </w:p>
    <w:p w14:paraId="0339951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eastAsia" w:ascii="仿宋" w:hAnsi="仿宋" w:eastAsia="仿宋" w:cs="仿宋"/>
          <w:sz w:val="21"/>
          <w:szCs w:val="21"/>
        </w:rPr>
        <w:t>.采购需求：</w:t>
      </w:r>
      <w:r>
        <w:rPr>
          <w:rFonts w:hint="eastAsia" w:ascii="仿宋" w:hAnsi="仿宋" w:eastAsia="仿宋" w:cs="仿宋"/>
          <w:sz w:val="21"/>
          <w:szCs w:val="21"/>
          <w:lang w:val="en-US" w:eastAsia="zh-CN"/>
        </w:rPr>
        <w:t>本工程施工阶段和保修阶段的监理工作，具体包括施工前期准备阶段，施工阶段，竣工验收阶段和工程保修阶段的监理工作，对所监理项目做好方案、强制性标准、质量控制、进度控制、投资控制、合同管理、结算、档案、信息管理、安全生产、风险防范及组织协调等工作，参加设计、施工图审查和工程预、结算的工程量的审核，监督单项工程的安全、质量、进度及投资控制。</w:t>
      </w:r>
    </w:p>
    <w:p w14:paraId="65F861F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rPr>
        <w:t>.合</w:t>
      </w:r>
      <w:r>
        <w:rPr>
          <w:rFonts w:hint="eastAsia" w:ascii="仿宋" w:hAnsi="仿宋" w:eastAsia="仿宋" w:cs="仿宋"/>
          <w:sz w:val="21"/>
          <w:szCs w:val="21"/>
          <w:lang w:val="en-US" w:eastAsia="zh-CN"/>
        </w:rPr>
        <w:t>同履行期限：合同签订日起至项目竣工验收及监理资料递交完成止，施工工期120日历天（本项目全过程监理服务）</w:t>
      </w:r>
    </w:p>
    <w:p w14:paraId="6AD39FE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7.本项目（否）接受联合体投标</w:t>
      </w:r>
    </w:p>
    <w:p w14:paraId="43098552">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仿宋" w:hAnsi="仿宋" w:eastAsia="仿宋" w:cs="仿宋"/>
          <w:b/>
          <w:bCs/>
          <w:sz w:val="24"/>
          <w:szCs w:val="24"/>
        </w:rPr>
      </w:pPr>
      <w:bookmarkStart w:id="11" w:name="bookmark4"/>
      <w:bookmarkEnd w:id="11"/>
      <w:bookmarkStart w:id="12" w:name="_Toc2133"/>
      <w:bookmarkStart w:id="13" w:name="_Toc18849"/>
      <w:r>
        <w:rPr>
          <w:rFonts w:hint="eastAsia" w:ascii="仿宋" w:hAnsi="仿宋" w:eastAsia="仿宋" w:cs="仿宋"/>
          <w:b/>
          <w:bCs/>
          <w:sz w:val="24"/>
          <w:szCs w:val="24"/>
        </w:rPr>
        <w:t>二、申请人的资格要求</w:t>
      </w:r>
      <w:bookmarkEnd w:id="12"/>
      <w:bookmarkEnd w:id="13"/>
    </w:p>
    <w:p w14:paraId="11652A7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sz w:val="21"/>
          <w:szCs w:val="21"/>
          <w:lang w:val="en-US" w:eastAsia="zh-CN"/>
        </w:rPr>
      </w:pPr>
      <w:bookmarkStart w:id="14" w:name="_Toc2102"/>
      <w:bookmarkStart w:id="15" w:name="_Toc18012"/>
      <w:r>
        <w:rPr>
          <w:rFonts w:hint="eastAsia" w:ascii="仿宋" w:hAnsi="仿宋" w:eastAsia="仿宋" w:cs="仿宋"/>
          <w:sz w:val="21"/>
          <w:szCs w:val="21"/>
          <w:lang w:val="en-US" w:eastAsia="zh-CN"/>
        </w:rPr>
        <w:t>1.满足《中华人民共和国政府采购法》第二十二条规定；</w:t>
      </w:r>
      <w:bookmarkEnd w:id="14"/>
      <w:bookmarkEnd w:id="15"/>
    </w:p>
    <w:p w14:paraId="0E21310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落实政府采购政策需满足的资格要求【专门面向中小企业采购的项目,①财政部、国家发展改革委、生态环境部、市场监管总局《关于调整优化节能产品、环境标志产品政府采购执行机制的通知》（财库[2019]9号文）；②财政部、生态环境部《关于印发环境标志产品政府采购品目清单的通知》（财库[2019]18号文）；③财政部、发展改革委《关于印发节能产品政府采购品目清单的通知》（财库[2019]19号文）；④根据财政部、工业和信息化部发布的关于印发《政府采购促进中小企业发展管理办法》的通知（财库[2020]46号规定执行）；⑤财政部、民政部、中国残疾人联合会《关于促进残疾人就业政府采购政策的通知》（财库【2017】141号）;⑥财政部、司法部《关于政府采购支持监狱企业发展有关问题的通知》（财库[2014]68号文）。】</w:t>
      </w:r>
    </w:p>
    <w:p w14:paraId="79944DE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3.本项目的特定资格要求：</w:t>
      </w:r>
      <w:bookmarkStart w:id="16" w:name="_Toc13555"/>
      <w:bookmarkStart w:id="17" w:name="_Toc24059"/>
      <w:r>
        <w:rPr>
          <w:rFonts w:hint="eastAsia" w:ascii="仿宋" w:hAnsi="仿宋" w:eastAsia="仿宋" w:cs="仿宋"/>
          <w:sz w:val="21"/>
          <w:szCs w:val="21"/>
          <w:lang w:val="en-US" w:eastAsia="zh-CN"/>
        </w:rPr>
        <w:t>【1、投标人必须是中华人民共和国境内注册的能够独立承担民事责任的法人，具有独立法人资格，拥有有效的营业执照（三证合一或五证合一）；</w:t>
      </w:r>
    </w:p>
    <w:p w14:paraId="3560481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2、投标人须具备监理工程综合资质或房屋建筑监理工程专业资质丙级及以上；</w:t>
      </w:r>
    </w:p>
    <w:p w14:paraId="64FE2F3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3、投标人应具有良好的银行资信和商业信誉，没有处于被责令停业、财产被接管、冻结、破产状态；</w:t>
      </w:r>
    </w:p>
    <w:p w14:paraId="2B84D6F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4、投标人近五年具有类似工程相关工程监理业绩（提供“监理合同(第一部分)”、“中标通知书或发包通知书”以及“竣工验收报告或竣工接受证书或单项工程竣工验收意见表”）；</w:t>
      </w:r>
    </w:p>
    <w:p w14:paraId="28CAC9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5、投标人拟派总监理工程师须具备房屋建筑工程专业国家注册监理工程师执业资格，具有工程类工程师以上职称，具有类似工程监理或管理经验，本单位注册，且在有效期内；</w:t>
      </w:r>
    </w:p>
    <w:p w14:paraId="0E6F98B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总监理工程师类似业绩要求：近三年（2022年4月1日-至今）已完成的类似工程业绩不得少于1项（须提供“监理合同(第一部分)”、“中标通知书或发包通知书”以及“竣工验收报告或竣工接受证书或单项工程竣工验收意见表”，业绩证明材料须反映项目总监理工程师情况）；</w:t>
      </w:r>
    </w:p>
    <w:p w14:paraId="2C59FB8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7、投标人在“信用中国”网站(http://www.creditchina.gov.cn/)平台中无“失信被执行人”不良信用记录和在国家企业信用信息公示系统(http://www..gsxt.gov.cn/)中未被列入严重违法失信企业名单；</w:t>
      </w:r>
    </w:p>
    <w:p w14:paraId="5E83507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8、投标人及其法定代表人无行贿犯罪记录（查询结果以“中国裁判文书网”查询截图为准）；</w:t>
      </w:r>
    </w:p>
    <w:p w14:paraId="1EE4049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9、单位负责人、法定代表人为同一人或者存在控股、管理关系的不同单位，不得参加同一标段投标或者未划分标段的同一招标项目投标；】</w:t>
      </w:r>
    </w:p>
    <w:bookmarkEnd w:id="16"/>
    <w:bookmarkEnd w:id="17"/>
    <w:p w14:paraId="4B0D285A">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仿宋" w:hAnsi="仿宋" w:eastAsia="仿宋" w:cs="仿宋"/>
          <w:b/>
          <w:bCs/>
          <w:sz w:val="24"/>
          <w:szCs w:val="24"/>
        </w:rPr>
      </w:pPr>
      <w:bookmarkStart w:id="18" w:name="bookmark9"/>
      <w:bookmarkEnd w:id="18"/>
      <w:bookmarkStart w:id="19" w:name="_Toc30415"/>
      <w:bookmarkStart w:id="20" w:name="_Toc32028"/>
      <w:r>
        <w:rPr>
          <w:rFonts w:hint="eastAsia" w:ascii="仿宋" w:hAnsi="仿宋" w:eastAsia="仿宋" w:cs="仿宋"/>
          <w:b/>
          <w:bCs/>
          <w:sz w:val="24"/>
          <w:szCs w:val="24"/>
        </w:rPr>
        <w:t>三、获取采购文件</w:t>
      </w:r>
      <w:bookmarkEnd w:id="19"/>
      <w:bookmarkEnd w:id="20"/>
    </w:p>
    <w:p w14:paraId="114707D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rPr>
      </w:pPr>
      <w:r>
        <w:rPr>
          <w:rFonts w:hint="eastAsia" w:ascii="仿宋" w:hAnsi="仿宋" w:eastAsia="仿宋" w:cs="仿宋"/>
        </w:rPr>
        <w:t>1.时间：</w:t>
      </w:r>
      <w:r>
        <w:rPr>
          <w:rFonts w:hint="eastAsia" w:ascii="仿宋" w:hAnsi="仿宋" w:eastAsia="仿宋" w:cs="仿宋"/>
          <w:lang w:val="en-US" w:eastAsia="zh-CN"/>
        </w:rPr>
        <w:t>2025</w:t>
      </w:r>
      <w:r>
        <w:rPr>
          <w:rFonts w:hint="eastAsia" w:ascii="仿宋" w:hAnsi="仿宋" w:eastAsia="仿宋" w:cs="仿宋"/>
        </w:rPr>
        <w:t>年</w:t>
      </w:r>
      <w:r>
        <w:rPr>
          <w:rFonts w:hint="eastAsia" w:ascii="仿宋" w:hAnsi="仿宋" w:eastAsia="仿宋" w:cs="仿宋"/>
          <w:lang w:val="en-US" w:eastAsia="zh-CN"/>
        </w:rPr>
        <w:t>07</w:t>
      </w:r>
      <w:r>
        <w:rPr>
          <w:rFonts w:hint="eastAsia" w:ascii="仿宋" w:hAnsi="仿宋" w:eastAsia="仿宋" w:cs="仿宋"/>
        </w:rPr>
        <w:t>月</w:t>
      </w:r>
      <w:r>
        <w:rPr>
          <w:rFonts w:hint="eastAsia" w:ascii="仿宋" w:hAnsi="仿宋" w:eastAsia="仿宋" w:cs="仿宋"/>
          <w:lang w:val="en-US" w:eastAsia="zh-CN"/>
        </w:rPr>
        <w:t>11</w:t>
      </w:r>
      <w:r>
        <w:rPr>
          <w:rFonts w:hint="eastAsia" w:ascii="仿宋" w:hAnsi="仿宋" w:eastAsia="仿宋" w:cs="仿宋"/>
        </w:rPr>
        <w:t>日至</w:t>
      </w:r>
      <w:r>
        <w:rPr>
          <w:rFonts w:hint="eastAsia" w:ascii="仿宋" w:hAnsi="仿宋" w:eastAsia="仿宋" w:cs="仿宋"/>
          <w:lang w:val="en-US" w:eastAsia="zh-CN"/>
        </w:rPr>
        <w:t>2025</w:t>
      </w:r>
      <w:r>
        <w:rPr>
          <w:rFonts w:hint="eastAsia" w:ascii="仿宋" w:hAnsi="仿宋" w:eastAsia="仿宋" w:cs="仿宋"/>
        </w:rPr>
        <w:t>年</w:t>
      </w:r>
      <w:r>
        <w:rPr>
          <w:rFonts w:hint="eastAsia" w:ascii="仿宋" w:hAnsi="仿宋" w:eastAsia="仿宋" w:cs="仿宋"/>
          <w:lang w:val="en-US" w:eastAsia="zh-CN"/>
        </w:rPr>
        <w:t>07</w:t>
      </w:r>
      <w:r>
        <w:rPr>
          <w:rFonts w:hint="eastAsia" w:ascii="仿宋" w:hAnsi="仿宋" w:eastAsia="仿宋" w:cs="仿宋"/>
        </w:rPr>
        <w:t>月</w:t>
      </w:r>
      <w:r>
        <w:rPr>
          <w:rFonts w:hint="eastAsia" w:ascii="仿宋" w:hAnsi="仿宋" w:eastAsia="仿宋" w:cs="仿宋"/>
          <w:lang w:val="en-US" w:eastAsia="zh-CN"/>
        </w:rPr>
        <w:t>18</w:t>
      </w:r>
      <w:bookmarkStart w:id="270" w:name="_GoBack"/>
      <w:bookmarkEnd w:id="270"/>
      <w:r>
        <w:rPr>
          <w:rFonts w:hint="eastAsia" w:ascii="仿宋" w:hAnsi="仿宋" w:eastAsia="仿宋" w:cs="仿宋"/>
        </w:rPr>
        <w:t>日，每天上午</w:t>
      </w:r>
      <w:r>
        <w:rPr>
          <w:rFonts w:hint="eastAsia" w:ascii="仿宋" w:hAnsi="仿宋" w:eastAsia="仿宋" w:cs="仿宋"/>
          <w:lang w:val="en-US" w:eastAsia="zh-CN"/>
        </w:rPr>
        <w:t>00:00</w:t>
      </w:r>
      <w:r>
        <w:rPr>
          <w:rFonts w:hint="eastAsia" w:ascii="仿宋" w:hAnsi="仿宋" w:eastAsia="仿宋" w:cs="仿宋"/>
        </w:rPr>
        <w:t>至</w:t>
      </w:r>
      <w:r>
        <w:rPr>
          <w:rFonts w:hint="eastAsia" w:ascii="仿宋" w:hAnsi="仿宋" w:eastAsia="仿宋" w:cs="仿宋"/>
          <w:lang w:val="en-US" w:eastAsia="zh-CN"/>
        </w:rPr>
        <w:t>12：59</w:t>
      </w:r>
      <w:r>
        <w:rPr>
          <w:rFonts w:hint="eastAsia" w:ascii="仿宋" w:hAnsi="仿宋" w:eastAsia="仿宋" w:cs="仿宋"/>
        </w:rPr>
        <w:t>，下午</w:t>
      </w:r>
      <w:r>
        <w:rPr>
          <w:rFonts w:hint="eastAsia" w:ascii="仿宋" w:hAnsi="仿宋" w:eastAsia="仿宋" w:cs="仿宋"/>
          <w:lang w:val="en-US" w:eastAsia="zh-CN"/>
        </w:rPr>
        <w:t>13:00</w:t>
      </w:r>
      <w:r>
        <w:rPr>
          <w:rFonts w:hint="eastAsia" w:ascii="仿宋" w:hAnsi="仿宋" w:eastAsia="仿宋" w:cs="仿宋"/>
        </w:rPr>
        <w:t>至</w:t>
      </w:r>
      <w:r>
        <w:rPr>
          <w:rFonts w:hint="eastAsia" w:ascii="仿宋" w:hAnsi="仿宋" w:eastAsia="仿宋" w:cs="仿宋"/>
          <w:lang w:val="en-US" w:eastAsia="zh-CN"/>
        </w:rPr>
        <w:t>23:59</w:t>
      </w:r>
      <w:r>
        <w:rPr>
          <w:rFonts w:hint="eastAsia" w:ascii="仿宋" w:hAnsi="仿宋" w:eastAsia="仿宋" w:cs="仿宋"/>
        </w:rPr>
        <w:t>（北京时间，法定节假日除外）。</w:t>
      </w:r>
    </w:p>
    <w:p w14:paraId="7244A15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rPr>
      </w:pPr>
      <w:r>
        <w:rPr>
          <w:rFonts w:hint="eastAsia" w:ascii="仿宋" w:hAnsi="仿宋" w:eastAsia="仿宋" w:cs="仿宋"/>
        </w:rPr>
        <w:t>2.地点：</w:t>
      </w:r>
      <w:r>
        <w:rPr>
          <w:rFonts w:hint="eastAsia" w:ascii="仿宋" w:hAnsi="仿宋" w:eastAsia="仿宋" w:cs="仿宋"/>
          <w:lang w:val="en-US" w:eastAsia="zh-CN"/>
        </w:rPr>
        <w:t>政采云平台线上</w:t>
      </w:r>
      <w:r>
        <w:rPr>
          <w:rFonts w:hint="eastAsia" w:ascii="仿宋" w:hAnsi="仿宋" w:eastAsia="仿宋" w:cs="仿宋"/>
        </w:rPr>
        <w:t>。</w:t>
      </w:r>
    </w:p>
    <w:p w14:paraId="509E96C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rPr>
      </w:pPr>
      <w:r>
        <w:rPr>
          <w:rFonts w:hint="eastAsia" w:ascii="仿宋" w:hAnsi="仿宋" w:eastAsia="仿宋" w:cs="仿宋"/>
        </w:rPr>
        <w:t>3.方式：供应商登录政采云平台https://www.zcygov.cn/在线申请获取采购文件（进入“项目采购”应用，在获取采购文件菜单中选择项目，申请获取采购文件）</w:t>
      </w:r>
      <w:r>
        <w:rPr>
          <w:rFonts w:hint="eastAsia" w:ascii="仿宋" w:hAnsi="仿宋" w:eastAsia="仿宋" w:cs="仿宋"/>
          <w:lang w:eastAsia="zh-CN"/>
        </w:rPr>
        <w:t>。</w:t>
      </w:r>
    </w:p>
    <w:p w14:paraId="180D482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rPr>
      </w:pPr>
      <w:bookmarkStart w:id="21" w:name="_Toc32515"/>
      <w:bookmarkStart w:id="22" w:name="_Toc12758"/>
      <w:r>
        <w:rPr>
          <w:rFonts w:hint="eastAsia" w:ascii="仿宋" w:hAnsi="仿宋" w:eastAsia="仿宋" w:cs="仿宋"/>
        </w:rPr>
        <w:t>4.售价：0元。</w:t>
      </w:r>
      <w:bookmarkEnd w:id="21"/>
      <w:bookmarkEnd w:id="22"/>
    </w:p>
    <w:p w14:paraId="3F555D5F">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仿宋" w:hAnsi="仿宋" w:eastAsia="仿宋" w:cs="仿宋"/>
          <w:b/>
          <w:bCs/>
          <w:sz w:val="24"/>
          <w:szCs w:val="24"/>
        </w:rPr>
      </w:pPr>
      <w:bookmarkStart w:id="23" w:name="bookmark6"/>
      <w:bookmarkEnd w:id="23"/>
      <w:bookmarkStart w:id="24" w:name="_Toc13415"/>
      <w:bookmarkStart w:id="25" w:name="_Toc26524"/>
      <w:r>
        <w:rPr>
          <w:rFonts w:hint="eastAsia" w:ascii="仿宋" w:hAnsi="仿宋" w:eastAsia="仿宋" w:cs="仿宋"/>
          <w:b/>
          <w:bCs/>
          <w:sz w:val="24"/>
          <w:szCs w:val="24"/>
        </w:rPr>
        <w:t>四、响应文件提交</w:t>
      </w:r>
      <w:bookmarkEnd w:id="24"/>
      <w:bookmarkEnd w:id="25"/>
    </w:p>
    <w:p w14:paraId="3A19C00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rPr>
      </w:pPr>
      <w:r>
        <w:rPr>
          <w:rFonts w:hint="eastAsia" w:ascii="仿宋" w:hAnsi="仿宋" w:eastAsia="仿宋" w:cs="仿宋"/>
        </w:rPr>
        <w:t>1.截止时间：</w:t>
      </w:r>
      <w:r>
        <w:rPr>
          <w:rFonts w:hint="eastAsia" w:ascii="仿宋" w:hAnsi="仿宋" w:eastAsia="仿宋" w:cs="仿宋"/>
          <w:lang w:val="en-US" w:eastAsia="zh-CN"/>
        </w:rPr>
        <w:t>2025</w:t>
      </w:r>
      <w:r>
        <w:rPr>
          <w:rFonts w:hint="eastAsia" w:ascii="仿宋" w:hAnsi="仿宋" w:eastAsia="仿宋" w:cs="仿宋"/>
        </w:rPr>
        <w:t>年</w:t>
      </w:r>
      <w:r>
        <w:rPr>
          <w:rFonts w:hint="eastAsia" w:ascii="仿宋" w:hAnsi="仿宋" w:eastAsia="仿宋" w:cs="仿宋"/>
          <w:lang w:val="en-US" w:eastAsia="zh-CN"/>
        </w:rPr>
        <w:t>07</w:t>
      </w:r>
      <w:r>
        <w:rPr>
          <w:rFonts w:hint="eastAsia" w:ascii="仿宋" w:hAnsi="仿宋" w:eastAsia="仿宋" w:cs="仿宋"/>
        </w:rPr>
        <w:t>月</w:t>
      </w:r>
      <w:r>
        <w:rPr>
          <w:rFonts w:hint="eastAsia" w:ascii="仿宋" w:hAnsi="仿宋" w:eastAsia="仿宋" w:cs="仿宋"/>
          <w:lang w:val="en-US" w:eastAsia="zh-CN"/>
        </w:rPr>
        <w:t>21</w:t>
      </w:r>
      <w:r>
        <w:rPr>
          <w:rFonts w:hint="eastAsia" w:ascii="仿宋" w:hAnsi="仿宋" w:eastAsia="仿宋" w:cs="仿宋"/>
        </w:rPr>
        <w:t>日</w:t>
      </w:r>
      <w:r>
        <w:rPr>
          <w:rFonts w:hint="eastAsia" w:ascii="仿宋" w:hAnsi="仿宋" w:eastAsia="仿宋" w:cs="仿宋"/>
          <w:lang w:val="en-US" w:eastAsia="zh-CN"/>
        </w:rPr>
        <w:t>11</w:t>
      </w:r>
      <w:r>
        <w:rPr>
          <w:rFonts w:hint="eastAsia" w:ascii="仿宋" w:hAnsi="仿宋" w:eastAsia="仿宋" w:cs="仿宋"/>
        </w:rPr>
        <w:t>时</w:t>
      </w:r>
      <w:r>
        <w:rPr>
          <w:rFonts w:hint="eastAsia" w:ascii="仿宋" w:hAnsi="仿宋" w:eastAsia="仿宋" w:cs="仿宋"/>
          <w:lang w:val="en-US" w:eastAsia="zh-CN"/>
        </w:rPr>
        <w:t>00</w:t>
      </w:r>
      <w:r>
        <w:rPr>
          <w:rFonts w:hint="eastAsia" w:ascii="仿宋" w:hAnsi="仿宋" w:eastAsia="仿宋" w:cs="仿宋"/>
        </w:rPr>
        <w:t>分（北京时间）。</w:t>
      </w:r>
    </w:p>
    <w:p w14:paraId="75465D0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rPr>
      </w:pPr>
      <w:r>
        <w:rPr>
          <w:rFonts w:hint="eastAsia" w:ascii="仿宋" w:hAnsi="仿宋" w:eastAsia="仿宋" w:cs="仿宋"/>
        </w:rPr>
        <w:t>2.地点：</w:t>
      </w:r>
      <w:r>
        <w:rPr>
          <w:rFonts w:hint="eastAsia" w:ascii="仿宋" w:hAnsi="仿宋" w:eastAsia="仿宋" w:cs="仿宋"/>
          <w:lang w:val="en-US" w:eastAsia="zh-CN"/>
        </w:rPr>
        <w:t>请登录政采云投标客户端投标</w:t>
      </w:r>
      <w:r>
        <w:rPr>
          <w:rFonts w:hint="eastAsia" w:ascii="仿宋" w:hAnsi="仿宋" w:eastAsia="仿宋" w:cs="仿宋"/>
          <w:lang w:eastAsia="zh-CN"/>
        </w:rPr>
        <w:t>。</w:t>
      </w:r>
    </w:p>
    <w:p w14:paraId="04BE648C">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仿宋" w:hAnsi="仿宋" w:eastAsia="仿宋" w:cs="仿宋"/>
          <w:b/>
          <w:bCs/>
          <w:sz w:val="24"/>
          <w:szCs w:val="24"/>
        </w:rPr>
      </w:pPr>
      <w:bookmarkStart w:id="26" w:name="bookmark7"/>
      <w:bookmarkEnd w:id="26"/>
      <w:bookmarkStart w:id="27" w:name="_Toc1330"/>
      <w:bookmarkStart w:id="28" w:name="_Toc10902"/>
      <w:r>
        <w:rPr>
          <w:rFonts w:hint="eastAsia" w:ascii="仿宋" w:hAnsi="仿宋" w:eastAsia="仿宋" w:cs="仿宋"/>
          <w:b/>
          <w:bCs/>
          <w:sz w:val="24"/>
          <w:szCs w:val="24"/>
        </w:rPr>
        <w:t>五、开启</w:t>
      </w:r>
      <w:bookmarkEnd w:id="27"/>
      <w:bookmarkEnd w:id="28"/>
    </w:p>
    <w:p w14:paraId="5B47E59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rPr>
      </w:pPr>
      <w:r>
        <w:rPr>
          <w:rFonts w:hint="eastAsia" w:ascii="仿宋" w:hAnsi="仿宋" w:eastAsia="仿宋" w:cs="仿宋"/>
        </w:rPr>
        <w:t>1.时间：</w:t>
      </w:r>
      <w:r>
        <w:rPr>
          <w:rFonts w:hint="eastAsia" w:ascii="仿宋" w:hAnsi="仿宋" w:eastAsia="仿宋" w:cs="仿宋"/>
          <w:lang w:val="en-US" w:eastAsia="zh-CN"/>
        </w:rPr>
        <w:t>2025</w:t>
      </w:r>
      <w:r>
        <w:rPr>
          <w:rFonts w:hint="eastAsia" w:ascii="仿宋" w:hAnsi="仿宋" w:eastAsia="仿宋" w:cs="仿宋"/>
        </w:rPr>
        <w:t>年</w:t>
      </w:r>
      <w:r>
        <w:rPr>
          <w:rFonts w:hint="eastAsia" w:ascii="仿宋" w:hAnsi="仿宋" w:eastAsia="仿宋" w:cs="仿宋"/>
          <w:lang w:val="en-US" w:eastAsia="zh-CN"/>
        </w:rPr>
        <w:t>07</w:t>
      </w:r>
      <w:r>
        <w:rPr>
          <w:rFonts w:hint="eastAsia" w:ascii="仿宋" w:hAnsi="仿宋" w:eastAsia="仿宋" w:cs="仿宋"/>
        </w:rPr>
        <w:t>月</w:t>
      </w:r>
      <w:r>
        <w:rPr>
          <w:rFonts w:hint="eastAsia" w:ascii="仿宋" w:hAnsi="仿宋" w:eastAsia="仿宋" w:cs="仿宋"/>
          <w:lang w:val="en-US" w:eastAsia="zh-CN"/>
        </w:rPr>
        <w:t>21</w:t>
      </w:r>
      <w:r>
        <w:rPr>
          <w:rFonts w:hint="eastAsia" w:ascii="仿宋" w:hAnsi="仿宋" w:eastAsia="仿宋" w:cs="仿宋"/>
        </w:rPr>
        <w:t>日</w:t>
      </w:r>
      <w:r>
        <w:rPr>
          <w:rFonts w:hint="eastAsia" w:ascii="仿宋" w:hAnsi="仿宋" w:eastAsia="仿宋" w:cs="仿宋"/>
          <w:lang w:val="en-US" w:eastAsia="zh-CN"/>
        </w:rPr>
        <w:t>11</w:t>
      </w:r>
      <w:r>
        <w:rPr>
          <w:rFonts w:hint="eastAsia" w:ascii="仿宋" w:hAnsi="仿宋" w:eastAsia="仿宋" w:cs="仿宋"/>
        </w:rPr>
        <w:t>时</w:t>
      </w:r>
      <w:r>
        <w:rPr>
          <w:rFonts w:hint="eastAsia" w:ascii="仿宋" w:hAnsi="仿宋" w:eastAsia="仿宋" w:cs="仿宋"/>
          <w:lang w:val="en-US" w:eastAsia="zh-CN"/>
        </w:rPr>
        <w:t>00</w:t>
      </w:r>
      <w:r>
        <w:rPr>
          <w:rFonts w:hint="eastAsia" w:ascii="仿宋" w:hAnsi="仿宋" w:eastAsia="仿宋" w:cs="仿宋"/>
        </w:rPr>
        <w:t>分（北京时间）。</w:t>
      </w:r>
    </w:p>
    <w:p w14:paraId="0B3709D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rPr>
      </w:pPr>
      <w:r>
        <w:rPr>
          <w:rFonts w:hint="eastAsia" w:ascii="仿宋" w:hAnsi="仿宋" w:eastAsia="仿宋" w:cs="仿宋"/>
        </w:rPr>
        <w:t>2.地点：</w:t>
      </w:r>
      <w:r>
        <w:rPr>
          <w:rFonts w:hint="eastAsia" w:ascii="仿宋" w:hAnsi="仿宋" w:eastAsia="仿宋" w:cs="仿宋"/>
          <w:lang w:val="en-US" w:eastAsia="zh-CN"/>
        </w:rPr>
        <w:t>政采云不见面开标大厅</w:t>
      </w:r>
      <w:r>
        <w:rPr>
          <w:rFonts w:hint="eastAsia" w:ascii="仿宋" w:hAnsi="仿宋" w:eastAsia="仿宋" w:cs="仿宋"/>
        </w:rPr>
        <w:t>。</w:t>
      </w:r>
    </w:p>
    <w:p w14:paraId="1247BDED">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仿宋" w:hAnsi="仿宋" w:eastAsia="仿宋" w:cs="仿宋"/>
          <w:b/>
          <w:bCs/>
          <w:sz w:val="24"/>
          <w:szCs w:val="24"/>
        </w:rPr>
      </w:pPr>
      <w:bookmarkStart w:id="29" w:name="bookmark8"/>
      <w:bookmarkEnd w:id="29"/>
      <w:bookmarkStart w:id="30" w:name="_Toc21575"/>
      <w:bookmarkStart w:id="31" w:name="_Toc28424"/>
      <w:r>
        <w:rPr>
          <w:rFonts w:hint="eastAsia" w:ascii="仿宋" w:hAnsi="仿宋" w:eastAsia="仿宋" w:cs="仿宋"/>
          <w:b/>
          <w:bCs/>
          <w:sz w:val="24"/>
          <w:szCs w:val="24"/>
        </w:rPr>
        <w:t>六、公告期限</w:t>
      </w:r>
      <w:bookmarkEnd w:id="30"/>
      <w:bookmarkEnd w:id="31"/>
    </w:p>
    <w:p w14:paraId="6A40C8C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rPr>
      </w:pPr>
      <w:r>
        <w:rPr>
          <w:rFonts w:hint="eastAsia" w:ascii="仿宋" w:hAnsi="仿宋" w:eastAsia="仿宋" w:cs="仿宋"/>
        </w:rPr>
        <w:t>自本公告发布之日起3个工作日。</w:t>
      </w:r>
    </w:p>
    <w:p w14:paraId="09E6F6A1">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仿宋" w:hAnsi="仿宋" w:eastAsia="仿宋" w:cs="仿宋"/>
          <w:b/>
          <w:bCs/>
          <w:sz w:val="24"/>
          <w:szCs w:val="24"/>
        </w:rPr>
      </w:pPr>
      <w:r>
        <w:rPr>
          <w:rFonts w:hint="eastAsia" w:ascii="仿宋" w:hAnsi="仿宋" w:eastAsia="仿宋" w:cs="仿宋"/>
          <w:b/>
          <w:bCs/>
          <w:sz w:val="24"/>
          <w:szCs w:val="24"/>
        </w:rPr>
        <w:t>七、其他补充事宜</w:t>
      </w:r>
    </w:p>
    <w:p w14:paraId="76B99C4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rPr>
      </w:pPr>
      <w:bookmarkStart w:id="32" w:name="bookmark10"/>
      <w:bookmarkEnd w:id="32"/>
      <w:bookmarkStart w:id="33" w:name="_Toc2623"/>
      <w:bookmarkStart w:id="34" w:name="_Toc27007"/>
      <w:r>
        <w:rPr>
          <w:rFonts w:hint="eastAsia" w:ascii="仿宋" w:hAnsi="仿宋" w:eastAsia="仿宋" w:cs="仿宋"/>
        </w:rPr>
        <w:t>1、本项目实行网上投标，采用电子投标文件；</w:t>
      </w:r>
    </w:p>
    <w:p w14:paraId="0A38BFD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rPr>
      </w:pPr>
      <w:r>
        <w:rPr>
          <w:rFonts w:hint="eastAsia" w:ascii="仿宋" w:hAnsi="仿宋" w:eastAsia="仿宋" w:cs="仿宋"/>
        </w:rPr>
        <w:t>2、各供应商应在开标前应确保成为政采云平台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14:paraId="105D621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lang w:val="en-US" w:eastAsia="zh-CN"/>
        </w:rPr>
      </w:pPr>
      <w:r>
        <w:rPr>
          <w:rFonts w:hint="eastAsia" w:ascii="仿宋" w:hAnsi="仿宋" w:eastAsia="仿宋" w:cs="仿宋"/>
        </w:rPr>
        <w:t>3、供应商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057FB9C0">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仿宋" w:hAnsi="仿宋" w:eastAsia="仿宋" w:cs="仿宋"/>
          <w:b/>
          <w:bCs/>
          <w:sz w:val="24"/>
          <w:szCs w:val="24"/>
        </w:rPr>
      </w:pPr>
      <w:r>
        <w:rPr>
          <w:rFonts w:hint="eastAsia" w:ascii="仿宋" w:hAnsi="仿宋" w:eastAsia="仿宋" w:cs="仿宋"/>
          <w:b/>
          <w:bCs/>
          <w:sz w:val="24"/>
          <w:szCs w:val="24"/>
        </w:rPr>
        <w:t>八、凡对本次采购提出询问，请按以下方式联系</w:t>
      </w:r>
      <w:bookmarkEnd w:id="33"/>
      <w:bookmarkEnd w:id="34"/>
    </w:p>
    <w:p w14:paraId="16B4379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rPr>
      </w:pPr>
      <w:bookmarkStart w:id="35" w:name="_Toc21649"/>
      <w:bookmarkStart w:id="36" w:name="_Toc23141"/>
      <w:r>
        <w:rPr>
          <w:rFonts w:hint="eastAsia" w:ascii="仿宋" w:hAnsi="仿宋" w:eastAsia="仿宋" w:cs="仿宋"/>
        </w:rPr>
        <w:t>1.采购人信息</w:t>
      </w:r>
      <w:bookmarkEnd w:id="35"/>
      <w:bookmarkEnd w:id="36"/>
    </w:p>
    <w:p w14:paraId="7516A9A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lang w:val="en-US" w:eastAsia="zh-CN"/>
        </w:rPr>
      </w:pPr>
      <w:r>
        <w:rPr>
          <w:rFonts w:hint="eastAsia" w:ascii="仿宋" w:hAnsi="仿宋" w:eastAsia="仿宋" w:cs="仿宋"/>
        </w:rPr>
        <w:t>名称：</w:t>
      </w:r>
      <w:r>
        <w:rPr>
          <w:rFonts w:hint="eastAsia" w:ascii="仿宋" w:hAnsi="仿宋" w:eastAsia="仿宋" w:cs="仿宋"/>
          <w:lang w:val="en-US" w:eastAsia="zh-CN"/>
        </w:rPr>
        <w:t>兵团某单位</w:t>
      </w:r>
    </w:p>
    <w:p w14:paraId="705538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lang w:val="en-US" w:eastAsia="zh-CN"/>
        </w:rPr>
      </w:pPr>
      <w:r>
        <w:rPr>
          <w:rFonts w:hint="eastAsia" w:ascii="仿宋" w:hAnsi="仿宋" w:eastAsia="仿宋" w:cs="仿宋"/>
        </w:rPr>
        <w:t>地址：</w:t>
      </w:r>
      <w:r>
        <w:rPr>
          <w:rFonts w:hint="eastAsia" w:ascii="仿宋" w:hAnsi="仿宋" w:eastAsia="仿宋" w:cs="仿宋"/>
          <w:lang w:val="en-US" w:eastAsia="zh-CN"/>
        </w:rPr>
        <w:t>新疆维吾尔自治区乌鲁木齐市</w:t>
      </w:r>
    </w:p>
    <w:p w14:paraId="1E2C0FA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lang w:val="en-US" w:eastAsia="zh-CN"/>
        </w:rPr>
      </w:pPr>
      <w:r>
        <w:rPr>
          <w:rFonts w:hint="eastAsia" w:ascii="仿宋" w:hAnsi="仿宋" w:eastAsia="仿宋" w:cs="仿宋"/>
        </w:rPr>
        <w:t>联系方式：</w:t>
      </w:r>
      <w:r>
        <w:rPr>
          <w:rFonts w:hint="eastAsia" w:ascii="仿宋" w:hAnsi="仿宋" w:eastAsia="仿宋" w:cs="仿宋"/>
          <w:lang w:val="en-US" w:eastAsia="zh-CN"/>
        </w:rPr>
        <w:t>/</w:t>
      </w:r>
    </w:p>
    <w:p w14:paraId="4A53344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rPr>
      </w:pPr>
      <w:r>
        <w:rPr>
          <w:rFonts w:hint="eastAsia" w:ascii="仿宋" w:hAnsi="仿宋" w:eastAsia="仿宋" w:cs="仿宋"/>
        </w:rPr>
        <w:t>2.采购代理机构信息</w:t>
      </w:r>
    </w:p>
    <w:p w14:paraId="1A3E57B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lang w:val="en-US" w:eastAsia="zh-CN"/>
        </w:rPr>
      </w:pPr>
      <w:r>
        <w:rPr>
          <w:rFonts w:hint="eastAsia" w:ascii="仿宋" w:hAnsi="仿宋" w:eastAsia="仿宋" w:cs="仿宋"/>
        </w:rPr>
        <w:t>名称：</w:t>
      </w:r>
      <w:r>
        <w:rPr>
          <w:rFonts w:hint="eastAsia" w:ascii="仿宋" w:hAnsi="仿宋" w:eastAsia="仿宋" w:cs="仿宋"/>
          <w:lang w:val="en-US" w:eastAsia="zh-CN"/>
        </w:rPr>
        <w:t>中通服供应链股份有限公司</w:t>
      </w:r>
    </w:p>
    <w:p w14:paraId="1EF7F84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仿宋" w:hAnsi="仿宋" w:eastAsia="仿宋" w:cs="仿宋"/>
          <w:lang w:eastAsia="zh-CN"/>
        </w:rPr>
      </w:pPr>
      <w:r>
        <w:rPr>
          <w:rFonts w:hint="eastAsia" w:ascii="仿宋" w:hAnsi="仿宋" w:eastAsia="仿宋" w:cs="仿宋"/>
        </w:rPr>
        <w:t>地址：</w:t>
      </w:r>
      <w:r>
        <w:rPr>
          <w:rFonts w:hint="eastAsia" w:ascii="仿宋" w:hAnsi="仿宋" w:eastAsia="仿宋" w:cs="仿宋"/>
          <w:lang w:eastAsia="zh-CN"/>
        </w:rPr>
        <w:t>电信九鼎库房-中通服供应链（</w:t>
      </w:r>
      <w:r>
        <w:rPr>
          <w:rFonts w:hint="eastAsia" w:ascii="仿宋" w:hAnsi="仿宋" w:eastAsia="仿宋" w:cs="仿宋"/>
          <w:lang w:val="en-US" w:eastAsia="zh-CN"/>
        </w:rPr>
        <w:t>2楼210办公</w:t>
      </w:r>
      <w:r>
        <w:rPr>
          <w:rFonts w:hint="eastAsia" w:ascii="仿宋" w:hAnsi="仿宋" w:eastAsia="仿宋" w:cs="仿宋"/>
          <w:lang w:eastAsia="zh-CN"/>
        </w:rPr>
        <w:t>室）新疆维吾尔自治区乌鲁木齐市沙依巴克区经四</w:t>
      </w:r>
      <w:r>
        <w:rPr>
          <w:rFonts w:hint="eastAsia" w:ascii="仿宋" w:hAnsi="仿宋" w:eastAsia="仿宋" w:cs="仿宋"/>
          <w:lang w:val="en-US" w:eastAsia="zh-CN"/>
        </w:rPr>
        <w:t>路与纬一路交叉口东北约100米</w:t>
      </w:r>
    </w:p>
    <w:p w14:paraId="6451714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9"/>
        <w:rPr>
          <w:rFonts w:hint="eastAsia" w:ascii="仿宋" w:hAnsi="仿宋" w:eastAsia="仿宋" w:cs="仿宋"/>
          <w:lang w:val="en-US" w:eastAsia="zh-CN"/>
        </w:rPr>
      </w:pPr>
      <w:r>
        <w:rPr>
          <w:rFonts w:hint="eastAsia" w:ascii="仿宋" w:hAnsi="仿宋" w:eastAsia="仿宋" w:cs="仿宋"/>
        </w:rPr>
        <w:t>联系方式：</w:t>
      </w:r>
      <w:r>
        <w:rPr>
          <w:rFonts w:hint="eastAsia" w:ascii="仿宋" w:hAnsi="仿宋" w:eastAsia="仿宋" w:cs="仿宋"/>
          <w:lang w:val="en-US" w:eastAsia="zh-CN"/>
        </w:rPr>
        <w:t>朱良、王琬莹；</w:t>
      </w:r>
      <w:r>
        <w:rPr>
          <w:rFonts w:hint="eastAsia" w:ascii="仿宋" w:hAnsi="仿宋" w:eastAsia="仿宋" w:cs="仿宋"/>
          <w:lang w:eastAsia="zh-CN"/>
        </w:rPr>
        <w:t>18160612929、</w:t>
      </w:r>
      <w:r>
        <w:rPr>
          <w:rFonts w:hint="eastAsia" w:ascii="仿宋" w:hAnsi="仿宋" w:eastAsia="仿宋" w:cs="仿宋"/>
          <w:lang w:val="en-US" w:eastAsia="zh-CN"/>
        </w:rPr>
        <w:t>15739567871</w:t>
      </w:r>
    </w:p>
    <w:p w14:paraId="614503CC">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br w:type="page"/>
      </w:r>
    </w:p>
    <w:p w14:paraId="5F428A3F">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outlineLvl w:val="0"/>
        <w:rPr>
          <w:rFonts w:hint="eastAsia" w:ascii="仿宋" w:hAnsi="仿宋" w:eastAsia="仿宋" w:cs="仿宋"/>
        </w:rPr>
      </w:pPr>
      <w:bookmarkStart w:id="37" w:name="_Toc9833"/>
      <w:r>
        <w:rPr>
          <w:rFonts w:hint="eastAsia" w:ascii="仿宋" w:hAnsi="仿宋" w:eastAsia="仿宋" w:cs="仿宋"/>
          <w:b/>
          <w:bCs/>
          <w:sz w:val="28"/>
          <w:szCs w:val="28"/>
        </w:rPr>
        <w:t>第二章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供应商须知</w:t>
      </w:r>
      <w:bookmarkEnd w:id="37"/>
    </w:p>
    <w:p w14:paraId="2AA066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仿宋" w:hAnsi="仿宋" w:eastAsia="仿宋" w:cs="仿宋"/>
          <w:sz w:val="24"/>
          <w:szCs w:val="24"/>
        </w:rPr>
      </w:pPr>
      <w:bookmarkStart w:id="38" w:name="bookmark13"/>
      <w:bookmarkEnd w:id="38"/>
      <w:r>
        <w:rPr>
          <w:rFonts w:hint="eastAsia" w:ascii="仿宋" w:hAnsi="仿宋" w:eastAsia="仿宋" w:cs="仿宋"/>
          <w:b/>
          <w:bCs/>
          <w:sz w:val="28"/>
          <w:szCs w:val="28"/>
        </w:rPr>
        <w:t>一、供应商须知前附表</w:t>
      </w:r>
    </w:p>
    <w:p w14:paraId="03DC0FA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pacing w:val="20"/>
          <w:sz w:val="24"/>
          <w:szCs w:val="24"/>
        </w:rPr>
      </w:pPr>
      <w:r>
        <w:rPr>
          <w:rFonts w:hint="eastAsia" w:ascii="仿宋" w:hAnsi="仿宋" w:eastAsia="仿宋" w:cs="仿宋"/>
          <w:spacing w:val="20"/>
          <w:sz w:val="24"/>
          <w:szCs w:val="24"/>
        </w:rPr>
        <w:t>磋商供应商应仔细阅读本磋商文件的第二章“供应商须知”，下面所列资料是对“供应商须知”的具体补充和说明。如有矛盾，应以本表为准。标记“☑”选项意为适用于本项目，标记“</w:t>
      </w:r>
      <w:r>
        <w:rPr>
          <w:rFonts w:hint="eastAsia" w:ascii="仿宋" w:hAnsi="仿宋" w:eastAsia="仿宋" w:cs="仿宋"/>
          <w:spacing w:val="20"/>
          <w:sz w:val="24"/>
          <w:szCs w:val="24"/>
          <w:lang w:eastAsia="zh-CN"/>
        </w:rPr>
        <w:t>□</w:t>
      </w:r>
      <w:r>
        <w:rPr>
          <w:rFonts w:hint="eastAsia" w:ascii="仿宋" w:hAnsi="仿宋" w:eastAsia="仿宋" w:cs="仿宋"/>
          <w:spacing w:val="20"/>
          <w:sz w:val="24"/>
          <w:szCs w:val="24"/>
        </w:rPr>
        <w:t>”的选项意为不适用于本项目。</w:t>
      </w:r>
    </w:p>
    <w:tbl>
      <w:tblPr>
        <w:tblStyle w:val="11"/>
        <w:tblW w:w="501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61"/>
        <w:gridCol w:w="1746"/>
        <w:gridCol w:w="5723"/>
      </w:tblGrid>
      <w:tr w14:paraId="40AAA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517" w:type="pct"/>
            <w:shd w:val="clear" w:color="auto" w:fill="D8D8D8"/>
            <w:vAlign w:val="center"/>
          </w:tcPr>
          <w:p w14:paraId="10A78C3D">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条款号</w:t>
            </w:r>
          </w:p>
        </w:tc>
        <w:tc>
          <w:tcPr>
            <w:tcW w:w="1048" w:type="pct"/>
            <w:shd w:val="clear" w:color="auto" w:fill="D8D8D8"/>
            <w:vAlign w:val="center"/>
          </w:tcPr>
          <w:p w14:paraId="35FF1B6F">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条款名称</w:t>
            </w:r>
          </w:p>
        </w:tc>
        <w:tc>
          <w:tcPr>
            <w:tcW w:w="3434" w:type="pct"/>
            <w:shd w:val="clear" w:color="auto" w:fill="D8D8D8"/>
            <w:vAlign w:val="center"/>
          </w:tcPr>
          <w:p w14:paraId="0F658A56">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内容</w:t>
            </w:r>
          </w:p>
        </w:tc>
      </w:tr>
      <w:tr w14:paraId="73C63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862" w:type="dxa"/>
            <w:vAlign w:val="center"/>
          </w:tcPr>
          <w:p w14:paraId="30160EF8">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2.5</w:t>
            </w:r>
          </w:p>
        </w:tc>
        <w:tc>
          <w:tcPr>
            <w:tcW w:w="1745" w:type="dxa"/>
            <w:vAlign w:val="center"/>
          </w:tcPr>
          <w:p w14:paraId="0BEC5A5F">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服务内容</w:t>
            </w:r>
          </w:p>
        </w:tc>
        <w:tc>
          <w:tcPr>
            <w:tcW w:w="3434" w:type="pct"/>
            <w:vAlign w:val="center"/>
          </w:tcPr>
          <w:p w14:paraId="7FED107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jc w:val="both"/>
              <w:textAlignment w:val="baseline"/>
              <w:rPr>
                <w:rFonts w:hint="eastAsia" w:ascii="仿宋" w:hAnsi="仿宋" w:eastAsia="仿宋" w:cs="仿宋"/>
              </w:rPr>
            </w:pPr>
            <w:r>
              <w:rPr>
                <w:rFonts w:hint="eastAsia" w:ascii="仿宋" w:hAnsi="仿宋" w:eastAsia="仿宋" w:cs="仿宋"/>
              </w:rPr>
              <w:t>本工程施工阶段和保修阶段的监理工作，具体包括施工前期准备阶段，施工阶段，竣工验收阶段和工程保修阶段的监理工作，对所监理项目做好方案、强制性标准、质量控制、进度控制、投资控制、合同管理、结算、档案、信息管理、安全生产、风险防范及组织协调等工作，参加设计、施工图审查和工程预、结算的工程量的审核，监督单项工程的安全、质量、进度及投资控制。</w:t>
            </w:r>
          </w:p>
        </w:tc>
      </w:tr>
      <w:tr w14:paraId="5C624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517" w:type="pct"/>
            <w:vAlign w:val="center"/>
          </w:tcPr>
          <w:p w14:paraId="0B65C2EB">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9.1</w:t>
            </w:r>
          </w:p>
        </w:tc>
        <w:tc>
          <w:tcPr>
            <w:tcW w:w="1048" w:type="pct"/>
            <w:vAlign w:val="center"/>
          </w:tcPr>
          <w:p w14:paraId="032FD6B7">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现场考察</w:t>
            </w:r>
          </w:p>
        </w:tc>
        <w:tc>
          <w:tcPr>
            <w:tcW w:w="3434" w:type="pct"/>
            <w:vAlign w:val="center"/>
          </w:tcPr>
          <w:p w14:paraId="2FE826F2">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sz w:val="24"/>
                <w:szCs w:val="24"/>
              </w:rPr>
              <w:t>☑</w:t>
            </w:r>
            <w:r>
              <w:rPr>
                <w:rFonts w:hint="eastAsia" w:ascii="仿宋" w:hAnsi="仿宋" w:eastAsia="仿宋" w:cs="仿宋"/>
              </w:rPr>
              <w:t>不组织，供应商自行前往</w:t>
            </w:r>
          </w:p>
          <w:p w14:paraId="1D7E527C">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sz w:val="24"/>
                <w:szCs w:val="24"/>
                <w:lang w:eastAsia="zh-CN"/>
              </w:rPr>
              <w:t>□</w:t>
            </w:r>
            <w:r>
              <w:rPr>
                <w:rFonts w:hint="eastAsia" w:ascii="仿宋" w:hAnsi="仿宋" w:eastAsia="仿宋" w:cs="仿宋"/>
              </w:rPr>
              <w:t>组织</w:t>
            </w:r>
          </w:p>
          <w:p w14:paraId="49E57979">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u w:val="single"/>
                <w:lang w:eastAsia="zh-CN"/>
              </w:rPr>
            </w:pPr>
            <w:r>
              <w:rPr>
                <w:rFonts w:hint="eastAsia" w:ascii="仿宋" w:hAnsi="仿宋" w:eastAsia="仿宋" w:cs="仿宋"/>
              </w:rPr>
              <w:t>时间</w:t>
            </w:r>
            <w:r>
              <w:rPr>
                <w:rFonts w:hint="eastAsia" w:ascii="仿宋" w:hAnsi="仿宋" w:eastAsia="仿宋" w:cs="仿宋"/>
                <w:u w:val="none"/>
              </w:rPr>
              <w:t>：</w:t>
            </w:r>
          </w:p>
          <w:p w14:paraId="5D4C275B">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lang w:eastAsia="zh-CN"/>
              </w:rPr>
            </w:pPr>
            <w:r>
              <w:rPr>
                <w:rFonts w:hint="eastAsia" w:ascii="仿宋" w:hAnsi="仿宋" w:eastAsia="仿宋" w:cs="仿宋"/>
              </w:rPr>
              <w:t>地点：</w:t>
            </w:r>
          </w:p>
        </w:tc>
      </w:tr>
      <w:tr w14:paraId="2413A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517" w:type="pct"/>
            <w:vAlign w:val="center"/>
          </w:tcPr>
          <w:p w14:paraId="6CF31912">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9.5</w:t>
            </w:r>
          </w:p>
        </w:tc>
        <w:tc>
          <w:tcPr>
            <w:tcW w:w="1048" w:type="pct"/>
            <w:vAlign w:val="center"/>
          </w:tcPr>
          <w:p w14:paraId="2B61B22E">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答疑会</w:t>
            </w:r>
          </w:p>
        </w:tc>
        <w:tc>
          <w:tcPr>
            <w:tcW w:w="3434" w:type="pct"/>
            <w:vAlign w:val="center"/>
          </w:tcPr>
          <w:p w14:paraId="7E4A5751">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sz w:val="24"/>
                <w:szCs w:val="24"/>
              </w:rPr>
              <w:t>☑</w:t>
            </w:r>
            <w:r>
              <w:rPr>
                <w:rFonts w:hint="eastAsia" w:ascii="仿宋" w:hAnsi="仿宋" w:eastAsia="仿宋" w:cs="仿宋"/>
              </w:rPr>
              <w:t>不组织</w:t>
            </w:r>
          </w:p>
          <w:p w14:paraId="3A14758C">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sz w:val="24"/>
                <w:szCs w:val="24"/>
                <w:lang w:eastAsia="zh-CN"/>
              </w:rPr>
              <w:t>□</w:t>
            </w:r>
            <w:r>
              <w:rPr>
                <w:rFonts w:hint="eastAsia" w:ascii="仿宋" w:hAnsi="仿宋" w:eastAsia="仿宋" w:cs="仿宋"/>
              </w:rPr>
              <w:t>组织</w:t>
            </w:r>
          </w:p>
          <w:p w14:paraId="10D0880A">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u w:val="single"/>
                <w:lang w:eastAsia="zh-CN"/>
              </w:rPr>
            </w:pPr>
            <w:r>
              <w:rPr>
                <w:rFonts w:hint="eastAsia" w:ascii="仿宋" w:hAnsi="仿宋" w:eastAsia="仿宋" w:cs="仿宋"/>
              </w:rPr>
              <w:t>时间</w:t>
            </w:r>
            <w:r>
              <w:rPr>
                <w:rFonts w:hint="eastAsia" w:ascii="仿宋" w:hAnsi="仿宋" w:eastAsia="仿宋" w:cs="仿宋"/>
                <w:u w:val="none"/>
              </w:rPr>
              <w:t>：</w:t>
            </w:r>
          </w:p>
          <w:p w14:paraId="605742A6">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lang w:eastAsia="zh-CN"/>
              </w:rPr>
            </w:pPr>
            <w:r>
              <w:rPr>
                <w:rFonts w:hint="eastAsia" w:ascii="仿宋" w:hAnsi="仿宋" w:eastAsia="仿宋" w:cs="仿宋"/>
              </w:rPr>
              <w:t>地点：</w:t>
            </w:r>
          </w:p>
        </w:tc>
      </w:tr>
      <w:tr w14:paraId="581B8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517" w:type="pct"/>
            <w:vAlign w:val="center"/>
          </w:tcPr>
          <w:p w14:paraId="4A5827A4">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12.1</w:t>
            </w:r>
          </w:p>
        </w:tc>
        <w:tc>
          <w:tcPr>
            <w:tcW w:w="1048" w:type="pct"/>
            <w:vAlign w:val="center"/>
          </w:tcPr>
          <w:p w14:paraId="206F0030">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询问</w:t>
            </w:r>
          </w:p>
        </w:tc>
        <w:tc>
          <w:tcPr>
            <w:tcW w:w="3434" w:type="pct"/>
            <w:vAlign w:val="center"/>
          </w:tcPr>
          <w:p w14:paraId="0A570FD2">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1.方式：</w:t>
            </w:r>
          </w:p>
          <w:p w14:paraId="49C0D96F">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在供应商客户端中按照格式填写询问函，并在生成询问函后加盖电子印章提交；其他询问方式：。</w:t>
            </w:r>
          </w:p>
          <w:p w14:paraId="427CA773">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2.时间要求：</w:t>
            </w:r>
          </w:p>
        </w:tc>
      </w:tr>
      <w:tr w14:paraId="6F262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517" w:type="pct"/>
            <w:vAlign w:val="center"/>
          </w:tcPr>
          <w:p w14:paraId="7A710C4B">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15.1</w:t>
            </w:r>
          </w:p>
        </w:tc>
        <w:tc>
          <w:tcPr>
            <w:tcW w:w="1048" w:type="pct"/>
            <w:vAlign w:val="center"/>
          </w:tcPr>
          <w:p w14:paraId="0898C66C">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响应文件有效期</w:t>
            </w:r>
          </w:p>
        </w:tc>
        <w:tc>
          <w:tcPr>
            <w:tcW w:w="3434" w:type="pct"/>
            <w:vAlign w:val="center"/>
          </w:tcPr>
          <w:p w14:paraId="15500AD2">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响应文件递交截止日期后</w:t>
            </w:r>
            <w:r>
              <w:rPr>
                <w:rFonts w:hint="eastAsia" w:ascii="仿宋" w:hAnsi="仿宋" w:eastAsia="仿宋" w:cs="仿宋"/>
                <w:u w:val="single"/>
              </w:rPr>
              <w:t>90</w:t>
            </w:r>
            <w:r>
              <w:rPr>
                <w:rFonts w:hint="eastAsia" w:ascii="仿宋" w:hAnsi="仿宋" w:eastAsia="仿宋" w:cs="仿宋"/>
              </w:rPr>
              <w:t>日历日。</w:t>
            </w:r>
          </w:p>
        </w:tc>
      </w:tr>
      <w:tr w14:paraId="67E02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2" w:hRule="atLeast"/>
        </w:trPr>
        <w:tc>
          <w:tcPr>
            <w:tcW w:w="517" w:type="pct"/>
            <w:vAlign w:val="center"/>
          </w:tcPr>
          <w:p w14:paraId="0CA3E51A">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17.1</w:t>
            </w:r>
          </w:p>
        </w:tc>
        <w:tc>
          <w:tcPr>
            <w:tcW w:w="1048" w:type="pct"/>
            <w:vAlign w:val="center"/>
          </w:tcPr>
          <w:p w14:paraId="54E5A05A">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磋商保证金</w:t>
            </w:r>
          </w:p>
        </w:tc>
        <w:tc>
          <w:tcPr>
            <w:tcW w:w="3434" w:type="pct"/>
            <w:vAlign w:val="center"/>
          </w:tcPr>
          <w:p w14:paraId="5E1527B1">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1.金额：□免收</w:t>
            </w:r>
          </w:p>
          <w:p w14:paraId="6BD011A0">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预算金额的</w:t>
            </w:r>
            <w:r>
              <w:rPr>
                <w:rFonts w:hint="eastAsia" w:ascii="仿宋" w:hAnsi="仿宋" w:eastAsia="仿宋" w:cs="仿宋"/>
                <w:u w:val="single"/>
                <w:lang w:val="en-US" w:eastAsia="zh-CN"/>
              </w:rPr>
              <w:t>1</w:t>
            </w:r>
            <w:r>
              <w:rPr>
                <w:rFonts w:hint="eastAsia" w:ascii="仿宋" w:hAnsi="仿宋" w:eastAsia="仿宋" w:cs="仿宋"/>
              </w:rPr>
              <w:t>%。</w:t>
            </w:r>
          </w:p>
          <w:p w14:paraId="34958531">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rPr>
              <w:t>定额收取：人民币</w:t>
            </w:r>
            <w:r>
              <w:rPr>
                <w:rFonts w:hint="eastAsia" w:ascii="仿宋" w:hAnsi="仿宋" w:eastAsia="仿宋" w:cs="仿宋"/>
                <w:lang w:val="en-US" w:eastAsia="zh-CN"/>
              </w:rPr>
              <w:t>748.00</w:t>
            </w:r>
            <w:r>
              <w:rPr>
                <w:rFonts w:hint="eastAsia" w:ascii="仿宋" w:hAnsi="仿宋" w:eastAsia="仿宋" w:cs="仿宋"/>
              </w:rPr>
              <w:t>元。</w:t>
            </w:r>
          </w:p>
          <w:p w14:paraId="2E23DA91">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2.支付方式：</w:t>
            </w:r>
          </w:p>
          <w:p w14:paraId="55879943">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供应商可自主选择以支票</w:t>
            </w:r>
            <w:r>
              <w:rPr>
                <w:rFonts w:hint="eastAsia" w:ascii="仿宋" w:hAnsi="仿宋" w:eastAsia="仿宋" w:cs="仿宋"/>
                <w:lang w:eastAsia="zh-CN"/>
              </w:rPr>
              <w:t>、</w:t>
            </w:r>
            <w:r>
              <w:rPr>
                <w:rFonts w:hint="eastAsia" w:ascii="仿宋" w:hAnsi="仿宋" w:eastAsia="仿宋" w:cs="仿宋"/>
              </w:rPr>
              <w:t>汇票、本票、电汇、转账、网银、保函等非现金形式缴纳或提交保证金。</w:t>
            </w:r>
          </w:p>
          <w:p w14:paraId="751B8EE1">
            <w:pPr>
              <w:keepNext w:val="0"/>
              <w:keepLines w:val="0"/>
              <w:pageBreakBefore w:val="0"/>
              <w:widowControl/>
              <w:numPr>
                <w:ilvl w:val="0"/>
                <w:numId w:val="1"/>
              </w:numPr>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收取单位：</w:t>
            </w:r>
            <w:r>
              <w:rPr>
                <w:rFonts w:hint="eastAsia" w:ascii="仿宋" w:hAnsi="仿宋" w:eastAsia="仿宋" w:cs="仿宋"/>
                <w:u w:val="single"/>
              </w:rPr>
              <w:t>中通服供应链股份有限公司新疆分公司</w:t>
            </w:r>
          </w:p>
          <w:p w14:paraId="698B116E">
            <w:pPr>
              <w:keepNext w:val="0"/>
              <w:keepLines w:val="0"/>
              <w:pageBreakBefore w:val="0"/>
              <w:widowControl/>
              <w:numPr>
                <w:ilvl w:val="0"/>
                <w:numId w:val="1"/>
              </w:numPr>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收取账号：</w:t>
            </w:r>
            <w:r>
              <w:rPr>
                <w:rFonts w:hint="eastAsia" w:ascii="仿宋" w:hAnsi="仿宋" w:eastAsia="仿宋" w:cs="仿宋"/>
                <w:u w:val="single"/>
              </w:rPr>
              <w:t>991906047110910</w:t>
            </w:r>
          </w:p>
          <w:p w14:paraId="1835A973">
            <w:pPr>
              <w:keepNext w:val="0"/>
              <w:keepLines w:val="0"/>
              <w:pageBreakBefore w:val="0"/>
              <w:widowControl/>
              <w:numPr>
                <w:ilvl w:val="0"/>
                <w:numId w:val="1"/>
              </w:numPr>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开户行：</w:t>
            </w:r>
            <w:r>
              <w:rPr>
                <w:rFonts w:hint="eastAsia" w:ascii="仿宋" w:hAnsi="仿宋" w:eastAsia="仿宋" w:cs="仿宋"/>
                <w:u w:val="single"/>
              </w:rPr>
              <w:t>招商银行股份有限公司乌鲁木齐经济技术开发区玄武湖路自贸支行</w:t>
            </w:r>
          </w:p>
          <w:p w14:paraId="219B3D5C">
            <w:pPr>
              <w:keepNext w:val="0"/>
              <w:keepLines w:val="0"/>
              <w:pageBreakBefore w:val="0"/>
              <w:widowControl/>
              <w:numPr>
                <w:ilvl w:val="0"/>
                <w:numId w:val="1"/>
              </w:numPr>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行号：</w:t>
            </w:r>
            <w:r>
              <w:rPr>
                <w:rFonts w:hint="eastAsia" w:ascii="仿宋" w:hAnsi="仿宋" w:eastAsia="仿宋" w:cs="仿宋"/>
                <w:u w:val="single"/>
              </w:rPr>
              <w:t>308881029180</w:t>
            </w:r>
          </w:p>
          <w:p w14:paraId="440032E0">
            <w:pPr>
              <w:keepNext w:val="0"/>
              <w:keepLines w:val="0"/>
              <w:pageBreakBefore w:val="0"/>
              <w:widowControl/>
              <w:numPr>
                <w:ilvl w:val="0"/>
                <w:numId w:val="1"/>
              </w:numPr>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退还时间：</w:t>
            </w:r>
            <w:r>
              <w:rPr>
                <w:rFonts w:hint="eastAsia" w:ascii="仿宋" w:hAnsi="仿宋" w:eastAsia="仿宋" w:cs="仿宋"/>
                <w:u w:val="single"/>
              </w:rPr>
              <w:t>在书面合同签订后5日内向中标人和未中标的投标人退还投标保证金</w:t>
            </w:r>
          </w:p>
          <w:p w14:paraId="78DEC70F">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b/>
                <w:bCs/>
              </w:rPr>
              <w:t>注意事项：</w:t>
            </w:r>
          </w:p>
        </w:tc>
      </w:tr>
      <w:tr w14:paraId="5B847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7" w:hRule="atLeast"/>
        </w:trPr>
        <w:tc>
          <w:tcPr>
            <w:tcW w:w="517" w:type="pct"/>
            <w:vAlign w:val="center"/>
          </w:tcPr>
          <w:p w14:paraId="4C902A20">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22.1</w:t>
            </w:r>
          </w:p>
        </w:tc>
        <w:tc>
          <w:tcPr>
            <w:tcW w:w="1048" w:type="pct"/>
            <w:vAlign w:val="center"/>
          </w:tcPr>
          <w:p w14:paraId="6C0AA30B">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val="0"/>
                <w:bCs w:val="0"/>
              </w:rPr>
            </w:pPr>
            <w:r>
              <w:rPr>
                <w:rFonts w:hint="eastAsia" w:ascii="仿宋" w:hAnsi="仿宋" w:eastAsia="仿宋" w:cs="仿宋"/>
                <w:b w:val="0"/>
                <w:bCs w:val="0"/>
              </w:rPr>
              <w:t>实物样品</w:t>
            </w:r>
          </w:p>
        </w:tc>
        <w:tc>
          <w:tcPr>
            <w:tcW w:w="3434" w:type="pct"/>
            <w:vAlign w:val="center"/>
          </w:tcPr>
          <w:p w14:paraId="6A2EA353">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val="0"/>
                <w:bCs w:val="0"/>
              </w:rPr>
            </w:pPr>
            <w:r>
              <w:rPr>
                <w:rFonts w:hint="eastAsia" w:ascii="仿宋" w:hAnsi="仿宋" w:eastAsia="仿宋" w:cs="仿宋"/>
                <w:b w:val="0"/>
                <w:bCs w:val="0"/>
              </w:rPr>
              <w:t>磋商样品递交：</w:t>
            </w:r>
          </w:p>
          <w:p w14:paraId="5D12FCAA">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val="0"/>
                <w:bCs w:val="0"/>
              </w:rPr>
            </w:pPr>
            <w:r>
              <w:rPr>
                <w:rFonts w:hint="eastAsia" w:ascii="仿宋" w:hAnsi="仿宋" w:eastAsia="仿宋" w:cs="仿宋"/>
                <w:b w:val="0"/>
                <w:bCs w:val="0"/>
                <w:lang w:eastAsia="zh-CN"/>
              </w:rPr>
              <w:t>☑</w:t>
            </w:r>
            <w:r>
              <w:rPr>
                <w:rFonts w:hint="eastAsia" w:ascii="仿宋" w:hAnsi="仿宋" w:eastAsia="仿宋" w:cs="仿宋"/>
                <w:b w:val="0"/>
                <w:bCs w:val="0"/>
              </w:rPr>
              <w:t>不需要</w:t>
            </w:r>
          </w:p>
          <w:p w14:paraId="15F50E67">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val="0"/>
                <w:bCs w:val="0"/>
              </w:rPr>
            </w:pPr>
            <w:r>
              <w:rPr>
                <w:rFonts w:hint="eastAsia" w:ascii="仿宋" w:hAnsi="仿宋" w:eastAsia="仿宋" w:cs="仿宋"/>
                <w:b w:val="0"/>
                <w:bCs w:val="0"/>
              </w:rPr>
              <w:t>□需要，具体要求如下：</w:t>
            </w:r>
          </w:p>
          <w:p w14:paraId="5566CC0F">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val="0"/>
                <w:bCs w:val="0"/>
                <w:u w:val="single"/>
              </w:rPr>
            </w:pPr>
            <w:r>
              <w:rPr>
                <w:rFonts w:hint="eastAsia" w:ascii="仿宋" w:hAnsi="仿宋" w:eastAsia="仿宋" w:cs="仿宋"/>
                <w:b w:val="0"/>
                <w:bCs w:val="0"/>
              </w:rPr>
              <w:t>1.样品制作的标准和要求：</w:t>
            </w:r>
          </w:p>
          <w:p w14:paraId="7C957044">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val="0"/>
                <w:bCs w:val="0"/>
              </w:rPr>
            </w:pPr>
            <w:r>
              <w:rPr>
                <w:rFonts w:hint="eastAsia" w:ascii="仿宋" w:hAnsi="仿宋" w:eastAsia="仿宋" w:cs="仿宋"/>
                <w:b w:val="0"/>
                <w:bCs w:val="0"/>
              </w:rPr>
              <w:t>2.是否需要随样品提交相关检测报告：</w:t>
            </w:r>
          </w:p>
          <w:p w14:paraId="60E90314">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val="0"/>
                <w:bCs w:val="0"/>
              </w:rPr>
            </w:pPr>
            <w:r>
              <w:rPr>
                <w:rFonts w:hint="eastAsia" w:ascii="仿宋" w:hAnsi="仿宋" w:eastAsia="仿宋" w:cs="仿宋"/>
                <w:b w:val="0"/>
                <w:bCs w:val="0"/>
              </w:rPr>
              <w:t>□不需要</w:t>
            </w:r>
          </w:p>
          <w:p w14:paraId="73164FAA">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val="0"/>
                <w:bCs w:val="0"/>
              </w:rPr>
            </w:pPr>
            <w:r>
              <w:rPr>
                <w:rFonts w:hint="eastAsia" w:ascii="仿宋" w:hAnsi="仿宋" w:eastAsia="仿宋" w:cs="仿宋"/>
                <w:b w:val="0"/>
                <w:bCs w:val="0"/>
              </w:rPr>
              <w:t>□需要</w:t>
            </w:r>
          </w:p>
          <w:p w14:paraId="7CF22871">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val="0"/>
                <w:bCs w:val="0"/>
              </w:rPr>
            </w:pPr>
            <w:r>
              <w:rPr>
                <w:rFonts w:hint="eastAsia" w:ascii="仿宋" w:hAnsi="仿宋" w:eastAsia="仿宋" w:cs="仿宋"/>
                <w:b w:val="0"/>
                <w:bCs w:val="0"/>
              </w:rPr>
              <w:t>3.样品递交要求：</w:t>
            </w:r>
          </w:p>
          <w:p w14:paraId="41ADA1B3">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val="0"/>
                <w:bCs w:val="0"/>
              </w:rPr>
            </w:pPr>
            <w:r>
              <w:rPr>
                <w:rFonts w:hint="eastAsia" w:ascii="仿宋" w:hAnsi="仿宋" w:eastAsia="仿宋" w:cs="仿宋"/>
                <w:b w:val="0"/>
                <w:bCs w:val="0"/>
              </w:rPr>
              <w:t>递交时间：，</w:t>
            </w:r>
          </w:p>
          <w:p w14:paraId="4F4F5744">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val="0"/>
                <w:bCs w:val="0"/>
              </w:rPr>
            </w:pPr>
            <w:r>
              <w:rPr>
                <w:rFonts w:hint="eastAsia" w:ascii="仿宋" w:hAnsi="仿宋" w:eastAsia="仿宋" w:cs="仿宋"/>
                <w:b w:val="0"/>
                <w:bCs w:val="0"/>
              </w:rPr>
              <w:t>递交地点：，逾期提供的样品将不予接受。4.未中标人样品退还：；</w:t>
            </w:r>
          </w:p>
          <w:p w14:paraId="298104DC">
            <w:pPr>
              <w:keepNext w:val="0"/>
              <w:keepLines w:val="0"/>
              <w:pageBreakBefore w:val="0"/>
              <w:widowControl/>
              <w:numPr>
                <w:ilvl w:val="0"/>
                <w:numId w:val="2"/>
              </w:numPr>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val="0"/>
                <w:bCs w:val="0"/>
              </w:rPr>
            </w:pPr>
            <w:r>
              <w:rPr>
                <w:rFonts w:hint="eastAsia" w:ascii="仿宋" w:hAnsi="仿宋" w:eastAsia="仿宋" w:cs="仿宋"/>
                <w:b w:val="0"/>
                <w:bCs w:val="0"/>
              </w:rPr>
              <w:t>中标人样品保管、封存及退还：；</w:t>
            </w:r>
          </w:p>
          <w:p w14:paraId="50E0C698">
            <w:pPr>
              <w:keepNext w:val="0"/>
              <w:keepLines w:val="0"/>
              <w:pageBreakBefore w:val="0"/>
              <w:widowControl/>
              <w:numPr>
                <w:ilvl w:val="0"/>
                <w:numId w:val="2"/>
              </w:numPr>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val="0"/>
                <w:bCs w:val="0"/>
              </w:rPr>
            </w:pPr>
            <w:r>
              <w:rPr>
                <w:rFonts w:hint="eastAsia" w:ascii="仿宋" w:hAnsi="仿宋" w:eastAsia="仿宋" w:cs="仿宋"/>
                <w:b w:val="0"/>
                <w:bCs w:val="0"/>
              </w:rPr>
              <w:t>其他要求（如有）：。</w:t>
            </w:r>
          </w:p>
        </w:tc>
      </w:tr>
      <w:tr w14:paraId="4C170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517" w:type="pct"/>
            <w:vAlign w:val="center"/>
          </w:tcPr>
          <w:p w14:paraId="30394873">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23.1</w:t>
            </w:r>
          </w:p>
        </w:tc>
        <w:tc>
          <w:tcPr>
            <w:tcW w:w="1048" w:type="pct"/>
            <w:vAlign w:val="center"/>
          </w:tcPr>
          <w:p w14:paraId="26C35335">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演示</w:t>
            </w:r>
          </w:p>
        </w:tc>
        <w:tc>
          <w:tcPr>
            <w:tcW w:w="3434" w:type="pct"/>
            <w:vAlign w:val="center"/>
          </w:tcPr>
          <w:p w14:paraId="713AC998">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不进行</w:t>
            </w:r>
          </w:p>
          <w:p w14:paraId="63FAA885">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□进行，远程线上演示/现场演示</w:t>
            </w:r>
          </w:p>
          <w:p w14:paraId="480C7EB2">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1.演示时间不得超过分钟。</w:t>
            </w:r>
          </w:p>
          <w:p w14:paraId="51842D54">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2.进行远程线上演示的，供应商应提前自行准备好演示的软硬配置环境和网络环境，做好演示的各项准备工作。因供应商自身原因无法演示或者演示效果不理想的，导致的后果由供应商自行承担。</w:t>
            </w:r>
          </w:p>
          <w:p w14:paraId="27E98CA0">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3.进行现场演示的，演示人员不得超过人，演示现场提供。</w:t>
            </w:r>
          </w:p>
        </w:tc>
      </w:tr>
      <w:tr w14:paraId="7A59B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17" w:type="pct"/>
            <w:vAlign w:val="center"/>
          </w:tcPr>
          <w:p w14:paraId="068A8F3C">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25.2</w:t>
            </w:r>
          </w:p>
        </w:tc>
        <w:tc>
          <w:tcPr>
            <w:tcW w:w="1048" w:type="pct"/>
            <w:vAlign w:val="center"/>
          </w:tcPr>
          <w:p w14:paraId="68348B3A">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解密响应文件的时限</w:t>
            </w:r>
          </w:p>
        </w:tc>
        <w:tc>
          <w:tcPr>
            <w:tcW w:w="3434" w:type="pct"/>
            <w:vAlign w:val="center"/>
          </w:tcPr>
          <w:p w14:paraId="2D3A669C">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不见面开标默认解密时长：</w:t>
            </w:r>
            <w:r>
              <w:rPr>
                <w:rFonts w:hint="eastAsia" w:ascii="仿宋" w:hAnsi="仿宋" w:eastAsia="仿宋" w:cs="仿宋"/>
                <w:u w:val="single"/>
                <w:lang w:val="en-US" w:eastAsia="zh-CN"/>
              </w:rPr>
              <w:t>30</w:t>
            </w:r>
            <w:r>
              <w:rPr>
                <w:rFonts w:hint="eastAsia" w:ascii="仿宋" w:hAnsi="仿宋" w:eastAsia="仿宋" w:cs="仿宋"/>
              </w:rPr>
              <w:t>分钟。</w:t>
            </w:r>
          </w:p>
          <w:p w14:paraId="4E688184">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注：除因交易平台发生故障导致响应文件无法按时解密外，响应文件未按时解密的，视为未按规定提交响应文件，响应无效。</w:t>
            </w:r>
          </w:p>
        </w:tc>
      </w:tr>
      <w:tr w14:paraId="0958E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17" w:type="pct"/>
            <w:vAlign w:val="center"/>
          </w:tcPr>
          <w:p w14:paraId="50B519E9">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29.2</w:t>
            </w:r>
          </w:p>
        </w:tc>
        <w:tc>
          <w:tcPr>
            <w:tcW w:w="1048" w:type="pct"/>
            <w:vAlign w:val="center"/>
          </w:tcPr>
          <w:p w14:paraId="524175A6">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推荐成交候选供应商</w:t>
            </w:r>
          </w:p>
        </w:tc>
        <w:tc>
          <w:tcPr>
            <w:tcW w:w="3434" w:type="pct"/>
            <w:vAlign w:val="center"/>
          </w:tcPr>
          <w:p w14:paraId="7479755A">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成交候选供应商数量</w:t>
            </w:r>
            <w:r>
              <w:rPr>
                <w:rFonts w:hint="eastAsia" w:ascii="仿宋" w:hAnsi="仿宋" w:eastAsia="仿宋" w:cs="仿宋"/>
                <w:u w:val="single"/>
                <w:lang w:val="en-US" w:eastAsia="zh-CN"/>
              </w:rPr>
              <w:t>3</w:t>
            </w:r>
            <w:r>
              <w:rPr>
                <w:rFonts w:hint="eastAsia" w:ascii="仿宋" w:hAnsi="仿宋" w:eastAsia="仿宋" w:cs="仿宋"/>
              </w:rPr>
              <w:t>家</w:t>
            </w:r>
          </w:p>
        </w:tc>
      </w:tr>
      <w:tr w14:paraId="776D1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17" w:type="pct"/>
            <w:vAlign w:val="center"/>
          </w:tcPr>
          <w:p w14:paraId="769F43C4">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30.1</w:t>
            </w:r>
          </w:p>
        </w:tc>
        <w:tc>
          <w:tcPr>
            <w:tcW w:w="1048" w:type="pct"/>
            <w:vAlign w:val="center"/>
          </w:tcPr>
          <w:p w14:paraId="342E87A5">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确定成交供应商</w:t>
            </w:r>
          </w:p>
        </w:tc>
        <w:tc>
          <w:tcPr>
            <w:tcW w:w="3434" w:type="pct"/>
            <w:vAlign w:val="center"/>
          </w:tcPr>
          <w:p w14:paraId="2603D04B">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hint="eastAsia" w:ascii="仿宋" w:hAnsi="仿宋" w:eastAsia="仿宋" w:cs="仿宋"/>
              </w:rPr>
            </w:pPr>
            <w:r>
              <w:rPr>
                <w:rFonts w:hint="eastAsia" w:ascii="仿宋" w:hAnsi="仿宋" w:eastAsia="仿宋" w:cs="仿宋"/>
              </w:rPr>
              <w:t>□采购人在收到评审报告后5个工作日内，按评审报告中推荐的成交候选人排序确定成交供应商。</w:t>
            </w:r>
          </w:p>
          <w:p w14:paraId="6F476587">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采购人委托磋商小组直接确定成交供应商。</w:t>
            </w:r>
          </w:p>
        </w:tc>
      </w:tr>
      <w:tr w14:paraId="36B4D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17" w:type="pct"/>
            <w:vAlign w:val="center"/>
          </w:tcPr>
          <w:p w14:paraId="005CBC93">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33.1</w:t>
            </w:r>
          </w:p>
        </w:tc>
        <w:tc>
          <w:tcPr>
            <w:tcW w:w="1048" w:type="pct"/>
            <w:vAlign w:val="center"/>
          </w:tcPr>
          <w:p w14:paraId="2FE83A55">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履约保证金</w:t>
            </w:r>
          </w:p>
        </w:tc>
        <w:tc>
          <w:tcPr>
            <w:tcW w:w="3434" w:type="pct"/>
            <w:vAlign w:val="center"/>
          </w:tcPr>
          <w:p w14:paraId="7888538D">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1.金额：</w:t>
            </w:r>
            <w:r>
              <w:rPr>
                <w:rFonts w:hint="eastAsia" w:ascii="仿宋" w:hAnsi="仿宋" w:eastAsia="仿宋" w:cs="仿宋"/>
                <w:lang w:eastAsia="zh-CN"/>
              </w:rPr>
              <w:t>☑</w:t>
            </w:r>
            <w:r>
              <w:rPr>
                <w:rFonts w:hint="eastAsia" w:ascii="仿宋" w:hAnsi="仿宋" w:eastAsia="仿宋" w:cs="仿宋"/>
              </w:rPr>
              <w:t>免收</w:t>
            </w:r>
          </w:p>
          <w:p w14:paraId="6B081956">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合同价的</w:t>
            </w:r>
            <w:r>
              <w:rPr>
                <w:rFonts w:hint="eastAsia" w:ascii="仿宋" w:hAnsi="仿宋" w:eastAsia="仿宋" w:cs="仿宋"/>
                <w:u w:val="single"/>
                <w:lang w:val="en-US" w:eastAsia="zh-CN"/>
              </w:rPr>
              <w:t>10</w:t>
            </w:r>
            <w:r>
              <w:rPr>
                <w:rFonts w:hint="eastAsia" w:ascii="仿宋" w:hAnsi="仿宋" w:eastAsia="仿宋" w:cs="仿宋"/>
              </w:rPr>
              <w:t>%</w:t>
            </w:r>
          </w:p>
          <w:p w14:paraId="03F12FCC">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lang w:eastAsia="zh-CN"/>
              </w:rPr>
            </w:pPr>
            <w:r>
              <w:rPr>
                <w:rFonts w:hint="eastAsia" w:ascii="仿宋" w:hAnsi="仿宋" w:eastAsia="仿宋" w:cs="仿宋"/>
              </w:rPr>
              <w:t>□定额收取：人民币元</w:t>
            </w:r>
          </w:p>
          <w:p w14:paraId="69C27F32">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2.支付方式：</w:t>
            </w:r>
          </w:p>
          <w:p w14:paraId="3DB2B1E8">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供应商可自主选择以支票、汇票、本票、电汇、转账、网银、保函等非现金形式缴纳或提交保证金。</w:t>
            </w:r>
          </w:p>
          <w:p w14:paraId="40A2BD3C">
            <w:pPr>
              <w:keepNext w:val="0"/>
              <w:keepLines w:val="0"/>
              <w:pageBreakBefore w:val="0"/>
              <w:widowControl/>
              <w:numPr>
                <w:ilvl w:val="0"/>
                <w:numId w:val="3"/>
              </w:numPr>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收取单位：</w:t>
            </w:r>
          </w:p>
          <w:p w14:paraId="2065938D">
            <w:pPr>
              <w:keepNext w:val="0"/>
              <w:keepLines w:val="0"/>
              <w:pageBreakBefore w:val="0"/>
              <w:widowControl/>
              <w:numPr>
                <w:ilvl w:val="0"/>
                <w:numId w:val="3"/>
              </w:numPr>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收取账号：</w:t>
            </w:r>
          </w:p>
          <w:p w14:paraId="1E099B17">
            <w:pPr>
              <w:keepNext w:val="0"/>
              <w:keepLines w:val="0"/>
              <w:pageBreakBefore w:val="0"/>
              <w:widowControl/>
              <w:numPr>
                <w:ilvl w:val="0"/>
                <w:numId w:val="3"/>
              </w:numPr>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退还时间：</w:t>
            </w:r>
          </w:p>
          <w:p w14:paraId="56A73E05">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b/>
                <w:bCs/>
              </w:rPr>
              <w:t>注意事项：</w:t>
            </w:r>
          </w:p>
          <w:p w14:paraId="12248520">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1.以上各类机构出具的以担保函、保证保险承担责任的方式均须满足无条件见索即付条件。</w:t>
            </w:r>
          </w:p>
          <w:p w14:paraId="01C0D4CB">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lang w:eastAsia="zh-CN"/>
              </w:rPr>
            </w:pPr>
            <w:r>
              <w:rPr>
                <w:rFonts w:hint="eastAsia" w:ascii="仿宋" w:hAnsi="仿宋" w:eastAsia="仿宋" w:cs="仿宋"/>
              </w:rPr>
              <w:t>2.以担保函、保证保险形式缴纳履约保证金的，受益人和收取单位须为采购人。</w:t>
            </w:r>
          </w:p>
        </w:tc>
      </w:tr>
      <w:tr w14:paraId="6F3CD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17" w:type="pct"/>
            <w:vAlign w:val="center"/>
          </w:tcPr>
          <w:p w14:paraId="49EF228B">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34.5</w:t>
            </w:r>
          </w:p>
        </w:tc>
        <w:tc>
          <w:tcPr>
            <w:tcW w:w="1048" w:type="pct"/>
            <w:vAlign w:val="center"/>
          </w:tcPr>
          <w:p w14:paraId="5C33E2FA">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合同分包</w:t>
            </w:r>
          </w:p>
        </w:tc>
        <w:tc>
          <w:tcPr>
            <w:tcW w:w="3434" w:type="pct"/>
            <w:vAlign w:val="top"/>
          </w:tcPr>
          <w:p w14:paraId="45CC6010">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本项目的非主体、非关键性工作是否允许分包：</w:t>
            </w:r>
          </w:p>
          <w:p w14:paraId="1662BE4B">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不允许</w:t>
            </w:r>
          </w:p>
          <w:p w14:paraId="5729EEB7">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□允许，具体要求：</w:t>
            </w:r>
          </w:p>
          <w:p w14:paraId="01E94380">
            <w:pPr>
              <w:keepNext w:val="0"/>
              <w:keepLines w:val="0"/>
              <w:pageBreakBefore w:val="0"/>
              <w:widowControl/>
              <w:numPr>
                <w:ilvl w:val="0"/>
                <w:numId w:val="4"/>
              </w:numPr>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可以分包履行的具体内容：；</w:t>
            </w:r>
          </w:p>
          <w:p w14:paraId="1F5B0BE5">
            <w:pPr>
              <w:keepNext w:val="0"/>
              <w:keepLines w:val="0"/>
              <w:pageBreakBefore w:val="0"/>
              <w:widowControl/>
              <w:numPr>
                <w:ilvl w:val="0"/>
                <w:numId w:val="4"/>
              </w:numPr>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允许分包的金额或者比例：；</w:t>
            </w:r>
          </w:p>
          <w:p w14:paraId="2EF5B126">
            <w:pPr>
              <w:keepNext w:val="0"/>
              <w:keepLines w:val="0"/>
              <w:pageBreakBefore w:val="0"/>
              <w:widowControl/>
              <w:numPr>
                <w:ilvl w:val="0"/>
                <w:numId w:val="4"/>
              </w:numPr>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其他要求：。</w:t>
            </w:r>
          </w:p>
        </w:tc>
      </w:tr>
      <w:tr w14:paraId="01283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17" w:type="pct"/>
            <w:shd w:val="clear" w:color="auto" w:fill="auto"/>
            <w:vAlign w:val="center"/>
          </w:tcPr>
          <w:p w14:paraId="5F982A38">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35.1</w:t>
            </w:r>
          </w:p>
        </w:tc>
        <w:tc>
          <w:tcPr>
            <w:tcW w:w="1048" w:type="pct"/>
            <w:shd w:val="clear" w:color="auto" w:fill="auto"/>
            <w:vAlign w:val="center"/>
          </w:tcPr>
          <w:p w14:paraId="2BD4656F">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质疑</w:t>
            </w:r>
          </w:p>
        </w:tc>
        <w:tc>
          <w:tcPr>
            <w:tcW w:w="3434" w:type="pct"/>
            <w:shd w:val="clear" w:color="auto" w:fill="auto"/>
            <w:vAlign w:val="top"/>
          </w:tcPr>
          <w:p w14:paraId="42E7863E">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u w:val="single"/>
                <w:lang w:val="en-US" w:eastAsia="zh-CN"/>
              </w:rPr>
            </w:pPr>
            <w:r>
              <w:rPr>
                <w:rFonts w:hint="eastAsia" w:ascii="仿宋" w:hAnsi="仿宋" w:eastAsia="仿宋" w:cs="仿宋"/>
              </w:rPr>
              <w:t>递交方式：</w:t>
            </w:r>
            <w:r>
              <w:rPr>
                <w:rFonts w:hint="eastAsia" w:ascii="仿宋" w:hAnsi="仿宋" w:eastAsia="仿宋" w:cs="仿宋"/>
                <w:u w:val="single"/>
                <w:lang w:val="en-US" w:eastAsia="zh-CN"/>
              </w:rPr>
              <w:t>以盖章PDF的形式发送至326493621@qq.com</w:t>
            </w:r>
            <w:r>
              <w:rPr>
                <w:rFonts w:hint="eastAsia" w:ascii="仿宋" w:hAnsi="仿宋" w:eastAsia="仿宋" w:cs="仿宋"/>
                <w:u w:val="none"/>
                <w:lang w:val="en-US" w:eastAsia="zh-CN"/>
              </w:rPr>
              <w:t>；</w:t>
            </w:r>
          </w:p>
          <w:p w14:paraId="56F56B46">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u w:val="none"/>
                <w:lang w:val="en-US" w:eastAsia="zh-CN"/>
              </w:rPr>
            </w:pPr>
            <w:r>
              <w:rPr>
                <w:rFonts w:hint="eastAsia" w:ascii="仿宋" w:hAnsi="仿宋" w:eastAsia="仿宋" w:cs="仿宋"/>
              </w:rPr>
              <w:t>接收部门：</w:t>
            </w:r>
            <w:r>
              <w:rPr>
                <w:rFonts w:hint="eastAsia" w:ascii="仿宋" w:hAnsi="仿宋" w:eastAsia="仿宋" w:cs="仿宋"/>
                <w:u w:val="single"/>
                <w:lang w:val="en-US" w:eastAsia="zh-CN"/>
              </w:rPr>
              <w:t>中通服供应链股份有限公司</w:t>
            </w:r>
            <w:r>
              <w:rPr>
                <w:rFonts w:hint="eastAsia" w:ascii="仿宋" w:hAnsi="仿宋" w:eastAsia="仿宋" w:cs="仿宋"/>
                <w:u w:val="none"/>
                <w:lang w:val="en-US" w:eastAsia="zh-CN"/>
              </w:rPr>
              <w:t>；</w:t>
            </w:r>
          </w:p>
          <w:p w14:paraId="0EE6E8C3">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u w:val="single"/>
              </w:rPr>
            </w:pPr>
            <w:r>
              <w:rPr>
                <w:rFonts w:hint="eastAsia" w:ascii="仿宋" w:hAnsi="仿宋" w:eastAsia="仿宋" w:cs="仿宋"/>
              </w:rPr>
              <w:t>联系电话：</w:t>
            </w:r>
            <w:r>
              <w:rPr>
                <w:rFonts w:hint="eastAsia" w:ascii="仿宋" w:hAnsi="仿宋" w:eastAsia="仿宋" w:cs="仿宋"/>
                <w:u w:val="single"/>
                <w:lang w:val="en-US" w:eastAsia="zh-CN"/>
              </w:rPr>
              <w:t>18160612929、15739567871</w:t>
            </w:r>
            <w:r>
              <w:rPr>
                <w:rFonts w:hint="eastAsia" w:ascii="仿宋" w:hAnsi="仿宋" w:eastAsia="仿宋" w:cs="仿宋"/>
                <w:u w:val="none"/>
                <w:lang w:val="en-US" w:eastAsia="zh-CN"/>
              </w:rPr>
              <w:t>；</w:t>
            </w:r>
          </w:p>
          <w:p w14:paraId="12FAEB60">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rPr>
              <w:t>通讯地址：</w:t>
            </w:r>
            <w:r>
              <w:rPr>
                <w:rFonts w:hint="eastAsia" w:ascii="仿宋" w:hAnsi="仿宋" w:eastAsia="仿宋" w:cs="仿宋"/>
                <w:u w:val="single"/>
                <w:lang w:val="en-US" w:eastAsia="zh-CN"/>
              </w:rPr>
              <w:t>电信九鼎库房-中通服供应链（2楼210办公室）新疆维吾尔自治区乌鲁木齐市沙依巴克区经四路与纬一路交叉口东北约100米</w:t>
            </w:r>
            <w:r>
              <w:rPr>
                <w:rFonts w:hint="eastAsia" w:ascii="仿宋" w:hAnsi="仿宋" w:eastAsia="仿宋" w:cs="仿宋"/>
                <w:u w:val="none"/>
                <w:lang w:val="en-US" w:eastAsia="zh-CN"/>
              </w:rPr>
              <w:t>；</w:t>
            </w:r>
          </w:p>
        </w:tc>
      </w:tr>
      <w:tr w14:paraId="6FD02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17" w:type="pct"/>
            <w:shd w:val="clear" w:color="auto" w:fill="auto"/>
            <w:vAlign w:val="center"/>
          </w:tcPr>
          <w:p w14:paraId="472D2F68">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38.1</w:t>
            </w:r>
          </w:p>
        </w:tc>
        <w:tc>
          <w:tcPr>
            <w:tcW w:w="1048" w:type="pct"/>
            <w:shd w:val="clear" w:color="auto" w:fill="auto"/>
            <w:vAlign w:val="center"/>
          </w:tcPr>
          <w:p w14:paraId="5E55CA60">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采购代理服务费收取方式和标准</w:t>
            </w:r>
          </w:p>
        </w:tc>
        <w:tc>
          <w:tcPr>
            <w:tcW w:w="3434" w:type="pct"/>
            <w:shd w:val="clear" w:color="auto" w:fill="auto"/>
            <w:vAlign w:val="top"/>
          </w:tcPr>
          <w:p w14:paraId="7C094A64">
            <w:pPr>
              <w:keepNext w:val="0"/>
              <w:keepLines w:val="0"/>
              <w:pageBreakBefore w:val="0"/>
              <w:widowControl/>
              <w:numPr>
                <w:ilvl w:val="0"/>
                <w:numId w:val="5"/>
              </w:numPr>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收费对象：□采购人支付</w:t>
            </w:r>
            <w:r>
              <w:rPr>
                <w:rFonts w:hint="eastAsia" w:ascii="仿宋" w:hAnsi="仿宋" w:eastAsia="仿宋" w:cs="仿宋"/>
                <w:lang w:eastAsia="zh-CN"/>
              </w:rPr>
              <w:t>☑</w:t>
            </w:r>
            <w:r>
              <w:rPr>
                <w:rFonts w:hint="eastAsia" w:ascii="仿宋" w:hAnsi="仿宋" w:eastAsia="仿宋" w:cs="仿宋"/>
              </w:rPr>
              <w:t>成交人支付</w:t>
            </w:r>
          </w:p>
          <w:p w14:paraId="35780FD0">
            <w:pPr>
              <w:keepNext w:val="0"/>
              <w:keepLines w:val="0"/>
              <w:pageBreakBefore w:val="0"/>
              <w:widowControl/>
              <w:numPr>
                <w:ilvl w:val="0"/>
                <w:numId w:val="5"/>
              </w:numPr>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lang w:val="en-US" w:eastAsia="en-US"/>
              </w:rPr>
            </w:pPr>
            <w:r>
              <w:rPr>
                <w:rFonts w:hint="eastAsia" w:ascii="仿宋" w:hAnsi="仿宋" w:eastAsia="仿宋" w:cs="仿宋"/>
              </w:rPr>
              <w:t>收费标准：国家计委计价格〔2002〕1980号文《招标代理服务收费管理暂行办法》收费标准下浮</w:t>
            </w:r>
            <w:r>
              <w:rPr>
                <w:rFonts w:hint="eastAsia" w:ascii="仿宋" w:hAnsi="仿宋" w:eastAsia="仿宋" w:cs="仿宋"/>
                <w:u w:val="single"/>
                <w:lang w:val="en-US" w:eastAsia="zh-CN"/>
              </w:rPr>
              <w:t>72</w:t>
            </w:r>
            <w:r>
              <w:rPr>
                <w:rFonts w:hint="eastAsia" w:ascii="仿宋" w:hAnsi="仿宋" w:eastAsia="仿宋" w:cs="仿宋"/>
              </w:rPr>
              <w:t>%</w:t>
            </w:r>
          </w:p>
          <w:p w14:paraId="67E2B48B">
            <w:pPr>
              <w:keepNext w:val="0"/>
              <w:keepLines w:val="0"/>
              <w:pageBreakBefore w:val="0"/>
              <w:widowControl/>
              <w:numPr>
                <w:ilvl w:val="0"/>
                <w:numId w:val="5"/>
              </w:numPr>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收取时间：</w:t>
            </w:r>
            <w:r>
              <w:rPr>
                <w:rFonts w:hint="eastAsia" w:ascii="仿宋" w:hAnsi="仿宋" w:eastAsia="仿宋" w:cs="仿宋"/>
                <w:snapToGrid w:val="0"/>
                <w:color w:val="000000"/>
                <w:kern w:val="0"/>
                <w:sz w:val="21"/>
                <w:szCs w:val="21"/>
                <w:u w:val="single"/>
                <w:lang w:val="en-US" w:eastAsia="zh-CN" w:bidi="ar-SA"/>
              </w:rPr>
              <w:t>领取中标通知书时</w:t>
            </w:r>
          </w:p>
          <w:p w14:paraId="10A73BAC">
            <w:pPr>
              <w:keepNext w:val="0"/>
              <w:keepLines w:val="0"/>
              <w:pageBreakBefore w:val="0"/>
              <w:widowControl/>
              <w:numPr>
                <w:ilvl w:val="0"/>
                <w:numId w:val="5"/>
              </w:numPr>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收取方式：</w:t>
            </w:r>
            <w:r>
              <w:rPr>
                <w:rFonts w:hint="eastAsia" w:ascii="仿宋" w:hAnsi="仿宋" w:eastAsia="仿宋" w:cs="仿宋"/>
                <w:u w:val="single"/>
                <w:lang w:val="en-US" w:eastAsia="zh-CN"/>
              </w:rPr>
              <w:t>电汇</w:t>
            </w:r>
          </w:p>
        </w:tc>
      </w:tr>
      <w:tr w14:paraId="2FC44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17" w:type="pct"/>
            <w:shd w:val="clear" w:color="auto" w:fill="auto"/>
            <w:vAlign w:val="center"/>
          </w:tcPr>
          <w:p w14:paraId="7B450A34">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41.1</w:t>
            </w:r>
          </w:p>
        </w:tc>
        <w:tc>
          <w:tcPr>
            <w:tcW w:w="1048" w:type="pct"/>
            <w:shd w:val="clear" w:color="auto" w:fill="auto"/>
            <w:vAlign w:val="center"/>
          </w:tcPr>
          <w:p w14:paraId="5D5B3C6C">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是否接受进口产品</w:t>
            </w:r>
          </w:p>
        </w:tc>
        <w:tc>
          <w:tcPr>
            <w:tcW w:w="3434" w:type="pct"/>
            <w:shd w:val="clear" w:color="auto" w:fill="auto"/>
            <w:vAlign w:val="center"/>
          </w:tcPr>
          <w:p w14:paraId="4D3C58F3">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□不接受</w:t>
            </w:r>
          </w:p>
          <w:p w14:paraId="6AD6AA4B">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□接受</w:t>
            </w:r>
          </w:p>
        </w:tc>
      </w:tr>
      <w:tr w14:paraId="3A3F9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17" w:type="pct"/>
            <w:shd w:val="clear" w:color="auto" w:fill="auto"/>
            <w:vAlign w:val="center"/>
          </w:tcPr>
          <w:p w14:paraId="3274635A">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42.2</w:t>
            </w:r>
          </w:p>
        </w:tc>
        <w:tc>
          <w:tcPr>
            <w:tcW w:w="1048" w:type="pct"/>
            <w:shd w:val="clear" w:color="auto" w:fill="auto"/>
            <w:vAlign w:val="center"/>
          </w:tcPr>
          <w:p w14:paraId="2C588A9F">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支持中小企业政策（非专门面向中小企业采购项目适用）</w:t>
            </w:r>
          </w:p>
        </w:tc>
        <w:tc>
          <w:tcPr>
            <w:tcW w:w="3434" w:type="pct"/>
            <w:shd w:val="clear" w:color="auto" w:fill="auto"/>
            <w:vAlign w:val="center"/>
          </w:tcPr>
          <w:p w14:paraId="02BD7B1F">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1.小型和微型企业价格扣除：</w:t>
            </w:r>
            <w:r>
              <w:rPr>
                <w:rFonts w:hint="eastAsia" w:ascii="仿宋" w:hAnsi="仿宋" w:eastAsia="仿宋" w:cs="仿宋"/>
                <w:u w:val="single"/>
                <w:lang w:val="en-US" w:eastAsia="zh-CN"/>
              </w:rPr>
              <w:t>10%</w:t>
            </w:r>
            <w:r>
              <w:rPr>
                <w:rFonts w:hint="eastAsia" w:ascii="仿宋" w:hAnsi="仿宋" w:eastAsia="仿宋" w:cs="仿宋"/>
              </w:rPr>
              <w:t>。</w:t>
            </w:r>
          </w:p>
          <w:p w14:paraId="2E08F0D1">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2.监狱企业价格扣除：同小型和微型企业。</w:t>
            </w:r>
          </w:p>
          <w:p w14:paraId="2E7B41B8">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3.残疾人福利性单位价格扣除：同小型和微型企业。</w:t>
            </w:r>
          </w:p>
          <w:p w14:paraId="24DF4F94">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4.符合条件的联合体价格扣除：</w:t>
            </w:r>
            <w:r>
              <w:rPr>
                <w:rFonts w:hint="eastAsia" w:ascii="仿宋" w:hAnsi="仿宋" w:eastAsia="仿宋" w:cs="仿宋"/>
                <w:u w:val="single"/>
                <w:lang w:val="en-US" w:eastAsia="zh-CN"/>
              </w:rPr>
              <w:t>/</w:t>
            </w:r>
            <w:r>
              <w:rPr>
                <w:rFonts w:hint="eastAsia" w:ascii="仿宋" w:hAnsi="仿宋" w:eastAsia="仿宋" w:cs="仿宋"/>
              </w:rPr>
              <w:t>。</w:t>
            </w:r>
          </w:p>
          <w:p w14:paraId="0D3E573A">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5.符合条件的向小微企业分包的大中型企业价格扣除：</w:t>
            </w:r>
            <w:r>
              <w:rPr>
                <w:rFonts w:hint="eastAsia" w:ascii="仿宋" w:hAnsi="仿宋" w:eastAsia="仿宋" w:cs="仿宋"/>
                <w:u w:val="single"/>
                <w:lang w:val="en-US" w:eastAsia="zh-CN"/>
              </w:rPr>
              <w:t>/</w:t>
            </w:r>
            <w:r>
              <w:rPr>
                <w:rFonts w:hint="eastAsia" w:ascii="仿宋" w:hAnsi="仿宋" w:eastAsia="仿宋" w:cs="仿宋"/>
              </w:rPr>
              <w:t>。</w:t>
            </w:r>
          </w:p>
          <w:p w14:paraId="0CD30923">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（允许大中型企业向小微企业分包的项目适用）</w:t>
            </w:r>
          </w:p>
        </w:tc>
      </w:tr>
      <w:tr w14:paraId="292F2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17" w:type="pct"/>
            <w:shd w:val="clear" w:color="auto" w:fill="auto"/>
            <w:vAlign w:val="center"/>
          </w:tcPr>
          <w:p w14:paraId="22A0589A">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42.9</w:t>
            </w:r>
          </w:p>
        </w:tc>
        <w:tc>
          <w:tcPr>
            <w:tcW w:w="1048" w:type="pct"/>
            <w:shd w:val="clear" w:color="auto" w:fill="auto"/>
            <w:vAlign w:val="center"/>
          </w:tcPr>
          <w:p w14:paraId="4E88A30D">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标的所属行业</w:t>
            </w:r>
          </w:p>
          <w:p w14:paraId="02B77B32">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（参照后附《工信部联企业〔2011〕300号》）</w:t>
            </w:r>
          </w:p>
        </w:tc>
        <w:tc>
          <w:tcPr>
            <w:tcW w:w="3434" w:type="pct"/>
            <w:shd w:val="clear" w:color="auto" w:fill="auto"/>
            <w:vAlign w:val="top"/>
          </w:tcPr>
          <w:p w14:paraId="744880A3">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本项目采购标的对应的中小企业划分标准所属行业：</w:t>
            </w:r>
          </w:p>
          <w:p w14:paraId="2A0FAD99">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p>
          <w:tbl>
            <w:tblPr>
              <w:tblStyle w:val="11"/>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11"/>
              <w:gridCol w:w="1689"/>
              <w:gridCol w:w="3011"/>
            </w:tblGrid>
            <w:tr w14:paraId="3F47B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5" w:type="pct"/>
                  <w:vAlign w:val="top"/>
                </w:tcPr>
                <w:p w14:paraId="576E99A2">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包号</w:t>
                  </w:r>
                </w:p>
              </w:tc>
              <w:tc>
                <w:tcPr>
                  <w:tcW w:w="1478" w:type="pct"/>
                  <w:vAlign w:val="top"/>
                </w:tcPr>
                <w:p w14:paraId="1FD8B842">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标的名称</w:t>
                  </w:r>
                </w:p>
              </w:tc>
              <w:tc>
                <w:tcPr>
                  <w:tcW w:w="2635" w:type="pct"/>
                  <w:vAlign w:val="top"/>
                </w:tcPr>
                <w:p w14:paraId="0641FAAE">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中小企业划分标准所属行业</w:t>
                  </w:r>
                </w:p>
              </w:tc>
            </w:tr>
            <w:tr w14:paraId="39451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5" w:type="pct"/>
                  <w:shd w:val="clear" w:color="auto" w:fill="auto"/>
                  <w:vAlign w:val="top"/>
                </w:tcPr>
                <w:p w14:paraId="7A2F0FED">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第1包</w:t>
                  </w:r>
                </w:p>
              </w:tc>
              <w:tc>
                <w:tcPr>
                  <w:tcW w:w="1478" w:type="pct"/>
                  <w:shd w:val="clear" w:color="auto" w:fill="auto"/>
                  <w:vAlign w:val="top"/>
                </w:tcPr>
                <w:p w14:paraId="08855EB8">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snapToGrid w:val="0"/>
                      <w:color w:val="000000"/>
                      <w:kern w:val="0"/>
                      <w:sz w:val="21"/>
                      <w:szCs w:val="21"/>
                      <w:lang w:val="en-US" w:eastAsia="en-US" w:bidi="ar-SA"/>
                    </w:rPr>
                  </w:pPr>
                </w:p>
              </w:tc>
              <w:tc>
                <w:tcPr>
                  <w:tcW w:w="2635" w:type="pct"/>
                  <w:shd w:val="clear" w:color="auto" w:fill="auto"/>
                  <w:vAlign w:val="top"/>
                </w:tcPr>
                <w:p w14:paraId="6502B29D">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snapToGrid w:val="0"/>
                      <w:color w:val="000000"/>
                      <w:kern w:val="0"/>
                      <w:sz w:val="21"/>
                      <w:szCs w:val="21"/>
                      <w:lang w:val="en-US" w:eastAsia="en-US" w:bidi="ar-SA"/>
                    </w:rPr>
                  </w:pPr>
                </w:p>
              </w:tc>
            </w:tr>
            <w:tr w14:paraId="692ED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5" w:type="pct"/>
                  <w:shd w:val="clear" w:color="auto" w:fill="auto"/>
                  <w:vAlign w:val="top"/>
                </w:tcPr>
                <w:p w14:paraId="0D5FE5AC">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第2包</w:t>
                  </w:r>
                </w:p>
              </w:tc>
              <w:tc>
                <w:tcPr>
                  <w:tcW w:w="1478" w:type="pct"/>
                  <w:shd w:val="clear" w:color="auto" w:fill="auto"/>
                  <w:vAlign w:val="top"/>
                </w:tcPr>
                <w:p w14:paraId="28CA95D2">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snapToGrid w:val="0"/>
                      <w:color w:val="000000"/>
                      <w:kern w:val="0"/>
                      <w:sz w:val="21"/>
                      <w:szCs w:val="21"/>
                      <w:lang w:val="en-US" w:eastAsia="en-US" w:bidi="ar-SA"/>
                    </w:rPr>
                  </w:pPr>
                </w:p>
              </w:tc>
              <w:tc>
                <w:tcPr>
                  <w:tcW w:w="2635" w:type="pct"/>
                  <w:shd w:val="clear" w:color="auto" w:fill="auto"/>
                  <w:vAlign w:val="top"/>
                </w:tcPr>
                <w:p w14:paraId="2FFEEEEF">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snapToGrid w:val="0"/>
                      <w:color w:val="000000"/>
                      <w:kern w:val="0"/>
                      <w:sz w:val="21"/>
                      <w:szCs w:val="21"/>
                      <w:lang w:val="en-US" w:eastAsia="en-US" w:bidi="ar-SA"/>
                    </w:rPr>
                  </w:pPr>
                </w:p>
              </w:tc>
            </w:tr>
            <w:tr w14:paraId="67AD4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5" w:type="pct"/>
                  <w:shd w:val="clear" w:color="auto" w:fill="auto"/>
                  <w:vAlign w:val="top"/>
                </w:tcPr>
                <w:p w14:paraId="029448BC">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w:t>
                  </w:r>
                </w:p>
              </w:tc>
              <w:tc>
                <w:tcPr>
                  <w:tcW w:w="1478" w:type="pct"/>
                  <w:shd w:val="clear" w:color="auto" w:fill="auto"/>
                  <w:vAlign w:val="top"/>
                </w:tcPr>
                <w:p w14:paraId="7F735EF3">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snapToGrid w:val="0"/>
                      <w:color w:val="000000"/>
                      <w:kern w:val="0"/>
                      <w:sz w:val="21"/>
                      <w:szCs w:val="21"/>
                      <w:lang w:val="en-US" w:eastAsia="en-US" w:bidi="ar-SA"/>
                    </w:rPr>
                  </w:pPr>
                </w:p>
              </w:tc>
              <w:tc>
                <w:tcPr>
                  <w:tcW w:w="2635" w:type="pct"/>
                  <w:shd w:val="clear" w:color="auto" w:fill="auto"/>
                  <w:vAlign w:val="top"/>
                </w:tcPr>
                <w:p w14:paraId="6A23D1F0">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snapToGrid w:val="0"/>
                      <w:color w:val="000000"/>
                      <w:kern w:val="0"/>
                      <w:sz w:val="21"/>
                      <w:szCs w:val="21"/>
                      <w:lang w:val="en-US" w:eastAsia="en-US" w:bidi="ar-SA"/>
                    </w:rPr>
                  </w:pPr>
                </w:p>
              </w:tc>
            </w:tr>
          </w:tbl>
          <w:p w14:paraId="5B05A0FA">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p>
        </w:tc>
      </w:tr>
      <w:tr w14:paraId="0BA2C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17" w:type="pct"/>
            <w:shd w:val="clear" w:color="auto" w:fill="auto"/>
            <w:vAlign w:val="center"/>
          </w:tcPr>
          <w:p w14:paraId="55FA9D22">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43.5</w:t>
            </w:r>
          </w:p>
        </w:tc>
        <w:tc>
          <w:tcPr>
            <w:tcW w:w="1048" w:type="pct"/>
            <w:shd w:val="clear" w:color="auto" w:fill="auto"/>
            <w:vAlign w:val="center"/>
          </w:tcPr>
          <w:p w14:paraId="681FC665">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优先采购创新节能环保产品</w:t>
            </w:r>
          </w:p>
        </w:tc>
        <w:tc>
          <w:tcPr>
            <w:tcW w:w="3434" w:type="pct"/>
            <w:shd w:val="clear" w:color="auto" w:fill="auto"/>
            <w:vAlign w:val="center"/>
          </w:tcPr>
          <w:p w14:paraId="786543AA">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所响应产品纳入创新产品应用示范推荐目录内企业、所响应产品获得节能产品或环境标志产品认证证书的供应商报价给予的价格扣除。</w:t>
            </w:r>
          </w:p>
        </w:tc>
      </w:tr>
      <w:tr w14:paraId="2010B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517" w:type="pct"/>
            <w:shd w:val="clear" w:color="auto" w:fill="auto"/>
            <w:vAlign w:val="center"/>
          </w:tcPr>
          <w:p w14:paraId="21FDE120">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47.1</w:t>
            </w:r>
          </w:p>
        </w:tc>
        <w:tc>
          <w:tcPr>
            <w:tcW w:w="1048" w:type="pct"/>
            <w:shd w:val="clear" w:color="auto" w:fill="auto"/>
            <w:vAlign w:val="center"/>
          </w:tcPr>
          <w:p w14:paraId="4B644786">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政府采购</w:t>
            </w:r>
          </w:p>
          <w:p w14:paraId="6E0F090A">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合同融资政策</w:t>
            </w:r>
          </w:p>
        </w:tc>
        <w:tc>
          <w:tcPr>
            <w:tcW w:w="3434" w:type="pct"/>
            <w:shd w:val="clear" w:color="auto" w:fill="auto"/>
            <w:vAlign w:val="top"/>
          </w:tcPr>
          <w:p w14:paraId="10F4FD8C">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1.有融资需求的成交人在获得政府采购成交通知书后，即可向开展“政采贷”业务的金融机构提出申请，金融机构依据政府采购成交通知书和政府采购合同，为中小微企业提供融资服务。</w:t>
            </w:r>
          </w:p>
          <w:p w14:paraId="6935CE49">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渠道和方式：【根据项目情况自行补充】。</w:t>
            </w:r>
          </w:p>
          <w:p w14:paraId="5279EA8B">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2.“政采贷”融资指引：在取得政府采购成交通知书后，可访问“兵团政采贷融资服务平台”，查看和联系第三方平台或者金融机构，商洽融资事项，确定融资意向。成交人签署政府采购成交合同后，登录“兵团政采贷融资服务平台”，选择意向产品进行申请，并填写相关信息，“兵团政采贷融资服务平台”将中标人融资申请信息推送第三方平台、意向金融机构</w:t>
            </w:r>
          </w:p>
        </w:tc>
      </w:tr>
      <w:tr w14:paraId="49569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17" w:type="pct"/>
            <w:shd w:val="clear" w:color="auto" w:fill="auto"/>
            <w:vAlign w:val="center"/>
          </w:tcPr>
          <w:p w14:paraId="5569260E">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48.1</w:t>
            </w:r>
          </w:p>
        </w:tc>
        <w:tc>
          <w:tcPr>
            <w:tcW w:w="1048" w:type="pct"/>
            <w:shd w:val="clear" w:color="auto" w:fill="auto"/>
            <w:vAlign w:val="center"/>
          </w:tcPr>
          <w:p w14:paraId="1CEEE5E9">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需要补充的其他内容</w:t>
            </w:r>
          </w:p>
        </w:tc>
        <w:tc>
          <w:tcPr>
            <w:tcW w:w="3434" w:type="pct"/>
            <w:shd w:val="clear" w:color="auto" w:fill="auto"/>
            <w:vAlign w:val="center"/>
          </w:tcPr>
          <w:p w14:paraId="59826853">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lang w:eastAsia="zh-CN"/>
              </w:rPr>
            </w:pPr>
            <w:r>
              <w:rPr>
                <w:rFonts w:hint="eastAsia" w:ascii="仿宋" w:hAnsi="仿宋" w:eastAsia="仿宋" w:cs="仿宋"/>
                <w:lang w:val="en-US" w:eastAsia="zh-CN"/>
              </w:rPr>
              <w:t>/</w:t>
            </w:r>
          </w:p>
        </w:tc>
      </w:tr>
      <w:tr w14:paraId="3D472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000" w:type="pct"/>
            <w:gridSpan w:val="3"/>
            <w:shd w:val="clear" w:color="auto" w:fill="auto"/>
            <w:vAlign w:val="center"/>
          </w:tcPr>
          <w:p w14:paraId="50B42697">
            <w:pPr>
              <w:keepNext w:val="0"/>
              <w:keepLines w:val="0"/>
              <w:pageBreakBefore w:val="0"/>
              <w:widowControl/>
              <w:numPr>
                <w:ilvl w:val="0"/>
                <w:numId w:val="6"/>
              </w:numPr>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除本竞争性磋商文件另有规定外，竞争性磋商文件中出现的类似于“近三年”或“前三年”、“近五年”或“前五年”均指递交响应文件时间以前三年或前五年，以此类推。如：递交响应文件时间为年月日，则“近三年”是指年月日至年月日。</w:t>
            </w:r>
          </w:p>
          <w:p w14:paraId="211F47F9">
            <w:pPr>
              <w:keepNext w:val="0"/>
              <w:keepLines w:val="0"/>
              <w:pageBreakBefore w:val="0"/>
              <w:widowControl/>
              <w:kinsoku w:val="0"/>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本竞争性磋商文件所称的“以上”、“以下”、“内”、“以内”，包括本数；所称的“不足”，不包括本数。</w:t>
            </w:r>
          </w:p>
        </w:tc>
      </w:tr>
    </w:tbl>
    <w:p w14:paraId="597938B2">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p>
    <w:p w14:paraId="0AE6A8E0">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sectPr>
          <w:headerReference r:id="rId7" w:type="default"/>
          <w:footerReference r:id="rId8" w:type="default"/>
          <w:pgSz w:w="11906" w:h="16839"/>
          <w:pgMar w:top="1440" w:right="1800" w:bottom="1440" w:left="1800" w:header="865" w:footer="1119" w:gutter="0"/>
          <w:pgNumType w:fmt="numberInDash" w:start="1"/>
          <w:cols w:space="720" w:num="1"/>
        </w:sectPr>
      </w:pPr>
    </w:p>
    <w:p w14:paraId="426C439C">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outlineLvl w:val="1"/>
        <w:rPr>
          <w:rFonts w:hint="eastAsia" w:ascii="仿宋" w:hAnsi="仿宋" w:eastAsia="仿宋" w:cs="仿宋"/>
        </w:rPr>
      </w:pPr>
      <w:bookmarkStart w:id="39" w:name="bookmark15"/>
      <w:bookmarkEnd w:id="39"/>
      <w:bookmarkStart w:id="40" w:name="_Toc14833"/>
      <w:r>
        <w:rPr>
          <w:rFonts w:hint="eastAsia" w:ascii="仿宋" w:hAnsi="仿宋" w:eastAsia="仿宋" w:cs="仿宋"/>
          <w:b/>
          <w:bCs/>
          <w:sz w:val="28"/>
          <w:szCs w:val="28"/>
        </w:rPr>
        <w:t>二、供应商须知</w:t>
      </w:r>
      <w:bookmarkEnd w:id="40"/>
    </w:p>
    <w:p w14:paraId="02656BDD">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textAlignment w:val="baseline"/>
        <w:outlineLvl w:val="4"/>
        <w:rPr>
          <w:rFonts w:hint="eastAsia" w:ascii="仿宋" w:hAnsi="仿宋" w:eastAsia="仿宋" w:cs="仿宋"/>
          <w:sz w:val="24"/>
          <w:szCs w:val="24"/>
        </w:rPr>
      </w:pPr>
      <w:bookmarkStart w:id="41" w:name="bookmark17"/>
      <w:bookmarkEnd w:id="41"/>
      <w:r>
        <w:rPr>
          <w:rFonts w:hint="eastAsia" w:ascii="仿宋" w:hAnsi="仿宋" w:eastAsia="仿宋" w:cs="仿宋"/>
          <w:sz w:val="24"/>
          <w:szCs w:val="24"/>
        </w:rPr>
        <w:t>（一）总则</w:t>
      </w:r>
    </w:p>
    <w:p w14:paraId="72957A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仿宋" w:hAnsi="仿宋" w:eastAsia="仿宋" w:cs="仿宋"/>
          <w:sz w:val="24"/>
          <w:szCs w:val="24"/>
        </w:rPr>
      </w:pPr>
      <w:r>
        <w:rPr>
          <w:rFonts w:hint="eastAsia" w:ascii="仿宋" w:hAnsi="仿宋" w:eastAsia="仿宋" w:cs="仿宋"/>
          <w:sz w:val="24"/>
          <w:szCs w:val="24"/>
        </w:rPr>
        <w:t>1.适用范围</w:t>
      </w:r>
    </w:p>
    <w:p w14:paraId="0B16F2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1.1本竞争性磋商文件（也称磋商文件或采购文件）仅适用于本次竞争性磋商中所述项目的采购活动。</w:t>
      </w:r>
    </w:p>
    <w:p w14:paraId="5FE73AE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仿宋" w:hAnsi="仿宋" w:eastAsia="仿宋" w:cs="仿宋"/>
          <w:sz w:val="24"/>
          <w:szCs w:val="24"/>
        </w:rPr>
      </w:pPr>
      <w:r>
        <w:rPr>
          <w:rFonts w:hint="eastAsia" w:ascii="仿宋" w:hAnsi="仿宋" w:eastAsia="仿宋" w:cs="仿宋"/>
          <w:sz w:val="24"/>
          <w:szCs w:val="24"/>
        </w:rPr>
        <w:t>2.基本定义</w:t>
      </w:r>
    </w:p>
    <w:p w14:paraId="620CCB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2.1根据《中华人民共和国政府采购法》及其实施条例等有关法律、法规和规章的规定，制定本竞争性磋商文件。</w:t>
      </w:r>
    </w:p>
    <w:p w14:paraId="2EFDFA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2.2采购人：指依法进行政府采购的国家机关、事业单位、团体组织。</w:t>
      </w:r>
    </w:p>
    <w:p w14:paraId="1E4B0C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2.3采购代理机构：指依法进行政府采购的国家机关、事业单位、团体组织委托的采购代理机构。</w:t>
      </w:r>
    </w:p>
    <w:p w14:paraId="3B30BC6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6EFAB4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2.5服务内容见“供应商须知前附表”。</w:t>
      </w:r>
    </w:p>
    <w:p w14:paraId="4987E2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2.6供应商（也称“申请人”）：指向采购人提供货物、工程或者服务的法人、其他组织或者自然人。分支机构不得参加政府采购活动，但银行、保险、石油石化、电力、电信等有行业特殊情况的除外。本项目的供应商须满足以下条件：</w:t>
      </w:r>
    </w:p>
    <w:p w14:paraId="0C5EF3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2.6.1具备《中华人民共和国政府采购法》第二十二条规定的条件，遵守本项目采购人本级和上级财政部门政府采购的有关规定。</w:t>
      </w:r>
    </w:p>
    <w:p w14:paraId="520442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2.6.2以竞争性磋商公告中发布的方式依法获得了本项目的竞争性磋商文件。</w:t>
      </w:r>
    </w:p>
    <w:p w14:paraId="13EBFD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2.6.3符合本磋商文件规定并参加磋商的供应商。</w:t>
      </w:r>
    </w:p>
    <w:p w14:paraId="2CE650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2.7潜在供应商：指符合本磋商文件规定的供应商。</w:t>
      </w:r>
    </w:p>
    <w:p w14:paraId="3B56A2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仿宋" w:hAnsi="仿宋" w:eastAsia="仿宋" w:cs="仿宋"/>
          <w:sz w:val="24"/>
          <w:szCs w:val="24"/>
        </w:rPr>
      </w:pPr>
      <w:r>
        <w:rPr>
          <w:rFonts w:hint="eastAsia" w:ascii="仿宋" w:hAnsi="仿宋" w:eastAsia="仿宋" w:cs="仿宋"/>
          <w:sz w:val="24"/>
          <w:szCs w:val="24"/>
        </w:rPr>
        <w:t>3.资金来源</w:t>
      </w:r>
    </w:p>
    <w:p w14:paraId="12D4B3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3.1资金来源：为财政性资金即纳入预算管理的资金。以财政性资金作为还款来源的借贷资金，视同财政性资金。财政性资金与非财政性资金无法分割采购的，统一适用《中华人民共和国政府采购法》及其实施条例。</w:t>
      </w:r>
    </w:p>
    <w:p w14:paraId="300715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仿宋" w:hAnsi="仿宋" w:eastAsia="仿宋" w:cs="仿宋"/>
          <w:sz w:val="24"/>
          <w:szCs w:val="24"/>
        </w:rPr>
      </w:pPr>
      <w:r>
        <w:rPr>
          <w:rFonts w:hint="eastAsia" w:ascii="仿宋" w:hAnsi="仿宋" w:eastAsia="仿宋" w:cs="仿宋"/>
          <w:sz w:val="24"/>
          <w:szCs w:val="24"/>
        </w:rPr>
        <w:t>4.供应商资格要求</w:t>
      </w:r>
    </w:p>
    <w:p w14:paraId="7E56ECE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4.1供应商资格要求：见“第一章竞争性磋商公告”；</w:t>
      </w:r>
    </w:p>
    <w:p w14:paraId="26F04B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4.2“第一章竞争性磋商公告”规定接受联合体磋商的，还应遵守以下规定：</w:t>
      </w:r>
    </w:p>
    <w:p w14:paraId="0A84AD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4.2.1两个以上的自然人、法人或者其他组织可以组成一个联合体，以一个供应商的身份共同参加政府采购。以联合体形式进行政府采购的，参加联合体的供应商均应当具备《政府采购法》第二十二条规定的条件。</w:t>
      </w:r>
    </w:p>
    <w:p w14:paraId="0AE9E9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4.2.2联合体各方应按竞争性磋商文件提供的格式签订联合体协议书，明确约定联合体各方承担的工作和相应的责任，并将联合体协议书作为响应文件的一部分提交，该协议书对联合体所有成员均具有法律约束力。</w:t>
      </w:r>
    </w:p>
    <w:p w14:paraId="35FDDA4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4.2.3联合体中有同类资质的供应商按照联合体分工承担相同工作的，应当按照资质等级较低的供应商确定资质等级。</w:t>
      </w:r>
    </w:p>
    <w:p w14:paraId="31E926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4.2.4以联合体形式参加政府采购活动的，联合体各方不得再单独参加或者与其他供应商另外组成联合体参加同一合同项下的磋商，否则相关响应将被认定为响应无效。</w:t>
      </w:r>
    </w:p>
    <w:p w14:paraId="0D3E13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4.2.5大中型企业、其他自然人、法人或者非法人组织与小型、微型企业组成联合体共同参加磋商的，联合体协议书中应写明小型、微型企业的合同金额占到联合体磋商合同总金额的比例。</w:t>
      </w:r>
    </w:p>
    <w:p w14:paraId="54CC3D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4.2.6联合体成交的，采购合同应由联合体各成员的合法授权代表签字及加盖联合体各成员公章，并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0E0B95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4.2.7联合体或其成员不得将其在合同项下的权利或义务全部或部分转让给第三人，有关分包事项须事先取得采购人书面同意并且须遵守相关法律、法规、本次磋商的全部相关规定。</w:t>
      </w:r>
    </w:p>
    <w:p w14:paraId="784935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仿宋" w:hAnsi="仿宋" w:eastAsia="仿宋" w:cs="仿宋"/>
          <w:sz w:val="24"/>
          <w:szCs w:val="24"/>
        </w:rPr>
      </w:pPr>
      <w:r>
        <w:rPr>
          <w:rFonts w:hint="eastAsia" w:ascii="仿宋" w:hAnsi="仿宋" w:eastAsia="仿宋" w:cs="仿宋"/>
          <w:sz w:val="24"/>
          <w:szCs w:val="24"/>
        </w:rPr>
        <w:t>4.2.8对联合体磋商的其他资格要求见“第一章竞争性磋商公告”中的“二、供应商的资格要求”。</w:t>
      </w:r>
    </w:p>
    <w:p w14:paraId="6C9EA2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仿宋" w:hAnsi="仿宋" w:eastAsia="仿宋" w:cs="仿宋"/>
          <w:sz w:val="24"/>
          <w:szCs w:val="24"/>
        </w:rPr>
      </w:pPr>
      <w:r>
        <w:rPr>
          <w:rFonts w:hint="eastAsia" w:ascii="仿宋" w:hAnsi="仿宋" w:eastAsia="仿宋" w:cs="仿宋"/>
          <w:sz w:val="24"/>
          <w:szCs w:val="24"/>
        </w:rPr>
        <w:t>5.费用承担</w:t>
      </w:r>
    </w:p>
    <w:p w14:paraId="239C7F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5.1不论磋商的结果如何，供应商应承担所有与准备和参加磋商有关的费用。</w:t>
      </w:r>
    </w:p>
    <w:p w14:paraId="00052E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仿宋" w:hAnsi="仿宋" w:eastAsia="仿宋" w:cs="仿宋"/>
          <w:sz w:val="24"/>
          <w:szCs w:val="24"/>
        </w:rPr>
      </w:pPr>
      <w:r>
        <w:rPr>
          <w:rFonts w:hint="eastAsia" w:ascii="仿宋" w:hAnsi="仿宋" w:eastAsia="仿宋" w:cs="仿宋"/>
          <w:sz w:val="24"/>
          <w:szCs w:val="24"/>
        </w:rPr>
        <w:t>6.保密</w:t>
      </w:r>
    </w:p>
    <w:p w14:paraId="68C06C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6.1参与磋商活动的各方应对竞争性磋商文件和响应文件中的商业和技术等秘密保密，否则应承担相应的法律责任。</w:t>
      </w:r>
    </w:p>
    <w:p w14:paraId="7CFEC9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6.2供应商自领取竞争性磋商文件之日起，须承担本竞争性磋商项目保密义务，不得将因本次竞争性磋商获得的信息向第三人外传。由采购人向供应商提供的图纸、详细资料、样品、模型、模件和所有其它资料，被视为保密资料，仅被用于它所规定的用途。除非得到采购人的同意，不能向任何第三方透露。竞争性磋商结束后，应采购人要求，供应商应归还所有从采购人处获得的保密资料。</w:t>
      </w:r>
    </w:p>
    <w:p w14:paraId="289C34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6.3采购代理机构有权将供应商提供的所有资料向有关政府部门或竞争性磋商的有关人员披露。</w:t>
      </w:r>
    </w:p>
    <w:p w14:paraId="19D65D2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6.4各级人民政府财政部门对政府采购活动进行监督检查，有权查阅、复制有关文件、资料，相关单位和人员应当予以配合。</w:t>
      </w:r>
    </w:p>
    <w:p w14:paraId="1B2EE2F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仿宋" w:hAnsi="仿宋" w:eastAsia="仿宋" w:cs="仿宋"/>
          <w:sz w:val="24"/>
          <w:szCs w:val="24"/>
        </w:rPr>
      </w:pPr>
      <w:r>
        <w:rPr>
          <w:rFonts w:hint="eastAsia" w:ascii="仿宋" w:hAnsi="仿宋" w:eastAsia="仿宋" w:cs="仿宋"/>
          <w:sz w:val="24"/>
          <w:szCs w:val="24"/>
        </w:rPr>
        <w:t>7.语言文字</w:t>
      </w:r>
    </w:p>
    <w:p w14:paraId="4146B85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7.1竞争性磋商文件及响应文件使用的语言文字为中文。专用术语使用外文的，应附有中文注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63DF9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仿宋" w:hAnsi="仿宋" w:eastAsia="仿宋" w:cs="仿宋"/>
          <w:sz w:val="24"/>
          <w:szCs w:val="24"/>
        </w:rPr>
      </w:pPr>
      <w:r>
        <w:rPr>
          <w:rFonts w:hint="eastAsia" w:ascii="仿宋" w:hAnsi="仿宋" w:eastAsia="仿宋" w:cs="仿宋"/>
          <w:sz w:val="24"/>
          <w:szCs w:val="24"/>
        </w:rPr>
        <w:t>8.计量单位</w:t>
      </w:r>
    </w:p>
    <w:p w14:paraId="07EB55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8.1所有计量均采用中华人民共和国法定计量单位。</w:t>
      </w:r>
    </w:p>
    <w:p w14:paraId="2E0562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仿宋" w:hAnsi="仿宋" w:eastAsia="仿宋" w:cs="仿宋"/>
          <w:sz w:val="24"/>
          <w:szCs w:val="24"/>
        </w:rPr>
      </w:pPr>
      <w:r>
        <w:rPr>
          <w:rFonts w:hint="eastAsia" w:ascii="仿宋" w:hAnsi="仿宋" w:eastAsia="仿宋" w:cs="仿宋"/>
          <w:sz w:val="24"/>
          <w:szCs w:val="24"/>
        </w:rPr>
        <w:t>9.现场考察和答疑会</w:t>
      </w:r>
    </w:p>
    <w:p w14:paraId="4E77ED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9.1“供应商须知前附表”规定组织现场考察的，采购代理机构按“供应商须知前附表”规定的时间、地点组织供应商项目现场考察。</w:t>
      </w:r>
    </w:p>
    <w:p w14:paraId="4FB627D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9.2供应商现场考察发生的费用自理。</w:t>
      </w:r>
    </w:p>
    <w:p w14:paraId="2A3CC32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9.3在现场考察中，因供应商自身原因发生的人员伤亡和财产损失，由供应商自行负责。</w:t>
      </w:r>
    </w:p>
    <w:p w14:paraId="2C88E95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9.4采购人在现场考察中介绍的项目场地和相关的周边环境情况，仅供供应商在编制响应文件时参考，采购人和采购代理机构不对供应商据此作出的判断和决策负责。</w:t>
      </w:r>
    </w:p>
    <w:p w14:paraId="610E4E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9.5“供应商须知前附表”规定召开答疑会的，采购代理机构按“供应商须知前附表”规定的时间和地点召开答疑会，澄清供应商提出的问题。</w:t>
      </w:r>
    </w:p>
    <w:p w14:paraId="49597C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9.6由于未参加现场考察或未参加答疑会而导致对项目实际情况不了解，影响响应文件编制、磋商报价准确性、综合因素响应不全面等问题的，由供应商自行承担不利评审后果。</w:t>
      </w:r>
    </w:p>
    <w:p w14:paraId="2AB0635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仿宋" w:hAnsi="仿宋" w:eastAsia="仿宋" w:cs="仿宋"/>
          <w:sz w:val="24"/>
          <w:szCs w:val="24"/>
        </w:rPr>
      </w:pPr>
      <w:r>
        <w:rPr>
          <w:rFonts w:hint="eastAsia" w:ascii="仿宋" w:hAnsi="仿宋" w:eastAsia="仿宋" w:cs="仿宋"/>
          <w:sz w:val="24"/>
          <w:szCs w:val="24"/>
        </w:rPr>
        <w:t>10.电子标说明</w:t>
      </w:r>
    </w:p>
    <w:p w14:paraId="5E57BF2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10.1本次采购采用电子交易方式，电子交易平台为兵团政府采购电子交易云平台（网址：https://www.zcygov.cn/）。供应商参与本项目电子交易活动前，应在政采云平台上注册供应商账号。编制电子响应文件前还需申领CA证书并绑定帐号。供应商应充分考虑完成平台注册、申领CA证书等所需的时间。潜在供应商领取文件须提前完成注册、CA证书和电子签章申领和绑定、下载投标客户端。因未办理CA数字证书、CA证书故障、操作不当等原因造成无法磋商或磋商失败等后果由供应商自行承担。供应商登录兵团政府采购网“供应商注册”—“新疆生产建设兵团政府采购供应商入驻登记”—“立即登记”进行自助注册绑定。</w:t>
      </w:r>
    </w:p>
    <w:p w14:paraId="7BD503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10.2供应商将兵团政府采购电子交易云平台电子交易客户端下载、安装完成后，可通过账号密码或CA登录客户端进行响应文件制作。在使用政采云投标客户端时，建议使用WIN7及以上操作系统。供应商登录兵团政府采购网“下载专区”—“电子招投标客户端下载”下载相关客户端，如有问题可拨打政采云客户服务热线95763进行咨询。</w:t>
      </w:r>
    </w:p>
    <w:p w14:paraId="6C943B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10.3加密的电子响应文件应在响应文件递交截止时间前通过政采云平台上传完成。逾期上传或者未上传指定地点的响应文件，不予受理。</w:t>
      </w:r>
    </w:p>
    <w:p w14:paraId="735010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10.4供应商在磋商前须提前配置好电脑及浏览器，磋商时请使用制作加密电子响应文件的CA锁进行解密及报价确认。本项目响应文件解密时间详“供应商须知前附表”，如因自身原因导致无法正常解密，后果由供应商自行承担。</w:t>
      </w:r>
    </w:p>
    <w:p w14:paraId="1AEF53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10.5如遇“兵团政府采购电子交易云平台（网址：https://www.zcygov.cn/）”电子交易规则调整，以最新要求为准。</w:t>
      </w:r>
    </w:p>
    <w:p w14:paraId="1754EBA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10.6电子交易系统咨询：供应商应当充分考虑到电子响应可能会发生的各种问题和风险，特别是响应文件签署、提交等问题，可按照“第一章竞争性磋商公告”的联系方式咨询相关人员。</w:t>
      </w:r>
    </w:p>
    <w:p w14:paraId="570FD6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10.7由于本项目采用电子磋商方式，潜在供应商的名单将在递交响应文件截止时间后才会解密。因此，采购人或采购代理机构无法通过传统的传真或邮件方式，将竞争性磋商文件的澄清或修改内容逐一通知到每位已获取竞争性磋商文件的潜在供应商。为确保信息的及时性和准确性，澄清或修改的内容将仅在政采云平台以更正公告的形式发布。潜在供应商需密切关注该网站，及时查看并下载相关更正公告。若因潜在供应商未能及时查看或下载相关更正公告，而导致的一切后果，将由潜在供应商自行承担。</w:t>
      </w:r>
    </w:p>
    <w:p w14:paraId="658B3AEC">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textAlignment w:val="baseline"/>
        <w:outlineLvl w:val="4"/>
        <w:rPr>
          <w:rFonts w:hint="eastAsia" w:ascii="仿宋" w:hAnsi="仿宋" w:eastAsia="仿宋" w:cs="仿宋"/>
          <w:sz w:val="24"/>
          <w:szCs w:val="24"/>
        </w:rPr>
      </w:pPr>
      <w:bookmarkStart w:id="42" w:name="bookmark19"/>
      <w:bookmarkEnd w:id="42"/>
      <w:r>
        <w:rPr>
          <w:rFonts w:hint="eastAsia" w:ascii="仿宋" w:hAnsi="仿宋" w:eastAsia="仿宋" w:cs="仿宋"/>
          <w:sz w:val="24"/>
          <w:szCs w:val="24"/>
        </w:rPr>
        <w:t>（二）磋商文件</w:t>
      </w:r>
    </w:p>
    <w:p w14:paraId="180821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仿宋" w:hAnsi="仿宋" w:eastAsia="仿宋" w:cs="仿宋"/>
          <w:sz w:val="24"/>
          <w:szCs w:val="24"/>
        </w:rPr>
      </w:pPr>
      <w:r>
        <w:rPr>
          <w:rFonts w:hint="eastAsia" w:ascii="仿宋" w:hAnsi="仿宋" w:eastAsia="仿宋" w:cs="仿宋"/>
          <w:sz w:val="24"/>
          <w:szCs w:val="24"/>
        </w:rPr>
        <w:t>11.磋商文件的构成</w:t>
      </w:r>
    </w:p>
    <w:p w14:paraId="5DDFF0A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第一章竞争性磋商公告第二章供应商须知</w:t>
      </w:r>
    </w:p>
    <w:p w14:paraId="5FD916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第三章采购需求</w:t>
      </w:r>
    </w:p>
    <w:p w14:paraId="7B8031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第四章评审方法及标准第五章合同草案</w:t>
      </w:r>
    </w:p>
    <w:p w14:paraId="1EAAE1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第六章响应文件的格式</w:t>
      </w:r>
    </w:p>
    <w:p w14:paraId="072D9C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12.磋商文件的澄清或修改</w:t>
      </w:r>
    </w:p>
    <w:p w14:paraId="0D011E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12.1供应商对采购项目有疑问的，可以按照“供应商须知前附表”中的规定提出询问。提出后，请供应商及时通过交易平台“答疑文件下载”栏目查看答疑文件或澄清文件。必要时，采购代理机构将组织相关专家召开答疑会，如召开，答疑会安排另行通知。采购人或采购代理机构将在收到询问后依法予以答复。对竞争性磋商文件询问的答复，在必要时将以澄清形式推送给每个获取竞争性磋商文件的潜在供应商(答复中不包括问题的来源)。</w:t>
      </w:r>
    </w:p>
    <w:p w14:paraId="3812CC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供应商在规定的时间内未对竞争性磋商文件提出疑问或要求澄清的，采购代理机构将视其为同意，对在“供应商须知前附表”中“提出询问的时间要求”之后就竞争性磋商文件内容提出的疑问及澄清要求将不予受理。</w:t>
      </w:r>
    </w:p>
    <w:p w14:paraId="7EC9A8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12.2采购人或者采购代理机构可以对已发出的竞争性磋商文件进行必要的澄清或者修改。澄清或修改的内容为竞争性磋商文件的组成部分，并对所有获取竞争性磋商文件的潜在供应商具有约束力。</w:t>
      </w:r>
    </w:p>
    <w:p w14:paraId="3B6F98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12.3竞争性磋商文件的澄清或者修改以当面交接、邮寄、传真或电子邮件、网站披露等其中至少一种方式，发给所有领取竞争性磋商文件的供应商，但不包括问题的来源。对磋商文件澄清或者修改的内容可能影响响应文件编制的，采购人、采购代理机构或者磋商小组应当在提交首次响应文件截止之日5日前，以书面形式通知所有接收竞争性磋商文件的供应商，不足5日的，应当顺延提交首次响应文件的截止时间。</w:t>
      </w:r>
    </w:p>
    <w:p w14:paraId="0B83C1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12.4“供应商须知”所称“书面形式”包括系统消息、政府采购云平台发布的公告。</w:t>
      </w:r>
    </w:p>
    <w:p w14:paraId="7AB1CC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12.5采购代理机构一旦对竞争性磋商文件作出了澄清、修改，即刻发生效力，采购代理机构有关的澄清、修改文件，将作为竞争性磋商文件的组成部分，对所有现实的或潜在的供应商均具有约束力，而无论是否已经实际收到上述文件。同时，采购代理机构和供应商的权利及义务将受到新的截止期的约束。</w:t>
      </w:r>
    </w:p>
    <w:p w14:paraId="286843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12.6采购代理机构对竞争性磋商文件作出的澄清、修改在平台内进行披露，请供应商及时关注并获取相关资料。因登记有误、线路故障或其它任何意外情形，导致供应商未及时获取的，采购代理机构不因此承担任何责任，且有关的磋商活动继续有效地进行。当竞争性磋商文件的澄清、修改及进行其他答复等就同一内容的表述不一致时，以最后发布的内容为准。</w:t>
      </w:r>
    </w:p>
    <w:p w14:paraId="1C0C12AA">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textAlignment w:val="baseline"/>
        <w:outlineLvl w:val="4"/>
        <w:rPr>
          <w:rFonts w:hint="eastAsia" w:ascii="仿宋" w:hAnsi="仿宋" w:eastAsia="仿宋" w:cs="仿宋"/>
          <w:sz w:val="24"/>
          <w:szCs w:val="24"/>
        </w:rPr>
      </w:pPr>
      <w:bookmarkStart w:id="43" w:name="bookmark21"/>
      <w:bookmarkEnd w:id="43"/>
      <w:r>
        <w:rPr>
          <w:rFonts w:hint="eastAsia" w:ascii="仿宋" w:hAnsi="仿宋" w:eastAsia="仿宋" w:cs="仿宋"/>
          <w:sz w:val="24"/>
          <w:szCs w:val="24"/>
        </w:rPr>
        <w:t>（三）响应文件</w:t>
      </w:r>
    </w:p>
    <w:p w14:paraId="1230B3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13.响应文件的组成</w:t>
      </w:r>
    </w:p>
    <w:p w14:paraId="549503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13.1供应商应完整地按竞争性磋商文件提供的响应文件格式及要求编写响应文件，具体内容详见“第六章响应文件的格式”的相关内容。</w:t>
      </w:r>
    </w:p>
    <w:p w14:paraId="60B02DC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13.2供应商应提交竞争性磋商文件要求的证明文件，证明其响应内容符合竞争性磋商文件规定，该证明文件是响应文件的一部分。证明文件形式可以是文字资料、图纸和数据等。</w:t>
      </w:r>
    </w:p>
    <w:p w14:paraId="2B0370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13.3为保证公平公正，除非本磋商文件另有规定或说明，供应商对同一项目响应时，不得同时提供备选响应方案。</w:t>
      </w:r>
    </w:p>
    <w:p w14:paraId="10FE9F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14.磋商报价</w:t>
      </w:r>
    </w:p>
    <w:p w14:paraId="5D3332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14.1磋商供应商的报价均应以人民币报价。磋商报价包括磋商供应商在首次提交的响应文件中的报价、磋商过程中的报价和最后报价，且均不得超过“第一章竞争性磋商公告”中规定的最高限价或者预算金额，否则其响应文件将被视为无效文件。</w:t>
      </w:r>
    </w:p>
    <w:p w14:paraId="298908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14.2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无效文件。</w:t>
      </w:r>
    </w:p>
    <w:p w14:paraId="0183C7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14.3供应商的报价应包括为完成本项目所发生的一切费用和税费，采购人将不再支付报价以外的任何费用。只要投报了一个确定数额的总价，无论分项价格是否全部填报了相应的金额或免费字样，报价应被视为已经包含了但并不限于本次招标全部采购需求所应提供的服务，以及伴随的货物和工程等的费用和所需缴纳的所有价格、税、费。在其他情况下，由于分项报价填报不完整、不清楚或存在其他任何失误，所导致的任何不利后果均应当由投标人自行承担。</w:t>
      </w:r>
    </w:p>
    <w:p w14:paraId="59A49BE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14.4供应商的报价应包括但不限于按照竞争性磋商文件要求完成本项目的全部相关费用。</w:t>
      </w:r>
    </w:p>
    <w:p w14:paraId="4DD7A2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14.5供应商须严格按照分项报价表规定的内容填写服务单价以及其他事项。供应商应根据本竞争性磋商文件的规定和要求、市场价格水平及其走势、供应商的管理水平、供应商的方案和由这些因素决定的供应商之于本项目的成本水平等提出自己的报价。报价应合理，并包含完成本竞争性磋商文件采购需求全部内容的所有费用，所有根据本竞争性磋商文件或其它原因应由供应商支付的税款和其他应交纳的费用都应包括在供应商提交的响应报价中。</w:t>
      </w:r>
    </w:p>
    <w:p w14:paraId="035418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14.6供应商在响应文件中注明免费的项目将视为包含在报价中。</w:t>
      </w:r>
    </w:p>
    <w:p w14:paraId="44FB619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14.7每一种采购内容只允许有一个报价，否则其响应文件将被视为无效文件。除非磋商文件另有规定，不接受可选择或可调整的磋商方案和报价，任何有选择的或可调整的磋商方案和报价将被视为非响应性磋商而被拒绝。</w:t>
      </w:r>
    </w:p>
    <w:p w14:paraId="3A7E93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14.8供应商对磋商报价若有说明应在响应文件中显著处注明。</w:t>
      </w:r>
    </w:p>
    <w:p w14:paraId="274987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除政策性文件规定以外，供应商所报价格在合同实施期间不因市场变化因素而变动。</w:t>
      </w:r>
    </w:p>
    <w:p w14:paraId="55B9AF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14.9最低报价不能作为成交的保证。</w:t>
      </w:r>
    </w:p>
    <w:p w14:paraId="7406E1A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14.10采购人不得向供应商索要或者接受其给予的赠品、回扣或者与采购无关的其他商品、服务。</w:t>
      </w:r>
    </w:p>
    <w:p w14:paraId="10A6E0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14.11供应商不能提供任何有选择性或可调整的报价（磋商文件另有规定的除外），否则其响应无效。</w:t>
      </w:r>
    </w:p>
    <w:p w14:paraId="0B6DED6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15.响应文件有效期</w:t>
      </w:r>
    </w:p>
    <w:p w14:paraId="7A5C92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15.1供应商提交的响应文件有效期见“供应商须知前附表”，磋商供应商承诺的响应文件有效期少于磋商文件规定期限的，其响应无效。</w:t>
      </w:r>
    </w:p>
    <w:p w14:paraId="29C8A74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15.2响应文件有效期从递交响应文件的截止之日起算。响应文件中承诺的有效期应当不少于竞争性磋商文件中载明的响应文件有效期。响应文件有效期内供应商撤销响应文件的，采购人或者采购代理机构可以不退还磋商保证金。</w:t>
      </w:r>
    </w:p>
    <w:p w14:paraId="57C2AB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15.3特殊情况下，在原响应文件有效期截止之前，采购代理机构或采购人可要求供应商延长响应文件有效期。需要延长响应文件有效期时，采购代理机构或采购人将以书面形式通知所有磋商供应商，供应商应以书面形式答复是否同意</w:t>
      </w:r>
    </w:p>
    <w:p w14:paraId="04F366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延长响应文件有效期。</w:t>
      </w:r>
    </w:p>
    <w:p w14:paraId="33C22A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15.4供应商同意延长的，其磋商保证金的有效期也相应延长，不得要求或被允许修改或撤销其响应文件；供应商拒绝延长的，其响应文件在原响应文件有效期满后将不再有效，但其提交的磋商保证金可予以退还。</w:t>
      </w:r>
    </w:p>
    <w:p w14:paraId="37DE56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16.响应文件的编制</w:t>
      </w:r>
    </w:p>
    <w:p w14:paraId="311D2F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16.1响应文件应在供应商客户端中进行编制，在响应文件中要求加盖印章的，除有特殊说明之外，可使用电子签章签署。</w:t>
      </w:r>
    </w:p>
    <w:p w14:paraId="4A3A7A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16.2供应商在供应商客户端中按照供应商客户端中的格式要求填写响应内容后，生成响应文件。供应商须按照竞争性磋商文件的要求使用电子签章对要求加盖印章的部分逐一进行签章。</w:t>
      </w:r>
    </w:p>
    <w:p w14:paraId="435CAB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16.3供应商应详细阅读竞争性磋商文件的全部内容。响应文件须对竞争性磋商文件中的内容作出实质性和完整的响应，如果响应文件填报的内容不详，或没有提供竞争性磋商文件中所要求的全部资料及数据，将可能导致其响应无效。</w:t>
      </w:r>
    </w:p>
    <w:p w14:paraId="3F2383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16.4响应文件须严格按照本竞争性磋商文件第六章规定的格式提交，并按规定的统一格式逐项填写，不准有空项；无相应内容可填的项，应填写“无”、“未测试”、“没有相应指标”等明确的回答文字。由于编排混乱导致响应文件被误读或查找不到，其责任由供应商承担。</w:t>
      </w:r>
    </w:p>
    <w:p w14:paraId="25E53F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16.5供应商须注意：为合理节约政府采购评审成本，提倡诚实信用的磋商行为，特别要求供应商应本着诚信精神，在本次响应文件的偏离表中，均以审慎的态度明确、清楚地披露各项偏离。若供应商对某一事项是否存在或是否属于偏离不能确定，亦必须在偏离表中清楚地表明该偏离事项，并可以注明不能确定的字样。任何情况下，对于供应商没有在偏离表中明确、清楚地披露的事项，包括可能属于被供应商在偏离表中遗漏披露的事项，一旦在评审中被发现存在偏离或被认定为属于偏离，则评审委员会有权视具体情形评审时予以处理，将可能导致响应无效。</w:t>
      </w:r>
    </w:p>
    <w:p w14:paraId="391973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16.6供应商必须保证响应文件所提供的全部资料真实可靠，并接受采购人、采购代理机构或评审委员会对其中任何资料进一步审查的要求。</w:t>
      </w:r>
    </w:p>
    <w:p w14:paraId="31C27B2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16.7供应商在响应文件及相关文件的签订、履行、通知等事项的文件中的单位盖章、印章、公章等处均指与当事人全称相一致的标准公章，不得使用其他形式（如带有“专用章”等字样的印章）。不符合本条规定的按无效响应处理。</w:t>
      </w:r>
    </w:p>
    <w:p w14:paraId="39BACF6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16.8电子响应文件的编制</w:t>
      </w:r>
    </w:p>
    <w:p w14:paraId="524C61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16.8.1电子响应文件需按竞争性磋商文件要求进行制作编制。响应文件制作时，不同内容按标签提示制作导入，按照竞争性磋商文件中明确的响应文件目录和格式进行编制，保证目录清晰、内容完整。</w:t>
      </w:r>
    </w:p>
    <w:p w14:paraId="226926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16.8.2电子磋商文件及响应文件具有法律效力，与其他形式的磋商文件及响应文件在内容和格式上等同，若响应文件与竞争性磋商文件要求不一致，其内容影响成交结果时，责任由供应商自行承担。供应商递交的电子响应文件因供应商自身原因而导致无法导入电子辅助评标系统，该响应文件视为无效响应文件，其响应无效。</w:t>
      </w:r>
      <w:bookmarkStart w:id="44" w:name="bookmark23"/>
      <w:bookmarkEnd w:id="44"/>
    </w:p>
    <w:p w14:paraId="07F6FDD4">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textAlignment w:val="baseline"/>
        <w:outlineLvl w:val="4"/>
        <w:rPr>
          <w:rFonts w:hint="eastAsia" w:ascii="仿宋" w:hAnsi="仿宋" w:eastAsia="仿宋" w:cs="仿宋"/>
          <w:sz w:val="24"/>
          <w:szCs w:val="24"/>
        </w:rPr>
      </w:pPr>
      <w:r>
        <w:rPr>
          <w:rFonts w:hint="eastAsia" w:ascii="仿宋" w:hAnsi="仿宋" w:eastAsia="仿宋" w:cs="仿宋"/>
          <w:sz w:val="24"/>
          <w:szCs w:val="24"/>
        </w:rPr>
        <w:t>（四）响应文件的递交</w:t>
      </w:r>
    </w:p>
    <w:p w14:paraId="73149F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17.磋商保证金</w:t>
      </w:r>
    </w:p>
    <w:p w14:paraId="4BE07E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17.1供应商应按照竞争性磋商文件“供应商须知前附表”规定的金额及要求交纳磋商保证金。供应商自愿超额缴纳磋商保证金的，响应文件不做无效处理。</w:t>
      </w:r>
    </w:p>
    <w:p w14:paraId="37F1FA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17.2交纳磋商保证金可采用的形式：政府采购法律法规接受的支票、汇票、本票、网上银行支付或者金融机构、担保机构出具的保函等非现金形式。未按磋商文件要求提交磋商保证金的，其响应无效。磋商保证金有效期同响应文件有效期。</w:t>
      </w:r>
    </w:p>
    <w:p w14:paraId="60811B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17.3磋商保证金到账（保函提交）截止时间同响应文件递交截止时间。以支票、汇票、本票、网上银行支付等形式提交磋商保证金的，应在响应文件递交截止时间前到账；以金融机构、担保机构出具的保函等形式提交磋商保证金的，应在响应文件递交截止时间前将磋商保证金支付原件扫描后作为响应文件的组成部分与响应文件一起上传。由于到账时间晚于响应文件递交截止时间，或者票据错误、印鉴不清等原因导致不能到账的，其响应无效。</w:t>
      </w:r>
    </w:p>
    <w:p w14:paraId="22C3EA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17.4供应商为联合体的，可以由联合体中的一方或者多方共同交纳磋商保证金，其交纳的磋商保证金对联合体各方均具有约束力。</w:t>
      </w:r>
    </w:p>
    <w:p w14:paraId="6EA210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17.5采购人或者采购代理机构应当在采购活动结束后及时退还供应商的磋商保证金，采用银行保函、担保机构担保函等形式递交的磋商保证金，经供应商同意后采购人、采购代理机构可以不再退还，但因供应商自身原因导致无法及时退还的除外。未成交供应商的磋商保证金应当自成交通知书发出之日起5个工作日内退还，成交供应商的磋商保证金应当自采购合同签订之日起5个工作日内退还。</w:t>
      </w:r>
    </w:p>
    <w:p w14:paraId="572599E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17.6供应商在响应文件递交截止时间前撤回已提交的响应文件的，自收到供应商书面撤回通知之日起5个工作日内，退还已收取的磋商保证金，但因供应商自身原因导致无法及时退还的除外。</w:t>
      </w:r>
    </w:p>
    <w:p w14:paraId="78F286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17.7终止磋商的项目已经收取磋商保证金的，自终止采购活动后5个工作日内退还已收取的磋商保证金及其在银行产生的孳息。</w:t>
      </w:r>
    </w:p>
    <w:p w14:paraId="6E6AC87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17.8有下列情形之一的，磋商保证金不予退还,情节严重的将其列入不良记录名单：</w:t>
      </w:r>
    </w:p>
    <w:p w14:paraId="4E97DF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17.8.1供应商在提交响应文件截止时间后撤回响应文件的；</w:t>
      </w:r>
    </w:p>
    <w:p w14:paraId="60A302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17.8.2供应商在响应文件中提供虚假材料的；</w:t>
      </w:r>
    </w:p>
    <w:p w14:paraId="6409BC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17.8.3除因不可抗力或磋商文件认可的情形以外，成交供应商不与采购人签订合同的；</w:t>
      </w:r>
    </w:p>
    <w:p w14:paraId="723318D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17.8.4供应商与采购人、其他供应商或者采购代理机构恶意串通的；</w:t>
      </w:r>
    </w:p>
    <w:p w14:paraId="75022B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17.8.5磋商文件规定的其他情形。</w:t>
      </w:r>
    </w:p>
    <w:p w14:paraId="478E5CA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17.9如开启时供应商对本单位磋商保证金缴纳情况有疑义，供应商应在开启结束前向采购人提交书面申请核实保证金缴纳情况。由银行或保险公司核实后出具书面材料予以答复。</w:t>
      </w:r>
    </w:p>
    <w:p w14:paraId="64859A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17.10为支持和促进中小企业发展，进一步发挥政府采购政策功能，鼓励供应商使用电子保函代替现金缴纳磋商保证金，在线完成保函的申请、审核、开票、出函等环节，供应商企业注意区分办理保函类型，并确认响应文件有效期，如采用政采云电子保函，可登录“兵团政府采购网”—顶部通栏“信用融资”或者“兵团政府采购网”首页“政采贷｜电子保函”快捷模块查看：</w:t>
      </w:r>
    </w:p>
    <w:p w14:paraId="0D5AD7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直达链接（电子保函）：</w:t>
      </w:r>
    </w:p>
    <w:p w14:paraId="6AD32B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"https://jinrong.zcygov.cn/luban/finance/xinjiang?utm=site.site-PC" </w:instrText>
      </w:r>
      <w:r>
        <w:rPr>
          <w:rFonts w:hint="eastAsia" w:ascii="仿宋" w:hAnsi="仿宋" w:eastAsia="仿宋" w:cs="仿宋"/>
          <w:sz w:val="24"/>
          <w:szCs w:val="24"/>
        </w:rPr>
        <w:fldChar w:fldCharType="separate"/>
      </w:r>
      <w:r>
        <w:rPr>
          <w:rFonts w:hint="eastAsia" w:ascii="仿宋" w:hAnsi="仿宋" w:eastAsia="仿宋" w:cs="仿宋"/>
          <w:sz w:val="24"/>
          <w:szCs w:val="24"/>
        </w:rPr>
        <w:t>https://jinrong.zcygov.cn/luban/finance/xinjiang?utm=site.site-PC</w:t>
      </w:r>
      <w:r>
        <w:rPr>
          <w:rFonts w:hint="eastAsia" w:ascii="仿宋" w:hAnsi="仿宋" w:eastAsia="仿宋" w:cs="仿宋"/>
          <w:sz w:val="24"/>
          <w:szCs w:val="24"/>
        </w:rPr>
        <w:fldChar w:fldCharType="end"/>
      </w:r>
      <w:r>
        <w:rPr>
          <w:rFonts w:hint="eastAsia" w:ascii="仿宋" w:hAnsi="仿宋" w:eastAsia="仿宋" w:cs="仿宋"/>
          <w:sz w:val="24"/>
          <w:szCs w:val="24"/>
        </w:rPr>
        <w:t>-4838.1473-pc-wsg-customFloatWindow-front.1.b9d627301e6311efb796b33a13fe0d0a</w:t>
      </w:r>
    </w:p>
    <w:p w14:paraId="163C1B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金融服务支撑热线：0991-2661159</w:t>
      </w:r>
    </w:p>
    <w:p w14:paraId="6561D3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18.响应文件的加密</w:t>
      </w:r>
    </w:p>
    <w:p w14:paraId="03B4546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18.1供应商在供应商客户端中生成响应文件并完成签章之后，使用CA证书在供应商客户端中对响应文件进行加密。</w:t>
      </w:r>
    </w:p>
    <w:p w14:paraId="3E852E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18.2供应商应在供应商客户端中对加密的响应文件进行解密验证，以防止响应文件加密异常，在开启时无法解密。</w:t>
      </w:r>
    </w:p>
    <w:p w14:paraId="086323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18.3供应商应保证加密响应文件的CA证书有效期在开启时间之前。若CA证书有效期临近开启时间，建议供应商提前办理CA证书续期，以免开启时无法进行解密。</w:t>
      </w:r>
    </w:p>
    <w:p w14:paraId="543BC4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18.4供应商在响应文件递交截止时间前通过兵团政府采购网（http://ccgp-bingtuan.gov.cn/）的”政采云登录入口”登录后，将加密电子响应文件（为.jmbs后缀格式）上传到对应项目的指定位置，供应商认为有必要提交的其他资料请于响应文件递交截止时间前一并提交。</w:t>
      </w:r>
    </w:p>
    <w:p w14:paraId="61702F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18.5如果供应商未按上述要求加密并上传，采购代理机构对响应文件的误投、无法解密、传输错误等问题概不负责。对由此造成无法正常开启的响应文件，采购代理机构有权予以拒绝，并退回供应商。</w:t>
      </w:r>
    </w:p>
    <w:p w14:paraId="1F761F6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18.6本项目采用不见面开启方式，无需提供电子响应文件U盘。</w:t>
      </w:r>
    </w:p>
    <w:p w14:paraId="40D3E7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19.响应文件的递交（上传）</w:t>
      </w:r>
    </w:p>
    <w:p w14:paraId="4A71F64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19.1供应商应在“第一章竞争性磋商公告”规定的响应文件递交截止时间前递交（上传）响应文件。</w:t>
      </w:r>
    </w:p>
    <w:p w14:paraId="348137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19.2供应商递交（上传）响应文件的地点见“第一章竞争性磋商公告”。</w:t>
      </w:r>
    </w:p>
    <w:p w14:paraId="1C13450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19.3供应商应充分评估集中同时递交响应文件带来的网络影响，尽量避开递交响应文件高峰时间，错峰进行递交。供应商递交全部的响应文件后可在政采云平台（项目采购—投标文件上传）中获取响应文件递交回执单。</w:t>
      </w:r>
    </w:p>
    <w:p w14:paraId="382D27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19.4供应商应在供应商客户端中下载未加密且完成签章的响应文件妥善保存，以便启动应急开启程序时使用。</w:t>
      </w:r>
    </w:p>
    <w:p w14:paraId="688A7D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19.5供应商所递交的响应文件不予退还。</w:t>
      </w:r>
    </w:p>
    <w:p w14:paraId="7D6E0E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20.拒收</w:t>
      </w:r>
    </w:p>
    <w:p w14:paraId="1A4FB1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20.1超过递交响应文件的截止时间或者不按照本章要求加密的响应文件，交易系统应当拒收。</w:t>
      </w:r>
    </w:p>
    <w:p w14:paraId="5EF3CA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21.响应文件的修改与撤回</w:t>
      </w:r>
    </w:p>
    <w:p w14:paraId="2E7368D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21.1供应商在“第一章竞争性磋商公告”规定的响应文件递交截止时间之前，可在兵团政府采购电子交易云平台上随时撤回已上传的电子响应文件，将修改好的电子响应文件在响应文件递交截止时间前重新上传到兵团政府采购电子交易云平台的指定位置。</w:t>
      </w:r>
    </w:p>
    <w:p w14:paraId="15E51E2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22.实物样品</w:t>
      </w:r>
    </w:p>
    <w:p w14:paraId="24F404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22.1“供应商须知前附表”要求提供样品的，样品的具体要求及评审详见“第三章采购需求”和“第四章评审方法及标准”。</w:t>
      </w:r>
    </w:p>
    <w:p w14:paraId="128970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22.2样品退还：未成交的供应商应按照“供应商须知前附表”要求自行联系采购人取回递交样品；成交供应商的样品由采购人进行保管、封存，并作为履约验收的参考（竞争性磋商文件另有规定的从其规定）。</w:t>
      </w:r>
    </w:p>
    <w:p w14:paraId="51B5FA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bookmarkStart w:id="45" w:name="bookmark29"/>
      <w:bookmarkEnd w:id="45"/>
      <w:r>
        <w:rPr>
          <w:rFonts w:hint="eastAsia" w:ascii="仿宋" w:hAnsi="仿宋" w:eastAsia="仿宋" w:cs="仿宋"/>
          <w:sz w:val="24"/>
          <w:szCs w:val="24"/>
        </w:rPr>
        <w:t>23.项目演示</w:t>
      </w:r>
    </w:p>
    <w:p w14:paraId="5205B8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23.1要求供应商进行演示的，演示要求详见“供应商须知前附表”。</w:t>
      </w:r>
    </w:p>
    <w:p w14:paraId="1C91A09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23.2演示的评审详见“第三章采购需求”和“第四章评审方法及标准”</w:t>
      </w:r>
    </w:p>
    <w:p w14:paraId="34DBEA0C">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textAlignment w:val="baseline"/>
        <w:outlineLvl w:val="4"/>
        <w:rPr>
          <w:rFonts w:hint="eastAsia" w:ascii="仿宋" w:hAnsi="仿宋" w:eastAsia="仿宋" w:cs="仿宋"/>
          <w:sz w:val="24"/>
          <w:szCs w:val="24"/>
        </w:rPr>
      </w:pPr>
      <w:bookmarkStart w:id="46" w:name="bookmark25"/>
      <w:bookmarkEnd w:id="46"/>
      <w:r>
        <w:rPr>
          <w:rFonts w:hint="eastAsia" w:ascii="仿宋" w:hAnsi="仿宋" w:eastAsia="仿宋" w:cs="仿宋"/>
          <w:sz w:val="24"/>
          <w:szCs w:val="24"/>
        </w:rPr>
        <w:t>（五）响应文件开启</w:t>
      </w:r>
    </w:p>
    <w:p w14:paraId="65C3478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24.响应文件开启</w:t>
      </w:r>
    </w:p>
    <w:p w14:paraId="527384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24.1供应商应按照“第一章竞争性磋商公告”中的要求参与开启。</w:t>
      </w:r>
    </w:p>
    <w:p w14:paraId="7BB572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25.开启时间和地点</w:t>
      </w:r>
    </w:p>
    <w:p w14:paraId="577AD9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25.1开启时间和地点</w:t>
      </w:r>
    </w:p>
    <w:p w14:paraId="101E6E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（1）递交响应文件截止时间前，供应商登录供应商客户端，通过供应商客户端进入交易系统“开标大厅”选择所投项目（或采购包）完成项目签到工作。</w:t>
      </w:r>
    </w:p>
    <w:p w14:paraId="22C547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（2）在“第一章竞争性磋商公告”规定的递交响应文件截止时间、开启时间及地点，采购代理机构通过兵团政府采购电子交易云平台的“政采云远程开标大厅”组织响应文件开启工作。</w:t>
      </w:r>
    </w:p>
    <w:p w14:paraId="01B90F7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25.2响应文件开启：递交响应文件截止时间到后，工作人员启动开始解密指令，供应商应当按照“供应商须知前附表”规定及时进行响应文件解密，完成响应文件开启工作。</w:t>
      </w:r>
    </w:p>
    <w:p w14:paraId="6BE748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25.3规定的时间内，非因兵团政府采购电子交易云平台原因造成响应文件未解密的，视为供应商撤回响应文件。停止解密后，已解密开启的响应文件不足</w:t>
      </w:r>
    </w:p>
    <w:p w14:paraId="6E24BE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3家的，应当终止采购活动。</w:t>
      </w:r>
    </w:p>
    <w:p w14:paraId="416FB4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25.4供应商或其授权代表对响应文件开启过程有疑义的，以及认为采购人、采购代理机构相关工作人员有需要回避的情形的，应在开启会议中提出询问或者回避申请。采购人、采购代理机构对供应商授权代表提出的询问或者回避申请应当及时处理。</w:t>
      </w:r>
    </w:p>
    <w:p w14:paraId="0834BF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rPr>
        <w:t>25.5供应商未参加开启的，视同认可开启结果。</w:t>
      </w:r>
    </w:p>
    <w:p w14:paraId="65AAAB27">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textAlignment w:val="baseline"/>
        <w:outlineLvl w:val="4"/>
        <w:rPr>
          <w:rFonts w:hint="eastAsia" w:ascii="仿宋" w:hAnsi="仿宋" w:eastAsia="仿宋" w:cs="仿宋"/>
          <w:sz w:val="24"/>
          <w:szCs w:val="24"/>
        </w:rPr>
      </w:pPr>
      <w:r>
        <w:rPr>
          <w:rFonts w:hint="eastAsia" w:ascii="仿宋" w:hAnsi="仿宋" w:eastAsia="仿宋" w:cs="仿宋"/>
          <w:sz w:val="24"/>
          <w:szCs w:val="24"/>
        </w:rPr>
        <w:t>（六）资格审查</w:t>
      </w:r>
    </w:p>
    <w:p w14:paraId="666591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26.资格审查及审查主体</w:t>
      </w:r>
    </w:p>
    <w:p w14:paraId="74FAFC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26.1开启结束后，磋商小组依据法律法规和本竞争性磋商文件的规定，依法对供应商资格进行审查，以确定供应商是否具备磋商资格。</w:t>
      </w:r>
    </w:p>
    <w:p w14:paraId="0A1F44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26.2资格审查按“第四章评审方法及标准”的规定进行。</w:t>
      </w:r>
    </w:p>
    <w:p w14:paraId="6FDEAC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26.3资格审查结束后，应及时对资格审查结果进行复核，对资格审查错误进行及时纠正并记录。</w:t>
      </w:r>
    </w:p>
    <w:p w14:paraId="6872A3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26.4资格审查合格供应商不足3家的，不得评审。</w:t>
      </w:r>
    </w:p>
    <w:p w14:paraId="35B797FE">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textAlignment w:val="baseline"/>
        <w:outlineLvl w:val="4"/>
        <w:rPr>
          <w:rFonts w:hint="eastAsia" w:ascii="仿宋" w:hAnsi="仿宋" w:eastAsia="仿宋" w:cs="仿宋"/>
          <w:sz w:val="24"/>
          <w:szCs w:val="24"/>
        </w:rPr>
      </w:pPr>
      <w:r>
        <w:rPr>
          <w:rFonts w:hint="eastAsia" w:ascii="仿宋" w:hAnsi="仿宋" w:eastAsia="仿宋" w:cs="仿宋"/>
          <w:sz w:val="24"/>
          <w:szCs w:val="24"/>
        </w:rPr>
        <w:t>（七）项目评审</w:t>
      </w:r>
    </w:p>
    <w:p w14:paraId="276A57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27.评审方法、程序及标准</w:t>
      </w:r>
    </w:p>
    <w:p w14:paraId="4C7482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27.1评审方法：综合评分法。</w:t>
      </w:r>
    </w:p>
    <w:p w14:paraId="2ACA82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综合评分法，是指响应文件满足磋商文件全部实质性要求且按评审因素的量化指标评审得分最高的供应商为成交候选供应商的评审方法。</w:t>
      </w:r>
    </w:p>
    <w:p w14:paraId="254B63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本项目评审方法、程序及标准详见“第四章评审方法及标准”。</w:t>
      </w:r>
    </w:p>
    <w:p w14:paraId="50F1435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27.2磋商准备：供应商应当按照“第二章供应商须知”的要求提前准备好磋商所需的设备，确保设备稳定可靠、互联网畅通。供应商登录供应商客户端，通过供应商客户端进入交易系统“开标大厅”，准时参加在线磋商，按照工作人员提示进行相关操作。未按上述要求进行的，导致的后果由供应商自行承担。</w:t>
      </w:r>
    </w:p>
    <w:p w14:paraId="770ECF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28.磋商小组</w:t>
      </w:r>
    </w:p>
    <w:p w14:paraId="539CC4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28.1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48D4DF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28.2磋商小组成员有下列情形之一的，应当回避：</w:t>
      </w:r>
    </w:p>
    <w:p w14:paraId="4C343A5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（1）参加采购活动前3年内与磋商供应商存在劳动关系；</w:t>
      </w:r>
    </w:p>
    <w:p w14:paraId="094E35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（2）参加采购活动前3年内担任磋商供应商的董事、监事；</w:t>
      </w:r>
    </w:p>
    <w:p w14:paraId="5900B3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（3）参加采购活动前3年内是磋商供应商的控股股东或者实际控制人；</w:t>
      </w:r>
    </w:p>
    <w:p w14:paraId="0C2A5B3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（4）与磋商供应商的法定代表人或者负责人有夫妻、直系血亲、三代以内旁系血亲或者近姻亲关系；</w:t>
      </w:r>
    </w:p>
    <w:p w14:paraId="6FCB8B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（5）与磋商供应商有其他可能影响采购活动公平、公正进行的关系。</w:t>
      </w:r>
    </w:p>
    <w:p w14:paraId="1A10DA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29.评审</w:t>
      </w:r>
    </w:p>
    <w:p w14:paraId="79672B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29.1磋商小组按照“第四章评审方法及标准”的规定对响应文件进行评审。“第四章评审方法及标准”没有规定的方法、评审因素和标准，不作为评审依据。</w:t>
      </w:r>
    </w:p>
    <w:p w14:paraId="75E99C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29.2磋商小组按“供应商须知前附表”规定的成交候选人数量在评审报告中向采购人推荐成交候选人。</w:t>
      </w:r>
    </w:p>
    <w:p w14:paraId="20B9F1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29.3开启之后，直到签订合同止，凡是属于审查、澄清、评价和比较磋商的有关资料以及确定成交意向等，均不得向供应商或者其他与评审无关的人员透露。</w:t>
      </w:r>
    </w:p>
    <w:p w14:paraId="35AE8D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29.4在确定成交人之前，供应商试图在响应文件审查、澄清、比较和评审时对磋商小组、采购人和采购代理机构施加任何影响都可能导致其响应无效。</w:t>
      </w:r>
    </w:p>
    <w:p w14:paraId="598721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29.5电子招投标的应急措施</w:t>
      </w:r>
    </w:p>
    <w:p w14:paraId="42B53E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29.5.1电子开启、评审如出现下列原因，导致系统无法正常运行或无法正常评审时，应采取应急措施。</w:t>
      </w:r>
    </w:p>
    <w:p w14:paraId="3AFA28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（1）系统服务器发生故障，无法访问或无法使用系统；</w:t>
      </w:r>
    </w:p>
    <w:p w14:paraId="10A3B1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（2）系统的软件或数据库出现错误，不能进行正常操作；</w:t>
      </w:r>
    </w:p>
    <w:p w14:paraId="301BD7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（3）系统发现有安全漏洞，有潜在的泄密危险；</w:t>
      </w:r>
    </w:p>
    <w:p w14:paraId="577E7E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（4）病毒发作或受到外来病毒的攻击；</w:t>
      </w:r>
    </w:p>
    <w:p w14:paraId="7AD1CE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（5）出现其他不可抗拒的客观原因造成开评标系统无法正常使用。</w:t>
      </w:r>
    </w:p>
    <w:p w14:paraId="113FF1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出现上述情况时，应对未开启的暂停开启。已在系统内开启、评审的立即停止。采取应急措施时，必须对原有资料及信息作出妥善保密处理。</w:t>
      </w:r>
    </w:p>
    <w:p w14:paraId="16B910C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29.5.2因系统原因导致供应商均无法解密电子响应文件时，采购代理机构可在开启现场直接导入供应商在递交响应文件截止时间前递交的未加密的电子响应文件进行开启、评审。</w:t>
      </w:r>
    </w:p>
    <w:p w14:paraId="56BB76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29.6供应商瑕疵滞后发现的处理规则</w:t>
      </w:r>
    </w:p>
    <w:p w14:paraId="7059B3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29.6.1无论基于何种原因，各项本应作拒绝处理的情形即便未被及时发现而使该供应商进入初审、综合评审或其他后续程序，包括已经签订合同的情形，一旦供应商被拒绝或该供应商的此前评议结果被取消，其现有的位置将被其他供应商依序替代，相关的一切损失均由该供应商承担。</w:t>
      </w:r>
    </w:p>
    <w:p w14:paraId="2C4446D7">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textAlignment w:val="baseline"/>
        <w:outlineLvl w:val="4"/>
        <w:rPr>
          <w:rFonts w:hint="eastAsia" w:ascii="仿宋" w:hAnsi="仿宋" w:eastAsia="仿宋" w:cs="仿宋"/>
          <w:sz w:val="24"/>
          <w:szCs w:val="24"/>
        </w:rPr>
      </w:pPr>
      <w:r>
        <w:rPr>
          <w:rFonts w:hint="eastAsia" w:ascii="仿宋" w:hAnsi="仿宋" w:eastAsia="仿宋" w:cs="仿宋"/>
          <w:sz w:val="24"/>
          <w:szCs w:val="24"/>
        </w:rPr>
        <w:t>（八）成交</w:t>
      </w:r>
    </w:p>
    <w:p w14:paraId="4B6479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30.确定成交供应商</w:t>
      </w:r>
    </w:p>
    <w:p w14:paraId="0454DF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30.1确定成交供应商详见”供应商须知前附表”。</w:t>
      </w:r>
    </w:p>
    <w:p w14:paraId="3B62AD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3D9D5A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31.成交结果公告</w:t>
      </w:r>
    </w:p>
    <w:p w14:paraId="0B14CAD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31.1采购人或者采购代理机构应当在成交供应商确定后2个工作日内，在省级以上财政部门指定的政府采购信息发布媒体上公告成交结果，磋商文件、成交供应商的评审总得分随成交结果同时公告。</w:t>
      </w:r>
    </w:p>
    <w:p w14:paraId="7C4FE7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31.2成交人为中小企业享受中小企业扶持政策的，其“中小企业声明函”随成交结果同时公告。成交人为残疾人福利性单位的，其“残疾人福利性单位声明函”随成交结果同时公告。</w:t>
      </w:r>
    </w:p>
    <w:p w14:paraId="6893CA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32.成交通知书</w:t>
      </w:r>
    </w:p>
    <w:p w14:paraId="19A238A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32.1发布成交结果公告同时向成交供应商发出成交通知书。成交通知书是合同的组成部分,对成交供应商和采购人具有同等法律效力。</w:t>
      </w:r>
    </w:p>
    <w:p w14:paraId="50EC2610">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textAlignment w:val="baseline"/>
        <w:outlineLvl w:val="4"/>
        <w:rPr>
          <w:rFonts w:hint="eastAsia" w:ascii="仿宋" w:hAnsi="仿宋" w:eastAsia="仿宋" w:cs="仿宋"/>
          <w:sz w:val="24"/>
          <w:szCs w:val="24"/>
        </w:rPr>
      </w:pPr>
      <w:bookmarkStart w:id="47" w:name="bookmark27"/>
      <w:bookmarkEnd w:id="47"/>
      <w:bookmarkStart w:id="48" w:name="bookmark33"/>
      <w:bookmarkEnd w:id="48"/>
      <w:r>
        <w:rPr>
          <w:rFonts w:hint="eastAsia" w:ascii="仿宋" w:hAnsi="仿宋" w:eastAsia="仿宋" w:cs="仿宋"/>
          <w:sz w:val="24"/>
          <w:szCs w:val="24"/>
        </w:rPr>
        <w:t>（九）签订合同</w:t>
      </w:r>
    </w:p>
    <w:p w14:paraId="4EA286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33.履约保证金</w:t>
      </w:r>
    </w:p>
    <w:p w14:paraId="745506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33.1在签订合同前，成交供应商应按“供应商须知前附表”规定的金额、担保形式和采购人认可的履约担保格式向采购人提交履约保证金。</w:t>
      </w:r>
    </w:p>
    <w:p w14:paraId="69ACE0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33.2成交供应商不能按本章第33.1项要求提交履约担保的，视为放弃成交，给采购人造成损失的，成交供应商还应当承担民事责任。</w:t>
      </w:r>
    </w:p>
    <w:p w14:paraId="0E8731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34.签订合同</w:t>
      </w:r>
    </w:p>
    <w:p w14:paraId="22E3B9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34.1采购人与成交供应商应当在成交通知书发出之日起25日内，按照磋商文件确定的合同文本以及采购标的、规格型号、采购金额、采购数量、技术和服务要求等事项签订政府采购合同。采购人因不可抗力原因迟延签订合同的，应当自不可抗力事由消除之日起7日内完成合同签订事宜。所签订的合同不得对磋商文件和成交供应商响应文件作实质性修改。成交人无正当理由拒签合同，给采购人造成损失的，成交人还应当承担民事责任。</w:t>
      </w:r>
    </w:p>
    <w:p w14:paraId="184EB1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34.2成交供应商拒绝签订政府采购合同的，采购人可以按照《政府采购竞争性磋商采购方式管理暂行办法》（财库〔2014〕214号）第二十八条第二款的规定确定其他供应商作为成交供应商并签订政府采购合同，也可以重新开展采购活动。拒绝签订政府采购合同的成交供应商不得参加对该项目重新开展的采购活动。</w:t>
      </w:r>
    </w:p>
    <w:p w14:paraId="32ACD9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34.3采购人和成交供应商不得向对方提出任何不合理的要求，作为签订合同的条件，双方不得私下订立背离合同实质性内容的协议。</w:t>
      </w:r>
    </w:p>
    <w:p w14:paraId="633816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34.4联合体成交的，联合体各方应当共同与采购人签订合同，就采购合同约定的事项向采购人承担连带责任。</w:t>
      </w:r>
    </w:p>
    <w:p w14:paraId="2947C5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34.5本项目的非主体、非关键性工作是否允许分包，见“供应商须知前附表”。供应商未遵守竞争性磋商文件分包规定的，其响应无效。采购人允许采用分包方式履行合同的，成交供应商可以依法在成交后将成交项目的非主体、非关键性工作采取分包方式履行合同。政府采购合同分包履行的，应当在响应文件中载明分包承担主体，分包承担主体应当具备相应资质条件且不得再次分包，否则成交无效。成交供应商就采购项目和分包项目向采购人负责，分包供应商就分包项目承担责任。政府采购合同不能转包。</w:t>
      </w:r>
    </w:p>
    <w:p w14:paraId="22D5C8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34.6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0125717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34.7采购人应于签订合同之日起2个工作日内在政采云平台备案公示。</w:t>
      </w:r>
    </w:p>
    <w:p w14:paraId="51BEA0AB">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textAlignment w:val="baseline"/>
        <w:outlineLvl w:val="4"/>
        <w:rPr>
          <w:rFonts w:hint="eastAsia" w:ascii="仿宋" w:hAnsi="仿宋" w:eastAsia="仿宋" w:cs="仿宋"/>
          <w:sz w:val="24"/>
          <w:szCs w:val="24"/>
        </w:rPr>
      </w:pPr>
      <w:bookmarkStart w:id="49" w:name="bookmark35"/>
      <w:bookmarkEnd w:id="49"/>
      <w:r>
        <w:rPr>
          <w:rFonts w:hint="eastAsia" w:ascii="仿宋" w:hAnsi="仿宋" w:eastAsia="仿宋" w:cs="仿宋"/>
          <w:sz w:val="24"/>
          <w:szCs w:val="24"/>
        </w:rPr>
        <w:t>（十）质疑和投诉</w:t>
      </w:r>
    </w:p>
    <w:p w14:paraId="3A43C14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35.质疑</w:t>
      </w:r>
    </w:p>
    <w:p w14:paraId="0FD231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35.1供应商认为磋商文件、评审过程、成交结果使自己的权益受到损害的，可以在知道或者应知其权益受到损害之日起7个工作日内，以书面形式向采购人、采购代理机构提出质疑，详见“供应商须知前附表”。供应商在法定质疑期内一次性提出针对同一采购程序环节的质疑。</w:t>
      </w:r>
    </w:p>
    <w:p w14:paraId="30D9D4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35.2提出质疑的供应商（以下简称质疑供应商）应当是参与所质疑项目采购活动的供应商。</w:t>
      </w:r>
    </w:p>
    <w:p w14:paraId="7F367D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35.3潜在供应商已依法获取其可质疑的磋商文件的，可以对该文件提出质疑。对磋商文件提出质疑的，应当在获取磋商文件或者磋商文件公告期限届满之日起7个工作日内提出。</w:t>
      </w:r>
    </w:p>
    <w:p w14:paraId="0F53FF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35.4供应商提出质疑应当提交质疑函和必要的证明材料。质疑函应当包括下列内容：</w:t>
      </w:r>
    </w:p>
    <w:p w14:paraId="0804DD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（1）供应商的姓名或者名称、地址、邮编、联系人及联系电话；</w:t>
      </w:r>
    </w:p>
    <w:p w14:paraId="03729F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（2）质疑项目的名称、编号；</w:t>
      </w:r>
    </w:p>
    <w:p w14:paraId="1512E3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（3）具体、明确的质疑事项和与质疑事项相关的请求；</w:t>
      </w:r>
    </w:p>
    <w:p w14:paraId="6A6590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（4）事实依据；</w:t>
      </w:r>
    </w:p>
    <w:p w14:paraId="7062D2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（5）必要的法律依据；</w:t>
      </w:r>
    </w:p>
    <w:p w14:paraId="15A1E3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（6）提出质疑的日期。</w:t>
      </w:r>
    </w:p>
    <w:p w14:paraId="22E7A06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供应商为自然人的，应当由本人签字；供应商为法人或者其他组织的，应当由法定代表人、主要负责人，或者其授权代表签字或者盖章，并加盖公章。</w:t>
      </w:r>
    </w:p>
    <w:p w14:paraId="49D395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35.5质疑函不符合上述要求的，采购人或代理机构应书面告知具体事项，质疑人应当按要求进行修改或补充，并在质疑有效期限内提交。</w:t>
      </w:r>
    </w:p>
    <w:p w14:paraId="710DC3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35.6供应商进行虚假和恶意质疑投诉的，采购代理机构将提请有关部门将其列入不良记录名单，在一至三年内禁止参加政府采购活动，并将处理决定在相关政府采购媒体上公布。</w:t>
      </w:r>
    </w:p>
    <w:p w14:paraId="29184C8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35.7质疑函应当使用中文，并采用财政部门制定的范本。</w:t>
      </w:r>
    </w:p>
    <w:p w14:paraId="0B9D82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36.质疑答复</w:t>
      </w:r>
    </w:p>
    <w:p w14:paraId="1A03A7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36.1采购人、采购代理机构不得拒收质疑供应商在法定质疑期内发出的质疑函，应当在收到质疑函后7个工作日内作出答复，并以书面形式通知质疑供应商和其他有关供应商。</w:t>
      </w:r>
    </w:p>
    <w:p w14:paraId="250FD4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36.2供应商对评审过程、成交结果提出质疑的，采购人、采购代理机构可以组织原竞争性磋商小组协助答复质疑。</w:t>
      </w:r>
    </w:p>
    <w:p w14:paraId="7DD020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质疑答复应当包括下列内容：</w:t>
      </w:r>
    </w:p>
    <w:p w14:paraId="2536F9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（1）质疑供应商的姓名或者名称；</w:t>
      </w:r>
    </w:p>
    <w:p w14:paraId="00D9E9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（2）收到质疑函的日期、质疑项目名称及编号；</w:t>
      </w:r>
    </w:p>
    <w:p w14:paraId="1E5263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（3）质疑事项、质疑答复的具体内容、事实依据和法律依据；</w:t>
      </w:r>
    </w:p>
    <w:p w14:paraId="197B06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（4）告知质疑供应商依法投诉的权利；</w:t>
      </w:r>
    </w:p>
    <w:p w14:paraId="5B39A1B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（5）质疑答复人名称；</w:t>
      </w:r>
    </w:p>
    <w:p w14:paraId="20716A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（6）答复质疑的日期。</w:t>
      </w:r>
    </w:p>
    <w:p w14:paraId="619F24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36.3质疑答复的内容不得涉及商业秘密。</w:t>
      </w:r>
    </w:p>
    <w:p w14:paraId="03D9D6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37.投诉</w:t>
      </w:r>
    </w:p>
    <w:p w14:paraId="4CAC02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37.1质疑供应商对采购人、采购代理机构的答复不满意，或者采购人、采购代理机构未在规定时间内作出答复的，可以在答复期满后15个工作日内向同级政府采购监督管理部门提起投诉。</w:t>
      </w:r>
    </w:p>
    <w:p w14:paraId="3D4A3F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37.2投诉人投诉时,应当提交投诉书和必要的证明材料，并按照被投诉采购人、采购代理机构（以下简称被投诉人）和与投诉事项有关的供应商数量提供投诉书的副本。投诉书应当包括下列内容：</w:t>
      </w:r>
    </w:p>
    <w:p w14:paraId="5B2C28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（1）投诉人和被投诉人的姓名或者名称、通讯地址、邮编、联系人及联系电话；</w:t>
      </w:r>
    </w:p>
    <w:p w14:paraId="4A228A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（2）质疑和质疑答复情况说明及相关证明材料；</w:t>
      </w:r>
    </w:p>
    <w:p w14:paraId="25C6AD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（3）具体、明确的投诉事项和与投诉事项相关的投诉请求；</w:t>
      </w:r>
    </w:p>
    <w:p w14:paraId="687406F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（4）事实依据；</w:t>
      </w:r>
    </w:p>
    <w:p w14:paraId="1FCBA18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（5）法律依据；</w:t>
      </w:r>
    </w:p>
    <w:p w14:paraId="4B5AC9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（6）提起投诉的日期。</w:t>
      </w:r>
    </w:p>
    <w:p w14:paraId="1EFC9D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投诉人为自然人的，应当由本人签字；投诉人为法人或者其他组织的，应当由法定代表人、主要负责人，或者其授权代表签字或者盖章，并加盖公章。</w:t>
      </w:r>
    </w:p>
    <w:p w14:paraId="5B574A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37.3供应商质疑、投诉应当有明确的请求和必要的证明材料。供应商投诉的事项不得超出已质疑事项的范围，但基于质疑答复内容提出的投诉事项除外。</w:t>
      </w:r>
    </w:p>
    <w:p w14:paraId="0C911E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37.4投诉书应当使用中文，并采用财政部门制定的范本。</w:t>
      </w:r>
    </w:p>
    <w:p w14:paraId="41C2314D">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textAlignment w:val="baseline"/>
        <w:outlineLvl w:val="4"/>
        <w:rPr>
          <w:rFonts w:hint="eastAsia" w:ascii="仿宋" w:hAnsi="仿宋" w:eastAsia="仿宋" w:cs="仿宋"/>
          <w:sz w:val="24"/>
          <w:szCs w:val="24"/>
        </w:rPr>
      </w:pPr>
      <w:r>
        <w:rPr>
          <w:rFonts w:hint="eastAsia" w:ascii="仿宋" w:hAnsi="仿宋" w:eastAsia="仿宋" w:cs="仿宋"/>
          <w:sz w:val="24"/>
          <w:szCs w:val="24"/>
        </w:rPr>
        <w:t>（十一）采购代理服务费</w:t>
      </w:r>
    </w:p>
    <w:p w14:paraId="5EEB81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38.收取方式和标准</w:t>
      </w:r>
    </w:p>
    <w:p w14:paraId="514E87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38.1采购代理机构按“供应商须知前附表”规定的方式和标准收取采购代理服务费。</w:t>
      </w:r>
    </w:p>
    <w:p w14:paraId="0E32FE33">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textAlignment w:val="baseline"/>
        <w:outlineLvl w:val="4"/>
        <w:rPr>
          <w:rFonts w:hint="eastAsia" w:ascii="仿宋" w:hAnsi="仿宋" w:eastAsia="仿宋" w:cs="仿宋"/>
          <w:sz w:val="24"/>
          <w:szCs w:val="24"/>
        </w:rPr>
      </w:pPr>
      <w:bookmarkStart w:id="50" w:name="bookmark39"/>
      <w:bookmarkEnd w:id="50"/>
      <w:r>
        <w:rPr>
          <w:rFonts w:hint="eastAsia" w:ascii="仿宋" w:hAnsi="仿宋" w:eastAsia="仿宋" w:cs="仿宋"/>
          <w:sz w:val="24"/>
          <w:szCs w:val="24"/>
        </w:rPr>
        <w:t>（十二）无效响应和终止采购活动</w:t>
      </w:r>
    </w:p>
    <w:p w14:paraId="7ABA402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39.无效响应</w:t>
      </w:r>
    </w:p>
    <w:p w14:paraId="059932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39.1响应文件存在“第四章评审方法及标准”规定的响应无效情形的，做无效响应处理。</w:t>
      </w:r>
    </w:p>
    <w:p w14:paraId="7E329F8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40.终止采购活动</w:t>
      </w:r>
    </w:p>
    <w:p w14:paraId="5D6DF2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40.1出现下列情形之一的，应当终止竞争性磋商采购活动，发布项目终止公告并说明原因，重新开展采购活动：</w:t>
      </w:r>
    </w:p>
    <w:p w14:paraId="15B340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（1）因情况变化，不再符合规定的竞争性磋商采购方式适用情形的；</w:t>
      </w:r>
    </w:p>
    <w:p w14:paraId="40A905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（2）出现影响采购公正的违法、违规行为的；</w:t>
      </w:r>
    </w:p>
    <w:p w14:paraId="2D51E1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在采购过程中符合要求的供应商或者报价未超过采购预算的供应商不足3家的（市场竞争不充分的科研项目、需要扶持的科技成果转化项目以及政府购买服务项目&lt;含政府和社会资本合作项目&gt;）的提交最后报价的供应商可以为2家）。</w:t>
      </w:r>
    </w:p>
    <w:p w14:paraId="2385995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40.2在采购活动中因重大变故，采购任务取消的，采购人或者采购代理机构应当终止采购活动，通知所有参加采购活动的供应商，并将项目实施情况和采购任务取消原因报送本级财政部门。</w:t>
      </w:r>
    </w:p>
    <w:p w14:paraId="143EFB42">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textAlignment w:val="baseline"/>
        <w:outlineLvl w:val="4"/>
        <w:rPr>
          <w:rFonts w:hint="eastAsia" w:ascii="仿宋" w:hAnsi="仿宋" w:eastAsia="仿宋" w:cs="仿宋"/>
          <w:sz w:val="24"/>
          <w:szCs w:val="24"/>
        </w:rPr>
      </w:pPr>
      <w:bookmarkStart w:id="51" w:name="bookmark41"/>
      <w:bookmarkEnd w:id="51"/>
      <w:r>
        <w:rPr>
          <w:rFonts w:hint="eastAsia" w:ascii="仿宋" w:hAnsi="仿宋" w:eastAsia="仿宋" w:cs="仿宋"/>
          <w:sz w:val="24"/>
          <w:szCs w:val="24"/>
        </w:rPr>
        <w:t>（十三）落实政府采购政策（包括但不限于下列具体政策要求）</w:t>
      </w:r>
    </w:p>
    <w:p w14:paraId="226F65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41.支持国产和进口产品审批</w:t>
      </w:r>
    </w:p>
    <w:p w14:paraId="5D8FF0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41.1除“供应商须知前附表”另有规定外，政府采购应当采购本国货物、</w:t>
      </w:r>
    </w:p>
    <w:p w14:paraId="78F255C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工程和服务，确需采购进口产品的，采购人应当按照《政府采购进口产品管理办法》（财库〔2007〕119号文）、《关于政府采购进口产品管理有关问题的通知》（财办库〔2008〕248号）规定执行进口产品审批制，科研院所监管部门另有规定的从其规定。项目若涉及采购进口产品的，具体要求详见“第三章采购需求”。</w:t>
      </w:r>
    </w:p>
    <w:p w14:paraId="6455B5A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41.2进口产品指通过中国海关报关验放进入中国境内且产自关境外的产品，包括已经进入中国境内的进口产品。</w:t>
      </w:r>
    </w:p>
    <w:p w14:paraId="378EB4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41.3若采购需求中写明允许采购进口产品，供应商应保证所响应产品可履行合法报通关手续进入中国关境内。</w:t>
      </w:r>
    </w:p>
    <w:p w14:paraId="77C367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41.4若采购需求中未写明允许采购进口产品，如供应商所响应产品为进口产品，其响应将被认定为响应无效。</w:t>
      </w:r>
    </w:p>
    <w:p w14:paraId="367B06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42.中小企业、监狱企业及残疾人福利性单位</w:t>
      </w:r>
    </w:p>
    <w:p w14:paraId="3B00CE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号）等国务院批准的中小企业划分标准执行。</w:t>
      </w:r>
    </w:p>
    <w:p w14:paraId="49F6242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42.2为促进中小企业发展，依据《关于印发&lt;政府采购促进中小企业发展管理办法&gt;的通知》（财库〔2020〕46号）、《财政部司法部关于政府采购支持监狱企业发展有关问题的通知》（财库〔2014〕68号）、《关于促进残疾人就业政府采购政策的通知》（财库〔2017〕141号）的规定，本项目供应商如需享受中小企业相关政策的，且符合上述文件规定的，应按本磋商文件规定格式提供“中小企业声明函”或“监狱企业证明文件”或“残疾人福利性单位声明函”，评审时，磋商小组将依据本磋商文件“供应商须知前附表”规定的报价扣除比例，对供应商报价进行价格扣除，用扣除后的价格参与评审；磋商公告中明确项目专门面向中小企业采购的，“中小企业声明函”为资格要求文件，供应商参与磋商须按本磋商文件规定格式提供“中小企业声明函”或“监狱企业证明文件”或“残疾人福利性单位声明函”等作为资格证明文件。</w:t>
      </w:r>
    </w:p>
    <w:p w14:paraId="6B5765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42.3供应商提供的货物、工程或者服务符合下列情形的，享受中小企业扶</w:t>
      </w:r>
      <w:bookmarkStart w:id="52" w:name="bookmark126"/>
      <w:bookmarkEnd w:id="52"/>
      <w:r>
        <w:rPr>
          <w:rFonts w:hint="eastAsia" w:ascii="仿宋" w:hAnsi="仿宋" w:eastAsia="仿宋" w:cs="仿宋"/>
          <w:sz w:val="24"/>
          <w:szCs w:val="24"/>
        </w:rPr>
        <w:t>持政策：</w:t>
      </w:r>
    </w:p>
    <w:p w14:paraId="2BABA7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42.3.1在货物采购项目中，货物由中小企业制造，即货物由中小企业生产且使用该中小企业商号或者注册商标；</w:t>
      </w:r>
    </w:p>
    <w:p w14:paraId="5B41AA6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42.3.2在工程采购项目中，工程由中小企业承建，即工程施工单位为中小企业；</w:t>
      </w:r>
    </w:p>
    <w:p w14:paraId="2495504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42.3.3在服务采购项目中，服务由中小企业承接，即提供服务的人员为中小企业依照《中华人民共和国劳动合同法》订立劳动合同的从业人员。</w:t>
      </w:r>
    </w:p>
    <w:p w14:paraId="2E759E5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42.4在货物采购项目中，供应商提供的货物既有中小企业制造货物，也有大型企业制造货物的，不享受中小企业扶持政策。</w:t>
      </w:r>
    </w:p>
    <w:p w14:paraId="220B0F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42.5以联合体形式参加政府采购活动，联合体各方均为中小企业的，联合体视同中小企业。其中，联合体各方均为小微企业的，联合体视同小微企业。</w:t>
      </w:r>
    </w:p>
    <w:p w14:paraId="0D7BAC4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42.6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99A20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42.7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BE056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42.7.1安置的残疾人占本单位在职职工人数的比例不低于25%（含25%），并且安置的残疾人人数不少于10人（含10人）；</w:t>
      </w:r>
    </w:p>
    <w:p w14:paraId="24DE730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42.7.2依法与安置的每位残疾人签订了1年以上（含1年）的劳动合同或服务协议；</w:t>
      </w:r>
    </w:p>
    <w:p w14:paraId="5370226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42.7.3为安置的每位残疾人按月足额缴纳了基本养老保险、基本医疗保险、失业保险、工伤保险和生育保险等社会保险费；</w:t>
      </w:r>
    </w:p>
    <w:p w14:paraId="51E9847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42.7.4通过银行等金融机构向安置的每位残疾人，按月支付了不低于单位所在区县适用的经省级人民政府批准的月最低工资标准的工资；</w:t>
      </w:r>
    </w:p>
    <w:p w14:paraId="3976A0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bookmarkStart w:id="53" w:name="bookmark127"/>
      <w:bookmarkEnd w:id="53"/>
      <w:r>
        <w:rPr>
          <w:rFonts w:hint="eastAsia" w:ascii="仿宋" w:hAnsi="仿宋" w:eastAsia="仿宋" w:cs="仿宋"/>
          <w:sz w:val="24"/>
          <w:szCs w:val="24"/>
        </w:rPr>
        <w:t>42.7.5提供本单位制造的货物、承担的工程或者服务（以下简称产品），或者提供其他残疾人福利性单位制造的货物（不包括使用非残疾人福利性单位注册商标的货物）；</w:t>
      </w:r>
    </w:p>
    <w:p w14:paraId="38EBEF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42.7.6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743107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42.8本项目是否专门面向中小企业预留采购份额见“第一章竞争性磋商邀请”。</w:t>
      </w:r>
    </w:p>
    <w:p w14:paraId="7497162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42.9采购标的对应的中小企业划分标准所属行业见“供应商须知前附表”。</w:t>
      </w:r>
    </w:p>
    <w:p w14:paraId="55894A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42.10小微企业价格评审优惠的政策调整：见“第四章评审方法及标准”。</w:t>
      </w:r>
    </w:p>
    <w:p w14:paraId="1AB29B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43.政府采购节能产品、环境标志产品</w:t>
      </w:r>
    </w:p>
    <w:p w14:paraId="3A417C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2019〕9号）、《关于印发环境标志产品政府采购品目清单的通知》（财库〔2019〕18号）、《关于印发节能产品政府采购品目清单的通知》（财库〔2019〕19号）的规定。</w:t>
      </w:r>
    </w:p>
    <w:p w14:paraId="700EB0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43.2采购人拟采购的产品属于品目清单范围的，采购人及其委托的采购代理机构依据国家确定的认证机构出具的、处于有效期之内的节能产品、环境标志产品认证证书，对获得证书的产品实施政府优先采购或强制采购。</w:t>
      </w:r>
    </w:p>
    <w:p w14:paraId="623C79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43.3如本项目采购产品属于实施政府强制采购品目清单范围的节能产品，则供应商所报产品必须获得国家确定的认证机构出具的、处于有效期之内的节能产品认证证书，否则响应无效；</w:t>
      </w:r>
    </w:p>
    <w:p w14:paraId="6F0359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43.4非政府强制采购的节能产品或环境标志产品，依据品目清单和认证证书实施政府优先采购。优先采购的具体规定见“第四章评审方法及标准”（如涉及）。</w:t>
      </w:r>
    </w:p>
    <w:p w14:paraId="37C832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43.5供应商所报产品如属于节能产品政府采购品目清单、环境标志产品政府采购品目清单范围的，须提供国家确定的认证机构出具的、处于有效期内的产品认证证书，认证证书的产品型号与所报产品不一致的，视为未提供。属于政府强制采购产品的，已作为响应时强制性要求不再给予价格评审优惠，未提供认证证书的视为无效响应。属于优先采购节能产品政府采购品目清单、环境标志产品政府采购品目清单、创新产品范围的，按照“第四章评审方法及标准”中相关规定在评审时给予价格评审优惠，具体详见“供应商须知前附表”及“第四章评审方法及标准”。</w:t>
      </w:r>
    </w:p>
    <w:p w14:paraId="18B14F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44.正版软件</w:t>
      </w:r>
    </w:p>
    <w:p w14:paraId="6A7D12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44.1依据《财政部国家发展改革委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279F8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44.2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2193A26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45.网络安全专用产品</w:t>
      </w:r>
    </w:p>
    <w:p w14:paraId="348601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45.1本项目中如涉及网络关键设备或网络安全专用产品的，应严格执行国家互联网信息办公室、工业和信息化部、公安部、财政部和国家认证认可监督管理委员会2023年第1号《关于调整网络安全专用产品安全管理有关事项的公告》及国家互联网信息办公室、工业和信息化部、公安部和国家认证认可监督管理委员会2023年第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采购人、中标(成交)人双方签订合同及验收环节，应包含上述网络安全要求的条款。</w:t>
      </w:r>
    </w:p>
    <w:p w14:paraId="38F821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45.2本项目中如涉及国家强制性产品认证证书（CCC认证证书）、电信设备进网许可证、无线电发射设备核准证等市场准入类资质的，应严格执行国家相关法律法规的要求。采购人、中标(成交)人双方签订合同及验收环节，应包含上述市场准入类资质要求的条款。</w:t>
      </w:r>
    </w:p>
    <w:p w14:paraId="6DDBDE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46.采购需求标准</w:t>
      </w:r>
    </w:p>
    <w:p w14:paraId="21336E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4"/>
        <w:rPr>
          <w:rFonts w:hint="eastAsia" w:ascii="仿宋" w:hAnsi="仿宋" w:eastAsia="仿宋" w:cs="仿宋"/>
          <w:sz w:val="24"/>
          <w:szCs w:val="24"/>
        </w:rPr>
      </w:pPr>
      <w:r>
        <w:rPr>
          <w:rFonts w:hint="eastAsia" w:ascii="仿宋" w:hAnsi="仿宋" w:eastAsia="仿宋" w:cs="仿宋"/>
          <w:sz w:val="24"/>
          <w:szCs w:val="24"/>
        </w:rPr>
        <w:t>46.1商品包装、快递包装政府采购需求标准（试行）</w:t>
      </w:r>
    </w:p>
    <w:p w14:paraId="716297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三章《采购需求》。</w:t>
      </w:r>
    </w:p>
    <w:p w14:paraId="4B826A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4"/>
        <w:rPr>
          <w:rFonts w:hint="eastAsia" w:ascii="仿宋" w:hAnsi="仿宋" w:eastAsia="仿宋" w:cs="仿宋"/>
          <w:sz w:val="24"/>
          <w:szCs w:val="24"/>
        </w:rPr>
      </w:pPr>
      <w:r>
        <w:rPr>
          <w:rFonts w:hint="eastAsia" w:ascii="仿宋" w:hAnsi="仿宋" w:eastAsia="仿宋" w:cs="仿宋"/>
          <w:sz w:val="24"/>
          <w:szCs w:val="24"/>
        </w:rPr>
        <w:t>46.2绿色数据中心政府采购需求标准（试行）</w:t>
      </w:r>
    </w:p>
    <w:p w14:paraId="7CA81C4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为加快数据中心绿色转型，根据财政部生态环境部工业和信息化部关于印发《绿色数据中心政府采购需求标准（试行）》的通知（财库〔2023〕7号），本项目如涉及绿色数据中心，则具体要求见第三章《采购需求》。</w:t>
      </w:r>
    </w:p>
    <w:p w14:paraId="025F30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4"/>
        <w:rPr>
          <w:rFonts w:hint="eastAsia" w:ascii="仿宋" w:hAnsi="仿宋" w:eastAsia="仿宋" w:cs="仿宋"/>
          <w:sz w:val="24"/>
          <w:szCs w:val="24"/>
        </w:rPr>
      </w:pPr>
      <w:r>
        <w:rPr>
          <w:rFonts w:hint="eastAsia" w:ascii="仿宋" w:hAnsi="仿宋" w:eastAsia="仿宋" w:cs="仿宋"/>
          <w:sz w:val="24"/>
          <w:szCs w:val="24"/>
        </w:rPr>
        <w:t>46.3台式计算机政府采购需求标准</w:t>
      </w:r>
    </w:p>
    <w:p w14:paraId="6D60D8A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为提高台式计算机政府采购需求管理的科学化、规范化水平，进一步落实政府采购公平竞争原则，优化营商环境，营造良好的产业生态，财政部工业和信息化部关于印发《台式计算机政府采购需求标准（2023年版）》的通知（财库〔2023〕29号），本项目如涉及台式计算机采购，则具体要求见第三章《采购需求》。</w:t>
      </w:r>
    </w:p>
    <w:p w14:paraId="49339D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46.4便携式计算机政府采购需求标准为提高便携式计算机政府采购需求管理的科学化、规范化水平，进一步落实政府采购公平竞争原则，优化营商环境，营造良好的产业生态，财政部工业和信息化部关于印发《便携式计算机政府采购需求标准（2023年版）》的通知（财库〔2023〕30号），本项目如涉及便携式计算机采购，则具体要求见第三章《采购需求》。</w:t>
      </w:r>
    </w:p>
    <w:p w14:paraId="1FEC29E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4"/>
        <w:rPr>
          <w:rFonts w:hint="eastAsia" w:ascii="仿宋" w:hAnsi="仿宋" w:eastAsia="仿宋" w:cs="仿宋"/>
          <w:sz w:val="24"/>
          <w:szCs w:val="24"/>
        </w:rPr>
      </w:pPr>
      <w:r>
        <w:rPr>
          <w:rFonts w:hint="eastAsia" w:ascii="仿宋" w:hAnsi="仿宋" w:eastAsia="仿宋" w:cs="仿宋"/>
          <w:sz w:val="24"/>
          <w:szCs w:val="24"/>
        </w:rPr>
        <w:t>46.5一体式计算机政府采购需求标准</w:t>
      </w:r>
    </w:p>
    <w:p w14:paraId="3700805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为提高一体式计算机政府采购需求管理的科学化、规范化水平，进一步落实政府采购公平竞争原则，优化营商环境，营造良好的产业生态，财政部工业和信息化部关于印发《一体式计算机政府采购需求标准（2023年版）》的通知（财库〔2023〕31号），本项目如涉及一体式计算机采购，则具体要求见第三章《采购需求》。</w:t>
      </w:r>
    </w:p>
    <w:p w14:paraId="03E1806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4"/>
        <w:rPr>
          <w:rFonts w:hint="eastAsia" w:ascii="仿宋" w:hAnsi="仿宋" w:eastAsia="仿宋" w:cs="仿宋"/>
          <w:sz w:val="24"/>
          <w:szCs w:val="24"/>
        </w:rPr>
      </w:pPr>
      <w:r>
        <w:rPr>
          <w:rFonts w:hint="eastAsia" w:ascii="仿宋" w:hAnsi="仿宋" w:eastAsia="仿宋" w:cs="仿宋"/>
          <w:sz w:val="24"/>
          <w:szCs w:val="24"/>
        </w:rPr>
        <w:t>46.6工作站政府采购需求标准</w:t>
      </w:r>
    </w:p>
    <w:p w14:paraId="207500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为提高工作站政府采购需求管理的科学化、规范化水平，进一步落实政府采购公平竞争原则，优化营商环境，营造良好的产业生态，财政部工业和信息化部关于印发《工作站政府采购需求标准（2023年版）》的通知（财库〔2023〕32号），本项目如涉及工作站采购，则具体要求见第三章《采购需求》。</w:t>
      </w:r>
    </w:p>
    <w:p w14:paraId="148CF6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4"/>
        <w:rPr>
          <w:rFonts w:hint="eastAsia" w:ascii="仿宋" w:hAnsi="仿宋" w:eastAsia="仿宋" w:cs="仿宋"/>
          <w:sz w:val="24"/>
          <w:szCs w:val="24"/>
        </w:rPr>
      </w:pPr>
      <w:r>
        <w:rPr>
          <w:rFonts w:hint="eastAsia" w:ascii="仿宋" w:hAnsi="仿宋" w:eastAsia="仿宋" w:cs="仿宋"/>
          <w:sz w:val="24"/>
          <w:szCs w:val="24"/>
        </w:rPr>
        <w:t>46.7通用服务器政府采购需求标准</w:t>
      </w:r>
    </w:p>
    <w:p w14:paraId="57E52F1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为提高通用服务器政府采购需求管理的科学化、规范化水平，进一步落实政府采购公平竞争原则，优化营商环境，营造良好的产业生态，财政部工业和信息化部关于印发《通用服务器政府采购需求标准（2023年版）》的通知（财库〔2023〕33号），本项目如涉及通用服务器采购，则具体要求见第三章《采购需求》。</w:t>
      </w:r>
    </w:p>
    <w:p w14:paraId="34A3B7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4"/>
        <w:rPr>
          <w:rFonts w:hint="eastAsia" w:ascii="仿宋" w:hAnsi="仿宋" w:eastAsia="仿宋" w:cs="仿宋"/>
          <w:sz w:val="24"/>
          <w:szCs w:val="24"/>
        </w:rPr>
      </w:pPr>
      <w:r>
        <w:rPr>
          <w:rFonts w:hint="eastAsia" w:ascii="仿宋" w:hAnsi="仿宋" w:eastAsia="仿宋" w:cs="仿宋"/>
          <w:sz w:val="24"/>
          <w:szCs w:val="24"/>
        </w:rPr>
        <w:t>46.8操作系统政府采购需求标准</w:t>
      </w:r>
    </w:p>
    <w:p w14:paraId="170106E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为提高操作系统政府采购需求管理的科学化、规范化水平，进一步落实政府采购公平竞争原则，优化营商环境，营造良好的产业生态，财政部工业和信息化部关于印发《操作系统政府采购需求标准（2023年版）》的通知（财库〔2023〕34号），本项目如涉及操作系统采购，则具体要求见第三章《采购需求》。</w:t>
      </w:r>
    </w:p>
    <w:p w14:paraId="4256B8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4"/>
        <w:rPr>
          <w:rFonts w:hint="eastAsia" w:ascii="仿宋" w:hAnsi="仿宋" w:eastAsia="仿宋" w:cs="仿宋"/>
          <w:sz w:val="24"/>
          <w:szCs w:val="24"/>
        </w:rPr>
      </w:pPr>
      <w:r>
        <w:rPr>
          <w:rFonts w:hint="eastAsia" w:ascii="仿宋" w:hAnsi="仿宋" w:eastAsia="仿宋" w:cs="仿宋"/>
          <w:sz w:val="24"/>
          <w:szCs w:val="24"/>
        </w:rPr>
        <w:t>46.9数据库政府采购需求标准</w:t>
      </w:r>
    </w:p>
    <w:p w14:paraId="5E2FBA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为提高数据库政府采购需求管理的科学化、规范化水平，进一步落实政府采购公平竞争原则，优化营商环境，营造良好的产业生态，财政部工业和信息化部关于印发《数据库政府采购需求标准（2023年版）》的通知（财库〔2023〕35号），本项目如涉及数据库采购，则具体要求见第三章《采购需求》。</w:t>
      </w:r>
    </w:p>
    <w:p w14:paraId="4654B6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4"/>
        <w:rPr>
          <w:rFonts w:hint="eastAsia" w:ascii="仿宋" w:hAnsi="仿宋" w:eastAsia="仿宋" w:cs="仿宋"/>
          <w:sz w:val="24"/>
          <w:szCs w:val="24"/>
        </w:rPr>
      </w:pPr>
      <w:r>
        <w:rPr>
          <w:rFonts w:hint="eastAsia" w:ascii="仿宋" w:hAnsi="仿宋" w:eastAsia="仿宋" w:cs="仿宋"/>
          <w:sz w:val="24"/>
          <w:szCs w:val="24"/>
        </w:rPr>
        <w:t>46.10物业管理服务政府采购需求标准（办公场所类）（试行）</w:t>
      </w:r>
    </w:p>
    <w:p w14:paraId="0ECD50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第三章《采购需求》。</w:t>
      </w:r>
    </w:p>
    <w:p w14:paraId="60C2579C">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textAlignment w:val="baseline"/>
        <w:outlineLvl w:val="4"/>
        <w:rPr>
          <w:rFonts w:hint="eastAsia" w:ascii="仿宋" w:hAnsi="仿宋" w:eastAsia="仿宋" w:cs="仿宋"/>
          <w:sz w:val="24"/>
          <w:szCs w:val="24"/>
        </w:rPr>
      </w:pPr>
      <w:r>
        <w:rPr>
          <w:rFonts w:hint="eastAsia" w:ascii="仿宋" w:hAnsi="仿宋" w:eastAsia="仿宋" w:cs="仿宋"/>
          <w:sz w:val="24"/>
          <w:szCs w:val="24"/>
        </w:rPr>
        <w:t>（十四）政府采购合同融资政策</w:t>
      </w:r>
    </w:p>
    <w:p w14:paraId="4E1535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47.政府采购合同融资政策</w:t>
      </w:r>
    </w:p>
    <w:p w14:paraId="4904EE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47.1政府采购合同融资政策：见供应商须知前附表。</w:t>
      </w:r>
    </w:p>
    <w:p w14:paraId="01CFA071">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360" w:lineRule="auto"/>
        <w:textAlignment w:val="baseline"/>
        <w:outlineLvl w:val="4"/>
        <w:rPr>
          <w:rFonts w:hint="eastAsia" w:ascii="仿宋" w:hAnsi="仿宋" w:eastAsia="仿宋" w:cs="仿宋"/>
          <w:sz w:val="24"/>
          <w:szCs w:val="24"/>
        </w:rPr>
      </w:pPr>
      <w:bookmarkStart w:id="54" w:name="bookmark45"/>
      <w:bookmarkEnd w:id="54"/>
      <w:r>
        <w:rPr>
          <w:rFonts w:hint="eastAsia" w:ascii="仿宋" w:hAnsi="仿宋" w:eastAsia="仿宋" w:cs="仿宋"/>
          <w:sz w:val="24"/>
          <w:szCs w:val="24"/>
        </w:rPr>
        <w:t>（十五）其他</w:t>
      </w:r>
    </w:p>
    <w:p w14:paraId="654D82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48.需要补充的其他内容</w:t>
      </w:r>
    </w:p>
    <w:p w14:paraId="056676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48.1需要补充的其他内容：见供应商须知前附表。</w:t>
      </w:r>
    </w:p>
    <w:p w14:paraId="4317545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49.适用法律</w:t>
      </w:r>
    </w:p>
    <w:p w14:paraId="48E400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49.1采购人、采购代理机构及供应商的一切采购活动均适用《中华人民共和国政府采购法》、《中华人民共和国政府采购法实施条例》、《政府采购竞争性磋商采购方式管理暂行办法》（财库〔2014〕214号）及相关法律法规。</w:t>
      </w:r>
    </w:p>
    <w:p w14:paraId="57C692D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49.2政府采购合同的履行、违约责任和解决争议的方法等适用《中华人民共和国民法典》。</w:t>
      </w:r>
    </w:p>
    <w:p w14:paraId="162DB1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3"/>
        <w:rPr>
          <w:rFonts w:hint="eastAsia" w:ascii="仿宋" w:hAnsi="仿宋" w:eastAsia="仿宋" w:cs="仿宋"/>
          <w:sz w:val="24"/>
          <w:szCs w:val="24"/>
        </w:rPr>
      </w:pPr>
      <w:r>
        <w:rPr>
          <w:rFonts w:hint="eastAsia" w:ascii="仿宋" w:hAnsi="仿宋" w:eastAsia="仿宋" w:cs="仿宋"/>
          <w:sz w:val="24"/>
          <w:szCs w:val="24"/>
        </w:rPr>
        <w:t>50.解释权</w:t>
      </w:r>
    </w:p>
    <w:p w14:paraId="250344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rPr>
      </w:pPr>
      <w:r>
        <w:rPr>
          <w:rFonts w:hint="eastAsia" w:ascii="仿宋" w:hAnsi="仿宋" w:eastAsia="仿宋" w:cs="仿宋"/>
          <w:sz w:val="24"/>
          <w:szCs w:val="24"/>
        </w:rPr>
        <w:t>50.1本竞争性磋商文件最终解释权归采购人或采购代理机构所有。</w:t>
      </w:r>
      <w:bookmarkStart w:id="55" w:name="bookmark52"/>
      <w:bookmarkEnd w:id="55"/>
      <w:bookmarkStart w:id="56" w:name="bookmark47"/>
      <w:bookmarkEnd w:id="56"/>
    </w:p>
    <w:p w14:paraId="6175C41E">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br w:type="page"/>
      </w:r>
    </w:p>
    <w:p w14:paraId="592D2485">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outlineLvl w:val="0"/>
        <w:rPr>
          <w:rFonts w:hint="eastAsia" w:ascii="仿宋" w:hAnsi="仿宋" w:eastAsia="仿宋" w:cs="仿宋"/>
        </w:rPr>
      </w:pPr>
      <w:bookmarkStart w:id="57" w:name="_Toc27501"/>
      <w:r>
        <w:rPr>
          <w:rFonts w:hint="eastAsia" w:ascii="仿宋" w:hAnsi="仿宋" w:eastAsia="仿宋" w:cs="仿宋"/>
          <w:b/>
          <w:bCs/>
          <w:sz w:val="28"/>
          <w:szCs w:val="28"/>
        </w:rPr>
        <w:t>第三章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项目采购需求</w:t>
      </w:r>
      <w:bookmarkEnd w:id="57"/>
    </w:p>
    <w:p w14:paraId="4DA27CD6">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p>
    <w:p w14:paraId="6ECD83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i w:val="0"/>
          <w:iCs w:val="0"/>
          <w:caps w:val="0"/>
          <w:color w:val="000000"/>
          <w:spacing w:val="0"/>
          <w:sz w:val="24"/>
          <w:szCs w:val="24"/>
        </w:rPr>
      </w:pPr>
      <w:bookmarkStart w:id="58" w:name="bookmark50"/>
      <w:bookmarkEnd w:id="58"/>
      <w:bookmarkStart w:id="59" w:name="bookmark49"/>
      <w:bookmarkEnd w:id="59"/>
      <w:r>
        <w:rPr>
          <w:rFonts w:hint="eastAsia" w:ascii="仿宋" w:hAnsi="仿宋" w:eastAsia="仿宋" w:cs="仿宋"/>
          <w:i w:val="0"/>
          <w:iCs w:val="0"/>
          <w:caps w:val="0"/>
          <w:color w:val="000000"/>
          <w:spacing w:val="0"/>
          <w:sz w:val="24"/>
          <w:szCs w:val="24"/>
        </w:rPr>
        <w:t>采购需求名称：教学楼地下室改造</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采购需求数量：零星装饰装修工程1267.10平米</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采购需求功能或目标：1.用于搏击训练加强对抗技能</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2.提升人员的身体素质与实战能力</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3.培养人员的意志品质</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4.促进单位文体建设</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需满足的要求：</w:t>
      </w:r>
    </w:p>
    <w:p w14:paraId="4BFC199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质量要求：确保使用途中不发生安全性问题，严格按照建筑规范和标准进行和施工，相关材料质量达到工程相应质量标准。</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2</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服务要求：维修期质保两年。</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3</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安全要求：加强施工人员安全防范措施和教育，确保施工安全，不发生施工安全事故</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4</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时限要求：改造工程应在120日内完成，以确保能在规定时间内投入使用</w:t>
      </w:r>
    </w:p>
    <w:p w14:paraId="6162ACB5">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8"/>
          <w:szCs w:val="28"/>
        </w:rPr>
      </w:pPr>
      <w:bookmarkStart w:id="60" w:name="bookmark54"/>
      <w:bookmarkEnd w:id="60"/>
      <w:r>
        <w:rPr>
          <w:rFonts w:hint="eastAsia" w:ascii="仿宋" w:hAnsi="仿宋" w:eastAsia="仿宋" w:cs="仿宋"/>
          <w:b/>
          <w:bCs/>
          <w:sz w:val="28"/>
          <w:szCs w:val="28"/>
        </w:rPr>
        <w:br w:type="page"/>
      </w:r>
    </w:p>
    <w:p w14:paraId="7BE2021B">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outlineLvl w:val="0"/>
        <w:rPr>
          <w:rFonts w:hint="eastAsia" w:ascii="仿宋" w:hAnsi="仿宋" w:eastAsia="仿宋" w:cs="仿宋"/>
        </w:rPr>
      </w:pPr>
      <w:bookmarkStart w:id="61" w:name="_Toc24692"/>
      <w:r>
        <w:rPr>
          <w:rFonts w:hint="eastAsia" w:ascii="仿宋" w:hAnsi="仿宋" w:eastAsia="仿宋" w:cs="仿宋"/>
          <w:b/>
          <w:bCs/>
          <w:sz w:val="28"/>
          <w:szCs w:val="28"/>
        </w:rPr>
        <w:t>第四章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评审方法及标准</w:t>
      </w:r>
      <w:bookmarkEnd w:id="61"/>
    </w:p>
    <w:p w14:paraId="35A9845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p>
    <w:p w14:paraId="50DD4D1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62" w:name="_Toc20812"/>
      <w:bookmarkStart w:id="63" w:name="_Toc24723"/>
      <w:bookmarkStart w:id="64" w:name="_Toc22796"/>
      <w:r>
        <w:rPr>
          <w:rFonts w:hint="eastAsia" w:ascii="仿宋" w:hAnsi="仿宋" w:eastAsia="仿宋" w:cs="仿宋"/>
          <w:b/>
          <w:bCs/>
          <w:sz w:val="24"/>
          <w:szCs w:val="24"/>
        </w:rPr>
        <w:t>一、评审方法</w:t>
      </w:r>
      <w:bookmarkEnd w:id="62"/>
      <w:bookmarkEnd w:id="63"/>
      <w:bookmarkEnd w:id="64"/>
    </w:p>
    <w:p w14:paraId="49DBA6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rPr>
      </w:pPr>
      <w:r>
        <w:rPr>
          <w:rFonts w:hint="eastAsia" w:ascii="仿宋" w:hAnsi="仿宋" w:eastAsia="仿宋" w:cs="仿宋"/>
          <w:sz w:val="24"/>
          <w:szCs w:val="24"/>
        </w:rPr>
        <w:t>本项目采用</w:t>
      </w:r>
      <w:r>
        <w:rPr>
          <w:rFonts w:hint="eastAsia" w:ascii="仿宋" w:hAnsi="仿宋" w:eastAsia="仿宋" w:cs="仿宋"/>
          <w:sz w:val="24"/>
          <w:szCs w:val="24"/>
          <w:lang w:val="en-US" w:eastAsia="zh-CN"/>
        </w:rPr>
        <w:t>二次报价</w:t>
      </w:r>
      <w:r>
        <w:rPr>
          <w:rFonts w:hint="eastAsia" w:ascii="仿宋" w:hAnsi="仿宋" w:eastAsia="仿宋" w:cs="仿宋"/>
          <w:sz w:val="24"/>
          <w:szCs w:val="24"/>
        </w:rPr>
        <w:t>综合评分法。综合评分法是指经磋商确定最终采购需求和提交最后报价（因落实政府采购政策进行价格调整的，以调整后的价格计算）的供应商的响应文件满足磋商文件全部实质性要求且按评审因素的量化指标评审得分最高的供应商为成交候选供应商的评审方法。</w:t>
      </w:r>
    </w:p>
    <w:p w14:paraId="51DF1EA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rPr>
      </w:pPr>
      <w:bookmarkStart w:id="65" w:name="bookmark56"/>
      <w:bookmarkEnd w:id="65"/>
      <w:bookmarkStart w:id="66" w:name="_Toc13038"/>
      <w:bookmarkStart w:id="67" w:name="_Toc29872"/>
      <w:bookmarkStart w:id="68" w:name="_Toc76"/>
      <w:r>
        <w:rPr>
          <w:rFonts w:hint="eastAsia" w:ascii="仿宋" w:hAnsi="仿宋" w:eastAsia="仿宋" w:cs="仿宋"/>
          <w:b/>
          <w:bCs/>
          <w:sz w:val="24"/>
          <w:szCs w:val="24"/>
        </w:rPr>
        <w:t>二、评审程序</w:t>
      </w:r>
      <w:bookmarkEnd w:id="66"/>
      <w:bookmarkEnd w:id="67"/>
      <w:bookmarkEnd w:id="68"/>
    </w:p>
    <w:p w14:paraId="61AD3F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仿宋" w:hAnsi="仿宋" w:eastAsia="仿宋" w:cs="仿宋"/>
        </w:rPr>
      </w:pPr>
      <w:bookmarkStart w:id="69" w:name="bookmark58"/>
      <w:bookmarkEnd w:id="69"/>
      <w:r>
        <w:rPr>
          <w:rFonts w:hint="eastAsia" w:ascii="仿宋" w:hAnsi="仿宋" w:eastAsia="仿宋" w:cs="仿宋"/>
          <w:sz w:val="24"/>
          <w:szCs w:val="24"/>
        </w:rPr>
        <w:t>（一）资格审查和符合性审查</w:t>
      </w:r>
    </w:p>
    <w:p w14:paraId="164AAA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磋商小组根据磋商文件规定的供应商资格条件、评审成交的标准等事项，对供应商的响应文件进行评审。资格审查和符合性审查不符合磋商文件要求的响应文件，按无效文件处理，不进入磋商，并告知有关供应商。</w:t>
      </w:r>
    </w:p>
    <w:p w14:paraId="4F3FAC5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2.有效供应商不足3家的应当终止竞争性磋商采购活动，发布项目终止公告并说明原因，重新开展采购活动。</w:t>
      </w:r>
    </w:p>
    <w:p w14:paraId="5509482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根据《财政部关于政府采购竞争性磋商采购方式管理暂行办法有关问题的补充通知》的要求，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C1BEB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bookmarkStart w:id="70" w:name="bookmark60"/>
      <w:bookmarkEnd w:id="70"/>
      <w:r>
        <w:rPr>
          <w:rFonts w:hint="eastAsia" w:ascii="仿宋" w:hAnsi="仿宋" w:eastAsia="仿宋" w:cs="仿宋"/>
          <w:sz w:val="24"/>
          <w:szCs w:val="24"/>
        </w:rPr>
        <w:t>（二）响应文件澄清</w:t>
      </w:r>
    </w:p>
    <w:p w14:paraId="57390F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8277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5DAF4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bookmarkStart w:id="71" w:name="bookmark63"/>
      <w:bookmarkEnd w:id="71"/>
      <w:r>
        <w:rPr>
          <w:rFonts w:hint="eastAsia" w:ascii="仿宋" w:hAnsi="仿宋" w:eastAsia="仿宋" w:cs="仿宋"/>
          <w:sz w:val="24"/>
          <w:szCs w:val="24"/>
        </w:rPr>
        <w:t>（三）磋商程序</w:t>
      </w:r>
    </w:p>
    <w:p w14:paraId="5AE578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磋商小组应当依据磋商文件规定的程序、评审成交的标准等事项与实质性响应磋商文件要求的供应商进行磋商。</w:t>
      </w:r>
    </w:p>
    <w:p w14:paraId="5B31FD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1.第一轮磋商</w:t>
      </w:r>
    </w:p>
    <w:p w14:paraId="009291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1.1磋商小组将按照系统随机的顺序决定供应商的磋商顺序，并集中与单一供应商分别进行磋商。</w:t>
      </w:r>
    </w:p>
    <w:p w14:paraId="64FC6A9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1.2磋商小组所有成员应当对照磋商文件和响应文件就采购需求、质量和服务等内容集中与单一供应商分别进行磋商，并给予所有参加磋商的供应商平等的磋商机会。在磋商中，磋商的任何一方不得透露与磋商有关的其他供应商的技术资料、价格和其他信息。</w:t>
      </w:r>
    </w:p>
    <w:p w14:paraId="6F76B6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1.3磋商过程中，磋商小组可以根据磋商文件和磋商情况实质性变动采购需求中的技术、服务要求以及合同草案条款，但不得变动磋商文件中的其他内容。实质性变动的内容，须经采购人代表确认。</w:t>
      </w:r>
    </w:p>
    <w:p w14:paraId="18568A5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1.4对磋商文件作出的实质性变动的内容是磋商文件的有效组成部分。磋商小组应将磋商文件的变动情况以书面形式通知所有参加磋商的供应商。</w:t>
      </w:r>
    </w:p>
    <w:p w14:paraId="5D3BE34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1.5供应商应当按照磋商文件的变动情况和磋商小组的要求在规定的时间内重新提交响应文件，并由其法定代表人或授权代表签字或者加盖公章。由授权代表签字的，应当附法定代表人授权书。供应商为自然人的，应当由本人签字并附身份证明。逾时不提交的，视同退出磋商。</w:t>
      </w:r>
    </w:p>
    <w:p w14:paraId="6E5E3A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2.多轮磋商</w:t>
      </w:r>
    </w:p>
    <w:p w14:paraId="356C56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2.1磋商文件中不能详细列明采购标的的技术、服务要求，需经磋商由供应商提供最终设计方案或解决方案的项目，磋商小组可以根据采购人对采购需求的确认情况，进行多轮磋商，直到采购人代表最终确认采购需求为止。</w:t>
      </w:r>
    </w:p>
    <w:p w14:paraId="549FF6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2.3磋商程序同第一轮磋商。</w:t>
      </w:r>
    </w:p>
    <w:p w14:paraId="185081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3.最后报价</w:t>
      </w:r>
    </w:p>
    <w:p w14:paraId="69CE1E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3.1磋商文件中能够详细列明采购标的的技术、服务要求的，磋商结束后，磋商小组应当要求所有实质性响应的供应商，在规定时间内，以书面的方式经授权代表签字（或加盖公章）后提交最后报价，提交最后报价的供应商不得少于3家（市场竞争不充分的科研项目，以及需要扶持的科技成果转化项目可以为2家，政府购买服务项目[含政府和社会资本合作项目]，在采购过程中符合要求的供应商[社会资本]只有2家的可以为2家）。</w:t>
      </w:r>
    </w:p>
    <w:p w14:paraId="429B174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3.2磋商文件中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4C7C4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3.3最后报价是供应商响应文件的有效组成部分。逾时不提交的，视同退出磋商。</w:t>
      </w:r>
    </w:p>
    <w:p w14:paraId="4AD63D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最后报价出现前后不一致的，按照下列规定修正：</w:t>
      </w:r>
    </w:p>
    <w:p w14:paraId="22D1B6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（1）大写金额和小写金额不一致的，以大写金额为准；</w:t>
      </w:r>
    </w:p>
    <w:p w14:paraId="259AEF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（2）单价金额小数点或百分比有明显错位的，以最后报价表的总价为准，并修改单价；</w:t>
      </w:r>
    </w:p>
    <w:p w14:paraId="470D48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（3）总价金额与按单价汇总金额不一致的，以单价金额计算结果为准；</w:t>
      </w:r>
    </w:p>
    <w:p w14:paraId="6FA578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（4）同时出现两种以上不一致的，按照前款规定的顺序修正；</w:t>
      </w:r>
    </w:p>
    <w:p w14:paraId="5B5194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（5）修正后的报价应通过书面方式通知供应商，由供应商授权代表签字（或加盖公章）确认后产生约束力，供应商不确认的，按照无效响应处理。</w:t>
      </w:r>
    </w:p>
    <w:p w14:paraId="6B1404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3.4已提交响应文件的供应商，在提交最后报价之前，可以根据磋商情况退出磋商，退出磋商供应商的磋商保证金可予以退还。</w:t>
      </w:r>
    </w:p>
    <w:p w14:paraId="6A9AEC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4.商务技术评审</w:t>
      </w:r>
    </w:p>
    <w:p w14:paraId="5B35BA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4.1经磋商确定最终采购需求和提交最后报价的供应商后，由磋商小组采用综合评分法对提交最后报价的供应商的响应文件和最后报价进行综合评分。</w:t>
      </w:r>
    </w:p>
    <w:p w14:paraId="28011A7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5.报价评审</w:t>
      </w:r>
    </w:p>
    <w:p w14:paraId="7F5ED9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5.1报价合理性说明：磋商小组认为供应商的最后报价明显低于其他供应商最后报价，有可能影响服务质量或者不能诚信履约的，应当要求其在合理的时间内提供说明，必要时提交相关证明材料；供应商不能证明其最后报价合理性的，磋商小组应当将其作为无效响应处理。</w:t>
      </w:r>
    </w:p>
    <w:p w14:paraId="273A5E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5.1.1供应商应根据答疑内容在规定的时间内提供说明和成本清单等相关证明材料，磋商小组认定相关证明材料对此报价的说明或者证明材料可以佐证此报价的服务质量和具有诚信履约能力，予以通过审查；</w:t>
      </w:r>
    </w:p>
    <w:p w14:paraId="3AEB14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5.1.2供应商提供的说明或者证明材料必须按照国家财务会计制度的规定要求，逐项就供应商提供的货物和服务的主营业务成本、税收及附加、销售费用、管理费用、财务费用等成本构成事项详细陈述，并由法定代表人或者其授权代表签字确认并加盖公章；</w:t>
      </w:r>
    </w:p>
    <w:p w14:paraId="33D888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5.1.3供应商不能合理说明或者不能提供相关证明材料的，由磋商小组认定该供应商以低于成本报价竞标，有可能影响服务质量或者不能诚信履约，应当将其作为无效响应处理；</w:t>
      </w:r>
    </w:p>
    <w:p w14:paraId="0F4B465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5.1.4供应商也可以有预见性地准备好上述要求的书面说明和相关证明材料并加盖公章。</w:t>
      </w:r>
    </w:p>
    <w:p w14:paraId="13C498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5.2价格扣除：</w:t>
      </w:r>
    </w:p>
    <w:p w14:paraId="33EAD5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非专门面向中小企业的采购项目或采购包，对符合规定的小微企业（监狱企业、残疾人福利性单位、联合体各方均为小微企业的联合体、符合小微企业划分标准的个体工商户视同小微企业）报价按照竞争性磋商文件“供应商须知前附表”中的规定扣除，对小微企业中的监狱企业、残疾人福利性单位、采购产品纳入创新产品应用示范推荐目录内企业、采购产品获得节能产品或环境标志产品认证证书的企业报价按照本竞争性磋商文件“供应商须知前附表”中的规定扣除，用扣除后的价格计算评审基准价。</w:t>
      </w:r>
    </w:p>
    <w:p w14:paraId="05EB7A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p>
    <w:p w14:paraId="5DA49F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（3）组成联合体或者接受分包的小微企业与联合体内其他企业、分包企业之间存在直接控股、管理关系的，不享受价格扣除优惠政策。</w:t>
      </w:r>
    </w:p>
    <w:p w14:paraId="03A507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（4）价格扣除比例对小型企业和微型企业同等对待，不作区分。</w:t>
      </w:r>
    </w:p>
    <w:p w14:paraId="3660C2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（5）专门面向中小企业、预留部分采购份额面向中小企业采购的项目或采购包，评审时不再进行价格扣除。</w:t>
      </w:r>
    </w:p>
    <w:p w14:paraId="3192534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（6）若供应商同时属于小型或微型企业、监狱企业、残疾人福利性单位中的两种及以上，将不重复享受小微企业价格扣减的优惠政策。</w:t>
      </w:r>
    </w:p>
    <w:p w14:paraId="190ADF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5.3价格分采用低价优先法计算，即满足磋商文件要求且最后报价最低的供应商的价格为磋商基准价，其价格分为满分。其他供应商的价格分统一按照下列公式计算：</w:t>
      </w:r>
    </w:p>
    <w:p w14:paraId="1BD53A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磋商报价得分=（磋商基准价/最后磋商报价）×价格分值</w:t>
      </w:r>
    </w:p>
    <w:p w14:paraId="38496D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项目评审过程中，不得去掉最后报价中的最高报价和最低报价。计算方法详见本章“三、评审标准”中的具体计算公式。</w:t>
      </w:r>
    </w:p>
    <w:p w14:paraId="0C86BA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6.计分办法及复核</w:t>
      </w:r>
    </w:p>
    <w:p w14:paraId="1ECB2D7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6.1评审过程中，各项分值一般精确到小数点后两位，评审得分应当为商务评分、技术评分、报价评分之和。磋商小组各成员应当汇总每个供应商的得分。</w:t>
      </w:r>
    </w:p>
    <w:p w14:paraId="6B2882F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6.2评审结果汇总完成后，采购代理机构应当对评审结果进行复核。经复核发现存在以下情形之一的，磋商小组应当当场修改评审结果，并在评审报告中记载：</w:t>
      </w:r>
    </w:p>
    <w:p w14:paraId="1B24DE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（1）资格性检查认定错误的；</w:t>
      </w:r>
    </w:p>
    <w:p w14:paraId="06763E4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（2）分值汇总计算错误的；</w:t>
      </w:r>
    </w:p>
    <w:p w14:paraId="7931BD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（3）分项评分超出评分标准范围的；</w:t>
      </w:r>
    </w:p>
    <w:p w14:paraId="4D1441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（4）磋商小组成员对客观分评分不一致的；</w:t>
      </w:r>
    </w:p>
    <w:p w14:paraId="322427C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（5）经磋商小组一致认定评分畸高、畸低的。</w:t>
      </w:r>
    </w:p>
    <w:p w14:paraId="613815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6.3各供应商的最终得分为磋商小组所有成员对各供应商评审得分汇总后的算术平均值。</w:t>
      </w:r>
    </w:p>
    <w:p w14:paraId="56A971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6.4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0D2DB6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6.5采购人或者采购代理机构不得通过对样品进行检测、对供应商进行考察等方式改变评审结果。</w:t>
      </w:r>
    </w:p>
    <w:p w14:paraId="721F2AB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7.评审报告</w:t>
      </w:r>
    </w:p>
    <w:p w14:paraId="4DB006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7.1磋商小组从质量和服务均能满足磋商文件实质性要求的供应商中，按照评审得分由高到低的顺序推荐3名（市场竞争不充分的科研项目，以及需要扶持的科技成果转化项目可以为2家，政府购买服务项目[含政府和社会资本合作项目]，在采购过程中符合要求的供应商[社会资本]只有2家的可以为2家）以上成交候选供应商。评审得分相同的，磋商小组按照最后报价由低到高的顺序推荐；评审得分且最后报价相同的，按照技术指标优劣顺序推荐。响应文件满足磋商文件全部实质性要求且评审得分最高的供应商为排名第一的成交候选供应商。磋商小组依据评审结果形成评审报告。</w:t>
      </w:r>
    </w:p>
    <w:p w14:paraId="1C2EFE9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19BD6E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8.响应无效的情形</w:t>
      </w:r>
    </w:p>
    <w:p w14:paraId="4FF968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8.1供应商存在下列情况之一的，其响应无效：</w:t>
      </w:r>
    </w:p>
    <w:p w14:paraId="1F070A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（1）不同供应商的响应文件由同一单位或者个人编制；</w:t>
      </w:r>
    </w:p>
    <w:p w14:paraId="350579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（2）不同供应商委托同一单位或者个人办理磋商响应事宜；</w:t>
      </w:r>
    </w:p>
    <w:p w14:paraId="66468A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（3）不同供应商的响应文件载明的项目管理成员或者联系人员为同一人；</w:t>
      </w:r>
    </w:p>
    <w:p w14:paraId="146B5D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（4）不同供应商的响应文件异常一致或者磋商报价呈规律性差异；</w:t>
      </w:r>
    </w:p>
    <w:p w14:paraId="7A3726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（5）不同供应商的响应文件相互混装；</w:t>
      </w:r>
    </w:p>
    <w:p w14:paraId="196331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（6）不同供应商的磋商保证金从同一单位或者个人的账户转出；</w:t>
      </w:r>
    </w:p>
    <w:p w14:paraId="04E15E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（7）不同供应商使用同一电脑（机器特征值一致：如MAC地址等）或使用同一电子密钥，编制或上传电子响应文件；</w:t>
      </w:r>
    </w:p>
    <w:p w14:paraId="49AC517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（8）法律、法规、规章和竞争性磋商文件规定的其他响应无效的情形。</w:t>
      </w:r>
    </w:p>
    <w:p w14:paraId="0469D0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8.2磋商小组应当审查所有供应商的响应文件是否对竞争性磋商文件提出的所有实质性要求和条件做出响应。未能在实质上响应的供应商，其响应无效。</w:t>
      </w:r>
    </w:p>
    <w:p w14:paraId="58782C4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8.3供应商不得误导、干扰磋商小组的评审活动，否则其响应无效。</w:t>
      </w:r>
    </w:p>
    <w:p w14:paraId="2BD524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9.停止评审的情形</w:t>
      </w:r>
    </w:p>
    <w:p w14:paraId="62D8AB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9.1磋商小组在评审过程中发现供应商有行贿、提供虚假材料或者串通等违法行为的，应当及时向财政部门报告。</w:t>
      </w:r>
    </w:p>
    <w:p w14:paraId="3C6507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9.2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14:paraId="7080CEC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sz w:val="24"/>
          <w:szCs w:val="24"/>
        </w:rPr>
      </w:pPr>
      <w:r>
        <w:rPr>
          <w:rFonts w:hint="eastAsia" w:ascii="仿宋" w:hAnsi="仿宋" w:eastAsia="仿宋" w:cs="仿宋"/>
          <w:b/>
          <w:bCs/>
          <w:sz w:val="24"/>
          <w:szCs w:val="24"/>
        </w:rPr>
        <w:t>三、评审标准</w:t>
      </w:r>
    </w:p>
    <w:p w14:paraId="1CF92B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仿宋" w:hAnsi="仿宋" w:eastAsia="仿宋" w:cs="仿宋"/>
        </w:rPr>
      </w:pPr>
      <w:bookmarkStart w:id="72" w:name="bookmark67"/>
      <w:bookmarkEnd w:id="72"/>
      <w:bookmarkStart w:id="73" w:name="bookmark66"/>
      <w:bookmarkEnd w:id="73"/>
      <w:r>
        <w:rPr>
          <w:rFonts w:hint="eastAsia" w:ascii="仿宋" w:hAnsi="仿宋" w:eastAsia="仿宋" w:cs="仿宋"/>
          <w:b/>
          <w:bCs/>
          <w:sz w:val="24"/>
          <w:szCs w:val="24"/>
        </w:rPr>
        <w:t>（一）资格审查表</w:t>
      </w:r>
    </w:p>
    <w:tbl>
      <w:tblPr>
        <w:tblStyle w:val="11"/>
        <w:tblpPr w:leftFromText="180" w:rightFromText="180" w:vertAnchor="text" w:horzAnchor="page" w:tblpX="1266" w:tblpY="415"/>
        <w:tblOverlap w:val="never"/>
        <w:tblW w:w="93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716"/>
        <w:gridCol w:w="5469"/>
        <w:gridCol w:w="1360"/>
      </w:tblGrid>
      <w:tr w14:paraId="2B5A2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18" w:type="dxa"/>
            <w:shd w:val="clear" w:color="auto" w:fill="D8D8D8"/>
            <w:vAlign w:val="center"/>
          </w:tcPr>
          <w:p w14:paraId="5422A7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序号</w:t>
            </w:r>
          </w:p>
        </w:tc>
        <w:tc>
          <w:tcPr>
            <w:tcW w:w="1716" w:type="dxa"/>
            <w:shd w:val="clear" w:color="auto" w:fill="D8D8D8"/>
            <w:vAlign w:val="center"/>
          </w:tcPr>
          <w:p w14:paraId="600B91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审查因素</w:t>
            </w:r>
          </w:p>
        </w:tc>
        <w:tc>
          <w:tcPr>
            <w:tcW w:w="5469" w:type="dxa"/>
            <w:shd w:val="clear" w:color="auto" w:fill="D8D8D8"/>
            <w:vAlign w:val="center"/>
          </w:tcPr>
          <w:p w14:paraId="3BAD37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审查内容</w:t>
            </w:r>
          </w:p>
        </w:tc>
        <w:tc>
          <w:tcPr>
            <w:tcW w:w="1360" w:type="dxa"/>
            <w:shd w:val="clear" w:color="auto" w:fill="D8D8D8"/>
            <w:vAlign w:val="center"/>
          </w:tcPr>
          <w:p w14:paraId="5426C2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格式要求</w:t>
            </w:r>
          </w:p>
        </w:tc>
      </w:tr>
      <w:tr w14:paraId="05093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818" w:type="dxa"/>
            <w:vAlign w:val="center"/>
          </w:tcPr>
          <w:p w14:paraId="27A8D9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val="en-US" w:eastAsia="zh-CN"/>
              </w:rPr>
            </w:pPr>
            <w:r>
              <w:rPr>
                <w:rFonts w:hint="eastAsia" w:ascii="仿宋" w:hAnsi="仿宋" w:eastAsia="仿宋" w:cs="仿宋"/>
                <w:lang w:val="en-US" w:eastAsia="zh-CN"/>
              </w:rPr>
              <w:t>1</w:t>
            </w:r>
          </w:p>
        </w:tc>
        <w:tc>
          <w:tcPr>
            <w:tcW w:w="1716" w:type="dxa"/>
            <w:vAlign w:val="center"/>
          </w:tcPr>
          <w:p w14:paraId="5931DF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营业执照等证明文件</w:t>
            </w:r>
          </w:p>
        </w:tc>
        <w:tc>
          <w:tcPr>
            <w:tcW w:w="5469" w:type="dxa"/>
            <w:vAlign w:val="center"/>
          </w:tcPr>
          <w:p w14:paraId="30C512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sz w:val="21"/>
                <w:szCs w:val="21"/>
                <w:lang w:val="en-US" w:eastAsia="zh-CN"/>
              </w:rPr>
              <w:t>投标人必须是中华人民共和国境内注册的能够独立承担民事责任的法人，具有独立法人资格，拥有有效的营业执照（三证合一或五证合一）</w:t>
            </w:r>
          </w:p>
        </w:tc>
        <w:tc>
          <w:tcPr>
            <w:tcW w:w="1360" w:type="dxa"/>
            <w:vAlign w:val="center"/>
          </w:tcPr>
          <w:p w14:paraId="7BA60BE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val="en-US" w:eastAsia="zh-CN"/>
              </w:rPr>
            </w:pPr>
            <w:r>
              <w:rPr>
                <w:rFonts w:hint="eastAsia" w:ascii="仿宋" w:hAnsi="仿宋" w:eastAsia="仿宋" w:cs="仿宋"/>
              </w:rPr>
              <w:t>提供证明文件的电子件或电子证照</w:t>
            </w:r>
          </w:p>
        </w:tc>
      </w:tr>
      <w:tr w14:paraId="1B706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818" w:type="dxa"/>
            <w:vAlign w:val="center"/>
          </w:tcPr>
          <w:p w14:paraId="092BCF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val="en-US" w:eastAsia="zh-CN"/>
              </w:rPr>
            </w:pPr>
            <w:r>
              <w:rPr>
                <w:rFonts w:hint="eastAsia" w:ascii="仿宋" w:hAnsi="仿宋" w:eastAsia="仿宋" w:cs="仿宋"/>
                <w:lang w:val="en-US" w:eastAsia="zh-CN"/>
              </w:rPr>
              <w:t>2</w:t>
            </w:r>
          </w:p>
        </w:tc>
        <w:tc>
          <w:tcPr>
            <w:tcW w:w="1716" w:type="dxa"/>
            <w:vAlign w:val="center"/>
          </w:tcPr>
          <w:p w14:paraId="5BE64E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val="en-US" w:eastAsia="zh-CN"/>
              </w:rPr>
            </w:pPr>
            <w:r>
              <w:rPr>
                <w:rFonts w:hint="eastAsia" w:ascii="仿宋" w:hAnsi="仿宋" w:eastAsia="仿宋" w:cs="仿宋"/>
                <w:lang w:val="en-US" w:eastAsia="zh-CN"/>
              </w:rPr>
              <w:t>资质条件</w:t>
            </w:r>
          </w:p>
        </w:tc>
        <w:tc>
          <w:tcPr>
            <w:tcW w:w="5469" w:type="dxa"/>
            <w:vAlign w:val="center"/>
          </w:tcPr>
          <w:p w14:paraId="154BD07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val="en-US" w:eastAsia="zh-CN"/>
              </w:rPr>
            </w:pPr>
            <w:r>
              <w:rPr>
                <w:rFonts w:hint="eastAsia" w:ascii="仿宋" w:hAnsi="仿宋" w:eastAsia="仿宋" w:cs="仿宋"/>
                <w:sz w:val="21"/>
                <w:szCs w:val="21"/>
                <w:lang w:val="en-US" w:eastAsia="zh-CN"/>
              </w:rPr>
              <w:t>投标人须具备监理工程综合资质或房屋建筑监理工程专业资质丙级及以上；</w:t>
            </w:r>
          </w:p>
        </w:tc>
        <w:tc>
          <w:tcPr>
            <w:tcW w:w="1360" w:type="dxa"/>
            <w:vAlign w:val="center"/>
          </w:tcPr>
          <w:p w14:paraId="1A21B8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val="en-US" w:eastAsia="zh-CN"/>
              </w:rPr>
            </w:pPr>
            <w:r>
              <w:rPr>
                <w:rFonts w:hint="eastAsia" w:ascii="仿宋" w:hAnsi="仿宋" w:eastAsia="仿宋" w:cs="仿宋"/>
              </w:rPr>
              <w:t>提供证明文件的电子件或电子证照</w:t>
            </w:r>
          </w:p>
        </w:tc>
      </w:tr>
      <w:tr w14:paraId="38ECB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818" w:type="dxa"/>
            <w:vAlign w:val="center"/>
          </w:tcPr>
          <w:p w14:paraId="2C12403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val="en-US" w:eastAsia="zh-CN"/>
              </w:rPr>
            </w:pPr>
            <w:r>
              <w:rPr>
                <w:rFonts w:hint="eastAsia" w:ascii="仿宋" w:hAnsi="仿宋" w:eastAsia="仿宋" w:cs="仿宋"/>
                <w:lang w:val="en-US" w:eastAsia="zh-CN"/>
              </w:rPr>
              <w:t>3</w:t>
            </w:r>
          </w:p>
        </w:tc>
        <w:tc>
          <w:tcPr>
            <w:tcW w:w="1716" w:type="dxa"/>
            <w:vAlign w:val="center"/>
          </w:tcPr>
          <w:p w14:paraId="63D757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val="en-US" w:eastAsia="zh-CN"/>
              </w:rPr>
            </w:pPr>
            <w:r>
              <w:rPr>
                <w:rFonts w:hint="eastAsia" w:ascii="仿宋" w:hAnsi="仿宋" w:eastAsia="仿宋" w:cs="仿宋"/>
                <w:lang w:val="en-US" w:eastAsia="zh-CN"/>
              </w:rPr>
              <w:t>资信能力</w:t>
            </w:r>
          </w:p>
        </w:tc>
        <w:tc>
          <w:tcPr>
            <w:tcW w:w="5469" w:type="dxa"/>
            <w:vAlign w:val="center"/>
          </w:tcPr>
          <w:p w14:paraId="2C9635A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val="en-US" w:eastAsia="zh-CN"/>
              </w:rPr>
            </w:pPr>
            <w:r>
              <w:rPr>
                <w:rFonts w:hint="eastAsia" w:ascii="仿宋" w:hAnsi="仿宋" w:eastAsia="仿宋" w:cs="仿宋"/>
                <w:sz w:val="21"/>
                <w:szCs w:val="21"/>
                <w:lang w:val="en-US" w:eastAsia="zh-CN"/>
              </w:rPr>
              <w:t>投标人应具有良好的银行资信和商业信誉，没有处于被责令停业、财产被接管、冻结、破产状态；</w:t>
            </w:r>
          </w:p>
        </w:tc>
        <w:tc>
          <w:tcPr>
            <w:tcW w:w="1360" w:type="dxa"/>
            <w:vAlign w:val="center"/>
          </w:tcPr>
          <w:p w14:paraId="5529FA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val="en-US" w:eastAsia="zh-CN"/>
              </w:rPr>
            </w:pPr>
            <w:r>
              <w:rPr>
                <w:rFonts w:hint="eastAsia" w:ascii="仿宋" w:hAnsi="仿宋" w:eastAsia="仿宋" w:cs="仿宋"/>
              </w:rPr>
              <w:t>提供证明文件的电子件或电子证照</w:t>
            </w:r>
          </w:p>
        </w:tc>
      </w:tr>
      <w:tr w14:paraId="60CD7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818" w:type="dxa"/>
            <w:vAlign w:val="center"/>
          </w:tcPr>
          <w:p w14:paraId="036E82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val="en-US" w:eastAsia="zh-CN"/>
              </w:rPr>
            </w:pPr>
            <w:r>
              <w:rPr>
                <w:rFonts w:hint="eastAsia" w:ascii="仿宋" w:hAnsi="仿宋" w:eastAsia="仿宋" w:cs="仿宋"/>
                <w:lang w:val="en-US" w:eastAsia="zh-CN"/>
              </w:rPr>
              <w:t>4</w:t>
            </w:r>
          </w:p>
        </w:tc>
        <w:tc>
          <w:tcPr>
            <w:tcW w:w="1716" w:type="dxa"/>
            <w:vAlign w:val="center"/>
          </w:tcPr>
          <w:p w14:paraId="2060F4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val="en-US" w:eastAsia="zh-CN"/>
              </w:rPr>
            </w:pPr>
            <w:r>
              <w:rPr>
                <w:rFonts w:hint="eastAsia" w:ascii="仿宋" w:hAnsi="仿宋" w:eastAsia="仿宋" w:cs="仿宋"/>
                <w:lang w:val="en-US" w:eastAsia="zh-CN"/>
              </w:rPr>
              <w:t>供应商信用记录查询</w:t>
            </w:r>
          </w:p>
        </w:tc>
        <w:tc>
          <w:tcPr>
            <w:tcW w:w="5469" w:type="dxa"/>
            <w:vAlign w:val="center"/>
          </w:tcPr>
          <w:p w14:paraId="0E4FC6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val="en-US" w:eastAsia="zh-CN"/>
              </w:rPr>
            </w:pPr>
            <w:r>
              <w:rPr>
                <w:rFonts w:hint="eastAsia" w:ascii="仿宋" w:hAnsi="仿宋" w:eastAsia="仿宋" w:cs="仿宋"/>
                <w:sz w:val="21"/>
                <w:szCs w:val="21"/>
                <w:lang w:val="en-US" w:eastAsia="zh-CN"/>
              </w:rPr>
              <w:t>投标人在“信用中国”网站(http://www.creditchina.gov.cn/)平台中无“失信被执行人”不良信用记录和在国家企业信用信息公示系统(http://www..gsxt.gov.cn/)中未被列入严重违法失信企业名单；</w:t>
            </w:r>
          </w:p>
        </w:tc>
        <w:tc>
          <w:tcPr>
            <w:tcW w:w="1360" w:type="dxa"/>
            <w:vAlign w:val="center"/>
          </w:tcPr>
          <w:p w14:paraId="20CF4A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val="en-US" w:eastAsia="zh-CN"/>
              </w:rPr>
            </w:pPr>
            <w:r>
              <w:rPr>
                <w:rFonts w:hint="eastAsia" w:ascii="仿宋" w:hAnsi="仿宋" w:eastAsia="仿宋" w:cs="仿宋"/>
              </w:rPr>
              <w:t>提供证明文件的电子件或电子证照</w:t>
            </w:r>
          </w:p>
        </w:tc>
      </w:tr>
      <w:tr w14:paraId="4D92F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818" w:type="dxa"/>
            <w:vAlign w:val="center"/>
          </w:tcPr>
          <w:p w14:paraId="6DB4FE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1-4</w:t>
            </w:r>
          </w:p>
        </w:tc>
        <w:tc>
          <w:tcPr>
            <w:tcW w:w="1716" w:type="dxa"/>
            <w:vAlign w:val="center"/>
          </w:tcPr>
          <w:p w14:paraId="145A64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val="en-US" w:eastAsia="zh-CN"/>
              </w:rPr>
            </w:pPr>
            <w:r>
              <w:rPr>
                <w:rFonts w:hint="eastAsia" w:ascii="仿宋" w:hAnsi="仿宋" w:eastAsia="仿宋" w:cs="仿宋"/>
                <w:lang w:val="en-US" w:eastAsia="zh-CN"/>
              </w:rPr>
              <w:t>业绩要求</w:t>
            </w:r>
          </w:p>
        </w:tc>
        <w:tc>
          <w:tcPr>
            <w:tcW w:w="5469" w:type="dxa"/>
            <w:vAlign w:val="center"/>
          </w:tcPr>
          <w:p w14:paraId="069F4F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投标人近五年具有类似工程相关工程监理业绩（提供“监理合同(第一部分)”、“中标通知书或发包通知书”以及“竣工验收报告或竣工接受证书或单项工程竣工验收意见表”）</w:t>
            </w:r>
          </w:p>
        </w:tc>
        <w:tc>
          <w:tcPr>
            <w:tcW w:w="1360" w:type="dxa"/>
            <w:vAlign w:val="center"/>
          </w:tcPr>
          <w:p w14:paraId="6E8643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val="en-US" w:eastAsia="zh-CN"/>
              </w:rPr>
            </w:pPr>
            <w:r>
              <w:rPr>
                <w:rFonts w:hint="eastAsia" w:ascii="仿宋" w:hAnsi="仿宋" w:eastAsia="仿宋" w:cs="仿宋"/>
              </w:rPr>
              <w:t>提供证明文件的电子件或电子证照</w:t>
            </w:r>
          </w:p>
        </w:tc>
      </w:tr>
      <w:tr w14:paraId="54531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818" w:type="dxa"/>
            <w:vAlign w:val="center"/>
          </w:tcPr>
          <w:p w14:paraId="684D1A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2</w:t>
            </w:r>
          </w:p>
        </w:tc>
        <w:tc>
          <w:tcPr>
            <w:tcW w:w="1716" w:type="dxa"/>
            <w:vAlign w:val="center"/>
          </w:tcPr>
          <w:p w14:paraId="4DE180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val="en-US" w:eastAsia="zh-CN"/>
              </w:rPr>
            </w:pPr>
            <w:r>
              <w:rPr>
                <w:rFonts w:hint="eastAsia" w:ascii="仿宋" w:hAnsi="仿宋" w:eastAsia="仿宋" w:cs="仿宋"/>
                <w:lang w:val="en-US" w:eastAsia="zh-CN"/>
              </w:rPr>
              <w:t>项目负责人</w:t>
            </w:r>
          </w:p>
        </w:tc>
        <w:tc>
          <w:tcPr>
            <w:tcW w:w="5469" w:type="dxa"/>
            <w:vAlign w:val="center"/>
          </w:tcPr>
          <w:p w14:paraId="2401BAA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sz w:val="21"/>
                <w:szCs w:val="21"/>
                <w:lang w:val="en-US" w:eastAsia="zh-CN"/>
              </w:rPr>
              <w:t>投标人拟派总监理工程师须具备房屋建筑工程专业国家注册监理工程师执业资格，具有工程类工程师以上职称，具有类似工程监理或管理经验，本单位注册，且在有效期内；</w:t>
            </w:r>
          </w:p>
        </w:tc>
        <w:tc>
          <w:tcPr>
            <w:tcW w:w="1360" w:type="dxa"/>
            <w:vAlign w:val="center"/>
          </w:tcPr>
          <w:p w14:paraId="3884D8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eastAsia="zh-CN"/>
              </w:rPr>
            </w:pPr>
            <w:r>
              <w:rPr>
                <w:rFonts w:hint="eastAsia" w:ascii="仿宋" w:hAnsi="仿宋" w:eastAsia="仿宋" w:cs="仿宋"/>
              </w:rPr>
              <w:t>提供证明文件的电子件或电子证照</w:t>
            </w:r>
          </w:p>
        </w:tc>
      </w:tr>
      <w:tr w14:paraId="498D2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818" w:type="dxa"/>
            <w:vAlign w:val="center"/>
          </w:tcPr>
          <w:p w14:paraId="3906F7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2-1</w:t>
            </w:r>
          </w:p>
        </w:tc>
        <w:tc>
          <w:tcPr>
            <w:tcW w:w="1716" w:type="dxa"/>
            <w:vAlign w:val="center"/>
          </w:tcPr>
          <w:p w14:paraId="4936112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val="en-US" w:eastAsia="zh-CN"/>
              </w:rPr>
            </w:pPr>
            <w:r>
              <w:rPr>
                <w:rFonts w:hint="eastAsia" w:ascii="仿宋" w:hAnsi="仿宋" w:eastAsia="仿宋" w:cs="仿宋"/>
                <w:lang w:val="en-US" w:eastAsia="zh-CN"/>
              </w:rPr>
              <w:t>项目负责人业绩</w:t>
            </w:r>
          </w:p>
        </w:tc>
        <w:tc>
          <w:tcPr>
            <w:tcW w:w="5469" w:type="dxa"/>
            <w:vAlign w:val="center"/>
          </w:tcPr>
          <w:p w14:paraId="322BFD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sz w:val="21"/>
                <w:szCs w:val="21"/>
                <w:lang w:val="en-US" w:eastAsia="zh-CN"/>
              </w:rPr>
              <w:t>总监理工程师类似业绩要求：近三年（2022年4月1日-至今）已完成的类似工程业绩不得少于1项（须提供“监理合同(第一部分)”、“中标通知书或发包通知书”以及“竣工验收报告或竣工接受证书或单项工程竣工验收意见表”，业绩证明材料须反映项目总监理工程师情况）；</w:t>
            </w:r>
          </w:p>
        </w:tc>
        <w:tc>
          <w:tcPr>
            <w:tcW w:w="1360" w:type="dxa"/>
            <w:vAlign w:val="center"/>
          </w:tcPr>
          <w:p w14:paraId="587B384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提供证明文件的电子件或电子证照</w:t>
            </w:r>
          </w:p>
        </w:tc>
      </w:tr>
      <w:tr w14:paraId="0B81B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818" w:type="dxa"/>
            <w:vAlign w:val="center"/>
          </w:tcPr>
          <w:p w14:paraId="65E7A9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2-1-1</w:t>
            </w:r>
          </w:p>
        </w:tc>
        <w:tc>
          <w:tcPr>
            <w:tcW w:w="1716" w:type="dxa"/>
            <w:vAlign w:val="center"/>
          </w:tcPr>
          <w:p w14:paraId="78E625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val="en-US" w:eastAsia="zh-CN"/>
              </w:rPr>
            </w:pPr>
            <w:r>
              <w:rPr>
                <w:rFonts w:hint="eastAsia" w:ascii="仿宋" w:hAnsi="仿宋" w:eastAsia="仿宋" w:cs="仿宋"/>
                <w:lang w:val="en-US" w:eastAsia="zh-CN"/>
              </w:rPr>
              <w:t>其他</w:t>
            </w:r>
          </w:p>
        </w:tc>
        <w:tc>
          <w:tcPr>
            <w:tcW w:w="5469" w:type="dxa"/>
            <w:vAlign w:val="center"/>
          </w:tcPr>
          <w:p w14:paraId="05E2F2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sz w:val="21"/>
                <w:szCs w:val="21"/>
                <w:lang w:val="en-US" w:eastAsia="zh-CN"/>
              </w:rPr>
              <w:t>投标人及其法定代表人无行贿犯罪记录（查询结果以“中国裁判文书网”查询截图为准）；</w:t>
            </w:r>
          </w:p>
        </w:tc>
        <w:tc>
          <w:tcPr>
            <w:tcW w:w="1360" w:type="dxa"/>
            <w:vAlign w:val="center"/>
          </w:tcPr>
          <w:p w14:paraId="7B8EDE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提供证明文件的电子件或电子证照</w:t>
            </w:r>
          </w:p>
        </w:tc>
      </w:tr>
      <w:tr w14:paraId="2970B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818" w:type="dxa"/>
            <w:vAlign w:val="center"/>
          </w:tcPr>
          <w:p w14:paraId="7328EF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2-1-2</w:t>
            </w:r>
          </w:p>
        </w:tc>
        <w:tc>
          <w:tcPr>
            <w:tcW w:w="1716" w:type="dxa"/>
            <w:vAlign w:val="center"/>
          </w:tcPr>
          <w:p w14:paraId="20F85A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val="en-US" w:eastAsia="zh-CN"/>
              </w:rPr>
            </w:pPr>
            <w:r>
              <w:rPr>
                <w:rFonts w:hint="eastAsia" w:ascii="仿宋" w:hAnsi="仿宋" w:eastAsia="仿宋" w:cs="仿宋"/>
                <w:lang w:val="en-US" w:eastAsia="zh-CN"/>
              </w:rPr>
              <w:t>其他</w:t>
            </w:r>
          </w:p>
        </w:tc>
        <w:tc>
          <w:tcPr>
            <w:tcW w:w="5469" w:type="dxa"/>
            <w:vAlign w:val="center"/>
          </w:tcPr>
          <w:p w14:paraId="71A171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sz w:val="21"/>
                <w:szCs w:val="21"/>
                <w:lang w:val="en-US" w:eastAsia="zh-CN"/>
              </w:rPr>
              <w:t>单位负责人、法定代表人为同一人或者存在控股、管理关系的不同单位，不得参加同一标段投标或者未划分标段的同一招标项目投标；</w:t>
            </w:r>
          </w:p>
        </w:tc>
        <w:tc>
          <w:tcPr>
            <w:tcW w:w="1360" w:type="dxa"/>
            <w:vAlign w:val="center"/>
          </w:tcPr>
          <w:p w14:paraId="096757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提供证明文件的电子件或电子证照</w:t>
            </w:r>
          </w:p>
        </w:tc>
      </w:tr>
    </w:tbl>
    <w:p w14:paraId="34888B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备注：</w:t>
      </w:r>
    </w:p>
    <w:p w14:paraId="701595B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1.供应商须按上表格式要求提供相关证明文件，响应文件中须编入清晰的扫描件或网页截图。所有证明材料须清晰可辨认，如因证明材料模糊无法辨认，缺页、漏页导致无法进行评审认定的，责任由供应商承担。</w:t>
      </w:r>
    </w:p>
    <w:p w14:paraId="050953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2.信用信息核查</w:t>
      </w:r>
    </w:p>
    <w:p w14:paraId="5706B6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2.1资格审查阶段应当核查供应商信用记录，供应商被列入失信被执行人、重大税收违法失信主体、政府采购严重违法失信行为记录名单的，采购人拒绝其参与政府采购活动。</w:t>
      </w:r>
    </w:p>
    <w:p w14:paraId="7F19A0B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2.2以联合体形式参与磋商的，应当核查联合体所有成员和信用记录，联合体成员存在不良信用记录的，视同联合体存在不良信用信息。</w:t>
      </w:r>
    </w:p>
    <w:p w14:paraId="27B596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3.对于响应文件中有任意一条不满足上表要求的，将导致其响应无效，不得进入下一项评审。</w:t>
      </w:r>
    </w:p>
    <w:p w14:paraId="752E2A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bookmarkStart w:id="74" w:name="bookmark69"/>
      <w:bookmarkEnd w:id="74"/>
      <w:bookmarkStart w:id="75" w:name="bookmark68"/>
      <w:bookmarkEnd w:id="75"/>
      <w:bookmarkStart w:id="76" w:name="bookmark71"/>
      <w:bookmarkEnd w:id="76"/>
      <w:r>
        <w:rPr>
          <w:rFonts w:hint="eastAsia" w:ascii="仿宋" w:hAnsi="仿宋" w:eastAsia="仿宋" w:cs="仿宋"/>
          <w:b/>
          <w:bCs/>
          <w:sz w:val="24"/>
          <w:szCs w:val="24"/>
        </w:rPr>
        <w:br w:type="page"/>
      </w:r>
    </w:p>
    <w:p w14:paraId="20133D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仿宋" w:hAnsi="仿宋" w:eastAsia="仿宋" w:cs="仿宋"/>
        </w:rPr>
      </w:pPr>
      <w:r>
        <w:rPr>
          <w:rFonts w:hint="eastAsia" w:ascii="仿宋" w:hAnsi="仿宋" w:eastAsia="仿宋" w:cs="仿宋"/>
          <w:b/>
          <w:bCs/>
          <w:sz w:val="24"/>
          <w:szCs w:val="24"/>
        </w:rPr>
        <w:t>（二）符合性审查表</w:t>
      </w:r>
    </w:p>
    <w:p w14:paraId="3A2C08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p>
    <w:tbl>
      <w:tblPr>
        <w:tblStyle w:val="11"/>
        <w:tblW w:w="92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4"/>
        <w:gridCol w:w="1301"/>
        <w:gridCol w:w="5476"/>
        <w:gridCol w:w="866"/>
        <w:gridCol w:w="1092"/>
      </w:tblGrid>
      <w:tr w14:paraId="09668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14" w:type="dxa"/>
            <w:vMerge w:val="restart"/>
            <w:tcBorders>
              <w:top w:val="single" w:color="auto" w:sz="4" w:space="0"/>
              <w:left w:val="single" w:color="auto" w:sz="4" w:space="0"/>
              <w:bottom w:val="single" w:color="auto" w:sz="4" w:space="0"/>
              <w:right w:val="single" w:color="auto" w:sz="4" w:space="0"/>
            </w:tcBorders>
            <w:shd w:val="clear" w:color="auto" w:fill="D8D8D8"/>
            <w:textDirection w:val="tbRlV"/>
            <w:vAlign w:val="center"/>
          </w:tcPr>
          <w:p w14:paraId="79AC00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序号</w:t>
            </w:r>
          </w:p>
        </w:tc>
        <w:tc>
          <w:tcPr>
            <w:tcW w:w="1301" w:type="dxa"/>
            <w:vMerge w:val="restart"/>
            <w:tcBorders>
              <w:top w:val="single" w:color="auto" w:sz="4" w:space="0"/>
              <w:left w:val="single" w:color="auto" w:sz="4" w:space="0"/>
              <w:bottom w:val="single" w:color="auto" w:sz="4" w:space="0"/>
              <w:right w:val="single" w:color="auto" w:sz="4" w:space="0"/>
            </w:tcBorders>
            <w:shd w:val="clear" w:color="auto" w:fill="D8D8D8"/>
            <w:vAlign w:val="center"/>
          </w:tcPr>
          <w:p w14:paraId="1F4320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审查项名称</w:t>
            </w:r>
          </w:p>
        </w:tc>
        <w:tc>
          <w:tcPr>
            <w:tcW w:w="5476" w:type="dxa"/>
            <w:vMerge w:val="restart"/>
            <w:tcBorders>
              <w:top w:val="single" w:color="auto" w:sz="4" w:space="0"/>
              <w:left w:val="single" w:color="auto" w:sz="4" w:space="0"/>
              <w:bottom w:val="single" w:color="auto" w:sz="4" w:space="0"/>
              <w:right w:val="single" w:color="auto" w:sz="4" w:space="0"/>
            </w:tcBorders>
            <w:shd w:val="clear" w:color="auto" w:fill="D8D8D8"/>
            <w:vAlign w:val="center"/>
          </w:tcPr>
          <w:p w14:paraId="0322214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审查内容</w:t>
            </w:r>
          </w:p>
        </w:tc>
        <w:tc>
          <w:tcPr>
            <w:tcW w:w="1958"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14:paraId="6C7287B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审查结果</w:t>
            </w:r>
          </w:p>
        </w:tc>
      </w:tr>
      <w:tr w14:paraId="2A907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1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331853E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c>
          <w:tcPr>
            <w:tcW w:w="1301" w:type="dxa"/>
            <w:vMerge w:val="continue"/>
            <w:tcBorders>
              <w:top w:val="single" w:color="auto" w:sz="4" w:space="0"/>
              <w:left w:val="single" w:color="auto" w:sz="4" w:space="0"/>
              <w:bottom w:val="single" w:color="auto" w:sz="4" w:space="0"/>
              <w:right w:val="single" w:color="auto" w:sz="4" w:space="0"/>
            </w:tcBorders>
            <w:vAlign w:val="center"/>
          </w:tcPr>
          <w:p w14:paraId="4B555CC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c>
          <w:tcPr>
            <w:tcW w:w="5476" w:type="dxa"/>
            <w:vMerge w:val="continue"/>
            <w:tcBorders>
              <w:top w:val="single" w:color="auto" w:sz="4" w:space="0"/>
              <w:left w:val="single" w:color="auto" w:sz="4" w:space="0"/>
              <w:bottom w:val="single" w:color="auto" w:sz="4" w:space="0"/>
              <w:right w:val="single" w:color="auto" w:sz="4" w:space="0"/>
            </w:tcBorders>
            <w:vAlign w:val="center"/>
          </w:tcPr>
          <w:p w14:paraId="34AD50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c>
          <w:tcPr>
            <w:tcW w:w="866" w:type="dxa"/>
            <w:tcBorders>
              <w:top w:val="single" w:color="auto" w:sz="4" w:space="0"/>
              <w:left w:val="single" w:color="auto" w:sz="4" w:space="0"/>
              <w:bottom w:val="single" w:color="auto" w:sz="4" w:space="0"/>
              <w:right w:val="single" w:color="auto" w:sz="4" w:space="0"/>
            </w:tcBorders>
            <w:shd w:val="clear" w:color="auto" w:fill="D8D8D8"/>
            <w:vAlign w:val="center"/>
          </w:tcPr>
          <w:p w14:paraId="52A53AA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符合</w:t>
            </w:r>
          </w:p>
        </w:tc>
        <w:tc>
          <w:tcPr>
            <w:tcW w:w="1092" w:type="dxa"/>
            <w:tcBorders>
              <w:top w:val="single" w:color="auto" w:sz="4" w:space="0"/>
              <w:left w:val="single" w:color="auto" w:sz="4" w:space="0"/>
              <w:bottom w:val="single" w:color="auto" w:sz="4" w:space="0"/>
              <w:right w:val="single" w:color="auto" w:sz="4" w:space="0"/>
            </w:tcBorders>
            <w:shd w:val="clear" w:color="auto" w:fill="D8D8D8"/>
            <w:vAlign w:val="center"/>
          </w:tcPr>
          <w:p w14:paraId="6BFFC8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不符合</w:t>
            </w:r>
          </w:p>
        </w:tc>
      </w:tr>
      <w:tr w14:paraId="6CAB5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14:paraId="7B49030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1</w:t>
            </w:r>
          </w:p>
        </w:tc>
        <w:tc>
          <w:tcPr>
            <w:tcW w:w="1301" w:type="dxa"/>
            <w:tcBorders>
              <w:top w:val="single" w:color="auto" w:sz="4" w:space="0"/>
              <w:left w:val="single" w:color="auto" w:sz="4" w:space="0"/>
              <w:bottom w:val="single" w:color="auto" w:sz="4" w:space="0"/>
              <w:right w:val="single" w:color="auto" w:sz="4" w:space="0"/>
            </w:tcBorders>
            <w:vAlign w:val="center"/>
          </w:tcPr>
          <w:p w14:paraId="31B77C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响应文件签署</w:t>
            </w:r>
          </w:p>
        </w:tc>
        <w:tc>
          <w:tcPr>
            <w:tcW w:w="5476" w:type="dxa"/>
            <w:tcBorders>
              <w:top w:val="single" w:color="auto" w:sz="4" w:space="0"/>
              <w:left w:val="single" w:color="auto" w:sz="4" w:space="0"/>
              <w:bottom w:val="single" w:color="auto" w:sz="4" w:space="0"/>
              <w:right w:val="single" w:color="auto" w:sz="4" w:space="0"/>
            </w:tcBorders>
            <w:vAlign w:val="center"/>
          </w:tcPr>
          <w:p w14:paraId="7A1581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响应文件按磋商文件要求签署、盖章的</w:t>
            </w:r>
          </w:p>
        </w:tc>
        <w:tc>
          <w:tcPr>
            <w:tcW w:w="866" w:type="dxa"/>
            <w:tcBorders>
              <w:top w:val="single" w:color="auto" w:sz="4" w:space="0"/>
              <w:left w:val="single" w:color="auto" w:sz="4" w:space="0"/>
              <w:bottom w:val="single" w:color="auto" w:sz="4" w:space="0"/>
              <w:right w:val="single" w:color="auto" w:sz="4" w:space="0"/>
            </w:tcBorders>
            <w:vAlign w:val="center"/>
          </w:tcPr>
          <w:p w14:paraId="610D7E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c>
          <w:tcPr>
            <w:tcW w:w="1092" w:type="dxa"/>
            <w:tcBorders>
              <w:top w:val="single" w:color="auto" w:sz="4" w:space="0"/>
              <w:left w:val="single" w:color="auto" w:sz="4" w:space="0"/>
              <w:bottom w:val="single" w:color="auto" w:sz="4" w:space="0"/>
              <w:right w:val="single" w:color="auto" w:sz="4" w:space="0"/>
            </w:tcBorders>
            <w:vAlign w:val="center"/>
          </w:tcPr>
          <w:p w14:paraId="05151B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r>
      <w:tr w14:paraId="12F0D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14:paraId="10F65A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2</w:t>
            </w:r>
          </w:p>
        </w:tc>
        <w:tc>
          <w:tcPr>
            <w:tcW w:w="1301" w:type="dxa"/>
            <w:tcBorders>
              <w:top w:val="single" w:color="auto" w:sz="4" w:space="0"/>
              <w:left w:val="single" w:color="auto" w:sz="4" w:space="0"/>
              <w:bottom w:val="single" w:color="auto" w:sz="4" w:space="0"/>
              <w:right w:val="single" w:color="auto" w:sz="4" w:space="0"/>
            </w:tcBorders>
            <w:vAlign w:val="center"/>
          </w:tcPr>
          <w:p w14:paraId="6B49B31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实质性要求</w:t>
            </w:r>
          </w:p>
        </w:tc>
        <w:tc>
          <w:tcPr>
            <w:tcW w:w="5476" w:type="dxa"/>
            <w:tcBorders>
              <w:top w:val="single" w:color="auto" w:sz="4" w:space="0"/>
              <w:left w:val="single" w:color="auto" w:sz="4" w:space="0"/>
              <w:bottom w:val="single" w:color="auto" w:sz="4" w:space="0"/>
              <w:right w:val="single" w:color="auto" w:sz="4" w:space="0"/>
            </w:tcBorders>
            <w:vAlign w:val="center"/>
          </w:tcPr>
          <w:p w14:paraId="409EAD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响应文件满足磋商文件中标注“★”号的实质性条款（或指标）要求的，具体详见“实质性响应一览表”</w:t>
            </w:r>
          </w:p>
        </w:tc>
        <w:tc>
          <w:tcPr>
            <w:tcW w:w="866" w:type="dxa"/>
            <w:tcBorders>
              <w:top w:val="single" w:color="auto" w:sz="4" w:space="0"/>
              <w:left w:val="single" w:color="auto" w:sz="4" w:space="0"/>
              <w:bottom w:val="single" w:color="auto" w:sz="4" w:space="0"/>
              <w:right w:val="single" w:color="auto" w:sz="4" w:space="0"/>
            </w:tcBorders>
            <w:vAlign w:val="center"/>
          </w:tcPr>
          <w:p w14:paraId="23C358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c>
          <w:tcPr>
            <w:tcW w:w="1092" w:type="dxa"/>
            <w:tcBorders>
              <w:top w:val="single" w:color="auto" w:sz="4" w:space="0"/>
              <w:left w:val="single" w:color="auto" w:sz="4" w:space="0"/>
              <w:bottom w:val="single" w:color="auto" w:sz="4" w:space="0"/>
              <w:right w:val="single" w:color="auto" w:sz="4" w:space="0"/>
            </w:tcBorders>
            <w:vAlign w:val="center"/>
          </w:tcPr>
          <w:p w14:paraId="5C8E1ED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r>
      <w:tr w14:paraId="4BD6A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14:paraId="60BF1B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3</w:t>
            </w:r>
          </w:p>
        </w:tc>
        <w:tc>
          <w:tcPr>
            <w:tcW w:w="1301" w:type="dxa"/>
            <w:tcBorders>
              <w:top w:val="single" w:color="auto" w:sz="4" w:space="0"/>
              <w:left w:val="single" w:color="auto" w:sz="4" w:space="0"/>
              <w:bottom w:val="single" w:color="auto" w:sz="4" w:space="0"/>
              <w:right w:val="single" w:color="auto" w:sz="4" w:space="0"/>
            </w:tcBorders>
            <w:vAlign w:val="center"/>
          </w:tcPr>
          <w:p w14:paraId="6DF938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磋商响应性报价</w:t>
            </w:r>
          </w:p>
        </w:tc>
        <w:tc>
          <w:tcPr>
            <w:tcW w:w="5476" w:type="dxa"/>
            <w:tcBorders>
              <w:top w:val="single" w:color="auto" w:sz="4" w:space="0"/>
              <w:left w:val="single" w:color="auto" w:sz="4" w:space="0"/>
              <w:bottom w:val="single" w:color="auto" w:sz="4" w:space="0"/>
              <w:right w:val="single" w:color="auto" w:sz="4" w:space="0"/>
            </w:tcBorders>
            <w:vAlign w:val="center"/>
          </w:tcPr>
          <w:p w14:paraId="45C8DB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供应商报价未超过磋商文件中规定的最高限价或者预算金额的</w:t>
            </w:r>
          </w:p>
        </w:tc>
        <w:tc>
          <w:tcPr>
            <w:tcW w:w="866" w:type="dxa"/>
            <w:tcBorders>
              <w:top w:val="single" w:color="auto" w:sz="4" w:space="0"/>
              <w:left w:val="single" w:color="auto" w:sz="4" w:space="0"/>
              <w:bottom w:val="single" w:color="auto" w:sz="4" w:space="0"/>
              <w:right w:val="single" w:color="auto" w:sz="4" w:space="0"/>
            </w:tcBorders>
            <w:vAlign w:val="center"/>
          </w:tcPr>
          <w:p w14:paraId="64EAB7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c>
          <w:tcPr>
            <w:tcW w:w="1092" w:type="dxa"/>
            <w:tcBorders>
              <w:top w:val="single" w:color="auto" w:sz="4" w:space="0"/>
              <w:left w:val="single" w:color="auto" w:sz="4" w:space="0"/>
              <w:bottom w:val="single" w:color="auto" w:sz="4" w:space="0"/>
              <w:right w:val="single" w:color="auto" w:sz="4" w:space="0"/>
            </w:tcBorders>
            <w:vAlign w:val="center"/>
          </w:tcPr>
          <w:p w14:paraId="38EA11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r>
      <w:tr w14:paraId="38624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14:paraId="4739D2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4</w:t>
            </w:r>
          </w:p>
        </w:tc>
        <w:tc>
          <w:tcPr>
            <w:tcW w:w="1301" w:type="dxa"/>
            <w:tcBorders>
              <w:top w:val="single" w:color="auto" w:sz="4" w:space="0"/>
              <w:left w:val="single" w:color="auto" w:sz="4" w:space="0"/>
              <w:bottom w:val="single" w:color="auto" w:sz="4" w:space="0"/>
              <w:right w:val="single" w:color="auto" w:sz="4" w:space="0"/>
            </w:tcBorders>
            <w:vAlign w:val="center"/>
          </w:tcPr>
          <w:p w14:paraId="3F9F8B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虚假材料</w:t>
            </w:r>
          </w:p>
        </w:tc>
        <w:tc>
          <w:tcPr>
            <w:tcW w:w="5476" w:type="dxa"/>
            <w:tcBorders>
              <w:top w:val="single" w:color="auto" w:sz="4" w:space="0"/>
              <w:left w:val="single" w:color="auto" w:sz="4" w:space="0"/>
              <w:bottom w:val="single" w:color="auto" w:sz="4" w:space="0"/>
              <w:right w:val="single" w:color="auto" w:sz="4" w:space="0"/>
            </w:tcBorders>
            <w:vAlign w:val="center"/>
          </w:tcPr>
          <w:p w14:paraId="1CE67B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响应文件未提供虚假材料的</w:t>
            </w:r>
          </w:p>
        </w:tc>
        <w:tc>
          <w:tcPr>
            <w:tcW w:w="866" w:type="dxa"/>
            <w:tcBorders>
              <w:top w:val="single" w:color="auto" w:sz="4" w:space="0"/>
              <w:left w:val="single" w:color="auto" w:sz="4" w:space="0"/>
              <w:bottom w:val="single" w:color="auto" w:sz="4" w:space="0"/>
              <w:right w:val="single" w:color="auto" w:sz="4" w:space="0"/>
            </w:tcBorders>
            <w:vAlign w:val="center"/>
          </w:tcPr>
          <w:p w14:paraId="23140C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c>
          <w:tcPr>
            <w:tcW w:w="1092" w:type="dxa"/>
            <w:tcBorders>
              <w:top w:val="single" w:color="auto" w:sz="4" w:space="0"/>
              <w:left w:val="single" w:color="auto" w:sz="4" w:space="0"/>
              <w:bottom w:val="single" w:color="auto" w:sz="4" w:space="0"/>
              <w:right w:val="single" w:color="auto" w:sz="4" w:space="0"/>
            </w:tcBorders>
            <w:vAlign w:val="center"/>
          </w:tcPr>
          <w:p w14:paraId="608E77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r>
      <w:tr w14:paraId="4F332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14:paraId="6F415C6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eastAsia="zh-CN"/>
              </w:rPr>
            </w:pPr>
            <w:r>
              <w:rPr>
                <w:rFonts w:hint="eastAsia" w:ascii="仿宋" w:hAnsi="仿宋" w:eastAsia="仿宋" w:cs="仿宋"/>
                <w:lang w:val="en-US" w:eastAsia="zh-CN"/>
              </w:rPr>
              <w:t>5</w:t>
            </w:r>
          </w:p>
        </w:tc>
        <w:tc>
          <w:tcPr>
            <w:tcW w:w="1301" w:type="dxa"/>
            <w:tcBorders>
              <w:top w:val="single" w:color="auto" w:sz="4" w:space="0"/>
              <w:left w:val="single" w:color="auto" w:sz="4" w:space="0"/>
              <w:bottom w:val="single" w:color="auto" w:sz="4" w:space="0"/>
              <w:right w:val="single" w:color="auto" w:sz="4" w:space="0"/>
            </w:tcBorders>
            <w:vAlign w:val="center"/>
          </w:tcPr>
          <w:p w14:paraId="2668C9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磋商保证金</w:t>
            </w:r>
          </w:p>
        </w:tc>
        <w:tc>
          <w:tcPr>
            <w:tcW w:w="5476" w:type="dxa"/>
            <w:tcBorders>
              <w:top w:val="single" w:color="auto" w:sz="4" w:space="0"/>
              <w:left w:val="single" w:color="auto" w:sz="4" w:space="0"/>
              <w:bottom w:val="single" w:color="auto" w:sz="4" w:space="0"/>
              <w:right w:val="single" w:color="auto" w:sz="4" w:space="0"/>
            </w:tcBorders>
            <w:vAlign w:val="center"/>
          </w:tcPr>
          <w:p w14:paraId="4BB9D2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磋商文件规定应当缴纳的，供应商按磋商文件的规定缴纳磋商保证金的</w:t>
            </w:r>
          </w:p>
        </w:tc>
        <w:tc>
          <w:tcPr>
            <w:tcW w:w="866" w:type="dxa"/>
            <w:tcBorders>
              <w:top w:val="single" w:color="auto" w:sz="4" w:space="0"/>
              <w:left w:val="single" w:color="auto" w:sz="4" w:space="0"/>
              <w:bottom w:val="single" w:color="auto" w:sz="4" w:space="0"/>
              <w:right w:val="single" w:color="auto" w:sz="4" w:space="0"/>
            </w:tcBorders>
            <w:vAlign w:val="center"/>
          </w:tcPr>
          <w:p w14:paraId="2282A2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c>
          <w:tcPr>
            <w:tcW w:w="1092" w:type="dxa"/>
            <w:tcBorders>
              <w:top w:val="single" w:color="auto" w:sz="4" w:space="0"/>
              <w:left w:val="single" w:color="auto" w:sz="4" w:space="0"/>
              <w:bottom w:val="single" w:color="auto" w:sz="4" w:space="0"/>
              <w:right w:val="single" w:color="auto" w:sz="4" w:space="0"/>
            </w:tcBorders>
            <w:vAlign w:val="center"/>
          </w:tcPr>
          <w:p w14:paraId="708074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r>
      <w:tr w14:paraId="05575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14:paraId="5FD2A4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eastAsia="zh-CN"/>
              </w:rPr>
            </w:pPr>
            <w:r>
              <w:rPr>
                <w:rFonts w:hint="eastAsia" w:ascii="仿宋" w:hAnsi="仿宋" w:eastAsia="仿宋" w:cs="仿宋"/>
                <w:lang w:val="en-US" w:eastAsia="zh-CN"/>
              </w:rPr>
              <w:t>6</w:t>
            </w:r>
          </w:p>
        </w:tc>
        <w:tc>
          <w:tcPr>
            <w:tcW w:w="1301" w:type="dxa"/>
            <w:tcBorders>
              <w:top w:val="single" w:color="auto" w:sz="4" w:space="0"/>
              <w:left w:val="single" w:color="auto" w:sz="4" w:space="0"/>
              <w:bottom w:val="single" w:color="auto" w:sz="4" w:space="0"/>
              <w:right w:val="single" w:color="auto" w:sz="4" w:space="0"/>
            </w:tcBorders>
            <w:vAlign w:val="center"/>
          </w:tcPr>
          <w:p w14:paraId="01677F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响应文件的澄清、说明、补正</w:t>
            </w:r>
          </w:p>
        </w:tc>
        <w:tc>
          <w:tcPr>
            <w:tcW w:w="5476" w:type="dxa"/>
            <w:tcBorders>
              <w:top w:val="single" w:color="auto" w:sz="4" w:space="0"/>
              <w:left w:val="single" w:color="auto" w:sz="4" w:space="0"/>
              <w:bottom w:val="single" w:color="auto" w:sz="4" w:space="0"/>
              <w:right w:val="single" w:color="auto" w:sz="4" w:space="0"/>
            </w:tcBorders>
            <w:vAlign w:val="center"/>
          </w:tcPr>
          <w:p w14:paraId="04BD55C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评审期间,供应商按磋商小组的要求提交经授权代表签字的澄清、说明、更正且澄清、说明、更正未超出响应文件范围或未改变响应文件的实质性内容</w:t>
            </w:r>
          </w:p>
        </w:tc>
        <w:tc>
          <w:tcPr>
            <w:tcW w:w="866" w:type="dxa"/>
            <w:tcBorders>
              <w:top w:val="single" w:color="auto" w:sz="4" w:space="0"/>
              <w:left w:val="single" w:color="auto" w:sz="4" w:space="0"/>
              <w:bottom w:val="single" w:color="auto" w:sz="4" w:space="0"/>
              <w:right w:val="single" w:color="auto" w:sz="4" w:space="0"/>
            </w:tcBorders>
            <w:vAlign w:val="center"/>
          </w:tcPr>
          <w:p w14:paraId="31A1E7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c>
          <w:tcPr>
            <w:tcW w:w="1092" w:type="dxa"/>
            <w:tcBorders>
              <w:top w:val="single" w:color="auto" w:sz="4" w:space="0"/>
              <w:left w:val="single" w:color="auto" w:sz="4" w:space="0"/>
              <w:bottom w:val="single" w:color="auto" w:sz="4" w:space="0"/>
              <w:right w:val="single" w:color="auto" w:sz="4" w:space="0"/>
            </w:tcBorders>
            <w:vAlign w:val="center"/>
          </w:tcPr>
          <w:p w14:paraId="45C840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r>
      <w:tr w14:paraId="15804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14:paraId="111B4AA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eastAsia="zh-CN"/>
              </w:rPr>
            </w:pPr>
            <w:r>
              <w:rPr>
                <w:rFonts w:hint="eastAsia" w:ascii="仿宋" w:hAnsi="仿宋" w:eastAsia="仿宋" w:cs="仿宋"/>
                <w:lang w:val="en-US" w:eastAsia="zh-CN"/>
              </w:rPr>
              <w:t>7</w:t>
            </w:r>
          </w:p>
        </w:tc>
        <w:tc>
          <w:tcPr>
            <w:tcW w:w="1301" w:type="dxa"/>
            <w:tcBorders>
              <w:top w:val="single" w:color="auto" w:sz="4" w:space="0"/>
              <w:left w:val="single" w:color="auto" w:sz="4" w:space="0"/>
              <w:bottom w:val="single" w:color="auto" w:sz="4" w:space="0"/>
              <w:right w:val="single" w:color="auto" w:sz="4" w:space="0"/>
            </w:tcBorders>
            <w:vAlign w:val="center"/>
          </w:tcPr>
          <w:p w14:paraId="40BB8D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供应商影响评审</w:t>
            </w:r>
          </w:p>
        </w:tc>
        <w:tc>
          <w:tcPr>
            <w:tcW w:w="5476" w:type="dxa"/>
            <w:tcBorders>
              <w:top w:val="single" w:color="auto" w:sz="4" w:space="0"/>
              <w:left w:val="single" w:color="auto" w:sz="4" w:space="0"/>
              <w:bottom w:val="single" w:color="auto" w:sz="4" w:space="0"/>
              <w:right w:val="single" w:color="auto" w:sz="4" w:space="0"/>
            </w:tcBorders>
            <w:vAlign w:val="center"/>
          </w:tcPr>
          <w:p w14:paraId="446DC57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供应商对采购人、采购代理机构、磋商小组及其工作人员未施加影响,无有碍公平、公正行为的</w:t>
            </w:r>
          </w:p>
        </w:tc>
        <w:tc>
          <w:tcPr>
            <w:tcW w:w="866" w:type="dxa"/>
            <w:tcBorders>
              <w:top w:val="single" w:color="auto" w:sz="4" w:space="0"/>
              <w:left w:val="single" w:color="auto" w:sz="4" w:space="0"/>
              <w:bottom w:val="single" w:color="auto" w:sz="4" w:space="0"/>
              <w:right w:val="single" w:color="auto" w:sz="4" w:space="0"/>
            </w:tcBorders>
            <w:vAlign w:val="center"/>
          </w:tcPr>
          <w:p w14:paraId="368E65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c>
          <w:tcPr>
            <w:tcW w:w="1092" w:type="dxa"/>
            <w:tcBorders>
              <w:top w:val="single" w:color="auto" w:sz="4" w:space="0"/>
              <w:left w:val="single" w:color="auto" w:sz="4" w:space="0"/>
              <w:bottom w:val="single" w:color="auto" w:sz="4" w:space="0"/>
              <w:right w:val="single" w:color="auto" w:sz="4" w:space="0"/>
            </w:tcBorders>
            <w:vAlign w:val="center"/>
          </w:tcPr>
          <w:p w14:paraId="0D4DA1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r>
      <w:tr w14:paraId="30339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14:paraId="54BAA0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eastAsia="zh-CN"/>
              </w:rPr>
            </w:pPr>
            <w:r>
              <w:rPr>
                <w:rFonts w:hint="eastAsia" w:ascii="仿宋" w:hAnsi="仿宋" w:eastAsia="仿宋" w:cs="仿宋"/>
                <w:lang w:val="en-US" w:eastAsia="zh-CN"/>
              </w:rPr>
              <w:t>8</w:t>
            </w:r>
          </w:p>
        </w:tc>
        <w:tc>
          <w:tcPr>
            <w:tcW w:w="1301" w:type="dxa"/>
            <w:tcBorders>
              <w:top w:val="single" w:color="auto" w:sz="4" w:space="0"/>
              <w:left w:val="single" w:color="auto" w:sz="4" w:space="0"/>
              <w:bottom w:val="single" w:color="auto" w:sz="4" w:space="0"/>
              <w:right w:val="single" w:color="auto" w:sz="4" w:space="0"/>
            </w:tcBorders>
            <w:vAlign w:val="center"/>
          </w:tcPr>
          <w:p w14:paraId="27B74B9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附加条件</w:t>
            </w:r>
          </w:p>
        </w:tc>
        <w:tc>
          <w:tcPr>
            <w:tcW w:w="5476" w:type="dxa"/>
            <w:tcBorders>
              <w:top w:val="single" w:color="auto" w:sz="4" w:space="0"/>
              <w:left w:val="single" w:color="auto" w:sz="4" w:space="0"/>
              <w:bottom w:val="single" w:color="auto" w:sz="4" w:space="0"/>
              <w:right w:val="single" w:color="auto" w:sz="4" w:space="0"/>
            </w:tcBorders>
            <w:vAlign w:val="center"/>
          </w:tcPr>
          <w:p w14:paraId="73C8B3A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响应文件没有采购人不能接受的附加条件的</w:t>
            </w:r>
          </w:p>
        </w:tc>
        <w:tc>
          <w:tcPr>
            <w:tcW w:w="866" w:type="dxa"/>
            <w:tcBorders>
              <w:top w:val="single" w:color="auto" w:sz="4" w:space="0"/>
              <w:left w:val="single" w:color="auto" w:sz="4" w:space="0"/>
              <w:bottom w:val="single" w:color="auto" w:sz="4" w:space="0"/>
              <w:right w:val="single" w:color="auto" w:sz="4" w:space="0"/>
            </w:tcBorders>
            <w:vAlign w:val="center"/>
          </w:tcPr>
          <w:p w14:paraId="3BA8B7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c>
          <w:tcPr>
            <w:tcW w:w="1092" w:type="dxa"/>
            <w:tcBorders>
              <w:top w:val="single" w:color="auto" w:sz="4" w:space="0"/>
              <w:left w:val="single" w:color="auto" w:sz="4" w:space="0"/>
              <w:bottom w:val="single" w:color="auto" w:sz="4" w:space="0"/>
              <w:right w:val="single" w:color="auto" w:sz="4" w:space="0"/>
            </w:tcBorders>
            <w:vAlign w:val="center"/>
          </w:tcPr>
          <w:p w14:paraId="39E95F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r>
      <w:tr w14:paraId="534F6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14:paraId="47D65E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eastAsia="zh-CN"/>
              </w:rPr>
            </w:pPr>
            <w:r>
              <w:rPr>
                <w:rFonts w:hint="eastAsia" w:ascii="仿宋" w:hAnsi="仿宋" w:eastAsia="仿宋" w:cs="仿宋"/>
                <w:lang w:val="en-US" w:eastAsia="zh-CN"/>
              </w:rPr>
              <w:t>9</w:t>
            </w:r>
          </w:p>
        </w:tc>
        <w:tc>
          <w:tcPr>
            <w:tcW w:w="1301" w:type="dxa"/>
            <w:tcBorders>
              <w:top w:val="single" w:color="auto" w:sz="4" w:space="0"/>
              <w:left w:val="single" w:color="auto" w:sz="4" w:space="0"/>
              <w:bottom w:val="single" w:color="auto" w:sz="4" w:space="0"/>
              <w:right w:val="single" w:color="auto" w:sz="4" w:space="0"/>
            </w:tcBorders>
            <w:vAlign w:val="center"/>
          </w:tcPr>
          <w:p w14:paraId="6CF02E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其他无效情形</w:t>
            </w:r>
          </w:p>
        </w:tc>
        <w:tc>
          <w:tcPr>
            <w:tcW w:w="5476" w:type="dxa"/>
            <w:tcBorders>
              <w:top w:val="single" w:color="auto" w:sz="4" w:space="0"/>
              <w:left w:val="single" w:color="auto" w:sz="4" w:space="0"/>
              <w:bottom w:val="single" w:color="auto" w:sz="4" w:space="0"/>
              <w:right w:val="single" w:color="auto" w:sz="4" w:space="0"/>
            </w:tcBorders>
            <w:vAlign w:val="center"/>
          </w:tcPr>
          <w:p w14:paraId="64A89A7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未出现法律、法规、规章以及本磋商文件规定属于响应无效的其他情形。</w:t>
            </w:r>
          </w:p>
        </w:tc>
        <w:tc>
          <w:tcPr>
            <w:tcW w:w="866" w:type="dxa"/>
            <w:tcBorders>
              <w:top w:val="single" w:color="auto" w:sz="4" w:space="0"/>
              <w:left w:val="single" w:color="auto" w:sz="4" w:space="0"/>
              <w:bottom w:val="single" w:color="auto" w:sz="4" w:space="0"/>
              <w:right w:val="single" w:color="auto" w:sz="4" w:space="0"/>
            </w:tcBorders>
            <w:vAlign w:val="center"/>
          </w:tcPr>
          <w:p w14:paraId="0A6FAAC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c>
          <w:tcPr>
            <w:tcW w:w="1092" w:type="dxa"/>
            <w:tcBorders>
              <w:top w:val="single" w:color="auto" w:sz="4" w:space="0"/>
              <w:left w:val="single" w:color="auto" w:sz="4" w:space="0"/>
              <w:bottom w:val="single" w:color="auto" w:sz="4" w:space="0"/>
              <w:right w:val="single" w:color="auto" w:sz="4" w:space="0"/>
            </w:tcBorders>
            <w:vAlign w:val="center"/>
          </w:tcPr>
          <w:p w14:paraId="147B73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r>
    </w:tbl>
    <w:p w14:paraId="655323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p>
    <w:p w14:paraId="65577BF5">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br w:type="page"/>
      </w:r>
    </w:p>
    <w:p w14:paraId="3DB8EE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仿宋" w:hAnsi="仿宋" w:eastAsia="仿宋" w:cs="仿宋"/>
        </w:rPr>
      </w:pPr>
      <w:r>
        <w:rPr>
          <w:rFonts w:hint="eastAsia" w:ascii="仿宋" w:hAnsi="仿宋" w:eastAsia="仿宋" w:cs="仿宋"/>
        </w:rPr>
        <w:t>（三）评分标准</w:t>
      </w:r>
    </w:p>
    <w:p w14:paraId="6C54B4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注：以下评标分项根据项目实际情况可自行设置。</w:t>
      </w:r>
    </w:p>
    <w:tbl>
      <w:tblPr>
        <w:tblStyle w:val="11"/>
        <w:tblW w:w="50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60"/>
        <w:gridCol w:w="1083"/>
        <w:gridCol w:w="770"/>
        <w:gridCol w:w="5636"/>
      </w:tblGrid>
      <w:tr w14:paraId="282F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620" w:type="pct"/>
            <w:shd w:val="clear" w:color="auto" w:fill="D8D8D8"/>
            <w:vAlign w:val="center"/>
          </w:tcPr>
          <w:p w14:paraId="43D651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评标项目</w:t>
            </w:r>
          </w:p>
        </w:tc>
        <w:tc>
          <w:tcPr>
            <w:tcW w:w="633" w:type="pct"/>
            <w:shd w:val="clear" w:color="auto" w:fill="D8D8D8"/>
            <w:vAlign w:val="center"/>
          </w:tcPr>
          <w:p w14:paraId="022BA3D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评标分项</w:t>
            </w:r>
          </w:p>
        </w:tc>
        <w:tc>
          <w:tcPr>
            <w:tcW w:w="450" w:type="pct"/>
            <w:shd w:val="clear" w:color="auto" w:fill="D8D8D8"/>
            <w:vAlign w:val="center"/>
          </w:tcPr>
          <w:p w14:paraId="609793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分值</w:t>
            </w:r>
          </w:p>
        </w:tc>
        <w:tc>
          <w:tcPr>
            <w:tcW w:w="3295" w:type="pct"/>
            <w:shd w:val="clear" w:color="auto" w:fill="D8D8D8"/>
            <w:vAlign w:val="center"/>
          </w:tcPr>
          <w:p w14:paraId="3B9F1C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子项目及分值</w:t>
            </w:r>
          </w:p>
        </w:tc>
      </w:tr>
      <w:tr w14:paraId="0EE7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2" w:hRule="atLeast"/>
        </w:trPr>
        <w:tc>
          <w:tcPr>
            <w:tcW w:w="620" w:type="pct"/>
            <w:vAlign w:val="center"/>
          </w:tcPr>
          <w:p w14:paraId="202095A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价格部分</w:t>
            </w:r>
          </w:p>
          <w:p w14:paraId="6BDCC41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10分</w:t>
            </w:r>
            <w:r>
              <w:rPr>
                <w:rFonts w:hint="eastAsia" w:ascii="仿宋" w:hAnsi="仿宋" w:eastAsia="仿宋" w:cs="仿宋"/>
                <w:lang w:eastAsia="zh-CN"/>
              </w:rPr>
              <w:t>）</w:t>
            </w:r>
          </w:p>
        </w:tc>
        <w:tc>
          <w:tcPr>
            <w:tcW w:w="633" w:type="pct"/>
            <w:vAlign w:val="center"/>
          </w:tcPr>
          <w:p w14:paraId="25D2A0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最后报价</w:t>
            </w:r>
          </w:p>
        </w:tc>
        <w:tc>
          <w:tcPr>
            <w:tcW w:w="450" w:type="pct"/>
            <w:vAlign w:val="center"/>
          </w:tcPr>
          <w:p w14:paraId="1A2DA1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val="en-US" w:eastAsia="zh-CN"/>
              </w:rPr>
            </w:pPr>
            <w:r>
              <w:rPr>
                <w:rFonts w:hint="eastAsia" w:ascii="仿宋" w:hAnsi="仿宋" w:eastAsia="仿宋" w:cs="仿宋"/>
                <w:lang w:val="en-US" w:eastAsia="zh-CN"/>
              </w:rPr>
              <w:t>10</w:t>
            </w:r>
          </w:p>
        </w:tc>
        <w:tc>
          <w:tcPr>
            <w:tcW w:w="3295" w:type="pct"/>
            <w:vAlign w:val="center"/>
          </w:tcPr>
          <w:p w14:paraId="4CEC747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满足竞争性磋商文件要求且最后报价最低的报价为评审基准价，其价格分为满分。其他供应商的价格分统一按照下列公式计算：</w:t>
            </w:r>
          </w:p>
          <w:p w14:paraId="215D73C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报价得分=（磋商基准价/最后磋商报价）×10</w:t>
            </w:r>
          </w:p>
          <w:p w14:paraId="303D27B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备注：符合供应商须知中价格扣除规定的，在评审时予以价格扣除，用扣除后的最后报价参与评审。</w:t>
            </w:r>
          </w:p>
        </w:tc>
      </w:tr>
      <w:tr w14:paraId="4996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620" w:type="pct"/>
            <w:vMerge w:val="restart"/>
            <w:vAlign w:val="center"/>
          </w:tcPr>
          <w:p w14:paraId="27E10D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商务部分（</w:t>
            </w:r>
            <w:r>
              <w:rPr>
                <w:rFonts w:hint="eastAsia" w:ascii="仿宋" w:hAnsi="仿宋" w:eastAsia="仿宋" w:cs="仿宋"/>
                <w:lang w:val="en-US" w:eastAsia="zh-CN"/>
              </w:rPr>
              <w:t>15</w:t>
            </w:r>
            <w:r>
              <w:rPr>
                <w:rFonts w:hint="eastAsia" w:ascii="仿宋" w:hAnsi="仿宋" w:eastAsia="仿宋" w:cs="仿宋"/>
              </w:rPr>
              <w:t>分）</w:t>
            </w:r>
          </w:p>
        </w:tc>
        <w:tc>
          <w:tcPr>
            <w:tcW w:w="633" w:type="pct"/>
            <w:vAlign w:val="center"/>
          </w:tcPr>
          <w:p w14:paraId="33ABCC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同类项目业绩</w:t>
            </w:r>
          </w:p>
        </w:tc>
        <w:tc>
          <w:tcPr>
            <w:tcW w:w="450" w:type="pct"/>
            <w:vAlign w:val="center"/>
          </w:tcPr>
          <w:p w14:paraId="0BDED9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分</w:t>
            </w:r>
          </w:p>
        </w:tc>
        <w:tc>
          <w:tcPr>
            <w:tcW w:w="3295" w:type="pct"/>
            <w:vAlign w:val="center"/>
          </w:tcPr>
          <w:p w14:paraId="794B0F8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投标人需要提供近</w:t>
            </w:r>
            <w:r>
              <w:rPr>
                <w:rFonts w:hint="eastAsia" w:ascii="仿宋" w:hAnsi="仿宋" w:eastAsia="仿宋" w:cs="仿宋"/>
                <w:lang w:val="en-US" w:eastAsia="zh-CN"/>
              </w:rPr>
              <w:t>五</w:t>
            </w:r>
            <w:r>
              <w:rPr>
                <w:rFonts w:hint="eastAsia" w:ascii="仿宋" w:hAnsi="仿宋" w:eastAsia="仿宋" w:cs="仿宋"/>
              </w:rPr>
              <w:t>年内在中国境内承担同类项目业绩，每提供一项有效业绩得1分，最高得5分。（注：成功业绩须以提供的已完成项目中标通知书或签订的采购合同为准，完整有效的合同应至少具备合同首页及最后盖章页且显示信息齐全，其中涉及中标产品关键信息（合同金额、合同签订时间等做到印章清晰可见，如出现字体模糊不清，印章不商务清晰，视为无效业绩，此项不得分）</w:t>
            </w:r>
          </w:p>
        </w:tc>
      </w:tr>
      <w:tr w14:paraId="0539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rPr>
        <w:tc>
          <w:tcPr>
            <w:tcW w:w="620" w:type="pct"/>
            <w:vMerge w:val="continue"/>
            <w:vAlign w:val="center"/>
          </w:tcPr>
          <w:p w14:paraId="204BF4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c>
          <w:tcPr>
            <w:tcW w:w="633" w:type="pct"/>
            <w:vAlign w:val="center"/>
          </w:tcPr>
          <w:p w14:paraId="198382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人员配备</w:t>
            </w:r>
          </w:p>
        </w:tc>
        <w:tc>
          <w:tcPr>
            <w:tcW w:w="450" w:type="pct"/>
            <w:vAlign w:val="center"/>
          </w:tcPr>
          <w:p w14:paraId="67A591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lang w:val="en-US" w:eastAsia="zh-CN"/>
              </w:rPr>
              <w:t>10</w:t>
            </w:r>
            <w:r>
              <w:rPr>
                <w:rFonts w:hint="eastAsia" w:ascii="仿宋" w:hAnsi="仿宋" w:eastAsia="仿宋" w:cs="仿宋"/>
              </w:rPr>
              <w:t>分</w:t>
            </w:r>
          </w:p>
        </w:tc>
        <w:tc>
          <w:tcPr>
            <w:tcW w:w="3295" w:type="pct"/>
            <w:vAlign w:val="center"/>
          </w:tcPr>
          <w:p w14:paraId="390FCFAF">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拟派项目总监具备高级职称的得3分；具备中级职称的2分；最多得3分</w:t>
            </w:r>
          </w:p>
          <w:p w14:paraId="1CDAC295">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专业监理工程每有一人具备中级工程师及以上资格的得1分；最多得2分</w:t>
            </w:r>
          </w:p>
          <w:p w14:paraId="2A160E72">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sz w:val="21"/>
                <w:szCs w:val="21"/>
                <w:lang w:val="en-US" w:eastAsia="zh-CN"/>
              </w:rPr>
              <w:t>近三年（2022年4月1日-至今）已完成的类似工程业绩（须提供“监理合同(第一部分)”、“中标通知书或发包通知书”以及“竣工验收报告或竣工接受证书或单项工程竣工验收意见表”，业绩证明材料须反映项目总监理工程师情况），每项业绩得1分，最多得5分；</w:t>
            </w:r>
          </w:p>
        </w:tc>
      </w:tr>
      <w:tr w14:paraId="292D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620" w:type="pct"/>
            <w:vMerge w:val="restart"/>
            <w:vAlign w:val="center"/>
          </w:tcPr>
          <w:p w14:paraId="339B214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技术部分（</w:t>
            </w:r>
            <w:r>
              <w:rPr>
                <w:rFonts w:hint="eastAsia" w:ascii="仿宋" w:hAnsi="仿宋" w:eastAsia="仿宋" w:cs="仿宋"/>
                <w:lang w:val="en-US" w:eastAsia="zh-CN"/>
              </w:rPr>
              <w:t>75</w:t>
            </w:r>
            <w:r>
              <w:rPr>
                <w:rFonts w:hint="eastAsia" w:ascii="仿宋" w:hAnsi="仿宋" w:eastAsia="仿宋" w:cs="仿宋"/>
              </w:rPr>
              <w:t>分）</w:t>
            </w:r>
          </w:p>
        </w:tc>
        <w:tc>
          <w:tcPr>
            <w:tcW w:w="633" w:type="pct"/>
            <w:vAlign w:val="center"/>
          </w:tcPr>
          <w:p w14:paraId="52E476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工作计划及整体思路</w:t>
            </w:r>
          </w:p>
        </w:tc>
        <w:tc>
          <w:tcPr>
            <w:tcW w:w="450" w:type="pct"/>
            <w:vAlign w:val="center"/>
          </w:tcPr>
          <w:p w14:paraId="3027FA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lang w:val="en-US" w:eastAsia="zh-CN"/>
              </w:rPr>
              <w:t>15</w:t>
            </w:r>
            <w:r>
              <w:rPr>
                <w:rFonts w:hint="eastAsia" w:ascii="仿宋" w:hAnsi="仿宋" w:eastAsia="仿宋" w:cs="仿宋"/>
              </w:rPr>
              <w:t>分</w:t>
            </w:r>
          </w:p>
        </w:tc>
        <w:tc>
          <w:tcPr>
            <w:tcW w:w="3295" w:type="pct"/>
            <w:vAlign w:val="center"/>
          </w:tcPr>
          <w:p w14:paraId="5F4188F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根据招标文件要求，针对本项目提供相对应的整体工作阶段及任务计划、服务质量保证体系和应对措施、工作思路。上述3项内容描述清晰完整且与项目需求相符合的得15分，每缺一项扣5分，扣完为止。方案不合理、表述不充分每有一条扣2.5分，未提供的不得分。(备注：不合理指方案简略、阐述不清楚且存在不适用本项目实际情况的情形，项目名称、实施地点、内容前后不一致、前后逻辑错误、涉及的规范或标准错误、直接套用其他项目内容的)。</w:t>
            </w:r>
          </w:p>
        </w:tc>
      </w:tr>
      <w:tr w14:paraId="4D51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trPr>
        <w:tc>
          <w:tcPr>
            <w:tcW w:w="620" w:type="pct"/>
            <w:vMerge w:val="continue"/>
            <w:vAlign w:val="center"/>
          </w:tcPr>
          <w:p w14:paraId="1ADDB9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c>
          <w:tcPr>
            <w:tcW w:w="633" w:type="pct"/>
            <w:vAlign w:val="center"/>
          </w:tcPr>
          <w:p w14:paraId="69A3CD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项目监理实施方案</w:t>
            </w:r>
          </w:p>
        </w:tc>
        <w:tc>
          <w:tcPr>
            <w:tcW w:w="450" w:type="pct"/>
            <w:vAlign w:val="center"/>
          </w:tcPr>
          <w:p w14:paraId="03E93D4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lang w:val="en-US" w:eastAsia="zh-CN"/>
              </w:rPr>
              <w:t>30</w:t>
            </w:r>
            <w:r>
              <w:rPr>
                <w:rFonts w:hint="eastAsia" w:ascii="仿宋" w:hAnsi="仿宋" w:eastAsia="仿宋" w:cs="仿宋"/>
              </w:rPr>
              <w:t>分</w:t>
            </w:r>
          </w:p>
        </w:tc>
        <w:tc>
          <w:tcPr>
            <w:tcW w:w="3295" w:type="pct"/>
            <w:vAlign w:val="center"/>
          </w:tcPr>
          <w:p w14:paraId="3AAF64A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lang w:eastAsia="zh-CN"/>
              </w:rPr>
            </w:pPr>
            <w:r>
              <w:rPr>
                <w:rFonts w:hint="eastAsia" w:ascii="仿宋" w:hAnsi="仿宋" w:eastAsia="仿宋" w:cs="仿宋"/>
                <w:lang w:val="en-US" w:eastAsia="zh-CN"/>
              </w:rPr>
              <w:t>1、</w:t>
            </w:r>
            <w:r>
              <w:rPr>
                <w:rFonts w:hint="eastAsia" w:ascii="仿宋" w:hAnsi="仿宋" w:eastAsia="仿宋" w:cs="仿宋"/>
              </w:rPr>
              <w:t>方案中的“质量、投资、进度”三控制、合同与信息管理、组织协调及安全文明施工监理的监理措施，符合监理规范和国家有关法律法规的规定者，并能满足开展本项目监理工作需要的。本项满分为26分</w:t>
            </w:r>
            <w:r>
              <w:rPr>
                <w:rFonts w:hint="eastAsia" w:ascii="仿宋" w:hAnsi="仿宋" w:eastAsia="仿宋" w:cs="仿宋"/>
                <w:lang w:eastAsia="zh-CN"/>
              </w:rPr>
              <w:t>。</w:t>
            </w:r>
          </w:p>
          <w:p w14:paraId="7AB2667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（1）质量控制的工作任务与方法（0-4分）</w:t>
            </w:r>
          </w:p>
          <w:p w14:paraId="6DBFF04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（2）进度控制的工作任务与方法（0-4分）</w:t>
            </w:r>
          </w:p>
          <w:p w14:paraId="3E3AEFC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（3）投资控制的工作任务与方法（0-4分）</w:t>
            </w:r>
          </w:p>
          <w:p w14:paraId="00EABFD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（4）保证施工安全的监理控制措施（0-4分）</w:t>
            </w:r>
          </w:p>
          <w:p w14:paraId="0FCE9A1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（5）合同及信息管理工作任务与方法（0-4分）</w:t>
            </w:r>
          </w:p>
          <w:p w14:paraId="702CA0B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（6）组织协调的工作任务与方法（0-3分）</w:t>
            </w:r>
          </w:p>
          <w:p w14:paraId="09DB262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（7）监理工作制度及廉洁自律措施（0-3分）</w:t>
            </w:r>
          </w:p>
          <w:p w14:paraId="291E979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2、监理方案能够针对本工程特点深入透彻分析本工程的监理重点及难点得4分。</w:t>
            </w:r>
          </w:p>
          <w:p w14:paraId="466DE0A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（1）针对本工程特点提出针对性监理保证措施及向招标人提供的监理报告一览表（0-2分）</w:t>
            </w:r>
          </w:p>
          <w:p w14:paraId="302B3FE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（2）针对本工程的合理化建议（0-2分）</w:t>
            </w:r>
          </w:p>
        </w:tc>
      </w:tr>
      <w:tr w14:paraId="110E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620" w:type="pct"/>
            <w:vMerge w:val="continue"/>
            <w:vAlign w:val="center"/>
          </w:tcPr>
          <w:p w14:paraId="762D7D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c>
          <w:tcPr>
            <w:tcW w:w="633" w:type="pct"/>
            <w:vAlign w:val="center"/>
          </w:tcPr>
          <w:p w14:paraId="7843EF8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培训计划方案</w:t>
            </w:r>
          </w:p>
        </w:tc>
        <w:tc>
          <w:tcPr>
            <w:tcW w:w="450" w:type="pct"/>
            <w:vAlign w:val="center"/>
          </w:tcPr>
          <w:p w14:paraId="535F6E6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分</w:t>
            </w:r>
          </w:p>
        </w:tc>
        <w:tc>
          <w:tcPr>
            <w:tcW w:w="3295" w:type="pct"/>
            <w:vAlign w:val="center"/>
          </w:tcPr>
          <w:p w14:paraId="2DC7503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定期对项目服务人员提供培训，给出有时间节点的培训计划和培训方案（提供佐证材料）。上述2项内容描述清晰完整且与项目需求相符合的得8分，每缺一项扣4分，扣完为止。方案不合理、表述不充分每有一条扣2分，未提供的不得分。(备注：不合理指方案简略、阐述不清楚且存在不适用本项目实际情况的情形，项目名称、实施地点、内容前后不一致、前后逻辑错误、涉及的规范或标准错误、直接套用其他项目内容的)。</w:t>
            </w:r>
          </w:p>
        </w:tc>
      </w:tr>
      <w:tr w14:paraId="58FE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trPr>
        <w:tc>
          <w:tcPr>
            <w:tcW w:w="620" w:type="pct"/>
            <w:vMerge w:val="continue"/>
            <w:vAlign w:val="center"/>
          </w:tcPr>
          <w:p w14:paraId="64A268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c>
          <w:tcPr>
            <w:tcW w:w="633" w:type="pct"/>
            <w:vAlign w:val="center"/>
          </w:tcPr>
          <w:p w14:paraId="71673C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应急服务能力</w:t>
            </w:r>
          </w:p>
        </w:tc>
        <w:tc>
          <w:tcPr>
            <w:tcW w:w="450" w:type="pct"/>
            <w:vAlign w:val="center"/>
          </w:tcPr>
          <w:p w14:paraId="618336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lang w:val="en-US" w:eastAsia="zh-CN"/>
              </w:rPr>
              <w:t>12</w:t>
            </w:r>
            <w:r>
              <w:rPr>
                <w:rFonts w:hint="eastAsia" w:ascii="仿宋" w:hAnsi="仿宋" w:eastAsia="仿宋" w:cs="仿宋"/>
              </w:rPr>
              <w:t>分</w:t>
            </w:r>
          </w:p>
        </w:tc>
        <w:tc>
          <w:tcPr>
            <w:tcW w:w="3295" w:type="pct"/>
            <w:vAlign w:val="center"/>
          </w:tcPr>
          <w:p w14:paraId="1D1C0E8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为确保服务稳定性，投标人需提供监理人员在工作过程中出现紧急情况的应急预案，应急预案应包括但不限于处理时间、处理方案、汇报内容等，且应急服务响应时间及时有效、内容详尽、如完全满足要求或针对项目情况制定的得12分，经评标委员会评定每有一项不满足扣3分，扣完为止。</w:t>
            </w:r>
          </w:p>
        </w:tc>
      </w:tr>
      <w:tr w14:paraId="14D5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trPr>
        <w:tc>
          <w:tcPr>
            <w:tcW w:w="620" w:type="pct"/>
            <w:vMerge w:val="continue"/>
            <w:vAlign w:val="center"/>
          </w:tcPr>
          <w:p w14:paraId="6F1C6A2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p>
        </w:tc>
        <w:tc>
          <w:tcPr>
            <w:tcW w:w="633" w:type="pct"/>
            <w:vAlign w:val="center"/>
          </w:tcPr>
          <w:p w14:paraId="7368170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合理化建议</w:t>
            </w:r>
          </w:p>
        </w:tc>
        <w:tc>
          <w:tcPr>
            <w:tcW w:w="450" w:type="pct"/>
            <w:vAlign w:val="center"/>
          </w:tcPr>
          <w:p w14:paraId="6C7525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lang w:val="en-US" w:eastAsia="zh-CN"/>
              </w:rPr>
            </w:pPr>
            <w:r>
              <w:rPr>
                <w:rFonts w:hint="eastAsia" w:ascii="仿宋" w:hAnsi="仿宋" w:eastAsia="仿宋" w:cs="仿宋"/>
                <w:lang w:val="en-US" w:eastAsia="zh-CN"/>
              </w:rPr>
              <w:t>10分</w:t>
            </w:r>
          </w:p>
        </w:tc>
        <w:tc>
          <w:tcPr>
            <w:tcW w:w="3295" w:type="pct"/>
            <w:vAlign w:val="center"/>
          </w:tcPr>
          <w:p w14:paraId="5FF4984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r>
              <w:rPr>
                <w:rFonts w:hint="eastAsia" w:ascii="仿宋" w:hAnsi="仿宋" w:eastAsia="仿宋" w:cs="仿宋"/>
              </w:rPr>
              <w:t>投标人能针对工程项目实际提出充分的合理化建议，每提供一项得2分，满分10分。</w:t>
            </w:r>
          </w:p>
        </w:tc>
      </w:tr>
      <w:tr w14:paraId="38CC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trPr>
        <w:tc>
          <w:tcPr>
            <w:tcW w:w="1253" w:type="pct"/>
            <w:gridSpan w:val="2"/>
            <w:vAlign w:val="center"/>
          </w:tcPr>
          <w:p w14:paraId="71D6A46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合计</w:t>
            </w:r>
          </w:p>
        </w:tc>
        <w:tc>
          <w:tcPr>
            <w:tcW w:w="450" w:type="pct"/>
            <w:vAlign w:val="center"/>
          </w:tcPr>
          <w:p w14:paraId="2CF497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rPr>
            </w:pPr>
            <w:r>
              <w:rPr>
                <w:rFonts w:hint="eastAsia" w:ascii="仿宋" w:hAnsi="仿宋" w:eastAsia="仿宋" w:cs="仿宋"/>
              </w:rPr>
              <w:t>100分</w:t>
            </w:r>
          </w:p>
        </w:tc>
        <w:tc>
          <w:tcPr>
            <w:tcW w:w="3295" w:type="pct"/>
            <w:vAlign w:val="center"/>
          </w:tcPr>
          <w:p w14:paraId="467D3BA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rPr>
            </w:pPr>
          </w:p>
        </w:tc>
      </w:tr>
    </w:tbl>
    <w:p w14:paraId="26E22776">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rPr>
      </w:pPr>
    </w:p>
    <w:p w14:paraId="35D28F13">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8"/>
          <w:szCs w:val="28"/>
        </w:rPr>
      </w:pPr>
      <w:bookmarkStart w:id="77" w:name="bookmark73"/>
      <w:bookmarkEnd w:id="77"/>
      <w:bookmarkStart w:id="78" w:name="bookmark72"/>
      <w:bookmarkEnd w:id="78"/>
      <w:r>
        <w:rPr>
          <w:rFonts w:hint="eastAsia" w:ascii="仿宋" w:hAnsi="仿宋" w:eastAsia="仿宋" w:cs="仿宋"/>
          <w:b/>
          <w:bCs/>
          <w:sz w:val="28"/>
          <w:szCs w:val="28"/>
        </w:rPr>
        <w:br w:type="page"/>
      </w:r>
    </w:p>
    <w:p w14:paraId="583C3D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仿宋" w:hAnsi="仿宋" w:eastAsia="仿宋" w:cs="仿宋"/>
        </w:rPr>
      </w:pPr>
      <w:bookmarkStart w:id="79" w:name="_Toc18386"/>
      <w:r>
        <w:rPr>
          <w:rFonts w:hint="eastAsia" w:ascii="仿宋" w:hAnsi="仿宋" w:eastAsia="仿宋" w:cs="仿宋"/>
          <w:b/>
          <w:bCs/>
          <w:sz w:val="28"/>
          <w:szCs w:val="28"/>
        </w:rPr>
        <w:t>第五章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合同草案</w:t>
      </w:r>
      <w:bookmarkEnd w:id="79"/>
    </w:p>
    <w:p w14:paraId="61287F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132F5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（此合同书仅作为签订正式合同时的参考，正式合同书应包括本参考格式的内容）</w:t>
      </w:r>
    </w:p>
    <w:p w14:paraId="166824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合同编号：</w:t>
      </w:r>
    </w:p>
    <w:p w14:paraId="42DE043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FE235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3232F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AEA052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EABBE9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55600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仿宋" w:hAnsi="仿宋" w:eastAsia="仿宋" w:cs="仿宋"/>
          <w:sz w:val="24"/>
          <w:szCs w:val="24"/>
        </w:rPr>
      </w:pPr>
      <w:bookmarkStart w:id="80" w:name="_Toc10333"/>
      <w:bookmarkStart w:id="81" w:name="_Toc23281"/>
      <w:bookmarkStart w:id="82" w:name="_Toc3392"/>
      <w:r>
        <w:rPr>
          <w:rFonts w:hint="eastAsia" w:ascii="仿宋" w:hAnsi="仿宋" w:eastAsia="仿宋" w:cs="仿宋"/>
          <w:sz w:val="24"/>
          <w:szCs w:val="24"/>
        </w:rPr>
        <w:t>政府采购合同参考范本</w:t>
      </w:r>
      <w:bookmarkEnd w:id="80"/>
      <w:bookmarkEnd w:id="81"/>
      <w:bookmarkEnd w:id="82"/>
    </w:p>
    <w:p w14:paraId="25CFEB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（服务类）</w:t>
      </w:r>
    </w:p>
    <w:p w14:paraId="395EC4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53144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09B9B0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A3CF8F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CDFEB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仿宋" w:hAnsi="仿宋" w:eastAsia="仿宋" w:cs="仿宋"/>
          <w:sz w:val="24"/>
          <w:szCs w:val="24"/>
        </w:rPr>
      </w:pPr>
      <w:bookmarkStart w:id="83" w:name="_Toc8150"/>
      <w:bookmarkStart w:id="84" w:name="_Toc3813"/>
      <w:bookmarkStart w:id="85" w:name="_Toc10191"/>
      <w:r>
        <w:rPr>
          <w:rFonts w:hint="eastAsia" w:ascii="仿宋" w:hAnsi="仿宋" w:eastAsia="仿宋" w:cs="仿宋"/>
          <w:sz w:val="24"/>
          <w:szCs w:val="24"/>
        </w:rPr>
        <w:t>第一部分合同书</w:t>
      </w:r>
      <w:bookmarkEnd w:id="83"/>
      <w:bookmarkEnd w:id="84"/>
      <w:bookmarkEnd w:id="85"/>
    </w:p>
    <w:p w14:paraId="639A1B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5241D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0B284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3A0C6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6649A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52CD6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项目名称：（分包项目须填写完整的分包号及分包名称）</w:t>
      </w:r>
    </w:p>
    <w:p w14:paraId="47D70E5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项目编号：</w:t>
      </w:r>
    </w:p>
    <w:p w14:paraId="24DC1D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甲方（采购人）：</w:t>
      </w:r>
    </w:p>
    <w:p w14:paraId="667F8D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乙方（成交人）：</w:t>
      </w:r>
    </w:p>
    <w:p w14:paraId="5335D8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签订地：</w:t>
      </w:r>
    </w:p>
    <w:p w14:paraId="5A21896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签订日期：年月日</w:t>
      </w:r>
    </w:p>
    <w:p w14:paraId="63DB63AC">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br w:type="page"/>
      </w:r>
    </w:p>
    <w:p w14:paraId="3F1FF0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rPr>
        <w:tab/>
      </w:r>
      <w:r>
        <w:rPr>
          <w:rFonts w:hint="eastAsia" w:ascii="仿宋" w:hAnsi="仿宋" w:eastAsia="仿宋" w:cs="仿宋"/>
          <w:sz w:val="24"/>
          <w:szCs w:val="24"/>
        </w:rPr>
        <w:t>（以下简称：甲方）通过</w:t>
      </w:r>
      <w:r>
        <w:rPr>
          <w:rFonts w:hint="eastAsia" w:ascii="仿宋" w:hAnsi="仿宋" w:eastAsia="仿宋" w:cs="仿宋"/>
          <w:sz w:val="24"/>
          <w:szCs w:val="24"/>
          <w:lang w:val="en-US" w:eastAsia="zh-CN"/>
        </w:rPr>
        <w:t>政采云平台</w:t>
      </w:r>
      <w:r>
        <w:rPr>
          <w:rFonts w:hint="eastAsia" w:ascii="仿宋" w:hAnsi="仿宋" w:eastAsia="仿宋" w:cs="仿宋"/>
          <w:sz w:val="24"/>
          <w:szCs w:val="24"/>
        </w:rPr>
        <w:t>组织的竞争性磋商方式采购活动，经评审小组评定，（以下简称：乙方）为本项目成交人，现按照采购文件确定的事项签订本合同。</w:t>
      </w:r>
    </w:p>
    <w:p w14:paraId="2EFA8C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根据《中华人民共和国民法典》、《中华人民共和国政府采购法》等相关法律法规之规定，按照平等、自愿、公平和诚实信用的原则，经甲方和乙方协商一致，约定以下合同条款，以兹共同遵守、全面履行。</w:t>
      </w:r>
    </w:p>
    <w:p w14:paraId="073D6C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86" w:name="_Toc29390"/>
      <w:bookmarkStart w:id="87" w:name="_Toc27432"/>
      <w:bookmarkStart w:id="88" w:name="_Toc14703"/>
      <w:r>
        <w:rPr>
          <w:rFonts w:hint="eastAsia" w:ascii="仿宋" w:hAnsi="仿宋" w:eastAsia="仿宋" w:cs="仿宋"/>
          <w:sz w:val="24"/>
          <w:szCs w:val="24"/>
        </w:rPr>
        <w:t>1.1合同组成部分</w:t>
      </w:r>
      <w:bookmarkEnd w:id="86"/>
      <w:bookmarkEnd w:id="87"/>
      <w:bookmarkEnd w:id="88"/>
    </w:p>
    <w:p w14:paraId="75F776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下列文件为本合同的组成部分，并构成一个整体，需综合解释、相互补充。如果下列文件内容出现不一致的情形，那么在保证按照采购文件确定的事项前提下，组成本合同的多个文件的优先适用顺序如下：</w:t>
      </w:r>
    </w:p>
    <w:p w14:paraId="2B7B0F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1.1.1本合同及其补充合同、变更协议；</w:t>
      </w:r>
      <w:r>
        <w:rPr>
          <w:rFonts w:hint="eastAsia" w:ascii="仿宋" w:hAnsi="仿宋" w:eastAsia="仿宋" w:cs="仿宋"/>
          <w:sz w:val="24"/>
          <w:szCs w:val="24"/>
          <w:lang w:val="en-US" w:eastAsia="zh-CN"/>
        </w:rPr>
        <w:t>/</w:t>
      </w:r>
    </w:p>
    <w:p w14:paraId="4C00C2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1.1.2成交通知书；</w:t>
      </w:r>
      <w:r>
        <w:rPr>
          <w:rFonts w:hint="eastAsia" w:ascii="仿宋" w:hAnsi="仿宋" w:eastAsia="仿宋" w:cs="仿宋"/>
          <w:sz w:val="24"/>
          <w:szCs w:val="24"/>
          <w:lang w:val="en-US"/>
        </w:rPr>
        <w:t>以书面形式向中标人发出中标通知书</w:t>
      </w:r>
    </w:p>
    <w:p w14:paraId="6DD701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1.1.3响应文件（含澄清或者说明文件）；</w:t>
      </w:r>
      <w:r>
        <w:rPr>
          <w:rFonts w:hint="eastAsia" w:ascii="仿宋" w:hAnsi="仿宋" w:eastAsia="仿宋" w:cs="仿宋"/>
          <w:sz w:val="24"/>
          <w:szCs w:val="24"/>
          <w:lang w:val="en-US" w:eastAsia="zh-CN"/>
        </w:rPr>
        <w:t>/</w:t>
      </w:r>
    </w:p>
    <w:p w14:paraId="0CF699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1.1.4竞争性磋商文件（含澄清或者修改文件）；</w:t>
      </w:r>
    </w:p>
    <w:p w14:paraId="2A42D6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1.1.5其他相关采购文件。</w:t>
      </w:r>
    </w:p>
    <w:p w14:paraId="321729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89" w:name="_Toc6069"/>
      <w:bookmarkStart w:id="90" w:name="_Toc32683"/>
      <w:bookmarkStart w:id="91" w:name="_Toc27026"/>
      <w:r>
        <w:rPr>
          <w:rFonts w:hint="eastAsia" w:ascii="仿宋" w:hAnsi="仿宋" w:eastAsia="仿宋" w:cs="仿宋"/>
          <w:sz w:val="24"/>
          <w:szCs w:val="24"/>
        </w:rPr>
        <w:t>1.2服务</w:t>
      </w:r>
      <w:bookmarkEnd w:id="89"/>
      <w:bookmarkEnd w:id="90"/>
      <w:bookmarkEnd w:id="91"/>
    </w:p>
    <w:p w14:paraId="43B1D81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1.2.1服务名称：</w:t>
      </w:r>
      <w:r>
        <w:rPr>
          <w:rFonts w:hint="eastAsia" w:ascii="仿宋" w:hAnsi="仿宋" w:eastAsia="仿宋" w:cs="仿宋"/>
          <w:sz w:val="24"/>
          <w:szCs w:val="24"/>
          <w:lang w:eastAsia="zh-CN"/>
        </w:rPr>
        <w:t>2025年兵团某单位某训练中心地下室改造项目（监理）（三次）</w:t>
      </w:r>
      <w:r>
        <w:rPr>
          <w:rFonts w:hint="eastAsia" w:ascii="仿宋" w:hAnsi="仿宋" w:eastAsia="仿宋" w:cs="仿宋"/>
          <w:sz w:val="24"/>
          <w:szCs w:val="24"/>
        </w:rPr>
        <w:t>；</w:t>
      </w:r>
    </w:p>
    <w:p w14:paraId="70DD58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1.2.2服务内容：</w:t>
      </w:r>
      <w:r>
        <w:rPr>
          <w:rFonts w:hint="eastAsia" w:ascii="仿宋" w:hAnsi="仿宋" w:eastAsia="仿宋" w:cs="仿宋"/>
          <w:sz w:val="24"/>
          <w:szCs w:val="24"/>
          <w:lang w:val="en-US" w:eastAsia="zh-CN"/>
        </w:rPr>
        <w:t>本工程施工阶段和保修阶段的监理工作，具体包括施工前期准备阶段，施工阶段，竣工验收阶段和工程保修阶段的监理工作，对所监理项目做好方案、强制性标准、质量控制、进度控制、投资控制、合同管理、结算、档案、信息管理、安全生产、风险防范及组织协调等工作，参加设计、施工图审查和工程预、结算的工程量的审核，监督单项工程的安全、质量、进度及投资控制。</w:t>
      </w:r>
      <w:r>
        <w:rPr>
          <w:rFonts w:hint="eastAsia" w:ascii="仿宋" w:hAnsi="仿宋" w:eastAsia="仿宋" w:cs="仿宋"/>
          <w:sz w:val="24"/>
          <w:szCs w:val="24"/>
        </w:rPr>
        <w:t>；</w:t>
      </w:r>
    </w:p>
    <w:p w14:paraId="433221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1.2.3服务质量：</w:t>
      </w:r>
      <w:r>
        <w:rPr>
          <w:rFonts w:hint="eastAsia" w:ascii="仿宋" w:hAnsi="仿宋" w:eastAsia="仿宋" w:cs="仿宋"/>
          <w:sz w:val="24"/>
          <w:szCs w:val="24"/>
          <w:lang w:val="en-US" w:eastAsia="zh-CN"/>
        </w:rPr>
        <w:t>优良</w:t>
      </w:r>
      <w:r>
        <w:rPr>
          <w:rFonts w:hint="eastAsia" w:ascii="仿宋" w:hAnsi="仿宋" w:eastAsia="仿宋" w:cs="仿宋"/>
          <w:sz w:val="24"/>
          <w:szCs w:val="24"/>
        </w:rPr>
        <w:t>。</w:t>
      </w:r>
    </w:p>
    <w:p w14:paraId="38E3EF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92" w:name="_Toc20305"/>
      <w:bookmarkStart w:id="93" w:name="_Toc29176"/>
      <w:bookmarkStart w:id="94" w:name="_Toc4338"/>
      <w:r>
        <w:rPr>
          <w:rFonts w:hint="eastAsia" w:ascii="仿宋" w:hAnsi="仿宋" w:eastAsia="仿宋" w:cs="仿宋"/>
          <w:sz w:val="24"/>
          <w:szCs w:val="24"/>
        </w:rPr>
        <w:t>1.3价款</w:t>
      </w:r>
      <w:bookmarkEnd w:id="92"/>
      <w:bookmarkEnd w:id="93"/>
      <w:bookmarkEnd w:id="94"/>
    </w:p>
    <w:p w14:paraId="761D2A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本合同总价为：￥元（大写：人民币元）。分项价格：</w:t>
      </w:r>
    </w:p>
    <w:tbl>
      <w:tblPr>
        <w:tblStyle w:val="11"/>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0"/>
        <w:gridCol w:w="4258"/>
        <w:gridCol w:w="20"/>
        <w:gridCol w:w="3187"/>
        <w:gridCol w:w="111"/>
      </w:tblGrid>
      <w:tr w14:paraId="510EA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950" w:type="dxa"/>
            <w:vAlign w:val="center"/>
          </w:tcPr>
          <w:p w14:paraId="1711F9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序号</w:t>
            </w:r>
          </w:p>
        </w:tc>
        <w:tc>
          <w:tcPr>
            <w:tcW w:w="4258" w:type="dxa"/>
            <w:vAlign w:val="center"/>
          </w:tcPr>
          <w:p w14:paraId="52E09D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分项名称</w:t>
            </w:r>
          </w:p>
        </w:tc>
        <w:tc>
          <w:tcPr>
            <w:tcW w:w="3207" w:type="dxa"/>
            <w:gridSpan w:val="2"/>
            <w:vAlign w:val="center"/>
          </w:tcPr>
          <w:p w14:paraId="394794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分项价格</w:t>
            </w:r>
          </w:p>
        </w:tc>
        <w:tc>
          <w:tcPr>
            <w:tcW w:w="111" w:type="dxa"/>
            <w:tcBorders>
              <w:top w:val="nil"/>
              <w:left w:val="nil"/>
              <w:bottom w:val="nil"/>
              <w:right w:val="nil"/>
            </w:tcBorders>
            <w:vAlign w:val="center"/>
          </w:tcPr>
          <w:p w14:paraId="195AC0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08AE6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50" w:type="dxa"/>
            <w:vAlign w:val="center"/>
          </w:tcPr>
          <w:p w14:paraId="093D20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4258" w:type="dxa"/>
            <w:vAlign w:val="center"/>
          </w:tcPr>
          <w:p w14:paraId="61D900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3207" w:type="dxa"/>
            <w:gridSpan w:val="2"/>
            <w:vAlign w:val="center"/>
          </w:tcPr>
          <w:p w14:paraId="6A61D4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11" w:type="dxa"/>
            <w:tcBorders>
              <w:top w:val="nil"/>
              <w:left w:val="nil"/>
              <w:bottom w:val="nil"/>
              <w:right w:val="nil"/>
            </w:tcBorders>
            <w:vAlign w:val="center"/>
          </w:tcPr>
          <w:p w14:paraId="7DBF57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79070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50" w:type="dxa"/>
            <w:vAlign w:val="center"/>
          </w:tcPr>
          <w:p w14:paraId="5C9DA2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4258" w:type="dxa"/>
            <w:vAlign w:val="center"/>
          </w:tcPr>
          <w:p w14:paraId="1B40A5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3207" w:type="dxa"/>
            <w:gridSpan w:val="2"/>
            <w:vAlign w:val="center"/>
          </w:tcPr>
          <w:p w14:paraId="06645AA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11" w:type="dxa"/>
            <w:tcBorders>
              <w:top w:val="nil"/>
              <w:left w:val="nil"/>
              <w:bottom w:val="nil"/>
              <w:right w:val="nil"/>
            </w:tcBorders>
            <w:vAlign w:val="center"/>
          </w:tcPr>
          <w:p w14:paraId="6A3FEED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33B17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50" w:type="dxa"/>
            <w:vAlign w:val="center"/>
          </w:tcPr>
          <w:p w14:paraId="726A691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4258" w:type="dxa"/>
            <w:vAlign w:val="center"/>
          </w:tcPr>
          <w:p w14:paraId="72BEE1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3207" w:type="dxa"/>
            <w:gridSpan w:val="2"/>
            <w:vAlign w:val="center"/>
          </w:tcPr>
          <w:p w14:paraId="4A78B6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11" w:type="dxa"/>
            <w:tcBorders>
              <w:top w:val="nil"/>
              <w:left w:val="nil"/>
              <w:bottom w:val="nil"/>
              <w:right w:val="nil"/>
            </w:tcBorders>
            <w:vAlign w:val="center"/>
          </w:tcPr>
          <w:p w14:paraId="465A0E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4E853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50" w:type="dxa"/>
            <w:vAlign w:val="center"/>
          </w:tcPr>
          <w:p w14:paraId="4B4A70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w:t>
            </w:r>
          </w:p>
        </w:tc>
        <w:tc>
          <w:tcPr>
            <w:tcW w:w="4258" w:type="dxa"/>
            <w:vAlign w:val="center"/>
          </w:tcPr>
          <w:p w14:paraId="4FEFEB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3207" w:type="dxa"/>
            <w:gridSpan w:val="2"/>
            <w:vAlign w:val="center"/>
          </w:tcPr>
          <w:p w14:paraId="65F80D0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11" w:type="dxa"/>
            <w:tcBorders>
              <w:top w:val="nil"/>
              <w:left w:val="nil"/>
              <w:bottom w:val="nil"/>
              <w:right w:val="nil"/>
            </w:tcBorders>
            <w:vAlign w:val="center"/>
          </w:tcPr>
          <w:p w14:paraId="3D34D0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76826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5228" w:type="dxa"/>
            <w:gridSpan w:val="3"/>
            <w:vAlign w:val="center"/>
          </w:tcPr>
          <w:p w14:paraId="053029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总价</w:t>
            </w:r>
          </w:p>
        </w:tc>
        <w:tc>
          <w:tcPr>
            <w:tcW w:w="3298" w:type="dxa"/>
            <w:gridSpan w:val="2"/>
            <w:vAlign w:val="center"/>
          </w:tcPr>
          <w:p w14:paraId="678592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bl>
    <w:p w14:paraId="5CAC75C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1.4付款方式和发票开具方式</w:t>
      </w:r>
    </w:p>
    <w:p w14:paraId="4EC260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1.4.1付款方式：</w:t>
      </w:r>
      <w:r>
        <w:rPr>
          <w:rFonts w:hint="eastAsia" w:ascii="仿宋" w:hAnsi="仿宋" w:eastAsia="仿宋" w:cs="仿宋"/>
          <w:sz w:val="24"/>
          <w:szCs w:val="24"/>
          <w:u w:val="single"/>
          <w:lang w:val="en-US" w:eastAsia="zh-CN"/>
        </w:rPr>
        <w:t>根据甲方要求</w:t>
      </w:r>
      <w:r>
        <w:rPr>
          <w:rFonts w:hint="eastAsia" w:ascii="仿宋" w:hAnsi="仿宋" w:eastAsia="仿宋" w:cs="仿宋"/>
          <w:sz w:val="24"/>
          <w:szCs w:val="24"/>
        </w:rPr>
        <w:t>；</w:t>
      </w:r>
    </w:p>
    <w:p w14:paraId="1877E16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1.4.2发票开具方式：</w:t>
      </w:r>
      <w:r>
        <w:rPr>
          <w:rFonts w:hint="eastAsia" w:ascii="仿宋" w:hAnsi="仿宋" w:eastAsia="仿宋" w:cs="仿宋"/>
          <w:sz w:val="24"/>
          <w:szCs w:val="24"/>
          <w:u w:val="single"/>
          <w:lang w:val="en-US" w:eastAsia="zh-CN"/>
        </w:rPr>
        <w:t>双方协定</w:t>
      </w:r>
      <w:r>
        <w:rPr>
          <w:rFonts w:hint="eastAsia" w:ascii="仿宋" w:hAnsi="仿宋" w:eastAsia="仿宋" w:cs="仿宋"/>
          <w:sz w:val="24"/>
          <w:szCs w:val="24"/>
        </w:rPr>
        <w:t>。</w:t>
      </w:r>
    </w:p>
    <w:p w14:paraId="606DD3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95" w:name="_Toc27469"/>
      <w:bookmarkStart w:id="96" w:name="_Toc4572"/>
      <w:bookmarkStart w:id="97" w:name="_Toc16509"/>
      <w:r>
        <w:rPr>
          <w:rFonts w:hint="eastAsia" w:ascii="仿宋" w:hAnsi="仿宋" w:eastAsia="仿宋" w:cs="仿宋"/>
          <w:sz w:val="24"/>
          <w:szCs w:val="24"/>
        </w:rPr>
        <w:t>1.5服务期限、地点和方式</w:t>
      </w:r>
      <w:bookmarkEnd w:id="95"/>
      <w:bookmarkEnd w:id="96"/>
      <w:bookmarkEnd w:id="97"/>
    </w:p>
    <w:p w14:paraId="087BA7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1.5.1服务期限：</w:t>
      </w:r>
      <w:r>
        <w:rPr>
          <w:rFonts w:hint="eastAsia" w:ascii="仿宋" w:hAnsi="仿宋" w:eastAsia="仿宋" w:cs="仿宋"/>
          <w:sz w:val="24"/>
          <w:szCs w:val="24"/>
          <w:u w:val="single"/>
          <w:lang w:val="en-US" w:eastAsia="zh-CN"/>
        </w:rPr>
        <w:t>合同签订日起至项目竣工验收及监理资料递交完成止，施工工期120日历天（本项目全过程监理服务）</w:t>
      </w:r>
      <w:r>
        <w:rPr>
          <w:rFonts w:hint="eastAsia" w:ascii="仿宋" w:hAnsi="仿宋" w:eastAsia="仿宋" w:cs="仿宋"/>
          <w:sz w:val="24"/>
          <w:szCs w:val="24"/>
        </w:rPr>
        <w:t>；</w:t>
      </w:r>
    </w:p>
    <w:p w14:paraId="525183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1.5.2服务地点：</w:t>
      </w:r>
      <w:r>
        <w:rPr>
          <w:rFonts w:hint="eastAsia" w:ascii="仿宋" w:hAnsi="仿宋" w:eastAsia="仿宋" w:cs="仿宋"/>
          <w:sz w:val="24"/>
          <w:szCs w:val="24"/>
          <w:u w:val="single"/>
          <w:lang w:val="en-US" w:eastAsia="zh-CN"/>
        </w:rPr>
        <w:t>新疆乌鲁木齐</w:t>
      </w:r>
      <w:r>
        <w:rPr>
          <w:rFonts w:hint="eastAsia" w:ascii="仿宋" w:hAnsi="仿宋" w:eastAsia="仿宋" w:cs="仿宋"/>
          <w:sz w:val="24"/>
          <w:szCs w:val="24"/>
        </w:rPr>
        <w:t>；</w:t>
      </w:r>
    </w:p>
    <w:p w14:paraId="0A2C41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1.5.3服务方式：</w:t>
      </w:r>
      <w:r>
        <w:rPr>
          <w:rFonts w:hint="eastAsia" w:ascii="仿宋" w:hAnsi="仿宋" w:eastAsia="仿宋" w:cs="仿宋"/>
          <w:sz w:val="24"/>
          <w:szCs w:val="24"/>
          <w:u w:val="single"/>
          <w:lang w:val="en-US" w:eastAsia="zh-CN"/>
        </w:rPr>
        <w:t>甲方付款前，乙方应向甲方开具等额有效的增值税发票，甲方未收到发票的，有权不予支付相应款项直至乙方提供合格发票，且不承担延迟付款责任。</w:t>
      </w:r>
      <w:r>
        <w:rPr>
          <w:rFonts w:hint="eastAsia" w:ascii="仿宋" w:hAnsi="仿宋" w:eastAsia="仿宋" w:cs="仿宋"/>
          <w:sz w:val="24"/>
          <w:szCs w:val="24"/>
        </w:rPr>
        <w:t>。</w:t>
      </w:r>
    </w:p>
    <w:p w14:paraId="4FDCCB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98" w:name="_Toc24739"/>
      <w:bookmarkStart w:id="99" w:name="_Toc22602"/>
      <w:bookmarkStart w:id="100" w:name="_Toc18814"/>
      <w:r>
        <w:rPr>
          <w:rFonts w:hint="eastAsia" w:ascii="仿宋" w:hAnsi="仿宋" w:eastAsia="仿宋" w:cs="仿宋"/>
          <w:sz w:val="24"/>
          <w:szCs w:val="24"/>
        </w:rPr>
        <w:t>1.6违约责任</w:t>
      </w:r>
      <w:bookmarkEnd w:id="98"/>
      <w:bookmarkEnd w:id="99"/>
      <w:bookmarkEnd w:id="100"/>
    </w:p>
    <w:p w14:paraId="256D7C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1.6.1除不可抗力外，如果乙方没有按照本合同约定的期限、地点和方式履行，那么甲方可要求乙方支付违约金，违约金按每迟延履行一日的应提供而未提供服务价格的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szCs w:val="24"/>
          <w:u w:val="single"/>
          <w:lang w:val="en-US" w:eastAsia="zh-CN"/>
        </w:rPr>
        <w:t>1</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lang w:val="en-US" w:eastAsia="zh-CN"/>
        </w:rPr>
        <w:t>20</w:t>
      </w:r>
      <w:r>
        <w:rPr>
          <w:rFonts w:hint="eastAsia" w:ascii="仿宋" w:hAnsi="仿宋" w:eastAsia="仿宋" w:cs="仿宋"/>
          <w:sz w:val="24"/>
          <w:szCs w:val="24"/>
        </w:rPr>
        <w:t>%；迟延履行的违约金计算数额达到前述最高限额之日起，甲方有权在要求乙方支付违约金的同时，书面通知乙方解除本合同；</w:t>
      </w:r>
    </w:p>
    <w:p w14:paraId="4E8196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1.6.2除不可抗力外，如果甲方没有按照本合同约定的付款方式付款，那么乙方可要求甲方支付违约金，违约金按每迟延付款一日的应付而未付款的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4"/>
          <w:u w:val="single"/>
          <w:lang w:val="en-US" w:eastAsia="zh-CN"/>
        </w:rPr>
        <w:t>1</w:t>
      </w:r>
      <w:r>
        <w:rPr>
          <w:rFonts w:hint="eastAsia" w:ascii="仿宋" w:hAnsi="仿宋" w:eastAsia="仿宋" w:cs="仿宋"/>
          <w:sz w:val="24"/>
          <w:szCs w:val="24"/>
        </w:rPr>
        <w:t>%计算，最高限额为本合同总价的</w:t>
      </w:r>
      <w:r>
        <w:rPr>
          <w:rFonts w:hint="eastAsia" w:ascii="仿宋" w:hAnsi="仿宋" w:eastAsia="仿宋" w:cs="仿宋"/>
          <w:sz w:val="24"/>
          <w:szCs w:val="24"/>
          <w:lang w:val="en-US" w:eastAsia="zh-CN"/>
        </w:rPr>
        <w:t>20</w:t>
      </w:r>
      <w:r>
        <w:rPr>
          <w:rFonts w:hint="eastAsia" w:ascii="仿宋" w:hAnsi="仿宋" w:eastAsia="仿宋" w:cs="仿宋"/>
          <w:sz w:val="24"/>
          <w:szCs w:val="24"/>
        </w:rPr>
        <w:t>%；迟延付款的违约金计算数额达到前述最高限额之日起，乙方有权在要求甲方支付违约金的同时，书面通知甲方解除本合同；</w:t>
      </w:r>
    </w:p>
    <w:p w14:paraId="14B319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4B4D59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B38B76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1.6.5除前述约定外，除不可抗力外，任何一方未能履行本合同约定的义务，</w:t>
      </w:r>
      <w:bookmarkStart w:id="101" w:name="bookmark128"/>
      <w:bookmarkEnd w:id="101"/>
      <w:r>
        <w:rPr>
          <w:rFonts w:hint="eastAsia" w:ascii="仿宋" w:hAnsi="仿宋" w:eastAsia="仿宋" w:cs="仿宋"/>
          <w:sz w:val="24"/>
          <w:szCs w:val="24"/>
        </w:rPr>
        <w:t>对方当事人均有权要求继续履行、采取补救措施或者赔偿损失等，且对方当事人行使的任何权利救济方式均不视为其放弃了其他法定或者约定的权利救济方式；</w:t>
      </w:r>
    </w:p>
    <w:p w14:paraId="72C78F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1.6.6如果出现政府采购监督管理部门在处理投诉事项期间，书面通知甲方暂停采购活动的情形，或者询问或质疑事项可能影响中标结果的，导致甲方中止履行合同的情形，均不视为甲方违约。</w:t>
      </w:r>
    </w:p>
    <w:p w14:paraId="6AB99E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1.6.7</w:t>
      </w:r>
      <w:r>
        <w:rPr>
          <w:rFonts w:hint="eastAsia" w:ascii="仿宋" w:hAnsi="仿宋" w:eastAsia="仿宋" w:cs="仿宋"/>
          <w:sz w:val="24"/>
          <w:szCs w:val="24"/>
          <w:lang w:val="en-US" w:eastAsia="zh-CN"/>
        </w:rPr>
        <w:t>如乙方因故意或过失未履行监理义务或失职导致甲方遭受损失的，乙方应当按合同总金额的%支付违约金,如违约金不足以弥补甲方实际损失的，甲方有权进一步向乙方追偿。</w:t>
      </w:r>
    </w:p>
    <w:p w14:paraId="3D24C2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02" w:name="_Toc20980"/>
      <w:bookmarkStart w:id="103" w:name="_Toc29957"/>
      <w:bookmarkStart w:id="104" w:name="_Toc10652"/>
      <w:r>
        <w:rPr>
          <w:rFonts w:hint="eastAsia" w:ascii="仿宋" w:hAnsi="仿宋" w:eastAsia="仿宋" w:cs="仿宋"/>
          <w:sz w:val="24"/>
          <w:szCs w:val="24"/>
        </w:rPr>
        <w:t>1.7合同争议的解决</w:t>
      </w:r>
      <w:bookmarkEnd w:id="102"/>
      <w:bookmarkEnd w:id="103"/>
      <w:bookmarkEnd w:id="104"/>
    </w:p>
    <w:p w14:paraId="0A2F1EB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sz w:val="24"/>
          <w:szCs w:val="24"/>
          <w:u w:val="single"/>
          <w:lang w:val="en-US" w:eastAsia="zh-CN"/>
        </w:rPr>
        <w:t>二</w:t>
      </w:r>
      <w:r>
        <w:rPr>
          <w:rFonts w:hint="eastAsia" w:ascii="仿宋" w:hAnsi="仿宋" w:eastAsia="仿宋" w:cs="仿宋"/>
          <w:sz w:val="24"/>
          <w:szCs w:val="24"/>
        </w:rPr>
        <w:t>种方式解决：</w:t>
      </w:r>
    </w:p>
    <w:p w14:paraId="2F49A6D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1.7.1将争议提交仲裁委员会依申请仲裁时其现行有效的仲裁规则裁决；</w:t>
      </w:r>
    </w:p>
    <w:p w14:paraId="711107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1.7.2向</w:t>
      </w:r>
      <w:r>
        <w:rPr>
          <w:rFonts w:hint="eastAsia" w:ascii="仿宋" w:hAnsi="仿宋" w:eastAsia="仿宋" w:cs="仿宋"/>
          <w:sz w:val="24"/>
          <w:szCs w:val="24"/>
          <w:u w:val="single"/>
          <w:lang w:val="en-US" w:eastAsia="zh-CN"/>
        </w:rPr>
        <w:t>甲方所在地</w:t>
      </w:r>
      <w:r>
        <w:rPr>
          <w:rFonts w:hint="eastAsia" w:ascii="仿宋" w:hAnsi="仿宋" w:eastAsia="仿宋" w:cs="仿宋"/>
          <w:sz w:val="24"/>
          <w:szCs w:val="24"/>
        </w:rPr>
        <w:t>人民法院起诉。</w:t>
      </w:r>
    </w:p>
    <w:p w14:paraId="28FB00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05" w:name="_Toc17015"/>
      <w:bookmarkStart w:id="106" w:name="_Toc11294"/>
      <w:bookmarkStart w:id="107" w:name="_Toc19811"/>
      <w:r>
        <w:rPr>
          <w:rFonts w:hint="eastAsia" w:ascii="仿宋" w:hAnsi="仿宋" w:eastAsia="仿宋" w:cs="仿宋"/>
          <w:sz w:val="24"/>
          <w:szCs w:val="24"/>
        </w:rPr>
        <w:t>1.8合同生效</w:t>
      </w:r>
      <w:bookmarkEnd w:id="105"/>
      <w:bookmarkEnd w:id="106"/>
      <w:bookmarkEnd w:id="107"/>
    </w:p>
    <w:p w14:paraId="0B95973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本合同自双方当事人盖章时生效。</w:t>
      </w:r>
    </w:p>
    <w:p w14:paraId="5F224E7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5160F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0C4387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sectPr>
          <w:footerReference r:id="rId9" w:type="default"/>
          <w:pgSz w:w="11906" w:h="16839"/>
          <w:pgMar w:top="1373" w:right="1620" w:bottom="1281" w:left="1785" w:header="865" w:footer="1103" w:gutter="0"/>
          <w:pgNumType w:fmt="numberInDash"/>
          <w:cols w:equalWidth="0" w:num="1">
            <w:col w:w="8500"/>
          </w:cols>
        </w:sectPr>
      </w:pPr>
    </w:p>
    <w:p w14:paraId="064D1E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甲方：（单位盖章）</w:t>
      </w:r>
    </w:p>
    <w:p w14:paraId="5FA0EE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法定代表人或授权代表（签字）：</w:t>
      </w:r>
    </w:p>
    <w:p w14:paraId="62414E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时间：年月日</w:t>
      </w:r>
    </w:p>
    <w:p w14:paraId="1CC50A9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乙方：（单位盖章）</w:t>
      </w:r>
    </w:p>
    <w:p w14:paraId="50CF9C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法定代表人或授权代表（签字）：</w:t>
      </w:r>
    </w:p>
    <w:p w14:paraId="3BD89CB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时间：年月日</w:t>
      </w:r>
    </w:p>
    <w:p w14:paraId="2AF0E3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DDABC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43A494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AC8AED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乙方账户信息</w:t>
      </w:r>
    </w:p>
    <w:p w14:paraId="72985DB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户名：账号：开户银行：</w:t>
      </w:r>
    </w:p>
    <w:p w14:paraId="22CBFD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sectPr>
          <w:type w:val="continuous"/>
          <w:pgSz w:w="11906" w:h="16839"/>
          <w:pgMar w:top="1373" w:right="1620" w:bottom="1281" w:left="1785" w:header="865" w:footer="1103" w:gutter="0"/>
          <w:pgNumType w:fmt="numberInDash"/>
          <w:cols w:equalWidth="0" w:num="2">
            <w:col w:w="4845" w:space="100"/>
            <w:col w:w="3555"/>
          </w:cols>
        </w:sectPr>
      </w:pPr>
    </w:p>
    <w:p w14:paraId="72A88F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仿宋" w:hAnsi="仿宋" w:eastAsia="仿宋" w:cs="仿宋"/>
          <w:sz w:val="24"/>
          <w:szCs w:val="24"/>
        </w:rPr>
      </w:pPr>
      <w:bookmarkStart w:id="108" w:name="bookmark129"/>
      <w:bookmarkEnd w:id="108"/>
      <w:bookmarkStart w:id="109" w:name="_Toc14908"/>
      <w:bookmarkStart w:id="110" w:name="_Toc18968"/>
      <w:bookmarkStart w:id="111" w:name="_Toc29163"/>
      <w:r>
        <w:rPr>
          <w:rFonts w:hint="eastAsia" w:ascii="仿宋" w:hAnsi="仿宋" w:eastAsia="仿宋" w:cs="仿宋"/>
          <w:sz w:val="24"/>
          <w:szCs w:val="24"/>
        </w:rPr>
        <w:t>第二部分合同一般条款</w:t>
      </w:r>
      <w:bookmarkEnd w:id="109"/>
      <w:bookmarkEnd w:id="110"/>
      <w:bookmarkEnd w:id="111"/>
    </w:p>
    <w:p w14:paraId="0E843B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12" w:name="_Toc29427"/>
      <w:bookmarkStart w:id="113" w:name="_Toc26219"/>
      <w:bookmarkStart w:id="114" w:name="_Toc16015"/>
      <w:r>
        <w:rPr>
          <w:rFonts w:hint="eastAsia" w:ascii="仿宋" w:hAnsi="仿宋" w:eastAsia="仿宋" w:cs="仿宋"/>
          <w:sz w:val="24"/>
          <w:szCs w:val="24"/>
        </w:rPr>
        <w:t>2.1定义</w:t>
      </w:r>
      <w:bookmarkEnd w:id="112"/>
      <w:bookmarkEnd w:id="113"/>
      <w:bookmarkEnd w:id="114"/>
    </w:p>
    <w:p w14:paraId="3DBEA3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14:paraId="4582FE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2.1.1“合同”系指采购人和中标人签订的载明双方当事人所达成的协议，并包括所有的附件、附录和构成合同的其他文件。</w:t>
      </w:r>
    </w:p>
    <w:p w14:paraId="54CCD7E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2.1.2“合同价”系指根据合同约定，中标人在完全履行合同义务后，采购人应支付给中标人的价格。</w:t>
      </w:r>
    </w:p>
    <w:p w14:paraId="3B81FB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2.1.3“服务”系指中标人根据合同约定应向采购人履行的除货物和工程以外的其他政府采购对象，包括采购人自身需要的服务和向社会公众提供的公共服务。</w:t>
      </w:r>
    </w:p>
    <w:p w14:paraId="660A80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2.1.4“甲方”系指与中标人签署合同的采购人；采购人委托采购代理机构代表其与乙方签订合同的，采购人的授权委托书作为合同附件。</w:t>
      </w:r>
    </w:p>
    <w:p w14:paraId="4D30C4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2.1.5“乙方”系指根据合同约定提供服务的中标人；两个以上的自然人、</w:t>
      </w:r>
    </w:p>
    <w:p w14:paraId="71C520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法人或者其他组织组成一个联合体，以一个供应商的身份共同参加政府采购的，联合体各方均应为乙方或者与乙方相同地位的合同当事人，并就合同约定的事项对甲方承担连带责任。</w:t>
      </w:r>
    </w:p>
    <w:p w14:paraId="21C44F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2.1.6“现场”系指合同约定提供服务的地点。</w:t>
      </w:r>
    </w:p>
    <w:p w14:paraId="3FD8AB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15" w:name="_Toc31066"/>
      <w:bookmarkStart w:id="116" w:name="_Toc24995"/>
      <w:bookmarkStart w:id="117" w:name="_Toc13550"/>
      <w:r>
        <w:rPr>
          <w:rFonts w:hint="eastAsia" w:ascii="仿宋" w:hAnsi="仿宋" w:eastAsia="仿宋" w:cs="仿宋"/>
          <w:sz w:val="24"/>
          <w:szCs w:val="24"/>
        </w:rPr>
        <w:t>2.2技术规范</w:t>
      </w:r>
      <w:bookmarkEnd w:id="115"/>
      <w:bookmarkEnd w:id="116"/>
      <w:bookmarkEnd w:id="117"/>
    </w:p>
    <w:p w14:paraId="3CEED9A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8D281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18" w:name="_Toc1548"/>
      <w:bookmarkStart w:id="119" w:name="_Toc9858"/>
      <w:bookmarkStart w:id="120" w:name="_Toc14486"/>
      <w:r>
        <w:rPr>
          <w:rFonts w:hint="eastAsia" w:ascii="仿宋" w:hAnsi="仿宋" w:eastAsia="仿宋" w:cs="仿宋"/>
          <w:sz w:val="24"/>
          <w:szCs w:val="24"/>
        </w:rPr>
        <w:t>2.3知识产权</w:t>
      </w:r>
      <w:bookmarkEnd w:id="118"/>
      <w:bookmarkEnd w:id="119"/>
      <w:bookmarkEnd w:id="120"/>
    </w:p>
    <w:p w14:paraId="6CBC7F0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194910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2.3.2具有知识产权的计算机软件等货物的知识产权归属，详见合同专用条款。</w:t>
      </w:r>
    </w:p>
    <w:p w14:paraId="73A0DF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2.4履约检查和问题反馈</w:t>
      </w:r>
    </w:p>
    <w:p w14:paraId="2B655EB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2.4.1甲方有权在其认为必要时，对乙方是否能够按照合同约定提供服务进行履约检查，以确保乙方所提供的服务能够依约满足甲方项目需求，但不得因履约检查妨碍乙方的正常工作，乙方应予积极配合；</w:t>
      </w:r>
    </w:p>
    <w:p w14:paraId="2F36419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2.4.2合同履行期间，甲方有权将履行过程中出现的问题反馈给乙方，双方当事人应以书面形式约定需要完善和改进的内容。</w:t>
      </w:r>
    </w:p>
    <w:p w14:paraId="742EC6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21" w:name="_Toc31539"/>
      <w:bookmarkStart w:id="122" w:name="_Toc17269"/>
      <w:bookmarkStart w:id="123" w:name="_Toc12866"/>
      <w:r>
        <w:rPr>
          <w:rFonts w:hint="eastAsia" w:ascii="仿宋" w:hAnsi="仿宋" w:eastAsia="仿宋" w:cs="仿宋"/>
          <w:sz w:val="24"/>
          <w:szCs w:val="24"/>
        </w:rPr>
        <w:t>2.5结算方式和付款条件</w:t>
      </w:r>
      <w:bookmarkEnd w:id="121"/>
      <w:bookmarkEnd w:id="122"/>
      <w:bookmarkEnd w:id="123"/>
    </w:p>
    <w:p w14:paraId="15ABD9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详见合同专用条款。</w:t>
      </w:r>
    </w:p>
    <w:p w14:paraId="4AFE3BE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24" w:name="_Toc17104"/>
      <w:bookmarkStart w:id="125" w:name="_Toc17949"/>
      <w:bookmarkStart w:id="126" w:name="_Toc6442"/>
      <w:r>
        <w:rPr>
          <w:rFonts w:hint="eastAsia" w:ascii="仿宋" w:hAnsi="仿宋" w:eastAsia="仿宋" w:cs="仿宋"/>
          <w:sz w:val="24"/>
          <w:szCs w:val="24"/>
        </w:rPr>
        <w:t>2.6技术资料和保密义务</w:t>
      </w:r>
      <w:bookmarkEnd w:id="124"/>
      <w:bookmarkEnd w:id="125"/>
      <w:bookmarkEnd w:id="126"/>
    </w:p>
    <w:p w14:paraId="7E76DEE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2.6.1乙方有权依据合同约定和项目需要，向甲方了解有关情况，调阅有关资料等，甲方应予积极配合；</w:t>
      </w:r>
    </w:p>
    <w:p w14:paraId="13F113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2.6.2乙方有义务妥善保管和保护由甲方提供的前款信息和资料等；</w:t>
      </w:r>
    </w:p>
    <w:p w14:paraId="2FC33B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FB93A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27" w:name="_Toc21158"/>
      <w:bookmarkStart w:id="128" w:name="_Toc25135"/>
      <w:bookmarkStart w:id="129" w:name="_Toc14281"/>
      <w:r>
        <w:rPr>
          <w:rFonts w:hint="eastAsia" w:ascii="仿宋" w:hAnsi="仿宋" w:eastAsia="仿宋" w:cs="仿宋"/>
          <w:sz w:val="24"/>
          <w:szCs w:val="24"/>
        </w:rPr>
        <w:t>2.7质量保证</w:t>
      </w:r>
      <w:bookmarkEnd w:id="127"/>
      <w:bookmarkEnd w:id="128"/>
      <w:bookmarkEnd w:id="129"/>
    </w:p>
    <w:p w14:paraId="0E285C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2.7.1乙方应建立和完善履行合同的内部质量保证体系，并提供相关内部规章制度给甲方，以便甲方进行监督检查；</w:t>
      </w:r>
    </w:p>
    <w:p w14:paraId="47BDD3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2.7.2乙方应保证履行合同的人员数量和素质、软件和硬件设备的配置、场地、环境和设施等满足全面履行合同的要求，并应接受甲方的监督检查。</w:t>
      </w:r>
    </w:p>
    <w:p w14:paraId="0E7872B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30" w:name="_Toc18164"/>
      <w:bookmarkStart w:id="131" w:name="_Toc19564"/>
      <w:bookmarkStart w:id="132" w:name="_Toc3285"/>
      <w:r>
        <w:rPr>
          <w:rFonts w:hint="eastAsia" w:ascii="仿宋" w:hAnsi="仿宋" w:eastAsia="仿宋" w:cs="仿宋"/>
          <w:sz w:val="24"/>
          <w:szCs w:val="24"/>
        </w:rPr>
        <w:t>2.8延迟履行</w:t>
      </w:r>
      <w:bookmarkEnd w:id="130"/>
      <w:bookmarkEnd w:id="131"/>
      <w:bookmarkEnd w:id="132"/>
    </w:p>
    <w:p w14:paraId="5021DF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91C45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33" w:name="_Toc23013"/>
      <w:bookmarkStart w:id="134" w:name="_Toc28787"/>
      <w:bookmarkStart w:id="135" w:name="_Toc14747"/>
      <w:r>
        <w:rPr>
          <w:rFonts w:hint="eastAsia" w:ascii="仿宋" w:hAnsi="仿宋" w:eastAsia="仿宋" w:cs="仿宋"/>
          <w:sz w:val="24"/>
          <w:szCs w:val="24"/>
        </w:rPr>
        <w:t>2.9合同变更</w:t>
      </w:r>
      <w:bookmarkEnd w:id="133"/>
      <w:bookmarkEnd w:id="134"/>
      <w:bookmarkEnd w:id="135"/>
    </w:p>
    <w:p w14:paraId="07369A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2.9.1双方当事人协商一致，可以签订书面补充合同的形式变更合同，但不得违背采购文件确定的事项；</w:t>
      </w:r>
    </w:p>
    <w:p w14:paraId="0DB8CD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2.9.2合同继续履行将损害国家利益和社会公共利益的，双方当事人应当以书面形式变更合同。有过错的一方应当承担赔偿责任，双方当事人都有过错的，各自承担相应的责任。</w:t>
      </w:r>
    </w:p>
    <w:p w14:paraId="045A9C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36" w:name="_Toc31961"/>
      <w:bookmarkStart w:id="137" w:name="_Toc30280"/>
      <w:bookmarkStart w:id="138" w:name="_Toc478"/>
      <w:r>
        <w:rPr>
          <w:rFonts w:hint="eastAsia" w:ascii="仿宋" w:hAnsi="仿宋" w:eastAsia="仿宋" w:cs="仿宋"/>
          <w:sz w:val="24"/>
          <w:szCs w:val="24"/>
        </w:rPr>
        <w:t>2.10合同转让和分包</w:t>
      </w:r>
      <w:bookmarkEnd w:id="136"/>
      <w:bookmarkEnd w:id="137"/>
      <w:bookmarkEnd w:id="138"/>
    </w:p>
    <w:p w14:paraId="7C77A3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0E2A8C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39" w:name="_Toc29479"/>
      <w:bookmarkStart w:id="140" w:name="_Toc19477"/>
      <w:bookmarkStart w:id="141" w:name="_Toc1634"/>
      <w:r>
        <w:rPr>
          <w:rFonts w:hint="eastAsia" w:ascii="仿宋" w:hAnsi="仿宋" w:eastAsia="仿宋" w:cs="仿宋"/>
          <w:sz w:val="24"/>
          <w:szCs w:val="24"/>
        </w:rPr>
        <w:t>2.11不可抗力</w:t>
      </w:r>
      <w:bookmarkEnd w:id="139"/>
      <w:bookmarkEnd w:id="140"/>
      <w:bookmarkEnd w:id="141"/>
    </w:p>
    <w:p w14:paraId="6E73EF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2.11.1如果任何一方遭遇法律规定的不可抗力，致使合同履行受阻时，履行合同的期限应予延长，延长的期限应相当于不可抗力所影响的时间；</w:t>
      </w:r>
    </w:p>
    <w:p w14:paraId="69C8532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2.11.2因不可抗力致使不能实现合同目的的，当事人可以解除合同；</w:t>
      </w:r>
    </w:p>
    <w:p w14:paraId="7C6D40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2.11.3因不可抗力致使合同有变更必要的，双方当事人应在合同专用条款约定时间内以书面形式变更合同；</w:t>
      </w:r>
    </w:p>
    <w:p w14:paraId="2C50E5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2.11.4受不可抗力影响的一方在不可抗力发生后，应在合同专用条款约定时间内以书面形式通知对方当事人，并在合同专用条款约定时间内，将有关部门出具的证明文件送达对方当事人。</w:t>
      </w:r>
    </w:p>
    <w:p w14:paraId="6F63EB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42" w:name="_Toc25892"/>
      <w:bookmarkStart w:id="143" w:name="_Toc26401"/>
      <w:bookmarkStart w:id="144" w:name="_Toc29319"/>
      <w:r>
        <w:rPr>
          <w:rFonts w:hint="eastAsia" w:ascii="仿宋" w:hAnsi="仿宋" w:eastAsia="仿宋" w:cs="仿宋"/>
          <w:sz w:val="24"/>
          <w:szCs w:val="24"/>
        </w:rPr>
        <w:t>2.12税费</w:t>
      </w:r>
      <w:bookmarkEnd w:id="142"/>
      <w:bookmarkEnd w:id="143"/>
      <w:bookmarkEnd w:id="144"/>
    </w:p>
    <w:p w14:paraId="3BC463D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与合同有关的一切税费，均按照中华人民共和国法律的相关规定缴纳。</w:t>
      </w:r>
    </w:p>
    <w:p w14:paraId="6C4933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45" w:name="_Toc10094"/>
      <w:bookmarkStart w:id="146" w:name="_Toc11886"/>
      <w:bookmarkStart w:id="147" w:name="_Toc31060"/>
      <w:r>
        <w:rPr>
          <w:rFonts w:hint="eastAsia" w:ascii="仿宋" w:hAnsi="仿宋" w:eastAsia="仿宋" w:cs="仿宋"/>
          <w:sz w:val="24"/>
          <w:szCs w:val="24"/>
        </w:rPr>
        <w:t>2.13乙方破产</w:t>
      </w:r>
      <w:bookmarkEnd w:id="145"/>
      <w:bookmarkEnd w:id="146"/>
      <w:bookmarkEnd w:id="147"/>
    </w:p>
    <w:p w14:paraId="5F5791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86A18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48" w:name="_Toc21117"/>
      <w:bookmarkStart w:id="149" w:name="_Toc27130"/>
      <w:bookmarkStart w:id="150" w:name="_Toc30359"/>
      <w:r>
        <w:rPr>
          <w:rFonts w:hint="eastAsia" w:ascii="仿宋" w:hAnsi="仿宋" w:eastAsia="仿宋" w:cs="仿宋"/>
          <w:sz w:val="24"/>
          <w:szCs w:val="24"/>
        </w:rPr>
        <w:t>2.14合同中止、终止</w:t>
      </w:r>
      <w:bookmarkEnd w:id="148"/>
      <w:bookmarkEnd w:id="149"/>
      <w:bookmarkEnd w:id="150"/>
    </w:p>
    <w:p w14:paraId="25603A4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2.14.1双方当事人不得擅自中止或者终止合同；</w:t>
      </w:r>
    </w:p>
    <w:p w14:paraId="0A418B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2.14.2合同继续履行将损害国家利益和社会公共利益的，双方当事人应当中止或者终止合同。有过错的一方应当承担赔偿责任，双方当事人都有过错的，各自承担相应的责任。</w:t>
      </w:r>
    </w:p>
    <w:p w14:paraId="1C8B2F7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51" w:name="_Toc29144"/>
      <w:bookmarkStart w:id="152" w:name="_Toc12996"/>
      <w:bookmarkStart w:id="153" w:name="_Toc18757"/>
      <w:r>
        <w:rPr>
          <w:rFonts w:hint="eastAsia" w:ascii="仿宋" w:hAnsi="仿宋" w:eastAsia="仿宋" w:cs="仿宋"/>
          <w:sz w:val="24"/>
          <w:szCs w:val="24"/>
        </w:rPr>
        <w:t>2.15检验和验收</w:t>
      </w:r>
      <w:bookmarkEnd w:id="151"/>
      <w:bookmarkEnd w:id="152"/>
      <w:bookmarkEnd w:id="153"/>
    </w:p>
    <w:p w14:paraId="4DBF373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2.15.1乙方按照合同专用条款的约定，定期提交服务报告，甲方按照合同专用条款的约定进行定期验收；</w:t>
      </w:r>
    </w:p>
    <w:p w14:paraId="718A12E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71F74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2.15.3检验和验收标准、程序等具体内容以及前述验收书的效力详见合同专用条款。</w:t>
      </w:r>
    </w:p>
    <w:p w14:paraId="1556F7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54" w:name="_Toc15124"/>
      <w:bookmarkStart w:id="155" w:name="_Toc21463"/>
      <w:bookmarkStart w:id="156" w:name="_Toc19081"/>
      <w:r>
        <w:rPr>
          <w:rFonts w:hint="eastAsia" w:ascii="仿宋" w:hAnsi="仿宋" w:eastAsia="仿宋" w:cs="仿宋"/>
          <w:sz w:val="24"/>
          <w:szCs w:val="24"/>
        </w:rPr>
        <w:t>2.16合同使用的文字和适用的法律</w:t>
      </w:r>
      <w:bookmarkEnd w:id="154"/>
      <w:bookmarkEnd w:id="155"/>
      <w:bookmarkEnd w:id="156"/>
    </w:p>
    <w:p w14:paraId="77BE70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2.16.1合同使用汉语书就、变更和解释；</w:t>
      </w:r>
    </w:p>
    <w:p w14:paraId="69F033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2.16.2合同适用中华人民共和国法律。</w:t>
      </w:r>
    </w:p>
    <w:p w14:paraId="100D1E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57" w:name="_Toc16251"/>
      <w:bookmarkStart w:id="158" w:name="_Toc3800"/>
      <w:bookmarkStart w:id="159" w:name="_Toc18001"/>
      <w:r>
        <w:rPr>
          <w:rFonts w:hint="eastAsia" w:ascii="仿宋" w:hAnsi="仿宋" w:eastAsia="仿宋" w:cs="仿宋"/>
          <w:sz w:val="24"/>
          <w:szCs w:val="24"/>
        </w:rPr>
        <w:t>2.17履约保证金</w:t>
      </w:r>
      <w:bookmarkEnd w:id="157"/>
      <w:bookmarkEnd w:id="158"/>
      <w:bookmarkEnd w:id="159"/>
    </w:p>
    <w:p w14:paraId="3298E2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2.17.1采购文件要求乙方提交履约保证金的，乙方应按合同专用条款约定的方式，以支票、汇票、本票或者金融机构、担保机构出具的保函等非现金形式提交；</w:t>
      </w:r>
    </w:p>
    <w:p w14:paraId="586025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2.17.2履约保证金在合同专用条款约定期间内不予退还或者应完全有效，前述约定期间届满之日起个工作日内，甲方应将履约保证金退还乙方，甲方逾期退还履约保证金应承担违约责任。</w:t>
      </w:r>
    </w:p>
    <w:p w14:paraId="13A64F4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B0B950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60" w:name="_Toc9171"/>
      <w:bookmarkStart w:id="161" w:name="_Toc23430"/>
      <w:bookmarkStart w:id="162" w:name="_Toc13267"/>
      <w:r>
        <w:rPr>
          <w:rFonts w:hint="eastAsia" w:ascii="仿宋" w:hAnsi="仿宋" w:eastAsia="仿宋" w:cs="仿宋"/>
          <w:sz w:val="24"/>
          <w:szCs w:val="24"/>
        </w:rPr>
        <w:t>2.18合同份数</w:t>
      </w:r>
      <w:bookmarkEnd w:id="160"/>
      <w:bookmarkEnd w:id="161"/>
      <w:bookmarkEnd w:id="162"/>
    </w:p>
    <w:p w14:paraId="7D49B6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63" w:name="_Toc6139"/>
      <w:bookmarkStart w:id="164" w:name="_Toc1398"/>
      <w:bookmarkStart w:id="165" w:name="_Toc11372"/>
      <w:r>
        <w:rPr>
          <w:rFonts w:hint="eastAsia" w:ascii="仿宋" w:hAnsi="仿宋" w:eastAsia="仿宋" w:cs="仿宋"/>
          <w:sz w:val="24"/>
          <w:szCs w:val="24"/>
        </w:rPr>
        <w:t>合同份数按合同专用条款规定，每份均具有同等法律效力。</w:t>
      </w:r>
      <w:bookmarkEnd w:id="163"/>
      <w:bookmarkEnd w:id="164"/>
      <w:bookmarkEnd w:id="165"/>
    </w:p>
    <w:p w14:paraId="38FC79CB">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br w:type="page"/>
      </w:r>
    </w:p>
    <w:p w14:paraId="666E64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仿宋" w:hAnsi="仿宋" w:eastAsia="仿宋" w:cs="仿宋"/>
          <w:sz w:val="24"/>
          <w:szCs w:val="24"/>
        </w:rPr>
      </w:pPr>
      <w:bookmarkStart w:id="166" w:name="_Toc17620"/>
      <w:bookmarkStart w:id="167" w:name="_Toc13933"/>
      <w:bookmarkStart w:id="168" w:name="_Toc19452"/>
      <w:r>
        <w:rPr>
          <w:rFonts w:hint="eastAsia" w:ascii="仿宋" w:hAnsi="仿宋" w:eastAsia="仿宋" w:cs="仿宋"/>
          <w:b/>
          <w:bCs/>
          <w:sz w:val="24"/>
          <w:szCs w:val="24"/>
        </w:rPr>
        <w:t>第三部分合同专用条款</w:t>
      </w:r>
      <w:bookmarkEnd w:id="166"/>
      <w:bookmarkEnd w:id="167"/>
      <w:bookmarkEnd w:id="168"/>
    </w:p>
    <w:p w14:paraId="217FEE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1.定义与解释</w:t>
      </w:r>
    </w:p>
    <w:p w14:paraId="58F6CB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1.2解释</w:t>
      </w:r>
    </w:p>
    <w:p w14:paraId="37231D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1.2.1本合同文件除使用中文外，还可用__无_。</w:t>
      </w:r>
    </w:p>
    <w:p w14:paraId="7E6D7C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1.2.2约定本合同文件的解释顺序为：1、协议书；2、中标通知书：3、投标文件；4、专用条款；5、通用条款；6、附加协议条款。</w:t>
      </w:r>
    </w:p>
    <w:p w14:paraId="4FDD34B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2.监理人义务</w:t>
      </w:r>
    </w:p>
    <w:p w14:paraId="73DC44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2.1监理的范围和内容</w:t>
      </w:r>
    </w:p>
    <w:p w14:paraId="5C5E83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2.1.1监理范围包括：该工程施工图纸范围内全部施工阶段的监理工作及保修阶段监理工作。</w:t>
      </w:r>
    </w:p>
    <w:p w14:paraId="31A784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2.2监理与相关服务依据</w:t>
      </w:r>
    </w:p>
    <w:p w14:paraId="2999A3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2.2.监理依据包括：建筑法律、法规：地方法规、规章；相关施工技术、规范、标准、规程；施工图纸和技术资料；建设工程监理合同、监理大纲以及与工程建设项目有关的施工合同。</w:t>
      </w:r>
    </w:p>
    <w:p w14:paraId="4DC2DA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2.1.2监理工作内容还包括施工阶段的质量控制、进度控制、投资控制和安全控制管理工作、合同信息管理工作以及现场协调管理工作。</w:t>
      </w:r>
    </w:p>
    <w:p w14:paraId="63BF94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2.2.2相关服务依据包括：</w:t>
      </w:r>
    </w:p>
    <w:p w14:paraId="1575023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(1)适用的法律、行政法规及部门规章：</w:t>
      </w:r>
    </w:p>
    <w:p w14:paraId="248738A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(2)与工程有关的标准；</w:t>
      </w:r>
    </w:p>
    <w:p w14:paraId="1067E9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(3)工程设计及有关文件：</w:t>
      </w:r>
    </w:p>
    <w:p w14:paraId="0554E6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(4)本合同及委托人与第三方签订的与实施工程有关的其他合同。</w:t>
      </w:r>
    </w:p>
    <w:p w14:paraId="74C000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双方根据工程的行业和地域特点，在专用条件中具体约定监理依据。</w:t>
      </w:r>
    </w:p>
    <w:p w14:paraId="5009D7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2.3项目监理机构和人员</w:t>
      </w:r>
    </w:p>
    <w:p w14:paraId="7FEFE2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2.3.1监理人应组建满足工作需要的项目监理机构，配备必要的检测设备。项目监理机构的主要人员应具有相应的资格条件。</w:t>
      </w:r>
    </w:p>
    <w:p w14:paraId="29D6EE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2.3.2本合同履行过程中，总监理工程师及重要岗位监理人员应保持相对稳定，以保证监理工作正常进行。</w:t>
      </w:r>
    </w:p>
    <w:p w14:paraId="2D3837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43478B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2.3.4监理人应及时更换有下列情形之一的监理人员：</w:t>
      </w:r>
    </w:p>
    <w:p w14:paraId="139357A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(1)严重过失行为的；</w:t>
      </w:r>
    </w:p>
    <w:p w14:paraId="5FB345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(2)有违法行为不能履行职责的；</w:t>
      </w:r>
    </w:p>
    <w:p w14:paraId="78EF1E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(3)涉嫌犯罪的；</w:t>
      </w:r>
    </w:p>
    <w:p w14:paraId="71D5F5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(4)不能胜任岗位职责的；</w:t>
      </w:r>
    </w:p>
    <w:p w14:paraId="4D9BEB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(5)严重违反职业道德的：</w:t>
      </w:r>
    </w:p>
    <w:p w14:paraId="1A25AA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(6)专用条件约定的其他情形。</w:t>
      </w:r>
    </w:p>
    <w:p w14:paraId="63EFCA7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2.3.5委托人可要求监理人更换不能胜任本职工作的项目监理机构人员。</w:t>
      </w:r>
    </w:p>
    <w:p w14:paraId="0247D2A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24及行职责</w:t>
      </w:r>
    </w:p>
    <w:p w14:paraId="58ED074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监理人应遵循职业道德准则和行为规范，严格按照法律法规、工程建设有关标准及本合同履行职责。</w:t>
      </w:r>
    </w:p>
    <w:p w14:paraId="1E845E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2.4.1在监理与相关服务范围内，委托人和承包人提出的意见和要求，监理人应及时提出处置意见。当委托人与承包人之间发生合同争议时，监理人应协助委托人、承包人协商解决。</w:t>
      </w:r>
    </w:p>
    <w:p w14:paraId="5AC525B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2.4.2当委托人与承包人之间的合同争议提交仲裁机构仲裁或人民法院审理时，监理人应提供必要的证明资料。</w:t>
      </w:r>
    </w:p>
    <w:p w14:paraId="55B139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2.4.3监理人应在专用条件约定的授权范围内，处理委托人与承包人所签订合同的变更事宜。如果变更超过授权范围，应以书面形式报委托人批准。</w:t>
      </w:r>
    </w:p>
    <w:p w14:paraId="73D7196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在紧急情况下，为了保护财产和人身安全，监理人所发出的指令未能事先报委托人批准时，应在发出指令后的24小时内以书面形式报委托人。</w:t>
      </w:r>
    </w:p>
    <w:p w14:paraId="3C0FE2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2.4.4除专用条件另有约定外，监理人发现承包人的人员不能胜任本职工作的，有权要求承包人予以调换。</w:t>
      </w:r>
    </w:p>
    <w:p w14:paraId="27EBCC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2.5提交报告</w:t>
      </w:r>
    </w:p>
    <w:p w14:paraId="64D91C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监理人应按专用条件约定的种类、时间和份数向委托人提交监理与相关服务的报告。</w:t>
      </w:r>
    </w:p>
    <w:p w14:paraId="55FE1E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2.6文件资料</w:t>
      </w:r>
    </w:p>
    <w:p w14:paraId="35A1192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在体合同履行期内，监理人应在现场保留工作所用的图纸、报告及记录监理工作的相关文件。工程竣工后，应当按照档案管理规定将监理有关文件归档。</w:t>
      </w:r>
    </w:p>
    <w:p w14:paraId="41ECA57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2.7使用委托人的财产</w:t>
      </w:r>
    </w:p>
    <w:p w14:paraId="47E8473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27FDD0F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3.委托人的义务</w:t>
      </w:r>
    </w:p>
    <w:p w14:paraId="4A29DA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3.1告</w:t>
      </w:r>
    </w:p>
    <w:p w14:paraId="537A25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委托人应在委托人与承包人签订的合同中明确监理人、总监理工程师和授予项目监理机构的权限。如有变更，应及时通知承包人。</w:t>
      </w:r>
    </w:p>
    <w:p w14:paraId="754EEE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3.2提供资料</w:t>
      </w:r>
    </w:p>
    <w:p w14:paraId="561D01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委托人应按照附录B约定，无偿向监理人提供工程有关的资料。在本合同履行过程中，委托人应及时向监理人提供最新的与工程有关的资料。</w:t>
      </w:r>
    </w:p>
    <w:p w14:paraId="4F3C31B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3.3提供工作条件</w:t>
      </w:r>
    </w:p>
    <w:p w14:paraId="5BCFFA1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委托人应为监理人完成监理与相关服务提供必要的条件。</w:t>
      </w:r>
    </w:p>
    <w:p w14:paraId="7D1684C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3.3.1委托人应按照附录B约定，派遣相应的人员，提供房屋、设备，供监理人无偿使用。</w:t>
      </w:r>
    </w:p>
    <w:p w14:paraId="7450A5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3.3.2委托人应负责协调工程建设中所有外部关系，为监理人履行本合同提供必要的外部条件。</w:t>
      </w:r>
    </w:p>
    <w:p w14:paraId="4E5D6C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3.4委托人代表</w:t>
      </w:r>
    </w:p>
    <w:p w14:paraId="1E78CA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委托人应授权一名熟悉工程情况的代表，负责与监理人联系。委托人应在双方签订木合同后7天内，将委托人代表的姓名和职责书面告知监理人。当梦托人更换委托人代表时，应提前7天通知监理人。</w:t>
      </w:r>
    </w:p>
    <w:p w14:paraId="7BF18FA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3.5委托人意见或要求</w:t>
      </w:r>
    </w:p>
    <w:p w14:paraId="1E295E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在本合同约定的监理与相关服务工作范围内，委托人对承包人的任何意见或要求应通知监理人.由监理人向承包人发出相应指令。</w:t>
      </w:r>
    </w:p>
    <w:p w14:paraId="74075B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3.6答复</w:t>
      </w:r>
    </w:p>
    <w:p w14:paraId="72F844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委托人应在专用条件约定的时间内，对监理人以书面形式提交并要求作出决定的事宜，给予书面答复。逾期未答复的，视为委托人认可。</w:t>
      </w:r>
    </w:p>
    <w:p w14:paraId="0DCC59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3.7支付</w:t>
      </w:r>
    </w:p>
    <w:p w14:paraId="2982D9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委托人应按本合同约定，向监理人支付酬金。</w:t>
      </w:r>
    </w:p>
    <w:p w14:paraId="7AD63BA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4.违约责任</w:t>
      </w:r>
    </w:p>
    <w:p w14:paraId="10B9C2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4.1监理人的违约贵任</w:t>
      </w:r>
    </w:p>
    <w:p w14:paraId="521909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监理人未履行本合同义务的，应承担相应的责任。</w:t>
      </w:r>
    </w:p>
    <w:p w14:paraId="66AF61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4.1.1因监理人违反本合同约定给委托人造成损失的，监理人应当赔偿委托人损失。赔偿金额的确定方法在专用条件中约定。监理人承担部分赔偿责任的，其承担赔偿金额由双方协商确定。</w:t>
      </w:r>
    </w:p>
    <w:p w14:paraId="34747E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4.1.2监理人向委托人的索赔不成立时，监理人应赔偿委托人由此发生的费用。</w:t>
      </w:r>
    </w:p>
    <w:p w14:paraId="7BB773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4.2委托人的违约责任</w:t>
      </w:r>
    </w:p>
    <w:p w14:paraId="27B72F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委托人未履行本合同义务的，应承担相应的责任。</w:t>
      </w:r>
    </w:p>
    <w:p w14:paraId="0E1952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4.2.1委托人违反本合同约定造成监理人损失的，委托人应予以赔偿。</w:t>
      </w:r>
    </w:p>
    <w:p w14:paraId="1806674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4.2.2委托人向监理人的索赔不成立时，应赔偿监理人由此引起的费用。</w:t>
      </w:r>
    </w:p>
    <w:p w14:paraId="3B5592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4.2.3委托人未能按期支付酬金超过28天，应按专用条件约定支付逾期付款利息。</w:t>
      </w:r>
    </w:p>
    <w:p w14:paraId="309B1C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4.3除外责任</w:t>
      </w:r>
    </w:p>
    <w:p w14:paraId="7D0029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因非监理人的原因，且监理人无过错，发生工程质量事故、安全事故、工期延误等造成的损失，监理人不承担赔偿责任。</w:t>
      </w:r>
    </w:p>
    <w:p w14:paraId="6ABCF6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因不可抗力导致本合同全部或部分不能履行时，双方各自承担其因此而造成的损失、损害。</w:t>
      </w:r>
    </w:p>
    <w:p w14:paraId="23C5E5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5.支付</w:t>
      </w:r>
    </w:p>
    <w:p w14:paraId="0DB950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5.1支付货币</w:t>
      </w:r>
    </w:p>
    <w:p w14:paraId="3FCBC0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除专用条件另有约定外，酬金均以人民币支付。涉及外币支付的，所采用的货币种类、比例和汇率在专用条件中约定。</w:t>
      </w:r>
    </w:p>
    <w:p w14:paraId="3E81D2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5.2支付申请</w:t>
      </w:r>
    </w:p>
    <w:p w14:paraId="6EE836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监理人应在本合同约定的每次应付款时间的7天前，向委托人提交支付申请书。支付申请书应当说明当期应付款总额，并列出当期应支付的款项及其金额。</w:t>
      </w:r>
    </w:p>
    <w:p w14:paraId="09E0AF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5.3支付酬金</w:t>
      </w:r>
    </w:p>
    <w:p w14:paraId="2F5FD3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支付的酐金包括正常工作酬金、附加工作酬金、合理化建议奖励金额及费用。</w:t>
      </w:r>
    </w:p>
    <w:p w14:paraId="1ADB35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5.4有争议部分的付款</w:t>
      </w:r>
    </w:p>
    <w:p w14:paraId="2603130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委托人对监理人提交的支付申请书有异议时，应当在收到监理人提交的支付申请书后7天内，以书面形式向监理人发出异议通知。无异议部分的款项应按期支付，有异议部分的款项按第7条约定办理。</w:t>
      </w:r>
    </w:p>
    <w:p w14:paraId="09BC59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后6.合同生效、变更、暂停、解除与终止</w:t>
      </w:r>
    </w:p>
    <w:p w14:paraId="148511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6.1生效</w:t>
      </w:r>
    </w:p>
    <w:p w14:paraId="2D1FB8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除法律另有规定或老专用条件另有约定外，委托人和监理人的法定代表人或其授权代理人在协议书上签字并盖单位章后本合同生效。</w:t>
      </w:r>
    </w:p>
    <w:p w14:paraId="07A34A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6.2变更</w:t>
      </w:r>
    </w:p>
    <w:p w14:paraId="2D2D24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6.2.1任何一方提出受更请求时，双方经协商一致后可进行变更。</w:t>
      </w:r>
    </w:p>
    <w:p w14:paraId="514FB4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1DBEE5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6.2.3合同生效后，如果实际情况发生变化使得监理人不能完成全部或部分工作时，监理人应立即通知委托人。除不可抗力外，其营后工作以及恢复服务的准备工作应为附加工作，附加工作酬金的确定方法在专用条件中约定。监理人用于恢复服务的准备时间不应超过28天。</w:t>
      </w:r>
    </w:p>
    <w:p w14:paraId="74040A1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6.2.4合同签订后，遇有与工程相关的法律法规、标准颁布或修订的，双方应遵照执行。由此引起监理与相关服务的范围、时间、酬金交化的，双方应通过协商进行相应调整。</w:t>
      </w:r>
    </w:p>
    <w:p w14:paraId="7D88B4E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6.2.5因非监理人原因造成工程概算投资额或建筑安装工程费增加时，正常工作酬金应作相应调整。调整方法在专用条件中约定。</w:t>
      </w:r>
    </w:p>
    <w:p w14:paraId="2B9C9C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6.2.6因工程规模、监理范围的变化导致监理人的正常工作量减少时，正常工作酬金应作相应调整。调整方法在专用条件中约定。</w:t>
      </w:r>
    </w:p>
    <w:p w14:paraId="7FC76C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6.3暂停与解除</w:t>
      </w:r>
    </w:p>
    <w:p w14:paraId="026CBF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除双方协商一致可以解除本合同外，当一方无正当理由未履行本合同约定的义务时，另一方可以根据本合同约定暂停履行本合同直至解除本合同。</w:t>
      </w:r>
    </w:p>
    <w:p w14:paraId="37F09A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6.3.1在本合同有效期内，由于双方无法预见和控制的原因导致本合同全邵或部分无法继续履行或继续履行已无意义，经双方协商致，可以解除本会同或监理人的部分义务。在解除之前，监理人应作出合理安排，使开支诚至最小。</w:t>
      </w:r>
    </w:p>
    <w:p w14:paraId="09B4D26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因解除本合同或解除监理人的部分义务导致监理人建受的损失，除依法可以免除责任的情况外，应由委托人予以补偿，补偿金额由双方协商确定。</w:t>
      </w:r>
    </w:p>
    <w:p w14:paraId="351F5A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解除本合同的协议必须采取书面形式，协议未达成之前.本合同仍然有效。</w:t>
      </w:r>
    </w:p>
    <w:p w14:paraId="53CA1BA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6.3.2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7873115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贵任。</w:t>
      </w:r>
    </w:p>
    <w:p w14:paraId="496DA7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6.3.3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埋人之日，但监理人应承担第4.1款约定的责任。</w:t>
      </w:r>
    </w:p>
    <w:p w14:paraId="2FE4AE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6.3.4监理人在专用务件5.3中约定的支付之日起28天后仍未收到委托人按本合同约定应付的救项，可向委托人发出催付通知。委托人接到通知14天后仍末支付或未提出监理人可以接受的延期支付安排，监理人可向委托人发出暂停工作的通知并可自行暂停全部或部分工作。14</w:t>
      </w:r>
      <w:r>
        <w:rPr>
          <w:rFonts w:hint="eastAsia" w:ascii="仿宋" w:hAnsi="仿宋" w:eastAsia="仿宋" w:cs="仿宋"/>
          <w:lang w:val="en-US" w:eastAsia="zh-CN"/>
        </w:rPr>
        <w:t>天</w:t>
      </w:r>
      <w:r>
        <w:rPr>
          <w:rFonts w:hint="eastAsia" w:ascii="仿宋" w:hAnsi="仿宋" w:eastAsia="仿宋" w:cs="仿宋"/>
          <w:sz w:val="24"/>
          <w:szCs w:val="24"/>
          <w:u w:val="none"/>
          <w:lang w:val="en-US" w:eastAsia="zh-CN"/>
        </w:rPr>
        <w:t>内监理人仍未获得委托人应付酬金或委托人的合理答复，监理人可间委托人发格解除教合同的通知，自通知到达托人时本合同解除。委托人应承担第4.2.3款约定的责任。</w:t>
      </w:r>
    </w:p>
    <w:p w14:paraId="7ED976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6.3.5因不可抗力致使本合同部分或全部不能履行时，一方应立即通知另一方，可暂停或解除本合同。</w:t>
      </w:r>
    </w:p>
    <w:p w14:paraId="19A55A3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6.3.6本合同解除后，本合同约定的有关结算、清理、争议解决方式的条件仍然有效。</w:t>
      </w:r>
    </w:p>
    <w:p w14:paraId="25B158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6.4终止</w:t>
      </w:r>
    </w:p>
    <w:p w14:paraId="36342D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以下条件全部满足时，本合同即告终止：</w:t>
      </w:r>
    </w:p>
    <w:p w14:paraId="7FD32E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(1)监理人完成本合同约定的全部工作：</w:t>
      </w:r>
    </w:p>
    <w:p w14:paraId="1B2650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(2)委托人与监理人结清并支付全部酬金。</w:t>
      </w:r>
    </w:p>
    <w:p w14:paraId="56A71E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7.争议解决</w:t>
      </w:r>
    </w:p>
    <w:p w14:paraId="692D16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7.1协商</w:t>
      </w:r>
    </w:p>
    <w:p w14:paraId="059134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双方应本着诚信原则协商解决彼此间的争议。</w:t>
      </w:r>
    </w:p>
    <w:p w14:paraId="0E09C6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7.2调解</w:t>
      </w:r>
    </w:p>
    <w:p w14:paraId="10B71D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如果双方不能在14天内或双方商定的其他时间内解决本合同争议，可以将其提交给专用条件约定的或事后达成协议的调解人进行调解。</w:t>
      </w:r>
    </w:p>
    <w:p w14:paraId="1E6509D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8.其他</w:t>
      </w:r>
    </w:p>
    <w:p w14:paraId="29AECA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none"/>
          <w:lang w:val="en-US" w:eastAsia="zh-CN"/>
        </w:rPr>
      </w:pPr>
    </w:p>
    <w:p w14:paraId="0401A21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仿宋" w:hAnsi="仿宋" w:eastAsia="仿宋" w:cs="仿宋"/>
        </w:rPr>
      </w:pPr>
      <w:bookmarkStart w:id="169" w:name="bookmark75"/>
      <w:bookmarkEnd w:id="169"/>
      <w:bookmarkStart w:id="170" w:name="bookmark74"/>
      <w:bookmarkEnd w:id="170"/>
      <w:bookmarkStart w:id="171" w:name="bookmark76"/>
      <w:bookmarkEnd w:id="171"/>
    </w:p>
    <w:p w14:paraId="6B80F00A">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8"/>
          <w:szCs w:val="28"/>
        </w:rPr>
      </w:pPr>
      <w:r>
        <w:rPr>
          <w:rFonts w:hint="eastAsia" w:ascii="仿宋" w:hAnsi="仿宋" w:eastAsia="仿宋" w:cs="仿宋"/>
          <w:b/>
          <w:bCs/>
          <w:sz w:val="28"/>
          <w:szCs w:val="28"/>
        </w:rPr>
        <w:br w:type="page"/>
      </w:r>
    </w:p>
    <w:p w14:paraId="7B88A6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仿宋" w:hAnsi="仿宋" w:eastAsia="仿宋" w:cs="仿宋"/>
          <w:sz w:val="24"/>
          <w:szCs w:val="24"/>
        </w:rPr>
      </w:pPr>
      <w:bookmarkStart w:id="172" w:name="_Toc28105"/>
      <w:r>
        <w:rPr>
          <w:rFonts w:hint="eastAsia" w:ascii="仿宋" w:hAnsi="仿宋" w:eastAsia="仿宋" w:cs="仿宋"/>
          <w:b/>
          <w:bCs/>
          <w:sz w:val="28"/>
          <w:szCs w:val="28"/>
        </w:rPr>
        <w:t>第六章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响应文件的格式</w:t>
      </w:r>
      <w:bookmarkEnd w:id="172"/>
    </w:p>
    <w:p w14:paraId="6702D6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封面：</w:t>
      </w:r>
    </w:p>
    <w:p w14:paraId="33F0CC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D8D1B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3E925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5D591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仿宋" w:hAnsi="仿宋" w:eastAsia="仿宋" w:cs="仿宋"/>
          <w:sz w:val="24"/>
          <w:szCs w:val="24"/>
        </w:rPr>
      </w:pPr>
      <w:bookmarkStart w:id="173" w:name="bookmark79"/>
      <w:bookmarkEnd w:id="173"/>
      <w:bookmarkStart w:id="174" w:name="bookmark77"/>
      <w:bookmarkEnd w:id="174"/>
      <w:bookmarkStart w:id="175" w:name="_Toc24861"/>
      <w:bookmarkStart w:id="176" w:name="_Toc17743"/>
      <w:bookmarkStart w:id="177" w:name="_Toc28226"/>
      <w:r>
        <w:rPr>
          <w:rFonts w:hint="eastAsia" w:ascii="仿宋" w:hAnsi="仿宋" w:eastAsia="仿宋" w:cs="仿宋"/>
          <w:sz w:val="24"/>
          <w:szCs w:val="24"/>
        </w:rPr>
        <w:t>响应文件</w:t>
      </w:r>
      <w:bookmarkEnd w:id="175"/>
      <w:bookmarkEnd w:id="176"/>
      <w:bookmarkEnd w:id="177"/>
    </w:p>
    <w:p w14:paraId="18B87C0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717FA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27208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A0F9F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资格证明文件</w:t>
      </w:r>
    </w:p>
    <w:p w14:paraId="00E865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FEE27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BD647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（第XX包）【如不分包，请删去本行】</w:t>
      </w:r>
    </w:p>
    <w:p w14:paraId="41AF11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3AFED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52CED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90A9D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5D29CB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DCEB2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BCCCB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95052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E49536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5E474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04E19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8BABC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项目编号：</w:t>
      </w:r>
    </w:p>
    <w:p w14:paraId="04C077F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项目名称：</w:t>
      </w:r>
    </w:p>
    <w:p w14:paraId="2EDDD3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供应商：</w:t>
      </w:r>
    </w:p>
    <w:p w14:paraId="760F1D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742BB9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年月日</w:t>
      </w:r>
    </w:p>
    <w:p w14:paraId="720D68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sectPr>
          <w:footerReference r:id="rId10" w:type="default"/>
          <w:pgSz w:w="11905" w:h="16840"/>
          <w:pgMar w:top="1373" w:right="1697" w:bottom="1139" w:left="1785" w:header="865" w:footer="961" w:gutter="0"/>
          <w:pgNumType w:fmt="numberInDash"/>
          <w:cols w:space="720" w:num="1"/>
        </w:sectPr>
      </w:pPr>
    </w:p>
    <w:p w14:paraId="33BDA6E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78" w:name="bookmark80"/>
      <w:bookmarkEnd w:id="178"/>
      <w:bookmarkStart w:id="179" w:name="bookmark78"/>
      <w:bookmarkEnd w:id="179"/>
      <w:bookmarkStart w:id="180" w:name="bookmark81"/>
      <w:bookmarkEnd w:id="180"/>
      <w:bookmarkStart w:id="181" w:name="bookmark82"/>
      <w:bookmarkEnd w:id="181"/>
      <w:bookmarkStart w:id="182" w:name="_Toc25820"/>
      <w:bookmarkStart w:id="183" w:name="_Toc28888"/>
      <w:bookmarkStart w:id="184" w:name="_Toc28178"/>
      <w:r>
        <w:rPr>
          <w:rFonts w:hint="eastAsia" w:ascii="仿宋" w:hAnsi="仿宋" w:eastAsia="仿宋" w:cs="仿宋"/>
          <w:sz w:val="24"/>
          <w:szCs w:val="24"/>
        </w:rPr>
        <w:t>一、满足《中华人民共和国政府采购法》第二十二条规定</w:t>
      </w:r>
      <w:bookmarkEnd w:id="182"/>
      <w:bookmarkEnd w:id="183"/>
      <w:bookmarkEnd w:id="184"/>
    </w:p>
    <w:p w14:paraId="53CE05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（一）法人、其他组织或者自然人的证明文件</w:t>
      </w:r>
    </w:p>
    <w:p w14:paraId="29D9BC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1、供应商为企业（包括合伙企业）的，应提供有效的“营业执照”；</w:t>
      </w:r>
    </w:p>
    <w:p w14:paraId="4A30FCC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2、供应商为事业单位的，应提供有效的“事业单位法人证书”；</w:t>
      </w:r>
    </w:p>
    <w:p w14:paraId="103D8C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3、供应商为非企业机构的，应提供有效的“执业许可证”、“登记证书”等证明文件；</w:t>
      </w:r>
    </w:p>
    <w:p w14:paraId="48C8E2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4、供应商是个体工商户的，应提供有效的“个体工商户营业执照”；</w:t>
      </w:r>
    </w:p>
    <w:p w14:paraId="656F51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5、供应商是自然人的，应提供有效的自然人身份证</w:t>
      </w:r>
    </w:p>
    <w:p w14:paraId="5B836301">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br w:type="page"/>
      </w:r>
    </w:p>
    <w:p w14:paraId="3C8645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（二）兵团政府采购供应商信用承诺函</w:t>
      </w:r>
    </w:p>
    <w:p w14:paraId="5DB086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单位名称（自然人姓名）：</w:t>
      </w:r>
    </w:p>
    <w:p w14:paraId="689023E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统一社会信用代码（身份证号码）：</w:t>
      </w:r>
    </w:p>
    <w:p w14:paraId="18CED3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法定代表人（负责人）：</w:t>
      </w:r>
    </w:p>
    <w:p w14:paraId="1A4EAA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我单位（本人）自愿参加本次政府采购活动，严格遵守《中华人民共和国政府采购法》及相关法律法规，坚守公开、公平、公正和诚实信用等原则，依法诚信经营，并郑重承诺：</w:t>
      </w:r>
    </w:p>
    <w:p w14:paraId="14CB2B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一、我单位（本人）符合《中华人民共和国政府采购法》第二十二条规定：</w:t>
      </w:r>
    </w:p>
    <w:p w14:paraId="26ECF2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（一）具有独立承担民事责任的能力;</w:t>
      </w:r>
    </w:p>
    <w:p w14:paraId="1B04C0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（二）具有良好的商业信誉和健全的财务会计制度;</w:t>
      </w:r>
    </w:p>
    <w:p w14:paraId="2EE357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（三）具有履行合同所必需的设备和专业技术能力;</w:t>
      </w:r>
    </w:p>
    <w:p w14:paraId="6B5D3E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（四）有依法缴纳税收和社会保障资金的良好记录;</w:t>
      </w:r>
    </w:p>
    <w:p w14:paraId="464C24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（五）参加政府采购活动前三年内，在经营活动中没有重大违法记录;</w:t>
      </w:r>
    </w:p>
    <w:p w14:paraId="7BD003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（六）符合法律、行政法规规定的其他条件。</w:t>
      </w:r>
    </w:p>
    <w:p w14:paraId="728FD1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二、我单位（本人）未被列入严重违法失信名单、失信被执行人名单、重大税收违法案件当事人名单、政府采购严重违法失信行为记录名单。</w:t>
      </w:r>
    </w:p>
    <w:p w14:paraId="78B62C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三、如果本公司（本人）有幸中标（成交），在合同签订之前，采购单位有权要求本公司（本人）提供资格证明材料原件进行核验。</w:t>
      </w:r>
    </w:p>
    <w:p w14:paraId="610C66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四、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4B6A2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46247F88">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jc w:val="right"/>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供应商名称（公章）：</w:t>
      </w:r>
    </w:p>
    <w:p w14:paraId="7C0653AE">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jc w:val="right"/>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法定代表人、负责人、本人、或授权代表（签字或盖章）：</w:t>
      </w:r>
    </w:p>
    <w:p w14:paraId="13AEF6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仿宋" w:hAnsi="仿宋" w:eastAsia="仿宋" w:cs="仿宋"/>
          <w:sz w:val="24"/>
          <w:szCs w:val="24"/>
        </w:rPr>
      </w:pPr>
      <w:r>
        <w:rPr>
          <w:rFonts w:hint="eastAsia" w:ascii="仿宋" w:hAnsi="仿宋" w:eastAsia="仿宋" w:cs="仿宋"/>
          <w:sz w:val="24"/>
          <w:szCs w:val="24"/>
        </w:rPr>
        <w:t>日期：年月日</w:t>
      </w:r>
    </w:p>
    <w:p w14:paraId="7E6A4A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sectPr>
          <w:footerReference r:id="rId11" w:type="default"/>
          <w:pgSz w:w="11905" w:h="16840"/>
          <w:pgMar w:top="1373" w:right="1697" w:bottom="1139" w:left="1785" w:header="865" w:footer="961" w:gutter="0"/>
          <w:pgNumType w:fmt="numberInDash"/>
          <w:cols w:space="720" w:num="1"/>
        </w:sectPr>
      </w:pPr>
    </w:p>
    <w:p w14:paraId="12F25B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85" w:name="bookmark83"/>
      <w:bookmarkEnd w:id="185"/>
      <w:bookmarkStart w:id="186" w:name="_Toc15099"/>
      <w:bookmarkStart w:id="187" w:name="_Toc30472"/>
      <w:bookmarkStart w:id="188" w:name="_Toc32505"/>
      <w:r>
        <w:rPr>
          <w:rFonts w:hint="eastAsia" w:ascii="仿宋" w:hAnsi="仿宋" w:eastAsia="仿宋" w:cs="仿宋"/>
          <w:sz w:val="24"/>
          <w:szCs w:val="24"/>
        </w:rPr>
        <w:t>二、联合体协议书【如适用】</w:t>
      </w:r>
      <w:bookmarkEnd w:id="186"/>
      <w:bookmarkEnd w:id="187"/>
      <w:bookmarkEnd w:id="188"/>
    </w:p>
    <w:p w14:paraId="4EA3CDE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49E61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仿宋" w:hAnsi="仿宋" w:eastAsia="仿宋" w:cs="仿宋"/>
          <w:sz w:val="24"/>
          <w:szCs w:val="24"/>
        </w:rPr>
      </w:pPr>
      <w:bookmarkStart w:id="189" w:name="bookmark84"/>
      <w:bookmarkEnd w:id="189"/>
      <w:bookmarkStart w:id="190" w:name="_Toc1148"/>
      <w:bookmarkStart w:id="191" w:name="_Toc3028"/>
      <w:bookmarkStart w:id="192" w:name="_Toc5542"/>
      <w:r>
        <w:rPr>
          <w:rFonts w:hint="eastAsia" w:ascii="仿宋" w:hAnsi="仿宋" w:eastAsia="仿宋" w:cs="仿宋"/>
          <w:sz w:val="24"/>
          <w:szCs w:val="24"/>
        </w:rPr>
        <w:t>联合体协议书</w:t>
      </w:r>
      <w:bookmarkEnd w:id="190"/>
      <w:bookmarkEnd w:id="191"/>
      <w:bookmarkEnd w:id="192"/>
    </w:p>
    <w:p w14:paraId="2C4F56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（以联合体形式磋商响应的，提供联合体协议书；本项目不接受联合体磋商响应或者供应商不以联合体形式磋商响应的，则不需要提供）</w:t>
      </w:r>
    </w:p>
    <w:p w14:paraId="34CA277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（联合体所有成员名称）自愿组成一个联合体，以一个供应商的身份参加</w:t>
      </w:r>
      <w:r>
        <w:rPr>
          <w:rFonts w:hint="eastAsia" w:ascii="仿宋" w:hAnsi="仿宋" w:eastAsia="仿宋" w:cs="仿宋"/>
          <w:sz w:val="24"/>
          <w:szCs w:val="24"/>
        </w:rPr>
        <w:tab/>
      </w:r>
      <w:r>
        <w:rPr>
          <w:rFonts w:hint="eastAsia" w:ascii="仿宋" w:hAnsi="仿宋" w:eastAsia="仿宋" w:cs="仿宋"/>
          <w:sz w:val="24"/>
          <w:szCs w:val="24"/>
        </w:rPr>
        <w:t>（项目名称）【项目编号：】磋商。</w:t>
      </w:r>
    </w:p>
    <w:p w14:paraId="5C2311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一、各方一致决定，（某联合体成员名称）为联合体牵头人，代表所有联合体成员负责磋商响应和合同实施阶段的主办、协调工作。</w:t>
      </w:r>
    </w:p>
    <w:p w14:paraId="7E529C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二、所有联合体成员各方签署授权书，授权书载明的授权代表根据竞争性磋商文件规定及响应内容而对采购人、采购代理机构所作的任何合法承诺，包括书面澄清及相应等均对联合投标各方产生约束力。</w:t>
      </w:r>
    </w:p>
    <w:p w14:paraId="7387AE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93" w:name="_Toc3306"/>
      <w:bookmarkStart w:id="194" w:name="_Toc25446"/>
      <w:bookmarkStart w:id="195" w:name="_Toc23728"/>
      <w:r>
        <w:rPr>
          <w:rFonts w:hint="eastAsia" w:ascii="仿宋" w:hAnsi="仿宋" w:eastAsia="仿宋" w:cs="仿宋"/>
          <w:sz w:val="24"/>
          <w:szCs w:val="24"/>
        </w:rPr>
        <w:t>三、本次联合磋商响应中，分工如下：</w:t>
      </w:r>
      <w:bookmarkEnd w:id="193"/>
      <w:bookmarkEnd w:id="194"/>
      <w:bookmarkEnd w:id="195"/>
    </w:p>
    <w:p w14:paraId="18996B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（联合体成员1）承担项目采购合同金额的%，负责的工作和义务为：；</w:t>
      </w:r>
    </w:p>
    <w:p w14:paraId="2BE5345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（联合体成员2）承担项目采购合同金额的%，负责的工作和义务为：；</w:t>
      </w:r>
    </w:p>
    <w:p w14:paraId="101096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w:t>
      </w:r>
    </w:p>
    <w:p w14:paraId="52E66A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96" w:name="_Toc11058"/>
      <w:bookmarkStart w:id="197" w:name="_Toc15103"/>
      <w:bookmarkStart w:id="198" w:name="_Toc27732"/>
      <w:r>
        <w:rPr>
          <w:rFonts w:hint="eastAsia" w:ascii="仿宋" w:hAnsi="仿宋" w:eastAsia="仿宋" w:cs="仿宋"/>
          <w:sz w:val="24"/>
          <w:szCs w:val="24"/>
        </w:rPr>
        <w:t>四、联合体成员中小企业合同份额。</w:t>
      </w:r>
      <w:bookmarkEnd w:id="196"/>
      <w:bookmarkEnd w:id="197"/>
      <w:bookmarkEnd w:id="198"/>
    </w:p>
    <w:p w14:paraId="2AB0439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联合体成员X,……）提供的全部服务及包含的货物由小微企业制造，其合同份额占到合同总金额%以上；……。（未预留份额专门面向中小企业采购的采购项目，以及预留份额中的非预留部分采购包，接受联合体投标的，</w:t>
      </w:r>
    </w:p>
    <w:p w14:paraId="12915B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联合体协议书约定小微企业的合同份额占到合同总金额30%以上的，对联合体报价按评审标准确定的比例给予扣除。供应商拟享受以上价格扣除政策的，填写有关内容。）</w:t>
      </w:r>
    </w:p>
    <w:p w14:paraId="7F43B9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中小企业合同金额达到%，其中小微企业合同金额达到%。（要求以联合体形式参加的项目或采购包，供应商按竞争性磋商文件第一部分竞争性磋商公告申请人的资格要求中规定的联合体协议书中中小企业、小微企业合同金额应当达到的比例要求填写。）</w:t>
      </w:r>
    </w:p>
    <w:p w14:paraId="5CF8526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五、如果成交，联合体各成员方共同与采购人签订采购合同，并就采购合同约定的事项对采购人承担连带责任。</w:t>
      </w:r>
    </w:p>
    <w:p w14:paraId="4810D5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199" w:name="_Toc20249"/>
      <w:bookmarkStart w:id="200" w:name="_Toc3026"/>
      <w:bookmarkStart w:id="201" w:name="_Toc4465"/>
      <w:r>
        <w:rPr>
          <w:rFonts w:hint="eastAsia" w:ascii="仿宋" w:hAnsi="仿宋" w:eastAsia="仿宋" w:cs="仿宋"/>
          <w:sz w:val="24"/>
          <w:szCs w:val="24"/>
        </w:rPr>
        <w:t>六、有关本次联合磋商响应的其他事宜：</w:t>
      </w:r>
      <w:bookmarkEnd w:id="199"/>
      <w:bookmarkEnd w:id="200"/>
      <w:bookmarkEnd w:id="201"/>
    </w:p>
    <w:p w14:paraId="16A76A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1、联合体各方不再单独参加或者与其他供应商另外组成联合体参加同一合同项下的政府采购活动。</w:t>
      </w:r>
    </w:p>
    <w:p w14:paraId="055390A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2、联合体中有同类资质的各方按照联合体分工承担相同工作的，按照资质等级较低的供应商确定资质等级。</w:t>
      </w:r>
    </w:p>
    <w:p w14:paraId="6BC49D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3、本协议提交采购人、采购代理机构后，联合体各方不得以任何形式对上述内容进行修改或撤销。</w:t>
      </w:r>
    </w:p>
    <w:p w14:paraId="6F68B6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4、其他：……</w:t>
      </w:r>
    </w:p>
    <w:p w14:paraId="474BBB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5、本协议书自签署之日起生效，若未成交，自本响应文件有效期结束后自行失效；若成交，自合同书规定的期限之后自行失效。</w:t>
      </w:r>
    </w:p>
    <w:p w14:paraId="5C3918B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6、本协议书正本一式份，联合体成员各执份；副本一式份，联合体成员各执份。</w:t>
      </w:r>
    </w:p>
    <w:p w14:paraId="22967A6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7EBC4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5B13B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DA45E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1D4AF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CB75A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联合体成员1名称(公章)：联合体成员2名称(公章)：</w:t>
      </w:r>
    </w:p>
    <w:p w14:paraId="00FE8EB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w:t>
      </w:r>
    </w:p>
    <w:p w14:paraId="4631AC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日期：年月日</w:t>
      </w:r>
    </w:p>
    <w:p w14:paraId="50CDFCA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sectPr>
          <w:footerReference r:id="rId12" w:type="default"/>
          <w:pgSz w:w="11905" w:h="16840"/>
          <w:pgMar w:top="1373" w:right="1697" w:bottom="1139" w:left="1785" w:header="865" w:footer="961" w:gutter="0"/>
          <w:pgNumType w:fmt="numberInDash"/>
          <w:cols w:space="720" w:num="1"/>
        </w:sectPr>
      </w:pPr>
      <w:r>
        <w:rPr>
          <w:rFonts w:hint="eastAsia" w:ascii="仿宋" w:hAnsi="仿宋" w:eastAsia="仿宋" w:cs="仿宋"/>
          <w:sz w:val="24"/>
          <w:szCs w:val="24"/>
        </w:rPr>
        <w:t>注：按本格式和要求提供。</w:t>
      </w:r>
    </w:p>
    <w:p w14:paraId="54CF973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仿宋" w:hAnsi="仿宋" w:eastAsia="仿宋" w:cs="仿宋"/>
          <w:sz w:val="24"/>
          <w:szCs w:val="24"/>
        </w:rPr>
      </w:pPr>
      <w:bookmarkStart w:id="202" w:name="bookmark85"/>
      <w:bookmarkEnd w:id="202"/>
      <w:bookmarkStart w:id="203" w:name="_Toc27080"/>
      <w:r>
        <w:rPr>
          <w:rFonts w:hint="eastAsia" w:ascii="仿宋" w:hAnsi="仿宋" w:eastAsia="仿宋" w:cs="仿宋"/>
          <w:sz w:val="24"/>
          <w:szCs w:val="24"/>
        </w:rPr>
        <w:t>三、</w:t>
      </w:r>
      <w:bookmarkEnd w:id="203"/>
      <w:bookmarkStart w:id="204" w:name="bookmark89"/>
      <w:bookmarkEnd w:id="204"/>
      <w:r>
        <w:rPr>
          <w:rFonts w:hint="eastAsia" w:ascii="仿宋" w:hAnsi="仿宋" w:eastAsia="仿宋" w:cs="仿宋"/>
          <w:sz w:val="24"/>
          <w:szCs w:val="24"/>
        </w:rPr>
        <w:t>中小企业声明函</w:t>
      </w:r>
    </w:p>
    <w:p w14:paraId="654CAE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bookmarkStart w:id="205" w:name="bookmark91"/>
      <w:bookmarkEnd w:id="205"/>
      <w:r>
        <w:rPr>
          <w:rFonts w:hint="eastAsia" w:ascii="仿宋" w:hAnsi="仿宋" w:eastAsia="仿宋" w:cs="仿宋"/>
          <w:sz w:val="24"/>
          <w:szCs w:val="24"/>
        </w:rPr>
        <w:t>中小企业声明函</w:t>
      </w:r>
    </w:p>
    <w:p w14:paraId="6D6436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本公司（联合体）郑重声明，根据《政府采购促进中小企业发展管理办法》（财库﹝2020﹞46号）的规定，本公司（联合体）参加（单位名称）</w:t>
      </w:r>
      <w:r>
        <w:rPr>
          <w:rFonts w:hint="eastAsia" w:ascii="仿宋" w:hAnsi="仿宋" w:eastAsia="仿宋" w:cs="仿宋"/>
          <w:sz w:val="24"/>
          <w:szCs w:val="24"/>
        </w:rPr>
        <w:tab/>
      </w:r>
      <w:r>
        <w:rPr>
          <w:rFonts w:hint="eastAsia" w:ascii="仿宋" w:hAnsi="仿宋" w:eastAsia="仿宋" w:cs="仿宋"/>
          <w:sz w:val="24"/>
          <w:szCs w:val="24"/>
        </w:rPr>
        <w:t>的（项目名称）采购活动，服务全部由符合政策要求的中小企业承接。相关企业（含联合体中的中小企业、签订分包意向协议书的中小企业）的具体情况如下：</w:t>
      </w:r>
    </w:p>
    <w:p w14:paraId="67D9A6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1.（标的名称），属于（采购文件中明确的所属行业）行业；承接企业为（企业名称），从业人员人，营业收入为万元，资产总额为万元，属于（中型企业、小型企业、微型企业）；</w:t>
      </w:r>
    </w:p>
    <w:p w14:paraId="1352D1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2.（标的名称），属于（采购文件中明确的所属行业）行业；承接企业为（企业名称），从业人员人，营业收入为万元，资产总额为万元，属于（中型企业、小型企业、微型企业）；</w:t>
      </w:r>
    </w:p>
    <w:p w14:paraId="15B302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w:t>
      </w:r>
    </w:p>
    <w:p w14:paraId="56E445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6293D2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2F45FE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92802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1CB081A">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仿宋" w:hAnsi="仿宋" w:eastAsia="仿宋" w:cs="仿宋"/>
          <w:sz w:val="24"/>
          <w:szCs w:val="24"/>
          <w:lang w:eastAsia="zh-CN"/>
        </w:rPr>
      </w:pPr>
      <w:r>
        <w:rPr>
          <w:rFonts w:hint="eastAsia" w:ascii="仿宋" w:hAnsi="仿宋" w:eastAsia="仿宋" w:cs="仿宋"/>
          <w:sz w:val="24"/>
          <w:szCs w:val="24"/>
        </w:rPr>
        <w:t>供应商名称（公章）：</w:t>
      </w:r>
    </w:p>
    <w:p w14:paraId="2CE716B7">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仿宋" w:hAnsi="仿宋" w:eastAsia="仿宋" w:cs="仿宋"/>
          <w:sz w:val="24"/>
          <w:szCs w:val="24"/>
        </w:rPr>
      </w:pPr>
      <w:r>
        <w:rPr>
          <w:rFonts w:hint="eastAsia" w:ascii="仿宋" w:hAnsi="仿宋" w:eastAsia="仿宋" w:cs="仿宋"/>
          <w:sz w:val="24"/>
          <w:szCs w:val="24"/>
        </w:rPr>
        <w:t>日期：年月日</w:t>
      </w:r>
    </w:p>
    <w:p w14:paraId="6E8145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49E9FA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说明：1.重要提示：供应商应仔细阅读本函附件1关于“中小企业声明函”的填写要求及提交要求，否则，因填写或提交等产生的一切不利后果，须自行承担。</w:t>
      </w:r>
    </w:p>
    <w:p w14:paraId="542B0D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2.从业人员、营业收入、资产总额填报上一年度数据，无上一年度数据的新成立企业可不填报。</w:t>
      </w:r>
    </w:p>
    <w:p w14:paraId="318644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sectPr>
          <w:footerReference r:id="rId13" w:type="default"/>
          <w:pgSz w:w="11905" w:h="16840"/>
          <w:pgMar w:top="1373" w:right="1659" w:bottom="1139" w:left="1785" w:header="865" w:footer="961" w:gutter="0"/>
          <w:pgNumType w:fmt="numberInDash"/>
          <w:cols w:space="720" w:num="1"/>
        </w:sectPr>
      </w:pPr>
    </w:p>
    <w:p w14:paraId="4830D9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206" w:name="_Toc20731"/>
      <w:bookmarkStart w:id="207" w:name="_Toc6970"/>
      <w:bookmarkStart w:id="208" w:name="_Toc21992"/>
      <w:r>
        <w:rPr>
          <w:rFonts w:hint="eastAsia" w:ascii="仿宋" w:hAnsi="仿宋" w:eastAsia="仿宋" w:cs="仿宋"/>
          <w:sz w:val="24"/>
          <w:szCs w:val="24"/>
        </w:rPr>
        <w:t>附件1</w:t>
      </w:r>
      <w:bookmarkEnd w:id="206"/>
      <w:bookmarkEnd w:id="207"/>
      <w:bookmarkEnd w:id="208"/>
    </w:p>
    <w:p w14:paraId="145446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（一）关于“中小企业声明函”的填写要求</w:t>
      </w:r>
    </w:p>
    <w:p w14:paraId="40F438B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“中小企业声明函”具体填写要求如下：</w:t>
      </w:r>
    </w:p>
    <w:p w14:paraId="3D1A194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1.“单位名称”应填写采购人名称。</w:t>
      </w:r>
    </w:p>
    <w:p w14:paraId="49276E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2CC2AC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4793A9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4.“采购文件中明确的所属行业”应填写采购文件中明确的采购标的所属行业，并应确保与采购标的涉及的货物制造商/服务承接商/工程承建商（根据项目属性确定）本身的所属行业保持一致。</w:t>
      </w:r>
    </w:p>
    <w:p w14:paraId="5FF5642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54894B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62957F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5.“企业名称”应填写投标（响应）的货物制造商/服务承接商/工程承建商（根据项目属性确定）。</w:t>
      </w:r>
    </w:p>
    <w:p w14:paraId="3CCA89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对于分包方式面向中小企业采购的项目，“企业名称”应填写分包部分采购标的对应的货物制造商/服务承接商/工程承建商（根据项目属性确定）。</w:t>
      </w:r>
    </w:p>
    <w:p w14:paraId="715C64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对于以联合体方式面向中小企业采购的项目，“企业名称”应填写联合体中中小企业承担采购标的对应的货物制造商/服务承接商/工程承建商（根据项目属性确定）。</w:t>
      </w:r>
    </w:p>
    <w:p w14:paraId="12712C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sectPr>
          <w:footerReference r:id="rId14" w:type="default"/>
          <w:pgSz w:w="11905" w:h="16840"/>
          <w:pgMar w:top="1373" w:right="1561" w:bottom="1139" w:left="1785" w:header="865" w:footer="961" w:gutter="0"/>
          <w:pgNumType w:fmt="numberInDash"/>
          <w:cols w:space="720" w:num="1"/>
        </w:sectPr>
      </w:pPr>
    </w:p>
    <w:p w14:paraId="27EFD7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6.从业人员、资产总额指标以上年度末数据为依据，营业收入指标以上年度累计数据为依据。无上年度数据的新成立企业可不填报。</w:t>
      </w:r>
    </w:p>
    <w:p w14:paraId="1A7210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中型企业/小型企业/微型企业”部分，供应商应依据企业上年度从业人员、营业收入、资产总额等指标，按照《中小企业划型标准规定》（工信部联企业〔2011〕300号）、《金融业企业划型标准规定》（银发〔2015〕309号），判断“中小企业声明函”载明的货物制造商/服务承接商/工程承建商（根据项目属性确定）是否属于采购文件所属行业的中型企业/小型企业/微型企业。</w:t>
      </w:r>
    </w:p>
    <w:p w14:paraId="36B2E3D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5E9B1D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0"/>
        <w:rPr>
          <w:rFonts w:hint="eastAsia" w:ascii="仿宋" w:hAnsi="仿宋" w:eastAsia="仿宋" w:cs="仿宋"/>
          <w:sz w:val="24"/>
          <w:szCs w:val="24"/>
        </w:rPr>
      </w:pPr>
      <w:bookmarkStart w:id="209" w:name="_Toc7497"/>
      <w:bookmarkStart w:id="210" w:name="_Toc10043"/>
      <w:bookmarkStart w:id="211" w:name="_Toc16404"/>
      <w:r>
        <w:rPr>
          <w:rFonts w:hint="eastAsia" w:ascii="仿宋" w:hAnsi="仿宋" w:eastAsia="仿宋" w:cs="仿宋"/>
          <w:sz w:val="24"/>
          <w:szCs w:val="24"/>
        </w:rPr>
        <w:t>（二）关于“中小企业声明函”的提交要求</w:t>
      </w:r>
      <w:bookmarkEnd w:id="209"/>
      <w:bookmarkEnd w:id="210"/>
      <w:bookmarkEnd w:id="211"/>
    </w:p>
    <w:p w14:paraId="2E1627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B78AAC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2.鼓励供应商在投标（响应）时一并提供对货物制造商、服务承接商、工程承建商相关信息的核实核验情况以及其他佐证材料。</w:t>
      </w:r>
    </w:p>
    <w:p w14:paraId="196AF0E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如供应商提供的“中小企业声明函”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E8363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sectPr>
          <w:footerReference r:id="rId15" w:type="default"/>
          <w:pgSz w:w="11905" w:h="16840"/>
          <w:pgMar w:top="1373" w:right="1697" w:bottom="1139" w:left="1785" w:header="865" w:footer="961" w:gutter="0"/>
          <w:pgNumType w:fmt="numberInDash"/>
          <w:cols w:space="720" w:num="1"/>
        </w:sectPr>
      </w:pPr>
    </w:p>
    <w:p w14:paraId="51D02B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212" w:name="bookmark130"/>
      <w:bookmarkEnd w:id="212"/>
      <w:bookmarkStart w:id="213" w:name="_Toc7164"/>
      <w:bookmarkStart w:id="214" w:name="_Toc17453"/>
      <w:bookmarkStart w:id="215" w:name="_Toc14408"/>
      <w:r>
        <w:rPr>
          <w:rFonts w:hint="eastAsia" w:ascii="仿宋" w:hAnsi="仿宋" w:eastAsia="仿宋" w:cs="仿宋"/>
          <w:sz w:val="24"/>
          <w:szCs w:val="24"/>
        </w:rPr>
        <w:t>附件2：</w:t>
      </w:r>
      <w:bookmarkEnd w:id="213"/>
      <w:bookmarkEnd w:id="214"/>
      <w:bookmarkEnd w:id="215"/>
    </w:p>
    <w:p w14:paraId="7A54F4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关于印发中小企业划型标准规定的通知工信部联企业〔2011〕300号</w:t>
      </w:r>
    </w:p>
    <w:p w14:paraId="2F7843E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各省、自治区、直辖市人民政府，国务院各部委、各直属机构及有关单位：</w:t>
      </w:r>
    </w:p>
    <w:p w14:paraId="4821C6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ECAF8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工业和信息化部国家统计局国家发展和改革委员会财政部二○一一年六月十八日</w:t>
      </w:r>
    </w:p>
    <w:p w14:paraId="41EFB7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FAF16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中小企业划型标准规定</w:t>
      </w:r>
    </w:p>
    <w:p w14:paraId="78C032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一、根据《中华人民共和国中小企业促进法》和《国务院关于进一步促进中小企业发展的若干意见》(国发〔2009〕36号)，制定本规定。</w:t>
      </w:r>
    </w:p>
    <w:p w14:paraId="4B9736A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二、中小企业划分为中型、小型、微型三种类型，具体标准根据企业从业人员、营业收入、资产总额等指标，结合行业特点制定。</w:t>
      </w:r>
    </w:p>
    <w:p w14:paraId="58F3BB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9D504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四、各行业划型标准为：</w:t>
      </w:r>
    </w:p>
    <w:p w14:paraId="49F362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（一）农、林、牧、渔业。营业收入20000万元以下的为中小微型企业。其中，营业收入500万元及以上的为中型企业，营业收入50万元及以上的为小型企业，营业收入50万元以下的为微型企业。</w:t>
      </w:r>
    </w:p>
    <w:p w14:paraId="7ABC12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059479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w:t>
      </w:r>
      <w:bookmarkStart w:id="216" w:name="bookmark131"/>
      <w:bookmarkEnd w:id="216"/>
      <w:r>
        <w:rPr>
          <w:rFonts w:hint="eastAsia" w:ascii="仿宋" w:hAnsi="仿宋" w:eastAsia="仿宋" w:cs="仿宋"/>
          <w:sz w:val="24"/>
          <w:szCs w:val="24"/>
        </w:rPr>
        <w:t>业；营业收入300万元以下或资产总额300万元以下的为微型企业。</w:t>
      </w:r>
    </w:p>
    <w:p w14:paraId="30074B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6C76C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9925B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74EE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C02BBE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04B33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903B72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57DE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5F2DA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（十二）软件和信息技术服务业。从业人员300人以下或营业收入10000万</w:t>
      </w:r>
      <w:bookmarkStart w:id="217" w:name="bookmark132"/>
      <w:bookmarkEnd w:id="217"/>
      <w:r>
        <w:rPr>
          <w:rFonts w:hint="eastAsia" w:ascii="仿宋" w:hAnsi="仿宋" w:eastAsia="仿宋" w:cs="仿宋"/>
          <w:sz w:val="24"/>
          <w:szCs w:val="24"/>
        </w:rPr>
        <w:t>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6A7FB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E6EBF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BB73B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B7460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（十六）其他未列明行业。从业人员300人以下的为中小微型企业。其中，从业人员100人及以上的为中型企业；从业人员10人及以上的为小型企业；从业人员10人以下的为微型企业。</w:t>
      </w:r>
    </w:p>
    <w:p w14:paraId="42EDD7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五、企业类型的划分以统计部门的统计数据为依据。</w:t>
      </w:r>
    </w:p>
    <w:p w14:paraId="39F1D8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六、本规定适用于在中华人民共和国境内依法设立的各类所有制和各种组织形式的企业。个体工商户和本规定以外的行业，参照本规定进行划型。</w:t>
      </w:r>
    </w:p>
    <w:p w14:paraId="28E441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41A7CF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八、本规定由工业和信息化部、国家统计局会同有关部门根据《国民经济行业分类》修订情况和企业发展变化情况适时修订。</w:t>
      </w:r>
    </w:p>
    <w:p w14:paraId="692CEA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九、本规定由工业和信息化部、国家统计局会同有关部门负责解释。</w:t>
      </w:r>
    </w:p>
    <w:p w14:paraId="4D833F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十、本规定自发布之日起执行，原国家经贸委、原国家计委、财政部和国家统计局2003年颁布的《中小企业标准暂行规定》同时废止。</w:t>
      </w:r>
    </w:p>
    <w:p w14:paraId="28621492">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br w:type="page"/>
      </w:r>
    </w:p>
    <w:p w14:paraId="3D7DFB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仿宋" w:hAnsi="仿宋" w:eastAsia="仿宋" w:cs="仿宋"/>
          <w:sz w:val="24"/>
          <w:szCs w:val="24"/>
        </w:rPr>
      </w:pPr>
      <w:bookmarkStart w:id="218" w:name="bookmark97"/>
      <w:bookmarkEnd w:id="218"/>
      <w:bookmarkStart w:id="219" w:name="bookmark92"/>
      <w:bookmarkEnd w:id="219"/>
      <w:bookmarkStart w:id="220" w:name="bookmark96"/>
      <w:bookmarkEnd w:id="220"/>
      <w:bookmarkStart w:id="221" w:name="bookmark99"/>
      <w:bookmarkEnd w:id="221"/>
      <w:r>
        <w:rPr>
          <w:rFonts w:hint="eastAsia" w:ascii="仿宋" w:hAnsi="仿宋" w:eastAsia="仿宋" w:cs="仿宋"/>
          <w:sz w:val="24"/>
          <w:szCs w:val="24"/>
          <w:lang w:val="en-US" w:eastAsia="zh-CN"/>
        </w:rPr>
        <w:t>四</w:t>
      </w:r>
      <w:r>
        <w:rPr>
          <w:rFonts w:hint="eastAsia" w:ascii="仿宋" w:hAnsi="仿宋" w:eastAsia="仿宋" w:cs="仿宋"/>
          <w:sz w:val="24"/>
          <w:szCs w:val="24"/>
        </w:rPr>
        <w:t>、不参与围标串标承诺书</w:t>
      </w:r>
    </w:p>
    <w:p w14:paraId="5E44DE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A99E5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bookmarkStart w:id="222" w:name="bookmark98"/>
      <w:bookmarkEnd w:id="222"/>
      <w:r>
        <w:rPr>
          <w:rFonts w:hint="eastAsia" w:ascii="仿宋" w:hAnsi="仿宋" w:eastAsia="仿宋" w:cs="仿宋"/>
          <w:sz w:val="24"/>
          <w:szCs w:val="24"/>
        </w:rPr>
        <w:t>不参与围标串标承诺书</w:t>
      </w:r>
    </w:p>
    <w:p w14:paraId="394D654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p w14:paraId="57B1DE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本人作为经授权的供应商代表,清楚知晓我单位参与本项目竞争性磋商活动,对以下事项作出承诺：</w:t>
      </w:r>
    </w:p>
    <w:p w14:paraId="68242D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8B562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一、我单位和我本人遵循公开透明、公平竞争、公正和诚实信用的原则,依法依规参与本项目竞标。</w:t>
      </w:r>
    </w:p>
    <w:p w14:paraId="19FA9E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二、我单位和我本人在本项目政府采购竞争性磋商活动中,未参与围标串标。</w:t>
      </w:r>
    </w:p>
    <w:p w14:paraId="2242C25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三、我单位如被查实在本项目政府采购竞争性磋商活动中存在围标串标的，递交响应文件行为作为实施串通投标违法行为的关键环节,由我单位及法定代表</w:t>
      </w:r>
    </w:p>
    <w:p w14:paraId="6E4470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人承担相应的法律责任，接受相应行政处罚和失信惩戒。</w:t>
      </w:r>
    </w:p>
    <w:p w14:paraId="709C984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B0929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A1628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5BB62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00C7C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4977CD2">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仿宋" w:hAnsi="仿宋" w:eastAsia="仿宋" w:cs="仿宋"/>
          <w:sz w:val="24"/>
          <w:szCs w:val="24"/>
        </w:rPr>
      </w:pPr>
      <w:r>
        <w:rPr>
          <w:rFonts w:hint="eastAsia" w:ascii="仿宋" w:hAnsi="仿宋" w:eastAsia="仿宋" w:cs="仿宋"/>
          <w:sz w:val="24"/>
          <w:szCs w:val="24"/>
        </w:rPr>
        <w:t>供应商名称（公章）：</w:t>
      </w:r>
    </w:p>
    <w:p w14:paraId="7B0FD94B">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仿宋" w:hAnsi="仿宋" w:eastAsia="仿宋" w:cs="仿宋"/>
          <w:sz w:val="24"/>
          <w:szCs w:val="24"/>
          <w:lang w:eastAsia="zh-CN"/>
        </w:rPr>
      </w:pPr>
      <w:r>
        <w:rPr>
          <w:rFonts w:hint="eastAsia" w:ascii="仿宋" w:hAnsi="仿宋" w:eastAsia="仿宋" w:cs="仿宋"/>
          <w:sz w:val="24"/>
          <w:szCs w:val="24"/>
        </w:rPr>
        <w:t>法定代表人、负责人、本人、或授权代表（签字或印章）：</w:t>
      </w:r>
    </w:p>
    <w:p w14:paraId="70D7205E">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仿宋" w:hAnsi="仿宋" w:eastAsia="仿宋" w:cs="仿宋"/>
          <w:sz w:val="24"/>
          <w:szCs w:val="24"/>
        </w:rPr>
        <w:sectPr>
          <w:footerReference r:id="rId16" w:type="default"/>
          <w:pgSz w:w="11905" w:h="16840"/>
          <w:pgMar w:top="1373" w:right="1697" w:bottom="1139" w:left="1785" w:header="865" w:footer="961" w:gutter="0"/>
          <w:pgNumType w:fmt="numberInDash"/>
          <w:cols w:space="720" w:num="1"/>
        </w:sectPr>
      </w:pPr>
      <w:r>
        <w:rPr>
          <w:rFonts w:hint="eastAsia" w:ascii="仿宋" w:hAnsi="仿宋" w:eastAsia="仿宋" w:cs="仿宋"/>
          <w:sz w:val="24"/>
          <w:szCs w:val="24"/>
        </w:rPr>
        <w:t>日期：年月日</w:t>
      </w:r>
    </w:p>
    <w:p w14:paraId="3EEB01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仿宋" w:hAnsi="仿宋" w:eastAsia="仿宋" w:cs="仿宋"/>
          <w:sz w:val="24"/>
          <w:szCs w:val="24"/>
        </w:rPr>
      </w:pPr>
      <w:r>
        <w:rPr>
          <w:rFonts w:hint="eastAsia" w:ascii="仿宋" w:hAnsi="仿宋" w:eastAsia="仿宋" w:cs="仿宋"/>
          <w:sz w:val="24"/>
          <w:szCs w:val="24"/>
          <w:lang w:val="en-US" w:eastAsia="zh-CN"/>
        </w:rPr>
        <w:t>五</w:t>
      </w:r>
      <w:r>
        <w:rPr>
          <w:rFonts w:hint="eastAsia" w:ascii="仿宋" w:hAnsi="仿宋" w:eastAsia="仿宋" w:cs="仿宋"/>
          <w:sz w:val="24"/>
          <w:szCs w:val="24"/>
        </w:rPr>
        <w:t>、其他资格证明文件</w:t>
      </w:r>
    </w:p>
    <w:p w14:paraId="146BE5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4AAF1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供应商认为需提供的其它相关资格证明材料</w:t>
      </w:r>
    </w:p>
    <w:p w14:paraId="69DD22F0">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br w:type="page"/>
      </w:r>
    </w:p>
    <w:p w14:paraId="5D51E8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封面：</w:t>
      </w:r>
    </w:p>
    <w:p w14:paraId="63D942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64752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3978B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2DDAF1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F9877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75374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bookmarkStart w:id="223" w:name="bookmark101"/>
      <w:bookmarkEnd w:id="223"/>
      <w:r>
        <w:rPr>
          <w:rFonts w:hint="eastAsia" w:ascii="仿宋" w:hAnsi="仿宋" w:eastAsia="仿宋" w:cs="仿宋"/>
          <w:sz w:val="24"/>
          <w:szCs w:val="24"/>
        </w:rPr>
        <w:t>响应文件</w:t>
      </w:r>
    </w:p>
    <w:p w14:paraId="16C581E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DA1E0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报价文件</w:t>
      </w:r>
    </w:p>
    <w:p w14:paraId="2F2B09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BC07B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（第XX包）【如不分包，请删去本行】</w:t>
      </w:r>
    </w:p>
    <w:p w14:paraId="1BC3C7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D9715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6DA45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F96F31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BDFD08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8BB01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471AB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7568B2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0DAE6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04A760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F64E4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p w14:paraId="5E86DBB6">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项目编号：</w:t>
      </w:r>
    </w:p>
    <w:p w14:paraId="7155AEB2">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项目名称：</w:t>
      </w:r>
    </w:p>
    <w:p w14:paraId="2743FD0C">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供应商：</w:t>
      </w:r>
    </w:p>
    <w:p w14:paraId="43CAFFC2">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6F1869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26E89C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F8799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A8C5B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sectPr>
          <w:footerReference r:id="rId17" w:type="default"/>
          <w:pgSz w:w="11905" w:h="16840"/>
          <w:pgMar w:top="1373" w:right="1697" w:bottom="1139" w:left="1785" w:header="865" w:footer="961" w:gutter="0"/>
          <w:pgNumType w:fmt="numberInDash"/>
          <w:cols w:space="720" w:num="1"/>
        </w:sectPr>
      </w:pPr>
      <w:r>
        <w:rPr>
          <w:rFonts w:hint="eastAsia" w:ascii="仿宋" w:hAnsi="仿宋" w:eastAsia="仿宋" w:cs="仿宋"/>
          <w:sz w:val="24"/>
          <w:szCs w:val="24"/>
        </w:rPr>
        <w:t>年月日</w:t>
      </w:r>
    </w:p>
    <w:p w14:paraId="1E8348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b/>
          <w:bCs/>
          <w:sz w:val="24"/>
          <w:szCs w:val="24"/>
        </w:rPr>
      </w:pPr>
      <w:bookmarkStart w:id="224" w:name="bookmark102"/>
      <w:bookmarkEnd w:id="224"/>
      <w:bookmarkStart w:id="225" w:name="_Toc31361"/>
      <w:bookmarkStart w:id="226" w:name="_Toc17817"/>
      <w:bookmarkStart w:id="227" w:name="_Toc7643"/>
      <w:r>
        <w:rPr>
          <w:rFonts w:hint="eastAsia" w:ascii="仿宋" w:hAnsi="仿宋" w:eastAsia="仿宋" w:cs="仿宋"/>
          <w:b/>
          <w:bCs/>
          <w:sz w:val="24"/>
          <w:szCs w:val="24"/>
        </w:rPr>
        <w:t>一、报价一览表</w:t>
      </w:r>
      <w:bookmarkEnd w:id="225"/>
      <w:bookmarkEnd w:id="226"/>
      <w:bookmarkEnd w:id="227"/>
    </w:p>
    <w:p w14:paraId="10FEF8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D3727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8BFC7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项目名称：</w:t>
      </w:r>
    </w:p>
    <w:p w14:paraId="76B52B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项目编号：响应包号：</w:t>
      </w:r>
    </w:p>
    <w:p w14:paraId="3A7AA8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bl>
      <w:tblPr>
        <w:tblStyle w:val="11"/>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38"/>
        <w:gridCol w:w="2242"/>
        <w:gridCol w:w="1632"/>
        <w:gridCol w:w="1632"/>
        <w:gridCol w:w="1896"/>
      </w:tblGrid>
      <w:tr w14:paraId="16230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666" w:type="pct"/>
            <w:vAlign w:val="center"/>
          </w:tcPr>
          <w:p w14:paraId="2783A6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序号</w:t>
            </w:r>
          </w:p>
        </w:tc>
        <w:tc>
          <w:tcPr>
            <w:tcW w:w="1312" w:type="pct"/>
            <w:vAlign w:val="center"/>
          </w:tcPr>
          <w:p w14:paraId="11169B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磋商报价</w:t>
            </w:r>
          </w:p>
        </w:tc>
        <w:tc>
          <w:tcPr>
            <w:tcW w:w="955" w:type="pct"/>
            <w:vAlign w:val="center"/>
          </w:tcPr>
          <w:p w14:paraId="10B084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项目负责人</w:t>
            </w:r>
          </w:p>
        </w:tc>
        <w:tc>
          <w:tcPr>
            <w:tcW w:w="955" w:type="pct"/>
            <w:vAlign w:val="center"/>
          </w:tcPr>
          <w:p w14:paraId="688567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服务期限</w:t>
            </w:r>
          </w:p>
        </w:tc>
        <w:tc>
          <w:tcPr>
            <w:tcW w:w="1109" w:type="pct"/>
            <w:vAlign w:val="center"/>
          </w:tcPr>
          <w:p w14:paraId="581914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备注（如有）</w:t>
            </w:r>
          </w:p>
        </w:tc>
      </w:tr>
      <w:tr w14:paraId="4FC10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666" w:type="pct"/>
            <w:vAlign w:val="center"/>
          </w:tcPr>
          <w:p w14:paraId="1084A8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12" w:type="pct"/>
            <w:vAlign w:val="center"/>
          </w:tcPr>
          <w:p w14:paraId="5D5EC490">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t>小写：</w:t>
            </w:r>
            <w:r>
              <w:rPr>
                <w:rFonts w:hint="eastAsia" w:ascii="仿宋" w:hAnsi="仿宋" w:eastAsia="仿宋" w:cs="仿宋"/>
                <w:sz w:val="24"/>
                <w:szCs w:val="24"/>
                <w:u w:val="single"/>
                <w:lang w:val="en-US" w:eastAsia="zh-CN"/>
              </w:rPr>
              <w:t xml:space="preserve">           </w:t>
            </w:r>
          </w:p>
          <w:p w14:paraId="4607CAE1">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大写：</w:t>
            </w:r>
            <w:r>
              <w:rPr>
                <w:rFonts w:hint="eastAsia" w:ascii="仿宋" w:hAnsi="仿宋" w:eastAsia="仿宋" w:cs="仿宋"/>
                <w:sz w:val="24"/>
                <w:szCs w:val="24"/>
                <w:u w:val="single"/>
                <w:lang w:val="en-US" w:eastAsia="zh-CN"/>
              </w:rPr>
              <w:t xml:space="preserve">           </w:t>
            </w:r>
          </w:p>
        </w:tc>
        <w:tc>
          <w:tcPr>
            <w:tcW w:w="955" w:type="pct"/>
            <w:vAlign w:val="center"/>
          </w:tcPr>
          <w:p w14:paraId="27A3AF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55" w:type="pct"/>
            <w:vAlign w:val="center"/>
          </w:tcPr>
          <w:p w14:paraId="01709D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109" w:type="pct"/>
            <w:vAlign w:val="center"/>
          </w:tcPr>
          <w:p w14:paraId="374894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bl>
    <w:p w14:paraId="6DBABDC1">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仿宋" w:hAnsi="仿宋" w:eastAsia="仿宋" w:cs="仿宋"/>
          <w:sz w:val="24"/>
          <w:szCs w:val="24"/>
        </w:rPr>
      </w:pPr>
    </w:p>
    <w:p w14:paraId="0424CD0F">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仿宋" w:hAnsi="仿宋" w:eastAsia="仿宋" w:cs="仿宋"/>
          <w:sz w:val="24"/>
          <w:szCs w:val="24"/>
          <w:lang w:eastAsia="zh-CN"/>
        </w:rPr>
      </w:pPr>
      <w:r>
        <w:rPr>
          <w:rFonts w:hint="eastAsia" w:ascii="仿宋" w:hAnsi="仿宋" w:eastAsia="仿宋" w:cs="仿宋"/>
          <w:sz w:val="24"/>
          <w:szCs w:val="24"/>
        </w:rPr>
        <w:t>供应商名称（公章）：</w:t>
      </w:r>
    </w:p>
    <w:p w14:paraId="19883610">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仿宋" w:hAnsi="仿宋" w:eastAsia="仿宋" w:cs="仿宋"/>
          <w:sz w:val="24"/>
          <w:szCs w:val="24"/>
        </w:rPr>
      </w:pPr>
      <w:r>
        <w:rPr>
          <w:rFonts w:hint="eastAsia" w:ascii="仿宋" w:hAnsi="仿宋" w:eastAsia="仿宋" w:cs="仿宋"/>
          <w:sz w:val="24"/>
          <w:szCs w:val="24"/>
        </w:rPr>
        <w:t>日期：年月日</w:t>
      </w:r>
    </w:p>
    <w:p w14:paraId="71A94E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8A1331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90260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D45D8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27CFF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B7BC7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41BA4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3420B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注：</w:t>
      </w:r>
    </w:p>
    <w:p w14:paraId="34B96211">
      <w:pPr>
        <w:keepNext w:val="0"/>
        <w:keepLines w:val="0"/>
        <w:pageBreakBefore w:val="0"/>
        <w:widowControl/>
        <w:numPr>
          <w:ilvl w:val="0"/>
          <w:numId w:val="8"/>
        </w:numP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表中磋商报价即为分项报价表中的报价合计。</w:t>
      </w:r>
    </w:p>
    <w:p w14:paraId="386B9572">
      <w:pPr>
        <w:keepNext w:val="0"/>
        <w:keepLines w:val="0"/>
        <w:pageBreakBefore w:val="0"/>
        <w:widowControl/>
        <w:numPr>
          <w:ilvl w:val="0"/>
          <w:numId w:val="8"/>
        </w:numPr>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特殊事项在备注中注明。</w:t>
      </w:r>
    </w:p>
    <w:p w14:paraId="6DE135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3.表中大写与小写不一致的，以大写为准。</w:t>
      </w:r>
    </w:p>
    <w:p w14:paraId="47C5C2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sectPr>
          <w:footerReference r:id="rId18" w:type="default"/>
          <w:pgSz w:w="11905" w:h="16840"/>
          <w:pgMar w:top="1373" w:right="1684" w:bottom="1139" w:left="1684" w:header="865" w:footer="961" w:gutter="0"/>
          <w:pgNumType w:fmt="numberInDash"/>
          <w:cols w:space="720" w:num="1"/>
        </w:sectPr>
      </w:pPr>
    </w:p>
    <w:p w14:paraId="7B363BC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封面：</w:t>
      </w:r>
    </w:p>
    <w:p w14:paraId="4E6B05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0C983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7DAFC5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45776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DFB67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BBFBC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bookmarkStart w:id="228" w:name="bookmark133"/>
      <w:bookmarkEnd w:id="228"/>
      <w:bookmarkStart w:id="229" w:name="bookmark103"/>
      <w:bookmarkEnd w:id="229"/>
      <w:r>
        <w:rPr>
          <w:rFonts w:hint="eastAsia" w:ascii="仿宋" w:hAnsi="仿宋" w:eastAsia="仿宋" w:cs="仿宋"/>
          <w:sz w:val="24"/>
          <w:szCs w:val="24"/>
        </w:rPr>
        <w:t>响应文件</w:t>
      </w:r>
      <w:bookmarkStart w:id="230" w:name="bookmark103"/>
      <w:bookmarkEnd w:id="230"/>
      <w:r>
        <w:rPr>
          <w:rFonts w:hint="eastAsia" w:ascii="仿宋" w:hAnsi="仿宋" w:eastAsia="仿宋" w:cs="仿宋"/>
          <w:sz w:val="24"/>
          <w:szCs w:val="24"/>
        </w:rPr>
        <w:t>商务技术文件</w:t>
      </w:r>
    </w:p>
    <w:p w14:paraId="4081BC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（第XX包）【如不分包，请删去本行】</w:t>
      </w:r>
    </w:p>
    <w:p w14:paraId="7257BF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C9FF4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FD4A2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7A73E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A15A79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AB30D1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D1327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06446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5BCD60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1CD63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69F9F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6CB09F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AD6F6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项目编号：</w:t>
      </w:r>
      <w:r>
        <w:rPr>
          <w:rFonts w:hint="eastAsia" w:ascii="仿宋" w:hAnsi="仿宋" w:eastAsia="仿宋" w:cs="仿宋"/>
          <w:sz w:val="24"/>
          <w:szCs w:val="24"/>
        </w:rPr>
        <w:tab/>
      </w:r>
    </w:p>
    <w:p w14:paraId="4B2BA0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rPr>
        <w:tab/>
      </w:r>
    </w:p>
    <w:p w14:paraId="5AFC45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供应商：</w:t>
      </w:r>
    </w:p>
    <w:p w14:paraId="5CF886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9DE4D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6053B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6BB07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A6510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年月日</w:t>
      </w:r>
    </w:p>
    <w:p w14:paraId="0DBB0FC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sectPr>
          <w:footerReference r:id="rId19" w:type="default"/>
          <w:pgSz w:w="11906" w:h="16839"/>
          <w:pgMar w:top="1373" w:right="1700" w:bottom="1282" w:left="1785" w:header="865" w:footer="1103" w:gutter="0"/>
          <w:pgNumType w:fmt="numberInDash"/>
          <w:cols w:space="720" w:num="1"/>
        </w:sectPr>
      </w:pPr>
    </w:p>
    <w:p w14:paraId="64BD4F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231" w:name="bookmark104"/>
      <w:bookmarkEnd w:id="231"/>
      <w:bookmarkStart w:id="232" w:name="bookmark105"/>
      <w:bookmarkEnd w:id="232"/>
      <w:bookmarkStart w:id="233" w:name="_Toc11691"/>
      <w:bookmarkStart w:id="234" w:name="_Toc12400"/>
      <w:bookmarkStart w:id="235" w:name="_Toc25573"/>
      <w:r>
        <w:rPr>
          <w:rFonts w:hint="eastAsia" w:ascii="仿宋" w:hAnsi="仿宋" w:eastAsia="仿宋" w:cs="仿宋"/>
          <w:sz w:val="24"/>
          <w:szCs w:val="24"/>
        </w:rPr>
        <w:t>一、响应函</w:t>
      </w:r>
      <w:bookmarkEnd w:id="233"/>
      <w:bookmarkEnd w:id="234"/>
      <w:bookmarkEnd w:id="235"/>
    </w:p>
    <w:p w14:paraId="190C9E0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致：（采购人）</w:t>
      </w:r>
    </w:p>
    <w:p w14:paraId="7FFEC8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根据贵方（项目名称）（项目编号）项目的竞争性磋商公告，签字代表（姓名、职务）经正式授权并代表供应商（供应商名称、地址）提交下述文件：</w:t>
      </w:r>
    </w:p>
    <w:p w14:paraId="39229B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1.资格证明文件；</w:t>
      </w:r>
    </w:p>
    <w:p w14:paraId="0D5D4D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2.报价文件；</w:t>
      </w:r>
    </w:p>
    <w:p w14:paraId="525362A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3.商务技术文件。</w:t>
      </w:r>
    </w:p>
    <w:p w14:paraId="27B799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根据此函，签字代表宣布同意如下：</w:t>
      </w:r>
    </w:p>
    <w:p w14:paraId="0069314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1.所附报价一览表中规定的应提交和交付的服务和包含的货物（如有）的报价为。</w:t>
      </w:r>
    </w:p>
    <w:p w14:paraId="1E47A0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2.我方将按竞争性磋商文件的规定履行合同责任和义务。</w:t>
      </w:r>
    </w:p>
    <w:p w14:paraId="5942D75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3.我方已详细审查全部竞争性磋商文件，包括第（编号、补遗书）（如果有的话）。我方完全理解并同意放弃对这方面有不明及误解的权力。</w:t>
      </w:r>
    </w:p>
    <w:p w14:paraId="0078B3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4.响应有效期为自提交响应文件的截止之日起（由供应商填写）个日历天。</w:t>
      </w:r>
    </w:p>
    <w:p w14:paraId="0E5B0D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5.我方同意提供按照贵方竞争性磋商文件要求的与其磋商响应有关的一切数据或资料，采用综合评分法时，我方完全理解贵方不一定接受最低价的响应。</w:t>
      </w:r>
    </w:p>
    <w:p w14:paraId="2056D96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6.本项目如由成交人支付采购代理服务费，我方同意按供应商须知前附表中规定向采购代理机构支付采购代理服务费。</w:t>
      </w:r>
    </w:p>
    <w:p w14:paraId="1966E4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7.重要声明：</w:t>
      </w:r>
    </w:p>
    <w:p w14:paraId="0DB319A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1）与我方单位负责人为同一人的其他单位名称：</w:t>
      </w:r>
    </w:p>
    <w:p w14:paraId="466474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□无；□有，具体单位名称为：（由供应商如实填写）。</w:t>
      </w:r>
    </w:p>
    <w:p w14:paraId="4899E29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2）与我方存在控股、管理关系的其他单位的名称：</w:t>
      </w:r>
    </w:p>
    <w:p w14:paraId="1380B4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□无；□有，具体单位名称为：（由供应商如实填写）。</w:t>
      </w:r>
    </w:p>
    <w:p w14:paraId="4BDE33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3）参与本项目采购活动前，是否为本项目前期准备提供过整体设计、规范编制或者项目管理、监理、检测等服务：</w:t>
      </w:r>
    </w:p>
    <w:p w14:paraId="75A2314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□无；□有，已提供的具体服务内容为：（由供应商如实填写）。</w:t>
      </w:r>
    </w:p>
    <w:p w14:paraId="653D6E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备注：以上3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01BC64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4）我方在本响应文件中所提供的全部资料均真实有效，我方承诺对其真实性负责并承担相应后果。</w:t>
      </w:r>
    </w:p>
    <w:p w14:paraId="79E75F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5）我方承诺本《响应函》的签章对本响应文件全部内容具有约束力并承担法律责任。</w:t>
      </w:r>
    </w:p>
    <w:p w14:paraId="39410EF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6DA46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0BB37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952E6FF">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1C28047E">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lang w:eastAsia="zh-CN"/>
        </w:rPr>
      </w:pPr>
      <w:r>
        <w:rPr>
          <w:rFonts w:hint="eastAsia" w:ascii="仿宋" w:hAnsi="仿宋" w:eastAsia="仿宋" w:cs="仿宋"/>
          <w:sz w:val="24"/>
          <w:szCs w:val="24"/>
        </w:rPr>
        <w:t>供应商名称（公章）：</w:t>
      </w:r>
    </w:p>
    <w:p w14:paraId="3E26607B">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通讯地址：</w:t>
      </w:r>
    </w:p>
    <w:p w14:paraId="15FFEC92">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lang w:eastAsia="zh-CN"/>
        </w:rPr>
      </w:pPr>
      <w:r>
        <w:rPr>
          <w:rFonts w:hint="eastAsia" w:ascii="仿宋" w:hAnsi="仿宋" w:eastAsia="仿宋" w:cs="仿宋"/>
          <w:sz w:val="24"/>
          <w:szCs w:val="24"/>
        </w:rPr>
        <w:t>传真：</w:t>
      </w:r>
    </w:p>
    <w:p w14:paraId="08525168">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电话：</w:t>
      </w:r>
    </w:p>
    <w:p w14:paraId="0727AF93">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授权代表：</w:t>
      </w:r>
    </w:p>
    <w:p w14:paraId="6A41E751">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日期：</w:t>
      </w:r>
    </w:p>
    <w:p w14:paraId="37B4B52D">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sectPr>
          <w:footerReference r:id="rId20" w:type="default"/>
          <w:pgSz w:w="11906" w:h="16839"/>
          <w:pgMar w:top="1373" w:right="1700" w:bottom="1281" w:left="1785" w:header="865" w:footer="1103" w:gutter="0"/>
          <w:pgNumType w:fmt="numberInDash"/>
          <w:cols w:space="720" w:num="1"/>
        </w:sectPr>
      </w:pPr>
    </w:p>
    <w:p w14:paraId="3DC206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236" w:name="bookmark107"/>
      <w:bookmarkEnd w:id="236"/>
      <w:bookmarkStart w:id="237" w:name="bookmark106"/>
      <w:bookmarkEnd w:id="237"/>
      <w:bookmarkStart w:id="238" w:name="_Toc1171"/>
      <w:bookmarkStart w:id="239" w:name="_Toc18819"/>
      <w:bookmarkStart w:id="240" w:name="_Toc15524"/>
      <w:r>
        <w:rPr>
          <w:rFonts w:hint="eastAsia" w:ascii="仿宋" w:hAnsi="仿宋" w:eastAsia="仿宋" w:cs="仿宋"/>
          <w:sz w:val="24"/>
          <w:szCs w:val="24"/>
        </w:rPr>
        <w:t>二、法定代表人（单位负责人）身份证明</w:t>
      </w:r>
      <w:bookmarkEnd w:id="238"/>
      <w:bookmarkEnd w:id="239"/>
      <w:bookmarkEnd w:id="240"/>
    </w:p>
    <w:p w14:paraId="15520A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957B8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致：（采购人或采购代理机构）兹证明，</w:t>
      </w:r>
    </w:p>
    <w:p w14:paraId="3A178B6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姓名：性别：年龄：职务：</w:t>
      </w:r>
    </w:p>
    <w:p w14:paraId="14A4B3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40BE7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系（供应商名称）的法定代表人（单位负责人）。</w:t>
      </w:r>
    </w:p>
    <w:p w14:paraId="0BFB21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438A3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附：法定代表人（单位负责人）身份证、护照等身份证明文件电子件：</w:t>
      </w:r>
    </w:p>
    <w:p w14:paraId="5D4977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5812EA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C163F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35A50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9486D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bl>
      <w:tblPr>
        <w:tblStyle w:val="11"/>
        <w:tblW w:w="853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1"/>
      </w:tblGrid>
      <w:tr w14:paraId="4AB8050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0" w:hRule="atLeast"/>
        </w:trPr>
        <w:tc>
          <w:tcPr>
            <w:tcW w:w="8531" w:type="dxa"/>
            <w:vAlign w:val="top"/>
          </w:tcPr>
          <w:p w14:paraId="5AF27B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bl>
    <w:p w14:paraId="21EE62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D8A87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3D177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供应商名称（加盖公章）：</w:t>
      </w:r>
    </w:p>
    <w:p w14:paraId="335E1E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AD657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法定代表人（单位负责人）（签字或签章）：</w:t>
      </w:r>
    </w:p>
    <w:p w14:paraId="181582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8D381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5C107A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D23E57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日期：年月日</w:t>
      </w:r>
    </w:p>
    <w:p w14:paraId="091695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sectPr>
          <w:footerReference r:id="rId21" w:type="default"/>
          <w:pgSz w:w="11906" w:h="16839"/>
          <w:pgMar w:top="1373" w:right="1682" w:bottom="1281" w:left="1687" w:header="865" w:footer="1103" w:gutter="0"/>
          <w:pgNumType w:fmt="numberInDash"/>
          <w:cols w:space="720" w:num="1"/>
        </w:sectPr>
      </w:pPr>
    </w:p>
    <w:p w14:paraId="20F7F09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241" w:name="bookmark108"/>
      <w:bookmarkEnd w:id="241"/>
      <w:bookmarkStart w:id="242" w:name="bookmark109"/>
      <w:bookmarkEnd w:id="242"/>
      <w:bookmarkStart w:id="243" w:name="_Toc21746"/>
      <w:bookmarkStart w:id="244" w:name="_Toc24220"/>
      <w:bookmarkStart w:id="245" w:name="_Toc24936"/>
      <w:r>
        <w:rPr>
          <w:rFonts w:hint="eastAsia" w:ascii="仿宋" w:hAnsi="仿宋" w:eastAsia="仿宋" w:cs="仿宋"/>
          <w:sz w:val="24"/>
          <w:szCs w:val="24"/>
        </w:rPr>
        <w:t>三、授权委托书</w:t>
      </w:r>
      <w:bookmarkEnd w:id="243"/>
      <w:bookmarkEnd w:id="244"/>
      <w:bookmarkEnd w:id="245"/>
    </w:p>
    <w:p w14:paraId="678226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人（姓名）系（供应商名称）的法定代表人（单位负责人），现委托（姓名）为我方代理人。代理人根据授权，以我方名义签署、澄清确认、说明、补正、递交、撤回、修改（项目名称）响应文件、签订合同和处理有关事宜，其法律后果由我方承担。</w:t>
      </w:r>
    </w:p>
    <w:p w14:paraId="4698AA4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委托期限：自本授权委托书签署之日起至响应文件有效期届满之日止。代理人无转委托权。</w:t>
      </w:r>
    </w:p>
    <w:p w14:paraId="582CDD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88130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供应商名称（加盖公章）：</w:t>
      </w:r>
    </w:p>
    <w:p w14:paraId="0EBDDD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法定代表人（单位负责人）（签字或签章）：</w:t>
      </w:r>
    </w:p>
    <w:p w14:paraId="443987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委托代理人（签字或签章）：联系电话：</w:t>
      </w:r>
    </w:p>
    <w:p w14:paraId="749328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日期：年月日</w:t>
      </w:r>
    </w:p>
    <w:p w14:paraId="514BE3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附：法定代表人及委托代理人身份证明文件电子件：</w:t>
      </w:r>
    </w:p>
    <w:tbl>
      <w:tblPr>
        <w:tblStyle w:val="11"/>
        <w:tblW w:w="853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1"/>
      </w:tblGrid>
      <w:tr w14:paraId="6DBE119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30" w:hRule="atLeast"/>
        </w:trPr>
        <w:tc>
          <w:tcPr>
            <w:tcW w:w="8531" w:type="dxa"/>
            <w:vAlign w:val="top"/>
          </w:tcPr>
          <w:p w14:paraId="6C12C2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c>
      </w:tr>
    </w:tbl>
    <w:p w14:paraId="617514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说明：</w:t>
      </w:r>
    </w:p>
    <w:p w14:paraId="140A6C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1.若供应商为事业单位或其他组织或分支机构，则法定代表人（单位负责人）处的签署人可为单位负责人。</w:t>
      </w:r>
    </w:p>
    <w:p w14:paraId="455CC83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2.若响应文件中签字之处均为法定代表人（单位负责人）本人签署，则可不提供本《授权委托书》，但须提供《法定代表人（单位负责人）身份证明》。</w:t>
      </w:r>
    </w:p>
    <w:p w14:paraId="5451B2B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3.供应商为自然人的情形，可不提供本《授权委托书》。</w:t>
      </w:r>
    </w:p>
    <w:p w14:paraId="646889B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4.供应商应随本《授权委托书》同时提供法定代表人（单位负责人）及委托代理人的有效的身份证、护照等身份证明文件电子件。提供身份证的，应同时提供身份证双面电子件。</w:t>
      </w:r>
    </w:p>
    <w:p w14:paraId="6DDE93F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sectPr>
          <w:footerReference r:id="rId22" w:type="default"/>
          <w:pgSz w:w="11906" w:h="16839"/>
          <w:pgMar w:top="1373" w:right="1682" w:bottom="1281" w:left="1687" w:header="865" w:footer="1103" w:gutter="0"/>
          <w:pgNumType w:fmt="numberInDash"/>
          <w:cols w:space="720" w:num="1"/>
        </w:sectPr>
      </w:pPr>
    </w:p>
    <w:p w14:paraId="587A4AE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246" w:name="bookmark113"/>
      <w:bookmarkEnd w:id="246"/>
      <w:bookmarkStart w:id="247" w:name="bookmark111"/>
      <w:bookmarkEnd w:id="247"/>
      <w:bookmarkStart w:id="248" w:name="bookmark110"/>
      <w:bookmarkEnd w:id="248"/>
      <w:bookmarkStart w:id="249" w:name="bookmark115"/>
      <w:bookmarkEnd w:id="249"/>
      <w:bookmarkStart w:id="250" w:name="_Toc7488"/>
      <w:bookmarkStart w:id="251" w:name="_Toc12205"/>
      <w:bookmarkStart w:id="252" w:name="_Toc4522"/>
      <w:r>
        <w:rPr>
          <w:rFonts w:hint="eastAsia" w:ascii="仿宋" w:hAnsi="仿宋" w:eastAsia="仿宋" w:cs="仿宋"/>
          <w:sz w:val="24"/>
          <w:szCs w:val="24"/>
        </w:rPr>
        <w:t>四、政府采购供应商廉洁自律承诺书</w:t>
      </w:r>
      <w:bookmarkEnd w:id="250"/>
      <w:bookmarkEnd w:id="251"/>
      <w:bookmarkEnd w:id="252"/>
    </w:p>
    <w:p w14:paraId="2552DF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（采购人）、（采购代理机构）：</w:t>
      </w:r>
    </w:p>
    <w:p w14:paraId="68BA72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我单位响应你单位项目竞争性磋商要求参加磋商响应。在这次磋商响应过程中和成交后，我们将严格遵守国家法律法规要求，并郑重承诺：</w:t>
      </w:r>
    </w:p>
    <w:p w14:paraId="6F2361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一、不向项目有关人员及部门赠送礼金礼物、有价证券、回扣以及中介费、介绍费、咨询费等好处费；</w:t>
      </w:r>
    </w:p>
    <w:p w14:paraId="2CF091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二、不为项目有关人员及部门报销应由你方单位或个人支付的费用；</w:t>
      </w:r>
    </w:p>
    <w:p w14:paraId="11AB8AD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三、不向项目有关人员及部门提供有可能影响公正的宴请和健身娱乐等活动；</w:t>
      </w:r>
    </w:p>
    <w:p w14:paraId="6E8CDE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四、不为项目有关人员及部门出国（境）、旅游等提供方便；</w:t>
      </w:r>
    </w:p>
    <w:p w14:paraId="1043C0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五、不为项目有关人员个人装修住房、婚丧嫁娶、配偶子女工作安排等提供好处；</w:t>
      </w:r>
    </w:p>
    <w:p w14:paraId="0A1AC1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六、严格遵守《中华人民共和国政府采购法》《中华人民共和国招标投标法》《中华人民共和国民法典》等法律法规，诚实守信，合法经营，坚决抵制各种违</w:t>
      </w:r>
    </w:p>
    <w:p w14:paraId="76B2328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法违纪行为。</w:t>
      </w:r>
    </w:p>
    <w:p w14:paraId="582E1E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如违反上述承诺，你单位有权立即取消我单位磋商响应、成交或在建项目的建设资格，有权拒绝我单位在一定时期内进入你单位进行项目建设或其他经营活动，并通报兵团财政局。由此引起的相应损失均由我单位承担。</w:t>
      </w:r>
    </w:p>
    <w:p w14:paraId="13FA770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D64CF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6622C3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44938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83D3D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4E70998A">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仿宋" w:hAnsi="仿宋" w:eastAsia="仿宋" w:cs="仿宋"/>
          <w:sz w:val="24"/>
          <w:szCs w:val="24"/>
        </w:rPr>
      </w:pPr>
      <w:r>
        <w:rPr>
          <w:rFonts w:hint="eastAsia" w:ascii="仿宋" w:hAnsi="仿宋" w:eastAsia="仿宋" w:cs="仿宋"/>
          <w:sz w:val="24"/>
          <w:szCs w:val="24"/>
        </w:rPr>
        <w:t>供应商名称（公章）：</w:t>
      </w:r>
    </w:p>
    <w:p w14:paraId="7D371D58">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仿宋" w:hAnsi="仿宋" w:eastAsia="仿宋" w:cs="仿宋"/>
          <w:sz w:val="24"/>
          <w:szCs w:val="24"/>
        </w:rPr>
      </w:pPr>
      <w:r>
        <w:rPr>
          <w:rFonts w:hint="eastAsia" w:ascii="仿宋" w:hAnsi="仿宋" w:eastAsia="仿宋" w:cs="仿宋"/>
          <w:sz w:val="24"/>
          <w:szCs w:val="24"/>
        </w:rPr>
        <w:t>日期：年月日</w:t>
      </w:r>
    </w:p>
    <w:p w14:paraId="4C285211">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仿宋" w:hAnsi="仿宋" w:eastAsia="仿宋" w:cs="仿宋"/>
          <w:sz w:val="24"/>
          <w:szCs w:val="24"/>
        </w:rPr>
        <w:sectPr>
          <w:footerReference r:id="rId23" w:type="default"/>
          <w:pgSz w:w="11906" w:h="16839"/>
          <w:pgMar w:top="1373" w:right="1620" w:bottom="1281" w:left="1785" w:header="865" w:footer="1103" w:gutter="0"/>
          <w:pgNumType w:fmt="numberInDash"/>
          <w:cols w:space="720" w:num="1"/>
        </w:sectPr>
      </w:pPr>
    </w:p>
    <w:p w14:paraId="0DF475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253" w:name="bookmark116"/>
      <w:bookmarkEnd w:id="253"/>
      <w:bookmarkStart w:id="254" w:name="bookmark117"/>
      <w:bookmarkEnd w:id="254"/>
      <w:bookmarkStart w:id="255" w:name="bookmark114"/>
      <w:bookmarkEnd w:id="255"/>
      <w:bookmarkStart w:id="256" w:name="_Toc6986"/>
      <w:bookmarkStart w:id="257" w:name="_Toc11776"/>
      <w:bookmarkStart w:id="258" w:name="_Toc29295"/>
      <w:r>
        <w:rPr>
          <w:rFonts w:hint="eastAsia" w:ascii="仿宋" w:hAnsi="仿宋" w:eastAsia="仿宋" w:cs="仿宋"/>
          <w:sz w:val="24"/>
          <w:szCs w:val="24"/>
          <w:lang w:val="en-US" w:eastAsia="zh-CN"/>
        </w:rPr>
        <w:t>五</w:t>
      </w:r>
      <w:r>
        <w:rPr>
          <w:rFonts w:hint="eastAsia" w:ascii="仿宋" w:hAnsi="仿宋" w:eastAsia="仿宋" w:cs="仿宋"/>
          <w:sz w:val="24"/>
          <w:szCs w:val="24"/>
        </w:rPr>
        <w:t>、业绩证明文件</w:t>
      </w:r>
      <w:bookmarkEnd w:id="256"/>
      <w:bookmarkEnd w:id="257"/>
      <w:bookmarkEnd w:id="258"/>
    </w:p>
    <w:p w14:paraId="0BFD5F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项目名称：项目编号：</w:t>
      </w:r>
    </w:p>
    <w:tbl>
      <w:tblPr>
        <w:tblStyle w:val="11"/>
        <w:tblW w:w="96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1232"/>
        <w:gridCol w:w="1271"/>
        <w:gridCol w:w="1187"/>
        <w:gridCol w:w="1486"/>
        <w:gridCol w:w="1476"/>
        <w:gridCol w:w="984"/>
        <w:gridCol w:w="1195"/>
      </w:tblGrid>
      <w:tr w14:paraId="56A15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788" w:type="dxa"/>
            <w:vAlign w:val="center"/>
          </w:tcPr>
          <w:p w14:paraId="03BBF2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序号</w:t>
            </w:r>
          </w:p>
        </w:tc>
        <w:tc>
          <w:tcPr>
            <w:tcW w:w="1232" w:type="dxa"/>
            <w:vAlign w:val="center"/>
          </w:tcPr>
          <w:p w14:paraId="0B395A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完成时间</w:t>
            </w:r>
          </w:p>
        </w:tc>
        <w:tc>
          <w:tcPr>
            <w:tcW w:w="1271" w:type="dxa"/>
            <w:vAlign w:val="center"/>
          </w:tcPr>
          <w:p w14:paraId="1B7379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项目名称</w:t>
            </w:r>
          </w:p>
        </w:tc>
        <w:tc>
          <w:tcPr>
            <w:tcW w:w="1187" w:type="dxa"/>
            <w:vAlign w:val="center"/>
          </w:tcPr>
          <w:p w14:paraId="67C70F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标的内容</w:t>
            </w:r>
          </w:p>
        </w:tc>
        <w:tc>
          <w:tcPr>
            <w:tcW w:w="1486" w:type="dxa"/>
            <w:vAlign w:val="center"/>
          </w:tcPr>
          <w:p w14:paraId="65D8A9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采购人名称</w:t>
            </w:r>
          </w:p>
        </w:tc>
        <w:tc>
          <w:tcPr>
            <w:tcW w:w="1476" w:type="dxa"/>
            <w:vAlign w:val="center"/>
          </w:tcPr>
          <w:p w14:paraId="4CD410F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中标（成交）金额</w:t>
            </w:r>
          </w:p>
        </w:tc>
        <w:tc>
          <w:tcPr>
            <w:tcW w:w="984" w:type="dxa"/>
            <w:vAlign w:val="center"/>
          </w:tcPr>
          <w:p w14:paraId="2CDD2B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联系人</w:t>
            </w:r>
          </w:p>
        </w:tc>
        <w:tc>
          <w:tcPr>
            <w:tcW w:w="1195" w:type="dxa"/>
            <w:vAlign w:val="center"/>
          </w:tcPr>
          <w:p w14:paraId="45416E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联系电话</w:t>
            </w:r>
          </w:p>
        </w:tc>
      </w:tr>
      <w:tr w14:paraId="0B3B6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88" w:type="dxa"/>
            <w:vAlign w:val="center"/>
          </w:tcPr>
          <w:p w14:paraId="4D8AB0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1232" w:type="dxa"/>
            <w:vAlign w:val="center"/>
          </w:tcPr>
          <w:p w14:paraId="6BC0D1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1" w:type="dxa"/>
            <w:vAlign w:val="center"/>
          </w:tcPr>
          <w:p w14:paraId="53BA83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187" w:type="dxa"/>
            <w:vAlign w:val="center"/>
          </w:tcPr>
          <w:p w14:paraId="7898B5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486" w:type="dxa"/>
            <w:vAlign w:val="center"/>
          </w:tcPr>
          <w:p w14:paraId="5E6BC9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476" w:type="dxa"/>
            <w:vAlign w:val="center"/>
          </w:tcPr>
          <w:p w14:paraId="082A0A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84" w:type="dxa"/>
            <w:vAlign w:val="center"/>
          </w:tcPr>
          <w:p w14:paraId="455ECA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195" w:type="dxa"/>
            <w:vAlign w:val="center"/>
          </w:tcPr>
          <w:p w14:paraId="0EDFE1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7F034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88" w:type="dxa"/>
            <w:vAlign w:val="center"/>
          </w:tcPr>
          <w:p w14:paraId="2168E73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1232" w:type="dxa"/>
            <w:vAlign w:val="center"/>
          </w:tcPr>
          <w:p w14:paraId="26D4339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1" w:type="dxa"/>
            <w:vAlign w:val="center"/>
          </w:tcPr>
          <w:p w14:paraId="35DC925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187" w:type="dxa"/>
            <w:vAlign w:val="center"/>
          </w:tcPr>
          <w:p w14:paraId="0182AC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486" w:type="dxa"/>
            <w:vAlign w:val="center"/>
          </w:tcPr>
          <w:p w14:paraId="7AEA9C1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476" w:type="dxa"/>
            <w:vAlign w:val="center"/>
          </w:tcPr>
          <w:p w14:paraId="502B62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84" w:type="dxa"/>
            <w:vAlign w:val="center"/>
          </w:tcPr>
          <w:p w14:paraId="19B9D1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195" w:type="dxa"/>
            <w:vAlign w:val="center"/>
          </w:tcPr>
          <w:p w14:paraId="5AEFF0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7DA61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88" w:type="dxa"/>
            <w:vAlign w:val="center"/>
          </w:tcPr>
          <w:p w14:paraId="32877E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1232" w:type="dxa"/>
            <w:vAlign w:val="center"/>
          </w:tcPr>
          <w:p w14:paraId="0A63DD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1" w:type="dxa"/>
            <w:vAlign w:val="center"/>
          </w:tcPr>
          <w:p w14:paraId="1AB0D7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187" w:type="dxa"/>
            <w:vAlign w:val="center"/>
          </w:tcPr>
          <w:p w14:paraId="1977A1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486" w:type="dxa"/>
            <w:vAlign w:val="center"/>
          </w:tcPr>
          <w:p w14:paraId="180F9A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476" w:type="dxa"/>
            <w:vAlign w:val="center"/>
          </w:tcPr>
          <w:p w14:paraId="2A900B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84" w:type="dxa"/>
            <w:vAlign w:val="center"/>
          </w:tcPr>
          <w:p w14:paraId="535E92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195" w:type="dxa"/>
            <w:vAlign w:val="center"/>
          </w:tcPr>
          <w:p w14:paraId="686F1C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06B9A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788" w:type="dxa"/>
            <w:vAlign w:val="center"/>
          </w:tcPr>
          <w:p w14:paraId="14E133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w:t>
            </w:r>
          </w:p>
        </w:tc>
        <w:tc>
          <w:tcPr>
            <w:tcW w:w="1232" w:type="dxa"/>
            <w:vAlign w:val="center"/>
          </w:tcPr>
          <w:p w14:paraId="1B26E8A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1" w:type="dxa"/>
            <w:vAlign w:val="center"/>
          </w:tcPr>
          <w:p w14:paraId="5CB1F2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187" w:type="dxa"/>
            <w:vAlign w:val="center"/>
          </w:tcPr>
          <w:p w14:paraId="75DFA72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486" w:type="dxa"/>
            <w:vAlign w:val="center"/>
          </w:tcPr>
          <w:p w14:paraId="7297AB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476" w:type="dxa"/>
            <w:vAlign w:val="center"/>
          </w:tcPr>
          <w:p w14:paraId="30E3B4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984" w:type="dxa"/>
            <w:vAlign w:val="center"/>
          </w:tcPr>
          <w:p w14:paraId="1CB0CD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195" w:type="dxa"/>
            <w:vAlign w:val="center"/>
          </w:tcPr>
          <w:p w14:paraId="1E8FEA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bl>
    <w:p w14:paraId="5707E3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注：供应商须按上表提供相应的中标（成交）通知书、采购合同等业绩证明资料。</w:t>
      </w:r>
    </w:p>
    <w:p w14:paraId="7816AA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24992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7C8152B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C6E736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C340AD6">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仿宋" w:hAnsi="仿宋" w:eastAsia="仿宋" w:cs="仿宋"/>
          <w:sz w:val="24"/>
          <w:szCs w:val="24"/>
          <w:lang w:eastAsia="zh-CN"/>
        </w:rPr>
      </w:pPr>
      <w:r>
        <w:rPr>
          <w:rFonts w:hint="eastAsia" w:ascii="仿宋" w:hAnsi="仿宋" w:eastAsia="仿宋" w:cs="仿宋"/>
          <w:sz w:val="24"/>
          <w:szCs w:val="24"/>
        </w:rPr>
        <w:t>供应商名称（公章）：</w:t>
      </w:r>
    </w:p>
    <w:p w14:paraId="7EA81595">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仿宋" w:hAnsi="仿宋" w:eastAsia="仿宋" w:cs="仿宋"/>
          <w:sz w:val="24"/>
          <w:szCs w:val="24"/>
        </w:rPr>
      </w:pPr>
      <w:r>
        <w:rPr>
          <w:rFonts w:hint="eastAsia" w:ascii="仿宋" w:hAnsi="仿宋" w:eastAsia="仿宋" w:cs="仿宋"/>
          <w:sz w:val="24"/>
          <w:szCs w:val="24"/>
        </w:rPr>
        <w:t>日期：年月日</w:t>
      </w:r>
    </w:p>
    <w:p w14:paraId="2D0F1A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sectPr>
          <w:footerReference r:id="rId24" w:type="default"/>
          <w:pgSz w:w="11906" w:h="16839"/>
          <w:pgMar w:top="1373" w:right="935" w:bottom="1281" w:left="1346" w:header="865" w:footer="1103" w:gutter="0"/>
          <w:pgNumType w:fmt="numberInDash"/>
          <w:cols w:space="720" w:num="1"/>
        </w:sectPr>
      </w:pPr>
    </w:p>
    <w:p w14:paraId="7BDE37B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bookmarkStart w:id="259" w:name="bookmark119"/>
      <w:bookmarkEnd w:id="259"/>
      <w:bookmarkStart w:id="260" w:name="bookmark118"/>
      <w:bookmarkEnd w:id="260"/>
      <w:r>
        <w:rPr>
          <w:rFonts w:hint="eastAsia" w:ascii="仿宋" w:hAnsi="仿宋" w:eastAsia="仿宋" w:cs="仿宋"/>
          <w:sz w:val="24"/>
          <w:szCs w:val="24"/>
          <w:lang w:val="en-US" w:eastAsia="zh-CN"/>
        </w:rPr>
        <w:t>六</w:t>
      </w:r>
      <w:r>
        <w:rPr>
          <w:rFonts w:hint="eastAsia" w:ascii="仿宋" w:hAnsi="仿宋" w:eastAsia="仿宋" w:cs="仿宋"/>
          <w:sz w:val="24"/>
          <w:szCs w:val="24"/>
        </w:rPr>
        <w:t>、拟派项目团队</w:t>
      </w:r>
    </w:p>
    <w:tbl>
      <w:tblPr>
        <w:tblStyle w:val="11"/>
        <w:tblW w:w="916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1143"/>
        <w:gridCol w:w="1624"/>
        <w:gridCol w:w="1247"/>
        <w:gridCol w:w="888"/>
        <w:gridCol w:w="1391"/>
        <w:gridCol w:w="1276"/>
        <w:gridCol w:w="820"/>
      </w:tblGrid>
      <w:tr w14:paraId="46F93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777" w:type="dxa"/>
            <w:vAlign w:val="center"/>
          </w:tcPr>
          <w:p w14:paraId="124E5A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序号</w:t>
            </w:r>
          </w:p>
        </w:tc>
        <w:tc>
          <w:tcPr>
            <w:tcW w:w="1143" w:type="dxa"/>
            <w:vAlign w:val="center"/>
          </w:tcPr>
          <w:p w14:paraId="52B7B5A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团队成员姓名</w:t>
            </w:r>
          </w:p>
        </w:tc>
        <w:tc>
          <w:tcPr>
            <w:tcW w:w="1624" w:type="dxa"/>
            <w:vAlign w:val="center"/>
          </w:tcPr>
          <w:p w14:paraId="5113D2C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工作单位</w:t>
            </w:r>
          </w:p>
        </w:tc>
        <w:tc>
          <w:tcPr>
            <w:tcW w:w="1247" w:type="dxa"/>
            <w:vAlign w:val="center"/>
          </w:tcPr>
          <w:p w14:paraId="302B01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身份证号</w:t>
            </w:r>
          </w:p>
        </w:tc>
        <w:tc>
          <w:tcPr>
            <w:tcW w:w="888" w:type="dxa"/>
            <w:vAlign w:val="center"/>
          </w:tcPr>
          <w:p w14:paraId="768FCD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职称</w:t>
            </w:r>
          </w:p>
        </w:tc>
        <w:tc>
          <w:tcPr>
            <w:tcW w:w="1391" w:type="dxa"/>
            <w:vAlign w:val="center"/>
          </w:tcPr>
          <w:p w14:paraId="333436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注册证书（岗位证书）名称及编号</w:t>
            </w:r>
          </w:p>
        </w:tc>
        <w:tc>
          <w:tcPr>
            <w:tcW w:w="1276" w:type="dxa"/>
            <w:vAlign w:val="center"/>
          </w:tcPr>
          <w:p w14:paraId="14B3531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在团队中职务（岗位）</w:t>
            </w:r>
          </w:p>
        </w:tc>
        <w:tc>
          <w:tcPr>
            <w:tcW w:w="820" w:type="dxa"/>
            <w:vAlign w:val="center"/>
          </w:tcPr>
          <w:p w14:paraId="6AA23E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自有/外聘</w:t>
            </w:r>
          </w:p>
        </w:tc>
      </w:tr>
      <w:tr w14:paraId="690A0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jc w:val="center"/>
        </w:trPr>
        <w:tc>
          <w:tcPr>
            <w:tcW w:w="777" w:type="dxa"/>
            <w:vAlign w:val="center"/>
          </w:tcPr>
          <w:p w14:paraId="742671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1143" w:type="dxa"/>
            <w:vAlign w:val="center"/>
          </w:tcPr>
          <w:p w14:paraId="0F88EE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624" w:type="dxa"/>
            <w:vAlign w:val="center"/>
          </w:tcPr>
          <w:p w14:paraId="1F4D64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47" w:type="dxa"/>
            <w:vAlign w:val="center"/>
          </w:tcPr>
          <w:p w14:paraId="2B5308B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88" w:type="dxa"/>
            <w:vAlign w:val="center"/>
          </w:tcPr>
          <w:p w14:paraId="277E3D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391" w:type="dxa"/>
            <w:vAlign w:val="center"/>
          </w:tcPr>
          <w:p w14:paraId="0F3556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6" w:type="dxa"/>
            <w:vAlign w:val="center"/>
          </w:tcPr>
          <w:p w14:paraId="7DB7BD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0" w:type="dxa"/>
            <w:vAlign w:val="center"/>
          </w:tcPr>
          <w:p w14:paraId="70C664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25BF6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jc w:val="center"/>
        </w:trPr>
        <w:tc>
          <w:tcPr>
            <w:tcW w:w="777" w:type="dxa"/>
            <w:vAlign w:val="center"/>
          </w:tcPr>
          <w:p w14:paraId="706F95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1143" w:type="dxa"/>
            <w:vAlign w:val="center"/>
          </w:tcPr>
          <w:p w14:paraId="1E5125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624" w:type="dxa"/>
            <w:vAlign w:val="center"/>
          </w:tcPr>
          <w:p w14:paraId="555F97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47" w:type="dxa"/>
            <w:vAlign w:val="center"/>
          </w:tcPr>
          <w:p w14:paraId="293B50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88" w:type="dxa"/>
            <w:vAlign w:val="center"/>
          </w:tcPr>
          <w:p w14:paraId="4F3BEB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391" w:type="dxa"/>
            <w:vAlign w:val="center"/>
          </w:tcPr>
          <w:p w14:paraId="0BF0370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6" w:type="dxa"/>
            <w:vAlign w:val="center"/>
          </w:tcPr>
          <w:p w14:paraId="2091F2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0" w:type="dxa"/>
            <w:vAlign w:val="center"/>
          </w:tcPr>
          <w:p w14:paraId="48C145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391D4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777" w:type="dxa"/>
            <w:vAlign w:val="center"/>
          </w:tcPr>
          <w:p w14:paraId="357E065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1143" w:type="dxa"/>
            <w:vAlign w:val="center"/>
          </w:tcPr>
          <w:p w14:paraId="2F0151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624" w:type="dxa"/>
            <w:vAlign w:val="center"/>
          </w:tcPr>
          <w:p w14:paraId="53864F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47" w:type="dxa"/>
            <w:vAlign w:val="center"/>
          </w:tcPr>
          <w:p w14:paraId="5F4C05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88" w:type="dxa"/>
            <w:vAlign w:val="center"/>
          </w:tcPr>
          <w:p w14:paraId="066FAE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391" w:type="dxa"/>
            <w:vAlign w:val="center"/>
          </w:tcPr>
          <w:p w14:paraId="055F72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6" w:type="dxa"/>
            <w:vAlign w:val="center"/>
          </w:tcPr>
          <w:p w14:paraId="60B1BA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0" w:type="dxa"/>
            <w:vAlign w:val="center"/>
          </w:tcPr>
          <w:p w14:paraId="1EDBB2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5E10B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jc w:val="center"/>
        </w:trPr>
        <w:tc>
          <w:tcPr>
            <w:tcW w:w="777" w:type="dxa"/>
            <w:vAlign w:val="center"/>
          </w:tcPr>
          <w:p w14:paraId="00F5E0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4</w:t>
            </w:r>
          </w:p>
        </w:tc>
        <w:tc>
          <w:tcPr>
            <w:tcW w:w="1143" w:type="dxa"/>
            <w:vAlign w:val="center"/>
          </w:tcPr>
          <w:p w14:paraId="347EFA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624" w:type="dxa"/>
            <w:vAlign w:val="center"/>
          </w:tcPr>
          <w:p w14:paraId="00CED94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47" w:type="dxa"/>
            <w:vAlign w:val="center"/>
          </w:tcPr>
          <w:p w14:paraId="7CF6AD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88" w:type="dxa"/>
            <w:vAlign w:val="center"/>
          </w:tcPr>
          <w:p w14:paraId="0CA516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391" w:type="dxa"/>
            <w:vAlign w:val="center"/>
          </w:tcPr>
          <w:p w14:paraId="089C2D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6" w:type="dxa"/>
            <w:vAlign w:val="center"/>
          </w:tcPr>
          <w:p w14:paraId="5416DC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0" w:type="dxa"/>
            <w:vAlign w:val="center"/>
          </w:tcPr>
          <w:p w14:paraId="1937FB3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3CFCF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jc w:val="center"/>
        </w:trPr>
        <w:tc>
          <w:tcPr>
            <w:tcW w:w="777" w:type="dxa"/>
            <w:vAlign w:val="center"/>
          </w:tcPr>
          <w:p w14:paraId="59CBFF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5</w:t>
            </w:r>
          </w:p>
        </w:tc>
        <w:tc>
          <w:tcPr>
            <w:tcW w:w="1143" w:type="dxa"/>
            <w:vAlign w:val="center"/>
          </w:tcPr>
          <w:p w14:paraId="0122A7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624" w:type="dxa"/>
            <w:vAlign w:val="center"/>
          </w:tcPr>
          <w:p w14:paraId="7122B8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47" w:type="dxa"/>
            <w:vAlign w:val="center"/>
          </w:tcPr>
          <w:p w14:paraId="7B907C0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88" w:type="dxa"/>
            <w:vAlign w:val="center"/>
          </w:tcPr>
          <w:p w14:paraId="0A6531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391" w:type="dxa"/>
            <w:vAlign w:val="center"/>
          </w:tcPr>
          <w:p w14:paraId="2D9E46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6" w:type="dxa"/>
            <w:vAlign w:val="center"/>
          </w:tcPr>
          <w:p w14:paraId="25A7B1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0" w:type="dxa"/>
            <w:vAlign w:val="center"/>
          </w:tcPr>
          <w:p w14:paraId="46BA983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68CD9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777" w:type="dxa"/>
            <w:vAlign w:val="center"/>
          </w:tcPr>
          <w:p w14:paraId="522D69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6</w:t>
            </w:r>
          </w:p>
        </w:tc>
        <w:tc>
          <w:tcPr>
            <w:tcW w:w="1143" w:type="dxa"/>
            <w:vAlign w:val="center"/>
          </w:tcPr>
          <w:p w14:paraId="5B0F9F1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624" w:type="dxa"/>
            <w:vAlign w:val="center"/>
          </w:tcPr>
          <w:p w14:paraId="43133E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47" w:type="dxa"/>
            <w:vAlign w:val="center"/>
          </w:tcPr>
          <w:p w14:paraId="0AD6D6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88" w:type="dxa"/>
            <w:vAlign w:val="center"/>
          </w:tcPr>
          <w:p w14:paraId="3AB51A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391" w:type="dxa"/>
            <w:vAlign w:val="center"/>
          </w:tcPr>
          <w:p w14:paraId="3F7ED6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6" w:type="dxa"/>
            <w:vAlign w:val="center"/>
          </w:tcPr>
          <w:p w14:paraId="50254A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0" w:type="dxa"/>
            <w:vAlign w:val="center"/>
          </w:tcPr>
          <w:p w14:paraId="5EE4EC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67CCD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777" w:type="dxa"/>
            <w:vAlign w:val="center"/>
          </w:tcPr>
          <w:p w14:paraId="448A9C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7</w:t>
            </w:r>
          </w:p>
        </w:tc>
        <w:tc>
          <w:tcPr>
            <w:tcW w:w="1143" w:type="dxa"/>
            <w:vAlign w:val="center"/>
          </w:tcPr>
          <w:p w14:paraId="563B96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624" w:type="dxa"/>
            <w:vAlign w:val="center"/>
          </w:tcPr>
          <w:p w14:paraId="02B891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47" w:type="dxa"/>
            <w:vAlign w:val="center"/>
          </w:tcPr>
          <w:p w14:paraId="552FF3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88" w:type="dxa"/>
            <w:vAlign w:val="center"/>
          </w:tcPr>
          <w:p w14:paraId="617C16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391" w:type="dxa"/>
            <w:vAlign w:val="center"/>
          </w:tcPr>
          <w:p w14:paraId="0687D3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6" w:type="dxa"/>
            <w:vAlign w:val="center"/>
          </w:tcPr>
          <w:p w14:paraId="03189C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0" w:type="dxa"/>
            <w:vAlign w:val="center"/>
          </w:tcPr>
          <w:p w14:paraId="715D38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7E2EA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777" w:type="dxa"/>
            <w:vAlign w:val="center"/>
          </w:tcPr>
          <w:p w14:paraId="1A2D62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8</w:t>
            </w:r>
          </w:p>
        </w:tc>
        <w:tc>
          <w:tcPr>
            <w:tcW w:w="1143" w:type="dxa"/>
            <w:vAlign w:val="center"/>
          </w:tcPr>
          <w:p w14:paraId="43AB07D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624" w:type="dxa"/>
            <w:vAlign w:val="center"/>
          </w:tcPr>
          <w:p w14:paraId="719DF8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47" w:type="dxa"/>
            <w:vAlign w:val="center"/>
          </w:tcPr>
          <w:p w14:paraId="045CF88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88" w:type="dxa"/>
            <w:vAlign w:val="center"/>
          </w:tcPr>
          <w:p w14:paraId="3EF72B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391" w:type="dxa"/>
            <w:vAlign w:val="center"/>
          </w:tcPr>
          <w:p w14:paraId="04591C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6" w:type="dxa"/>
            <w:vAlign w:val="center"/>
          </w:tcPr>
          <w:p w14:paraId="545343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0" w:type="dxa"/>
            <w:vAlign w:val="center"/>
          </w:tcPr>
          <w:p w14:paraId="45F8B1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129F4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777" w:type="dxa"/>
            <w:vAlign w:val="center"/>
          </w:tcPr>
          <w:p w14:paraId="579167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9</w:t>
            </w:r>
          </w:p>
        </w:tc>
        <w:tc>
          <w:tcPr>
            <w:tcW w:w="1143" w:type="dxa"/>
            <w:vAlign w:val="center"/>
          </w:tcPr>
          <w:p w14:paraId="4AC1FF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624" w:type="dxa"/>
            <w:vAlign w:val="center"/>
          </w:tcPr>
          <w:p w14:paraId="6FC9C4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47" w:type="dxa"/>
            <w:vAlign w:val="center"/>
          </w:tcPr>
          <w:p w14:paraId="7DFB3E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88" w:type="dxa"/>
            <w:vAlign w:val="center"/>
          </w:tcPr>
          <w:p w14:paraId="6CF7B2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391" w:type="dxa"/>
            <w:vAlign w:val="center"/>
          </w:tcPr>
          <w:p w14:paraId="0F44E2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6" w:type="dxa"/>
            <w:vAlign w:val="center"/>
          </w:tcPr>
          <w:p w14:paraId="6700FD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0" w:type="dxa"/>
            <w:vAlign w:val="center"/>
          </w:tcPr>
          <w:p w14:paraId="5A3233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3CEF5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777" w:type="dxa"/>
            <w:vAlign w:val="center"/>
          </w:tcPr>
          <w:p w14:paraId="2D7B3F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10</w:t>
            </w:r>
          </w:p>
        </w:tc>
        <w:tc>
          <w:tcPr>
            <w:tcW w:w="1143" w:type="dxa"/>
            <w:vAlign w:val="center"/>
          </w:tcPr>
          <w:p w14:paraId="788A2CA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624" w:type="dxa"/>
            <w:vAlign w:val="center"/>
          </w:tcPr>
          <w:p w14:paraId="628FDE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47" w:type="dxa"/>
            <w:vAlign w:val="center"/>
          </w:tcPr>
          <w:p w14:paraId="64D96F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88" w:type="dxa"/>
            <w:vAlign w:val="center"/>
          </w:tcPr>
          <w:p w14:paraId="797A6E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391" w:type="dxa"/>
            <w:vAlign w:val="center"/>
          </w:tcPr>
          <w:p w14:paraId="04F75B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1276" w:type="dxa"/>
            <w:vAlign w:val="center"/>
          </w:tcPr>
          <w:p w14:paraId="6F992B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820" w:type="dxa"/>
            <w:vAlign w:val="center"/>
          </w:tcPr>
          <w:p w14:paraId="07D11FA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bl>
    <w:p w14:paraId="43709D9E">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val="en-US" w:eastAsia="zh-CN"/>
        </w:rPr>
      </w:pPr>
      <w:bookmarkStart w:id="261" w:name="_Toc16025"/>
      <w:r>
        <w:rPr>
          <w:rFonts w:hint="eastAsia" w:ascii="仿宋" w:hAnsi="仿宋" w:eastAsia="仿宋" w:cs="仿宋"/>
          <w:sz w:val="24"/>
          <w:szCs w:val="24"/>
          <w:lang w:val="en-US" w:eastAsia="zh-CN"/>
        </w:rPr>
        <w:br w:type="page"/>
      </w:r>
    </w:p>
    <w:bookmarkEnd w:id="261"/>
    <w:p w14:paraId="4E02FA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262" w:name="_Toc4903"/>
      <w:bookmarkStart w:id="263" w:name="_Toc15603"/>
      <w:bookmarkStart w:id="264" w:name="_Toc3098"/>
      <w:r>
        <w:rPr>
          <w:rFonts w:hint="eastAsia" w:ascii="仿宋" w:hAnsi="仿宋" w:eastAsia="仿宋" w:cs="仿宋"/>
          <w:sz w:val="24"/>
          <w:szCs w:val="24"/>
          <w:lang w:val="en-US" w:eastAsia="zh-CN"/>
        </w:rPr>
        <w:t>七</w:t>
      </w:r>
      <w:r>
        <w:rPr>
          <w:rFonts w:hint="eastAsia" w:ascii="仿宋" w:hAnsi="仿宋" w:eastAsia="仿宋" w:cs="仿宋"/>
          <w:sz w:val="24"/>
          <w:szCs w:val="24"/>
        </w:rPr>
        <w:t>、技术方案</w:t>
      </w:r>
      <w:bookmarkEnd w:id="262"/>
      <w:bookmarkEnd w:id="263"/>
      <w:bookmarkEnd w:id="264"/>
    </w:p>
    <w:p w14:paraId="0B4614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供应商应按照竞争性磋商文件的要求，提供详细的服务方案，包括文字描述或图表显示。格式自拟。</w:t>
      </w:r>
    </w:p>
    <w:p w14:paraId="3FE29242">
      <w:pPr>
        <w:keepNext w:val="0"/>
        <w:keepLines w:val="0"/>
        <w:pageBreakBefore w:val="0"/>
        <w:widowControl/>
        <w:kinsoku w:val="0"/>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bookmarkStart w:id="265" w:name="bookmark124"/>
      <w:bookmarkEnd w:id="265"/>
      <w:bookmarkStart w:id="266" w:name="bookmark125"/>
      <w:bookmarkEnd w:id="266"/>
      <w:r>
        <w:rPr>
          <w:rFonts w:hint="eastAsia" w:ascii="仿宋" w:hAnsi="仿宋" w:eastAsia="仿宋" w:cs="仿宋"/>
          <w:sz w:val="24"/>
          <w:szCs w:val="24"/>
        </w:rPr>
        <w:br w:type="page"/>
      </w:r>
    </w:p>
    <w:p w14:paraId="27D1090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eastAsia" w:ascii="仿宋" w:hAnsi="仿宋" w:eastAsia="仿宋" w:cs="仿宋"/>
          <w:sz w:val="24"/>
          <w:szCs w:val="24"/>
        </w:rPr>
      </w:pPr>
      <w:bookmarkStart w:id="267" w:name="_Toc32379"/>
      <w:bookmarkStart w:id="268" w:name="_Toc24820"/>
      <w:bookmarkStart w:id="269" w:name="_Toc4596"/>
      <w:r>
        <w:rPr>
          <w:rFonts w:hint="eastAsia" w:ascii="仿宋" w:hAnsi="仿宋" w:eastAsia="仿宋" w:cs="仿宋"/>
          <w:sz w:val="24"/>
          <w:szCs w:val="24"/>
          <w:lang w:val="en-US" w:eastAsia="zh-CN"/>
        </w:rPr>
        <w:t>八</w:t>
      </w:r>
      <w:r>
        <w:rPr>
          <w:rFonts w:hint="eastAsia" w:ascii="仿宋" w:hAnsi="仿宋" w:eastAsia="仿宋" w:cs="仿宋"/>
          <w:sz w:val="24"/>
          <w:szCs w:val="24"/>
        </w:rPr>
        <w:t>、其他文件</w:t>
      </w:r>
      <w:bookmarkEnd w:id="267"/>
      <w:bookmarkEnd w:id="268"/>
      <w:bookmarkEnd w:id="269"/>
    </w:p>
    <w:p w14:paraId="27D7D2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394468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仿宋" w:hAnsi="仿宋" w:eastAsia="仿宋" w:cs="仿宋"/>
          <w:sz w:val="24"/>
          <w:szCs w:val="24"/>
        </w:rPr>
      </w:pPr>
      <w:r>
        <w:rPr>
          <w:rFonts w:hint="eastAsia" w:ascii="仿宋" w:hAnsi="仿宋" w:eastAsia="仿宋" w:cs="仿宋"/>
          <w:sz w:val="24"/>
          <w:szCs w:val="24"/>
        </w:rPr>
        <w:t>（一）竞争性磋商文件要求提供的其它商务、技术资料和证明材料；</w:t>
      </w:r>
    </w:p>
    <w:p w14:paraId="3439D2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仿宋" w:hAnsi="仿宋" w:eastAsia="仿宋" w:cs="仿宋"/>
          <w:sz w:val="24"/>
          <w:szCs w:val="24"/>
        </w:rPr>
      </w:pPr>
      <w:r>
        <w:rPr>
          <w:rFonts w:hint="eastAsia" w:ascii="仿宋" w:hAnsi="仿宋" w:eastAsia="仿宋" w:cs="仿宋"/>
          <w:sz w:val="24"/>
          <w:szCs w:val="24"/>
        </w:rPr>
        <w:t>1.1供应商信息采集表</w:t>
      </w:r>
    </w:p>
    <w:p w14:paraId="60AAED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tbl>
      <w:tblPr>
        <w:tblStyle w:val="11"/>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43"/>
        <w:gridCol w:w="2839"/>
        <w:gridCol w:w="2844"/>
      </w:tblGrid>
      <w:tr w14:paraId="23714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843" w:type="dxa"/>
            <w:vAlign w:val="center"/>
          </w:tcPr>
          <w:p w14:paraId="7BF9FE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供应商名称</w:t>
            </w:r>
          </w:p>
        </w:tc>
        <w:tc>
          <w:tcPr>
            <w:tcW w:w="2839" w:type="dxa"/>
            <w:vAlign w:val="center"/>
          </w:tcPr>
          <w:p w14:paraId="0F0829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供应商所属性别</w:t>
            </w:r>
          </w:p>
        </w:tc>
        <w:tc>
          <w:tcPr>
            <w:tcW w:w="2844" w:type="dxa"/>
            <w:vAlign w:val="center"/>
          </w:tcPr>
          <w:p w14:paraId="2A2012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r>
              <w:rPr>
                <w:rFonts w:hint="eastAsia" w:ascii="仿宋" w:hAnsi="仿宋" w:eastAsia="仿宋" w:cs="仿宋"/>
                <w:sz w:val="24"/>
                <w:szCs w:val="24"/>
              </w:rPr>
              <w:t>外商投资类型</w:t>
            </w:r>
          </w:p>
        </w:tc>
      </w:tr>
      <w:tr w14:paraId="7D1A0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843" w:type="dxa"/>
            <w:vAlign w:val="center"/>
          </w:tcPr>
          <w:p w14:paraId="50DB5B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2839" w:type="dxa"/>
            <w:vAlign w:val="center"/>
          </w:tcPr>
          <w:p w14:paraId="097A4C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2844" w:type="dxa"/>
            <w:vAlign w:val="center"/>
          </w:tcPr>
          <w:p w14:paraId="729B7D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3D220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843" w:type="dxa"/>
            <w:vAlign w:val="center"/>
          </w:tcPr>
          <w:p w14:paraId="0E699D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2839" w:type="dxa"/>
            <w:vAlign w:val="center"/>
          </w:tcPr>
          <w:p w14:paraId="3A6DC5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2844" w:type="dxa"/>
            <w:vAlign w:val="center"/>
          </w:tcPr>
          <w:p w14:paraId="7F3391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72FA3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843" w:type="dxa"/>
            <w:vAlign w:val="center"/>
          </w:tcPr>
          <w:p w14:paraId="4D78ECE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2839" w:type="dxa"/>
            <w:vAlign w:val="center"/>
          </w:tcPr>
          <w:p w14:paraId="52B8B91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2844" w:type="dxa"/>
            <w:vAlign w:val="center"/>
          </w:tcPr>
          <w:p w14:paraId="6B4A81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r w14:paraId="02234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2843" w:type="dxa"/>
            <w:vAlign w:val="center"/>
          </w:tcPr>
          <w:p w14:paraId="6EC8E1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2839" w:type="dxa"/>
            <w:vAlign w:val="center"/>
          </w:tcPr>
          <w:p w14:paraId="3334EB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c>
          <w:tcPr>
            <w:tcW w:w="2844" w:type="dxa"/>
            <w:vAlign w:val="center"/>
          </w:tcPr>
          <w:p w14:paraId="5C5F83A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4"/>
                <w:szCs w:val="24"/>
              </w:rPr>
            </w:pPr>
          </w:p>
        </w:tc>
      </w:tr>
    </w:tbl>
    <w:p w14:paraId="776573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注：1.供应商如为联合体，则应填写联合体各成员信息。</w:t>
      </w:r>
    </w:p>
    <w:p w14:paraId="39B0A0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2.供应商所属性别请填写“男”或“女”，指拥有供应商51%以上绝对所有权的性；绝对所有权拥有者可以是一个人，也可以是多人合计计算。</w:t>
      </w:r>
    </w:p>
    <w:p w14:paraId="3A39B6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3.外商投资类型请填写“外商单独投资”、“外商部分投资”或“内资”。</w:t>
      </w:r>
    </w:p>
    <w:p w14:paraId="2CFCC4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0BB159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225792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D1FCA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仿宋" w:hAnsi="仿宋" w:eastAsia="仿宋" w:cs="仿宋"/>
          <w:sz w:val="24"/>
          <w:szCs w:val="24"/>
        </w:rPr>
      </w:pPr>
      <w:r>
        <w:rPr>
          <w:rFonts w:hint="eastAsia" w:ascii="仿宋" w:hAnsi="仿宋" w:eastAsia="仿宋" w:cs="仿宋"/>
          <w:sz w:val="24"/>
          <w:szCs w:val="24"/>
        </w:rPr>
        <w:t>1.2其它商务、技术资料和证明材料</w:t>
      </w:r>
    </w:p>
    <w:p w14:paraId="6774401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10C18B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54C51F7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p>
    <w:p w14:paraId="02DBFDCD">
      <w:pPr>
        <w:keepNext w:val="0"/>
        <w:keepLines w:val="0"/>
        <w:pageBreakBefore w:val="0"/>
        <w:widowControl/>
        <w:kinsoku w:val="0"/>
        <w:overflowPunct/>
        <w:topLinePunct w:val="0"/>
        <w:autoSpaceDE w:val="0"/>
        <w:autoSpaceDN w:val="0"/>
        <w:bidi w:val="0"/>
        <w:adjustRightInd w:val="0"/>
        <w:snapToGrid w:val="0"/>
        <w:spacing w:line="360" w:lineRule="auto"/>
        <w:textAlignment w:val="baseline"/>
        <w:outlineLvl w:val="1"/>
        <w:rPr>
          <w:rFonts w:hint="eastAsia" w:ascii="仿宋" w:hAnsi="仿宋" w:eastAsia="仿宋" w:cs="仿宋"/>
        </w:rPr>
      </w:pPr>
      <w:r>
        <w:rPr>
          <w:rFonts w:hint="eastAsia" w:ascii="仿宋" w:hAnsi="仿宋" w:eastAsia="仿宋" w:cs="仿宋"/>
          <w:sz w:val="24"/>
          <w:szCs w:val="24"/>
        </w:rPr>
        <w:t>（二）供应商认为需要提供的其它商务、技术资料和说明。</w:t>
      </w:r>
    </w:p>
    <w:sectPr>
      <w:footerReference r:id="rId25" w:type="default"/>
      <w:pgSz w:w="11906" w:h="16839"/>
      <w:pgMar w:top="1373" w:right="1687" w:bottom="1281" w:left="1687" w:header="865" w:footer="1103"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E032D">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2A4DC">
    <w:pPr>
      <w:spacing w:line="172" w:lineRule="auto"/>
      <w:ind w:left="4038"/>
      <w:rPr>
        <w:rFonts w:ascii="宋体" w:hAnsi="宋体" w:eastAsia="宋体" w:cs="宋体"/>
        <w:sz w:val="18"/>
        <w:szCs w:val="18"/>
      </w:rPr>
    </w:pPr>
    <w:r>
      <w:rPr>
        <w:rFonts w:ascii="宋体" w:hAnsi="宋体" w:eastAsia="宋体" w:cs="宋体"/>
        <w:spacing w:val="-6"/>
        <w:sz w:val="18"/>
        <w:szCs w:val="18"/>
      </w:rPr>
      <w:t>76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62821">
    <w:pPr>
      <w:spacing w:line="172" w:lineRule="auto"/>
      <w:ind w:left="4038"/>
      <w:rPr>
        <w:rFonts w:ascii="宋体" w:hAnsi="宋体" w:eastAsia="宋体" w:cs="宋体"/>
        <w:sz w:val="18"/>
        <w:szCs w:val="18"/>
      </w:rPr>
    </w:pPr>
    <w:r>
      <w:rPr>
        <w:rFonts w:ascii="宋体" w:hAnsi="宋体" w:eastAsia="宋体" w:cs="宋体"/>
        <w:spacing w:val="-6"/>
        <w:sz w:val="18"/>
        <w:szCs w:val="18"/>
      </w:rPr>
      <w:t>78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1CD51">
    <w:pPr>
      <w:spacing w:line="172" w:lineRule="auto"/>
      <w:ind w:left="4139"/>
      <w:rPr>
        <w:rFonts w:ascii="宋体" w:hAnsi="宋体" w:eastAsia="宋体" w:cs="宋体"/>
        <w:sz w:val="18"/>
        <w:szCs w:val="18"/>
      </w:rPr>
    </w:pPr>
    <w:r>
      <w:rPr>
        <w:rFonts w:ascii="宋体" w:hAnsi="宋体" w:eastAsia="宋体" w:cs="宋体"/>
        <w:spacing w:val="-6"/>
        <w:sz w:val="18"/>
        <w:szCs w:val="18"/>
      </w:rPr>
      <w:t>79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CB1D1">
    <w:pPr>
      <w:spacing w:line="173" w:lineRule="auto"/>
      <w:ind w:left="4037"/>
      <w:rPr>
        <w:rFonts w:ascii="宋体" w:hAnsi="宋体" w:eastAsia="宋体" w:cs="宋体"/>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BF0F2">
    <w:pPr>
      <w:pStyle w:val="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93EF5">
    <w:pPr>
      <w:pStyle w:val="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8860">
    <w:pPr>
      <w:pStyle w:val="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29330">
    <w:pPr>
      <w:pStyle w:val="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5FB5B">
    <w:pPr>
      <w:pStyle w:val="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63A6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79236">
    <w:pPr>
      <w:spacing w:line="172" w:lineRule="auto"/>
      <w:ind w:left="4683"/>
      <w:rPr>
        <w:rFonts w:hint="eastAsia" w:ascii="宋体" w:hAnsi="宋体" w:eastAsia="宋体" w:cs="宋体"/>
        <w:sz w:val="18"/>
        <w:szCs w:val="18"/>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0F214">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066B3">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FB09B">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01FF4">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95D4F">
    <w:pPr>
      <w:spacing w:line="172" w:lineRule="auto"/>
      <w:ind w:left="4035"/>
      <w:rPr>
        <w:rFonts w:ascii="宋体" w:hAnsi="宋体" w:eastAsia="宋体" w:cs="宋体"/>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4090D">
    <w:pPr>
      <w:spacing w:line="172" w:lineRule="auto"/>
      <w:rPr>
        <w:rFonts w:ascii="宋体" w:hAnsi="宋体" w:eastAsia="宋体" w:cs="宋体"/>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E34A1">
    <w:pPr>
      <w:spacing w:line="172" w:lineRule="auto"/>
      <w:ind w:left="4038"/>
      <w:rPr>
        <w:rFonts w:ascii="宋体" w:hAnsi="宋体" w:eastAsia="宋体" w:cs="宋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F2CC6">
    <w:pPr>
      <w:pStyle w:val="6"/>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56270">
    <w:pPr>
      <w:pStyle w:val="6"/>
      <w:pBdr>
        <w:bottom w:val="single" w:color="auto" w:sz="4" w:space="1"/>
      </w:pBdr>
      <w:jc w:val="right"/>
      <w:rPr>
        <w:rFonts w:hint="eastAsia" w:ascii="仿宋" w:hAnsi="仿宋" w:eastAsia="仿宋" w:cs="仿宋"/>
        <w:sz w:val="21"/>
        <w:szCs w:val="21"/>
        <w:lang w:eastAsia="zh-CN"/>
      </w:rPr>
    </w:pPr>
    <w:r>
      <w:rPr>
        <w:rFonts w:hint="eastAsia" w:ascii="仿宋" w:hAnsi="仿宋" w:eastAsia="仿宋" w:cs="仿宋"/>
        <w:sz w:val="21"/>
        <w:szCs w:val="21"/>
        <w:lang w:eastAsia="zh-CN"/>
      </w:rPr>
      <w:t>2025年兵团某单位某训练中心地下室改造项目（监理）（三次）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99986"/>
    <w:multiLevelType w:val="singleLevel"/>
    <w:tmpl w:val="A4699986"/>
    <w:lvl w:ilvl="0" w:tentative="0">
      <w:start w:val="1"/>
      <w:numFmt w:val="decimal"/>
      <w:lvlText w:val="%1."/>
      <w:lvlJc w:val="left"/>
      <w:pPr>
        <w:tabs>
          <w:tab w:val="left" w:pos="312"/>
        </w:tabs>
      </w:pPr>
    </w:lvl>
  </w:abstractNum>
  <w:abstractNum w:abstractNumId="1">
    <w:nsid w:val="BCFC4A56"/>
    <w:multiLevelType w:val="singleLevel"/>
    <w:tmpl w:val="BCFC4A56"/>
    <w:lvl w:ilvl="0" w:tentative="0">
      <w:start w:val="3"/>
      <w:numFmt w:val="decimal"/>
      <w:lvlText w:val="%1."/>
      <w:lvlJc w:val="left"/>
      <w:pPr>
        <w:tabs>
          <w:tab w:val="left" w:pos="312"/>
        </w:tabs>
      </w:pPr>
    </w:lvl>
  </w:abstractNum>
  <w:abstractNum w:abstractNumId="2">
    <w:nsid w:val="C13F3A1B"/>
    <w:multiLevelType w:val="singleLevel"/>
    <w:tmpl w:val="C13F3A1B"/>
    <w:lvl w:ilvl="0" w:tentative="0">
      <w:start w:val="1"/>
      <w:numFmt w:val="decimal"/>
      <w:suff w:val="nothing"/>
      <w:lvlText w:val="%1、"/>
      <w:lvlJc w:val="left"/>
    </w:lvl>
  </w:abstractNum>
  <w:abstractNum w:abstractNumId="3">
    <w:nsid w:val="17E686F7"/>
    <w:multiLevelType w:val="singleLevel"/>
    <w:tmpl w:val="17E686F7"/>
    <w:lvl w:ilvl="0" w:tentative="0">
      <w:start w:val="3"/>
      <w:numFmt w:val="decimal"/>
      <w:lvlText w:val="%1."/>
      <w:lvlJc w:val="left"/>
      <w:pPr>
        <w:tabs>
          <w:tab w:val="left" w:pos="312"/>
        </w:tabs>
      </w:pPr>
    </w:lvl>
  </w:abstractNum>
  <w:abstractNum w:abstractNumId="4">
    <w:nsid w:val="18DDCC54"/>
    <w:multiLevelType w:val="singleLevel"/>
    <w:tmpl w:val="18DDCC54"/>
    <w:lvl w:ilvl="0" w:tentative="0">
      <w:start w:val="1"/>
      <w:numFmt w:val="decimal"/>
      <w:lvlText w:val="%1."/>
      <w:lvlJc w:val="left"/>
      <w:pPr>
        <w:tabs>
          <w:tab w:val="left" w:pos="312"/>
        </w:tabs>
      </w:pPr>
    </w:lvl>
  </w:abstractNum>
  <w:abstractNum w:abstractNumId="5">
    <w:nsid w:val="1D20BF98"/>
    <w:multiLevelType w:val="singleLevel"/>
    <w:tmpl w:val="1D20BF98"/>
    <w:lvl w:ilvl="0" w:tentative="0">
      <w:start w:val="5"/>
      <w:numFmt w:val="decimal"/>
      <w:lvlText w:val="%1."/>
      <w:lvlJc w:val="left"/>
      <w:pPr>
        <w:tabs>
          <w:tab w:val="left" w:pos="312"/>
        </w:tabs>
      </w:pPr>
    </w:lvl>
  </w:abstractNum>
  <w:abstractNum w:abstractNumId="6">
    <w:nsid w:val="500A3D88"/>
    <w:multiLevelType w:val="singleLevel"/>
    <w:tmpl w:val="500A3D88"/>
    <w:lvl w:ilvl="0" w:tentative="0">
      <w:start w:val="1"/>
      <w:numFmt w:val="decimal"/>
      <w:lvlText w:val="%1."/>
      <w:lvlJc w:val="left"/>
      <w:pPr>
        <w:tabs>
          <w:tab w:val="left" w:pos="312"/>
        </w:tabs>
      </w:pPr>
    </w:lvl>
  </w:abstractNum>
  <w:abstractNum w:abstractNumId="7">
    <w:nsid w:val="68C03A42"/>
    <w:multiLevelType w:val="singleLevel"/>
    <w:tmpl w:val="68C03A42"/>
    <w:lvl w:ilvl="0" w:tentative="0">
      <w:start w:val="1"/>
      <w:numFmt w:val="decimal"/>
      <w:lvlText w:val="%1."/>
      <w:lvlJc w:val="left"/>
      <w:pPr>
        <w:tabs>
          <w:tab w:val="left" w:pos="312"/>
        </w:tabs>
      </w:pPr>
    </w:lvl>
  </w:abstractNum>
  <w:num w:numId="1">
    <w:abstractNumId w:val="3"/>
  </w:num>
  <w:num w:numId="2">
    <w:abstractNumId w:val="5"/>
  </w:num>
  <w:num w:numId="3">
    <w:abstractNumId w:val="1"/>
  </w:num>
  <w:num w:numId="4">
    <w:abstractNumId w:val="7"/>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7D0A84"/>
    <w:rsid w:val="02F23728"/>
    <w:rsid w:val="03483348"/>
    <w:rsid w:val="03FC1445"/>
    <w:rsid w:val="04AA7061"/>
    <w:rsid w:val="063341DF"/>
    <w:rsid w:val="07B94814"/>
    <w:rsid w:val="09B343D5"/>
    <w:rsid w:val="0AB02221"/>
    <w:rsid w:val="0BF24412"/>
    <w:rsid w:val="0DA41B83"/>
    <w:rsid w:val="0DF648D6"/>
    <w:rsid w:val="0FD833BB"/>
    <w:rsid w:val="10DF348A"/>
    <w:rsid w:val="12072620"/>
    <w:rsid w:val="1288550F"/>
    <w:rsid w:val="1A3950D3"/>
    <w:rsid w:val="1CFA1665"/>
    <w:rsid w:val="1D024262"/>
    <w:rsid w:val="1DAB104F"/>
    <w:rsid w:val="1E62130A"/>
    <w:rsid w:val="1FC075B8"/>
    <w:rsid w:val="210A3439"/>
    <w:rsid w:val="21B57F19"/>
    <w:rsid w:val="24D42836"/>
    <w:rsid w:val="254554E2"/>
    <w:rsid w:val="26A00A38"/>
    <w:rsid w:val="26D55622"/>
    <w:rsid w:val="2785513C"/>
    <w:rsid w:val="28C12576"/>
    <w:rsid w:val="28EA087A"/>
    <w:rsid w:val="291856B6"/>
    <w:rsid w:val="2B7E52A9"/>
    <w:rsid w:val="2BEE0681"/>
    <w:rsid w:val="2CA86A82"/>
    <w:rsid w:val="2CA945A8"/>
    <w:rsid w:val="2D016192"/>
    <w:rsid w:val="2E782484"/>
    <w:rsid w:val="2F6F3887"/>
    <w:rsid w:val="3050190A"/>
    <w:rsid w:val="382C594A"/>
    <w:rsid w:val="382D42DF"/>
    <w:rsid w:val="3B693880"/>
    <w:rsid w:val="3B775530"/>
    <w:rsid w:val="3D9D3CB5"/>
    <w:rsid w:val="3FE21E53"/>
    <w:rsid w:val="3FEC2CD2"/>
    <w:rsid w:val="42071191"/>
    <w:rsid w:val="42C43A92"/>
    <w:rsid w:val="43253966"/>
    <w:rsid w:val="44692B43"/>
    <w:rsid w:val="46511AE0"/>
    <w:rsid w:val="4819662E"/>
    <w:rsid w:val="49221512"/>
    <w:rsid w:val="498E0956"/>
    <w:rsid w:val="49FE1744"/>
    <w:rsid w:val="4AE66C9B"/>
    <w:rsid w:val="4B221C9D"/>
    <w:rsid w:val="4B7E5126"/>
    <w:rsid w:val="4BBA1ED6"/>
    <w:rsid w:val="4C516396"/>
    <w:rsid w:val="4D36558C"/>
    <w:rsid w:val="4E015B9A"/>
    <w:rsid w:val="4EFA0F67"/>
    <w:rsid w:val="50EF617E"/>
    <w:rsid w:val="521A547C"/>
    <w:rsid w:val="52F23101"/>
    <w:rsid w:val="562161DC"/>
    <w:rsid w:val="562E2DA2"/>
    <w:rsid w:val="591A3FB4"/>
    <w:rsid w:val="592C60F4"/>
    <w:rsid w:val="5B296303"/>
    <w:rsid w:val="5D4E247E"/>
    <w:rsid w:val="5FFD2362"/>
    <w:rsid w:val="61E810F3"/>
    <w:rsid w:val="622E5656"/>
    <w:rsid w:val="641A755E"/>
    <w:rsid w:val="6470717E"/>
    <w:rsid w:val="64E77440"/>
    <w:rsid w:val="669435F8"/>
    <w:rsid w:val="66BE68C6"/>
    <w:rsid w:val="677E31E2"/>
    <w:rsid w:val="6784366C"/>
    <w:rsid w:val="678636E1"/>
    <w:rsid w:val="69B33D95"/>
    <w:rsid w:val="6B8974A3"/>
    <w:rsid w:val="6D2531FB"/>
    <w:rsid w:val="6D3C6797"/>
    <w:rsid w:val="713E2ADE"/>
    <w:rsid w:val="75F23E97"/>
    <w:rsid w:val="76BF7960"/>
    <w:rsid w:val="79B009E2"/>
    <w:rsid w:val="7AE55D78"/>
    <w:rsid w:val="7C211E54"/>
    <w:rsid w:val="7C8F51E8"/>
    <w:rsid w:val="7CED53B8"/>
    <w:rsid w:val="7D034BDB"/>
    <w:rsid w:val="7E0A55FE"/>
    <w:rsid w:val="7EBB44F8"/>
    <w:rsid w:val="7EE60311"/>
    <w:rsid w:val="7FEE56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黑体" w:hAnsi="黑体" w:eastAsia="黑体" w:cs="黑体"/>
      <w:sz w:val="31"/>
      <w:szCs w:val="31"/>
      <w:lang w:val="en-US" w:eastAsia="en-US" w:bidi="ar-SA"/>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theme" Target="theme/theme1.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89</Pages>
  <Words>4575</Words>
  <Characters>5104</Characters>
  <TotalTime>39</TotalTime>
  <ScaleCrop>false</ScaleCrop>
  <LinksUpToDate>false</LinksUpToDate>
  <CharactersWithSpaces>5144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2024-12-17T18:10:00Z</dcterms:created>
  <dc:creator>admin</dc:creator>
  <cp:lastModifiedBy>GYL_XJ</cp:lastModifiedBy>
  <dcterms:modified xsi:type="dcterms:W3CDTF">2025-07-10T10:03:08Z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2025-04-27T16:18:34Z</vt:filetime>
  </property>
  <property fmtid="{D5CDD505-2E9C-101B-9397-08002B2CF9AE}" pid="4" name="KSOTemplateDocerSaveRecord">
    <vt:lpwstr>eyJoZGlkIjoiYzIzMzE2YmViOTQzMjNmNTA3ZTcyYzNkNDNhYjIxYjIiLCJ1c2VySWQiOiI2MTk4NjQzNDUifQ==</vt:lpwstr>
  </property>
  <property fmtid="{D5CDD505-2E9C-101B-9397-08002B2CF9AE}" pid="5" name="KSOProductBuildVer">
    <vt:lpwstr>2052-12.1.0.21541</vt:lpwstr>
  </property>
  <property fmtid="{D5CDD505-2E9C-101B-9397-08002B2CF9AE}" pid="6" name="ICV">
    <vt:lpwstr>CA85639DC6074C48AB8FFC9A9EE90C0F_13</vt:lpwstr>
  </property>
</Properties>
</file>