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2CEA4">
      <w:pPr>
        <w:wordWrap w:val="0"/>
        <w:adjustRightInd w:val="0"/>
        <w:spacing w:line="360" w:lineRule="auto"/>
        <w:jc w:val="center"/>
        <w:textAlignment w:val="center"/>
        <w:rPr>
          <w:rFonts w:ascii="宋体" w:hAnsi="宋体" w:cs="宋体"/>
          <w:b/>
          <w:color w:val="auto"/>
          <w:szCs w:val="21"/>
          <w:highlight w:val="none"/>
        </w:rPr>
      </w:pPr>
    </w:p>
    <w:p w14:paraId="5CD3E329">
      <w:pPr>
        <w:wordWrap w:val="0"/>
        <w:spacing w:line="360" w:lineRule="auto"/>
        <w:jc w:val="center"/>
        <w:rPr>
          <w:rFonts w:hint="eastAsia" w:ascii="宋体" w:hAnsi="宋体" w:cs="宋体"/>
          <w:b/>
          <w:bCs/>
          <w:color w:val="auto"/>
          <w:sz w:val="36"/>
          <w:szCs w:val="36"/>
          <w:highlight w:val="none"/>
        </w:rPr>
      </w:pPr>
    </w:p>
    <w:p w14:paraId="1104A8F8">
      <w:pPr>
        <w:wordWrap w:val="0"/>
        <w:spacing w:line="360" w:lineRule="auto"/>
        <w:jc w:val="center"/>
        <w:rPr>
          <w:rFonts w:hint="eastAsia" w:ascii="宋体" w:hAnsi="宋体" w:cs="宋体"/>
          <w:b/>
          <w:bCs/>
          <w:color w:val="auto"/>
          <w:sz w:val="36"/>
          <w:szCs w:val="36"/>
          <w:highlight w:val="none"/>
        </w:rPr>
      </w:pPr>
    </w:p>
    <w:p w14:paraId="63EE0190">
      <w:pPr>
        <w:wordWrap w:val="0"/>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新疆应用职业技术学院新图书馆智慧阅读设备采购项目</w:t>
      </w:r>
    </w:p>
    <w:p w14:paraId="2D9F3B73">
      <w:pPr>
        <w:wordWrap w:val="0"/>
        <w:spacing w:line="360" w:lineRule="auto"/>
        <w:jc w:val="left"/>
        <w:rPr>
          <w:rFonts w:ascii="宋体" w:hAnsi="宋体" w:cs="宋体"/>
          <w:color w:val="auto"/>
          <w:sz w:val="44"/>
          <w:highlight w:val="none"/>
        </w:rPr>
      </w:pPr>
    </w:p>
    <w:p w14:paraId="1AE1313A">
      <w:pPr>
        <w:wordWrap w:val="0"/>
        <w:spacing w:line="360" w:lineRule="auto"/>
        <w:jc w:val="left"/>
        <w:rPr>
          <w:rFonts w:ascii="宋体" w:hAnsi="宋体" w:cs="宋体"/>
          <w:color w:val="auto"/>
          <w:sz w:val="44"/>
          <w:highlight w:val="none"/>
        </w:rPr>
      </w:pPr>
    </w:p>
    <w:p w14:paraId="0E4611D3">
      <w:pPr>
        <w:pStyle w:val="31"/>
        <w:ind w:left="0"/>
        <w:rPr>
          <w:rFonts w:ascii="宋体" w:hAnsi="宋体" w:cs="宋体"/>
          <w:color w:val="auto"/>
          <w:sz w:val="44"/>
          <w:highlight w:val="none"/>
        </w:rPr>
      </w:pPr>
    </w:p>
    <w:p w14:paraId="43729062">
      <w:pPr>
        <w:pStyle w:val="31"/>
        <w:ind w:left="0"/>
        <w:rPr>
          <w:rFonts w:ascii="宋体" w:hAnsi="宋体" w:cs="宋体"/>
          <w:color w:val="auto"/>
          <w:sz w:val="44"/>
          <w:highlight w:val="none"/>
        </w:rPr>
      </w:pPr>
    </w:p>
    <w:p w14:paraId="718162C9">
      <w:pPr>
        <w:pStyle w:val="6"/>
        <w:wordWrap w:val="0"/>
        <w:spacing w:line="360" w:lineRule="auto"/>
        <w:ind w:firstLine="0"/>
        <w:jc w:val="left"/>
        <w:rPr>
          <w:rFonts w:ascii="宋体" w:hAnsi="宋体" w:cs="宋体"/>
          <w:color w:val="auto"/>
          <w:highlight w:val="none"/>
        </w:rPr>
      </w:pPr>
    </w:p>
    <w:p w14:paraId="175304F8">
      <w:pPr>
        <w:wordWrap w:val="0"/>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招 标 文 件</w:t>
      </w:r>
    </w:p>
    <w:p w14:paraId="02124384">
      <w:pPr>
        <w:wordWrap w:val="0"/>
        <w:adjustRightInd w:val="0"/>
        <w:spacing w:line="360" w:lineRule="auto"/>
        <w:jc w:val="left"/>
        <w:rPr>
          <w:rFonts w:ascii="宋体" w:hAnsi="宋体" w:cs="宋体"/>
          <w:b/>
          <w:color w:val="auto"/>
          <w:sz w:val="24"/>
          <w:szCs w:val="24"/>
          <w:highlight w:val="none"/>
        </w:rPr>
      </w:pPr>
    </w:p>
    <w:p w14:paraId="676654F7">
      <w:pPr>
        <w:wordWrap w:val="0"/>
        <w:adjustRightInd w:val="0"/>
        <w:spacing w:line="360" w:lineRule="auto"/>
        <w:jc w:val="left"/>
        <w:rPr>
          <w:rFonts w:ascii="宋体" w:hAnsi="宋体" w:cs="宋体"/>
          <w:color w:val="auto"/>
          <w:sz w:val="24"/>
          <w:szCs w:val="24"/>
          <w:highlight w:val="none"/>
        </w:rPr>
      </w:pPr>
    </w:p>
    <w:p w14:paraId="30BE59C7">
      <w:pPr>
        <w:wordWrap w:val="0"/>
        <w:spacing w:line="360" w:lineRule="auto"/>
        <w:jc w:val="left"/>
        <w:rPr>
          <w:rFonts w:ascii="宋体" w:hAnsi="宋体" w:cs="宋体"/>
          <w:color w:val="auto"/>
          <w:sz w:val="24"/>
          <w:szCs w:val="24"/>
          <w:highlight w:val="none"/>
        </w:rPr>
      </w:pPr>
    </w:p>
    <w:p w14:paraId="178F5241">
      <w:pPr>
        <w:pStyle w:val="6"/>
        <w:ind w:firstLine="0"/>
        <w:rPr>
          <w:rFonts w:ascii="宋体" w:hAnsi="宋体" w:cs="宋体"/>
          <w:color w:val="auto"/>
          <w:sz w:val="24"/>
          <w:szCs w:val="24"/>
          <w:highlight w:val="none"/>
        </w:rPr>
      </w:pPr>
    </w:p>
    <w:p w14:paraId="321A545C">
      <w:pPr>
        <w:pStyle w:val="7"/>
        <w:ind w:left="0"/>
        <w:rPr>
          <w:rFonts w:ascii="宋体" w:hAnsi="宋体" w:cs="宋体"/>
          <w:color w:val="auto"/>
          <w:sz w:val="24"/>
          <w:szCs w:val="24"/>
          <w:highlight w:val="none"/>
        </w:rPr>
      </w:pPr>
    </w:p>
    <w:p w14:paraId="0B67E348">
      <w:pPr>
        <w:rPr>
          <w:rFonts w:ascii="宋体" w:hAnsi="宋体" w:cs="宋体"/>
          <w:color w:val="auto"/>
          <w:highlight w:val="none"/>
        </w:rPr>
      </w:pPr>
    </w:p>
    <w:p w14:paraId="7491B77C">
      <w:pPr>
        <w:wordWrap w:val="0"/>
        <w:spacing w:line="360" w:lineRule="auto"/>
        <w:jc w:val="left"/>
        <w:rPr>
          <w:rFonts w:ascii="宋体" w:hAnsi="宋体" w:cs="宋体"/>
          <w:color w:val="auto"/>
          <w:sz w:val="24"/>
          <w:szCs w:val="24"/>
          <w:highlight w:val="none"/>
        </w:rPr>
      </w:pPr>
    </w:p>
    <w:p w14:paraId="53D65C0B">
      <w:pPr>
        <w:wordWrap w:val="0"/>
        <w:spacing w:line="360" w:lineRule="auto"/>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采 购 人：新疆应用职业技术学院</w:t>
      </w:r>
    </w:p>
    <w:p w14:paraId="4801EEE4">
      <w:pPr>
        <w:wordWrap w:val="0"/>
        <w:spacing w:line="360" w:lineRule="auto"/>
        <w:ind w:left="2801" w:leftChars="665" w:hanging="1405" w:hangingChars="500"/>
        <w:rPr>
          <w:rFonts w:hint="eastAsia" w:ascii="宋体" w:hAnsi="宋体" w:eastAsia="宋体" w:cs="宋体"/>
          <w:b/>
          <w:bCs/>
          <w:color w:val="auto"/>
          <w:sz w:val="28"/>
          <w:szCs w:val="28"/>
          <w:highlight w:val="none"/>
          <w:lang w:eastAsia="zh-CN"/>
        </w:rPr>
      </w:pPr>
      <w:r>
        <w:rPr>
          <w:rFonts w:hint="eastAsia" w:ascii="宋体" w:hAnsi="宋体" w:cs="宋体"/>
          <w:b/>
          <w:color w:val="auto"/>
          <w:sz w:val="28"/>
          <w:szCs w:val="28"/>
          <w:highlight w:val="none"/>
        </w:rPr>
        <w:t>采购内容：</w:t>
      </w:r>
      <w:r>
        <w:rPr>
          <w:rFonts w:hint="eastAsia" w:ascii="宋体" w:hAnsi="宋体" w:cs="宋体"/>
          <w:b/>
          <w:color w:val="auto"/>
          <w:sz w:val="28"/>
          <w:szCs w:val="28"/>
          <w:highlight w:val="none"/>
          <w:lang w:eastAsia="zh-CN"/>
        </w:rPr>
        <w:t>新图书馆智慧阅读设备采购</w:t>
      </w:r>
    </w:p>
    <w:p w14:paraId="06439F92">
      <w:pPr>
        <w:wordWrap w:val="0"/>
        <w:adjustRightInd w:val="0"/>
        <w:spacing w:line="360" w:lineRule="auto"/>
        <w:ind w:firstLine="1405" w:firstLineChars="5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项目编号：XJLW-2025-206</w:t>
      </w:r>
    </w:p>
    <w:p w14:paraId="70F252B5">
      <w:pPr>
        <w:pStyle w:val="6"/>
        <w:wordWrap w:val="0"/>
        <w:ind w:firstLine="0"/>
        <w:rPr>
          <w:rFonts w:ascii="宋体" w:hAnsi="宋体" w:cs="宋体"/>
          <w:color w:val="auto"/>
          <w:sz w:val="21"/>
          <w:szCs w:val="21"/>
          <w:highlight w:val="none"/>
        </w:rPr>
      </w:pPr>
    </w:p>
    <w:p w14:paraId="7AAFE262">
      <w:pPr>
        <w:wordWrap w:val="0"/>
        <w:spacing w:line="360" w:lineRule="auto"/>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新疆新建联项目管理咨询有限公司</w:t>
      </w:r>
    </w:p>
    <w:p w14:paraId="0116548D">
      <w:pPr>
        <w:wordWrap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二〇二</w:t>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月</w:t>
      </w:r>
    </w:p>
    <w:p w14:paraId="4A1C9A0D">
      <w:pPr>
        <w:pStyle w:val="139"/>
        <w:widowControl w:val="0"/>
        <w:wordWrap w:val="0"/>
        <w:spacing w:before="0" w:line="360" w:lineRule="auto"/>
        <w:jc w:val="center"/>
        <w:rPr>
          <w:rFonts w:ascii="宋体" w:hAnsi="宋体" w:cs="宋体"/>
          <w:color w:val="auto"/>
          <w:sz w:val="44"/>
          <w:szCs w:val="44"/>
          <w:highlight w:val="none"/>
          <w:lang w:val="zh-CN"/>
        </w:rPr>
      </w:pPr>
      <w:r>
        <w:rPr>
          <w:rFonts w:hint="eastAsia" w:ascii="宋体" w:hAnsi="宋体" w:cs="宋体"/>
          <w:color w:val="auto"/>
          <w:sz w:val="36"/>
          <w:szCs w:val="36"/>
          <w:highlight w:val="none"/>
          <w:lang w:val="zh-CN"/>
        </w:rPr>
        <w:br w:type="page"/>
      </w:r>
      <w:bookmarkStart w:id="0" w:name="_Toc2113"/>
      <w:r>
        <w:rPr>
          <w:rFonts w:hint="eastAsia" w:ascii="宋体" w:hAnsi="宋体" w:cs="宋体"/>
          <w:color w:val="auto"/>
          <w:sz w:val="44"/>
          <w:szCs w:val="44"/>
          <w:highlight w:val="none"/>
          <w:lang w:val="zh-CN"/>
        </w:rPr>
        <w:t>目  录</w:t>
      </w:r>
      <w:bookmarkEnd w:id="0"/>
    </w:p>
    <w:p w14:paraId="1D11415A">
      <w:pPr>
        <w:pStyle w:val="30"/>
        <w:tabs>
          <w:tab w:val="clear" w:pos="9016"/>
        </w:tabs>
        <w:wordWrap w:val="0"/>
        <w:spacing w:line="360" w:lineRule="auto"/>
        <w:rPr>
          <w:rFonts w:cs="宋体"/>
          <w:color w:val="auto"/>
          <w:sz w:val="24"/>
          <w:szCs w:val="24"/>
          <w:highlight w:val="none"/>
        </w:rPr>
      </w:pPr>
      <w:r>
        <w:rPr>
          <w:rFonts w:hint="eastAsia" w:cs="宋体"/>
          <w:color w:val="auto"/>
          <w:sz w:val="24"/>
          <w:szCs w:val="24"/>
          <w:highlight w:val="none"/>
        </w:rPr>
        <w:fldChar w:fldCharType="begin"/>
      </w:r>
      <w:r>
        <w:rPr>
          <w:rFonts w:hint="eastAsia" w:cs="宋体"/>
          <w:color w:val="auto"/>
          <w:sz w:val="24"/>
          <w:szCs w:val="24"/>
          <w:highlight w:val="none"/>
        </w:rPr>
        <w:instrText xml:space="preserve"> TOC \o "1-3" \h \z \u </w:instrText>
      </w:r>
      <w:r>
        <w:rPr>
          <w:rFonts w:hint="eastAsia" w:cs="宋体"/>
          <w:color w:val="auto"/>
          <w:sz w:val="24"/>
          <w:szCs w:val="24"/>
          <w:highlight w:val="none"/>
        </w:rPr>
        <w:fldChar w:fldCharType="separate"/>
      </w:r>
    </w:p>
    <w:p w14:paraId="5F426833">
      <w:pPr>
        <w:pStyle w:val="123"/>
        <w:widowControl w:val="0"/>
        <w:tabs>
          <w:tab w:val="right" w:leader="dot" w:pos="8504"/>
        </w:tabs>
        <w:wordWrap w:val="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p>
    <w:p w14:paraId="5EA40D35">
      <w:pPr>
        <w:pStyle w:val="123"/>
        <w:widowControl w:val="0"/>
        <w:tabs>
          <w:tab w:val="right" w:leader="dot" w:pos="8504"/>
        </w:tabs>
        <w:wordWrap w:val="0"/>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"_Toc7745"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_Toc7745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A4D78AD">
      <w:pPr>
        <w:pStyle w:val="123"/>
        <w:widowControl w:val="0"/>
        <w:tabs>
          <w:tab w:val="right" w:leader="dot" w:pos="8504"/>
        </w:tabs>
        <w:wordWrap w:val="0"/>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"_Toc19268" </w:instrText>
      </w:r>
      <w:r>
        <w:rPr>
          <w:color w:val="auto"/>
          <w:highlight w:val="none"/>
        </w:rPr>
        <w:fldChar w:fldCharType="separate"/>
      </w:r>
      <w:r>
        <w:rPr>
          <w:rFonts w:hint="eastAsia" w:ascii="宋体" w:hAnsi="宋体" w:cs="宋体"/>
          <w:color w:val="auto"/>
          <w:sz w:val="24"/>
          <w:szCs w:val="24"/>
          <w:highlight w:val="none"/>
        </w:rPr>
        <w:t>第二章  投标须知</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27E9589C">
      <w:pPr>
        <w:pStyle w:val="123"/>
        <w:widowControl w:val="0"/>
        <w:tabs>
          <w:tab w:val="right" w:leader="dot" w:pos="8504"/>
        </w:tabs>
        <w:wordWrap w:val="0"/>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"_Toc1210" </w:instrText>
      </w:r>
      <w:r>
        <w:rPr>
          <w:color w:val="auto"/>
          <w:highlight w:val="none"/>
        </w:rPr>
        <w:fldChar w:fldCharType="separate"/>
      </w:r>
      <w:r>
        <w:rPr>
          <w:rFonts w:hint="eastAsia" w:ascii="宋体" w:hAnsi="宋体" w:cs="宋体"/>
          <w:color w:val="auto"/>
          <w:sz w:val="24"/>
          <w:szCs w:val="24"/>
          <w:highlight w:val="none"/>
        </w:rPr>
        <w:t>第三章  评标方法及标准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_Toc1210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5F0A523">
      <w:pPr>
        <w:pStyle w:val="123"/>
        <w:widowControl w:val="0"/>
        <w:tabs>
          <w:tab w:val="right" w:leader="dot" w:pos="8504"/>
        </w:tabs>
        <w:wordWrap w:val="0"/>
        <w:spacing w:line="480" w:lineRule="auto"/>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"_Toc14265" </w:instrText>
      </w:r>
      <w:r>
        <w:rPr>
          <w:color w:val="auto"/>
          <w:highlight w:val="none"/>
        </w:rPr>
        <w:fldChar w:fldCharType="separate"/>
      </w:r>
      <w:r>
        <w:rPr>
          <w:rFonts w:hint="eastAsia" w:ascii="宋体" w:hAnsi="宋体" w:cs="宋体"/>
          <w:color w:val="auto"/>
          <w:sz w:val="24"/>
          <w:szCs w:val="24"/>
          <w:highlight w:val="none"/>
        </w:rPr>
        <w:t>第四章  采购合同主要条款</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7</w:t>
      </w:r>
    </w:p>
    <w:p w14:paraId="696A1DCC">
      <w:pPr>
        <w:pStyle w:val="123"/>
        <w:widowControl w:val="0"/>
        <w:tabs>
          <w:tab w:val="right" w:leader="dot" w:pos="8504"/>
        </w:tabs>
        <w:wordWrap w:val="0"/>
        <w:spacing w:line="480" w:lineRule="auto"/>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"_Toc12867" </w:instrText>
      </w:r>
      <w:r>
        <w:rPr>
          <w:color w:val="auto"/>
          <w:highlight w:val="none"/>
        </w:rPr>
        <w:fldChar w:fldCharType="separate"/>
      </w:r>
      <w:r>
        <w:rPr>
          <w:rFonts w:hint="eastAsia" w:ascii="宋体" w:hAnsi="宋体" w:cs="宋体"/>
          <w:color w:val="auto"/>
          <w:sz w:val="24"/>
          <w:szCs w:val="24"/>
          <w:highlight w:val="none"/>
        </w:rPr>
        <w:t>第五章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567FBD5">
      <w:pPr>
        <w:pStyle w:val="123"/>
        <w:widowControl w:val="0"/>
        <w:tabs>
          <w:tab w:val="right" w:leader="dot" w:pos="8504"/>
        </w:tabs>
        <w:wordWrap w:val="0"/>
        <w:spacing w:line="480" w:lineRule="auto"/>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"_Toc12680"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08</w:t>
      </w:r>
    </w:p>
    <w:p w14:paraId="756225D2">
      <w:pPr>
        <w:wordWrap w:val="0"/>
        <w:rPr>
          <w:rFonts w:ascii="宋体" w:hAnsi="宋体" w:cs="宋体"/>
          <w:color w:val="auto"/>
          <w:highlight w:val="none"/>
        </w:rPr>
      </w:pPr>
      <w:r>
        <w:rPr>
          <w:rFonts w:hint="eastAsia" w:ascii="宋体" w:hAnsi="宋体" w:cs="宋体"/>
          <w:color w:val="auto"/>
          <w:highlight w:val="none"/>
        </w:rPr>
        <w:fldChar w:fldCharType="end"/>
      </w:r>
    </w:p>
    <w:p w14:paraId="20972050">
      <w:pPr>
        <w:tabs>
          <w:tab w:val="right" w:leader="dot" w:pos="8789"/>
        </w:tabs>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end"/>
      </w:r>
    </w:p>
    <w:p w14:paraId="4FF298E2">
      <w:pPr>
        <w:pStyle w:val="89"/>
        <w:wordWrap w:val="0"/>
        <w:spacing w:line="360" w:lineRule="auto"/>
        <w:jc w:val="center"/>
        <w:rPr>
          <w:rFonts w:ascii="宋体" w:hAnsi="宋体" w:cs="宋体"/>
          <w:b/>
          <w:color w:val="auto"/>
          <w:highlight w:val="none"/>
        </w:rPr>
      </w:pPr>
    </w:p>
    <w:p w14:paraId="276DB26B">
      <w:pPr>
        <w:pStyle w:val="89"/>
        <w:wordWrap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62A9BB6C">
      <w:pPr>
        <w:pStyle w:val="89"/>
        <w:wordWrap w:val="0"/>
        <w:spacing w:line="360" w:lineRule="auto"/>
        <w:jc w:val="center"/>
        <w:outlineLvl w:val="0"/>
        <w:rPr>
          <w:rFonts w:ascii="宋体" w:hAnsi="宋体" w:cs="宋体"/>
          <w:b/>
          <w:color w:val="auto"/>
          <w:sz w:val="36"/>
          <w:szCs w:val="36"/>
          <w:highlight w:val="none"/>
        </w:rPr>
      </w:pPr>
      <w:bookmarkStart w:id="1" w:name="_Toc30757"/>
      <w:r>
        <w:rPr>
          <w:rFonts w:hint="eastAsia" w:ascii="宋体" w:hAnsi="宋体" w:cs="宋体"/>
          <w:b/>
          <w:color w:val="auto"/>
          <w:sz w:val="36"/>
          <w:szCs w:val="36"/>
          <w:highlight w:val="none"/>
        </w:rPr>
        <w:t>特 别 提 示</w:t>
      </w:r>
      <w:bookmarkEnd w:id="1"/>
    </w:p>
    <w:p w14:paraId="764898BE">
      <w:pPr>
        <w:pStyle w:val="89"/>
        <w:wordWrap w:val="0"/>
        <w:spacing w:line="360" w:lineRule="auto"/>
        <w:jc w:val="center"/>
        <w:rPr>
          <w:rFonts w:ascii="宋体" w:hAnsi="宋体" w:cs="宋体"/>
          <w:b/>
          <w:color w:val="auto"/>
          <w:sz w:val="36"/>
          <w:szCs w:val="36"/>
          <w:highlight w:val="none"/>
        </w:rPr>
      </w:pPr>
    </w:p>
    <w:p w14:paraId="77F63FFD">
      <w:pPr>
        <w:pStyle w:val="89"/>
        <w:wordWrap w:val="0"/>
        <w:spacing w:line="360" w:lineRule="auto"/>
        <w:rPr>
          <w:rFonts w:ascii="宋体" w:hAnsi="宋体" w:cs="宋体"/>
          <w:b/>
          <w:color w:val="auto"/>
          <w:highlight w:val="none"/>
        </w:rPr>
      </w:pPr>
      <w:r>
        <w:rPr>
          <w:rFonts w:hint="eastAsia" w:ascii="宋体" w:hAnsi="宋体" w:cs="宋体"/>
          <w:b/>
          <w:color w:val="auto"/>
          <w:highlight w:val="none"/>
        </w:rPr>
        <w:t>各投标人：</w:t>
      </w:r>
    </w:p>
    <w:p w14:paraId="349102DD">
      <w:pPr>
        <w:pStyle w:val="89"/>
        <w:wordWrap w:val="0"/>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在参与本次招标项目投标时，请按招标文件中规定的可能导致无效投标、废标要求或黑体字、加注“▲”“</w:t>
      </w:r>
      <w:r>
        <w:rPr>
          <w:rFonts w:hint="eastAsia" w:ascii="宋体" w:hAnsi="宋体" w:cs="宋体"/>
          <w:b/>
          <w:bCs/>
          <w:color w:val="auto"/>
          <w:sz w:val="36"/>
          <w:szCs w:val="36"/>
          <w:highlight w:val="none"/>
        </w:rPr>
        <w:t>*</w:t>
      </w:r>
      <w:r>
        <w:rPr>
          <w:rFonts w:hint="eastAsia" w:ascii="宋体" w:hAnsi="宋体" w:cs="宋体"/>
          <w:b/>
          <w:color w:val="auto"/>
          <w:highlight w:val="none"/>
        </w:rPr>
        <w:t>”“★”符号的内容应符合要求或响应，若不符合要求或不响应将导致的后果由投标人自行承担。</w:t>
      </w:r>
    </w:p>
    <w:p w14:paraId="39867BF7">
      <w:pPr>
        <w:pStyle w:val="89"/>
        <w:wordWrap w:val="0"/>
        <w:spacing w:line="360" w:lineRule="auto"/>
        <w:rPr>
          <w:rFonts w:ascii="宋体" w:hAnsi="宋体" w:cs="宋体"/>
          <w:b/>
          <w:color w:val="auto"/>
          <w:highlight w:val="none"/>
        </w:rPr>
      </w:pPr>
    </w:p>
    <w:p w14:paraId="38F4D2E8">
      <w:pPr>
        <w:pStyle w:val="89"/>
        <w:wordWrap w:val="0"/>
        <w:spacing w:line="360" w:lineRule="auto"/>
        <w:rPr>
          <w:rFonts w:ascii="宋体" w:hAnsi="宋体" w:cs="宋体"/>
          <w:b/>
          <w:color w:val="auto"/>
          <w:highlight w:val="none"/>
        </w:rPr>
        <w:sectPr>
          <w:headerReference r:id="rId3" w:type="default"/>
          <w:type w:val="continuous"/>
          <w:pgSz w:w="11906" w:h="16838"/>
          <w:pgMar w:top="1417" w:right="1701" w:bottom="1417" w:left="1701" w:header="851" w:footer="992" w:gutter="0"/>
          <w:pgNumType w:start="1"/>
          <w:cols w:space="720" w:num="1"/>
          <w:docGrid w:type="lines" w:linePitch="312" w:charSpace="0"/>
        </w:sectPr>
      </w:pPr>
    </w:p>
    <w:p w14:paraId="4A73F10D">
      <w:pPr>
        <w:pStyle w:val="37"/>
        <w:wordWrap w:val="0"/>
        <w:spacing w:before="0" w:after="0" w:line="360" w:lineRule="auto"/>
        <w:rPr>
          <w:rFonts w:ascii="宋体" w:hAnsi="宋体" w:cs="宋体"/>
          <w:color w:val="auto"/>
          <w:highlight w:val="none"/>
        </w:rPr>
      </w:pPr>
      <w:bookmarkStart w:id="2" w:name="_Toc7745"/>
      <w:bookmarkStart w:id="3" w:name="_Toc529282252"/>
      <w:r>
        <w:rPr>
          <w:rFonts w:hint="eastAsia" w:ascii="宋体" w:hAnsi="宋体" w:cs="宋体"/>
          <w:color w:val="auto"/>
          <w:sz w:val="36"/>
          <w:szCs w:val="36"/>
          <w:highlight w:val="none"/>
        </w:rPr>
        <w:t>第一章  招标公告</w:t>
      </w:r>
      <w:bookmarkEnd w:id="2"/>
      <w:bookmarkEnd w:id="3"/>
    </w:p>
    <w:p w14:paraId="3416C2B1">
      <w:pPr>
        <w:pStyle w:val="36"/>
        <w:widowControl w:val="0"/>
        <w:wordWrap w:val="0"/>
        <w:spacing w:line="360" w:lineRule="auto"/>
        <w:jc w:val="both"/>
        <w:rPr>
          <w:color w:val="auto"/>
          <w:highlight w:val="none"/>
        </w:rPr>
      </w:pPr>
    </w:p>
    <w:tbl>
      <w:tblPr>
        <w:tblStyle w:val="40"/>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6"/>
      </w:tblGrid>
      <w:tr w14:paraId="2EFC6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6" w:type="dxa"/>
          </w:tcPr>
          <w:p w14:paraId="3736801C">
            <w:pPr>
              <w:wordWrap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项目概况</w:t>
            </w:r>
          </w:p>
          <w:p w14:paraId="46D65339">
            <w:pPr>
              <w:wordWrap w:val="0"/>
              <w:spacing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lang w:eastAsia="zh-CN"/>
              </w:rPr>
              <w:t>新疆应用职业技术学院新图书馆智慧阅读设备采购项目</w:t>
            </w:r>
            <w:r>
              <w:rPr>
                <w:rFonts w:hint="eastAsia" w:ascii="宋体" w:hAnsi="宋体" w:cs="宋体"/>
                <w:color w:val="auto"/>
                <w:kern w:val="0"/>
                <w:szCs w:val="21"/>
                <w:highlight w:val="none"/>
              </w:rPr>
              <w:t>的潜在投标人应在政采云平台线上获取招标文件，并于202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7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31 </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0（北京时间）前递交投标文件。</w:t>
            </w:r>
          </w:p>
        </w:tc>
      </w:tr>
    </w:tbl>
    <w:p w14:paraId="6AEC4113">
      <w:pPr>
        <w:wordWrap w:val="0"/>
        <w:spacing w:line="360" w:lineRule="auto"/>
        <w:ind w:firstLine="482" w:firstLineChars="200"/>
        <w:rPr>
          <w:rFonts w:ascii="宋体" w:hAnsi="宋体" w:cs="宋体"/>
          <w:b/>
          <w:color w:val="auto"/>
          <w:kern w:val="0"/>
          <w:sz w:val="24"/>
          <w:szCs w:val="24"/>
          <w:highlight w:val="none"/>
        </w:rPr>
      </w:pPr>
    </w:p>
    <w:p w14:paraId="03549DA8">
      <w:pPr>
        <w:wordWrap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一、项目基本情况</w:t>
      </w:r>
    </w:p>
    <w:p w14:paraId="4BAE4B6F">
      <w:pPr>
        <w:wordWrap w:val="0"/>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项目编号：XJLW-2025-206</w:t>
      </w:r>
    </w:p>
    <w:p w14:paraId="6C757327">
      <w:pPr>
        <w:wordWrap w:val="0"/>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项目名称：</w:t>
      </w:r>
      <w:r>
        <w:rPr>
          <w:rFonts w:hint="eastAsia" w:ascii="宋体" w:hAnsi="宋体" w:cs="宋体"/>
          <w:bCs/>
          <w:color w:val="auto"/>
          <w:kern w:val="0"/>
          <w:szCs w:val="21"/>
          <w:highlight w:val="none"/>
          <w:lang w:eastAsia="zh-CN"/>
        </w:rPr>
        <w:t>新疆应用职业技术学院新图书馆智慧阅读设备采购项目</w:t>
      </w:r>
    </w:p>
    <w:p w14:paraId="665EF13E">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采购方式：公开招标</w:t>
      </w:r>
    </w:p>
    <w:p w14:paraId="6CA6A84B">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预算金额（元）：</w:t>
      </w:r>
      <w:r>
        <w:rPr>
          <w:rFonts w:hint="eastAsia" w:ascii="宋体" w:hAnsi="宋体" w:cs="宋体"/>
          <w:bCs/>
          <w:color w:val="auto"/>
          <w:kern w:val="0"/>
          <w:szCs w:val="21"/>
          <w:highlight w:val="none"/>
          <w:lang w:val="en-US" w:eastAsia="zh-CN"/>
        </w:rPr>
        <w:t>1600</w:t>
      </w:r>
      <w:r>
        <w:rPr>
          <w:rFonts w:hint="eastAsia" w:ascii="宋体" w:hAnsi="宋体" w:cs="宋体"/>
          <w:bCs/>
          <w:color w:val="auto"/>
          <w:kern w:val="0"/>
          <w:szCs w:val="21"/>
          <w:highlight w:val="none"/>
        </w:rPr>
        <w:t>000.00</w:t>
      </w:r>
    </w:p>
    <w:p w14:paraId="2D8E40DC">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最高限价（元）：</w:t>
      </w:r>
      <w:r>
        <w:rPr>
          <w:rFonts w:hint="eastAsia" w:ascii="宋体" w:hAnsi="宋体" w:cs="宋体"/>
          <w:bCs/>
          <w:color w:val="auto"/>
          <w:kern w:val="0"/>
          <w:szCs w:val="21"/>
          <w:highlight w:val="none"/>
          <w:lang w:val="en-US" w:eastAsia="zh-CN"/>
        </w:rPr>
        <w:t>1600</w:t>
      </w:r>
      <w:r>
        <w:rPr>
          <w:rFonts w:hint="eastAsia" w:ascii="宋体" w:hAnsi="宋体" w:cs="宋体"/>
          <w:bCs/>
          <w:color w:val="auto"/>
          <w:kern w:val="0"/>
          <w:szCs w:val="21"/>
          <w:highlight w:val="none"/>
        </w:rPr>
        <w:t>000.00</w:t>
      </w:r>
    </w:p>
    <w:p w14:paraId="3FC56A99">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采购需求：</w:t>
      </w:r>
    </w:p>
    <w:tbl>
      <w:tblPr>
        <w:tblStyle w:val="40"/>
        <w:tblW w:w="9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2645"/>
        <w:gridCol w:w="704"/>
        <w:gridCol w:w="766"/>
        <w:gridCol w:w="2264"/>
        <w:gridCol w:w="2043"/>
      </w:tblGrid>
      <w:tr w14:paraId="76A8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906140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0446D87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383D1F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4070E">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单位</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60D5C53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中小企业划分标准所属行业</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11884D60">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6BAA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E8CA7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6E37E0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智能寄包柜</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F1765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145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7E41F23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restart"/>
            <w:tcBorders>
              <w:top w:val="single" w:color="000000" w:sz="4" w:space="0"/>
              <w:left w:val="single" w:color="000000" w:sz="4" w:space="0"/>
              <w:right w:val="single" w:color="000000" w:sz="4" w:space="0"/>
            </w:tcBorders>
            <w:noWrap w:val="0"/>
            <w:vAlign w:val="center"/>
          </w:tcPr>
          <w:p w14:paraId="249AA0B6">
            <w:pPr>
              <w:keepNext w:val="0"/>
              <w:keepLines w:val="0"/>
              <w:widowControl/>
              <w:suppressLineNumbers w:val="0"/>
              <w:spacing w:line="360" w:lineRule="auto"/>
              <w:jc w:val="center"/>
              <w:textAlignment w:val="center"/>
              <w:rPr>
                <w:rFonts w:hint="eastAsia"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行业划分标准按《国民经济行业分类》执行。</w:t>
            </w:r>
          </w:p>
          <w:p w14:paraId="6AC708EE">
            <w:pPr>
              <w:keepNext w:val="0"/>
              <w:keepLines w:val="0"/>
              <w:widowControl/>
              <w:suppressLineNumbers w:val="0"/>
              <w:spacing w:line="360" w:lineRule="auto"/>
              <w:jc w:val="center"/>
              <w:textAlignment w:val="center"/>
              <w:rPr>
                <w:rFonts w:hint="eastAsia"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中小企业划分标准按《中小企业划型标准规定》（工信部联企业</w:t>
            </w:r>
          </w:p>
          <w:p w14:paraId="371F995D">
            <w:pPr>
              <w:keepNext w:val="0"/>
              <w:keepLines w:val="0"/>
              <w:widowControl/>
              <w:suppressLineNumbers w:val="0"/>
              <w:spacing w:line="360" w:lineRule="auto"/>
              <w:jc w:val="center"/>
              <w:textAlignment w:val="center"/>
              <w:rPr>
                <w:rFonts w:hint="eastAsia"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[2011]300 号）文件规定执行。</w:t>
            </w:r>
          </w:p>
        </w:tc>
      </w:tr>
      <w:tr w14:paraId="55DD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D5E5F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63AD6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电子图书借阅机</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28D7E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8DA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0ED186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5DDA209A">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2AF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4F21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3</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01F046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电子报刊借阅机</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60104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EBA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3EFE769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7A5B9790">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FB5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F97F3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4</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1C63A9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纸电一体化管理平台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471FD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C3B5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FEF644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1BCB2BF7">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4DB8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5CF41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5</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60CFC0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智慧门户</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0E843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F68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6AD4B08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2C12F482">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202A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68483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6</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1AF181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电子资源管理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965A2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86A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00638D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7BBD9728">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6740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12CFB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7</w:t>
            </w:r>
          </w:p>
        </w:tc>
        <w:tc>
          <w:tcPr>
            <w:tcW w:w="2645" w:type="dxa"/>
            <w:tcBorders>
              <w:top w:val="single" w:color="000000" w:sz="4" w:space="0"/>
              <w:left w:val="single" w:color="000000" w:sz="4" w:space="0"/>
              <w:bottom w:val="single" w:color="000000" w:sz="4" w:space="0"/>
              <w:right w:val="single" w:color="000000" w:sz="4" w:space="0"/>
            </w:tcBorders>
            <w:noWrap/>
            <w:vAlign w:val="center"/>
          </w:tcPr>
          <w:p w14:paraId="0CF215C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智能采选</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AF867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9F3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151F8F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608A1518">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3906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90777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8</w:t>
            </w:r>
          </w:p>
        </w:tc>
        <w:tc>
          <w:tcPr>
            <w:tcW w:w="2645" w:type="dxa"/>
            <w:tcBorders>
              <w:top w:val="single" w:color="000000" w:sz="4" w:space="0"/>
              <w:left w:val="single" w:color="000000" w:sz="4" w:space="0"/>
              <w:bottom w:val="single" w:color="000000" w:sz="4" w:space="0"/>
              <w:right w:val="single" w:color="000000" w:sz="4" w:space="0"/>
            </w:tcBorders>
            <w:noWrap/>
            <w:vAlign w:val="center"/>
          </w:tcPr>
          <w:p w14:paraId="31BB51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座位预约系统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95B76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B7C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378F4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6C9C1BED">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A69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87DE6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9</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7C06C2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大数据分析展示系统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4EE6F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936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52C560F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025231FF">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09FB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AE848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10</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523A5B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移动图书馆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47BCE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479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5CA786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01C59193">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25B2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FC520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11</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3A152A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阅读学分系统</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67F58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B08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0B0931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1840F249">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14C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C368B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12</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1FCCFF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图书馆</w:t>
            </w:r>
            <w:r>
              <w:rPr>
                <w:rStyle w:val="222"/>
                <w:rFonts w:eastAsia="宋体"/>
                <w:color w:val="auto"/>
                <w:lang w:val="en-US" w:eastAsia="zh-CN" w:bidi="ar"/>
              </w:rPr>
              <w:t>720</w:t>
            </w:r>
            <w:r>
              <w:rPr>
                <w:rStyle w:val="112"/>
                <w:color w:val="auto"/>
                <w:lang w:val="en-US" w:eastAsia="zh-CN" w:bidi="ar"/>
              </w:rPr>
              <w:t>度全景展示</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D8731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08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E0C5BC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29BBD1F7">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66E2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5AA08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13</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136FB4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阅读本自助借阅系统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6315C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BC0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59ECAD1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3E1A2BA4">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2154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CAFA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20F0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馆员管理终端</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6825A">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DE54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台</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146862C">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bottom w:val="single" w:color="000000" w:sz="4" w:space="0"/>
              <w:right w:val="single" w:color="000000" w:sz="4" w:space="0"/>
            </w:tcBorders>
            <w:noWrap w:val="0"/>
            <w:vAlign w:val="center"/>
          </w:tcPr>
          <w:p w14:paraId="4FF568FA">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bl>
    <w:p w14:paraId="59560C13">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基本概况：本项目属于货物类采购，具体参数见采购需求表。</w:t>
      </w:r>
    </w:p>
    <w:p w14:paraId="06AF6E8E">
      <w:pPr>
        <w:pStyle w:val="6"/>
        <w:spacing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供货期限：合同签订后</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0天之内货物到场，交货并安装调试完成。</w:t>
      </w:r>
    </w:p>
    <w:p w14:paraId="32D3C789">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本项目不接受联合体投标。</w:t>
      </w:r>
    </w:p>
    <w:p w14:paraId="7CBE032B">
      <w:pPr>
        <w:wordWrap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二、申请人的资格要求：</w:t>
      </w:r>
    </w:p>
    <w:p w14:paraId="42D08786">
      <w:pPr>
        <w:wordWrap w:val="0"/>
        <w:spacing w:line="360" w:lineRule="auto"/>
        <w:ind w:firstLine="367" w:firstLineChars="175"/>
        <w:rPr>
          <w:rFonts w:ascii="宋体" w:hAnsi="宋体" w:cs="宋体"/>
          <w:bCs/>
          <w:color w:val="auto"/>
          <w:kern w:val="0"/>
          <w:szCs w:val="21"/>
          <w:highlight w:val="none"/>
        </w:rPr>
      </w:pPr>
      <w:bookmarkStart w:id="4" w:name="_Toc35393631"/>
      <w:bookmarkStart w:id="5" w:name="_Toc28359014"/>
      <w:bookmarkStart w:id="6" w:name="_Toc28359091"/>
      <w:bookmarkStart w:id="7" w:name="_Toc35393800"/>
      <w:r>
        <w:rPr>
          <w:rFonts w:hint="eastAsia" w:ascii="宋体" w:hAnsi="宋体" w:cs="宋体"/>
          <w:bCs/>
          <w:color w:val="auto"/>
          <w:kern w:val="0"/>
          <w:szCs w:val="21"/>
          <w:highlight w:val="none"/>
        </w:rPr>
        <w:t>1.满足《中华人民共和国政府采购法》第二十二条规定</w:t>
      </w:r>
    </w:p>
    <w:p w14:paraId="3F613AA6">
      <w:pPr>
        <w:wordWrap w:val="0"/>
        <w:spacing w:line="360" w:lineRule="auto"/>
        <w:ind w:firstLine="367" w:firstLineChars="175"/>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（1）具备有效的营业执照；（2）具备202</w:t>
      </w:r>
      <w:r>
        <w:rPr>
          <w:rFonts w:hint="eastAsia" w:ascii="宋体" w:hAnsi="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lang w:val="en-US" w:eastAsia="zh-CN" w:bidi="ar-SA"/>
        </w:rPr>
        <w:t>年度经第三方审计的财务审计报告，若企业成立期限不足一年者以营业执照实际成立期限为准，并按实际成立期限之日起提供财务报表；（3）具备2025年1月至2025年5月缴纳税收的凭据（完税证、缴款书、印花税票、银行代扣/缴，转账凭证等均可），依法免税的供应商，须提供相应文件证明其依法免税；（4）具备2025年1月至2025年5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4.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拒绝其参与政府采购活动。</w:t>
      </w:r>
    </w:p>
    <w:p w14:paraId="440433EE">
      <w:pPr>
        <w:wordWrap w:val="0"/>
        <w:spacing w:line="360" w:lineRule="auto"/>
        <w:ind w:firstLine="367" w:firstLineChars="175"/>
        <w:rPr>
          <w:rFonts w:ascii="宋体" w:hAnsi="宋体" w:cs="宋体"/>
          <w:bCs/>
          <w:color w:val="auto"/>
          <w:kern w:val="0"/>
          <w:szCs w:val="21"/>
          <w:highlight w:val="none"/>
        </w:rPr>
      </w:pPr>
      <w:r>
        <w:rPr>
          <w:rFonts w:ascii="宋体" w:hAnsi="宋体" w:cs="宋体"/>
          <w:bCs/>
          <w:color w:val="auto"/>
          <w:kern w:val="0"/>
          <w:szCs w:val="21"/>
          <w:highlight w:val="none"/>
        </w:rPr>
        <w:t>2、</w:t>
      </w:r>
      <w:r>
        <w:rPr>
          <w:rFonts w:hint="eastAsia" w:ascii="宋体" w:hAnsi="宋体" w:cs="宋体"/>
          <w:bCs/>
          <w:color w:val="auto"/>
          <w:kern w:val="0"/>
          <w:szCs w:val="21"/>
          <w:highlight w:val="none"/>
        </w:rPr>
        <w:t>落实政府采购政策需满足的资格要求：</w:t>
      </w:r>
      <w:r>
        <w:rPr>
          <w:rFonts w:hint="eastAsia" w:ascii="宋体" w:hAnsi="宋体" w:cs="宋体"/>
          <w:bCs/>
          <w:color w:val="auto"/>
          <w:kern w:val="0"/>
          <w:szCs w:val="21"/>
          <w:highlight w:val="none"/>
          <w:lang w:val="en-US" w:eastAsia="zh-CN"/>
        </w:rPr>
        <w:t>1.</w:t>
      </w:r>
      <w:r>
        <w:rPr>
          <w:rFonts w:hint="eastAsia" w:ascii="宋体" w:hAnsi="宋体" w:cs="宋体"/>
          <w:b/>
          <w:bCs w:val="0"/>
          <w:color w:val="auto"/>
          <w:kern w:val="0"/>
          <w:szCs w:val="21"/>
          <w:highlight w:val="none"/>
          <w:lang w:val="en-US" w:eastAsia="zh-CN"/>
        </w:rPr>
        <w:t>本项目为专门面向中小企业采购项目</w:t>
      </w:r>
      <w:r>
        <w:rPr>
          <w:rFonts w:hint="eastAsia" w:ascii="宋体" w:hAnsi="宋体" w:cs="宋体"/>
          <w:bCs/>
          <w:color w:val="auto"/>
          <w:kern w:val="0"/>
          <w:szCs w:val="21"/>
          <w:highlight w:val="none"/>
          <w:lang w:val="en-US" w:eastAsia="zh-CN"/>
        </w:rPr>
        <w:t>，参加投标的供应商需符合财政部、工业和信息化部《关于印发&lt;政府采购促进中小企业发展管理办法&gt;的通知》（财库〔2020〕46 号）对中小企业的要求，并提供《中小企业声明函》。（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若供应商为监狱企业、残疾人福利企业，提供相应证明材料后享受中小企业同等政策。）。2.</w:t>
      </w:r>
      <w:r>
        <w:rPr>
          <w:rFonts w:hint="eastAsia" w:ascii="宋体" w:hAnsi="宋体" w:cs="宋体"/>
          <w:bCs/>
          <w:color w:val="auto"/>
          <w:kern w:val="0"/>
          <w:szCs w:val="21"/>
          <w:highlight w:val="none"/>
        </w:rPr>
        <w:t>财政部民政部中国残疾人联合会《关于促进残疾人就业政府采购政策的通知》财库〔2017〕141号；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财政部、司法部《关于政府采购支持监狱企业发展有关问题的通知》（财库〔2014〕68号文）；</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财政部、工业和信息化部《关于印发&lt;政府采购促进中小企业发展管理办法&gt;的通知》（财库〔2020〕46号）。（中小企业优惠、监狱企业、节能产品、环境标志产品等）。</w:t>
      </w:r>
    </w:p>
    <w:p w14:paraId="721D1527">
      <w:pPr>
        <w:pStyle w:val="49"/>
        <w:spacing w:line="360" w:lineRule="auto"/>
        <w:ind w:left="0" w:leftChars="0" w:firstLine="420" w:firstLineChars="200"/>
        <w:rPr>
          <w:color w:val="auto"/>
          <w:highlight w:val="none"/>
        </w:rPr>
      </w:pPr>
      <w:r>
        <w:rPr>
          <w:rFonts w:hint="eastAsia" w:ascii="宋体" w:hAnsi="宋体" w:cs="宋体"/>
          <w:bCs/>
          <w:color w:val="auto"/>
          <w:kern w:val="0"/>
          <w:szCs w:val="21"/>
          <w:highlight w:val="none"/>
        </w:rPr>
        <w:t>3、单位负责人为同一人或者存在直接控股、管理关系的不同供应商，不得参加同一合同项下的政府采购活动，否则均作无效标处理。</w:t>
      </w:r>
    </w:p>
    <w:p w14:paraId="5BE7EC6A">
      <w:pPr>
        <w:wordWrap w:val="0"/>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4、本项目的特定资格要求：无。</w:t>
      </w:r>
    </w:p>
    <w:bookmarkEnd w:id="4"/>
    <w:bookmarkEnd w:id="5"/>
    <w:bookmarkEnd w:id="6"/>
    <w:bookmarkEnd w:id="7"/>
    <w:p w14:paraId="0383FB79">
      <w:pPr>
        <w:wordWrap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三、获取招标文件</w:t>
      </w:r>
    </w:p>
    <w:p w14:paraId="6C5E966F">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bookmarkStart w:id="8" w:name="OLE_LINK1"/>
      <w:r>
        <w:rPr>
          <w:rFonts w:hint="eastAsia" w:ascii="宋体" w:hAnsi="宋体" w:cs="宋体"/>
          <w:bCs/>
          <w:color w:val="auto"/>
          <w:kern w:val="0"/>
          <w:szCs w:val="21"/>
          <w:highlight w:val="none"/>
          <w:lang w:eastAsia="zh-CN"/>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6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27 </w:t>
      </w:r>
      <w:r>
        <w:rPr>
          <w:rFonts w:hint="eastAsia" w:ascii="宋体" w:hAnsi="宋体" w:cs="宋体"/>
          <w:bCs/>
          <w:color w:val="auto"/>
          <w:kern w:val="0"/>
          <w:szCs w:val="21"/>
          <w:highlight w:val="none"/>
        </w:rPr>
        <w:t>日至</w:t>
      </w:r>
      <w:r>
        <w:rPr>
          <w:rFonts w:hint="eastAsia" w:ascii="宋体" w:hAnsi="宋体" w:cs="宋体"/>
          <w:bCs/>
          <w:color w:val="auto"/>
          <w:kern w:val="0"/>
          <w:szCs w:val="21"/>
          <w:highlight w:val="none"/>
          <w:lang w:eastAsia="zh-CN"/>
        </w:rPr>
        <w:t>2025</w:t>
      </w:r>
      <w:r>
        <w:rPr>
          <w:rFonts w:hint="eastAsia" w:ascii="宋体" w:hAnsi="宋体" w:cs="宋体"/>
          <w:bCs/>
          <w:color w:val="auto"/>
          <w:kern w:val="0"/>
          <w:szCs w:val="21"/>
          <w:highlight w:val="none"/>
        </w:rPr>
        <w:t xml:space="preserve"> 年</w:t>
      </w:r>
      <w:r>
        <w:rPr>
          <w:rFonts w:hint="eastAsia" w:ascii="宋体" w:hAnsi="宋体" w:cs="宋体"/>
          <w:bCs/>
          <w:color w:val="auto"/>
          <w:kern w:val="0"/>
          <w:szCs w:val="21"/>
          <w:highlight w:val="none"/>
          <w:lang w:val="en-US" w:eastAsia="zh-CN"/>
        </w:rPr>
        <w:t xml:space="preserve"> 7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4 </w:t>
      </w:r>
      <w:r>
        <w:rPr>
          <w:rFonts w:hint="eastAsia" w:ascii="宋体" w:hAnsi="宋体" w:cs="宋体"/>
          <w:bCs/>
          <w:color w:val="auto"/>
          <w:kern w:val="0"/>
          <w:szCs w:val="21"/>
          <w:highlight w:val="none"/>
        </w:rPr>
        <w:t>日上午00:00至1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:00，下午1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:00至23:59</w:t>
      </w:r>
      <w:bookmarkEnd w:id="8"/>
    </w:p>
    <w:p w14:paraId="18DAC9E7">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地点：政采云平台线上获取</w:t>
      </w:r>
    </w:p>
    <w:p w14:paraId="4A41C03F">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方式：投标人登录政采云平台（http://www.zcygov.cn/）在线申请获取采购文件（进入“项目采购”应用，在获取采购文件菜单中选择项目，申请获取采购文件）。</w:t>
      </w:r>
    </w:p>
    <w:p w14:paraId="7457DB9C">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售价（元）：0</w:t>
      </w:r>
    </w:p>
    <w:p w14:paraId="00C55CEF">
      <w:pPr>
        <w:wordWrap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四、提交投标文件截止时间、开标时间和地点</w:t>
      </w:r>
    </w:p>
    <w:p w14:paraId="48F063FD">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提交投标文件截止时间：</w:t>
      </w:r>
      <w:bookmarkStart w:id="9" w:name="OLE_LINK2"/>
      <w:r>
        <w:rPr>
          <w:rFonts w:hint="eastAsia" w:ascii="宋体" w:hAnsi="宋体" w:cs="宋体"/>
          <w:bCs/>
          <w:color w:val="auto"/>
          <w:kern w:val="0"/>
          <w:szCs w:val="21"/>
          <w:highlight w:val="none"/>
          <w:lang w:eastAsia="zh-CN"/>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31</w:t>
      </w:r>
      <w:r>
        <w:rPr>
          <w:rFonts w:hint="eastAsia" w:ascii="宋体" w:hAnsi="宋体" w:cs="宋体"/>
          <w:bCs/>
          <w:color w:val="auto"/>
          <w:kern w:val="0"/>
          <w:szCs w:val="21"/>
          <w:highlight w:val="none"/>
        </w:rPr>
        <w:t>日1</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:00</w:t>
      </w:r>
      <w:bookmarkEnd w:id="9"/>
      <w:r>
        <w:rPr>
          <w:rFonts w:hint="eastAsia" w:ascii="宋体" w:hAnsi="宋体" w:cs="宋体"/>
          <w:bCs/>
          <w:color w:val="auto"/>
          <w:kern w:val="0"/>
          <w:szCs w:val="21"/>
          <w:highlight w:val="none"/>
        </w:rPr>
        <w:t>（北京时间）</w:t>
      </w:r>
    </w:p>
    <w:p w14:paraId="2C7BE8E3">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投标地点：请登录政采云投标客户端投标</w:t>
      </w:r>
    </w:p>
    <w:p w14:paraId="6FF586FB">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开标时间：</w:t>
      </w:r>
      <w:r>
        <w:rPr>
          <w:rFonts w:hint="eastAsia" w:ascii="宋体" w:hAnsi="宋体" w:cs="宋体"/>
          <w:bCs/>
          <w:color w:val="auto"/>
          <w:kern w:val="0"/>
          <w:szCs w:val="21"/>
          <w:highlight w:val="none"/>
          <w:lang w:eastAsia="zh-CN"/>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31</w:t>
      </w:r>
      <w:bookmarkStart w:id="55" w:name="_GoBack"/>
      <w:bookmarkEnd w:id="55"/>
      <w:r>
        <w:rPr>
          <w:rFonts w:hint="eastAsia" w:ascii="宋体" w:hAnsi="宋体" w:cs="宋体"/>
          <w:bCs/>
          <w:color w:val="auto"/>
          <w:kern w:val="0"/>
          <w:szCs w:val="21"/>
          <w:highlight w:val="none"/>
        </w:rPr>
        <w:t>日1</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:00（北京时间）</w:t>
      </w:r>
    </w:p>
    <w:p w14:paraId="4648CC53">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开标地点：本项目采用不见面开标（政采云平台http://www.zcygov.cn/）</w:t>
      </w:r>
    </w:p>
    <w:p w14:paraId="3B977240">
      <w:pPr>
        <w:wordWrap w:val="0"/>
        <w:spacing w:line="360" w:lineRule="auto"/>
        <w:rPr>
          <w:rFonts w:ascii="宋体" w:hAnsi="宋体" w:cs="宋体"/>
          <w:bCs/>
          <w:color w:val="auto"/>
          <w:kern w:val="0"/>
          <w:szCs w:val="21"/>
          <w:highlight w:val="none"/>
        </w:rPr>
      </w:pPr>
      <w:r>
        <w:rPr>
          <w:rFonts w:hint="eastAsia" w:ascii="宋体" w:hAnsi="宋体" w:cs="宋体"/>
          <w:b/>
          <w:color w:val="auto"/>
          <w:kern w:val="0"/>
          <w:szCs w:val="21"/>
          <w:highlight w:val="none"/>
        </w:rPr>
        <w:t>五、公告期限</w:t>
      </w:r>
    </w:p>
    <w:p w14:paraId="711DD5E0">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自本公告发布之日起5个工作日。</w:t>
      </w:r>
    </w:p>
    <w:p w14:paraId="0A553D40">
      <w:pPr>
        <w:wordWrap w:val="0"/>
        <w:spacing w:line="360" w:lineRule="auto"/>
        <w:rPr>
          <w:rFonts w:ascii="宋体" w:hAnsi="宋体" w:cs="宋体"/>
          <w:bCs/>
          <w:color w:val="auto"/>
          <w:kern w:val="0"/>
          <w:szCs w:val="21"/>
          <w:highlight w:val="none"/>
        </w:rPr>
      </w:pPr>
      <w:r>
        <w:rPr>
          <w:rFonts w:hint="eastAsia" w:ascii="宋体" w:hAnsi="宋体" w:cs="宋体"/>
          <w:b/>
          <w:color w:val="auto"/>
          <w:kern w:val="0"/>
          <w:szCs w:val="21"/>
          <w:highlight w:val="none"/>
        </w:rPr>
        <w:t>六、其他补充事宜：</w:t>
      </w:r>
    </w:p>
    <w:p w14:paraId="6B8A661C">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1、本项目实行网上投标，采用电子投标文件；</w:t>
      </w:r>
    </w:p>
    <w:p w14:paraId="6CA5AC4D">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各投标人应在开标前应确保成为政采云平台投标人，并完成CA数字证书（符合国密标准）申领。因未注册入库、未办理CA数字证书等原因造成无法投标或投标失败等后果由投标人自行承担。有意向参与本采购项目电子开评标的投标人，可访问新疆数字证书认证中心官方网站（https://www.xjca.com.cn/）或下载“新疆政务通”APP自行进行申领。如需咨询，请联系新疆CA服务热线0991-2819290；</w:t>
      </w:r>
    </w:p>
    <w:p w14:paraId="21FB77B8">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3、投标人将政采云电子交易客户端下载、安装完成后，可通过账号密码或CA登录客户端进行投标文件的制作。在使用政采云投标客户端时，建议使用WIN7（64位）及以上操作系统。客户端请至新疆政府采购网（http://www.ccgp-xinjiang.gov.cn/）下载专区查看，如有问题可拨打政采云客户服务热线400-881-7190进行咨询。如因投标人自身原因导致在规定时间内无法正常解密的（如：浏览器故障、未安装相关驱动、网络故障、加密CA与解密CA不一致等），采购中心/代理机构不予异常处理，视为投标人自动弃标。</w:t>
      </w:r>
    </w:p>
    <w:p w14:paraId="324A682E">
      <w:pPr>
        <w:wordWrap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七、对本次采购提出询问，请按以下方式联系</w:t>
      </w:r>
    </w:p>
    <w:p w14:paraId="3943AA5F">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1.招标人信息</w:t>
      </w:r>
    </w:p>
    <w:p w14:paraId="39C0A702">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名    称：新疆应用职业技术学院</w:t>
      </w:r>
    </w:p>
    <w:p w14:paraId="177A1574">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    址：新疆奎屯市北京西路62号</w:t>
      </w:r>
    </w:p>
    <w:p w14:paraId="177D7007">
      <w:pPr>
        <w:wordWrap w:val="0"/>
        <w:spacing w:line="360" w:lineRule="auto"/>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联系人：</w:t>
      </w:r>
      <w:r>
        <w:rPr>
          <w:rFonts w:hint="eastAsia" w:ascii="宋体" w:hAnsi="宋体" w:cs="宋体"/>
          <w:bCs/>
          <w:color w:val="auto"/>
          <w:kern w:val="0"/>
          <w:szCs w:val="21"/>
          <w:highlight w:val="none"/>
          <w:lang w:val="en-US" w:eastAsia="zh-CN"/>
        </w:rPr>
        <w:t>李莉</w:t>
      </w:r>
    </w:p>
    <w:p w14:paraId="0222BCD9">
      <w:pPr>
        <w:wordWrap w:val="0"/>
        <w:spacing w:line="360" w:lineRule="auto"/>
        <w:ind w:firstLine="420" w:firstLineChars="200"/>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联系方式：</w:t>
      </w:r>
      <w:r>
        <w:rPr>
          <w:rFonts w:hint="eastAsia" w:ascii="宋体" w:hAnsi="宋体" w:cs="宋体"/>
          <w:bCs/>
          <w:color w:val="auto"/>
          <w:kern w:val="0"/>
          <w:szCs w:val="21"/>
          <w:highlight w:val="none"/>
          <w:lang w:val="en-US" w:eastAsia="zh-CN"/>
        </w:rPr>
        <w:t>18609921657</w:t>
      </w:r>
    </w:p>
    <w:p w14:paraId="6BF3F886">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2.采购代理机构信息</w:t>
      </w:r>
    </w:p>
    <w:p w14:paraId="49C8798E">
      <w:pPr>
        <w:wordWrap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名称： </w:t>
      </w:r>
      <w:r>
        <w:rPr>
          <w:rFonts w:hint="eastAsia" w:ascii="宋体" w:hAnsi="宋体" w:cs="宋体"/>
          <w:bCs/>
          <w:color w:val="auto"/>
          <w:kern w:val="0"/>
          <w:szCs w:val="21"/>
          <w:highlight w:val="none"/>
          <w:lang w:val="en-US" w:eastAsia="zh-CN"/>
        </w:rPr>
        <w:t>新疆新建联项目管理咨询有限公司</w:t>
      </w:r>
      <w:r>
        <w:rPr>
          <w:rFonts w:hint="eastAsia" w:ascii="宋体" w:hAnsi="宋体" w:cs="宋体"/>
          <w:bCs/>
          <w:color w:val="auto"/>
          <w:kern w:val="0"/>
          <w:szCs w:val="21"/>
          <w:highlight w:val="none"/>
        </w:rPr>
        <w:t xml:space="preserve"> </w:t>
      </w:r>
    </w:p>
    <w:p w14:paraId="0249BF2B">
      <w:pPr>
        <w:wordWrap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地址： 新疆乌鲁木齐市水磨沟区龙胜街898号万科中央公园S2栋商业综合楼1503室 </w:t>
      </w:r>
    </w:p>
    <w:p w14:paraId="207B878A">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联系方式： </w:t>
      </w:r>
      <w:r>
        <w:rPr>
          <w:rFonts w:hint="eastAsia" w:ascii="宋体" w:hAnsi="宋体" w:cs="宋体"/>
          <w:bCs/>
          <w:color w:val="auto"/>
          <w:kern w:val="0"/>
          <w:szCs w:val="21"/>
          <w:highlight w:val="none"/>
          <w:lang w:val="en-US" w:eastAsia="zh-CN"/>
        </w:rPr>
        <w:t>13999102070</w:t>
      </w:r>
    </w:p>
    <w:p w14:paraId="2315D56A">
      <w:pPr>
        <w:pStyle w:val="36"/>
        <w:keepNext w:val="0"/>
        <w:keepLines w:val="0"/>
        <w:widowControl/>
        <w:suppressLineNumbers w:val="0"/>
        <w:spacing w:before="255" w:beforeAutospacing="0" w:after="255" w:afterAutospacing="0" w:line="450" w:lineRule="atLeast"/>
        <w:ind w:left="0" w:right="0" w:firstLine="0"/>
        <w:jc w:val="both"/>
        <w:rPr>
          <w:rFonts w:ascii="宋体" w:hAnsi="宋体" w:cs="宋体"/>
          <w:color w:val="auto"/>
          <w:szCs w:val="21"/>
          <w:highlight w:val="none"/>
        </w:rPr>
      </w:pPr>
      <w:r>
        <w:rPr>
          <w:rFonts w:hint="eastAsia"/>
          <w:color w:val="auto"/>
          <w:szCs w:val="21"/>
          <w:highlight w:val="none"/>
        </w:rPr>
        <w:br w:type="page"/>
      </w:r>
    </w:p>
    <w:p w14:paraId="510A5178">
      <w:pPr>
        <w:spacing w:line="360" w:lineRule="auto"/>
        <w:rPr>
          <w:rFonts w:ascii="宋体" w:hAnsi="宋体" w:cs="宋体"/>
          <w:color w:val="auto"/>
          <w:szCs w:val="21"/>
          <w:highlight w:val="none"/>
        </w:rPr>
      </w:pPr>
    </w:p>
    <w:p w14:paraId="0F5BBA24">
      <w:pPr>
        <w:pStyle w:val="36"/>
        <w:widowControl w:val="0"/>
        <w:wordWrap w:val="0"/>
        <w:spacing w:line="360" w:lineRule="auto"/>
        <w:jc w:val="center"/>
        <w:outlineLvl w:val="0"/>
        <w:rPr>
          <w:rStyle w:val="73"/>
          <w:rFonts w:ascii="宋体" w:hAnsi="宋体" w:cs="宋体"/>
          <w:color w:val="auto"/>
          <w:highlight w:val="none"/>
        </w:rPr>
      </w:pPr>
      <w:bookmarkStart w:id="10" w:name="_Toc529282259"/>
      <w:bookmarkStart w:id="11" w:name="_Toc19268"/>
      <w:r>
        <w:rPr>
          <w:rStyle w:val="73"/>
          <w:rFonts w:hint="eastAsia" w:ascii="宋体" w:hAnsi="宋体" w:cs="宋体"/>
          <w:color w:val="auto"/>
          <w:highlight w:val="none"/>
        </w:rPr>
        <w:t>第二章  投标须知</w:t>
      </w:r>
      <w:bookmarkEnd w:id="10"/>
      <w:bookmarkEnd w:id="11"/>
    </w:p>
    <w:p w14:paraId="2EF1164C">
      <w:pPr>
        <w:pStyle w:val="3"/>
        <w:wordWrap w:val="0"/>
        <w:spacing w:line="360" w:lineRule="auto"/>
        <w:rPr>
          <w:rFonts w:ascii="宋体" w:hAnsi="宋体" w:eastAsia="宋体" w:cs="宋体"/>
          <w:b/>
          <w:color w:val="auto"/>
          <w:sz w:val="32"/>
          <w:szCs w:val="32"/>
          <w:highlight w:val="none"/>
        </w:rPr>
      </w:pPr>
      <w:bookmarkStart w:id="12" w:name="_Toc499725005"/>
      <w:bookmarkStart w:id="13" w:name="_Toc529282260"/>
      <w:bookmarkStart w:id="14" w:name="_Toc9256"/>
      <w:r>
        <w:rPr>
          <w:rFonts w:hint="eastAsia" w:ascii="宋体" w:hAnsi="宋体" w:eastAsia="宋体" w:cs="宋体"/>
          <w:b/>
          <w:color w:val="auto"/>
          <w:sz w:val="32"/>
          <w:szCs w:val="32"/>
          <w:highlight w:val="none"/>
        </w:rPr>
        <w:t>投标须知前附表</w:t>
      </w:r>
      <w:bookmarkEnd w:id="12"/>
      <w:bookmarkEnd w:id="13"/>
      <w:bookmarkEnd w:id="14"/>
    </w:p>
    <w:p w14:paraId="5A1F6903">
      <w:pPr>
        <w:pStyle w:val="2"/>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5" w:name="_Toc155185868"/>
      <w:bookmarkStart w:id="16" w:name="_Toc6574"/>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15"/>
      <w:bookmarkEnd w:id="16"/>
    </w:p>
    <w:p w14:paraId="7F3ACB7A">
      <w:pPr>
        <w:pStyle w:val="223"/>
        <w:rPr>
          <w:rFonts w:hint="default" w:eastAsia="宋体"/>
          <w:color w:val="auto"/>
          <w:sz w:val="24"/>
          <w:szCs w:val="24"/>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p>
    <w:tbl>
      <w:tblPr>
        <w:tblStyle w:val="40"/>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224"/>
              <w:jc w:val="center"/>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序</w:t>
            </w:r>
            <w:r>
              <w:rPr>
                <w:rFonts w:hint="eastAsia" w:ascii="宋体" w:hAnsi="宋体" w:eastAsia="宋体" w:cs="宋体"/>
                <w:b/>
                <w:bCs/>
                <w:color w:val="auto"/>
                <w:sz w:val="24"/>
                <w:szCs w:val="24"/>
                <w:highlight w:val="none"/>
              </w:rPr>
              <w:t>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22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22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60441C76">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p>
        </w:tc>
        <w:tc>
          <w:tcPr>
            <w:tcW w:w="1738" w:type="dxa"/>
            <w:vAlign w:val="center"/>
          </w:tcPr>
          <w:p w14:paraId="3D9DB5F0">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核心产品</w:t>
            </w:r>
          </w:p>
        </w:tc>
        <w:tc>
          <w:tcPr>
            <w:tcW w:w="6700" w:type="dxa"/>
            <w:vAlign w:val="center"/>
          </w:tcPr>
          <w:p w14:paraId="7BB22B3E">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□本项目第__包不适用。 </w:t>
            </w:r>
          </w:p>
          <w:p w14:paraId="3D32C559">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□本项目第__包为单一产品采购项目。 </w:t>
            </w:r>
          </w:p>
          <w:p w14:paraId="6BCC34C0">
            <w:pPr>
              <w:pStyle w:val="224"/>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本项目第_</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_包为非单一产品采购项目，其中核心产品为：_</w:t>
            </w:r>
            <w:r>
              <w:rPr>
                <w:rFonts w:hint="eastAsia" w:ascii="宋体" w:hAnsi="宋体" w:eastAsia="宋体" w:cs="宋体"/>
                <w:color w:val="auto"/>
                <w:sz w:val="24"/>
                <w:szCs w:val="24"/>
                <w:highlight w:val="none"/>
                <w:u w:val="single"/>
                <w:lang w:val="en-US" w:eastAsia="zh-CN"/>
              </w:rPr>
              <w:t>电子图书借阅机、电子报刊借阅机</w:t>
            </w:r>
            <w:r>
              <w:rPr>
                <w:rFonts w:hint="eastAsia" w:ascii="宋体" w:hAnsi="宋体" w:eastAsia="宋体" w:cs="宋体"/>
                <w:color w:val="auto"/>
                <w:sz w:val="24"/>
                <w:szCs w:val="24"/>
                <w:highlight w:val="none"/>
                <w:lang w:val="en-US" w:eastAsia="zh-CN"/>
              </w:rPr>
              <w:t>___。</w:t>
            </w:r>
          </w:p>
        </w:tc>
      </w:tr>
      <w:tr w14:paraId="2E763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61" w:hRule="atLeast"/>
        </w:trPr>
        <w:tc>
          <w:tcPr>
            <w:tcW w:w="970" w:type="dxa"/>
            <w:shd w:val="clear" w:color="auto" w:fill="auto"/>
            <w:vAlign w:val="center"/>
          </w:tcPr>
          <w:p w14:paraId="1BF1D896">
            <w:pPr>
              <w:pStyle w:val="224"/>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w:t>
            </w:r>
          </w:p>
        </w:tc>
        <w:tc>
          <w:tcPr>
            <w:tcW w:w="1738" w:type="dxa"/>
            <w:shd w:val="clear" w:color="auto" w:fill="auto"/>
            <w:vAlign w:val="center"/>
          </w:tcPr>
          <w:p w14:paraId="700F5EE9">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科研仪器设备</w:t>
            </w:r>
          </w:p>
        </w:tc>
        <w:tc>
          <w:tcPr>
            <w:tcW w:w="6700" w:type="dxa"/>
            <w:shd w:val="clear" w:color="auto" w:fill="auto"/>
            <w:vAlign w:val="center"/>
          </w:tcPr>
          <w:p w14:paraId="0F6FC5C1">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是否属于科研仪器设备采购项目： </w:t>
            </w:r>
          </w:p>
          <w:p w14:paraId="4A1686C7">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是 </w:t>
            </w:r>
          </w:p>
          <w:p w14:paraId="7C9332C8">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否</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68" w:hRule="atLeast"/>
        </w:trPr>
        <w:tc>
          <w:tcPr>
            <w:tcW w:w="970" w:type="dxa"/>
            <w:vAlign w:val="center"/>
          </w:tcPr>
          <w:p w14:paraId="3FDFEF2B">
            <w:pPr>
              <w:pStyle w:val="224"/>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p>
        </w:tc>
        <w:tc>
          <w:tcPr>
            <w:tcW w:w="1738" w:type="dxa"/>
            <w:vAlign w:val="center"/>
          </w:tcPr>
          <w:p w14:paraId="117C18AE">
            <w:pPr>
              <w:pStyle w:val="224"/>
              <w:rPr>
                <w:rFonts w:hint="eastAsia" w:ascii="宋体" w:hAnsi="宋体" w:eastAsia="宋体" w:cs="宋体"/>
                <w:color w:val="auto"/>
                <w:sz w:val="24"/>
                <w:szCs w:val="24"/>
                <w:highlight w:val="none"/>
              </w:rPr>
            </w:pPr>
            <w:bookmarkStart w:id="17" w:name="_Hlk143529175"/>
            <w:r>
              <w:rPr>
                <w:rFonts w:hint="eastAsia" w:ascii="宋体" w:hAnsi="宋体" w:eastAsia="宋体" w:cs="宋体"/>
                <w:color w:val="auto"/>
                <w:sz w:val="24"/>
                <w:szCs w:val="24"/>
                <w:highlight w:val="none"/>
              </w:rPr>
              <w:t>现场考察</w:t>
            </w:r>
            <w:bookmarkEnd w:id="17"/>
          </w:p>
        </w:tc>
        <w:tc>
          <w:tcPr>
            <w:tcW w:w="6700" w:type="dxa"/>
            <w:vAlign w:val="center"/>
          </w:tcPr>
          <w:p w14:paraId="36549596">
            <w:pPr>
              <w:pStyle w:val="2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0F71951">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0A578DA1">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E8AF39">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31CF2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35" w:hRule="atLeast"/>
        </w:trPr>
        <w:tc>
          <w:tcPr>
            <w:tcW w:w="970" w:type="dxa"/>
            <w:vAlign w:val="center"/>
          </w:tcPr>
          <w:p w14:paraId="0D95D099">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p>
        </w:tc>
        <w:tc>
          <w:tcPr>
            <w:tcW w:w="1738" w:type="dxa"/>
            <w:vAlign w:val="center"/>
          </w:tcPr>
          <w:p w14:paraId="4A5FE036">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6700" w:type="dxa"/>
            <w:vAlign w:val="center"/>
          </w:tcPr>
          <w:p w14:paraId="6B78B750">
            <w:pPr>
              <w:pStyle w:val="2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3C61F0CD">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1279EA7E">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68AD2C">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9017C90">
            <w:pPr>
              <w:pStyle w:val="224"/>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5</w:t>
            </w:r>
          </w:p>
        </w:tc>
        <w:tc>
          <w:tcPr>
            <w:tcW w:w="1738" w:type="dxa"/>
            <w:vAlign w:val="center"/>
          </w:tcPr>
          <w:p w14:paraId="14B3667D">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询问</w:t>
            </w:r>
          </w:p>
        </w:tc>
        <w:tc>
          <w:tcPr>
            <w:tcW w:w="6700" w:type="dxa"/>
            <w:vAlign w:val="center"/>
          </w:tcPr>
          <w:p w14:paraId="3D637E0D">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方式：</w:t>
            </w:r>
          </w:p>
          <w:p w14:paraId="0DD19460">
            <w:pPr>
              <w:pStyle w:val="2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在供应商客户端中按照格式填写询问函，并在生成询问函后加盖电子印章提交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其他询问方式：</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不接受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E4A188">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全过程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AF0F4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5E63DD7">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p>
        </w:tc>
        <w:tc>
          <w:tcPr>
            <w:tcW w:w="1738" w:type="dxa"/>
            <w:vAlign w:val="center"/>
          </w:tcPr>
          <w:p w14:paraId="18C3267A">
            <w:pPr>
              <w:pStyle w:val="224"/>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投标最高限价</w:t>
            </w:r>
          </w:p>
        </w:tc>
        <w:tc>
          <w:tcPr>
            <w:tcW w:w="6700" w:type="dxa"/>
            <w:vAlign w:val="center"/>
          </w:tcPr>
          <w:p w14:paraId="1DAA20E6">
            <w:pPr>
              <w:pStyle w:val="224"/>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本项目最高限价为：壹佰陆拾万元整（￥1600000.00元）投标报价超出最高限价的，评标委员会将按无效投标处理。</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104107">
            <w:pPr>
              <w:pStyle w:val="224"/>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p>
        </w:tc>
        <w:tc>
          <w:tcPr>
            <w:tcW w:w="1738" w:type="dxa"/>
            <w:vAlign w:val="center"/>
          </w:tcPr>
          <w:p w14:paraId="79A1D807">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1DD7733">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2B4F4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357" w:hRule="atLeast"/>
        </w:trPr>
        <w:tc>
          <w:tcPr>
            <w:tcW w:w="970" w:type="dxa"/>
            <w:vAlign w:val="center"/>
          </w:tcPr>
          <w:p w14:paraId="3DB59B05">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p>
        </w:tc>
        <w:tc>
          <w:tcPr>
            <w:tcW w:w="1738" w:type="dxa"/>
            <w:vAlign w:val="center"/>
          </w:tcPr>
          <w:p w14:paraId="02D54664">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700" w:type="dxa"/>
            <w:vAlign w:val="center"/>
          </w:tcPr>
          <w:p w14:paraId="55C4E01D">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5D6B94AB">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70D7E096">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rPr>
              <w:t>的   %</w:t>
            </w:r>
            <w:r>
              <w:rPr>
                <w:rFonts w:hint="eastAsia" w:ascii="宋体" w:hAnsi="宋体" w:eastAsia="宋体" w:cs="宋体"/>
                <w:color w:val="auto"/>
                <w:sz w:val="24"/>
                <w:szCs w:val="24"/>
                <w:highlight w:val="none"/>
                <w:lang w:eastAsia="zh-CN"/>
              </w:rPr>
              <w:t>。</w:t>
            </w:r>
          </w:p>
          <w:p w14:paraId="3FA466D7">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□定额收取：人民币       元</w:t>
            </w:r>
            <w:r>
              <w:rPr>
                <w:rFonts w:hint="eastAsia" w:ascii="宋体" w:hAnsi="宋体" w:eastAsia="宋体" w:cs="宋体"/>
                <w:color w:val="auto"/>
                <w:sz w:val="24"/>
                <w:szCs w:val="24"/>
                <w:highlight w:val="none"/>
                <w:lang w:eastAsia="zh-CN"/>
              </w:rPr>
              <w:t>。</w:t>
            </w:r>
          </w:p>
          <w:p w14:paraId="43D382F1">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4C1E371E">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投标人可自主选择以支票、汇票、本票、电汇、转账、网银、保函等非现金形式缴纳或提交保证金。</w:t>
            </w:r>
          </w:p>
          <w:p w14:paraId="0B4D9C7C">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收取单位：                            </w:t>
            </w:r>
          </w:p>
          <w:p w14:paraId="4AF9653E">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4.收取账号：</w:t>
            </w:r>
            <w:r>
              <w:rPr>
                <w:rFonts w:hint="eastAsia" w:ascii="宋体" w:hAnsi="宋体" w:eastAsia="宋体" w:cs="宋体"/>
                <w:color w:val="auto"/>
                <w:sz w:val="24"/>
                <w:szCs w:val="24"/>
                <w:highlight w:val="none"/>
              </w:rPr>
              <w:t xml:space="preserve">              </w:t>
            </w:r>
          </w:p>
          <w:p w14:paraId="60379F49">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退还时间：              </w:t>
            </w:r>
          </w:p>
          <w:p w14:paraId="5B366FD3">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注意事项：</w:t>
            </w:r>
          </w:p>
          <w:p w14:paraId="740C4A5D">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7F6F815C">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保证金的，受益人和收取单位须为采购人。</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603" w:hRule="atLeast"/>
        </w:trPr>
        <w:tc>
          <w:tcPr>
            <w:tcW w:w="970" w:type="dxa"/>
            <w:vAlign w:val="center"/>
          </w:tcPr>
          <w:p w14:paraId="0FAEE6C9">
            <w:pPr>
              <w:pStyle w:val="224"/>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p>
        </w:tc>
        <w:tc>
          <w:tcPr>
            <w:tcW w:w="1738" w:type="dxa"/>
            <w:vAlign w:val="center"/>
          </w:tcPr>
          <w:p w14:paraId="1A5D11C5">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29F70D2B">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224"/>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45E00831">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1.样品制作的标准和要求：_________； </w:t>
            </w:r>
          </w:p>
          <w:p w14:paraId="636410A9">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2.是否需要随样品提交相关检测报告： </w:t>
            </w:r>
          </w:p>
          <w:p w14:paraId="4042F79A">
            <w:pPr>
              <w:pStyle w:val="2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□不需要 </w:t>
            </w:r>
          </w:p>
          <w:p w14:paraId="69ACDCB3">
            <w:pPr>
              <w:pStyle w:val="2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 </w:t>
            </w:r>
          </w:p>
          <w:p w14:paraId="2365C0AF">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3.样品递交要求：递交时间：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，逾期提供的样品将不予接受。</w:t>
            </w:r>
            <w:r>
              <w:rPr>
                <w:rFonts w:hint="eastAsia" w:ascii="宋体" w:hAnsi="宋体" w:eastAsia="宋体" w:cs="宋体"/>
                <w:color w:val="auto"/>
                <w:sz w:val="24"/>
                <w:szCs w:val="24"/>
                <w:highlight w:val="none"/>
                <w:lang w:val="en-US" w:eastAsia="zh-CN"/>
              </w:rPr>
              <w:t xml:space="preserve"> </w:t>
            </w:r>
          </w:p>
          <w:p w14:paraId="20C6A605">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4.未中标人样品退还：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A55552">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5.中标人样品保管、封存及退还：_________； </w:t>
            </w:r>
          </w:p>
          <w:p w14:paraId="5F60BBB0">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6.其他要求（如有）：_________。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3DA43E2">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1738" w:type="dxa"/>
            <w:vAlign w:val="center"/>
          </w:tcPr>
          <w:p w14:paraId="22504622">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B2FDAC1">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p w14:paraId="0D5B188D">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85" w:hRule="atLeast"/>
        </w:trPr>
        <w:tc>
          <w:tcPr>
            <w:tcW w:w="970" w:type="dxa"/>
            <w:vAlign w:val="center"/>
          </w:tcPr>
          <w:p w14:paraId="4CE72DC4">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11</w:t>
            </w:r>
          </w:p>
        </w:tc>
        <w:tc>
          <w:tcPr>
            <w:tcW w:w="1738" w:type="dxa"/>
            <w:vAlign w:val="center"/>
          </w:tcPr>
          <w:p w14:paraId="35FB661A">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44601FEC">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01B25268">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23FC94CD">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w:t>
            </w:r>
          </w:p>
        </w:tc>
        <w:tc>
          <w:tcPr>
            <w:tcW w:w="1738" w:type="dxa"/>
            <w:vAlign w:val="center"/>
          </w:tcPr>
          <w:p w14:paraId="5A1E858C">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49F2488F">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67" w:hRule="atLeast"/>
        </w:trPr>
        <w:tc>
          <w:tcPr>
            <w:tcW w:w="970" w:type="dxa"/>
            <w:vAlign w:val="center"/>
          </w:tcPr>
          <w:p w14:paraId="42D57B39">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13</w:t>
            </w:r>
          </w:p>
        </w:tc>
        <w:tc>
          <w:tcPr>
            <w:tcW w:w="1738" w:type="dxa"/>
            <w:vAlign w:val="center"/>
          </w:tcPr>
          <w:p w14:paraId="109515DE">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0DB0E73E">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3" w:hRule="atLeast"/>
        </w:trPr>
        <w:tc>
          <w:tcPr>
            <w:tcW w:w="970" w:type="dxa"/>
            <w:vAlign w:val="center"/>
          </w:tcPr>
          <w:p w14:paraId="4EEEE9B4">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14</w:t>
            </w:r>
          </w:p>
        </w:tc>
        <w:tc>
          <w:tcPr>
            <w:tcW w:w="1738" w:type="dxa"/>
            <w:vAlign w:val="center"/>
          </w:tcPr>
          <w:p w14:paraId="266C355B">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3AF868A2">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6F937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1" w:hRule="atLeast"/>
        </w:trPr>
        <w:tc>
          <w:tcPr>
            <w:tcW w:w="970" w:type="dxa"/>
            <w:vAlign w:val="center"/>
          </w:tcPr>
          <w:p w14:paraId="55F094A5">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15</w:t>
            </w:r>
          </w:p>
        </w:tc>
        <w:tc>
          <w:tcPr>
            <w:tcW w:w="1738" w:type="dxa"/>
            <w:vAlign w:val="center"/>
          </w:tcPr>
          <w:p w14:paraId="1B13E6FA">
            <w:pPr>
              <w:pStyle w:val="224"/>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提供相同品牌产品的不同投标人确定中标候选人的规定</w:t>
            </w:r>
          </w:p>
        </w:tc>
        <w:tc>
          <w:tcPr>
            <w:tcW w:w="6700" w:type="dxa"/>
            <w:vAlign w:val="center"/>
          </w:tcPr>
          <w:p w14:paraId="1B566793">
            <w:pPr>
              <w:pStyle w:val="224"/>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kern w:val="0"/>
                <w:sz w:val="24"/>
                <w:szCs w:val="24"/>
                <w:highlight w:val="none"/>
                <w:lang w:val="en-US" w:eastAsia="zh-CN" w:bidi="ar"/>
              </w:rPr>
              <w:t>综合评分法的采购项目，提供相同品牌产品且通过资格审查、符合性审查的不同投标人参加同一合同项下投标的，按一家投标人计算，评审后得分相同的，按照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cs="宋体"/>
                <w:color w:val="auto"/>
                <w:kern w:val="0"/>
                <w:sz w:val="24"/>
                <w:szCs w:val="24"/>
                <w:highlight w:val="none"/>
                <w:u w:val="single"/>
                <w:lang w:val="en-US" w:eastAsia="zh-CN" w:bidi="ar"/>
              </w:rPr>
              <w:t>报价最低</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方式确定一个投标人获得中标人推荐资格，其他同品牌投标人不作为中标候选人。</w:t>
            </w:r>
          </w:p>
          <w:p w14:paraId="0F6B6850">
            <w:pPr>
              <w:pStyle w:val="224"/>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kern w:val="0"/>
                <w:sz w:val="24"/>
                <w:szCs w:val="24"/>
                <w:highlight w:val="none"/>
                <w:lang w:val="en-US" w:eastAsia="zh-CN" w:bidi="ar"/>
              </w:rPr>
              <w:t>最低评标价法的采购项目，提供相同品牌产品的不同投标人参加同一合同项下投标的，以其中通过资格审查、符合性审查且报价最低的参加评标；报价相同的，按照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方式确定一个参加评标的投标人，其他投标无效。</w:t>
            </w:r>
          </w:p>
        </w:tc>
      </w:tr>
      <w:tr w14:paraId="35A01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41" w:hRule="atLeast"/>
        </w:trPr>
        <w:tc>
          <w:tcPr>
            <w:tcW w:w="970" w:type="dxa"/>
            <w:vAlign w:val="center"/>
          </w:tcPr>
          <w:p w14:paraId="1D722A96">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16</w:t>
            </w:r>
          </w:p>
        </w:tc>
        <w:tc>
          <w:tcPr>
            <w:tcW w:w="1738" w:type="dxa"/>
            <w:vAlign w:val="center"/>
          </w:tcPr>
          <w:p w14:paraId="0A6B190B">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700" w:type="dxa"/>
            <w:vAlign w:val="center"/>
          </w:tcPr>
          <w:p w14:paraId="52B73BFF">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2D4AA05F">
            <w:pPr>
              <w:pStyle w:val="224"/>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85FFD88">
            <w:pPr>
              <w:pStyle w:val="224"/>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合同价的   %</w:t>
            </w:r>
          </w:p>
          <w:p w14:paraId="7DCA35D2">
            <w:pPr>
              <w:pStyle w:val="2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              元</w:t>
            </w:r>
          </w:p>
          <w:p w14:paraId="78911AAD">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12B7F8B1">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20AB6ECE">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 xml:space="preserve">收取单位：                            </w:t>
            </w:r>
          </w:p>
          <w:p w14:paraId="4D83FA75">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ascii="宋体" w:hAnsi="宋体" w:eastAsia="宋体" w:cs="宋体"/>
                <w:color w:val="auto"/>
                <w:sz w:val="24"/>
                <w:szCs w:val="24"/>
                <w:highlight w:val="none"/>
              </w:rPr>
              <w:t xml:space="preserve">              </w:t>
            </w:r>
          </w:p>
          <w:p w14:paraId="2CF8CC08">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 xml:space="preserve">退还时间：              </w:t>
            </w:r>
          </w:p>
          <w:p w14:paraId="5BA146AB">
            <w:pPr>
              <w:pStyle w:val="22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43FE4EC8">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191E3959">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3" w:hRule="atLeast"/>
        </w:trPr>
        <w:tc>
          <w:tcPr>
            <w:tcW w:w="970" w:type="dxa"/>
            <w:vAlign w:val="center"/>
          </w:tcPr>
          <w:p w14:paraId="600814BC">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17</w:t>
            </w:r>
          </w:p>
        </w:tc>
        <w:tc>
          <w:tcPr>
            <w:tcW w:w="1738" w:type="dxa"/>
            <w:vAlign w:val="center"/>
          </w:tcPr>
          <w:p w14:paraId="74D19386">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4344EC45">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224"/>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224"/>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1.可以分包履行的具体内容：_____； </w:t>
            </w:r>
          </w:p>
          <w:p w14:paraId="71BE067E">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2.允许分包的金额或者比例：_____； </w:t>
            </w:r>
          </w:p>
          <w:p w14:paraId="2F04DF99">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3.其他要求：_____。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BFFADC2">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18</w:t>
            </w:r>
          </w:p>
        </w:tc>
        <w:tc>
          <w:tcPr>
            <w:tcW w:w="1738" w:type="dxa"/>
            <w:vAlign w:val="center"/>
          </w:tcPr>
          <w:p w14:paraId="6B25F509">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700" w:type="dxa"/>
            <w:vAlign w:val="center"/>
          </w:tcPr>
          <w:p w14:paraId="19F26822">
            <w:pPr>
              <w:pStyle w:val="2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递交方式：</w:t>
            </w:r>
            <w:r>
              <w:rPr>
                <w:rFonts w:hint="eastAsia" w:ascii="宋体" w:hAnsi="宋体" w:eastAsia="宋体" w:cs="宋体"/>
                <w:color w:val="auto"/>
                <w:sz w:val="24"/>
                <w:szCs w:val="24"/>
                <w:highlight w:val="none"/>
                <w:u w:val="single"/>
                <w:lang w:val="zh-CN" w:eastAsia="zh-CN"/>
              </w:rPr>
              <w:t>书面形式，原件直接送达并发送原件纸质版扫描件PDF至</w:t>
            </w:r>
            <w:r>
              <w:rPr>
                <w:rFonts w:hint="eastAsia" w:ascii="宋体" w:hAnsi="宋体" w:eastAsia="宋体" w:cs="宋体"/>
                <w:color w:val="auto"/>
                <w:sz w:val="24"/>
                <w:szCs w:val="24"/>
                <w:highlight w:val="none"/>
                <w:u w:val="single"/>
                <w:lang w:val="en-US" w:eastAsia="zh-CN"/>
              </w:rPr>
              <w:t>2963757709</w:t>
            </w:r>
            <w:r>
              <w:rPr>
                <w:rFonts w:hint="eastAsia" w:ascii="宋体" w:hAnsi="宋体" w:eastAsia="宋体" w:cs="宋体"/>
                <w:color w:val="auto"/>
                <w:sz w:val="24"/>
                <w:szCs w:val="24"/>
                <w:highlight w:val="none"/>
                <w:u w:val="single"/>
                <w:lang w:val="zh-CN" w:eastAsia="zh-CN"/>
              </w:rPr>
              <w:t>@qq.com（须随PDF版一并发送可编辑的WORD文档一份，如WORD文档内容与盖章的纸质版扫描件PDF内容不一致的，以盖章的纸质版原价内容为准）。</w:t>
            </w:r>
            <w:r>
              <w:rPr>
                <w:rFonts w:hint="eastAsia" w:ascii="宋体" w:hAnsi="宋体" w:eastAsia="宋体" w:cs="宋体"/>
                <w:color w:val="auto"/>
                <w:kern w:val="2"/>
                <w:sz w:val="24"/>
                <w:szCs w:val="24"/>
                <w:highlight w:val="none"/>
                <w:lang w:val="zh-CN" w:eastAsia="zh-CN" w:bidi="ar-SA"/>
              </w:rPr>
              <w:t xml:space="preserve">              </w:t>
            </w:r>
          </w:p>
          <w:p w14:paraId="33CC548F">
            <w:pPr>
              <w:pStyle w:val="2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接收部门：</w:t>
            </w:r>
            <w:r>
              <w:rPr>
                <w:rFonts w:hint="eastAsia" w:ascii="宋体" w:hAnsi="宋体" w:cs="宋体"/>
                <w:color w:val="auto"/>
                <w:sz w:val="24"/>
                <w:szCs w:val="24"/>
                <w:highlight w:val="none"/>
                <w:u w:val="single"/>
                <w:lang w:val="en-US" w:eastAsia="zh-CN"/>
              </w:rPr>
              <w:t>新疆新建联项目管理咨询有限公司</w:t>
            </w:r>
            <w:r>
              <w:rPr>
                <w:rFonts w:hint="eastAsia" w:ascii="宋体" w:hAnsi="宋体" w:eastAsia="宋体" w:cs="宋体"/>
                <w:color w:val="auto"/>
                <w:kern w:val="2"/>
                <w:sz w:val="24"/>
                <w:szCs w:val="24"/>
                <w:highlight w:val="none"/>
                <w:lang w:val="zh-CN" w:eastAsia="zh-CN" w:bidi="ar-SA"/>
              </w:rPr>
              <w:t xml:space="preserve">              </w:t>
            </w:r>
          </w:p>
          <w:p w14:paraId="4E9BBFA0">
            <w:pPr>
              <w:pStyle w:val="2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联系电话：</w:t>
            </w:r>
            <w:r>
              <w:rPr>
                <w:rFonts w:hint="eastAsia" w:ascii="宋体" w:hAnsi="宋体" w:cs="宋体"/>
                <w:color w:val="auto"/>
                <w:sz w:val="24"/>
                <w:szCs w:val="24"/>
                <w:highlight w:val="none"/>
                <w:u w:val="single"/>
                <w:lang w:val="en-US" w:eastAsia="zh-CN"/>
              </w:rPr>
              <w:t>13999102070</w:t>
            </w:r>
            <w:r>
              <w:rPr>
                <w:rFonts w:hint="eastAsia" w:ascii="宋体" w:hAnsi="宋体" w:eastAsia="宋体" w:cs="宋体"/>
                <w:color w:val="auto"/>
                <w:kern w:val="2"/>
                <w:sz w:val="24"/>
                <w:szCs w:val="24"/>
                <w:highlight w:val="none"/>
                <w:lang w:val="zh-CN" w:eastAsia="zh-CN" w:bidi="ar-SA"/>
              </w:rPr>
              <w:t xml:space="preserve">              </w:t>
            </w:r>
          </w:p>
          <w:p w14:paraId="30211831">
            <w:pPr>
              <w:pStyle w:val="2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通讯地址：</w:t>
            </w:r>
            <w:r>
              <w:rPr>
                <w:rFonts w:hint="eastAsia" w:ascii="宋体" w:hAnsi="宋体" w:cs="宋体"/>
                <w:color w:val="auto"/>
                <w:sz w:val="24"/>
                <w:szCs w:val="24"/>
                <w:highlight w:val="none"/>
                <w:u w:val="single"/>
                <w:lang w:val="zh-CN" w:eastAsia="zh-CN"/>
              </w:rPr>
              <w:t>新疆乌鲁木齐市水磨沟区龙胜街898号万科中央公园S2栋商业综合楼1503室</w:t>
            </w:r>
            <w:r>
              <w:rPr>
                <w:rFonts w:hint="eastAsia" w:ascii="宋体" w:hAnsi="宋体" w:eastAsia="宋体" w:cs="宋体"/>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4" w:hRule="atLeast"/>
        </w:trPr>
        <w:tc>
          <w:tcPr>
            <w:tcW w:w="970" w:type="dxa"/>
            <w:vAlign w:val="center"/>
          </w:tcPr>
          <w:p w14:paraId="422A3CDD">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19</w:t>
            </w:r>
          </w:p>
        </w:tc>
        <w:tc>
          <w:tcPr>
            <w:tcW w:w="1738" w:type="dxa"/>
            <w:vAlign w:val="center"/>
          </w:tcPr>
          <w:p w14:paraId="1782DE51">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700" w:type="dxa"/>
            <w:vAlign w:val="center"/>
          </w:tcPr>
          <w:p w14:paraId="572A09AD">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收</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val="en-US" w:eastAsia="zh-CN"/>
              </w:rPr>
              <w:t>对象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采购人支付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中标人支付 </w:t>
            </w:r>
          </w:p>
          <w:p w14:paraId="721F6699">
            <w:pPr>
              <w:pStyle w:val="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收费</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u w:val="single"/>
              </w:rPr>
              <w:t>参考《招标代理服务收费管理暂行办法》（计价</w:t>
            </w:r>
          </w:p>
          <w:p w14:paraId="49FEA7CF">
            <w:pPr>
              <w:pStyle w:val="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格〔2002〕1980 号）及《国家发展改革委办公厅关于招标代理</w:t>
            </w:r>
          </w:p>
          <w:p w14:paraId="596F0F57">
            <w:pPr>
              <w:pStyle w:val="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服务收费有关问题的通知》（发改办价格〔2003〕857 号）下</w:t>
            </w:r>
          </w:p>
          <w:p w14:paraId="75684927">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浮</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0%收取，代理服务费由中标人支付。</w:t>
            </w:r>
          </w:p>
          <w:p w14:paraId="1368AF2C">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领取中标通知书时交纳。</w:t>
            </w:r>
          </w:p>
          <w:p w14:paraId="76384588">
            <w:pPr>
              <w:pStyle w:val="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u w:val="single"/>
              </w:rPr>
              <w:t>转账、电汇等形式</w:t>
            </w:r>
          </w:p>
          <w:p w14:paraId="76242C28">
            <w:pPr>
              <w:pStyle w:val="224"/>
              <w:rPr>
                <w:rFonts w:hint="eastAsia" w:ascii="宋体" w:hAnsi="宋体" w:eastAsia="宋体" w:cs="宋体"/>
                <w:color w:val="auto"/>
                <w:sz w:val="24"/>
                <w:szCs w:val="24"/>
                <w:highlight w:val="none"/>
                <w:u w:val="single"/>
              </w:rPr>
            </w:pPr>
            <w:r>
              <w:rPr>
                <w:rFonts w:hint="eastAsia" w:ascii="宋体" w:hAnsi="宋体"/>
                <w:color w:val="auto"/>
                <w:sz w:val="24"/>
                <w:szCs w:val="24"/>
                <w:highlight w:val="none"/>
              </w:rPr>
              <w:t>账户名称：新疆新建联项目管理咨询有限公司乌鲁木齐分公司</w:t>
            </w:r>
            <w:r>
              <w:rPr>
                <w:rFonts w:hint="eastAsia" w:ascii="宋体" w:hAnsi="宋体"/>
                <w:color w:val="auto"/>
                <w:sz w:val="24"/>
                <w:szCs w:val="24"/>
                <w:highlight w:val="none"/>
              </w:rPr>
              <w:br w:type="textWrapping"/>
            </w:r>
            <w:r>
              <w:rPr>
                <w:rFonts w:hint="eastAsia" w:ascii="宋体" w:hAnsi="宋体"/>
                <w:color w:val="auto"/>
                <w:sz w:val="24"/>
                <w:szCs w:val="24"/>
                <w:highlight w:val="none"/>
              </w:rPr>
              <w:t>税号：91650105MAE5GR7A4K</w:t>
            </w:r>
            <w:r>
              <w:rPr>
                <w:rFonts w:hint="eastAsia" w:ascii="宋体" w:hAnsi="宋体"/>
                <w:color w:val="auto"/>
                <w:sz w:val="24"/>
                <w:szCs w:val="24"/>
                <w:highlight w:val="none"/>
              </w:rPr>
              <w:br w:type="textWrapping"/>
            </w:r>
            <w:r>
              <w:rPr>
                <w:rFonts w:hint="eastAsia" w:ascii="宋体" w:hAnsi="宋体"/>
                <w:color w:val="auto"/>
                <w:sz w:val="24"/>
                <w:szCs w:val="24"/>
                <w:highlight w:val="none"/>
              </w:rPr>
              <w:t>开户银行名称：新疆银行股份有限公司乌鲁木齐光明路支行</w:t>
            </w:r>
            <w:r>
              <w:rPr>
                <w:rFonts w:hint="eastAsia" w:ascii="宋体" w:hAnsi="宋体"/>
                <w:color w:val="auto"/>
                <w:sz w:val="24"/>
                <w:szCs w:val="24"/>
                <w:highlight w:val="none"/>
              </w:rPr>
              <w:br w:type="textWrapping"/>
            </w:r>
            <w:r>
              <w:rPr>
                <w:rFonts w:hint="eastAsia" w:ascii="宋体" w:hAnsi="宋体"/>
                <w:color w:val="auto"/>
                <w:sz w:val="24"/>
                <w:szCs w:val="24"/>
                <w:highlight w:val="none"/>
              </w:rPr>
              <w:t>账号：0801240000017950</w:t>
            </w:r>
            <w:r>
              <w:rPr>
                <w:rFonts w:hint="eastAsia" w:ascii="宋体" w:hAnsi="宋体"/>
                <w:color w:val="auto"/>
                <w:sz w:val="24"/>
                <w:szCs w:val="24"/>
                <w:highlight w:val="none"/>
              </w:rPr>
              <w:br w:type="textWrapping"/>
            </w:r>
            <w:r>
              <w:rPr>
                <w:rFonts w:hint="eastAsia" w:ascii="宋体" w:hAnsi="宋体"/>
                <w:color w:val="auto"/>
                <w:sz w:val="24"/>
                <w:szCs w:val="24"/>
                <w:highlight w:val="none"/>
              </w:rPr>
              <w:t>开户银行地址：乌鲁木齐市天山区光明路199号；</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42" w:hRule="atLeast"/>
        </w:trPr>
        <w:tc>
          <w:tcPr>
            <w:tcW w:w="970" w:type="dxa"/>
            <w:vAlign w:val="center"/>
          </w:tcPr>
          <w:p w14:paraId="6F1BF374">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20</w:t>
            </w:r>
          </w:p>
        </w:tc>
        <w:tc>
          <w:tcPr>
            <w:tcW w:w="1738" w:type="dxa"/>
            <w:vAlign w:val="center"/>
          </w:tcPr>
          <w:p w14:paraId="5D860FC6">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438B47DA">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829" w:hRule="atLeast"/>
        </w:trPr>
        <w:tc>
          <w:tcPr>
            <w:tcW w:w="970" w:type="dxa"/>
            <w:vAlign w:val="center"/>
          </w:tcPr>
          <w:p w14:paraId="06648806">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21</w:t>
            </w:r>
          </w:p>
        </w:tc>
        <w:tc>
          <w:tcPr>
            <w:tcW w:w="1738" w:type="dxa"/>
            <w:vAlign w:val="center"/>
          </w:tcPr>
          <w:p w14:paraId="34AA4482">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43"/>
                <w:rFonts w:hint="eastAsia" w:ascii="宋体" w:hAnsi="宋体" w:eastAsia="宋体" w:cs="宋体"/>
                <w:b w:val="0"/>
                <w:color w:val="auto"/>
                <w:sz w:val="24"/>
                <w:szCs w:val="24"/>
                <w:highlight w:val="none"/>
                <w:lang w:val="en-US" w:eastAsia="zh-CN"/>
              </w:rPr>
              <w:t>（非专门面向中小企业采购项目适用）</w:t>
            </w:r>
          </w:p>
        </w:tc>
        <w:tc>
          <w:tcPr>
            <w:tcW w:w="6700" w:type="dxa"/>
            <w:vAlign w:val="center"/>
          </w:tcPr>
          <w:p w14:paraId="736B9D94">
            <w:pPr>
              <w:pStyle w:val="21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A14D5AD">
            <w:pPr>
              <w:pStyle w:val="21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CF7AA8F">
            <w:pPr>
              <w:pStyle w:val="21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29022C4">
            <w:pPr>
              <w:pStyle w:val="21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B996B16">
            <w:pPr>
              <w:pStyle w:val="217"/>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i w:val="0"/>
                <w:iCs/>
                <w:color w:val="auto"/>
                <w:sz w:val="24"/>
                <w:szCs w:val="24"/>
                <w:highlight w:val="none"/>
              </w:rPr>
              <w:t>（允许大中型企业向小微企业分包的项目适用）</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513" w:hRule="atLeast"/>
        </w:trPr>
        <w:tc>
          <w:tcPr>
            <w:tcW w:w="970" w:type="dxa"/>
            <w:vAlign w:val="center"/>
          </w:tcPr>
          <w:p w14:paraId="3AAFC5B3">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22</w:t>
            </w:r>
          </w:p>
        </w:tc>
        <w:tc>
          <w:tcPr>
            <w:tcW w:w="1738" w:type="dxa"/>
            <w:vAlign w:val="center"/>
          </w:tcPr>
          <w:p w14:paraId="59931474">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224"/>
              <w:rPr>
                <w:rFonts w:hint="eastAsia" w:ascii="宋体" w:hAnsi="宋体" w:eastAsia="宋体" w:cs="宋体"/>
                <w:color w:val="auto"/>
                <w:sz w:val="24"/>
                <w:szCs w:val="24"/>
                <w:highlight w:val="none"/>
                <w:lang w:val="en-US" w:eastAsia="zh-CN"/>
              </w:rPr>
            </w:pPr>
            <w:r>
              <w:rPr>
                <w:rStyle w:val="43"/>
                <w:rFonts w:hint="eastAsia" w:ascii="宋体" w:hAnsi="宋体" w:eastAsia="宋体" w:cs="宋体"/>
                <w:b w:val="0"/>
                <w:color w:val="auto"/>
                <w:sz w:val="24"/>
                <w:szCs w:val="24"/>
                <w:highlight w:val="none"/>
                <w:lang w:val="en-US" w:eastAsia="zh-CN"/>
              </w:rPr>
              <w:t>参照后附</w:t>
            </w:r>
            <w:r>
              <w:rPr>
                <w:rStyle w:val="43"/>
                <w:rFonts w:hint="eastAsia" w:ascii="宋体" w:hAnsi="宋体" w:eastAsia="宋体" w:cs="宋体"/>
                <w:b w:val="0"/>
                <w:color w:val="auto"/>
                <w:sz w:val="24"/>
                <w:szCs w:val="24"/>
                <w:highlight w:val="none"/>
                <w:lang w:eastAsia="zh-CN"/>
              </w:rPr>
              <w:t>《</w:t>
            </w:r>
            <w:r>
              <w:rPr>
                <w:rStyle w:val="43"/>
                <w:rFonts w:hint="eastAsia" w:ascii="宋体" w:hAnsi="宋体" w:eastAsia="宋体" w:cs="宋体"/>
                <w:b w:val="0"/>
                <w:color w:val="auto"/>
                <w:sz w:val="24"/>
                <w:szCs w:val="24"/>
                <w:highlight w:val="none"/>
              </w:rPr>
              <w:t>工信部联企业〔2011〕300号</w:t>
            </w:r>
            <w:r>
              <w:rPr>
                <w:rStyle w:val="43"/>
                <w:rFonts w:hint="eastAsia" w:ascii="宋体" w:hAnsi="宋体" w:eastAsia="宋体" w:cs="宋体"/>
                <w:b w:val="0"/>
                <w:color w:val="auto"/>
                <w:sz w:val="24"/>
                <w:szCs w:val="24"/>
                <w:highlight w:val="none"/>
                <w:lang w:eastAsia="zh-CN"/>
              </w:rPr>
              <w:t>》</w:t>
            </w:r>
          </w:p>
        </w:tc>
        <w:tc>
          <w:tcPr>
            <w:tcW w:w="6700" w:type="dxa"/>
            <w:vAlign w:val="center"/>
          </w:tcPr>
          <w:p w14:paraId="6804F69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p>
          <w:tbl>
            <w:tblPr>
              <w:tblStyle w:val="41"/>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4"/>
              <w:gridCol w:w="3245"/>
            </w:tblGrid>
            <w:tr w14:paraId="1CA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059451F">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包号</w:t>
                  </w:r>
                </w:p>
              </w:tc>
              <w:tc>
                <w:tcPr>
                  <w:tcW w:w="1824" w:type="dxa"/>
                  <w:vAlign w:val="center"/>
                </w:tcPr>
                <w:p w14:paraId="334359A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标的名称</w:t>
                  </w:r>
                </w:p>
              </w:tc>
              <w:tc>
                <w:tcPr>
                  <w:tcW w:w="3245" w:type="dxa"/>
                  <w:vAlign w:val="center"/>
                </w:tcPr>
                <w:p w14:paraId="6E9115BA">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中小企业划分标准所属行业</w:t>
                  </w:r>
                </w:p>
              </w:tc>
            </w:tr>
            <w:tr w14:paraId="1239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87" w:type="dxa"/>
                  <w:vAlign w:val="center"/>
                </w:tcPr>
                <w:p w14:paraId="0F8AAE7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第</w:t>
                  </w:r>
                  <w:r>
                    <w:rPr>
                      <w:rFonts w:hint="eastAsia" w:cs="宋体"/>
                      <w:color w:val="auto"/>
                      <w:kern w:val="0"/>
                      <w:sz w:val="24"/>
                      <w:szCs w:val="24"/>
                      <w:highlight w:val="none"/>
                      <w:vertAlign w:val="baseline"/>
                      <w:lang w:val="en-US" w:eastAsia="zh-CN" w:bidi="ar"/>
                    </w:rPr>
                    <w:t>1</w:t>
                  </w:r>
                  <w:r>
                    <w:rPr>
                      <w:rFonts w:hint="eastAsia" w:ascii="宋体" w:hAnsi="宋体" w:eastAsia="宋体" w:cs="宋体"/>
                      <w:color w:val="auto"/>
                      <w:kern w:val="0"/>
                      <w:sz w:val="24"/>
                      <w:szCs w:val="24"/>
                      <w:highlight w:val="none"/>
                      <w:vertAlign w:val="baseline"/>
                      <w:lang w:val="en-US" w:eastAsia="zh-CN" w:bidi="ar"/>
                    </w:rPr>
                    <w:t>包</w:t>
                  </w:r>
                </w:p>
              </w:tc>
              <w:tc>
                <w:tcPr>
                  <w:tcW w:w="1824" w:type="dxa"/>
                  <w:vAlign w:val="center"/>
                </w:tcPr>
                <w:p w14:paraId="1C0A0773">
                  <w:pPr>
                    <w:keepNext w:val="0"/>
                    <w:keepLines w:val="0"/>
                    <w:widowControl/>
                    <w:suppressLineNumbers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详见第五章货物需求</w:t>
                  </w:r>
                </w:p>
              </w:tc>
              <w:tc>
                <w:tcPr>
                  <w:tcW w:w="3245" w:type="dxa"/>
                  <w:vAlign w:val="center"/>
                </w:tcPr>
                <w:p w14:paraId="22AB6EE5">
                  <w:pPr>
                    <w:keepNext w:val="0"/>
                    <w:keepLines w:val="0"/>
                    <w:widowControl/>
                    <w:suppressLineNumbers w:val="0"/>
                    <w:jc w:val="center"/>
                    <w:rPr>
                      <w:rFonts w:hint="default" w:ascii="宋体" w:hAnsi="宋体" w:eastAsia="宋体" w:cs="宋体"/>
                      <w:color w:val="auto"/>
                      <w:kern w:val="0"/>
                      <w:sz w:val="24"/>
                      <w:szCs w:val="24"/>
                      <w:highlight w:val="none"/>
                      <w:vertAlign w:val="baseline"/>
                      <w:lang w:val="en-US" w:eastAsia="zh-CN" w:bidi="ar"/>
                    </w:rPr>
                  </w:pPr>
                  <w:r>
                    <w:rPr>
                      <w:rFonts w:hint="default" w:ascii="宋体" w:hAnsi="宋体" w:eastAsia="宋体" w:cs="宋体"/>
                      <w:color w:val="auto"/>
                      <w:kern w:val="0"/>
                      <w:sz w:val="24"/>
                      <w:szCs w:val="24"/>
                      <w:highlight w:val="none"/>
                      <w:vertAlign w:val="baseline"/>
                      <w:lang w:val="en-US" w:eastAsia="zh-CN" w:bidi="ar"/>
                    </w:rPr>
                    <w:t>软件和信息技术服务业</w:t>
                  </w:r>
                </w:p>
              </w:tc>
            </w:tr>
          </w:tbl>
          <w:p w14:paraId="5AB06B2F">
            <w:pPr>
              <w:pStyle w:val="224"/>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注：按采购需求清单采购标的逐项列举。</w:t>
            </w:r>
          </w:p>
        </w:tc>
      </w:tr>
      <w:tr w14:paraId="2BD011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25" w:hRule="atLeast"/>
        </w:trPr>
        <w:tc>
          <w:tcPr>
            <w:tcW w:w="970" w:type="dxa"/>
            <w:shd w:val="clear" w:color="auto" w:fill="auto"/>
            <w:vAlign w:val="center"/>
          </w:tcPr>
          <w:p w14:paraId="18792692">
            <w:pPr>
              <w:pStyle w:val="224"/>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23</w:t>
            </w:r>
          </w:p>
        </w:tc>
        <w:tc>
          <w:tcPr>
            <w:tcW w:w="1738" w:type="dxa"/>
            <w:shd w:val="clear" w:color="auto" w:fill="auto"/>
            <w:vAlign w:val="center"/>
          </w:tcPr>
          <w:p w14:paraId="69CF29E9">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优先采购创新节能环保产品</w:t>
            </w:r>
          </w:p>
        </w:tc>
        <w:tc>
          <w:tcPr>
            <w:tcW w:w="6700" w:type="dxa"/>
            <w:shd w:val="clear" w:color="auto" w:fill="auto"/>
            <w:vAlign w:val="center"/>
          </w:tcPr>
          <w:p w14:paraId="0F1CFFAB">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所投产品纳入创新产品应用示范推荐目录内企业、所投产品获得节能产品或环境标志产品认证证书的企业报价给予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p>
          <w:p w14:paraId="0BD977A1">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按国家有关节能产品、环境标志产品政策执行：</w:t>
            </w:r>
          </w:p>
          <w:p w14:paraId="00FDFD7F">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（1）政府优先采购列入《节能产品政府采购清单》中的产品以及《环境标志产品政府采购清单》中的产品，对于同时列入环保清单和“节能产品政府采购清单”的产品，优先于只获得节能产品认证的产品。</w:t>
            </w:r>
          </w:p>
          <w:p w14:paraId="17FC6BEA">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（2）未列入节能清单的产品不属于政府优先采购和强制采购的范围。</w:t>
            </w:r>
          </w:p>
          <w:p w14:paraId="5DD0E475">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（3）未列入环保清单的产品不属于政府优先采购的环境标志产品范围。</w:t>
            </w:r>
          </w:p>
          <w:p w14:paraId="13E07D70">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产品型号必须在《节能产品政府采购清单》《环保产品政府采购清单》中。且供应商应提供所投产品清单所在页（从发布以上清单目录的权威媒体网站上下载的网页公告、目录清单、证书等）并加盖单位公章作为响应文件的一部分一并提交</w:t>
            </w:r>
            <w:r>
              <w:rPr>
                <w:rFonts w:hint="eastAsia" w:ascii="宋体" w:hAnsi="宋体" w:eastAsia="宋体" w:cs="宋体"/>
                <w:color w:val="auto"/>
                <w:sz w:val="24"/>
                <w:szCs w:val="24"/>
                <w:highlight w:val="none"/>
                <w:lang w:val="en-US" w:eastAsia="zh-CN"/>
              </w:rPr>
              <w:t>。</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9" w:hRule="atLeast"/>
        </w:trPr>
        <w:tc>
          <w:tcPr>
            <w:tcW w:w="970" w:type="dxa"/>
            <w:tcBorders>
              <w:right w:val="single" w:color="auto" w:sz="4" w:space="0"/>
            </w:tcBorders>
            <w:vAlign w:val="center"/>
          </w:tcPr>
          <w:p w14:paraId="59449E7E">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24</w:t>
            </w:r>
          </w:p>
        </w:tc>
        <w:tc>
          <w:tcPr>
            <w:tcW w:w="1738" w:type="dxa"/>
            <w:tcBorders>
              <w:right w:val="single" w:color="auto" w:sz="4" w:space="0"/>
            </w:tcBorders>
            <w:vAlign w:val="center"/>
          </w:tcPr>
          <w:p w14:paraId="7068A1E1">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vAlign w:val="center"/>
          </w:tcPr>
          <w:p w14:paraId="090ABA4B">
            <w:pPr>
              <w:spacing w:line="360" w:lineRule="auto"/>
              <w:rPr>
                <w:rFonts w:hint="eastAsia" w:ascii="宋体" w:hAnsi="宋体" w:cs="宋体"/>
                <w:b w:val="0"/>
                <w:bCs w:val="0"/>
                <w:color w:val="auto"/>
                <w:sz w:val="24"/>
              </w:rPr>
            </w:pPr>
            <w:r>
              <w:rPr>
                <w:rFonts w:hint="eastAsia" w:cs="宋体"/>
                <w:b/>
                <w:bCs/>
                <w:color w:val="auto"/>
                <w:sz w:val="24"/>
                <w:lang w:val="en-US" w:eastAsia="zh-CN"/>
              </w:rPr>
              <w:t>1、</w:t>
            </w:r>
            <w:r>
              <w:rPr>
                <w:rFonts w:hint="eastAsia" w:ascii="宋体" w:hAnsi="宋体" w:cs="宋体"/>
                <w:b/>
                <w:bCs/>
                <w:color w:val="auto"/>
                <w:sz w:val="24"/>
              </w:rPr>
              <w:t>质量要求/质保期：</w:t>
            </w:r>
            <w:r>
              <w:rPr>
                <w:rFonts w:hint="eastAsia" w:ascii="宋体" w:hAnsi="宋体" w:cs="宋体"/>
                <w:b w:val="0"/>
                <w:bCs w:val="0"/>
                <w:color w:val="auto"/>
                <w:sz w:val="24"/>
              </w:rPr>
              <w:t>自验收通过之日起，中标供应商提供所投产品和服务原厂商3年免费质保。</w:t>
            </w:r>
          </w:p>
          <w:p w14:paraId="0AA36BAC">
            <w:pPr>
              <w:spacing w:line="360" w:lineRule="auto"/>
              <w:rPr>
                <w:rFonts w:hint="eastAsia"/>
                <w:b w:val="0"/>
                <w:bCs w:val="0"/>
                <w:color w:val="auto"/>
              </w:rPr>
            </w:pPr>
            <w:r>
              <w:rPr>
                <w:rFonts w:hint="eastAsia" w:cs="宋体"/>
                <w:b/>
                <w:bCs/>
                <w:color w:val="auto"/>
                <w:sz w:val="24"/>
                <w:lang w:val="en-US" w:eastAsia="zh-CN"/>
              </w:rPr>
              <w:t>2、</w:t>
            </w:r>
            <w:r>
              <w:rPr>
                <w:rFonts w:hint="eastAsia" w:ascii="宋体" w:hAnsi="宋体" w:cs="宋体"/>
                <w:b/>
                <w:bCs/>
                <w:color w:val="auto"/>
                <w:sz w:val="24"/>
              </w:rPr>
              <w:t>服务要求或标准：</w:t>
            </w:r>
            <w:r>
              <w:rPr>
                <w:rFonts w:hint="eastAsia" w:ascii="宋体" w:hAnsi="宋体" w:cs="宋体"/>
                <w:b w:val="0"/>
                <w:bCs w:val="0"/>
                <w:color w:val="auto"/>
                <w:sz w:val="24"/>
              </w:rPr>
              <w:t>免费维护期内的7天*24小时的售后服务，在接到用户故障报告后响应时间不超过2小时。</w:t>
            </w:r>
          </w:p>
          <w:p w14:paraId="36A28857">
            <w:pPr>
              <w:spacing w:line="360" w:lineRule="auto"/>
              <w:rPr>
                <w:rFonts w:hint="eastAsia" w:ascii="宋体" w:hAnsi="宋体" w:cs="宋体"/>
                <w:b w:val="0"/>
                <w:bCs w:val="0"/>
                <w:color w:val="auto"/>
                <w:sz w:val="24"/>
              </w:rPr>
            </w:pPr>
            <w:r>
              <w:rPr>
                <w:rFonts w:hint="eastAsia" w:cs="宋体"/>
                <w:b/>
                <w:bCs/>
                <w:color w:val="auto"/>
                <w:sz w:val="24"/>
                <w:lang w:val="en-US" w:eastAsia="zh-CN"/>
              </w:rPr>
              <w:t>3、</w:t>
            </w:r>
            <w:r>
              <w:rPr>
                <w:rFonts w:hint="eastAsia" w:ascii="宋体" w:hAnsi="宋体" w:cs="宋体"/>
                <w:b/>
                <w:bCs/>
                <w:color w:val="auto"/>
                <w:sz w:val="24"/>
              </w:rPr>
              <w:t>合同工期/服务期限/供货期限：</w:t>
            </w:r>
            <w:r>
              <w:rPr>
                <w:rFonts w:hint="eastAsia" w:ascii="宋体" w:hAnsi="宋体" w:cs="宋体"/>
                <w:b w:val="0"/>
                <w:bCs w:val="0"/>
                <w:color w:val="auto"/>
                <w:sz w:val="24"/>
              </w:rPr>
              <w:t>自合同签订之日起</w:t>
            </w:r>
            <w:r>
              <w:rPr>
                <w:rFonts w:hint="eastAsia" w:ascii="宋体" w:hAnsi="宋体" w:cs="宋体"/>
                <w:b w:val="0"/>
                <w:bCs w:val="0"/>
                <w:color w:val="auto"/>
                <w:sz w:val="24"/>
                <w:u w:val="single"/>
              </w:rPr>
              <w:t>30</w:t>
            </w:r>
            <w:r>
              <w:rPr>
                <w:rFonts w:hint="eastAsia" w:ascii="宋体" w:hAnsi="宋体" w:cs="宋体"/>
                <w:b w:val="0"/>
                <w:bCs w:val="0"/>
                <w:color w:val="auto"/>
                <w:sz w:val="24"/>
              </w:rPr>
              <w:t>日历日内交货并完成安装调试。</w:t>
            </w:r>
          </w:p>
          <w:p w14:paraId="1B8F7157">
            <w:pPr>
              <w:spacing w:line="360" w:lineRule="auto"/>
              <w:rPr>
                <w:rFonts w:hint="eastAsia" w:ascii="宋体" w:hAnsi="宋体" w:cs="宋体"/>
                <w:b w:val="0"/>
                <w:bCs w:val="0"/>
                <w:color w:val="auto"/>
                <w:sz w:val="24"/>
              </w:rPr>
            </w:pPr>
            <w:r>
              <w:rPr>
                <w:rFonts w:hint="eastAsia" w:cs="宋体"/>
                <w:b/>
                <w:bCs/>
                <w:color w:val="auto"/>
                <w:sz w:val="24"/>
                <w:lang w:val="en-US" w:eastAsia="zh-CN"/>
              </w:rPr>
              <w:t>4、</w:t>
            </w:r>
            <w:r>
              <w:rPr>
                <w:rFonts w:hint="eastAsia" w:ascii="宋体" w:hAnsi="宋体" w:cs="宋体"/>
                <w:b/>
                <w:bCs/>
                <w:color w:val="auto"/>
                <w:sz w:val="24"/>
              </w:rPr>
              <w:t>安装地点：</w:t>
            </w:r>
            <w:r>
              <w:rPr>
                <w:rFonts w:hint="eastAsia" w:ascii="宋体" w:hAnsi="宋体" w:cs="宋体"/>
                <w:b w:val="0"/>
                <w:bCs w:val="0"/>
                <w:color w:val="auto"/>
                <w:sz w:val="24"/>
              </w:rPr>
              <w:t>采购人指定。</w:t>
            </w:r>
          </w:p>
          <w:p w14:paraId="36705D19">
            <w:pPr>
              <w:spacing w:line="360" w:lineRule="auto"/>
              <w:rPr>
                <w:rFonts w:hint="eastAsia" w:ascii="宋体" w:hAnsi="宋体" w:cs="宋体"/>
                <w:color w:val="auto"/>
                <w:sz w:val="24"/>
              </w:rPr>
            </w:pPr>
            <w:r>
              <w:rPr>
                <w:rFonts w:hint="eastAsia" w:cs="宋体"/>
                <w:b/>
                <w:bCs/>
                <w:color w:val="auto"/>
                <w:sz w:val="24"/>
                <w:lang w:val="en-US" w:eastAsia="zh-CN"/>
              </w:rPr>
              <w:t>5、</w:t>
            </w:r>
            <w:r>
              <w:rPr>
                <w:rFonts w:hint="eastAsia" w:ascii="宋体" w:hAnsi="宋体" w:cs="宋体"/>
                <w:b/>
                <w:bCs/>
                <w:color w:val="auto"/>
                <w:sz w:val="24"/>
              </w:rPr>
              <w:t>售后标准：</w:t>
            </w:r>
            <w:r>
              <w:rPr>
                <w:rFonts w:hint="eastAsia" w:ascii="宋体" w:hAnsi="宋体" w:cs="宋体"/>
                <w:b w:val="0"/>
                <w:bCs w:val="0"/>
                <w:color w:val="auto"/>
                <w:sz w:val="24"/>
              </w:rPr>
              <w:t>提供3年的免费运维服务；在免费运维期内，必须提供7*24小时热线支持，并提供紧急情况下1小时内到现场、一般情况下2小时内到现场的快速响应。特殊情况无法修复的，质保期内中标供应商应无条件更换新系统或采取使系统可正常运转的措施。</w:t>
            </w:r>
          </w:p>
          <w:p w14:paraId="42480A23">
            <w:pPr>
              <w:pStyle w:val="224"/>
              <w:numPr>
                <w:ilvl w:val="0"/>
                <w:numId w:val="0"/>
              </w:numPr>
              <w:rPr>
                <w:rFonts w:hint="eastAsia" w:ascii="宋体" w:hAnsi="宋体" w:eastAsia="宋体" w:cs="宋体"/>
                <w:i w:val="0"/>
                <w:iCs w:val="0"/>
                <w:color w:val="auto"/>
                <w:sz w:val="24"/>
                <w:szCs w:val="24"/>
                <w:highlight w:val="none"/>
              </w:rPr>
            </w:pPr>
            <w:r>
              <w:rPr>
                <w:rFonts w:hint="eastAsia" w:cs="宋体"/>
                <w:b/>
                <w:bCs/>
                <w:color w:val="auto"/>
                <w:sz w:val="24"/>
                <w:lang w:val="en-US" w:eastAsia="zh-CN"/>
              </w:rPr>
              <w:t>6、</w:t>
            </w:r>
            <w:r>
              <w:rPr>
                <w:rFonts w:hint="eastAsia" w:ascii="宋体" w:hAnsi="宋体" w:cs="宋体"/>
                <w:b/>
                <w:bCs/>
                <w:color w:val="auto"/>
                <w:sz w:val="24"/>
              </w:rPr>
              <w:t>付款方式：</w:t>
            </w:r>
            <w:r>
              <w:rPr>
                <w:rFonts w:hint="eastAsia" w:ascii="宋体" w:hAnsi="宋体" w:cs="宋体"/>
                <w:b w:val="0"/>
                <w:bCs w:val="0"/>
                <w:color w:val="auto"/>
                <w:sz w:val="24"/>
              </w:rPr>
              <w:t>合同签订后，供货方先向采购方开具符合采购方财务需要的等额增值税普通发票。甲方收到上述发票后，向供货方支付 50%合同额。系统和各类设施设备到货、</w:t>
            </w:r>
            <w:r>
              <w:rPr>
                <w:rFonts w:hint="eastAsia" w:cs="宋体"/>
                <w:b w:val="0"/>
                <w:bCs w:val="0"/>
                <w:color w:val="auto"/>
                <w:sz w:val="24"/>
                <w:lang w:val="en-US" w:eastAsia="zh-CN"/>
              </w:rPr>
              <w:t>安装</w:t>
            </w:r>
            <w:r>
              <w:rPr>
                <w:rFonts w:hint="eastAsia" w:ascii="宋体" w:hAnsi="宋体" w:cs="宋体"/>
                <w:b w:val="0"/>
                <w:bCs w:val="0"/>
                <w:color w:val="auto"/>
                <w:sz w:val="24"/>
              </w:rPr>
              <w:t>调试完毕并验收合格，经采购方确认能够正常使用且内容、质量无误之后，支付剩余合同金额50%。</w:t>
            </w:r>
          </w:p>
          <w:p w14:paraId="76DC7738">
            <w:pPr>
              <w:pStyle w:val="224"/>
              <w:numPr>
                <w:ilvl w:val="0"/>
                <w:numId w:val="0"/>
              </w:numP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7、</w:t>
            </w:r>
            <w:r>
              <w:rPr>
                <w:rFonts w:ascii="宋体" w:hAnsi="宋体" w:eastAsia="宋体" w:cs="宋体"/>
                <w:color w:val="auto"/>
                <w:sz w:val="24"/>
                <w:szCs w:val="24"/>
                <w:highlight w:val="none"/>
              </w:rPr>
              <w:t>（1）中标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供应商在领取中标通知书前需要将纸质版</w:t>
            </w:r>
            <w:r>
              <w:rPr>
                <w:rFonts w:hint="eastAsia" w:ascii="宋体" w:hAnsi="宋体" w:eastAsia="宋体" w:cs="宋体"/>
                <w:color w:val="auto"/>
                <w:sz w:val="24"/>
                <w:szCs w:val="24"/>
                <w:highlight w:val="none"/>
                <w:lang w:val="en-US" w:eastAsia="zh-CN"/>
              </w:rPr>
              <w:t>投标（响应）</w:t>
            </w:r>
            <w:r>
              <w:rPr>
                <w:rFonts w:ascii="宋体" w:hAnsi="宋体" w:eastAsia="宋体" w:cs="宋体"/>
                <w:color w:val="auto"/>
                <w:sz w:val="24"/>
                <w:szCs w:val="24"/>
                <w:highlight w:val="none"/>
              </w:rPr>
              <w:t>交至代理机构处存档（正本1份，副本2份，签章齐全，建议双面打印）。如方便可以采取当面递交的方式，也可采用邮寄的方式，邮寄地址联系代理机构。（2）中中标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供应商提供的</w:t>
            </w:r>
            <w:r>
              <w:rPr>
                <w:rFonts w:hint="eastAsia" w:ascii="宋体" w:hAnsi="宋体" w:eastAsia="宋体" w:cs="宋体"/>
                <w:color w:val="auto"/>
                <w:sz w:val="24"/>
                <w:szCs w:val="24"/>
                <w:highlight w:val="none"/>
                <w:lang w:val="en-US" w:eastAsia="zh-CN"/>
              </w:rPr>
              <w:t>投标（响应）</w:t>
            </w:r>
            <w:r>
              <w:rPr>
                <w:rFonts w:ascii="宋体" w:hAnsi="宋体" w:eastAsia="宋体" w:cs="宋体"/>
                <w:color w:val="auto"/>
                <w:sz w:val="24"/>
                <w:szCs w:val="24"/>
                <w:highlight w:val="none"/>
              </w:rPr>
              <w:t>应将大小不一的文件材料用折叠的办法整理成A4纸面大小，左、下侧分别对齐，采用胶装（文件材料包括供应商所递交的所有资料，如</w:t>
            </w:r>
            <w:r>
              <w:rPr>
                <w:rFonts w:hint="eastAsia" w:ascii="宋体" w:hAnsi="宋体" w:eastAsia="宋体" w:cs="宋体"/>
                <w:color w:val="auto"/>
                <w:sz w:val="24"/>
                <w:szCs w:val="24"/>
                <w:highlight w:val="none"/>
                <w:lang w:val="en-US" w:eastAsia="zh-CN"/>
              </w:rPr>
              <w:t>投标（响应）</w:t>
            </w:r>
            <w:r>
              <w:rPr>
                <w:rFonts w:ascii="宋体" w:hAnsi="宋体" w:eastAsia="宋体" w:cs="宋体"/>
                <w:color w:val="auto"/>
                <w:sz w:val="24"/>
                <w:szCs w:val="24"/>
                <w:highlight w:val="none"/>
              </w:rPr>
              <w:t>文件、图纸等），装订应 牢固、不易拆散和换页，不得采用活页装订。</w:t>
            </w:r>
          </w:p>
        </w:tc>
      </w:tr>
      <w:tr w14:paraId="03F3F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9" w:hRule="atLeast"/>
        </w:trPr>
        <w:tc>
          <w:tcPr>
            <w:tcW w:w="970" w:type="dxa"/>
            <w:tcBorders>
              <w:right w:val="single" w:color="auto" w:sz="4" w:space="0"/>
            </w:tcBorders>
            <w:vAlign w:val="center"/>
          </w:tcPr>
          <w:p w14:paraId="467A6CBF">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注意事项</w:t>
            </w:r>
          </w:p>
        </w:tc>
        <w:tc>
          <w:tcPr>
            <w:tcW w:w="8438" w:type="dxa"/>
            <w:gridSpan w:val="2"/>
            <w:vAlign w:val="center"/>
          </w:tcPr>
          <w:p w14:paraId="4A7817C7">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、当出现下列情形之一，投标文件将予以退回：</w:t>
            </w:r>
          </w:p>
          <w:p w14:paraId="229247B5">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（1）投标供应商在投标文件递交截止时间前未成功上传加密电子投标文件；</w:t>
            </w:r>
          </w:p>
          <w:p w14:paraId="113C1A46">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（2）投标供应商使用解密的 CA 数字证书与上传加密投标文件使用的 CA 数字证书不一致；</w:t>
            </w:r>
          </w:p>
          <w:p w14:paraId="1117C499">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（3）投标供应商解密时 CA 数字证书已过期，导致无法正常解密；</w:t>
            </w:r>
          </w:p>
          <w:p w14:paraId="5256DFC6">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（4）加密投标文件时，CA 数字证书未过期，解密时，显示 CA 数字证书已过期，导致无法正常解密；</w:t>
            </w:r>
          </w:p>
          <w:p w14:paraId="41190E42">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（5）未在规定的投标文件解密时间内进行解密的；</w:t>
            </w:r>
          </w:p>
          <w:p w14:paraId="6652EA60">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（6）投标供应商个人原因导致无法解密的其他情形。</w:t>
            </w:r>
          </w:p>
          <w:p w14:paraId="583BF803">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、投标供应商应在投标截止时间前将投标时使用的计算机安装相关的浏览器（推荐使用谷歌浏览器）、CA 驱动等软件，方便投标文件解密时能够正常解密。</w:t>
            </w:r>
          </w:p>
          <w:p w14:paraId="1C32E31F">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、投标供应商需在投标截止时间前自行测试开标时使用的计算机，如因投标供应商自身原因导致投标文件解密失败的，由投标供应商自行承担相应后果。</w:t>
            </w:r>
          </w:p>
          <w:p w14:paraId="68A4B20C">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、本次采购，供应商须按招标文件第二部分“供应商须知前附表”中第 7 项规定的内容提交资格审查资料、商务文件、技术文件和服务文件。并根据第六章“投标文件格式”中的全部内容进行投标文件的编制，在评标过程中若发现供应商的投标文件内容未按照招标文件编制，编制内容存在缺失或提供无效资料的，将导致投标被拒绝。所有资料均不允许在投标截止时间后补正。</w:t>
            </w:r>
          </w:p>
          <w:p w14:paraId="5EAFD522">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5、无论何种原因，在投标文件中未提供相应材料的，评标委员会将视同其未提</w:t>
            </w:r>
          </w:p>
          <w:p w14:paraId="3773F9C8">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w:t>
            </w:r>
          </w:p>
          <w:p w14:paraId="5D772E65">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6、各供应商应在开标前应确保成为新疆政府采购网正式注册入库</w:t>
            </w:r>
          </w:p>
          <w:p w14:paraId="3CDF5A13">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供应商，并完成 CA 数字证书（符合国密标准）申领。如需咨询，请联系新疆 CA</w:t>
            </w:r>
          </w:p>
          <w:p w14:paraId="1611050A">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服务热线 0991-2819290；</w:t>
            </w:r>
          </w:p>
          <w:p w14:paraId="6EAC42E1">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3、供应商将政采云电子交易客户端下载、安装完成后，可通过账号密码或 CA登录客户端进行投标文件的制作。在使用政采云投标客户端时，建议使用 WIN7及以上操作系统。客户端请至新疆政府采购网下载专区查看，如有问题可拨打政采云客户服务热线 400-881-7190 进行咨询。</w:t>
            </w:r>
          </w:p>
          <w:p w14:paraId="16E5EE1C">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4、供应商首次参加政府采购活动的，可前往新疆政府采购网下载操作指南。</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ECD6A03">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除本招标文件另有规定外，招标文件中出现的类似于“近三年”或“前三年”、“近五年”或“前五年”均指递交投标文件</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前三年或前五年，以此类推。</w:t>
            </w:r>
          </w:p>
          <w:p w14:paraId="6F66C892">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本招标文件所称的“以上”、“以下”、“内”、“以内”，包括本数；所称的“不足”，不包括本数。</w:t>
            </w:r>
          </w:p>
        </w:tc>
      </w:tr>
    </w:tbl>
    <w:p w14:paraId="3112EA9A">
      <w:pPr>
        <w:pStyle w:val="89"/>
        <w:wordWrap w:val="0"/>
        <w:spacing w:line="360" w:lineRule="auto"/>
        <w:jc w:val="center"/>
        <w:outlineLvl w:val="0"/>
        <w:rPr>
          <w:rFonts w:ascii="宋体" w:hAnsi="宋体" w:cs="宋体"/>
          <w:b/>
          <w:color w:val="auto"/>
          <w:sz w:val="36"/>
          <w:highlight w:val="none"/>
        </w:rPr>
      </w:pPr>
      <w:r>
        <w:rPr>
          <w:rFonts w:hint="eastAsia" w:ascii="宋体" w:hAnsi="宋体" w:cs="宋体"/>
          <w:b/>
          <w:color w:val="auto"/>
          <w:sz w:val="36"/>
          <w:highlight w:val="none"/>
        </w:rPr>
        <w:br w:type="page"/>
      </w:r>
      <w:bookmarkStart w:id="18" w:name="_Toc32744"/>
      <w:r>
        <w:rPr>
          <w:rFonts w:hint="eastAsia" w:ascii="宋体" w:hAnsi="宋体" w:cs="宋体"/>
          <w:b/>
          <w:color w:val="auto"/>
          <w:sz w:val="36"/>
          <w:highlight w:val="none"/>
        </w:rPr>
        <w:t>投标须知正文</w:t>
      </w:r>
      <w:bookmarkEnd w:id="18"/>
    </w:p>
    <w:p w14:paraId="02793B96">
      <w:pPr>
        <w:pStyle w:val="89"/>
        <w:wordWrap w:val="0"/>
        <w:spacing w:line="360" w:lineRule="auto"/>
        <w:jc w:val="center"/>
        <w:outlineLvl w:val="0"/>
        <w:rPr>
          <w:rFonts w:ascii="宋体" w:hAnsi="宋体" w:cs="宋体"/>
          <w:b/>
          <w:bCs/>
          <w:color w:val="auto"/>
          <w:sz w:val="32"/>
          <w:szCs w:val="32"/>
          <w:highlight w:val="none"/>
        </w:rPr>
      </w:pPr>
      <w:bookmarkStart w:id="19" w:name="_Toc26321"/>
      <w:r>
        <w:rPr>
          <w:rFonts w:hint="eastAsia" w:ascii="宋体" w:hAnsi="宋体" w:cs="宋体"/>
          <w:b/>
          <w:bCs/>
          <w:color w:val="auto"/>
          <w:sz w:val="32"/>
          <w:szCs w:val="32"/>
          <w:highlight w:val="none"/>
        </w:rPr>
        <w:t>一、总  则</w:t>
      </w:r>
      <w:bookmarkEnd w:id="19"/>
    </w:p>
    <w:p w14:paraId="2A1E35A1">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项目概况</w:t>
      </w:r>
    </w:p>
    <w:p w14:paraId="6B65AABF">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1.1 项目名称：详见</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w:t>
      </w:r>
    </w:p>
    <w:p w14:paraId="37006DAE">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1.2 招标范围：详见</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w:t>
      </w:r>
    </w:p>
    <w:p w14:paraId="5D701696">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 定义</w:t>
      </w:r>
    </w:p>
    <w:p w14:paraId="6FDF12D4">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2.1 “招标人”是指依法进行政府采购的国家机关、事业单位、团体组织。招标人名称、地址、电话、联系人见</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w:t>
      </w:r>
    </w:p>
    <w:p w14:paraId="59C753D0">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2.2 “采购代理机构”是指接受招标人委托，代理采购项目的集中采购机构和其他采购代理机构。采购代理机构名称、地址、电话、联系人见</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w:t>
      </w:r>
    </w:p>
    <w:p w14:paraId="32FFC967">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2.3 “投标人”是指响应招标、参加投标竞争的法人、其他组织或者自然人。</w:t>
      </w:r>
    </w:p>
    <w:p w14:paraId="548E33D8">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2.4 “服务”系指根据本招标文件规定投标人须承担的相关服务及其他各项义务。</w:t>
      </w:r>
    </w:p>
    <w:p w14:paraId="42C4B4B2">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2.5 偏离</w:t>
      </w:r>
    </w:p>
    <w:p w14:paraId="7C5C46CC">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2.5.1 本条所称偏离为投标文件对招标文伴的偏离，即不满足、或不响应招标文件的要求。偏离分为对招标文件的实质性要求条款偏离和对招标文件的一般商务和技术条款偏离。</w:t>
      </w:r>
    </w:p>
    <w:p w14:paraId="20049D6D">
      <w:pPr>
        <w:pStyle w:val="89"/>
        <w:wordWrap w:val="0"/>
        <w:spacing w:line="360" w:lineRule="auto"/>
        <w:ind w:firstLine="422" w:firstLineChars="200"/>
        <w:jc w:val="both"/>
        <w:rPr>
          <w:rFonts w:ascii="宋体" w:hAnsi="宋体" w:cs="宋体"/>
          <w:color w:val="auto"/>
          <w:sz w:val="21"/>
          <w:szCs w:val="21"/>
          <w:highlight w:val="none"/>
        </w:rPr>
      </w:pPr>
      <w:r>
        <w:rPr>
          <w:rFonts w:hint="eastAsia" w:ascii="宋体" w:hAnsi="宋体" w:cs="宋体"/>
          <w:b/>
          <w:bCs/>
          <w:color w:val="auto"/>
          <w:sz w:val="21"/>
          <w:szCs w:val="21"/>
          <w:highlight w:val="none"/>
        </w:rPr>
        <w:t>2.5.2 除法律、法规和规章规定外，招标文件中用“拒绝”、“不接受”、“无效”、“不得”等文字规定或标注</w:t>
      </w:r>
      <w:r>
        <w:rPr>
          <w:rFonts w:hint="eastAsia" w:ascii="宋体" w:hAnsi="宋体" w:cs="宋体"/>
          <w:b/>
          <w:bCs/>
          <w:color w:val="auto"/>
          <w:sz w:val="36"/>
          <w:szCs w:val="36"/>
          <w:highlight w:val="none"/>
        </w:rPr>
        <w:t>*</w:t>
      </w:r>
      <w:r>
        <w:rPr>
          <w:rFonts w:hint="eastAsia" w:ascii="宋体" w:hAnsi="宋体" w:cs="宋体"/>
          <w:b/>
          <w:bCs/>
          <w:color w:val="auto"/>
          <w:sz w:val="21"/>
          <w:szCs w:val="21"/>
          <w:highlight w:val="none"/>
        </w:rPr>
        <w:t>符号的条款为实质性要求条款（即重要条款），对其中任何一条的偏离，导致的后果由投标人自行承担</w:t>
      </w:r>
      <w:r>
        <w:rPr>
          <w:rFonts w:hint="eastAsia" w:ascii="宋体" w:hAnsi="宋体" w:cs="宋体"/>
          <w:color w:val="auto"/>
          <w:sz w:val="21"/>
          <w:szCs w:val="21"/>
          <w:highlight w:val="none"/>
        </w:rPr>
        <w:t>。未用上述文字规定或符号标注的条款为非实质性要求条款（即一般条款）。</w:t>
      </w:r>
    </w:p>
    <w:p w14:paraId="46174BFB">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 若招标人员及相关人员与投标人有下列利害关系之一的，应当回避：</w:t>
      </w:r>
    </w:p>
    <w:p w14:paraId="413C66AD">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2.6.1参加采购活动前3年内与投标人存在劳动关系；</w:t>
      </w:r>
    </w:p>
    <w:p w14:paraId="664783FE">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2.6.2参加采购活动前3年内担任投标人的董事、监事；</w:t>
      </w:r>
    </w:p>
    <w:p w14:paraId="5274D15A">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2.6.3参加采购活动前3年内是投标人的控股股东或者实际控制人；</w:t>
      </w:r>
    </w:p>
    <w:p w14:paraId="34EC11E4">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2.6.4与投标人的法定代表人或者负责人有夫妻、直系血亲、三代以内旁系血亲或者近姻亲关系；</w:t>
      </w:r>
    </w:p>
    <w:p w14:paraId="2B8C371B">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2.6.5与投标人有其他可能影响政府采购活动公平、公正进行的关系；</w:t>
      </w:r>
    </w:p>
    <w:p w14:paraId="311EF021">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2.6.6投标人认为招标人员及相关人员与其他投标人有利害关系的，可以向招标人或者采购代理机构书面提出回避申请，并说明理由。招标人或者采购代理机构应当及时询问被申请回避人员，有利害关系的被申请回避人员应当回避。</w:t>
      </w:r>
    </w:p>
    <w:p w14:paraId="2801A5FC">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 招标人或者采购代理机构有下列情形之一的，属于以不合理的条件对投标人（即投标人）实行差别待遇或者歧视待遇：</w:t>
      </w:r>
    </w:p>
    <w:p w14:paraId="1F9A66A2">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2.7.1就同一采购项目向投标人提供有差别的项目信息；</w:t>
      </w:r>
    </w:p>
    <w:p w14:paraId="4BFB9A77">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2.7.2设定的资格、技术、商务条件与采购项目的具体特点和实际需要不相适应或者与合同履行无关；</w:t>
      </w:r>
    </w:p>
    <w:p w14:paraId="45224196">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2.7.3采购需求中的技术、服务等要求指向特定投标人、特定产品；</w:t>
      </w:r>
    </w:p>
    <w:p w14:paraId="7FB4928E">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2.7.4对投标人采取不同的资格审查或者评标标准；</w:t>
      </w:r>
    </w:p>
    <w:p w14:paraId="44176590">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2.7.5限定或者指定特定的专利、商标、品牌或者投标人；</w:t>
      </w:r>
    </w:p>
    <w:p w14:paraId="198A2E78">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2.7.6非法限定投标人的所有制形式、组织形式或者所在地；</w:t>
      </w:r>
    </w:p>
    <w:p w14:paraId="06F22CCA">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2.7.7以其他不合理条件限制或者排斥潜在投标人。</w:t>
      </w:r>
    </w:p>
    <w:p w14:paraId="3837C35A">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2.9 特别说明</w:t>
      </w:r>
    </w:p>
    <w:p w14:paraId="1930B1CB">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2.8.1 投标人在本次招标活动中，必须遵循《中华人民共和国政府采购法》、《中华人民共和国政府采购法实施条例》、《政府采购货物和服务招标投标管理办法》（财政部令第87号）等相关法律、法规的规定。凡参加投标的投标人必须具有履行本招标文件规定的有关要求的能力，信誉良好；</w:t>
      </w:r>
    </w:p>
    <w:p w14:paraId="7331F0E2">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2.8.2 投标人参加投标所使用的资格、信誉、荣誉与相关认证等必须为投标人所拥有；</w:t>
      </w:r>
    </w:p>
    <w:p w14:paraId="2ED26104">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2.8.3 投标人应仔细阅读招标文件的所有内容，按照招标文件的要求提交投标文件，并对所提供的全部资料的真实性承担法律责任；</w:t>
      </w:r>
    </w:p>
    <w:p w14:paraId="0D8A8245">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2.8.4 投标人在投标活动中提供任何虚假材料，其</w:t>
      </w:r>
      <w:r>
        <w:rPr>
          <w:rFonts w:hint="eastAsia" w:ascii="宋体" w:hAnsi="宋体" w:cs="宋体"/>
          <w:b/>
          <w:bCs/>
          <w:color w:val="auto"/>
          <w:sz w:val="21"/>
          <w:szCs w:val="21"/>
          <w:highlight w:val="none"/>
        </w:rPr>
        <w:t>投标无效</w:t>
      </w:r>
      <w:r>
        <w:rPr>
          <w:rFonts w:hint="eastAsia" w:ascii="宋体" w:hAnsi="宋体" w:cs="宋体"/>
          <w:color w:val="auto"/>
          <w:sz w:val="21"/>
          <w:szCs w:val="21"/>
          <w:highlight w:val="none"/>
        </w:rPr>
        <w:t>并承担相应法律责任。</w:t>
      </w:r>
    </w:p>
    <w:p w14:paraId="4A8484E8">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 投标人的资格要求</w:t>
      </w:r>
    </w:p>
    <w:p w14:paraId="4722FB7A">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3.1 投标人应当符合</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中规定及下列要求：</w:t>
      </w:r>
    </w:p>
    <w:p w14:paraId="498FEB02">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3.2 投标人不得存在下列情形之一：</w:t>
      </w:r>
    </w:p>
    <w:p w14:paraId="15F03A76">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3.2.1 与招标人、采购代理机构存在利害关系；</w:t>
      </w:r>
    </w:p>
    <w:p w14:paraId="34FB0E37">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3.2.2 受到刑事处罚，或者受到200万元以上的罚款、责令停产停业、在1至3年内禁止参加政府采购活动、暂扣或者吊销许可证、暂扣或者吊销执照等情形之一的行政处罚，或者存在财政部门认定的其他重大违法记录。</w:t>
      </w:r>
    </w:p>
    <w:p w14:paraId="3CB57B7E">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3.3 投标人具有履行合同所必需的设备和专业技术能力，在人员、设备、资金等方面具有相应能力；投标人提供的的产品必须是成熟产品；在项目地具有技术支持和后续服务等能力。</w:t>
      </w:r>
    </w:p>
    <w:p w14:paraId="62182E84">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4. 联合体投标（本项目不适用）</w:t>
      </w:r>
    </w:p>
    <w:p w14:paraId="192BC47E">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4.1 除</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中另有规定，本次招标采购接受以联合体形式投标的投标人。</w:t>
      </w:r>
    </w:p>
    <w:p w14:paraId="67D45FFC">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4.2 两个以上的法人、其他组织或者自然人可以组成一个联合体，以一个投标人的身份共同参加政府采购活动。投标人为联合体形式的，除应符合本章第3条规定外，还应遵守以下规定：</w:t>
      </w:r>
    </w:p>
    <w:p w14:paraId="7C908036">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4.2.1 联合体各方必须签订联合体协议书，明确联合体牵头人和各方的义务、工作、合同工作量比例；</w:t>
      </w:r>
    </w:p>
    <w:p w14:paraId="60DFC0E2">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4.2.2 联合体各方均应当符合本章第3.1款规定的投标人基本资格条件；联合体中有同类资质的投标人按照联合体分工承担相同工作的，按照资质等级较低的投标人确定资质等级。</w:t>
      </w:r>
    </w:p>
    <w:p w14:paraId="1EEE03D4">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4.2.3 除</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中另有规定，联合体各方中至少有一方应当符合本章第3.1款规定的投标人特定资格条件。</w:t>
      </w:r>
    </w:p>
    <w:p w14:paraId="61175166">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4.3 大中型企业和其他自然人、法人或者其他组织与小型、微型企业组成联合体，联合体协议中约定，小型、微型企业的协议合同金额占到联合体协议合同总金额30%以上的，可给予联合体4%的价格扣除。</w:t>
      </w:r>
    </w:p>
    <w:p w14:paraId="2BD731F0">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联合体各方均为小型、微型企业的，联合体视同为小型、微型企业享受扶持政策。</w:t>
      </w:r>
    </w:p>
    <w:p w14:paraId="63681F32">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组成联合体的大中型企业和其他自然人、法人或者其他组织，与小型、微型企业之间不得存在投资关系，并附协议书。</w:t>
      </w:r>
    </w:p>
    <w:p w14:paraId="0587B9C5">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4.4 以联合体形式参加政府采购活动的，联合体各方不得再单独参加或者与其他投标人另外组成联合体参加同一合同项下的政府采购活动。</w:t>
      </w:r>
    </w:p>
    <w:p w14:paraId="4A50168D">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 政府采购政策支持</w:t>
      </w:r>
    </w:p>
    <w:p w14:paraId="52EF3D08">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 采购人对符合《政府采购促进中小企业发展管理办法》（财库[2020]46号）规定的中型、小型和微型企业执行政府采购扶持政策，具体措施有预留采购份额、价格评审优惠、优先采购等。属于预留采购份额的项目，将专门面向中小企业或小微企业采购；不属于预留采购份额的项目，不专门面向中小企业或小微企业采购，采购人将对小型和微型企业给予价格评审优惠。本采购项目针对中小微企业执行政府采购扶持政策采用的具体措施及不专门面向中小企业采购项目的价格扣除比例见投标人须知前附表。</w:t>
      </w:r>
    </w:p>
    <w:p w14:paraId="4C4017AC">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 本招标文件所称中小企业，是指在中华人民共和国境内依法设立，依据《关于印发中小企业划型标准规定的通知》（工信部联企业〔2011〕300号）和国家统计局关于印发《统计上大中小微型企业划分办法（2017）》的通知的中小企业划分标准确定的中型企业、小型企业和微型企业，但与大企业的负责人为同一人，或者与大企业存在直接控股、管理关系的除外。本采购项目对应的中小企业划分标准所属行业见投标人须知前附表。</w:t>
      </w:r>
    </w:p>
    <w:p w14:paraId="3E45ABB8">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投标人提供的货物既有中小企业制造货物，也有大型企业制造货物的，不享受本招标文件规定的小微企业价格评审优惠政策。</w:t>
      </w:r>
    </w:p>
    <w:p w14:paraId="345FB706">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 以联合体形式参加政府采购活动，联合体各方均为中小企业的，联合体视同中小企业。其中，联合体各方均为小微企业的，联合体视同小微企业。</w:t>
      </w:r>
    </w:p>
    <w:p w14:paraId="24F76AB8">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 符合中小企业划分标准的个体工商户，在政府采购活动中视同中小企业。其中，符合小型、微型企业划分标准的个体工商户，视同小微企业。</w:t>
      </w:r>
    </w:p>
    <w:p w14:paraId="510D2E8F">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 监狱企业视同小型、微型企业，享受与小微企业同等的政府采购扶持政策。监狱企业参加政府采购活动时，应当提供由省级以上监狱管理局、戒毒管理局（含新疆生产建设兵团）出具的属于监狱企业的证明文件。</w:t>
      </w:r>
    </w:p>
    <w:p w14:paraId="4E3F0671">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5.7 残疾人福利性单位视同小型、微型企业，享受与小微企业同等的政府采购扶持政策。符合条件的残疾人福利性单位在参加政府采购活动时，应当提供本招标文件规定格式的《残疾人福利性单位声明函》，并对声明的真实性负责。</w:t>
      </w:r>
    </w:p>
    <w:p w14:paraId="1371B108">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 专门面向中小企业或小微企业采购的项目，投标人应为中小或小微企业，应当出具本招标文件规定格式的《中小企业声明函》。</w:t>
      </w:r>
    </w:p>
    <w:p w14:paraId="3BEA73B0">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 非预留份额不专门面向中小或小微企业采购的项目，采购人将按照《政府采购促进中小企业发展管理办法》（财库[2020]46号）、《关于进一步加大政府采购支持中小企业力度的通知》（财库〔2022〕19号）的规定对小微企业给予价格评审优惠，对其报价给予10%～20%的扣除，用扣除后的价格参加评审，本采购项目的价格扣除比例见本章5.1项。小微企业参加政府采购活动且拟享受价格评审优惠的，应当出具本招标文件规定格式的《中小企业声明函》，否则不享受价格评审优惠。</w:t>
      </w:r>
    </w:p>
    <w:p w14:paraId="13730D35">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接受大中型企业与小微企业组成联合体或者允许大中型企业向一家或者多家小微企业分包的采购项目，对于联合体协议或者分包意向协议约定小微企业的合同份额占到合同总金额 30%以上的，对该联合体或者大中型企业的报价给予 4%～6% 的扣除，用扣除后的价格参加评审，本采购项目的价格扣除比例见投标人须知前附表。组成联合体或者接受分包的小微企业与联合体内其他企业、分包企业之间存在直接控股、管理关系的，不享受价格扣除优惠政策。</w:t>
      </w:r>
    </w:p>
    <w:p w14:paraId="0B133CE4">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 投标人应当对所提供的《中小企业声明函》、《残疾人福利性单位声明函》或监狱企业证明文件的真实性负责。审查材料与事实不符的，属于提供虚假材料谋取中标、成交，依照《政府采购法》第七十七条第一款的规定处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EE06DB8">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 投标费用和知识产权</w:t>
      </w:r>
    </w:p>
    <w:p w14:paraId="599B958D">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6.1 投标人应承担其参加本招标活动自身所发生的费用。招标文件所提供的资料，是招标人现有的能被投标人利用的资料，招标人对投标人做出的任何推论、理解和结论均不负责任。</w:t>
      </w:r>
    </w:p>
    <w:p w14:paraId="42FB4643">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6.2 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64D4BB85">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 授权委托</w:t>
      </w:r>
    </w:p>
    <w:p w14:paraId="752CCE80">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7.1 投标人代表为投标人法定代表人的，应持有法定代表人身份证明。投标人代表不是投标人法定代表人的，应持有法定代表人授权书。</w:t>
      </w:r>
    </w:p>
    <w:p w14:paraId="11402F8B">
      <w:pPr>
        <w:pStyle w:val="89"/>
        <w:wordWrap w:val="0"/>
        <w:spacing w:line="360" w:lineRule="auto"/>
        <w:jc w:val="center"/>
        <w:outlineLvl w:val="0"/>
        <w:rPr>
          <w:rFonts w:ascii="宋体" w:hAnsi="宋体" w:cs="宋体"/>
          <w:color w:val="auto"/>
          <w:sz w:val="32"/>
          <w:szCs w:val="32"/>
          <w:highlight w:val="none"/>
        </w:rPr>
      </w:pPr>
      <w:bookmarkStart w:id="20" w:name="_Toc31559"/>
      <w:r>
        <w:rPr>
          <w:rFonts w:hint="eastAsia" w:ascii="宋体" w:hAnsi="宋体" w:cs="宋体"/>
          <w:b/>
          <w:bCs/>
          <w:color w:val="auto"/>
          <w:sz w:val="32"/>
          <w:szCs w:val="32"/>
          <w:highlight w:val="none"/>
        </w:rPr>
        <w:t>二、招标文件</w:t>
      </w:r>
      <w:bookmarkEnd w:id="20"/>
    </w:p>
    <w:p w14:paraId="12A539C0">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 招标文件的组成</w:t>
      </w:r>
    </w:p>
    <w:p w14:paraId="5C63AA2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8.1 招标文件用以阐明所需货物和服务、招标投标程序和商务合同主要条款，本招标文件由下列文件组成：</w:t>
      </w:r>
    </w:p>
    <w:p w14:paraId="13AAC6A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第一章 招标公告</w:t>
      </w:r>
    </w:p>
    <w:p w14:paraId="103F663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第二章 投标须知</w:t>
      </w:r>
    </w:p>
    <w:p w14:paraId="61F74AD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第三章 评标方法及标准</w:t>
      </w:r>
    </w:p>
    <w:p w14:paraId="4EE24A0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第四章 采购合同格式</w:t>
      </w:r>
    </w:p>
    <w:p w14:paraId="1C482BC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笫五章 采购需求</w:t>
      </w:r>
    </w:p>
    <w:p w14:paraId="0ABACFF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第六章 投标文件格式</w:t>
      </w:r>
    </w:p>
    <w:p w14:paraId="6C76EAE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8.2 本章第12.1款规定的提交投标文件截止时间前对招标文件澄清或者修改内容，是招标文件的组成部分。</w:t>
      </w:r>
    </w:p>
    <w:p w14:paraId="1E70DBE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8.3 投标人应仔细阅读招标文件的全部内容，按照招标文件要求编制投标文件。任何对招标文件的忽略或误解不能作为投标文件存在缺陷或瑕疵的理由，如果没有按照招标文件要求提交全部资料或者投标文件没有对招标文件做出实质性响应，其投标文件可能被拒绝，其风险由投标人承担。</w:t>
      </w:r>
    </w:p>
    <w:p w14:paraId="39ED2C51">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 提交投标文件的截止时间</w:t>
      </w:r>
    </w:p>
    <w:p w14:paraId="12BC2BD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szCs w:val="21"/>
          <w:highlight w:val="none"/>
        </w:rPr>
        <w:t>投标人</w:t>
      </w:r>
      <w:r>
        <w:rPr>
          <w:rFonts w:hint="eastAsia" w:ascii="宋体" w:hAnsi="宋体" w:cs="宋体"/>
          <w:color w:val="auto"/>
          <w:kern w:val="0"/>
          <w:szCs w:val="21"/>
          <w:highlight w:val="none"/>
        </w:rPr>
        <w:t>提交投标文件的截止时间见投标须知前附表。</w:t>
      </w:r>
    </w:p>
    <w:p w14:paraId="6F47576F">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10. 招标文件的澄清或者修改</w:t>
      </w:r>
    </w:p>
    <w:p w14:paraId="37FC3C96">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10.1 招标人或者采购代理机构对己发出的招标文件进行必要澄清或者修改的，澄清或者修改的内容可能影响投标文件编制的，招标人或者采购代理机构应当在投标截止时间至少15日前，以书面形式通知所有获取招标文件的潜在</w:t>
      </w:r>
      <w:r>
        <w:rPr>
          <w:rFonts w:hint="eastAsia" w:ascii="宋体" w:hAnsi="宋体" w:cs="宋体"/>
          <w:color w:val="auto"/>
          <w:szCs w:val="21"/>
          <w:highlight w:val="none"/>
        </w:rPr>
        <w:t>投标人，并在招标公告发布媒体上发布澄清或变更公告</w:t>
      </w:r>
      <w:r>
        <w:rPr>
          <w:rFonts w:hint="eastAsia" w:ascii="宋体" w:hAnsi="宋体" w:cs="宋体"/>
          <w:color w:val="auto"/>
          <w:kern w:val="0"/>
          <w:szCs w:val="21"/>
          <w:highlight w:val="none"/>
        </w:rPr>
        <w:t>。该澄清或者修改的内容为招标文件的组成部分。</w:t>
      </w:r>
    </w:p>
    <w:p w14:paraId="0985519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10.2 如果澄清或者修改发出的时间距规定的投标截止时间不足15日且可能影响投标人编制投标文件，招标人将相应顺延投标截止时间。</w:t>
      </w:r>
    </w:p>
    <w:p w14:paraId="76E41F8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10.3 投标人认为招标文件存在歧视性条款或其它异议，应在收到招标文件之日或者招标文件公告期限届满之日起7个工作日内以书面形式向招标人或者采购代理机构提出。</w:t>
      </w:r>
    </w:p>
    <w:p w14:paraId="408605BB">
      <w:pPr>
        <w:pStyle w:val="89"/>
        <w:wordWrap w:val="0"/>
        <w:spacing w:line="360" w:lineRule="auto"/>
        <w:jc w:val="center"/>
        <w:outlineLvl w:val="0"/>
        <w:rPr>
          <w:rFonts w:ascii="宋体" w:hAnsi="宋体" w:cs="宋体"/>
          <w:b/>
          <w:bCs/>
          <w:color w:val="auto"/>
          <w:sz w:val="32"/>
          <w:szCs w:val="32"/>
          <w:highlight w:val="none"/>
        </w:rPr>
      </w:pPr>
      <w:bookmarkStart w:id="21" w:name="_Toc31554"/>
      <w:r>
        <w:rPr>
          <w:rFonts w:hint="eastAsia" w:ascii="宋体" w:hAnsi="宋体" w:cs="宋体"/>
          <w:b/>
          <w:bCs/>
          <w:color w:val="auto"/>
          <w:sz w:val="32"/>
          <w:szCs w:val="32"/>
          <w:highlight w:val="none"/>
        </w:rPr>
        <w:t>三、投标文件</w:t>
      </w:r>
      <w:bookmarkEnd w:id="21"/>
    </w:p>
    <w:p w14:paraId="63536EA2">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11. 一般要求</w:t>
      </w:r>
    </w:p>
    <w:p w14:paraId="3D7D80FC">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11.1 投标人应仔细阅读招标文件的所有内容，</w:t>
      </w:r>
      <w:r>
        <w:rPr>
          <w:rFonts w:hint="eastAsia" w:ascii="宋体" w:hAnsi="宋体" w:cs="宋体"/>
          <w:color w:val="auto"/>
          <w:szCs w:val="21"/>
          <w:highlight w:val="none"/>
        </w:rPr>
        <w:t>在充分理解招标文件提出的各项条款和要求后，制作投标文件。</w:t>
      </w:r>
    </w:p>
    <w:p w14:paraId="6D25A85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11.2 投标人制作的投标文件应当对招标文件作出实质性响应，且</w:t>
      </w:r>
      <w:r>
        <w:rPr>
          <w:rFonts w:hint="eastAsia" w:ascii="宋体" w:hAnsi="宋体" w:cs="宋体"/>
          <w:color w:val="auto"/>
          <w:kern w:val="0"/>
          <w:szCs w:val="21"/>
          <w:highlight w:val="none"/>
        </w:rPr>
        <w:t>投标人应保证所提供的全部资料的真实性。</w:t>
      </w:r>
    </w:p>
    <w:p w14:paraId="17C9326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11.3 </w:t>
      </w:r>
      <w:r>
        <w:rPr>
          <w:rFonts w:hint="eastAsia" w:ascii="宋体" w:hAnsi="宋体" w:cs="宋体"/>
          <w:color w:val="auto"/>
          <w:szCs w:val="21"/>
          <w:highlight w:val="none"/>
        </w:rPr>
        <w:t>投标人对招标文件所要求的任何条款有偏离的，均应按本招标文件所附的技术或商务偏离表格式逐一填报，如未在偏离表中填报，则招标人/采购代理机构有充分理由认为投标人已响应或满足招标文件的部分或全部条款。</w:t>
      </w:r>
    </w:p>
    <w:p w14:paraId="02587BE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11.4 投标语言</w:t>
      </w:r>
    </w:p>
    <w:p w14:paraId="7F0D209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11.4.1 投标人提交的投标文件及投标人与招标人或采购代理机构就有关招标活动的所有来往函电均应使用中文。</w:t>
      </w:r>
      <w:r>
        <w:rPr>
          <w:rFonts w:hint="eastAsia" w:ascii="宋体" w:hAnsi="宋体" w:cs="宋体"/>
          <w:color w:val="auto"/>
          <w:szCs w:val="21"/>
          <w:highlight w:val="none"/>
        </w:rPr>
        <w:t>如果投标人提供的文件资料以其它语言书写，投标人应将其译成中文作为投标的语言，如有差异，以中文为准。</w:t>
      </w:r>
    </w:p>
    <w:p w14:paraId="634450F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 计量单位</w:t>
      </w:r>
    </w:p>
    <w:p w14:paraId="053234F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11.5.1 投标文件应使用我国法定计量单位，未注明计量单位的默认为我国法定计量单位。</w:t>
      </w:r>
    </w:p>
    <w:p w14:paraId="5A19FC8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11.6 投标文件应采用书面形式，传真、电子邮件形式的投标文件概不接受。</w:t>
      </w:r>
    </w:p>
    <w:p w14:paraId="6EC44C54">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11.7 </w:t>
      </w:r>
      <w:r>
        <w:rPr>
          <w:rFonts w:hint="eastAsia" w:ascii="宋体" w:hAnsi="宋体" w:cs="宋体"/>
          <w:color w:val="auto"/>
          <w:szCs w:val="21"/>
          <w:highlight w:val="none"/>
        </w:rPr>
        <w:t>投标人</w:t>
      </w:r>
      <w:r>
        <w:rPr>
          <w:rFonts w:hint="eastAsia" w:ascii="宋体" w:hAnsi="宋体" w:cs="宋体"/>
          <w:color w:val="auto"/>
          <w:kern w:val="0"/>
          <w:szCs w:val="21"/>
          <w:highlight w:val="none"/>
        </w:rPr>
        <w:t>应按招标文件中提供的投标文件格式填写。</w:t>
      </w:r>
      <w:r>
        <w:rPr>
          <w:rFonts w:hint="eastAsia" w:ascii="宋体" w:hAnsi="宋体" w:cs="宋体"/>
          <w:color w:val="auto"/>
          <w:szCs w:val="21"/>
          <w:highlight w:val="none"/>
        </w:rPr>
        <w:t>本招标文件提供了一部分用于编制投标文件时的必要格式，投标人应按所提供的格式填报，格式可扩展。对于招标文件中未提供格式的投标内容，由投标人自行编制。</w:t>
      </w:r>
    </w:p>
    <w:p w14:paraId="5C6EA04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11.8 投标文件全部采用电子文档，除投标人须知前附表另有规定外，投标文件所附证书证件均为原件扫描件，并采用单位和个人数字证书，</w:t>
      </w:r>
      <w:r>
        <w:rPr>
          <w:rFonts w:hint="eastAsia" w:ascii="宋体" w:hAnsi="宋体" w:cs="宋体"/>
          <w:b/>
          <w:bCs/>
          <w:color w:val="auto"/>
          <w:sz w:val="36"/>
          <w:szCs w:val="36"/>
          <w:highlight w:val="none"/>
        </w:rPr>
        <w:t>*</w:t>
      </w:r>
      <w:r>
        <w:rPr>
          <w:rFonts w:hint="eastAsia" w:ascii="宋体" w:hAnsi="宋体" w:cs="宋体"/>
          <w:color w:val="auto"/>
          <w:kern w:val="0"/>
          <w:szCs w:val="21"/>
          <w:highlight w:val="none"/>
        </w:rPr>
        <w:t>按招标文件要求在相应位置加盖单位公章。由投标人的法定代表人（单位负责人）签字或盖章的，应附法定代表人（单位负责人）身份证明，由代理人签字的，应附由法定代表人（单位负责人）签署的授权委托书。</w:t>
      </w:r>
    </w:p>
    <w:p w14:paraId="4FA61C2F">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12. 投标文件的组成及编制</w:t>
      </w:r>
    </w:p>
    <w:p w14:paraId="1C236351">
      <w:pPr>
        <w:wordWrap w:val="0"/>
        <w:adjustRightInd w:val="0"/>
        <w:spacing w:line="360" w:lineRule="auto"/>
        <w:ind w:firstLine="420" w:firstLineChars="200"/>
        <w:rPr>
          <w:rFonts w:ascii="宋体" w:hAnsi="宋体" w:cs="宋体"/>
          <w:color w:val="auto"/>
          <w:kern w:val="0"/>
          <w:szCs w:val="21"/>
          <w:highlight w:val="none"/>
        </w:rPr>
      </w:pPr>
      <w:bookmarkStart w:id="22" w:name="_Hlk45871536"/>
      <w:r>
        <w:rPr>
          <w:rFonts w:hint="eastAsia" w:ascii="宋体" w:hAnsi="宋体" w:cs="宋体"/>
          <w:color w:val="auto"/>
          <w:kern w:val="0"/>
          <w:szCs w:val="21"/>
          <w:highlight w:val="none"/>
        </w:rPr>
        <w:t>12.1 投标文件必须按照第六章投标文件格式编制，</w:t>
      </w:r>
      <w:r>
        <w:rPr>
          <w:rFonts w:hint="eastAsia" w:ascii="宋体" w:hAnsi="宋体" w:cs="宋体"/>
          <w:color w:val="auto"/>
          <w:szCs w:val="21"/>
          <w:highlight w:val="none"/>
        </w:rPr>
        <w:t>投标人应按照下列内容和顺序编制投标文件</w:t>
      </w:r>
      <w:r>
        <w:rPr>
          <w:rFonts w:hint="eastAsia" w:ascii="宋体" w:hAnsi="宋体" w:cs="宋体"/>
          <w:color w:val="auto"/>
          <w:kern w:val="0"/>
          <w:szCs w:val="21"/>
          <w:highlight w:val="none"/>
        </w:rPr>
        <w:t>：</w:t>
      </w:r>
    </w:p>
    <w:p w14:paraId="67528DC8">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14:paraId="500933B2">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二、投标保证金</w:t>
      </w:r>
    </w:p>
    <w:p w14:paraId="2AA3FA55">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三、联合体协议书（本项目不适用）</w:t>
      </w:r>
    </w:p>
    <w:p w14:paraId="4CCA9E1B">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四、开标一览表及投标报价明细表</w:t>
      </w:r>
    </w:p>
    <w:p w14:paraId="7BD8F8C7">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五、投标投标人基本情况表</w:t>
      </w:r>
    </w:p>
    <w:p w14:paraId="641D868A">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六、资格审查资料</w:t>
      </w:r>
    </w:p>
    <w:p w14:paraId="73BD0196">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七、类似项目业绩表</w:t>
      </w:r>
    </w:p>
    <w:p w14:paraId="7DABA1D8">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八、服务承诺书</w:t>
      </w:r>
    </w:p>
    <w:p w14:paraId="4215B922">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九、技术/商务响应与偏离表</w:t>
      </w:r>
    </w:p>
    <w:p w14:paraId="44F3A9F4">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十、投标人自行编写的技术文件</w:t>
      </w:r>
    </w:p>
    <w:p w14:paraId="2456984E">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十一、投标人自行编写的服务方案</w:t>
      </w:r>
    </w:p>
    <w:p w14:paraId="64F9088F">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十二、投标人认为需要提供的其他资料</w:t>
      </w:r>
    </w:p>
    <w:bookmarkEnd w:id="22"/>
    <w:p w14:paraId="4F70524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招标文件第六章提供了一部分用于编制投标文件时的必要格式，投标人应按所提供的格式填报，填写时可根据项目具体情况调整和扩展。对于招标文件中未提供格式的投标内容，由投标人自行编制。</w:t>
      </w:r>
    </w:p>
    <w:p w14:paraId="07EB270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投标人应充分结合本招标文件第三章《评标办法》中的评标细则，编制投标文件。</w:t>
      </w:r>
    </w:p>
    <w:p w14:paraId="484D32E6">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12.4 </w:t>
      </w:r>
      <w:r>
        <w:rPr>
          <w:rFonts w:hint="eastAsia" w:ascii="宋体" w:hAnsi="宋体" w:cs="宋体"/>
          <w:b/>
          <w:bCs/>
          <w:color w:val="auto"/>
          <w:sz w:val="36"/>
          <w:szCs w:val="36"/>
          <w:highlight w:val="none"/>
        </w:rPr>
        <w:t>*</w:t>
      </w:r>
      <w:r>
        <w:rPr>
          <w:rFonts w:hint="eastAsia" w:ascii="宋体" w:hAnsi="宋体" w:cs="宋体"/>
          <w:b/>
          <w:color w:val="auto"/>
          <w:szCs w:val="21"/>
          <w:highlight w:val="none"/>
        </w:rPr>
        <w:t>投标文件</w:t>
      </w:r>
      <w:r>
        <w:rPr>
          <w:rFonts w:hint="eastAsia" w:ascii="宋体" w:hAnsi="宋体" w:cs="宋体"/>
          <w:color w:val="auto"/>
          <w:szCs w:val="21"/>
          <w:highlight w:val="none"/>
        </w:rPr>
        <w:t>在首页编制“投标文件目录”并标注准确的页码索引。投标文件封面应标明采购项目名称、采购内容、项目编号、招标人名称、投标人名称、投标人地址、联系人、联系方式等内容。</w:t>
      </w:r>
    </w:p>
    <w:p w14:paraId="1C622AC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12.5 投标人应按《投标人须知前附表》要求的份数同时提供电子版（光盘）和纸质版投标文件。</w:t>
      </w:r>
    </w:p>
    <w:p w14:paraId="3F92BFC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12.6 根据《中华人民共和国政府采购法》第四十二条的规定，投标人无论中标与否，其投标文件均不予退还。</w:t>
      </w:r>
    </w:p>
    <w:p w14:paraId="1EFC10B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12.7 投标人根据招标文件的规定和采购项目的实际情况，拟在中标后将中标项目的非主体、非关键性工作分包的，应当在投标文件中载明分包承担主体，分包承担主体应当具备相应资质条件且不得再次分包，该部分应与“投标人的资格证明材料”编制在同一章节，列表说明拟分包项目的具体内容、分包承担主体及其资质条件，并附入分包承担主体的法人营业执照副本及其它资质证明文件。</w:t>
      </w:r>
    </w:p>
    <w:p w14:paraId="36058639">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13. 投标报价</w:t>
      </w:r>
    </w:p>
    <w:p w14:paraId="08EA5E1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13.1 投标货币</w:t>
      </w:r>
    </w:p>
    <w:p w14:paraId="52C4641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以人民币报价，以元为单位，保留小数点后两位。</w:t>
      </w:r>
    </w:p>
    <w:p w14:paraId="4747DC8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13.2 投标报价是履行合同的最终价格，应包括为完成本项目招标范围内所有内容产生的全部费用。</w:t>
      </w:r>
    </w:p>
    <w:p w14:paraId="6FC51FB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13.3 投标报价应按填报准确、齐全，</w:t>
      </w:r>
      <w:r>
        <w:rPr>
          <w:rFonts w:hint="eastAsia" w:ascii="宋体" w:hAnsi="宋体" w:cs="宋体"/>
          <w:color w:val="auto"/>
          <w:szCs w:val="21"/>
          <w:highlight w:val="none"/>
        </w:rPr>
        <w:t>投标人免费提供的项目，应注明免费。</w:t>
      </w:r>
      <w:r>
        <w:rPr>
          <w:rFonts w:hint="eastAsia" w:ascii="宋体" w:hAnsi="宋体" w:cs="宋体"/>
          <w:color w:val="auto"/>
          <w:kern w:val="0"/>
          <w:szCs w:val="21"/>
          <w:highlight w:val="none"/>
        </w:rPr>
        <w:t>投标人漏报、少报的费用，视为已包含在其他报价中，中标后不予调整。</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任何有选择性的投标报价将被认为未实质响应招标文件而被视为投标无效。</w:t>
      </w:r>
    </w:p>
    <w:p w14:paraId="75827A0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13.4投标人应按第六章“投标文件格式”所提供的报价表格式填写。若投标人在本章第11.1款规定的提交投标文件截止时间前修改开标一览表中的报价，应同时修改其按第六章要求填写的相应报价表中的报价。此修改须符合本章第21.1款的有关要求。</w:t>
      </w:r>
    </w:p>
    <w:p w14:paraId="383B9E1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13.5 投标文件中标明的价格在合同执行过程中是固定不变的，投标人不得以任何理由予以变更。</w:t>
      </w:r>
    </w:p>
    <w:p w14:paraId="7D1E6A0A">
      <w:pPr>
        <w:wordWrap w:val="0"/>
        <w:adjustRightIn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13.6 本采购项目预算详见投标须知前附表，</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投标人的报价不得超过采购项目预算，否则投标无效。</w:t>
      </w:r>
    </w:p>
    <w:p w14:paraId="30AFC4B2">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14. 投标人符合招标文件规定的证明文件</w:t>
      </w:r>
    </w:p>
    <w:p w14:paraId="62BFA8E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14.1 投标人应提供资格证明材料，以证实其各项条件能满足本章第3.1款规定的投标人资格条件要求。</w:t>
      </w:r>
    </w:p>
    <w:p w14:paraId="1A06FEF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14.2 投标人为联合体形式的，则应提交联合体各方资格文件、联合体协议，否则将视为非实质投标而被拒绝。</w:t>
      </w:r>
    </w:p>
    <w:p w14:paraId="64D3D1B9">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 投标保证金</w:t>
      </w:r>
    </w:p>
    <w:p w14:paraId="4212B33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15.1</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须知前附表规定提交投标保证金的，投标人应按投标须知前附表规定的形式、金额，在本章第11.1款规定的提交投标文件截止时间前，提交投标保证金。投标保证金有效期应当与本章第15.1款规定的投标文件有效期一致。</w:t>
      </w:r>
    </w:p>
    <w:p w14:paraId="4BEC6E4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15.2 投标人为联合体的，可以由联合体中的主办方或者联合体各方共同提交投标保证金，其提交的投标保证金，对联合体各方均具有约束力。</w:t>
      </w:r>
    </w:p>
    <w:p w14:paraId="58776A8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15.3 投标人在投标截止时间前撤回已递交的投标文件的，招标人或者采购代理机构应当自收到投标人书面撤回通知之日起5个工作日内，退还已收取的投标保证金，但因投标人自身原因导致无法及时退还的除外。</w:t>
      </w:r>
    </w:p>
    <w:p w14:paraId="0A66240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招标人或者采购代理机构应当自中标通知书发出之日起5个工作日内退还未中标人的投标保证金，自采购合同签订之日起5个工作日内退还中标人的投标保证金或者转为中标人的履约保证金。</w:t>
      </w:r>
    </w:p>
    <w:p w14:paraId="40AA85A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15.4 </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有下列情形之一的，投标保证金不予退还：</w:t>
      </w:r>
    </w:p>
    <w:p w14:paraId="056D7EB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15.4.1 投标人在投标有效期内撤销投标文件的；</w:t>
      </w:r>
    </w:p>
    <w:p w14:paraId="177FBBE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15.4.2 中标后无正当理由不与招标人签订合同的；</w:t>
      </w:r>
    </w:p>
    <w:p w14:paraId="22AFAF2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15.4.3 将中标项目转让给他人，或者在投标文件中未说明，且未经招标人同意，将中标项目转包或部分分包给他人的；</w:t>
      </w:r>
    </w:p>
    <w:p w14:paraId="38B1859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15.4.4 中标人未按招标文件规定缴纳履约保证金的；</w:t>
      </w:r>
    </w:p>
    <w:p w14:paraId="0B3F1BB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15.4.5 拒绝履行合同义务的。</w:t>
      </w:r>
    </w:p>
    <w:p w14:paraId="5474630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15.4.6 投标人恶意串通，妨碍其他投标人的竞争行为，损害招标人或者其他投标人的合法权益的。</w:t>
      </w:r>
    </w:p>
    <w:p w14:paraId="53DDADE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15.4.7 投标人出现本章23.7款所述情形之一的，视为投标人串通投标，其投标无效。</w:t>
      </w:r>
    </w:p>
    <w:p w14:paraId="0789C5D9">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投标有效期</w:t>
      </w:r>
    </w:p>
    <w:p w14:paraId="5E9BB49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 投标有效期见投标须知前附表，在此期间投标文件对投标人具有法律约束力，从本章第11.1款规定的提交投标文件截止时间之日起计算。</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投标有效期不足的投标将被视为无效投标</w:t>
      </w:r>
      <w:r>
        <w:rPr>
          <w:rFonts w:hint="eastAsia" w:ascii="宋体" w:hAnsi="宋体" w:cs="宋体"/>
          <w:color w:val="auto"/>
          <w:kern w:val="0"/>
          <w:szCs w:val="21"/>
          <w:highlight w:val="none"/>
        </w:rPr>
        <w:t>。</w:t>
      </w:r>
    </w:p>
    <w:p w14:paraId="123582E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 投标文件中承诺的投标有效期应当不少于招标文件中载明的投标有效期。投标有效期内投标人撤销投标文件的，招标人或者采购代理机构可以不退还投标保证金。</w:t>
      </w:r>
    </w:p>
    <w:p w14:paraId="183D666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16.3若遇特殊情况，招标人/采购代理机构可要求投标人同意延长投标有效期。相应的要求应以书面、电传、传真形式送达投标人，投标人应在规定的时间内书面答复招标人/采购代理机构。如果投标人接受延期，投标保证金的有效期也应相应延长。投标人也可以拒绝延期要求而无须以其投标保证金为抵押。任何同意延期的投标人都不会被要求或被允许修改其投标文件。</w:t>
      </w:r>
    </w:p>
    <w:p w14:paraId="4D3C452F">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17. 投标文件的份数</w:t>
      </w:r>
    </w:p>
    <w:p w14:paraId="67FEAC1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 投标文件的份数见投标须知前附表。</w:t>
      </w:r>
    </w:p>
    <w:p w14:paraId="60E1F507">
      <w:pPr>
        <w:pStyle w:val="89"/>
        <w:wordWrap w:val="0"/>
        <w:spacing w:line="360" w:lineRule="auto"/>
        <w:jc w:val="center"/>
        <w:outlineLvl w:val="0"/>
        <w:rPr>
          <w:rFonts w:ascii="宋体" w:hAnsi="宋体" w:cs="宋体"/>
          <w:b/>
          <w:bCs/>
          <w:color w:val="auto"/>
          <w:sz w:val="32"/>
          <w:szCs w:val="32"/>
          <w:highlight w:val="none"/>
        </w:rPr>
      </w:pPr>
      <w:bookmarkStart w:id="23" w:name="_Toc14447"/>
      <w:r>
        <w:rPr>
          <w:rFonts w:hint="eastAsia" w:ascii="宋体" w:hAnsi="宋体" w:cs="宋体"/>
          <w:b/>
          <w:bCs/>
          <w:color w:val="auto"/>
          <w:sz w:val="32"/>
          <w:szCs w:val="32"/>
          <w:highlight w:val="none"/>
        </w:rPr>
        <w:t>四、投标文件的递交</w:t>
      </w:r>
      <w:bookmarkEnd w:id="23"/>
    </w:p>
    <w:p w14:paraId="680039FB">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18. 投标文件的密封和标记</w:t>
      </w:r>
    </w:p>
    <w:p w14:paraId="6FA9DE8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投标人应当按照招标文件和电子招标投标交易平台的要求加密投标文件，具体要求见投标人须知前附表。</w:t>
      </w:r>
    </w:p>
    <w:p w14:paraId="04491C7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18.2未按本规定密封的投标文件，招标人将予以拒收。</w:t>
      </w:r>
    </w:p>
    <w:p w14:paraId="4B1CFB0B">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19. 投标文件的补充、修改和撤回</w:t>
      </w:r>
    </w:p>
    <w:p w14:paraId="3B951E5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19.1 投标人在投标截止时间前，可以通过电子招标投标交易平台对所提交的投标文件进行补充、修改或者撤回。补充、修改的内容应当按照招标文件要求签署、盖章、密封后上传至电子招标投标交易平台。</w:t>
      </w:r>
    </w:p>
    <w:p w14:paraId="1161124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19.2 补充、修改的内容与投标文件不一致时，以补充、修改的内容为准。</w:t>
      </w:r>
    </w:p>
    <w:p w14:paraId="0A4141AC">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除非招标人/采购代理机构要求，投标人在投标截止时间后不得修改和补充其投标文件。</w:t>
      </w:r>
    </w:p>
    <w:p w14:paraId="15CC2F7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19.4 投标人不得在投标截止时间起至投标文件有效期满前撤回投标文件，否则其投标保证金将不予退还。</w:t>
      </w:r>
    </w:p>
    <w:p w14:paraId="288EF42F">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20. 投标文件的递交</w:t>
      </w:r>
    </w:p>
    <w:p w14:paraId="6793A6E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20.1 投标人应在投标人须知前附表规定的投标截止时间前递交投标文件。</w:t>
      </w:r>
    </w:p>
    <w:p w14:paraId="6305BAA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20.2 投标人通过下载招标文件的电子招标投标交易平台递交电子投标文件。</w:t>
      </w:r>
    </w:p>
    <w:p w14:paraId="7C2FF32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20.3 除投标人须知前附表另有规定外，投标人所递交的投标文件不予退还。</w:t>
      </w:r>
    </w:p>
    <w:p w14:paraId="159A0A1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20.4 投标人完成电子投标文件上传后，电子招标投标交易平台即时向投标人发出递交回执通知。递交时间以递交回执通知载明的传输完成时间为准。</w:t>
      </w:r>
    </w:p>
    <w:p w14:paraId="16778E7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20.5 逾期送达的投标文件，电子招标投标交易平台将予以拒收。</w:t>
      </w:r>
    </w:p>
    <w:p w14:paraId="4DFA7C29">
      <w:pPr>
        <w:pStyle w:val="89"/>
        <w:wordWrap w:val="0"/>
        <w:spacing w:line="360" w:lineRule="auto"/>
        <w:jc w:val="center"/>
        <w:outlineLvl w:val="0"/>
        <w:rPr>
          <w:rFonts w:ascii="宋体" w:hAnsi="宋体" w:cs="宋体"/>
          <w:b/>
          <w:bCs/>
          <w:color w:val="auto"/>
          <w:sz w:val="32"/>
          <w:szCs w:val="32"/>
          <w:highlight w:val="none"/>
        </w:rPr>
      </w:pPr>
      <w:bookmarkStart w:id="24" w:name="_Toc10750"/>
      <w:r>
        <w:rPr>
          <w:rFonts w:hint="eastAsia" w:ascii="宋体" w:hAnsi="宋体" w:cs="宋体"/>
          <w:b/>
          <w:bCs/>
          <w:color w:val="auto"/>
          <w:sz w:val="32"/>
          <w:szCs w:val="32"/>
          <w:highlight w:val="none"/>
        </w:rPr>
        <w:t>五、开标和评标</w:t>
      </w:r>
      <w:bookmarkEnd w:id="24"/>
    </w:p>
    <w:p w14:paraId="4ADFAFEB">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21. 开标</w:t>
      </w:r>
    </w:p>
    <w:p w14:paraId="1651432A">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21.1 招标人、采购代理机构在投标须知前附表规定的投标截止时间（开标时间）,通过电子招标投标交易平台公开开标，所有投标人的法定代表人（单位负责人）或其委托代理人应当准时参加。</w:t>
      </w:r>
    </w:p>
    <w:p w14:paraId="75B1B666">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21.2 主持人按下列程序进行开标：</w:t>
      </w:r>
    </w:p>
    <w:p w14:paraId="54B8CD9F">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（1）宣布开标纪律；</w:t>
      </w:r>
    </w:p>
    <w:p w14:paraId="5704F5B6">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（2）公布在投标截止时间前递交投标文件的投标人名称；</w:t>
      </w:r>
    </w:p>
    <w:p w14:paraId="047BE24E">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（3）宣布开标人、唱标人、记录人、监标人等有关人员姓名；</w:t>
      </w:r>
    </w:p>
    <w:p w14:paraId="35C4419E">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投标人通过电子招标投标交易平台对已递交的电子投标文件进行解密，公布招标项目名称、投标人名称、投标保证金的递交情况、投标报价、交付日期、交付地点及招标文件规定的需要宣布的其他内容，并记录在案；</w:t>
      </w:r>
    </w:p>
    <w:p w14:paraId="3F0BDEC0">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（5）投标人代表、招标人代表、监标人、记录人等有关人员使用本人的电子印章在开标记录上签字确认；</w:t>
      </w:r>
    </w:p>
    <w:p w14:paraId="24DA4E2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（6）开标结束。</w:t>
      </w:r>
    </w:p>
    <w:p w14:paraId="23459C5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21.3 开标结束后，招标人或者采购代理机构应当依法对投标人的资格进行审查。</w:t>
      </w:r>
    </w:p>
    <w:p w14:paraId="7530072C">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如果资格审查合格的投标人不足3家，将不进行评标，</w:t>
      </w:r>
      <w:r>
        <w:rPr>
          <w:rFonts w:hint="eastAsia" w:ascii="宋体" w:hAnsi="宋体" w:cs="宋体"/>
          <w:b/>
          <w:color w:val="auto"/>
          <w:szCs w:val="21"/>
          <w:highlight w:val="none"/>
        </w:rPr>
        <w:t>招标人将依法重新组织招标或采用其它采购方式采购。</w:t>
      </w:r>
    </w:p>
    <w:p w14:paraId="56900C0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21.6 投标人应当遵循公平竞争的原则，不得恶意串通，不得妨碍其他投标人的竞争行为，不得损害招标人或者其他投标人的合法权益。</w:t>
      </w:r>
    </w:p>
    <w:p w14:paraId="14AA9D0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在评标过程中发现投标人有上述情形的，评标委员会应当认定其</w:t>
      </w:r>
      <w:r>
        <w:rPr>
          <w:rFonts w:hint="eastAsia" w:ascii="宋体" w:hAnsi="宋体" w:cs="宋体"/>
          <w:b/>
          <w:color w:val="auto"/>
          <w:kern w:val="0"/>
          <w:szCs w:val="21"/>
          <w:highlight w:val="none"/>
        </w:rPr>
        <w:t>投标无效</w:t>
      </w:r>
      <w:r>
        <w:rPr>
          <w:rFonts w:hint="eastAsia" w:ascii="宋体" w:hAnsi="宋体" w:cs="宋体"/>
          <w:color w:val="auto"/>
          <w:kern w:val="0"/>
          <w:szCs w:val="21"/>
          <w:highlight w:val="none"/>
        </w:rPr>
        <w:t>，并书面报告本级财政部门。</w:t>
      </w:r>
    </w:p>
    <w:p w14:paraId="54A1409C">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21.7 </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有下列情形之一的，视为投标人串通投标，其投标无效，并对投标人依照《政府采购法》第七十七条的规定追究法律责任：</w:t>
      </w:r>
    </w:p>
    <w:p w14:paraId="2518072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21.7.1 不同投标人的投标文件由同一单位或者个人编制；</w:t>
      </w:r>
    </w:p>
    <w:p w14:paraId="7F855C1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21.7.2 不同投标人委托同一单位或者个人办理投标事宜；</w:t>
      </w:r>
    </w:p>
    <w:p w14:paraId="71AFCBF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21.7.3 不同投标人的投标文件载明的项目管理成员或者联系人员为同一人；</w:t>
      </w:r>
    </w:p>
    <w:p w14:paraId="09FEB6F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21.7.4 不同投标人的投标文件异常一致或者投标报价呈规律性差异；</w:t>
      </w:r>
    </w:p>
    <w:p w14:paraId="3FF3652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21.7.5 不同投标人的投标文件相互混装；</w:t>
      </w:r>
    </w:p>
    <w:p w14:paraId="216E148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21.7.6 不同投标人的投标保证金从同一单位或者个人的账户转出。</w:t>
      </w:r>
    </w:p>
    <w:p w14:paraId="624AF966">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22. 评标委员会</w:t>
      </w:r>
    </w:p>
    <w:p w14:paraId="69B9489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 招标人或者采购代理机构负责组织评标工作，并履行下列职责：</w:t>
      </w:r>
    </w:p>
    <w:p w14:paraId="2A2C4A4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22.1.1核对评标专家身份和招标人代表授权函，对评标专家在政府采购活动中的职责履行情况予以记录，并及时将有关违法违规行为向财政部门报告；</w:t>
      </w:r>
    </w:p>
    <w:p w14:paraId="3A2DD24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22.1.2宣布评标纪律；</w:t>
      </w:r>
    </w:p>
    <w:p w14:paraId="13AA2F6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22.1.3公布投标人名单，告知评标专家应当回避的情形；</w:t>
      </w:r>
    </w:p>
    <w:p w14:paraId="5725392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22.1.4组织评标委员会推选评标组长，招标人代表不得担任组长；</w:t>
      </w:r>
    </w:p>
    <w:p w14:paraId="6819F15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22.1.5在评标期间采取必要的通讯管理措施，保证评标活动不受外界干扰；</w:t>
      </w:r>
    </w:p>
    <w:p w14:paraId="25718D4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22.1.6根据评标委员会的要求介绍政府采购相关政策法规、招标文件；</w:t>
      </w:r>
    </w:p>
    <w:p w14:paraId="7754B29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22.1.7维护评标秩序，监督评标委员会依照招标文件规定的评标程序、方法和标准进行独立评标，及时制止和纠正招标人代表、评标专家的倾向性言论或者违法违规行为；</w:t>
      </w:r>
    </w:p>
    <w:p w14:paraId="53E9A0C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22.1.8核对评标结果，有本招标文件投标须知正文第22.10条规定情形的，要求评标委员会复核或者书面说明理由，评标委员会拒绝的，应予记录并向本级财政部门报告；</w:t>
      </w:r>
    </w:p>
    <w:p w14:paraId="45D738D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22.1.9评标工作完成后，按照规定向评标专家支付劳务报酬和异地评标差旅费，不得向评标专家以外的其他人员支付评标劳务报酬；</w:t>
      </w:r>
    </w:p>
    <w:p w14:paraId="5D59044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22.1.10处理与评标有关的其他事项。</w:t>
      </w:r>
    </w:p>
    <w:p w14:paraId="23F68246">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招标人可以在评标前说明项目背景和采购需求，说明内容不得含有歧视性、倾向性意见，不得超出招标文件所述范围。说明应当提交书面材料，并随采购文件一并存档。</w:t>
      </w:r>
    </w:p>
    <w:p w14:paraId="5E579A7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 评标委员会负责具体评标事务，并独立履行下列职责：</w:t>
      </w:r>
    </w:p>
    <w:p w14:paraId="2239D23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22.2.1审查、评价投标文件是否符合招标文件的商务、技术等实质性要求；</w:t>
      </w:r>
    </w:p>
    <w:p w14:paraId="45ED99AD">
      <w:pPr>
        <w:wordWrap w:val="0"/>
        <w:adjustRightInd w:val="0"/>
        <w:spacing w:line="360" w:lineRule="auto"/>
        <w:ind w:firstLine="420" w:firstLineChars="200"/>
        <w:rPr>
          <w:rFonts w:ascii="宋体" w:hAnsi="宋体" w:cs="宋体"/>
          <w:color w:val="auto"/>
          <w:kern w:val="0"/>
          <w:szCs w:val="21"/>
          <w:highlight w:val="none"/>
        </w:rPr>
      </w:pPr>
      <w:bookmarkStart w:id="25" w:name="OLE_LINK4"/>
      <w:r>
        <w:rPr>
          <w:rFonts w:hint="eastAsia" w:ascii="宋体" w:hAnsi="宋体" w:cs="宋体"/>
          <w:color w:val="auto"/>
          <w:kern w:val="0"/>
          <w:szCs w:val="21"/>
          <w:highlight w:val="none"/>
        </w:rPr>
        <w:t>22.2.</w:t>
      </w:r>
      <w:bookmarkEnd w:id="25"/>
      <w:r>
        <w:rPr>
          <w:rFonts w:hint="eastAsia" w:ascii="宋体" w:hAnsi="宋体" w:cs="宋体"/>
          <w:color w:val="auto"/>
          <w:kern w:val="0"/>
          <w:szCs w:val="21"/>
          <w:highlight w:val="none"/>
        </w:rPr>
        <w:t>2要求投标人对投标文件有关事项作出澄清或者说明；</w:t>
      </w:r>
    </w:p>
    <w:p w14:paraId="2EC7DF4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22.2.3对投标文件进行比较和评价；</w:t>
      </w:r>
    </w:p>
    <w:p w14:paraId="59F0FFE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22.2.4确定中标候选人名单，或者根据招标人委托直接确定中标人；</w:t>
      </w:r>
    </w:p>
    <w:p w14:paraId="01BDD9D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22.2.5向招标人、采购代理机构或者有关部门报告评标中发现的违法行为。</w:t>
      </w:r>
    </w:p>
    <w:p w14:paraId="65810A9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 评标委员会由招标人代表和评标专家组成，成员人数应当为5人以上单数，其中评标专家不得少于成员总数的三分之二。评标委员会成员与投标人存在利害关系的，应当回避。</w:t>
      </w:r>
    </w:p>
    <w:p w14:paraId="532884D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22.3.1 采购项目符合下列情形之一的，评标委员会成员人数应当为7人以上单数：</w:t>
      </w:r>
    </w:p>
    <w:p w14:paraId="748CD10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（1）采购预算金额在1000万元以上；</w:t>
      </w:r>
    </w:p>
    <w:p w14:paraId="0F00830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（2）技术复杂；</w:t>
      </w:r>
    </w:p>
    <w:p w14:paraId="20BA946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（3）社会影响较大。</w:t>
      </w:r>
    </w:p>
    <w:p w14:paraId="37EC3CB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22.3.2 评标专家对本单位的采购项目只能作为招标人代表参与评标，对技术复杂、专业性强的采购项目，通过随机方式难以确定合适评标专家的，经主管预算单位同意，招标人可以自行选定相应专业领域的评标专家情形除外。采购代理机构工作人员不得参加由本机构代理的政府采购项目的评标。</w:t>
      </w:r>
    </w:p>
    <w:p w14:paraId="53DB247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22.3.3 评标委员会成员名单在评标结果公告前应当保密。</w:t>
      </w:r>
    </w:p>
    <w:p w14:paraId="16D4B1B2">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22.4 招标人或者采购代理机构应当从省级以上财政部门设立的政府采购评标专家库中，通过随机方式抽取评标专家。本项目评标专家在政采云平台随机抽取。</w:t>
      </w:r>
    </w:p>
    <w:p w14:paraId="6AF2B34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对技术复杂、专业性强的采购项目，通过随机方式难以确定合适评标专家的，经主管预算单位同意，招标人可以自行选定相应专业领域的评标专家。</w:t>
      </w:r>
    </w:p>
    <w:p w14:paraId="58A0C58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22.5 评标中因评标委员会成员缺席、回避或者健康等特殊原因导致评标委员会组成不符合《中华人民共和国政府采购法》、《中华人民共和国政府采购法实施条例》、《政府采购货物和服务招标投标管理办法》相关规定的，招标人或者采购代理机构应当依法补足后继续评标。被更换的评标委员会成员所作出的评标意见无效。</w:t>
      </w:r>
    </w:p>
    <w:p w14:paraId="6A1D8D1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无法及时补足评标委员会成员的，招标人或者采购代理机构应当停止评标活动，封存所有投标文件和开标、评标资料，依法重新组建评标委员会进行评标。原评标委员会所作出的评标意见无效。</w:t>
      </w:r>
    </w:p>
    <w:p w14:paraId="3B3C111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招标人或者采购代理机构应当将变更、重新组建评标委员会的情况予以记录，并随采购文件一并存档。</w:t>
      </w:r>
    </w:p>
    <w:p w14:paraId="4C3791DA">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22.6  招标人委派代表参加评标委员会的，应当向采购代理机构出具授权函，招标人代表不得担任评标委员会主任委员。除授权代表外，招标人可以委派纪检监察等相关人员进入评标现场，对评标工作实施监督，但不得超过2人。</w:t>
      </w:r>
    </w:p>
    <w:p w14:paraId="3F24E15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22.7  评标委员会成员应认真执行《中华人民共和国政府采购法》、《中华人民共和国政府采购法实施条例》、《政府采购货物和服务招标投标管理办法》及相关法规规定，同时维护招标人与投标人的合法权益。</w:t>
      </w:r>
    </w:p>
    <w:p w14:paraId="465D9BB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22.8 评标委员会及其成员不得有下列行为：</w:t>
      </w:r>
    </w:p>
    <w:p w14:paraId="1C1E0D0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（1）确定参与评标至评标结束前私自接触投标人；</w:t>
      </w:r>
    </w:p>
    <w:p w14:paraId="4E3C50D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（2）接受投标人提出的与投标文件不一致的澄清或者说明，本招标文件投标须知正文第22.2条规定的情形除外；</w:t>
      </w:r>
    </w:p>
    <w:p w14:paraId="63665CA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（3）违反评标纪律发表倾向性意见或者征询招标人的倾向性意见；</w:t>
      </w:r>
    </w:p>
    <w:p w14:paraId="50A48C2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（4）对需要专业判断的主观评标因素协商评分；</w:t>
      </w:r>
    </w:p>
    <w:p w14:paraId="1B32083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（5）在评标过程中擅离职守，影响评标程序正常进行的；</w:t>
      </w:r>
    </w:p>
    <w:p w14:paraId="43BEBFE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（6）记录、复制或者带走任何评标资料；</w:t>
      </w:r>
    </w:p>
    <w:p w14:paraId="5AF24E4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（7）其他不遵守评标纪律的行为。</w:t>
      </w:r>
    </w:p>
    <w:p w14:paraId="3926450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评标委员会成员有以上任何一项行为之一的，其评标意见无效，并不得获取评标劳务报酬和报销异地评标差旅费。</w:t>
      </w:r>
    </w:p>
    <w:p w14:paraId="25D7586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22.9评标委员会成员要严格遵守评标时间，主动出具身份证明，遵守评标工作纪律和评标回避的相关规定。在评标工作开始前，将手机等通讯工具或相关电子设备交由招标人或采购代理机构统一保管，拒不上交的，招标人或采购代理机构可以拒绝其参加评标工作并向财政部门报告。</w:t>
      </w:r>
    </w:p>
    <w:p w14:paraId="11AB453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委员会成员和评标工作有关人员不得干预或者影响正常评标工作，不得明示或者暗示其倾向性、引导性意见，不得修改或细化采购文件确定的评标程序、评标方法、评标因素和评标标准，不得接受投标人主动提出的澄清和解释，不得征询招标人代表的倾向性意见，不得协商评分，不得记录、复制或带走任何评标资料。评标结果汇总完成后，招标人、采购代理机构和评标委员会均不得修改评标结果或者要求重新评标，但资格性检查认定错误、分值汇总计算错误、分项评分超出评分标准范围、客观分评分不一致、经评标委员会一致认定评分畸高、畸低的情形除外。出现上述除外情形的，评标委员会应当现场修改评标结果，并在评标报告中明确记载。</w:t>
      </w:r>
    </w:p>
    <w:p w14:paraId="20D94C63">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23. 评标</w:t>
      </w:r>
    </w:p>
    <w:p w14:paraId="69E74C6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 评标委员会按照第三章“评标方法及标准”规定的评标方法、评标因素、标准和程序以及有关法律、法规及规章对投标文件进行评标，评标委员会应当对符合资格的投标人的投标文件进行符合性审查，以确定其是否满足招标文件的实质性要求。</w:t>
      </w:r>
    </w:p>
    <w:p w14:paraId="63457A2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23.2 对于投标文件中含义不明确、同类问题表述不一致或者有明显文字和计算错误的内容，评标委员会应当以书面形式要求投标人作出必要的澄清、说明或者补正。</w:t>
      </w:r>
    </w:p>
    <w:p w14:paraId="2E9EEE1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0F0E6D8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 投标文件报价出现前后不一致的，除招标文件另有规定外，按照下列规定修正：</w:t>
      </w:r>
    </w:p>
    <w:p w14:paraId="72F696E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23.3.1 投标文件中</w:t>
      </w:r>
      <w:r>
        <w:rPr>
          <w:rFonts w:hint="eastAsia" w:ascii="宋体" w:hAnsi="宋体" w:cs="宋体"/>
          <w:b/>
          <w:color w:val="auto"/>
          <w:kern w:val="0"/>
          <w:szCs w:val="21"/>
          <w:highlight w:val="none"/>
        </w:rPr>
        <w:t>开标一览表（报价表）内容与投标文件中相应内容不一致的，以开标一览表（报价表）为准</w:t>
      </w:r>
      <w:r>
        <w:rPr>
          <w:rFonts w:hint="eastAsia" w:ascii="宋体" w:hAnsi="宋体" w:cs="宋体"/>
          <w:color w:val="auto"/>
          <w:kern w:val="0"/>
          <w:szCs w:val="21"/>
          <w:highlight w:val="none"/>
        </w:rPr>
        <w:t>；</w:t>
      </w:r>
    </w:p>
    <w:p w14:paraId="3823886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23.3.2 大写金额和小写金额不一致的，以大写金额为准；</w:t>
      </w:r>
    </w:p>
    <w:p w14:paraId="3FDE575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23.3.3 单价金额小数点或者百分比有明显错位的，以开标一览表的总价为准，并修改单价；</w:t>
      </w:r>
    </w:p>
    <w:p w14:paraId="4280B42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23.3.4 总价金额与按单价汇总金额不一致的，以单价金额计算结果为准。</w:t>
      </w:r>
    </w:p>
    <w:p w14:paraId="00DF635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同时出现两种以上不一致的，按照前款规定的顺序修正。修正后的报价按照本招标文件投标须知正文第25.2款的规定经投标人确认后产生约束力，</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投标人拒绝确认的，其投标无效</w:t>
      </w:r>
      <w:r>
        <w:rPr>
          <w:rFonts w:hint="eastAsia" w:ascii="宋体" w:hAnsi="宋体" w:cs="宋体"/>
          <w:color w:val="auto"/>
          <w:kern w:val="0"/>
          <w:szCs w:val="21"/>
          <w:highlight w:val="none"/>
        </w:rPr>
        <w:t>。</w:t>
      </w:r>
    </w:p>
    <w:p w14:paraId="29649B8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23.4 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投标人不能证明其报价合理性的，评标委员会应当将其作为无效投标处理</w:t>
      </w:r>
      <w:r>
        <w:rPr>
          <w:rFonts w:hint="eastAsia" w:ascii="宋体" w:hAnsi="宋体" w:cs="宋体"/>
          <w:color w:val="auto"/>
          <w:kern w:val="0"/>
          <w:szCs w:val="21"/>
          <w:highlight w:val="none"/>
        </w:rPr>
        <w:t>。</w:t>
      </w:r>
    </w:p>
    <w:p w14:paraId="239D5A4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23.5 评标委员会成员对需要共同认定的事项存在争议的，应当按照少数服从多数的原则作出结论。持不同意见的评标委员会成员应当在评标报告上签署不同意见及理由，否则视为同意评标报告。</w:t>
      </w:r>
    </w:p>
    <w:p w14:paraId="13FFF83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23.6 评标委员会应当按照招标文件中规定的评标方法和标准，对资格性审查、符合性审查合格的投标文件进行商务和技术评估，综合比较与评价。</w:t>
      </w:r>
    </w:p>
    <w:p w14:paraId="35BD9D24">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23.7 本项目评标方法为：综合评分法。</w:t>
      </w:r>
    </w:p>
    <w:p w14:paraId="1522D1E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23.7.1 </w:t>
      </w:r>
      <w:r>
        <w:rPr>
          <w:rFonts w:hint="eastAsia" w:ascii="宋体" w:hAnsi="宋体" w:cs="宋体"/>
          <w:b/>
          <w:color w:val="auto"/>
          <w:kern w:val="0"/>
          <w:szCs w:val="21"/>
          <w:highlight w:val="none"/>
        </w:rPr>
        <w:t>综合评分法</w:t>
      </w:r>
      <w:r>
        <w:rPr>
          <w:rFonts w:hint="eastAsia" w:ascii="宋体" w:hAnsi="宋体" w:cs="宋体"/>
          <w:color w:val="auto"/>
          <w:kern w:val="0"/>
          <w:szCs w:val="21"/>
          <w:highlight w:val="none"/>
        </w:rPr>
        <w:t>，是指投标文件满足招标文件全部实质性要求，且按照评标因素的量化指标评标得分最高的投标人为中标候选人的评标方法。</w:t>
      </w:r>
    </w:p>
    <w:p w14:paraId="00CD675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23.7.2 评标时，评标委员会各成员应当独立对每个投标人的投标文件进行评价，并汇总每个投标人的得分。</w:t>
      </w:r>
    </w:p>
    <w:p w14:paraId="4A072EE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23.7.3 评标过程中，不得去掉报价中的最高报价和最低报价。</w:t>
      </w:r>
    </w:p>
    <w:p w14:paraId="7D14CED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23.7.4 因落实政府采购政策进行价格调整的，以调整后的价格计算评标基准价和投标报价。</w:t>
      </w:r>
    </w:p>
    <w:p w14:paraId="3E87AF8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23.8 评标结果按评标后得分由高到低顺序排列，得分相同的，按投标报价由低到高顺序排列。得分且投标报价相同的并列。投标文件满足招标文件全部实质性要求，且按照评标因素的量化指标评标得分最高的投标人为排名第一的中标候选人。</w:t>
      </w:r>
    </w:p>
    <w:p w14:paraId="67FB15A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23.9 评标委员会发现招标文件存在歧义、重大缺陷导致评标工作无法进行，或者招标文件内容违反国家有关强制性规定的，应当停止评标工作，与招标人或者采购代理机构沟通并作书面记录。招标人或者采购代理机构确认后，应当修改招标文件，重新组织采购活动。</w:t>
      </w:r>
    </w:p>
    <w:p w14:paraId="526E55F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23.10 评标结果汇总完成后，除下列情形外，任何人不得修改评标结果：</w:t>
      </w:r>
    </w:p>
    <w:p w14:paraId="2536761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（1）分值汇总计算错误的；</w:t>
      </w:r>
    </w:p>
    <w:p w14:paraId="00C47C5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（2）分项评分超出评分标准范围的；</w:t>
      </w:r>
    </w:p>
    <w:p w14:paraId="33ED5F1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（3）评标委员会成员对客观评标因素评分不一致的；</w:t>
      </w:r>
    </w:p>
    <w:p w14:paraId="3E3FF07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（4）经评标委员会认定评分畸高、畸低的。</w:t>
      </w:r>
    </w:p>
    <w:p w14:paraId="0A28F2E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报告签署前，经复核发现存在以上情形之一的，评标委员会应当当场修改评标结果，并在评标报告中记载；评标报告签署后，招标人或者采购代理机构发现存在以上情形之一的，应当组织原评标委员会进行重新评标，重新评标改变评标结果的，书面报告本级财政部门。</w:t>
      </w:r>
    </w:p>
    <w:p w14:paraId="30759F6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投标人对上述（1）～（4）项提出质疑的，招标人或者采购代理机构可以组织原评标委员会进行重新评标，重新评标改变评标结果的，应当书面报告本级财政部门。</w:t>
      </w:r>
    </w:p>
    <w:p w14:paraId="7C13C76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23.11 评标委员会根据全体评标成员签字的原始评标记录和评标结果编写评标报告。评标报告应当包括以下内容：</w:t>
      </w:r>
    </w:p>
    <w:p w14:paraId="754D5BB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（1）招标公告刊登的媒体名称、开标日期和地点；</w:t>
      </w:r>
    </w:p>
    <w:p w14:paraId="79A4B87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（2）投标人名单和评标委员会成员名单；</w:t>
      </w:r>
    </w:p>
    <w:p w14:paraId="4F8E6B5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（3）评标方法和标准；</w:t>
      </w:r>
    </w:p>
    <w:p w14:paraId="58EE2F5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（4）开标记录和评标情况及说明，包括无效投标人名单及原因；</w:t>
      </w:r>
    </w:p>
    <w:p w14:paraId="7E6DEA2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（5）评标结果，确定的中标候选人名单或者经招标人委托直接确定的中标人；</w:t>
      </w:r>
    </w:p>
    <w:p w14:paraId="3EE2FDF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（6）其他需要说明的情况，包括评标过程中投标人根据评标委员会要求进行的澄清、说明或者补正，评标委员会成员的更换等。</w:t>
      </w:r>
    </w:p>
    <w:p w14:paraId="2D5F3DE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23.12 招标人、采购代理机构应当采取必要措施加强评标现场管理，与评标工作无关的人员不得进入评标现场，保证评标在严格保密的情况下进行。除招标人代表、评标现场组织人员外，招标人的其他工作人员以及与评标工作无关的人员不得进入评标现场。评标委员会成员及其它有关人员对评标情况以及在评标过程中获悉的国家秘密、商业秘密负有保密责任。</w:t>
      </w:r>
    </w:p>
    <w:p w14:paraId="3281B81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23.13 评标委员会或者其成员存在下列情形导致评标结果无效的，招标人、采购代理机构可以重新组建评标委员会进行评标，并书面报告本级财政部门，但采购合同已经履行的除外：</w:t>
      </w:r>
    </w:p>
    <w:p w14:paraId="4CB6013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（1）评标委员会组成不符合本招标文件规定的；</w:t>
      </w:r>
    </w:p>
    <w:p w14:paraId="25DFB7D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（2）有《政府采购货物和服务招标投标管理办法》（财政部令第87号）第六十二条第一至五项（即：本招标文件投标须知正文第25.8条第（1）至（5）项）情形的；</w:t>
      </w:r>
    </w:p>
    <w:p w14:paraId="02FF671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（3）评标委员会及其成员独立评标受到非法干预的；</w:t>
      </w:r>
    </w:p>
    <w:p w14:paraId="72611CC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（4）有《政府采购法实施条例》第七十五条规定的违法行为的。</w:t>
      </w:r>
    </w:p>
    <w:p w14:paraId="1628E73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有违法违规行为的原评标委员会成员不得参加重新组建的评标委员会。</w:t>
      </w:r>
    </w:p>
    <w:p w14:paraId="5D2E7C1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23.14 评标委员会发现采购文件存在歧义、重大缺陷导致评标工作无法进行，或者采购文件内容违反国家有关规定的，要停止评标工作并向招标人或采购代理机构书面说明情况，招标人或采购代理机构应当修改采购文件后重新组织采购活动；发现投标人提供虚假材料、串通等违法违规行为的，要及时向招标人或采购代理机构报告。</w:t>
      </w:r>
    </w:p>
    <w:p w14:paraId="60D2613B">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24. 确定中标人</w:t>
      </w:r>
    </w:p>
    <w:p w14:paraId="055FDD6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 定标</w:t>
      </w:r>
    </w:p>
    <w:p w14:paraId="40ED620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24.1.1 采购代理机构应当在评标结束后2个工作日内将评标报告送招标人。</w:t>
      </w:r>
    </w:p>
    <w:p w14:paraId="596FFD5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24.1.2 招标人应当自收到评标报告之日起5个工作日内，在评标报告确定的中标候选人名单中按顺序确定中标人。中标候选人并列的，由招标人或者招标人委托评标委员会按照招标文件规定的方式确定中标人；招标文件未规定的，采取随机抽取的方式确定。</w:t>
      </w:r>
    </w:p>
    <w:p w14:paraId="0A96595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24.1.3 招标人应当确定排名第一的中标候选人为中标人。排名第一的中标候选人拒绝签订合同而放弃中标、或因不可抗力提出不能履行合同，或者招标文件规定应当提交履约保证金而在规定的期限内未能提交的，招标人可以确定排名第二的中标候选人为中标人，以此类推。</w:t>
      </w:r>
    </w:p>
    <w:p w14:paraId="7661A50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24.1.4 招标人在收到评标报告5个工作日内未按评标报告推荐的中标候选人顺序确定中标人，又不能说明合法理由的，视同按评标报告推荐的顺序确定排名第一的中标候选人为中标人。</w:t>
      </w:r>
    </w:p>
    <w:p w14:paraId="59C0377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 中标结果公告</w:t>
      </w:r>
    </w:p>
    <w:p w14:paraId="02F6514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24.2.1 招标人或者采购代理机构应当自中标人确定之日起2个工作日内，在省级及以上财政部门指定的媒体上公告中标结果，招标文件应当随中标结果同时公告。</w:t>
      </w:r>
    </w:p>
    <w:p w14:paraId="30B23B3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24.2.2 中标结果公告内容应当包括招标人及其委托的采购代理机构的名称、地址、联系方式，项目名称和项目编号，中标人名称、地址和中标金额，主要中标标的的名称、内容、数量、中标价格、中标公告期限以及评标专家名单。</w:t>
      </w:r>
    </w:p>
    <w:p w14:paraId="157CC94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24.2.3 中标公告期限为1个工作日。</w:t>
      </w:r>
    </w:p>
    <w:p w14:paraId="66E465D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24.2.4 在公告中标结果的同时，招标人或者采购代理机构应当向中标人发出中标通知书；对未通过资格审查的投标人，应当告知其未通过的原因；采用综合评分法评标的，还应当告知未中标人本人的评标得分与排序。</w:t>
      </w:r>
    </w:p>
    <w:p w14:paraId="1FACE89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24.3 招标人不保证将合同授予最低投标报价的投标人。</w:t>
      </w:r>
    </w:p>
    <w:p w14:paraId="56095CB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24.4 在确定中标人前，招标采购单位不得与投标人就投标价格、投标方案等实质性内容进行谈判。</w:t>
      </w:r>
    </w:p>
    <w:p w14:paraId="07F2762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24.5 招标人有权在定标之前拒绝任何有不正当行为或扰乱正常招标工作的投标人，由此对投标人造成的损失不负任何责任，同时对此也不做任何解释。</w:t>
      </w:r>
    </w:p>
    <w:p w14:paraId="1F9C013D">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25. 招标终止</w:t>
      </w:r>
    </w:p>
    <w:p w14:paraId="084BE623">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25.1 在招标采购中，出现下列情形之一的，应予废标：</w:t>
      </w:r>
    </w:p>
    <w:p w14:paraId="087D00C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（1）符合专业条件的投标人或者对招标文件作实质响应的投标人不足三家的；</w:t>
      </w:r>
    </w:p>
    <w:p w14:paraId="56EAD23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14:paraId="14E2F25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（3）投标人的报价均超过了采购预算，招标人不能支付的；</w:t>
      </w:r>
    </w:p>
    <w:p w14:paraId="1EA93F2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（4）因重大变故，采购任务取消的。</w:t>
      </w:r>
    </w:p>
    <w:p w14:paraId="6D35002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废标后，招标人应当将废标理由通知所有投标人。</w:t>
      </w:r>
    </w:p>
    <w:p w14:paraId="6E3131B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废标后，除采购任务取消情形外，应当重新组织招标；需要采取其他方式采购的，应当在采购活动开始前获得设区的市、自治州以上人民政府采购监督管理部门或者政府有关部门批准。</w:t>
      </w:r>
    </w:p>
    <w:p w14:paraId="05C62C91">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25.2 出现下列情形之一的，招标人或者采购代理机构应当终止招标采购活动，在财政部门指定的媒体上发布项目终止公告并说明原因，重新开展采购活动：</w:t>
      </w:r>
    </w:p>
    <w:p w14:paraId="5EADF2E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25.2.1 因情况变化，不再符合规定的招标采购方式适用情形的；</w:t>
      </w:r>
    </w:p>
    <w:p w14:paraId="2B39AC2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25.2.2 出现影响采购公正的违法、违规行为的；</w:t>
      </w:r>
    </w:p>
    <w:p w14:paraId="583E2F7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25.2.3 已确定中标人但尚未签订政府采购合同的，中标结果无效，需从合格的中标候选人中另行确定中标人但没有合格的中标候选人的；</w:t>
      </w:r>
    </w:p>
    <w:p w14:paraId="619EB26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25.2.4 政府采购合同已签订但尚未履行的，撤销合同，需从合格的中标候选人中另行确定中标人但没有合格的中标候选人的；</w:t>
      </w:r>
    </w:p>
    <w:p w14:paraId="409FA00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25.2.5 因重大变故，采购任务取消的。</w:t>
      </w:r>
    </w:p>
    <w:p w14:paraId="0004392F">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26. 重新评标</w:t>
      </w:r>
    </w:p>
    <w:p w14:paraId="5AFB081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26.1 除本须知第23.10所述情形外，招标人或者采购代理机构不能以任何理由组织重新评标。招标人、采购代理机构发现评标委员会未按照招标文件规定的评标标准进行评标的，应当重新开展采购活动，并同时书面报告本级财政部门。</w:t>
      </w:r>
    </w:p>
    <w:p w14:paraId="7EE422D9">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27. 保密与纪律事项</w:t>
      </w:r>
    </w:p>
    <w:p w14:paraId="7B3DDEF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27.1 评标委员会成员以及与评标工作有关的人员不得泄露评标情况以及评标过程中获悉的国家秘密、商业秘密。</w:t>
      </w:r>
    </w:p>
    <w:p w14:paraId="52A319C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过程保密是指评标开始后评标委员会对投标人资格审查开始至中标公告期结束、中标通知书发出等与项目相关所有的文字、评标委员会的对话、音视频等相关资料的保密，如与采购项目相关的招标人、采购代理机构、评标委员会及公共资源交易中心人员及其他相关人员泄密，从而导致评标结果出现不公正性，有关行政主管部门将根据《政府采购法》、《政府采购法实施条例》及相关法律法规规定将责任人提请上级行政主管部门追究其责任；构成犯罪的，将提请司法机关依法追究其刑事责任。</w:t>
      </w:r>
    </w:p>
    <w:p w14:paraId="0B46F8D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27.2 投标人不得与招标人、采购代理机构、其他投标人恶意串通；不得向招标人、采购代理机构或者评标委员会成员行贿或者提供其他不正当利益；不得提供虚假材料谋取中标；不得以任何方式干扰、影响采购工作。</w:t>
      </w:r>
    </w:p>
    <w:p w14:paraId="7AA592F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27.3 有下列情形之一的，属于恶意串通，投标无效，并依照《政府采购法》第七十七条的规定追究法律责任：</w:t>
      </w:r>
    </w:p>
    <w:p w14:paraId="1531319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（1）投标人直接或者间接从招标人、采购代理机构获得其他投标人的投标情况，并修改其投标文件的；</w:t>
      </w:r>
    </w:p>
    <w:p w14:paraId="1958423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（2）投标人按照招标人或采购代理机构授意撤换、修改投标文件的；</w:t>
      </w:r>
    </w:p>
    <w:p w14:paraId="6A59A87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（3）投标人之间协商技术方案、合同条款以及报价等投标文件实质性内容的；</w:t>
      </w:r>
    </w:p>
    <w:p w14:paraId="4D8B559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（4）属于同一集团、协会、商会等组织成员的投标人按照该组织要求协同参加政府采购活动的；</w:t>
      </w:r>
    </w:p>
    <w:p w14:paraId="112C9F6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（5）投标人之间事先约定由某一特定投标人中标的；</w:t>
      </w:r>
    </w:p>
    <w:p w14:paraId="26F0B40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（6）投标人之间商定部分投标人放弃提交投标文件或者退出招标或者放弃中标的；</w:t>
      </w:r>
    </w:p>
    <w:p w14:paraId="28B7EB2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（7）投标人与招标人、采购代理机构以及评标委员会成员之间、投标人相互之间，为谋求特定投标人中标或者排斥其他投标人的其他串通行为的。</w:t>
      </w:r>
    </w:p>
    <w:p w14:paraId="46EEB19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（8）法律、行政法规或规章规定的其他串通行为。</w:t>
      </w:r>
    </w:p>
    <w:p w14:paraId="263A352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27.4 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9A8858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（1）提供虚假材料谋取中标的；</w:t>
      </w:r>
    </w:p>
    <w:p w14:paraId="70F2052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（2）采取不正当手段诋毁、排挤其他投标人的；</w:t>
      </w:r>
    </w:p>
    <w:p w14:paraId="1A7214C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（3）与招标人、其他投标人或者采购代理机构恶意串通的；</w:t>
      </w:r>
    </w:p>
    <w:p w14:paraId="5975C58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（4）向招标人、采购代理机构行贿或者提供其他不正当利益的；</w:t>
      </w:r>
    </w:p>
    <w:p w14:paraId="7ED5B43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（5）在招标采购过程中与招标人进行协商谈判的；</w:t>
      </w:r>
    </w:p>
    <w:p w14:paraId="2C18A91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（6）拒绝有关部门监督检查或者提供虚假情况的。</w:t>
      </w:r>
    </w:p>
    <w:p w14:paraId="51CDF5D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投标人有上述第（1）至（5）项情形之一的，中标无效。</w:t>
      </w:r>
    </w:p>
    <w:p w14:paraId="561A86E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27.5 投标人有下列情形之一的，依照《政府采购法》第七十七条第一款的规定追究法律责任：</w:t>
      </w:r>
    </w:p>
    <w:p w14:paraId="19D87B2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（1）向评标委员会成员行贿或者提供其他不正当利益；</w:t>
      </w:r>
    </w:p>
    <w:p w14:paraId="1229518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（2）中标后无正当理由拒不与招标人签订政府采购合同；</w:t>
      </w:r>
    </w:p>
    <w:p w14:paraId="251B6A2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（3）未按照采购文件确定的事项签订政府采购合同；</w:t>
      </w:r>
    </w:p>
    <w:p w14:paraId="72566A3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（4）将政府采购合同转包；</w:t>
      </w:r>
    </w:p>
    <w:p w14:paraId="7952448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（5）提供假冒伪劣产品；</w:t>
      </w:r>
    </w:p>
    <w:p w14:paraId="78B1CE9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（6）擅自变更、中止或者终止政府采购合同。</w:t>
      </w:r>
    </w:p>
    <w:p w14:paraId="7CC7923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有上述第一项规定情形的，中标无效。评标阶段资格发生变化，投标人未依照《政府采购法实施条例》第二十一条的规定通知招标人和采购代理机构的，处以采购金额5‰的罚款，列入不良行为记录名单，中标无效。</w:t>
      </w:r>
    </w:p>
    <w:p w14:paraId="30A3366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27.6 投标人捏造事实、提供虚假材料或者以非法手段取得证明材料进行投诉的，由财政部门列入不良行为记录名单，禁止其1至3年内参加政府采购活动。</w:t>
      </w:r>
    </w:p>
    <w:p w14:paraId="2C291B9E">
      <w:pPr>
        <w:pStyle w:val="89"/>
        <w:wordWrap w:val="0"/>
        <w:spacing w:line="360" w:lineRule="auto"/>
        <w:jc w:val="center"/>
        <w:outlineLvl w:val="0"/>
        <w:rPr>
          <w:rFonts w:ascii="宋体" w:hAnsi="宋体" w:cs="宋体"/>
          <w:b/>
          <w:bCs/>
          <w:color w:val="auto"/>
          <w:sz w:val="32"/>
          <w:szCs w:val="32"/>
          <w:highlight w:val="none"/>
        </w:rPr>
      </w:pPr>
      <w:bookmarkStart w:id="26" w:name="_Toc30906"/>
      <w:r>
        <w:rPr>
          <w:rFonts w:hint="eastAsia" w:ascii="宋体" w:hAnsi="宋体" w:cs="宋体"/>
          <w:b/>
          <w:bCs/>
          <w:color w:val="auto"/>
          <w:sz w:val="32"/>
          <w:szCs w:val="32"/>
          <w:highlight w:val="none"/>
        </w:rPr>
        <w:t>六、中标结果信息公布与授予合同</w:t>
      </w:r>
      <w:bookmarkEnd w:id="26"/>
    </w:p>
    <w:p w14:paraId="4851AA22">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28. 中标信息的公布</w:t>
      </w:r>
    </w:p>
    <w:p w14:paraId="1243B54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28.1 招标人或者采购代理机构应当自中标人确定之日起2个工作日内，发出中标通知书，并在省级及以上人民政府财政部门指定的媒体上公告中标结果，招标文件随中标结果同时公告。</w:t>
      </w:r>
    </w:p>
    <w:p w14:paraId="0AE9F8F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28.2 中标通知书对招标人和中标人具有同等法律效力。</w:t>
      </w:r>
    </w:p>
    <w:p w14:paraId="15F2820C">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29. 询问及质疑</w:t>
      </w:r>
    </w:p>
    <w:p w14:paraId="5A7D431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29.1 投标人对政府采购活动事项有疑问的，可以向招标人或采购代理机构提出询问，招标人或采购代理机构将在三个工作日内作出答复。</w:t>
      </w:r>
    </w:p>
    <w:p w14:paraId="1CA825C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 投标人若认为招标文件、招标过程和中标结果使自己的权益受到损害，应当在下列时间内以书面形式向招标人或采购代理机构提出：</w:t>
      </w:r>
    </w:p>
    <w:p w14:paraId="1863BFF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29.2.1 对可以质疑的招标文件提出质疑的，应在收到招标文件之日7个工作日内。</w:t>
      </w:r>
    </w:p>
    <w:p w14:paraId="1943CB0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29.2.2 对采购过程提出质疑的，应在该采购程序环节结束之日起7个工作日内提出。</w:t>
      </w:r>
    </w:p>
    <w:p w14:paraId="2251ABF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29.2.3 关于中标结果的质疑，应在中标结果信息发布后7个工作日内提出。</w:t>
      </w:r>
    </w:p>
    <w:p w14:paraId="15F64D3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29.3 投标人提出质疑的，应提供质疑书原件。招标人或采购代理机构应当向质疑投标人签收回执。</w:t>
      </w:r>
    </w:p>
    <w:p w14:paraId="7BB3038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29.4 质疑书应当包括下列内容：</w:t>
      </w:r>
    </w:p>
    <w:p w14:paraId="2E49954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29.4.1 质疑投标人的名称、地址及有效联系方式；</w:t>
      </w:r>
    </w:p>
    <w:p w14:paraId="3D76538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29.4.2 质疑事项；</w:t>
      </w:r>
    </w:p>
    <w:p w14:paraId="790E684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29.4.3 事实依据及相关证明材料；</w:t>
      </w:r>
    </w:p>
    <w:p w14:paraId="0EE0CC7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29.4.4 相关请求及主张。</w:t>
      </w:r>
    </w:p>
    <w:p w14:paraId="51AD752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29.5 质疑书应当由投标人法定代表人或其授权代表签字并加盖投标人单位章，质疑书由授权代表签字的应附投标人法定代表人委托授权书。</w:t>
      </w:r>
    </w:p>
    <w:p w14:paraId="503C814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29.6 招标人或采购代理机构将在签收回执之日起7个工作日内作出书面答复，并以书面形式通知质疑投标投标人和其他有关的投标人。招标人、采购代理机构认为投标人质疑不成立，或者成立但未对中标结果构成影响的，将继续开展采购活动。</w:t>
      </w:r>
    </w:p>
    <w:p w14:paraId="297AC4F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29.7 投标人对招标人或采购代理机构的答复不满意，或者招标人或采购代理机构未在规定的期限作出答复的，可在答复期满后15个工作日内，按政府采购相关法律法规的规定及程序，向同级财政部门提出投诉。</w:t>
      </w:r>
    </w:p>
    <w:p w14:paraId="1E32658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29.8 参与政府采购活动的投标人对评标过程或者结果提出质疑的，招标人或采购代理机构可以组织原评标委员会协助处理质疑事项，并依据评标委员会出具的意见进行答复。质疑答复导致中标结果改变的，招标人或采购代理机构应当将相关情况报财政部门备案。</w:t>
      </w:r>
    </w:p>
    <w:p w14:paraId="25401C63">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30. 中标通知</w:t>
      </w:r>
    </w:p>
    <w:p w14:paraId="1BB06BA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 中标人确定后，招标人或采购代理机构将以书面形式向中标人发出中标通知书。中标通知书对招标人和中标人具有同等法律效力。中标通知书发出后，招标人不得违法改变中标结果，中标人无正当理由不得放弃中标。</w:t>
      </w:r>
    </w:p>
    <w:p w14:paraId="63E24AB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 投标须知前附表规定了需提交履约担保的，中标人在收到中标通知书后10日内，应按照投标须知前附表的规定，向招标人提交履约担保。联合体中标的，履约担保由联合体各方或联合体中牵头人的名义提交。</w:t>
      </w:r>
    </w:p>
    <w:p w14:paraId="0F54D1E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30.3 招标文件要求中标人提交履约保证金的，中标人应当以电汇、支票、汇票、本票或者金融机构、担保机构出具的保函等非现金形式提交。中标人没有按照规定提交履约担保的，视为放弃中标资格，其投标保证金不予退还。</w:t>
      </w:r>
    </w:p>
    <w:p w14:paraId="17D6A5C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30.4 中标人拒绝与招标人签订合同的，招标人可以按照评标报告推荐的中标候选人名单排序，确定下一候选人为中标人，也可以重新开展政府采购活动。</w:t>
      </w:r>
    </w:p>
    <w:p w14:paraId="54C94834">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31. 签订合同</w:t>
      </w:r>
    </w:p>
    <w:p w14:paraId="5B58EF6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31.1 招标人应当自中标通知书发出之日起30日内，按照招标文件和中标人投标文件的规定，与中标人签订书面合同。所签订的合同不得对招标文件确定的事项和中标人投标文件作实质性修改。中标通知书是合同文件的组成部分。</w:t>
      </w:r>
    </w:p>
    <w:p w14:paraId="7D85681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招标人不得向中标人提出任何不合理的要求作为签订合同的条件。</w:t>
      </w:r>
    </w:p>
    <w:p w14:paraId="3AC5C77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31.2 政府采购合同应当包括招标人与中标人的名称和住所、标的、数量、质量、价款或者报酬、履行期限及地点和方式、验收要求、违约责任、解决争议的方法等内容。</w:t>
      </w:r>
    </w:p>
    <w:p w14:paraId="6A657FA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31.3 招标人与中标人应当根据合同的约定依法履行合同义务。</w:t>
      </w:r>
    </w:p>
    <w:p w14:paraId="5645C81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政府采购合同的履行、违约责任和解决争议的方法等适用《中华人民共和国民法典》。</w:t>
      </w:r>
    </w:p>
    <w:p w14:paraId="2D5E630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31.4 招标人应当及时对采购项目进行验收。招标人可以邀请参加本项目的其他投标人或者第三方机构参与验收。参与验收的投标人或者第三方机构的意见作为验收书的参考资料一并存档。</w:t>
      </w:r>
    </w:p>
    <w:p w14:paraId="338F1BA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31.5 招标人应当加强对中标人的履约管理，并按照采购合同约定，及时向中标人支付采购资金。对于中标人违反采购合同约定的行为，招标人应当及时处理，依法追究其违约责任。</w:t>
      </w:r>
    </w:p>
    <w:p w14:paraId="5FBDE60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31.6 中标人应当按照合同约定履行义务。中标人不得向他人转让中标项目，也不得将中标项目分包后分别向他人转让。合同分包需在投标文件中予以说明，并需经招标人同意。否则，招标人有权取消中标人的中标资格。</w:t>
      </w:r>
    </w:p>
    <w:p w14:paraId="3C57FFD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31.7 中标人有下列情形之一的，责令限期改正，情节严重的，列入不良行为记录名单，在1至3年内禁止参加政府采购活动，并予以通报：</w:t>
      </w:r>
    </w:p>
    <w:p w14:paraId="4C0D31F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31.7.1 中标后无正当理由不与招标人签订合同的；</w:t>
      </w:r>
    </w:p>
    <w:p w14:paraId="5684BC2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31.7.2 未按照招标文件确定的事项签订政府采购合同，或者与招标人另行订立背离合同实质性内容的协议的；</w:t>
      </w:r>
    </w:p>
    <w:p w14:paraId="355CEDB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31.7.3 拒绝履行合同义务的；</w:t>
      </w:r>
    </w:p>
    <w:p w14:paraId="4BDD2F8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31.7.4 违反法律、规章、规范性文件规定的。</w:t>
      </w:r>
    </w:p>
    <w:p w14:paraId="568F21B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31.8 政府采购合同的双方当事人不得擅自变更、中止或者终止合同。</w:t>
      </w:r>
    </w:p>
    <w:p w14:paraId="4502811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14:paraId="5ED031C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31.9 招标人应当自政府采购合同签订之日起2个工作日内，将政府采购合同在省级以上人民政府财政部门指定的媒体上公告，但政府采购合同中涉及国家秘密、商业秘密的内容除外。</w:t>
      </w:r>
    </w:p>
    <w:p w14:paraId="616DEA35">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32. 政府采购合同履行中数量的变更</w:t>
      </w:r>
    </w:p>
    <w:p w14:paraId="2D7A735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 政府采购合同履行中，招标人需追加与合同标的相同的货物、工程或者服务的，在不改变合同其他条款的前提下，可以与中标人协商签订补充合同，但所有补充合同的采购金额不得超过原合同采购金额的10%。</w:t>
      </w:r>
    </w:p>
    <w:p w14:paraId="1140E2BE">
      <w:pPr>
        <w:pStyle w:val="89"/>
        <w:wordWrap w:val="0"/>
        <w:spacing w:line="360" w:lineRule="auto"/>
        <w:jc w:val="center"/>
        <w:outlineLvl w:val="0"/>
        <w:rPr>
          <w:rFonts w:ascii="宋体" w:hAnsi="宋体" w:cs="宋体"/>
          <w:b/>
          <w:bCs/>
          <w:color w:val="auto"/>
          <w:sz w:val="32"/>
          <w:szCs w:val="32"/>
          <w:highlight w:val="none"/>
        </w:rPr>
      </w:pPr>
      <w:bookmarkStart w:id="27" w:name="_Toc1598"/>
      <w:r>
        <w:rPr>
          <w:rFonts w:hint="eastAsia" w:ascii="宋体" w:hAnsi="宋体" w:cs="宋体"/>
          <w:b/>
          <w:bCs/>
          <w:color w:val="auto"/>
          <w:sz w:val="32"/>
          <w:szCs w:val="32"/>
          <w:highlight w:val="none"/>
        </w:rPr>
        <w:t>七、其他规定</w:t>
      </w:r>
      <w:bookmarkEnd w:id="27"/>
    </w:p>
    <w:p w14:paraId="4F31ABAD">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33. 招标代理服务费</w:t>
      </w:r>
    </w:p>
    <w:p w14:paraId="6B883D3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33.1 中标人应按投标须知前附表规定交纳招标代理服务费。</w:t>
      </w:r>
    </w:p>
    <w:p w14:paraId="4193A2A0">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34. 履约保证金</w:t>
      </w:r>
    </w:p>
    <w:p w14:paraId="52FFFE2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34.1 中标人应按投标须知前附表规定交纳履约保证金。</w:t>
      </w:r>
    </w:p>
    <w:p w14:paraId="5DFD4F28">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 其他规定</w:t>
      </w:r>
    </w:p>
    <w:p w14:paraId="54EBB6B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35.1 招标人、采购代理机构应当建立真实完整的招标采购档案，妥善保存每项采购活动的采购文件。</w:t>
      </w:r>
    </w:p>
    <w:p w14:paraId="5D3453E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35.2 招标文件的其他规定见投标须知前附表。</w:t>
      </w:r>
    </w:p>
    <w:p w14:paraId="149350A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35.3 本招标文件是根据《中华人民共和国政府采购法》、《中华人民共和国政府采购法实施条例》和《政府采购货物和服务招标投标管理办法》（财政部令第87号）的规定编制，解释权属</w:t>
      </w:r>
      <w:r>
        <w:rPr>
          <w:rFonts w:hint="eastAsia" w:ascii="宋体" w:hAnsi="宋体" w:cs="宋体"/>
          <w:color w:val="auto"/>
          <w:kern w:val="0"/>
          <w:szCs w:val="21"/>
          <w:highlight w:val="none"/>
          <w:lang w:eastAsia="zh-CN"/>
        </w:rPr>
        <w:t>新疆新建联项目管理咨询有限公司</w:t>
      </w:r>
      <w:r>
        <w:rPr>
          <w:rFonts w:hint="eastAsia" w:ascii="宋体" w:hAnsi="宋体" w:cs="宋体"/>
          <w:color w:val="auto"/>
          <w:kern w:val="0"/>
          <w:szCs w:val="21"/>
          <w:highlight w:val="none"/>
        </w:rPr>
        <w:t>。</w:t>
      </w:r>
    </w:p>
    <w:p w14:paraId="02DF7D49">
      <w:pPr>
        <w:pStyle w:val="37"/>
        <w:wordWrap w:val="0"/>
        <w:spacing w:before="0" w:after="0" w:line="360" w:lineRule="auto"/>
        <w:rPr>
          <w:rFonts w:ascii="宋体" w:hAnsi="宋体" w:cs="宋体"/>
          <w:color w:val="auto"/>
          <w:sz w:val="36"/>
          <w:szCs w:val="36"/>
          <w:highlight w:val="none"/>
        </w:rPr>
      </w:pPr>
      <w:r>
        <w:rPr>
          <w:rFonts w:hint="eastAsia" w:ascii="宋体" w:hAnsi="宋体" w:cs="宋体"/>
          <w:color w:val="auto"/>
          <w:highlight w:val="none"/>
        </w:rPr>
        <w:br w:type="page"/>
      </w:r>
      <w:bookmarkStart w:id="28" w:name="_Toc1210"/>
      <w:bookmarkStart w:id="29" w:name="_Toc529282261"/>
      <w:r>
        <w:rPr>
          <w:rFonts w:hint="eastAsia" w:ascii="宋体" w:hAnsi="宋体" w:cs="宋体"/>
          <w:color w:val="auto"/>
          <w:sz w:val="36"/>
          <w:szCs w:val="36"/>
          <w:highlight w:val="none"/>
        </w:rPr>
        <w:t>第三章  评标方法及标准</w:t>
      </w:r>
      <w:bookmarkEnd w:id="28"/>
      <w:bookmarkEnd w:id="29"/>
    </w:p>
    <w:p w14:paraId="0024F283">
      <w:pPr>
        <w:pStyle w:val="89"/>
        <w:wordWrap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一、总则</w:t>
      </w:r>
    </w:p>
    <w:p w14:paraId="16107FDC">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评标委员会</w:t>
      </w:r>
    </w:p>
    <w:p w14:paraId="3E9323D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 评标由依法组建的评标委员会负责，其成员构成方式详见投标须知正文。</w:t>
      </w:r>
    </w:p>
    <w:p w14:paraId="0EF42153">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 评标方法</w:t>
      </w:r>
    </w:p>
    <w:p w14:paraId="615B4993">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2.1 本项目评标方法为：综合评分法。</w:t>
      </w:r>
    </w:p>
    <w:p w14:paraId="45E29C5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 综合评分法，是投标文件满足招标文件全部实质性要求，且按照评标因素的量化指标评标得分最高的投标人为中标候选人的评标方法。</w:t>
      </w:r>
    </w:p>
    <w:p w14:paraId="06B1A9D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评标因素的设定与投标人所提供货物服务的质量相关，包括投标报价、技术或者服务水平、履约能力、售后服务等。资格条件不得作为评标因素。</w:t>
      </w:r>
    </w:p>
    <w:p w14:paraId="7AFF07B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2.1.2 评标时，评标委员会各成员应当独立对每个投标人的投标文件进行评价，并汇总每个投标人的得分。</w:t>
      </w:r>
    </w:p>
    <w:p w14:paraId="733A234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2.1.3 评标过程中，不得去掉报价中的最高报价和最低报价。</w:t>
      </w:r>
    </w:p>
    <w:p w14:paraId="218074E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2.1.4 因落实政府采购政策进行价格调整的，以调整后的价格计算评标基准价和投标报价。</w:t>
      </w:r>
    </w:p>
    <w:p w14:paraId="6C965EA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 评标结果按评标后得分由高到低顺序排列，得分相同的，按投标报价由低到高顺序排列。得分且投标报价相同的并列。投标文件满足招标文件全部实质性要求，且按照评标因素的量化指标评标得分最高的投标人为排名第一的中标候选人。</w:t>
      </w:r>
    </w:p>
    <w:p w14:paraId="51078B86">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 评标原则和评标纪律</w:t>
      </w:r>
    </w:p>
    <w:p w14:paraId="589E01D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 评标委员会成员应当按照客观、公正、审慎的原则，根据招标文件规定的评标程序、评标方法和评标标准进行独立评标。评标委员会发现招标文件存在歧义、重大缺陷导致评标工作无法进行，或者招标文件内容违反国家有关强制性规定的，应当停止评标工作，与招标人或者采购代理机构沟通并作书面记录。招标人或者采购代理机构确认后，应当修改招标文件，重新组织采购活动。</w:t>
      </w:r>
    </w:p>
    <w:p w14:paraId="1D55F1D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 评标委员会成员应当在评标报告上签字，对自己的评标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6C9E715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 评标纪律</w:t>
      </w:r>
    </w:p>
    <w:p w14:paraId="5D0E414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3.3.1 招标人委派代表参加评标委员会的，应当向采购代理机构出具授权函。除授权代表外，招标人可以委派纪检监察等相关人员进入评标现场，对评标工作实施监督，但不得超过2人。招标人需要在评标前介绍项目背景和技术需求的，应当事先提交书面介绍材料，介绍内容不得存在歧视性、倾向性意见，不得超出采购文件所述范围，书面介绍材料作为采购项目文件随其他文件一并存档。</w:t>
      </w:r>
      <w:r>
        <w:rPr>
          <w:rFonts w:hint="eastAsia" w:ascii="宋体" w:hAnsi="宋体" w:cs="宋体"/>
          <w:b/>
          <w:color w:val="auto"/>
          <w:kern w:val="0"/>
          <w:szCs w:val="21"/>
          <w:highlight w:val="none"/>
        </w:rPr>
        <w:t>评标委员会应当推选组长，但招标人代表不得担任组长</w:t>
      </w:r>
      <w:r>
        <w:rPr>
          <w:rFonts w:hint="eastAsia" w:ascii="宋体" w:hAnsi="宋体" w:cs="宋体"/>
          <w:color w:val="auto"/>
          <w:kern w:val="0"/>
          <w:szCs w:val="21"/>
          <w:highlight w:val="none"/>
        </w:rPr>
        <w:t>。</w:t>
      </w:r>
    </w:p>
    <w:p w14:paraId="7630DEF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3.3.2 评标委员会成员要严格遵守评标时间，主动出具身份证明，遵守评标工作纪律和评标回避的相关规定。在评标工作开始前，将手机等通讯工具或相关电子设备交由招标人或采购代理机构统一保管，拒不上交的，招标人或采购代理机构可以拒绝其参加评标工作并向财政部门报告。</w:t>
      </w:r>
    </w:p>
    <w:p w14:paraId="3CB696C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3.3.3 评标委员会成员和评标工作有关人员不得干预或者影响正常评标工作，不得明示或者暗示其倾向性、引导性意见，不得修改或细化采购文件确定的评标程序、评标方法、评标因素和评标标准，不得接受投标人主动提出的澄清和解释，不得征询招标人代表的倾向性意见，不得协商评分，不得记录、复制或带走任何评标资料。评标结果汇总完成后，招标人、采购代理机构和评标委员会均不得修改评标结果或者要求重新评标，但资格性检查认定错误、分值汇总计算错误、分项评分超出评分标准范围、客观分评分不一致、经评标委员会一致认定评分畸高、畸低的情形除外。出现上述除外情形的，评标委员会应当现场修改评标结果，并在评标报告中明确记载。</w:t>
      </w:r>
    </w:p>
    <w:p w14:paraId="15919F6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3.3.4 评标委员会成员不得私自泄露评标内容。评标过程应严格遵守保密制度。开标后，直到授予中标人合同止，凡是属于审查、澄清、评价和比较的有关资料以及授标建议等均不得向投标人或其他无关的人员透露。</w:t>
      </w:r>
    </w:p>
    <w:p w14:paraId="5E08AAE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3.3.5 招标人、采购代理机构要加强评标现场管理，与评标工作无关的人员不得进入评标现场。各级财政部门对评标活动相关各方违反评标工作纪律及要求的行为，将依法严肃处理。</w:t>
      </w:r>
    </w:p>
    <w:p w14:paraId="72BC0AC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 评标委员会成员应当履行的义务</w:t>
      </w:r>
    </w:p>
    <w:p w14:paraId="0C13F31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3.4.1 评标委员会成员应根据政府采购法律法规和采购文件所载明的评标方法、标准进行评标，遵纪守法，客观、公正、廉洁地履行职责。</w:t>
      </w:r>
    </w:p>
    <w:p w14:paraId="6A07DC2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3.4.2 评标委员会成员应熟悉和理解采购文件，认真阅读所有投标人的投标文件，对所有投标文件逐一进行资格性、符合性检查，按采购文件规定的评标方法和标准，进行比较和评价；</w:t>
      </w:r>
    </w:p>
    <w:p w14:paraId="3ABC0FB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3.4.3 对投标人的价格分等客观评分项的评分应当一致，对其他需要借助专业知识评判的主观评分项，应当严格按照评分细则公正评分。</w:t>
      </w:r>
    </w:p>
    <w:p w14:paraId="31426AE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3.4.4 评标委员会如需要投标人对投标文件有关事项作出澄清的，应当给予投标人必要的反馈时间，但澄清事项不得超出投标文件的范围，不得实质性改变投标文件的内容，不得通过澄清等方式对投标人实行差别对待。</w:t>
      </w:r>
    </w:p>
    <w:p w14:paraId="47B6258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3.4.5 评标委员会应对评分汇总情况进行复核，特别是对排名第一的、报价最低的投标或相应文件被认定为无效的情形进行重点复核，并根据评标结果推荐中标候选人，或者根据招标人委托协议规定直接确定中标人，起草并签署评标报告。</w:t>
      </w:r>
    </w:p>
    <w:p w14:paraId="75420D2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3.4.6 评标委员会应在采购项目招标失败时，出具招标文件是否存在不合理条款的论证意见，并协助招标人、采购代理机构、财政部门答复质疑或处理投诉事项。</w:t>
      </w:r>
    </w:p>
    <w:p w14:paraId="2C04A04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3.4.7 评标委员会应对评标过程和结果以及投标人的商业秘密保密。</w:t>
      </w:r>
    </w:p>
    <w:p w14:paraId="2A6618B4">
      <w:pPr>
        <w:pStyle w:val="89"/>
        <w:wordWrap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二、评标程序</w:t>
      </w:r>
    </w:p>
    <w:p w14:paraId="068BFDDA">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4. 投标文件的初步评标</w:t>
      </w:r>
    </w:p>
    <w:p w14:paraId="3B30E98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 初步评标分为资格性检查和符合性检查。</w:t>
      </w:r>
    </w:p>
    <w:p w14:paraId="46ECDCE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4.1.1 资格性检查</w:t>
      </w:r>
    </w:p>
    <w:p w14:paraId="4DA9F99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根据法律法规和招标文件的规定，对投标文件中的资格证明文件、投标保证金等进行审查，以确定投标投标人是否具备投标资格。审查事项如下表：</w:t>
      </w:r>
    </w:p>
    <w:p w14:paraId="1CE90DD7">
      <w:pPr>
        <w:wordWrap w:val="0"/>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资格性检查表</w:t>
      </w:r>
    </w:p>
    <w:tbl>
      <w:tblPr>
        <w:tblStyle w:val="40"/>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3"/>
        <w:gridCol w:w="1100"/>
        <w:gridCol w:w="2834"/>
        <w:gridCol w:w="4939"/>
      </w:tblGrid>
      <w:tr w14:paraId="2C92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tblHeader/>
          <w:jc w:val="center"/>
        </w:trPr>
        <w:tc>
          <w:tcPr>
            <w:tcW w:w="723" w:type="dxa"/>
            <w:vAlign w:val="center"/>
          </w:tcPr>
          <w:p w14:paraId="29C93FC8">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934" w:type="dxa"/>
            <w:gridSpan w:val="2"/>
            <w:vAlign w:val="center"/>
          </w:tcPr>
          <w:p w14:paraId="2BBA5479">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检查因素</w:t>
            </w:r>
          </w:p>
        </w:tc>
        <w:tc>
          <w:tcPr>
            <w:tcW w:w="4939" w:type="dxa"/>
            <w:vAlign w:val="center"/>
          </w:tcPr>
          <w:p w14:paraId="7D737378">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检查内容</w:t>
            </w:r>
          </w:p>
        </w:tc>
      </w:tr>
      <w:tr w14:paraId="041B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restart"/>
            <w:vAlign w:val="center"/>
          </w:tcPr>
          <w:p w14:paraId="75E6B0E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00" w:type="dxa"/>
            <w:vMerge w:val="restart"/>
            <w:vAlign w:val="center"/>
          </w:tcPr>
          <w:p w14:paraId="52CC095C">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符合《中华人民共和国政府采购法》第二十二条规定，提供：</w:t>
            </w:r>
          </w:p>
        </w:tc>
        <w:tc>
          <w:tcPr>
            <w:tcW w:w="2834" w:type="dxa"/>
            <w:vAlign w:val="center"/>
          </w:tcPr>
          <w:p w14:paraId="4AD8B586">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tc>
        <w:tc>
          <w:tcPr>
            <w:tcW w:w="4939" w:type="dxa"/>
            <w:vAlign w:val="center"/>
          </w:tcPr>
          <w:p w14:paraId="589C013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投标人营业执照（营业执照应具有统一社会信用代码，否则应同时提供组织机构代码证和税务登记证），自然人的身份证明复印件，以证明投标人具有独立承担民事责任的能力。</w:t>
            </w:r>
          </w:p>
        </w:tc>
      </w:tr>
      <w:tr w14:paraId="07AE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continue"/>
            <w:vAlign w:val="center"/>
          </w:tcPr>
          <w:p w14:paraId="77010973">
            <w:pPr>
              <w:wordWrap w:val="0"/>
              <w:spacing w:line="360" w:lineRule="auto"/>
              <w:jc w:val="center"/>
              <w:rPr>
                <w:rFonts w:ascii="宋体" w:hAnsi="宋体" w:cs="宋体"/>
                <w:color w:val="auto"/>
                <w:szCs w:val="21"/>
                <w:highlight w:val="none"/>
              </w:rPr>
            </w:pPr>
          </w:p>
        </w:tc>
        <w:tc>
          <w:tcPr>
            <w:tcW w:w="1100" w:type="dxa"/>
            <w:vMerge w:val="continue"/>
            <w:vAlign w:val="center"/>
          </w:tcPr>
          <w:p w14:paraId="5AA2F026">
            <w:pPr>
              <w:wordWrap w:val="0"/>
              <w:spacing w:line="360" w:lineRule="auto"/>
              <w:jc w:val="left"/>
              <w:rPr>
                <w:rFonts w:ascii="宋体" w:hAnsi="宋体" w:cs="宋体"/>
                <w:color w:val="auto"/>
                <w:szCs w:val="21"/>
                <w:highlight w:val="none"/>
                <w:lang w:val="zh-CN"/>
              </w:rPr>
            </w:pPr>
          </w:p>
        </w:tc>
        <w:tc>
          <w:tcPr>
            <w:tcW w:w="2834" w:type="dxa"/>
            <w:vAlign w:val="center"/>
          </w:tcPr>
          <w:p w14:paraId="1DE958E9">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（2）</w:t>
            </w:r>
            <w:r>
              <w:rPr>
                <w:rFonts w:hint="eastAsia" w:ascii="宋体" w:hAnsi="宋体" w:cs="宋体"/>
                <w:color w:val="auto"/>
                <w:szCs w:val="21"/>
                <w:highlight w:val="none"/>
              </w:rPr>
              <w:t>具有良好的商业信誉和健全的财务会计制度</w:t>
            </w:r>
          </w:p>
        </w:tc>
        <w:tc>
          <w:tcPr>
            <w:tcW w:w="4939" w:type="dxa"/>
            <w:vAlign w:val="center"/>
          </w:tcPr>
          <w:p w14:paraId="52C8805B">
            <w:pPr>
              <w:wordWrap w:val="0"/>
              <w:spacing w:line="360" w:lineRule="auto"/>
              <w:rPr>
                <w:rFonts w:ascii="宋体" w:hAnsi="宋体" w:cs="宋体"/>
                <w:color w:val="auto"/>
                <w:szCs w:val="21"/>
                <w:highlight w:val="none"/>
              </w:rPr>
            </w:pPr>
            <w:r>
              <w:rPr>
                <w:rFonts w:hint="eastAsia" w:ascii="宋体" w:hAnsi="宋体" w:cs="宋体"/>
                <w:bCs/>
                <w:color w:val="auto"/>
                <w:kern w:val="0"/>
                <w:sz w:val="21"/>
                <w:szCs w:val="21"/>
                <w:highlight w:val="none"/>
                <w:lang w:val="en-US" w:eastAsia="zh-CN" w:bidi="ar-SA"/>
              </w:rPr>
              <w:t>提供</w:t>
            </w:r>
            <w:r>
              <w:rPr>
                <w:rFonts w:hint="eastAsia" w:ascii="宋体" w:hAnsi="宋体" w:eastAsia="宋体" w:cs="宋体"/>
                <w:bCs/>
                <w:color w:val="auto"/>
                <w:kern w:val="0"/>
                <w:sz w:val="21"/>
                <w:szCs w:val="21"/>
                <w:highlight w:val="none"/>
                <w:lang w:val="en-US" w:eastAsia="zh-CN" w:bidi="ar-SA"/>
              </w:rPr>
              <w:t>202</w:t>
            </w:r>
            <w:r>
              <w:rPr>
                <w:rFonts w:hint="eastAsia" w:ascii="宋体" w:hAnsi="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lang w:val="en-US" w:eastAsia="zh-CN" w:bidi="ar-SA"/>
              </w:rPr>
              <w:t>年度经第三方审计的财务审计报告，若企业成立期限不足一年者以营业执照实际成立期限为准，并按实际成立期限之日起提供财务报表；</w:t>
            </w:r>
          </w:p>
        </w:tc>
      </w:tr>
      <w:tr w14:paraId="5D1D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continue"/>
            <w:vAlign w:val="center"/>
          </w:tcPr>
          <w:p w14:paraId="74622336">
            <w:pPr>
              <w:wordWrap w:val="0"/>
              <w:spacing w:line="360" w:lineRule="auto"/>
              <w:jc w:val="center"/>
              <w:rPr>
                <w:rFonts w:ascii="宋体" w:hAnsi="宋体" w:cs="宋体"/>
                <w:color w:val="auto"/>
                <w:szCs w:val="21"/>
                <w:highlight w:val="none"/>
              </w:rPr>
            </w:pPr>
          </w:p>
        </w:tc>
        <w:tc>
          <w:tcPr>
            <w:tcW w:w="1100" w:type="dxa"/>
            <w:vMerge w:val="continue"/>
            <w:vAlign w:val="center"/>
          </w:tcPr>
          <w:p w14:paraId="74209A4F">
            <w:pPr>
              <w:wordWrap w:val="0"/>
              <w:spacing w:line="360" w:lineRule="auto"/>
              <w:jc w:val="left"/>
              <w:rPr>
                <w:rFonts w:ascii="宋体" w:hAnsi="宋体" w:cs="宋体"/>
                <w:color w:val="auto"/>
                <w:szCs w:val="21"/>
                <w:highlight w:val="none"/>
                <w:lang w:val="zh-CN"/>
              </w:rPr>
            </w:pPr>
          </w:p>
        </w:tc>
        <w:tc>
          <w:tcPr>
            <w:tcW w:w="2834" w:type="dxa"/>
            <w:vAlign w:val="center"/>
          </w:tcPr>
          <w:p w14:paraId="61C0AB96">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（3）具有履行合同所必须的专业技术能力</w:t>
            </w:r>
          </w:p>
        </w:tc>
        <w:tc>
          <w:tcPr>
            <w:tcW w:w="4939" w:type="dxa"/>
            <w:vAlign w:val="center"/>
          </w:tcPr>
          <w:p w14:paraId="4BB4977C">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提供具有履行合同所必需的设备和专业技术能力的承诺书；</w:t>
            </w:r>
          </w:p>
        </w:tc>
      </w:tr>
      <w:tr w14:paraId="145F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continue"/>
            <w:vAlign w:val="center"/>
          </w:tcPr>
          <w:p w14:paraId="74AD14DB">
            <w:pPr>
              <w:wordWrap w:val="0"/>
              <w:spacing w:line="360" w:lineRule="auto"/>
              <w:jc w:val="center"/>
              <w:rPr>
                <w:rFonts w:ascii="宋体" w:hAnsi="宋体" w:cs="宋体"/>
                <w:color w:val="auto"/>
                <w:szCs w:val="21"/>
                <w:highlight w:val="none"/>
              </w:rPr>
            </w:pPr>
          </w:p>
        </w:tc>
        <w:tc>
          <w:tcPr>
            <w:tcW w:w="1100" w:type="dxa"/>
            <w:vMerge w:val="continue"/>
            <w:vAlign w:val="center"/>
          </w:tcPr>
          <w:p w14:paraId="1C4555B0">
            <w:pPr>
              <w:wordWrap w:val="0"/>
              <w:spacing w:line="360" w:lineRule="auto"/>
              <w:jc w:val="left"/>
              <w:rPr>
                <w:rFonts w:ascii="宋体" w:hAnsi="宋体" w:cs="宋体"/>
                <w:color w:val="auto"/>
                <w:szCs w:val="21"/>
                <w:highlight w:val="none"/>
                <w:lang w:val="zh-CN"/>
              </w:rPr>
            </w:pPr>
          </w:p>
        </w:tc>
        <w:tc>
          <w:tcPr>
            <w:tcW w:w="2834" w:type="dxa"/>
            <w:vAlign w:val="center"/>
          </w:tcPr>
          <w:p w14:paraId="61B64FCA">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（4）有依法缴纳税收和社会保障金的良好记录</w:t>
            </w:r>
          </w:p>
        </w:tc>
        <w:tc>
          <w:tcPr>
            <w:tcW w:w="4939" w:type="dxa"/>
            <w:vAlign w:val="center"/>
          </w:tcPr>
          <w:p w14:paraId="3E72703E">
            <w:pPr>
              <w:wordWrap w:val="0"/>
              <w:spacing w:line="360" w:lineRule="auto"/>
              <w:rPr>
                <w:rFonts w:ascii="宋体" w:hAnsi="宋体" w:cs="宋体"/>
                <w:color w:val="auto"/>
                <w:szCs w:val="21"/>
                <w:highlight w:val="none"/>
              </w:rPr>
            </w:pPr>
            <w:r>
              <w:rPr>
                <w:rFonts w:hint="eastAsia"/>
                <w:color w:val="auto"/>
                <w:highlight w:val="none"/>
              </w:rPr>
              <w:t>提供</w:t>
            </w:r>
            <w:r>
              <w:rPr>
                <w:rFonts w:hint="eastAsia"/>
                <w:color w:val="auto"/>
                <w:highlight w:val="none"/>
                <w:lang w:eastAsia="zh-CN"/>
              </w:rPr>
              <w:t>：</w:t>
            </w:r>
            <w:r>
              <w:rPr>
                <w:rFonts w:hint="eastAsia" w:ascii="宋体" w:hAnsi="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lang w:val="en-US" w:eastAsia="zh-CN" w:bidi="ar-SA"/>
              </w:rPr>
              <w:t>2025年1月至2025年5月缴纳税收的凭据（完税证、缴款书、印花税票、银行代扣/缴，转账凭证等均可），依法免税的供应商，须提供相应文件证明其依法免税；</w:t>
            </w:r>
            <w:r>
              <w:rPr>
                <w:rFonts w:hint="eastAsia" w:ascii="宋体" w:hAnsi="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lang w:val="en-US" w:eastAsia="zh-CN" w:bidi="ar-SA"/>
              </w:rPr>
              <w:t>2025年1月至2025年5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w:t>
            </w:r>
          </w:p>
        </w:tc>
      </w:tr>
      <w:tr w14:paraId="54A2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continue"/>
            <w:vAlign w:val="center"/>
          </w:tcPr>
          <w:p w14:paraId="531A4947">
            <w:pPr>
              <w:wordWrap w:val="0"/>
              <w:spacing w:line="360" w:lineRule="auto"/>
              <w:jc w:val="center"/>
              <w:rPr>
                <w:rFonts w:ascii="宋体" w:hAnsi="宋体" w:cs="宋体"/>
                <w:color w:val="auto"/>
                <w:szCs w:val="21"/>
                <w:highlight w:val="none"/>
              </w:rPr>
            </w:pPr>
          </w:p>
        </w:tc>
        <w:tc>
          <w:tcPr>
            <w:tcW w:w="1100" w:type="dxa"/>
            <w:vMerge w:val="continue"/>
            <w:vAlign w:val="center"/>
          </w:tcPr>
          <w:p w14:paraId="0F7DD8CE">
            <w:pPr>
              <w:wordWrap w:val="0"/>
              <w:spacing w:line="360" w:lineRule="auto"/>
              <w:jc w:val="left"/>
              <w:rPr>
                <w:rFonts w:ascii="宋体" w:hAnsi="宋体" w:cs="宋体"/>
                <w:color w:val="auto"/>
                <w:szCs w:val="21"/>
                <w:highlight w:val="none"/>
                <w:lang w:val="zh-CN"/>
              </w:rPr>
            </w:pPr>
          </w:p>
        </w:tc>
        <w:tc>
          <w:tcPr>
            <w:tcW w:w="2834" w:type="dxa"/>
            <w:vAlign w:val="center"/>
          </w:tcPr>
          <w:p w14:paraId="4727FFFE">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rPr>
              <w:t>（5）参加政府采购活动近3年内，在经营活动中没有重大违法记录</w:t>
            </w:r>
          </w:p>
        </w:tc>
        <w:tc>
          <w:tcPr>
            <w:tcW w:w="4939" w:type="dxa"/>
            <w:vAlign w:val="center"/>
          </w:tcPr>
          <w:p w14:paraId="36D5A3B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参加政府采购活动前3年内在经营活动中没有重大违法记录的书面声明；</w:t>
            </w:r>
          </w:p>
          <w:p w14:paraId="1422DB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“重大违法记录”是指投标人因违法经营受到刑事处罚或者责令停产停业、吊销许可证或者执照、200万元以上罚款等行政处罚。</w:t>
            </w:r>
          </w:p>
          <w:p w14:paraId="409EC64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投标人在参加政府采购活动前3年内因违法经营被禁止在一定期限内参加政府采购活动，期限届满的，可以参加政府采购活动。有前述情形的，投标人应提供相应的证明材料。</w:t>
            </w:r>
          </w:p>
        </w:tc>
      </w:tr>
      <w:tr w14:paraId="59F0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continue"/>
            <w:vAlign w:val="center"/>
          </w:tcPr>
          <w:p w14:paraId="6C37D1B0">
            <w:pPr>
              <w:wordWrap w:val="0"/>
              <w:spacing w:line="360" w:lineRule="auto"/>
              <w:jc w:val="center"/>
              <w:rPr>
                <w:rFonts w:ascii="宋体" w:hAnsi="宋体" w:cs="宋体"/>
                <w:color w:val="auto"/>
                <w:szCs w:val="21"/>
                <w:highlight w:val="none"/>
              </w:rPr>
            </w:pPr>
          </w:p>
        </w:tc>
        <w:tc>
          <w:tcPr>
            <w:tcW w:w="1100" w:type="dxa"/>
            <w:vMerge w:val="continue"/>
            <w:vAlign w:val="center"/>
          </w:tcPr>
          <w:p w14:paraId="78A2DAEC">
            <w:pPr>
              <w:wordWrap w:val="0"/>
              <w:spacing w:line="360" w:lineRule="auto"/>
              <w:jc w:val="left"/>
              <w:rPr>
                <w:rFonts w:ascii="宋体" w:hAnsi="宋体" w:cs="宋体"/>
                <w:color w:val="auto"/>
                <w:szCs w:val="21"/>
                <w:highlight w:val="none"/>
                <w:lang w:val="zh-CN"/>
              </w:rPr>
            </w:pPr>
          </w:p>
        </w:tc>
        <w:tc>
          <w:tcPr>
            <w:tcW w:w="2834" w:type="dxa"/>
            <w:vAlign w:val="center"/>
          </w:tcPr>
          <w:p w14:paraId="2A5E7866">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6</w:t>
            </w:r>
            <w:r>
              <w:rPr>
                <w:rFonts w:hint="eastAsia" w:ascii="宋体" w:hAnsi="宋体" w:cs="宋体"/>
                <w:color w:val="auto"/>
                <w:szCs w:val="21"/>
                <w:highlight w:val="none"/>
                <w:lang w:val="zh-CN"/>
              </w:rPr>
              <w:t>）法律、行政法规规定的其他条件</w:t>
            </w:r>
          </w:p>
        </w:tc>
        <w:tc>
          <w:tcPr>
            <w:tcW w:w="4939" w:type="dxa"/>
            <w:vAlign w:val="center"/>
          </w:tcPr>
          <w:p w14:paraId="4002D2D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不能是被列入“信用中国”网站(www.creditchina.gov.cn)失信被执行人、重大税收违法案件当事人名单的供应商，不能是被列入“中国政府采购网”网站（www.ccgp.gov.cn）政府采购严重违法失信行为记录名单中仍在处罚期被禁止参加政府采购活动的供应商（由采购人或采购代理机构开启投标文件后现场查询）。</w:t>
            </w:r>
          </w:p>
        </w:tc>
      </w:tr>
      <w:tr w14:paraId="4A96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Align w:val="center"/>
          </w:tcPr>
          <w:p w14:paraId="5C8771A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934" w:type="dxa"/>
            <w:gridSpan w:val="2"/>
            <w:vAlign w:val="center"/>
          </w:tcPr>
          <w:p w14:paraId="305FB412">
            <w:pPr>
              <w:wordWrap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落实政府采购政策需满足的资格要求</w:t>
            </w:r>
          </w:p>
        </w:tc>
        <w:tc>
          <w:tcPr>
            <w:tcW w:w="4939" w:type="dxa"/>
            <w:vAlign w:val="center"/>
          </w:tcPr>
          <w:p w14:paraId="1B195AE2">
            <w:pPr>
              <w:wordWrap w:val="0"/>
              <w:spacing w:line="360" w:lineRule="auto"/>
              <w:rPr>
                <w:color w:val="auto"/>
                <w:highlight w:val="none"/>
              </w:rPr>
            </w:pPr>
            <w:r>
              <w:rPr>
                <w:rFonts w:hint="eastAsia"/>
                <w:color w:val="auto"/>
                <w:highlight w:val="none"/>
                <w:lang w:val="en-US" w:eastAsia="zh-CN"/>
              </w:rPr>
              <w:t>1.</w:t>
            </w:r>
            <w:r>
              <w:rPr>
                <w:rFonts w:hint="eastAsia"/>
                <w:b/>
                <w:bCs/>
                <w:color w:val="auto"/>
                <w:highlight w:val="none"/>
                <w:lang w:val="en-US" w:eastAsia="zh-CN"/>
              </w:rPr>
              <w:t>本项目为专门面向中小企业采购项目</w:t>
            </w:r>
            <w:r>
              <w:rPr>
                <w:rFonts w:hint="eastAsia"/>
                <w:color w:val="auto"/>
                <w:highlight w:val="none"/>
                <w:lang w:val="en-US" w:eastAsia="zh-CN"/>
              </w:rPr>
              <w:t>，参加投标的供应商需符合财政部、工业和信息化部《关于印发&lt;政府采购促进中小企业发展管理办法&gt;的通知》（财库〔2020〕46 号）对中小企业的要求，并提供《中小企业声明函》。（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若供应商为监狱企业、残疾人福利企业，提供相应证明材料后享受中小企业同等政策。）。2.</w:t>
            </w:r>
            <w:r>
              <w:rPr>
                <w:rFonts w:hint="eastAsia"/>
                <w:color w:val="auto"/>
                <w:highlight w:val="none"/>
              </w:rPr>
              <w:t>财政部民政部中国残疾人联合会《关于促进残疾人就业政府采购政策的通知》财库〔2017〕141号；</w:t>
            </w:r>
            <w:r>
              <w:rPr>
                <w:rFonts w:hint="eastAsia"/>
                <w:color w:val="auto"/>
                <w:highlight w:val="none"/>
                <w:lang w:val="en-US" w:eastAsia="zh-CN"/>
              </w:rPr>
              <w:t>3.</w:t>
            </w:r>
            <w:r>
              <w:rPr>
                <w:rFonts w:hint="eastAsia"/>
                <w:color w:val="auto"/>
                <w:highlight w:val="none"/>
              </w:rPr>
              <w:t>财政部、司法部《关于政府采购支持监狱企业发展有关问题的通知》（财库〔2014〕68号文）；</w:t>
            </w:r>
            <w:r>
              <w:rPr>
                <w:rFonts w:hint="eastAsia"/>
                <w:color w:val="auto"/>
                <w:highlight w:val="none"/>
                <w:lang w:val="en-US" w:eastAsia="zh-CN"/>
              </w:rPr>
              <w:t>4.</w:t>
            </w:r>
            <w:r>
              <w:rPr>
                <w:rFonts w:hint="eastAsia"/>
                <w:color w:val="auto"/>
                <w:highlight w:val="none"/>
              </w:rPr>
              <w:t>财政部、工业和信息化部《关于印发&lt;政府采购促进中小企业发展管理办法&gt;的通知》（财库〔2020〕46号）。（中小企业优惠、监狱企业、节能产品、环境标志产品等）</w:t>
            </w:r>
          </w:p>
        </w:tc>
      </w:tr>
      <w:tr w14:paraId="39A3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8" w:hRule="atLeast"/>
          <w:jc w:val="center"/>
        </w:trPr>
        <w:tc>
          <w:tcPr>
            <w:tcW w:w="723" w:type="dxa"/>
            <w:vAlign w:val="center"/>
          </w:tcPr>
          <w:p w14:paraId="3FC00E8F">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3</w:t>
            </w:r>
          </w:p>
        </w:tc>
        <w:tc>
          <w:tcPr>
            <w:tcW w:w="3934" w:type="dxa"/>
            <w:gridSpan w:val="2"/>
            <w:vAlign w:val="center"/>
          </w:tcPr>
          <w:p w14:paraId="4EA25B41">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本项目的特定资格要求</w:t>
            </w:r>
          </w:p>
        </w:tc>
        <w:tc>
          <w:tcPr>
            <w:tcW w:w="4939" w:type="dxa"/>
            <w:vAlign w:val="center"/>
          </w:tcPr>
          <w:p w14:paraId="302AFE41">
            <w:pPr>
              <w:wordWrap w:val="0"/>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无</w:t>
            </w:r>
          </w:p>
        </w:tc>
      </w:tr>
      <w:tr w14:paraId="4670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Align w:val="center"/>
          </w:tcPr>
          <w:p w14:paraId="2C3389FA">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4</w:t>
            </w:r>
          </w:p>
        </w:tc>
        <w:tc>
          <w:tcPr>
            <w:tcW w:w="3934" w:type="dxa"/>
            <w:gridSpan w:val="2"/>
            <w:vAlign w:val="center"/>
          </w:tcPr>
          <w:p w14:paraId="2C5B377D">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代理人的授权文件和身份证明</w:t>
            </w:r>
          </w:p>
        </w:tc>
        <w:tc>
          <w:tcPr>
            <w:tcW w:w="4939" w:type="dxa"/>
            <w:vAlign w:val="center"/>
          </w:tcPr>
          <w:p w14:paraId="5C3407BE">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法定代表人授权书原件和代理人的身份证复印件。</w:t>
            </w:r>
          </w:p>
        </w:tc>
      </w:tr>
      <w:tr w14:paraId="6762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Align w:val="center"/>
          </w:tcPr>
          <w:p w14:paraId="4E4B6AA7">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5</w:t>
            </w:r>
          </w:p>
        </w:tc>
        <w:tc>
          <w:tcPr>
            <w:tcW w:w="3934" w:type="dxa"/>
            <w:gridSpan w:val="2"/>
            <w:vAlign w:val="center"/>
          </w:tcPr>
          <w:p w14:paraId="3C5C97AE">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投标保证金</w:t>
            </w:r>
          </w:p>
        </w:tc>
        <w:tc>
          <w:tcPr>
            <w:tcW w:w="4939" w:type="dxa"/>
            <w:vAlign w:val="center"/>
          </w:tcPr>
          <w:p w14:paraId="4FB765E5">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符合本招标文件关于投标保证金的</w:t>
            </w:r>
            <w:r>
              <w:rPr>
                <w:rFonts w:hint="eastAsia" w:ascii="宋体" w:hAnsi="宋体" w:cs="宋体"/>
                <w:color w:val="auto"/>
                <w:szCs w:val="21"/>
                <w:highlight w:val="none"/>
                <w:lang w:val="zh-CN"/>
              </w:rPr>
              <w:t>规定。</w:t>
            </w:r>
          </w:p>
        </w:tc>
      </w:tr>
      <w:tr w14:paraId="5D89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Align w:val="center"/>
          </w:tcPr>
          <w:p w14:paraId="14E8008C">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6</w:t>
            </w:r>
          </w:p>
        </w:tc>
        <w:tc>
          <w:tcPr>
            <w:tcW w:w="3934" w:type="dxa"/>
            <w:gridSpan w:val="2"/>
            <w:vAlign w:val="center"/>
          </w:tcPr>
          <w:p w14:paraId="277826AA">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联合体</w:t>
            </w:r>
          </w:p>
        </w:tc>
        <w:tc>
          <w:tcPr>
            <w:tcW w:w="4939" w:type="dxa"/>
            <w:vAlign w:val="center"/>
          </w:tcPr>
          <w:p w14:paraId="4684223C">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本项目不接受联合体。</w:t>
            </w:r>
          </w:p>
        </w:tc>
      </w:tr>
    </w:tbl>
    <w:p w14:paraId="664B03B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4.1.2 符合性检查</w:t>
      </w:r>
    </w:p>
    <w:p w14:paraId="59EDD19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4.1.2.1 依据招标文件的规定，从投标文件的有效性、完整性和对招标文件的响应程度进行审查，以确定是否对招标文件的实质性要求作出响应。评标委员会评标投标文件的响应性只根据投标文件真实无误的内容，而不依据外部的证据，但投标文件有不真实、不正确的内容时除外。</w:t>
      </w:r>
    </w:p>
    <w:p w14:paraId="2536FA93">
      <w:pPr>
        <w:wordWrap w:val="0"/>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4.1.2.2 投标人不得通过修正或撤销不符合要求的偏离从而使其投标成为实质上响应的投标。</w:t>
      </w:r>
    </w:p>
    <w:p w14:paraId="0618198D">
      <w:pPr>
        <w:wordWrap w:val="0"/>
        <w:adjustRightInd w:val="0"/>
        <w:spacing w:line="360" w:lineRule="auto"/>
        <w:ind w:firstLine="420" w:firstLineChars="200"/>
        <w:rPr>
          <w:rFonts w:hint="eastAsia" w:ascii="宋体" w:hAnsi="宋体" w:cs="宋体"/>
          <w:color w:val="auto"/>
          <w:kern w:val="0"/>
          <w:szCs w:val="21"/>
          <w:highlight w:val="none"/>
        </w:rPr>
      </w:pPr>
    </w:p>
    <w:p w14:paraId="22F42235">
      <w:pPr>
        <w:wordWrap w:val="0"/>
        <w:adjustRightInd w:val="0"/>
        <w:spacing w:line="360" w:lineRule="auto"/>
        <w:ind w:firstLine="420" w:firstLineChars="200"/>
        <w:rPr>
          <w:rFonts w:hint="eastAsia" w:ascii="宋体" w:hAnsi="宋体" w:cs="宋体"/>
          <w:color w:val="auto"/>
          <w:kern w:val="0"/>
          <w:szCs w:val="21"/>
          <w:highlight w:val="none"/>
        </w:rPr>
      </w:pPr>
    </w:p>
    <w:p w14:paraId="28FC406F">
      <w:pPr>
        <w:wordWrap w:val="0"/>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符合性检查表</w:t>
      </w:r>
    </w:p>
    <w:tbl>
      <w:tblPr>
        <w:tblStyle w:val="40"/>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5"/>
        <w:gridCol w:w="993"/>
        <w:gridCol w:w="2161"/>
        <w:gridCol w:w="5255"/>
      </w:tblGrid>
      <w:tr w14:paraId="2B7A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blHeader/>
          <w:jc w:val="center"/>
        </w:trPr>
        <w:tc>
          <w:tcPr>
            <w:tcW w:w="675" w:type="dxa"/>
            <w:vAlign w:val="center"/>
          </w:tcPr>
          <w:p w14:paraId="159FC406">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154" w:type="dxa"/>
            <w:gridSpan w:val="2"/>
            <w:vAlign w:val="center"/>
          </w:tcPr>
          <w:p w14:paraId="560B04D9">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评标因素</w:t>
            </w:r>
          </w:p>
        </w:tc>
        <w:tc>
          <w:tcPr>
            <w:tcW w:w="5255" w:type="dxa"/>
            <w:vAlign w:val="center"/>
          </w:tcPr>
          <w:p w14:paraId="08247ECB">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评标标准</w:t>
            </w:r>
          </w:p>
        </w:tc>
      </w:tr>
      <w:tr w14:paraId="67B4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75" w:type="dxa"/>
            <w:vMerge w:val="restart"/>
            <w:vAlign w:val="center"/>
          </w:tcPr>
          <w:p w14:paraId="515C135C">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93" w:type="dxa"/>
            <w:vMerge w:val="restart"/>
            <w:vAlign w:val="center"/>
          </w:tcPr>
          <w:p w14:paraId="7950D537">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有效性</w:t>
            </w:r>
          </w:p>
          <w:p w14:paraId="31BB736A">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审查</w:t>
            </w:r>
          </w:p>
        </w:tc>
        <w:tc>
          <w:tcPr>
            <w:tcW w:w="2161" w:type="dxa"/>
            <w:vAlign w:val="center"/>
          </w:tcPr>
          <w:p w14:paraId="67902398">
            <w:pPr>
              <w:wordWrap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投标文件签署</w:t>
            </w:r>
          </w:p>
        </w:tc>
        <w:tc>
          <w:tcPr>
            <w:tcW w:w="5255" w:type="dxa"/>
            <w:vAlign w:val="center"/>
          </w:tcPr>
          <w:p w14:paraId="6451F56C">
            <w:pPr>
              <w:wordWrap w:val="0"/>
              <w:spacing w:line="240" w:lineRule="auto"/>
              <w:jc w:val="left"/>
              <w:rPr>
                <w:rFonts w:ascii="宋体" w:hAnsi="宋体" w:cs="宋体"/>
                <w:color w:val="auto"/>
                <w:kern w:val="0"/>
                <w:szCs w:val="21"/>
                <w:highlight w:val="none"/>
              </w:rPr>
            </w:pPr>
            <w:r>
              <w:rPr>
                <w:rFonts w:hint="eastAsia" w:ascii="宋体" w:hAnsi="宋体" w:cs="宋体"/>
                <w:color w:val="auto"/>
                <w:szCs w:val="21"/>
                <w:highlight w:val="none"/>
              </w:rPr>
              <w:t>投标文件上法定代表人或其授权代理人的签字、投标人的单位章齐全符合招标文件规定。</w:t>
            </w:r>
          </w:p>
        </w:tc>
      </w:tr>
      <w:tr w14:paraId="1885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3" w:hRule="atLeast"/>
          <w:jc w:val="center"/>
        </w:trPr>
        <w:tc>
          <w:tcPr>
            <w:tcW w:w="675" w:type="dxa"/>
            <w:vMerge w:val="continue"/>
            <w:vAlign w:val="center"/>
          </w:tcPr>
          <w:p w14:paraId="6E9F6E2E">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528DBDD4">
            <w:pPr>
              <w:wordWrap w:val="0"/>
              <w:spacing w:line="360" w:lineRule="auto"/>
              <w:jc w:val="center"/>
              <w:rPr>
                <w:rFonts w:ascii="宋体" w:hAnsi="宋体" w:cs="宋体"/>
                <w:color w:val="auto"/>
                <w:kern w:val="0"/>
                <w:szCs w:val="21"/>
                <w:highlight w:val="none"/>
              </w:rPr>
            </w:pPr>
          </w:p>
        </w:tc>
        <w:tc>
          <w:tcPr>
            <w:tcW w:w="2161" w:type="dxa"/>
            <w:vAlign w:val="center"/>
          </w:tcPr>
          <w:p w14:paraId="465874FC">
            <w:pPr>
              <w:wordWrap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投标方案</w:t>
            </w:r>
          </w:p>
        </w:tc>
        <w:tc>
          <w:tcPr>
            <w:tcW w:w="5255" w:type="dxa"/>
            <w:vAlign w:val="center"/>
          </w:tcPr>
          <w:p w14:paraId="3498AA17">
            <w:pPr>
              <w:wordWrap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zh-CN"/>
              </w:rPr>
              <w:t>只有一个方案投标。</w:t>
            </w:r>
          </w:p>
        </w:tc>
      </w:tr>
      <w:tr w14:paraId="4F09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6" w:hRule="atLeast"/>
          <w:jc w:val="center"/>
        </w:trPr>
        <w:tc>
          <w:tcPr>
            <w:tcW w:w="675" w:type="dxa"/>
            <w:vMerge w:val="continue"/>
            <w:vAlign w:val="center"/>
          </w:tcPr>
          <w:p w14:paraId="3CCCAE56">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01996B84">
            <w:pPr>
              <w:wordWrap w:val="0"/>
              <w:spacing w:line="360" w:lineRule="auto"/>
              <w:jc w:val="center"/>
              <w:rPr>
                <w:rFonts w:ascii="宋体" w:hAnsi="宋体" w:cs="宋体"/>
                <w:color w:val="auto"/>
                <w:kern w:val="0"/>
                <w:szCs w:val="21"/>
                <w:highlight w:val="none"/>
              </w:rPr>
            </w:pPr>
          </w:p>
        </w:tc>
        <w:tc>
          <w:tcPr>
            <w:tcW w:w="2161" w:type="dxa"/>
            <w:vAlign w:val="center"/>
          </w:tcPr>
          <w:p w14:paraId="033909D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5255" w:type="dxa"/>
            <w:vAlign w:val="center"/>
          </w:tcPr>
          <w:p w14:paraId="490CBF4E">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投标总报价未超过采购预算金额，且只有一个有效报价，不得提交选择性报价。</w:t>
            </w:r>
          </w:p>
        </w:tc>
      </w:tr>
      <w:tr w14:paraId="146F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675" w:type="dxa"/>
            <w:vMerge w:val="continue"/>
            <w:vAlign w:val="center"/>
          </w:tcPr>
          <w:p w14:paraId="76FF0202">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224B6FE4">
            <w:pPr>
              <w:wordWrap w:val="0"/>
              <w:spacing w:line="360" w:lineRule="auto"/>
              <w:jc w:val="center"/>
              <w:rPr>
                <w:rFonts w:ascii="宋体" w:hAnsi="宋体" w:cs="宋体"/>
                <w:color w:val="auto"/>
                <w:kern w:val="0"/>
                <w:szCs w:val="21"/>
                <w:highlight w:val="none"/>
              </w:rPr>
            </w:pPr>
          </w:p>
        </w:tc>
        <w:tc>
          <w:tcPr>
            <w:tcW w:w="2161" w:type="dxa"/>
            <w:vAlign w:val="center"/>
          </w:tcPr>
          <w:p w14:paraId="618F50D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255" w:type="dxa"/>
            <w:vAlign w:val="center"/>
          </w:tcPr>
          <w:p w14:paraId="57C9CC3B">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en-US" w:eastAsia="zh-CN"/>
              </w:rPr>
              <w:t>按投标人须知前附表规定</w:t>
            </w:r>
            <w:r>
              <w:rPr>
                <w:rFonts w:hint="eastAsia" w:ascii="宋体" w:hAnsi="宋体" w:cs="宋体"/>
                <w:color w:val="auto"/>
                <w:szCs w:val="21"/>
                <w:highlight w:val="none"/>
                <w:lang w:val="zh-CN"/>
              </w:rPr>
              <w:t>按时、足额缴纳投标保证金。</w:t>
            </w:r>
          </w:p>
        </w:tc>
      </w:tr>
      <w:tr w14:paraId="73D4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75" w:type="dxa"/>
            <w:vMerge w:val="restart"/>
            <w:vAlign w:val="center"/>
          </w:tcPr>
          <w:p w14:paraId="7F68AFE3">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93" w:type="dxa"/>
            <w:vMerge w:val="restart"/>
            <w:vAlign w:val="center"/>
          </w:tcPr>
          <w:p w14:paraId="68973B61">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完整性</w:t>
            </w:r>
          </w:p>
          <w:p w14:paraId="680B5B87">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审查</w:t>
            </w:r>
          </w:p>
        </w:tc>
        <w:tc>
          <w:tcPr>
            <w:tcW w:w="2161" w:type="dxa"/>
            <w:vAlign w:val="center"/>
          </w:tcPr>
          <w:p w14:paraId="5B97DE57">
            <w:pPr>
              <w:wordWrap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lang w:val="zh-CN"/>
              </w:rPr>
              <w:t>投标文件</w:t>
            </w:r>
          </w:p>
        </w:tc>
        <w:tc>
          <w:tcPr>
            <w:tcW w:w="5255" w:type="dxa"/>
            <w:vAlign w:val="center"/>
          </w:tcPr>
          <w:p w14:paraId="1BBFEE75">
            <w:pPr>
              <w:wordWrap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zh-CN"/>
              </w:rPr>
              <w:t>投标文件符合招标文件要求。</w:t>
            </w:r>
          </w:p>
        </w:tc>
      </w:tr>
      <w:tr w14:paraId="6944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675" w:type="dxa"/>
            <w:vMerge w:val="continue"/>
            <w:vAlign w:val="center"/>
          </w:tcPr>
          <w:p w14:paraId="1F0A1DB4">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41960FA0">
            <w:pPr>
              <w:wordWrap w:val="0"/>
              <w:spacing w:line="360" w:lineRule="auto"/>
              <w:jc w:val="center"/>
              <w:rPr>
                <w:rFonts w:ascii="宋体" w:hAnsi="宋体" w:cs="宋体"/>
                <w:color w:val="auto"/>
                <w:kern w:val="0"/>
                <w:szCs w:val="21"/>
                <w:highlight w:val="none"/>
              </w:rPr>
            </w:pPr>
          </w:p>
        </w:tc>
        <w:tc>
          <w:tcPr>
            <w:tcW w:w="2161" w:type="dxa"/>
            <w:vAlign w:val="center"/>
          </w:tcPr>
          <w:p w14:paraId="32130C3F">
            <w:pPr>
              <w:wordWrap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投标文件内容</w:t>
            </w:r>
          </w:p>
        </w:tc>
        <w:tc>
          <w:tcPr>
            <w:tcW w:w="5255" w:type="dxa"/>
            <w:vAlign w:val="center"/>
          </w:tcPr>
          <w:p w14:paraId="42890C4D">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投标文件应按照第六章《投标文件格式》规定的内容编制，内容齐全、字迹清晰可辨、无遗漏。</w:t>
            </w:r>
          </w:p>
        </w:tc>
      </w:tr>
      <w:tr w14:paraId="2F57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675" w:type="dxa"/>
            <w:vMerge w:val="continue"/>
            <w:vAlign w:val="center"/>
          </w:tcPr>
          <w:p w14:paraId="1B08EDF5">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409D7FF5">
            <w:pPr>
              <w:wordWrap w:val="0"/>
              <w:spacing w:line="360" w:lineRule="auto"/>
              <w:jc w:val="center"/>
              <w:rPr>
                <w:rFonts w:ascii="宋体" w:hAnsi="宋体" w:cs="宋体"/>
                <w:color w:val="auto"/>
                <w:kern w:val="0"/>
                <w:szCs w:val="21"/>
                <w:highlight w:val="none"/>
              </w:rPr>
            </w:pPr>
          </w:p>
        </w:tc>
        <w:tc>
          <w:tcPr>
            <w:tcW w:w="2161" w:type="dxa"/>
            <w:vAlign w:val="center"/>
          </w:tcPr>
          <w:p w14:paraId="7542BD6E">
            <w:pPr>
              <w:wordWrap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电子投标文件</w:t>
            </w:r>
            <w:r>
              <w:rPr>
                <w:rFonts w:hint="eastAsia" w:ascii="宋体" w:hAnsi="宋体" w:cs="宋体"/>
                <w:color w:val="auto"/>
                <w:szCs w:val="21"/>
                <w:highlight w:val="none"/>
              </w:rPr>
              <w:t>完整性</w:t>
            </w:r>
          </w:p>
        </w:tc>
        <w:tc>
          <w:tcPr>
            <w:tcW w:w="5255" w:type="dxa"/>
            <w:vAlign w:val="center"/>
          </w:tcPr>
          <w:p w14:paraId="1C6A2697">
            <w:pPr>
              <w:wordWrap w:val="0"/>
              <w:spacing w:line="24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投标人在政采云平台上传的电子投标文件（</w:t>
            </w:r>
            <w:r>
              <w:rPr>
                <w:rFonts w:hint="eastAsia" w:ascii="宋体" w:hAnsi="宋体" w:cs="宋体"/>
                <w:color w:val="auto"/>
                <w:szCs w:val="21"/>
                <w:highlight w:val="none"/>
              </w:rPr>
              <w:t>资格响应文件、商务技术响应文件、报价要求响应文件</w:t>
            </w:r>
            <w:r>
              <w:rPr>
                <w:rFonts w:hint="eastAsia" w:ascii="宋体" w:hAnsi="宋体" w:cs="宋体"/>
                <w:color w:val="auto"/>
                <w:szCs w:val="21"/>
                <w:highlight w:val="none"/>
                <w:lang w:val="zh-CN"/>
              </w:rPr>
              <w:t>）内容</w:t>
            </w:r>
            <w:r>
              <w:rPr>
                <w:rFonts w:hint="eastAsia" w:ascii="宋体" w:hAnsi="宋体" w:cs="宋体"/>
                <w:color w:val="auto"/>
                <w:szCs w:val="21"/>
                <w:highlight w:val="none"/>
              </w:rPr>
              <w:t>完整并按照投标须知前附表及新疆政府采购网要求上传电子投标文件。</w:t>
            </w:r>
          </w:p>
        </w:tc>
      </w:tr>
      <w:tr w14:paraId="6A7C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atLeast"/>
          <w:jc w:val="center"/>
        </w:trPr>
        <w:tc>
          <w:tcPr>
            <w:tcW w:w="675" w:type="dxa"/>
            <w:vMerge w:val="restart"/>
            <w:vAlign w:val="center"/>
          </w:tcPr>
          <w:p w14:paraId="4C27F674">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3" w:type="dxa"/>
            <w:vMerge w:val="restart"/>
            <w:vAlign w:val="center"/>
          </w:tcPr>
          <w:p w14:paraId="61FFD89C">
            <w:pPr>
              <w:wordWrap w:val="0"/>
              <w:spacing w:line="360" w:lineRule="auto"/>
              <w:jc w:val="center"/>
              <w:rPr>
                <w:rFonts w:ascii="宋体" w:hAnsi="宋体" w:cs="宋体"/>
                <w:color w:val="auto"/>
                <w:szCs w:val="21"/>
                <w:highlight w:val="none"/>
                <w:lang w:val="zh-CN"/>
              </w:rPr>
            </w:pPr>
            <w:r>
              <w:rPr>
                <w:rFonts w:hint="eastAsia" w:ascii="宋体" w:hAnsi="宋体" w:cs="宋体"/>
                <w:color w:val="auto"/>
                <w:kern w:val="0"/>
                <w:szCs w:val="21"/>
                <w:highlight w:val="none"/>
              </w:rPr>
              <w:t>对招标文件的响应程度审查</w:t>
            </w:r>
          </w:p>
        </w:tc>
        <w:tc>
          <w:tcPr>
            <w:tcW w:w="2161" w:type="dxa"/>
            <w:vAlign w:val="center"/>
          </w:tcPr>
          <w:p w14:paraId="0F846C3F">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投标内容</w:t>
            </w:r>
          </w:p>
        </w:tc>
        <w:tc>
          <w:tcPr>
            <w:tcW w:w="5255" w:type="dxa"/>
            <w:vAlign w:val="center"/>
          </w:tcPr>
          <w:p w14:paraId="181FB994">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符合本采购项目的招标范围。</w:t>
            </w:r>
          </w:p>
        </w:tc>
      </w:tr>
      <w:tr w14:paraId="336A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675" w:type="dxa"/>
            <w:vMerge w:val="continue"/>
            <w:vAlign w:val="center"/>
          </w:tcPr>
          <w:p w14:paraId="68F825F1">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2BCBCBEA">
            <w:pPr>
              <w:wordWrap w:val="0"/>
              <w:spacing w:line="360" w:lineRule="auto"/>
              <w:jc w:val="center"/>
              <w:rPr>
                <w:rFonts w:ascii="宋体" w:hAnsi="宋体" w:cs="宋体"/>
                <w:color w:val="auto"/>
                <w:kern w:val="0"/>
                <w:szCs w:val="21"/>
                <w:highlight w:val="none"/>
              </w:rPr>
            </w:pPr>
          </w:p>
        </w:tc>
        <w:tc>
          <w:tcPr>
            <w:tcW w:w="2161" w:type="dxa"/>
            <w:vAlign w:val="center"/>
          </w:tcPr>
          <w:p w14:paraId="0F854D38">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供货范围</w:t>
            </w:r>
          </w:p>
        </w:tc>
        <w:tc>
          <w:tcPr>
            <w:tcW w:w="5255" w:type="dxa"/>
            <w:vAlign w:val="center"/>
          </w:tcPr>
          <w:p w14:paraId="278320FD">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对招标文件规定的供货范围全部作出响应。</w:t>
            </w:r>
          </w:p>
        </w:tc>
      </w:tr>
      <w:tr w14:paraId="5DDC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75" w:type="dxa"/>
            <w:vMerge w:val="continue"/>
            <w:vAlign w:val="center"/>
          </w:tcPr>
          <w:p w14:paraId="638E08CC">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485F8FF9">
            <w:pPr>
              <w:wordWrap w:val="0"/>
              <w:spacing w:line="360" w:lineRule="auto"/>
              <w:rPr>
                <w:rFonts w:ascii="宋体" w:hAnsi="宋体" w:cs="宋体"/>
                <w:color w:val="auto"/>
                <w:kern w:val="0"/>
                <w:szCs w:val="21"/>
                <w:highlight w:val="none"/>
              </w:rPr>
            </w:pPr>
          </w:p>
        </w:tc>
        <w:tc>
          <w:tcPr>
            <w:tcW w:w="2161" w:type="dxa"/>
            <w:vAlign w:val="center"/>
          </w:tcPr>
          <w:p w14:paraId="5034AB0C">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供货期限</w:t>
            </w:r>
          </w:p>
        </w:tc>
        <w:tc>
          <w:tcPr>
            <w:tcW w:w="5255" w:type="dxa"/>
            <w:vAlign w:val="center"/>
          </w:tcPr>
          <w:p w14:paraId="50569336">
            <w:pPr>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满足招标文件要求。</w:t>
            </w:r>
          </w:p>
        </w:tc>
      </w:tr>
      <w:tr w14:paraId="598E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675" w:type="dxa"/>
            <w:vMerge w:val="continue"/>
            <w:vAlign w:val="center"/>
          </w:tcPr>
          <w:p w14:paraId="03DFE08C">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706022B1">
            <w:pPr>
              <w:wordWrap w:val="0"/>
              <w:spacing w:line="360" w:lineRule="auto"/>
              <w:rPr>
                <w:rFonts w:ascii="宋体" w:hAnsi="宋体" w:cs="宋体"/>
                <w:color w:val="auto"/>
                <w:kern w:val="0"/>
                <w:szCs w:val="21"/>
                <w:highlight w:val="none"/>
              </w:rPr>
            </w:pPr>
          </w:p>
        </w:tc>
        <w:tc>
          <w:tcPr>
            <w:tcW w:w="2161" w:type="dxa"/>
            <w:vAlign w:val="center"/>
          </w:tcPr>
          <w:p w14:paraId="1E12679E">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质保期及售后服务</w:t>
            </w:r>
          </w:p>
        </w:tc>
        <w:tc>
          <w:tcPr>
            <w:tcW w:w="5255" w:type="dxa"/>
            <w:vAlign w:val="center"/>
          </w:tcPr>
          <w:p w14:paraId="6C48129E">
            <w:pPr>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满足招标文件要求。</w:t>
            </w:r>
          </w:p>
        </w:tc>
      </w:tr>
      <w:tr w14:paraId="09F9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675" w:type="dxa"/>
            <w:vMerge w:val="continue"/>
            <w:vAlign w:val="center"/>
          </w:tcPr>
          <w:p w14:paraId="61EFA245">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0059AB65">
            <w:pPr>
              <w:wordWrap w:val="0"/>
              <w:spacing w:line="360" w:lineRule="auto"/>
              <w:rPr>
                <w:rFonts w:ascii="宋体" w:hAnsi="宋体" w:cs="宋体"/>
                <w:color w:val="auto"/>
                <w:kern w:val="0"/>
                <w:szCs w:val="21"/>
                <w:highlight w:val="none"/>
              </w:rPr>
            </w:pPr>
          </w:p>
        </w:tc>
        <w:tc>
          <w:tcPr>
            <w:tcW w:w="2161" w:type="dxa"/>
            <w:vAlign w:val="center"/>
          </w:tcPr>
          <w:p w14:paraId="0B23FDE4">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5255" w:type="dxa"/>
            <w:vAlign w:val="center"/>
          </w:tcPr>
          <w:p w14:paraId="52AD84BB">
            <w:pPr>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满足招标文件</w:t>
            </w:r>
            <w:r>
              <w:rPr>
                <w:rFonts w:hint="eastAsia" w:ascii="宋体" w:hAnsi="宋体" w:cs="宋体"/>
                <w:color w:val="auto"/>
                <w:szCs w:val="21"/>
                <w:highlight w:val="none"/>
                <w:lang w:val="zh-CN"/>
              </w:rPr>
              <w:t>规定。</w:t>
            </w:r>
          </w:p>
        </w:tc>
      </w:tr>
      <w:tr w14:paraId="71FB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5" w:type="dxa"/>
            <w:vMerge w:val="continue"/>
            <w:vAlign w:val="center"/>
          </w:tcPr>
          <w:p w14:paraId="593BAE83">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61A2BB51">
            <w:pPr>
              <w:wordWrap w:val="0"/>
              <w:spacing w:line="360" w:lineRule="auto"/>
              <w:rPr>
                <w:rFonts w:ascii="宋体" w:hAnsi="宋体" w:cs="宋体"/>
                <w:color w:val="auto"/>
                <w:kern w:val="0"/>
                <w:szCs w:val="21"/>
                <w:highlight w:val="none"/>
              </w:rPr>
            </w:pPr>
          </w:p>
        </w:tc>
        <w:tc>
          <w:tcPr>
            <w:tcW w:w="2161" w:type="dxa"/>
            <w:vAlign w:val="center"/>
          </w:tcPr>
          <w:p w14:paraId="3AF90990">
            <w:pPr>
              <w:wordWrap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分包人资格</w:t>
            </w:r>
          </w:p>
        </w:tc>
        <w:tc>
          <w:tcPr>
            <w:tcW w:w="5255" w:type="dxa"/>
            <w:vAlign w:val="center"/>
          </w:tcPr>
          <w:p w14:paraId="7EF0ABCE">
            <w:pPr>
              <w:wordWrap w:val="0"/>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本项目 不允许分包</w:t>
            </w:r>
          </w:p>
        </w:tc>
      </w:tr>
      <w:tr w14:paraId="0222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atLeast"/>
          <w:jc w:val="center"/>
        </w:trPr>
        <w:tc>
          <w:tcPr>
            <w:tcW w:w="675" w:type="dxa"/>
            <w:vMerge w:val="continue"/>
            <w:vAlign w:val="center"/>
          </w:tcPr>
          <w:p w14:paraId="347AD06D">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20631131">
            <w:pPr>
              <w:wordWrap w:val="0"/>
              <w:spacing w:line="360" w:lineRule="auto"/>
              <w:rPr>
                <w:rFonts w:ascii="宋体" w:hAnsi="宋体" w:cs="宋体"/>
                <w:color w:val="auto"/>
                <w:szCs w:val="21"/>
                <w:highlight w:val="none"/>
                <w:lang w:val="zh-CN"/>
              </w:rPr>
            </w:pPr>
          </w:p>
        </w:tc>
        <w:tc>
          <w:tcPr>
            <w:tcW w:w="2161" w:type="dxa"/>
            <w:tcBorders>
              <w:bottom w:val="single" w:color="auto" w:sz="4" w:space="0"/>
            </w:tcBorders>
            <w:vAlign w:val="center"/>
          </w:tcPr>
          <w:p w14:paraId="38BD3BE2">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w:t>
            </w:r>
          </w:p>
        </w:tc>
        <w:tc>
          <w:tcPr>
            <w:tcW w:w="5255" w:type="dxa"/>
            <w:tcBorders>
              <w:bottom w:val="single" w:color="auto" w:sz="4" w:space="0"/>
            </w:tcBorders>
            <w:vAlign w:val="center"/>
          </w:tcPr>
          <w:p w14:paraId="6D2E4B74">
            <w:pPr>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投标文件未附有招标人不能接受的附加条件及法律、法规和招标文件规定的其他无效情形。</w:t>
            </w:r>
          </w:p>
        </w:tc>
      </w:tr>
    </w:tbl>
    <w:p w14:paraId="101DBB3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 有下列情形之一时，评标委员会应予废标，并将理由通知所有投标人：</w:t>
      </w:r>
    </w:p>
    <w:p w14:paraId="46C3378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（1）符合专业条件的投标人或者对招标文件作实质性响应的投标人不足三家的；</w:t>
      </w:r>
    </w:p>
    <w:p w14:paraId="01F26CA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（2）出现影响招标公正的违法、违规行为的；</w:t>
      </w:r>
    </w:p>
    <w:p w14:paraId="33DD522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（3）投标人的报价均超过了采购预算，招标人不能支付的；</w:t>
      </w:r>
    </w:p>
    <w:p w14:paraId="4F6E4C8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（4）因重大变故，采购任务取消的。</w:t>
      </w:r>
    </w:p>
    <w:p w14:paraId="494396D3">
      <w:pPr>
        <w:pStyle w:val="6"/>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如发现有二份及以上投标文件的相互之间有相同或高度相似之处，且无合理解释的，经评标委员会半数以上成员认定有串通投标嫌疑的，其投标文件按无效标处理，予以废除，不再对其进行评审，也不影响招标工作继续评标。</w:t>
      </w:r>
    </w:p>
    <w:p w14:paraId="3CB09C1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4.3 废标后，除采购任务取消情形外，招标采购单位应当重新组织招标。需要采取其他采购方式的，应当在采购活动开始前获得设区的市、自治州以上人民政府财政部门的批准。</w:t>
      </w:r>
    </w:p>
    <w:p w14:paraId="6E190ED0">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5．澄清有关问题</w:t>
      </w:r>
    </w:p>
    <w:p w14:paraId="4CB95F9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5.1 对于投标文件中含义不明确、同类问题表述不一致或者有明显文字和计算错误的内容，评标委员会应当以书面形式要求投标人作出必要的澄清、说明或者补正。</w:t>
      </w:r>
    </w:p>
    <w:p w14:paraId="536C0B7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15FE04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5.2 投标人不得对下列内容进行澄清或补充：</w:t>
      </w:r>
    </w:p>
    <w:p w14:paraId="1C0107C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（1）投标报价、质量标准、合同履行期限等实质性内容。</w:t>
      </w:r>
    </w:p>
    <w:p w14:paraId="11ABAF8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（2）不满足第二章投标须知第2.10款规定的实质性要求的投标文件内容。</w:t>
      </w:r>
    </w:p>
    <w:p w14:paraId="20D1502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5.3 投标文件报价出现前后不一致的，除招标文件另有规定外，按照下列规定修正：</w:t>
      </w:r>
    </w:p>
    <w:p w14:paraId="53F145B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（1）投标文件中开标一览表（报价表）内容与投标文件中相应内容不一致的，以开标一览表（报价表）为准；</w:t>
      </w:r>
    </w:p>
    <w:p w14:paraId="7FF5E57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（2）大写金额和小写金额不一致的，以大写金额为准；</w:t>
      </w:r>
    </w:p>
    <w:p w14:paraId="3A517F7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（3）单价金额小数点或者百分比有明显错位的，以开标一览表的总价为准，并修改单价；</w:t>
      </w:r>
    </w:p>
    <w:p w14:paraId="2C7E346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（4）总价金额与按单价汇总金额不一致的，以单价金额计算结果为准。</w:t>
      </w:r>
    </w:p>
    <w:p w14:paraId="1F0072D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同时出现两种以上不一致的，按照前款规定的顺序修正。修正后的报价按照本章5.1款的规定经投标人确认后产生约束力，</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投标人不确认或拒绝修正的，其投标无效</w:t>
      </w:r>
      <w:r>
        <w:rPr>
          <w:rFonts w:hint="eastAsia" w:ascii="宋体" w:hAnsi="宋体" w:cs="宋体"/>
          <w:color w:val="auto"/>
          <w:kern w:val="0"/>
          <w:szCs w:val="21"/>
          <w:highlight w:val="none"/>
        </w:rPr>
        <w:t>。</w:t>
      </w:r>
    </w:p>
    <w:p w14:paraId="7A073C6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5.4 投标人按照评标委员会要求提供的有效书面澄清材料，是投标文件的补充材料，成为其投标文件的组成部分。</w:t>
      </w:r>
    </w:p>
    <w:p w14:paraId="7E422DD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5.5 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投标人规定的时间内不能证明其报价合理性的，评标委员会应当将其作为无效投标处理</w:t>
      </w:r>
      <w:r>
        <w:rPr>
          <w:rFonts w:hint="eastAsia" w:ascii="宋体" w:hAnsi="宋体" w:cs="宋体"/>
          <w:color w:val="auto"/>
          <w:kern w:val="0"/>
          <w:szCs w:val="21"/>
          <w:highlight w:val="none"/>
        </w:rPr>
        <w:t>。</w:t>
      </w:r>
    </w:p>
    <w:p w14:paraId="5021C55A">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6．详细评标</w:t>
      </w:r>
    </w:p>
    <w:p w14:paraId="3935CC1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 评标委员会应按照招标文件中规定的评标方法、标准和评标因素，对资格性检查和符合性检查合格的投标文件进行商务和技术评估，综合比较与评价。</w:t>
      </w:r>
    </w:p>
    <w:p w14:paraId="79CCC20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6.2 评标时，评标委员会各成员应当独立对每个投标人的投标文件进行评价、评分，然后汇总每个投标人每项评分因素的得分。</w:t>
      </w:r>
    </w:p>
    <w:p w14:paraId="6CF48E8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6.3 投标人在评标过程中，所进行的试图影响评标结果的不符合招标规则的活动，可能导致其被取消中标资格。</w:t>
      </w:r>
    </w:p>
    <w:p w14:paraId="76918DD4">
      <w:pPr>
        <w:wordWrap w:val="0"/>
        <w:adjustRightInd w:val="0"/>
        <w:spacing w:line="360" w:lineRule="auto"/>
        <w:ind w:firstLine="480" w:firstLineChars="200"/>
        <w:rPr>
          <w:rFonts w:ascii="宋体" w:hAnsi="宋体" w:cs="宋体"/>
          <w:b/>
          <w:bCs/>
          <w:color w:val="auto"/>
          <w:sz w:val="28"/>
          <w:szCs w:val="28"/>
          <w:highlight w:val="none"/>
        </w:rPr>
      </w:pPr>
      <w:r>
        <w:rPr>
          <w:rFonts w:hint="eastAsia" w:ascii="宋体" w:hAnsi="宋体" w:cs="宋体"/>
          <w:color w:val="auto"/>
          <w:kern w:val="0"/>
          <w:sz w:val="24"/>
          <w:highlight w:val="none"/>
        </w:rPr>
        <w:t>6.4 评分标准：（一标段）</w:t>
      </w:r>
    </w:p>
    <w:p w14:paraId="57819166">
      <w:pPr>
        <w:wordWrap w:val="0"/>
        <w:spacing w:line="360" w:lineRule="auto"/>
        <w:ind w:firstLine="422" w:firstLineChars="200"/>
        <w:outlineLvl w:val="0"/>
        <w:rPr>
          <w:rFonts w:ascii="宋体" w:hAnsi="宋体" w:cs="宋体"/>
          <w:b/>
          <w:color w:val="auto"/>
          <w:szCs w:val="21"/>
          <w:highlight w:val="none"/>
        </w:rPr>
      </w:pPr>
      <w:bookmarkStart w:id="30" w:name="_Toc6040"/>
      <w:r>
        <w:rPr>
          <w:rFonts w:hint="eastAsia" w:ascii="宋体" w:hAnsi="宋体" w:cs="宋体"/>
          <w:b/>
          <w:color w:val="auto"/>
          <w:szCs w:val="21"/>
          <w:highlight w:val="none"/>
        </w:rPr>
        <w:t>6.4.1 权重取值</w:t>
      </w:r>
      <w:r>
        <w:rPr>
          <w:rStyle w:val="47"/>
          <w:rFonts w:hint="eastAsia"/>
          <w:b/>
          <w:bCs/>
          <w:color w:val="auto"/>
          <w:kern w:val="0"/>
          <w:highlight w:val="none"/>
        </w:rPr>
        <w:t>（一标段）</w:t>
      </w:r>
    </w:p>
    <w:tbl>
      <w:tblPr>
        <w:tblStyle w:val="40"/>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139"/>
        <w:gridCol w:w="3410"/>
      </w:tblGrid>
      <w:tr w14:paraId="65F6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8916B0D">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139" w:type="dxa"/>
            <w:vAlign w:val="center"/>
          </w:tcPr>
          <w:p w14:paraId="21533714">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评标内容</w:t>
            </w:r>
          </w:p>
        </w:tc>
        <w:tc>
          <w:tcPr>
            <w:tcW w:w="3410" w:type="dxa"/>
            <w:vAlign w:val="center"/>
          </w:tcPr>
          <w:p w14:paraId="2007FCF5">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单项最高得分</w:t>
            </w:r>
          </w:p>
        </w:tc>
      </w:tr>
      <w:tr w14:paraId="46D9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C31EE1C">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一</w:t>
            </w:r>
          </w:p>
        </w:tc>
        <w:tc>
          <w:tcPr>
            <w:tcW w:w="4139" w:type="dxa"/>
            <w:vAlign w:val="center"/>
          </w:tcPr>
          <w:p w14:paraId="39A6C6F9">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经济标（报价）</w:t>
            </w:r>
          </w:p>
        </w:tc>
        <w:tc>
          <w:tcPr>
            <w:tcW w:w="3410" w:type="dxa"/>
            <w:vAlign w:val="center"/>
          </w:tcPr>
          <w:p w14:paraId="5785C2B6">
            <w:pPr>
              <w:wordWrap w:val="0"/>
              <w:adjustRightIn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r>
      <w:tr w14:paraId="26A6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9628C68">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二</w:t>
            </w:r>
          </w:p>
        </w:tc>
        <w:tc>
          <w:tcPr>
            <w:tcW w:w="4139" w:type="dxa"/>
            <w:vAlign w:val="center"/>
          </w:tcPr>
          <w:p w14:paraId="0B7F4391">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商务标</w:t>
            </w:r>
          </w:p>
        </w:tc>
        <w:tc>
          <w:tcPr>
            <w:tcW w:w="3410" w:type="dxa"/>
            <w:vAlign w:val="center"/>
          </w:tcPr>
          <w:p w14:paraId="77D87EE7">
            <w:pPr>
              <w:wordWrap w:val="0"/>
              <w:adjustRightIn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26DD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7D56473">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三</w:t>
            </w:r>
          </w:p>
        </w:tc>
        <w:tc>
          <w:tcPr>
            <w:tcW w:w="4139" w:type="dxa"/>
            <w:vAlign w:val="center"/>
          </w:tcPr>
          <w:p w14:paraId="3CA719CC">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技术标</w:t>
            </w:r>
          </w:p>
        </w:tc>
        <w:tc>
          <w:tcPr>
            <w:tcW w:w="3410" w:type="dxa"/>
            <w:vAlign w:val="center"/>
          </w:tcPr>
          <w:p w14:paraId="573CC949">
            <w:pPr>
              <w:wordWrap w:val="0"/>
              <w:adjustRightIn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50</w:t>
            </w:r>
          </w:p>
        </w:tc>
      </w:tr>
    </w:tbl>
    <w:p w14:paraId="7577C142">
      <w:pPr>
        <w:wordWrap w:val="0"/>
        <w:spacing w:line="360" w:lineRule="auto"/>
        <w:ind w:firstLine="422" w:firstLineChars="200"/>
        <w:outlineLvl w:val="0"/>
        <w:rPr>
          <w:rFonts w:hint="eastAsia" w:ascii="宋体" w:hAnsi="宋体" w:cs="宋体"/>
          <w:b/>
          <w:color w:val="auto"/>
          <w:szCs w:val="21"/>
          <w:highlight w:val="none"/>
        </w:rPr>
      </w:pPr>
    </w:p>
    <w:p w14:paraId="671B090C">
      <w:pPr>
        <w:jc w:val="center"/>
        <w:rPr>
          <w:rFonts w:hint="eastAsia"/>
          <w:b/>
          <w:bCs/>
          <w:color w:val="auto"/>
          <w:sz w:val="28"/>
          <w:szCs w:val="32"/>
        </w:rPr>
      </w:pPr>
      <w:r>
        <w:rPr>
          <w:rFonts w:hint="eastAsia" w:ascii="宋体" w:hAnsi="宋体" w:cs="宋体"/>
          <w:b/>
          <w:color w:val="auto"/>
          <w:szCs w:val="21"/>
          <w:highlight w:val="none"/>
        </w:rPr>
        <w:t xml:space="preserve">6.4.2 </w:t>
      </w:r>
      <w:bookmarkEnd w:id="30"/>
      <w:r>
        <w:rPr>
          <w:rFonts w:hint="eastAsia"/>
          <w:b/>
          <w:bCs/>
          <w:color w:val="auto"/>
          <w:sz w:val="28"/>
          <w:szCs w:val="32"/>
        </w:rPr>
        <w:t>评分标准</w:t>
      </w:r>
    </w:p>
    <w:tbl>
      <w:tblPr>
        <w:tblStyle w:val="4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7"/>
        <w:gridCol w:w="611"/>
        <w:gridCol w:w="6739"/>
      </w:tblGrid>
      <w:tr w14:paraId="6F68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noWrap w:val="0"/>
            <w:vAlign w:val="center"/>
          </w:tcPr>
          <w:p w14:paraId="46E76878">
            <w:pPr>
              <w:pStyle w:val="203"/>
              <w:spacing w:line="276" w:lineRule="auto"/>
              <w:ind w:firstLine="0" w:firstLineChars="0"/>
              <w:rPr>
                <w:rFonts w:hint="eastAsia" w:ascii="宋体" w:hAnsi="宋体" w:eastAsia="宋体" w:cs="仿宋"/>
                <w:bCs/>
                <w:color w:val="auto"/>
                <w:kern w:val="0"/>
                <w:sz w:val="18"/>
                <w:szCs w:val="18"/>
              </w:rPr>
            </w:pPr>
            <w:r>
              <w:rPr>
                <w:rFonts w:hint="eastAsia" w:ascii="宋体" w:hAnsi="宋体" w:eastAsia="宋体" w:cs="仿宋"/>
                <w:bCs/>
                <w:color w:val="auto"/>
                <w:kern w:val="0"/>
                <w:sz w:val="18"/>
                <w:szCs w:val="18"/>
              </w:rPr>
              <w:t>评审项目</w:t>
            </w:r>
          </w:p>
        </w:tc>
        <w:tc>
          <w:tcPr>
            <w:tcW w:w="611" w:type="dxa"/>
            <w:noWrap w:val="0"/>
            <w:vAlign w:val="center"/>
          </w:tcPr>
          <w:p w14:paraId="61FD02C5">
            <w:pPr>
              <w:pStyle w:val="203"/>
              <w:spacing w:line="276" w:lineRule="auto"/>
              <w:ind w:firstLine="0" w:firstLineChars="0"/>
              <w:rPr>
                <w:rFonts w:hint="eastAsia" w:ascii="宋体" w:hAnsi="宋体" w:eastAsia="宋体" w:cs="仿宋"/>
                <w:bCs/>
                <w:color w:val="auto"/>
                <w:kern w:val="0"/>
                <w:sz w:val="18"/>
                <w:szCs w:val="18"/>
              </w:rPr>
            </w:pPr>
            <w:r>
              <w:rPr>
                <w:rFonts w:hint="eastAsia" w:ascii="宋体" w:hAnsi="宋体" w:eastAsia="宋体" w:cs="仿宋"/>
                <w:bCs/>
                <w:color w:val="auto"/>
                <w:kern w:val="0"/>
                <w:sz w:val="18"/>
                <w:szCs w:val="18"/>
              </w:rPr>
              <w:t>标准分</w:t>
            </w:r>
          </w:p>
        </w:tc>
        <w:tc>
          <w:tcPr>
            <w:tcW w:w="6739" w:type="dxa"/>
            <w:noWrap w:val="0"/>
            <w:vAlign w:val="center"/>
          </w:tcPr>
          <w:p w14:paraId="73A3D1C0">
            <w:pPr>
              <w:pStyle w:val="203"/>
              <w:spacing w:line="276" w:lineRule="auto"/>
              <w:ind w:firstLine="0" w:firstLineChars="0"/>
              <w:rPr>
                <w:rFonts w:hint="eastAsia" w:ascii="宋体" w:hAnsi="宋体" w:eastAsia="宋体" w:cs="仿宋"/>
                <w:bCs/>
                <w:color w:val="auto"/>
                <w:kern w:val="0"/>
                <w:sz w:val="18"/>
                <w:szCs w:val="18"/>
              </w:rPr>
            </w:pPr>
            <w:r>
              <w:rPr>
                <w:rFonts w:hint="eastAsia" w:ascii="宋体" w:hAnsi="宋体" w:eastAsia="宋体" w:cs="仿宋"/>
                <w:bCs/>
                <w:color w:val="auto"/>
                <w:kern w:val="0"/>
                <w:sz w:val="18"/>
                <w:szCs w:val="18"/>
              </w:rPr>
              <w:t>内    容</w:t>
            </w:r>
          </w:p>
        </w:tc>
      </w:tr>
      <w:tr w14:paraId="68F0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05579340">
            <w:pPr>
              <w:pStyle w:val="203"/>
              <w:spacing w:line="276" w:lineRule="auto"/>
              <w:ind w:firstLine="0" w:firstLineChars="0"/>
              <w:rPr>
                <w:rFonts w:hint="eastAsia" w:ascii="宋体" w:hAnsi="宋体" w:eastAsia="宋体" w:cs="仿宋"/>
                <w:bCs/>
                <w:color w:val="auto"/>
                <w:kern w:val="0"/>
                <w:sz w:val="18"/>
                <w:szCs w:val="18"/>
              </w:rPr>
            </w:pPr>
            <w:r>
              <w:rPr>
                <w:rFonts w:hint="eastAsia" w:ascii="宋体" w:hAnsi="宋体" w:eastAsia="宋体" w:cs="仿宋"/>
                <w:bCs/>
                <w:color w:val="auto"/>
                <w:kern w:val="0"/>
                <w:sz w:val="18"/>
                <w:szCs w:val="18"/>
              </w:rPr>
              <w:t>价格部分</w:t>
            </w:r>
          </w:p>
        </w:tc>
        <w:tc>
          <w:tcPr>
            <w:tcW w:w="857" w:type="dxa"/>
            <w:noWrap w:val="0"/>
            <w:vAlign w:val="center"/>
          </w:tcPr>
          <w:p w14:paraId="56DE7FB0">
            <w:pPr>
              <w:pStyle w:val="203"/>
              <w:spacing w:line="276" w:lineRule="auto"/>
              <w:ind w:firstLine="0" w:firstLineChars="0"/>
              <w:rPr>
                <w:rFonts w:hint="eastAsia" w:ascii="宋体" w:hAnsi="宋体" w:eastAsia="宋体" w:cs="仿宋"/>
                <w:b w:val="0"/>
                <w:color w:val="auto"/>
                <w:kern w:val="0"/>
                <w:sz w:val="18"/>
                <w:szCs w:val="18"/>
              </w:rPr>
            </w:pPr>
            <w:r>
              <w:rPr>
                <w:rFonts w:hint="eastAsia" w:ascii="宋体" w:hAnsi="宋体" w:eastAsia="宋体" w:cs="仿宋"/>
                <w:b w:val="0"/>
                <w:color w:val="auto"/>
                <w:kern w:val="0"/>
                <w:sz w:val="18"/>
                <w:szCs w:val="18"/>
              </w:rPr>
              <w:t>报价</w:t>
            </w:r>
          </w:p>
        </w:tc>
        <w:tc>
          <w:tcPr>
            <w:tcW w:w="611" w:type="dxa"/>
            <w:noWrap w:val="0"/>
            <w:vAlign w:val="center"/>
          </w:tcPr>
          <w:p w14:paraId="5155F21F">
            <w:pPr>
              <w:pStyle w:val="203"/>
              <w:spacing w:line="276" w:lineRule="auto"/>
              <w:ind w:firstLine="0" w:firstLineChars="0"/>
              <w:rPr>
                <w:rFonts w:hint="default" w:ascii="宋体" w:hAnsi="宋体" w:eastAsia="宋体" w:cs="仿宋"/>
                <w:b w:val="0"/>
                <w:color w:val="auto"/>
                <w:kern w:val="0"/>
                <w:sz w:val="18"/>
                <w:szCs w:val="18"/>
                <w:lang w:val="en-US"/>
              </w:rPr>
            </w:pPr>
            <w:r>
              <w:rPr>
                <w:rFonts w:hint="eastAsia" w:ascii="宋体" w:hAnsi="宋体" w:eastAsia="宋体" w:cs="仿宋"/>
                <w:b w:val="0"/>
                <w:color w:val="auto"/>
                <w:kern w:val="0"/>
                <w:sz w:val="18"/>
                <w:szCs w:val="18"/>
                <w:lang w:val="en-US" w:eastAsia="zh-CN"/>
              </w:rPr>
              <w:t>40</w:t>
            </w:r>
          </w:p>
        </w:tc>
        <w:tc>
          <w:tcPr>
            <w:tcW w:w="6739" w:type="dxa"/>
            <w:noWrap w:val="0"/>
            <w:vAlign w:val="center"/>
          </w:tcPr>
          <w:p w14:paraId="1DF393BA">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val="0"/>
                <w:color w:val="auto"/>
                <w:kern w:val="0"/>
                <w:sz w:val="18"/>
                <w:szCs w:val="18"/>
              </w:rPr>
              <w:t>价格分采用低价优先法计算，即满足本招标文件要求的最低投标报价为评标基准价，其价格分为满分，其它投标人的价格分统一按照下列公式计算：投标报价得分=（评标基准价／投标报价）×价格分分值（精确到小数点后两位）。超过了采购项目预算或最高限价的，为无效投标。</w:t>
            </w:r>
          </w:p>
        </w:tc>
      </w:tr>
      <w:tr w14:paraId="08C6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restart"/>
            <w:tcBorders>
              <w:top w:val="single" w:color="auto" w:sz="4" w:space="0"/>
              <w:left w:val="single" w:color="auto" w:sz="4" w:space="0"/>
              <w:right w:val="single" w:color="auto" w:sz="4" w:space="0"/>
            </w:tcBorders>
            <w:noWrap w:val="0"/>
            <w:vAlign w:val="center"/>
          </w:tcPr>
          <w:p w14:paraId="062C8B9D">
            <w:pPr>
              <w:widowControl/>
              <w:spacing w:line="276" w:lineRule="auto"/>
              <w:jc w:val="center"/>
              <w:rPr>
                <w:rFonts w:hint="eastAsia" w:ascii="宋体" w:hAnsi="宋体" w:cs="仿宋"/>
                <w:b/>
                <w:color w:val="auto"/>
                <w:kern w:val="0"/>
                <w:sz w:val="18"/>
                <w:szCs w:val="18"/>
              </w:rPr>
            </w:pPr>
            <w:r>
              <w:rPr>
                <w:rFonts w:hint="eastAsia" w:ascii="宋体" w:hAnsi="宋体" w:cs="仿宋"/>
                <w:b/>
                <w:color w:val="auto"/>
                <w:kern w:val="0"/>
                <w:sz w:val="18"/>
                <w:szCs w:val="18"/>
              </w:rPr>
              <w:t>商务</w:t>
            </w:r>
          </w:p>
          <w:p w14:paraId="4D4D75AE">
            <w:pPr>
              <w:widowControl/>
              <w:spacing w:line="276" w:lineRule="auto"/>
              <w:jc w:val="center"/>
              <w:rPr>
                <w:rFonts w:hint="eastAsia" w:ascii="宋体" w:hAnsi="宋体" w:cs="仿宋"/>
                <w:b/>
                <w:color w:val="auto"/>
                <w:kern w:val="0"/>
                <w:sz w:val="18"/>
                <w:szCs w:val="18"/>
                <w:highlight w:val="yellow"/>
              </w:rPr>
            </w:pPr>
            <w:r>
              <w:rPr>
                <w:rFonts w:hint="eastAsia" w:ascii="宋体" w:hAnsi="宋体" w:cs="仿宋"/>
                <w:b/>
                <w:color w:val="auto"/>
                <w:kern w:val="0"/>
                <w:sz w:val="18"/>
                <w:szCs w:val="18"/>
              </w:rPr>
              <w:t>部分</w:t>
            </w:r>
          </w:p>
        </w:tc>
        <w:tc>
          <w:tcPr>
            <w:tcW w:w="857" w:type="dxa"/>
            <w:tcBorders>
              <w:top w:val="single" w:color="auto" w:sz="4" w:space="0"/>
              <w:left w:val="single" w:color="auto" w:sz="4" w:space="0"/>
              <w:right w:val="single" w:color="auto" w:sz="4" w:space="0"/>
            </w:tcBorders>
            <w:noWrap w:val="0"/>
            <w:vAlign w:val="center"/>
          </w:tcPr>
          <w:p w14:paraId="2D1A0341">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企业类似业绩</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324A8A30">
            <w:pPr>
              <w:pStyle w:val="203"/>
              <w:spacing w:line="276" w:lineRule="auto"/>
              <w:ind w:firstLine="0" w:firstLineChars="0"/>
              <w:rPr>
                <w:rFonts w:hint="default"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4</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52B4A58D">
            <w:pPr>
              <w:pStyle w:val="203"/>
              <w:spacing w:line="240" w:lineRule="auto"/>
              <w:ind w:firstLine="0" w:firstLineChars="0"/>
              <w:jc w:val="left"/>
              <w:rPr>
                <w:rFonts w:hint="eastAsia" w:ascii="宋体" w:hAnsi="宋体" w:eastAsia="宋体" w:cs="仿宋"/>
                <w:b w:val="0"/>
                <w:bCs/>
                <w:color w:val="auto"/>
                <w:kern w:val="0"/>
                <w:sz w:val="18"/>
                <w:szCs w:val="18"/>
                <w:highlight w:val="none"/>
              </w:rPr>
            </w:pPr>
            <w:r>
              <w:rPr>
                <w:rFonts w:hint="eastAsia" w:ascii="宋体" w:hAnsi="宋体" w:eastAsia="宋体" w:cs="仿宋"/>
                <w:b w:val="0"/>
                <w:bCs/>
                <w:color w:val="auto"/>
                <w:kern w:val="0"/>
                <w:sz w:val="18"/>
                <w:szCs w:val="18"/>
                <w:highlight w:val="none"/>
              </w:rPr>
              <w:t>根据投标人提供2022年1月1日至投标截止的同类项目业绩进行综合评定，每提供一个合同案例得</w:t>
            </w:r>
            <w:r>
              <w:rPr>
                <w:rFonts w:hint="eastAsia" w:ascii="宋体" w:hAnsi="宋体" w:eastAsia="宋体" w:cs="仿宋"/>
                <w:b w:val="0"/>
                <w:bCs/>
                <w:color w:val="auto"/>
                <w:kern w:val="0"/>
                <w:sz w:val="18"/>
                <w:szCs w:val="18"/>
                <w:highlight w:val="none"/>
                <w:lang w:val="en-US" w:eastAsia="zh-CN"/>
              </w:rPr>
              <w:t>1</w:t>
            </w:r>
            <w:r>
              <w:rPr>
                <w:rFonts w:hint="eastAsia" w:ascii="宋体" w:hAnsi="宋体" w:eastAsia="宋体" w:cs="仿宋"/>
                <w:b w:val="0"/>
                <w:bCs/>
                <w:color w:val="auto"/>
                <w:kern w:val="0"/>
                <w:sz w:val="18"/>
                <w:szCs w:val="18"/>
                <w:highlight w:val="none"/>
              </w:rPr>
              <w:t>分，最多</w:t>
            </w:r>
            <w:r>
              <w:rPr>
                <w:rFonts w:hint="eastAsia" w:ascii="宋体" w:hAnsi="宋体" w:eastAsia="宋体" w:cs="仿宋"/>
                <w:b w:val="0"/>
                <w:bCs/>
                <w:color w:val="auto"/>
                <w:kern w:val="0"/>
                <w:sz w:val="18"/>
                <w:szCs w:val="18"/>
                <w:highlight w:val="none"/>
                <w:lang w:val="en-US" w:eastAsia="zh-CN"/>
              </w:rPr>
              <w:t>4</w:t>
            </w:r>
            <w:r>
              <w:rPr>
                <w:rFonts w:hint="eastAsia" w:ascii="宋体" w:hAnsi="宋体" w:eastAsia="宋体" w:cs="仿宋"/>
                <w:b w:val="0"/>
                <w:bCs/>
                <w:color w:val="auto"/>
                <w:kern w:val="0"/>
                <w:sz w:val="18"/>
                <w:szCs w:val="18"/>
                <w:highlight w:val="none"/>
              </w:rPr>
              <w:t>分，未提供或提供的非同类项目合同的不得分。（注：响应文件中提供合同扫描件，以合同为准，且不得遮盖任何关键信息，提供复印件加盖投标人公章作为证明材料）</w:t>
            </w:r>
          </w:p>
        </w:tc>
      </w:tr>
      <w:tr w14:paraId="63DA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noWrap w:val="0"/>
            <w:vAlign w:val="center"/>
          </w:tcPr>
          <w:p w14:paraId="01BAA485">
            <w:pPr>
              <w:widowControl/>
              <w:spacing w:line="276" w:lineRule="auto"/>
              <w:jc w:val="left"/>
              <w:rPr>
                <w:rFonts w:hint="eastAsia" w:ascii="宋体" w:hAnsi="宋体" w:cs="仿宋"/>
                <w:b/>
                <w:color w:val="auto"/>
                <w:kern w:val="0"/>
                <w:sz w:val="18"/>
                <w:szCs w:val="18"/>
                <w:highlight w:val="yellow"/>
              </w:rPr>
            </w:pPr>
          </w:p>
        </w:tc>
        <w:tc>
          <w:tcPr>
            <w:tcW w:w="857" w:type="dxa"/>
            <w:tcBorders>
              <w:left w:val="single" w:color="auto" w:sz="4" w:space="0"/>
              <w:right w:val="single" w:color="auto" w:sz="4" w:space="0"/>
            </w:tcBorders>
            <w:noWrap w:val="0"/>
            <w:vAlign w:val="center"/>
          </w:tcPr>
          <w:p w14:paraId="675BE451">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项目团队</w:t>
            </w:r>
          </w:p>
          <w:p w14:paraId="6DEB3AA9">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能力</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0985395A">
            <w:pPr>
              <w:pStyle w:val="203"/>
              <w:spacing w:line="276" w:lineRule="auto"/>
              <w:ind w:firstLine="0" w:firstLineChars="0"/>
              <w:rPr>
                <w:rFonts w:hint="eastAsia" w:ascii="宋体" w:hAnsi="宋体" w:eastAsia="宋体" w:cs="仿宋"/>
                <w:b w:val="0"/>
                <w:bCs/>
                <w:color w:val="auto"/>
                <w:kern w:val="0"/>
                <w:sz w:val="18"/>
                <w:szCs w:val="18"/>
                <w:lang w:eastAsia="zh-CN"/>
              </w:rPr>
            </w:pPr>
            <w:r>
              <w:rPr>
                <w:rFonts w:hint="eastAsia" w:ascii="宋体" w:hAnsi="宋体" w:eastAsia="宋体" w:cs="仿宋"/>
                <w:b w:val="0"/>
                <w:bCs/>
                <w:color w:val="auto"/>
                <w:kern w:val="0"/>
                <w:sz w:val="18"/>
                <w:szCs w:val="18"/>
              </w:rPr>
              <w:t>6</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28206C8C">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投入本项目的项目经理具备PMP证书或高级项目经理师资质的得2分，投入本项目的其他团队人员具备中级软件设计师或以上资格证书的，每提供一人得1分，最高得4分。</w:t>
            </w:r>
          </w:p>
          <w:p w14:paraId="18339270">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注：须提供人员资质证书清晰版扫描件、投标人或生产厂商为其缴纳的近本项目开标前三个月内任意1个月的社保证明材料，方可计分；项目团队中1人具有多个资格证书的只计算1次分值；证明材料不全或不符合要求的，不予计分。</w:t>
            </w:r>
          </w:p>
        </w:tc>
      </w:tr>
      <w:tr w14:paraId="17DB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restart"/>
            <w:tcBorders>
              <w:top w:val="single" w:color="auto" w:sz="4" w:space="0"/>
              <w:left w:val="single" w:color="auto" w:sz="4" w:space="0"/>
              <w:right w:val="single" w:color="auto" w:sz="4" w:space="0"/>
            </w:tcBorders>
            <w:noWrap w:val="0"/>
            <w:vAlign w:val="center"/>
          </w:tcPr>
          <w:p w14:paraId="354C8245">
            <w:pPr>
              <w:widowControl/>
              <w:spacing w:line="276" w:lineRule="auto"/>
              <w:jc w:val="center"/>
              <w:rPr>
                <w:rFonts w:hint="eastAsia" w:ascii="宋体" w:hAnsi="宋体" w:cs="仿宋"/>
                <w:b/>
                <w:color w:val="auto"/>
                <w:kern w:val="0"/>
                <w:sz w:val="18"/>
                <w:szCs w:val="18"/>
              </w:rPr>
            </w:pPr>
            <w:r>
              <w:rPr>
                <w:rFonts w:hint="eastAsia" w:ascii="宋体" w:hAnsi="宋体" w:cs="仿宋"/>
                <w:b/>
                <w:color w:val="auto"/>
                <w:kern w:val="0"/>
                <w:sz w:val="18"/>
                <w:szCs w:val="18"/>
              </w:rPr>
              <w:t>技术</w:t>
            </w:r>
          </w:p>
          <w:p w14:paraId="675FF170">
            <w:pPr>
              <w:widowControl/>
              <w:spacing w:line="276" w:lineRule="auto"/>
              <w:jc w:val="center"/>
              <w:rPr>
                <w:rFonts w:hint="eastAsia" w:ascii="宋体" w:hAnsi="宋体" w:cs="仿宋"/>
                <w:b/>
                <w:color w:val="auto"/>
                <w:kern w:val="0"/>
                <w:sz w:val="18"/>
                <w:szCs w:val="18"/>
                <w:highlight w:val="yellow"/>
              </w:rPr>
            </w:pPr>
            <w:r>
              <w:rPr>
                <w:rFonts w:hint="eastAsia" w:ascii="宋体" w:hAnsi="宋体" w:cs="仿宋"/>
                <w:b/>
                <w:color w:val="auto"/>
                <w:kern w:val="0"/>
                <w:sz w:val="18"/>
                <w:szCs w:val="18"/>
              </w:rPr>
              <w:t>部分</w:t>
            </w:r>
          </w:p>
        </w:tc>
        <w:tc>
          <w:tcPr>
            <w:tcW w:w="857" w:type="dxa"/>
            <w:tcBorders>
              <w:top w:val="single" w:color="auto" w:sz="4" w:space="0"/>
              <w:left w:val="single" w:color="auto" w:sz="4" w:space="0"/>
              <w:right w:val="single" w:color="auto" w:sz="4" w:space="0"/>
            </w:tcBorders>
            <w:noWrap w:val="0"/>
            <w:vAlign w:val="center"/>
          </w:tcPr>
          <w:p w14:paraId="5E7C4C3F">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技术指标</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7735675D">
            <w:pPr>
              <w:pStyle w:val="203"/>
              <w:spacing w:line="276" w:lineRule="auto"/>
              <w:ind w:firstLine="0" w:firstLineChars="0"/>
              <w:rPr>
                <w:rFonts w:hint="default" w:ascii="宋体" w:hAnsi="宋体" w:eastAsia="宋体" w:cs="仿宋"/>
                <w:b w:val="0"/>
                <w:bCs/>
                <w:color w:val="auto"/>
                <w:kern w:val="0"/>
                <w:sz w:val="18"/>
                <w:szCs w:val="18"/>
                <w:lang w:val="en-US" w:eastAsia="zh-CN"/>
              </w:rPr>
            </w:pPr>
            <w:r>
              <w:rPr>
                <w:rFonts w:hint="eastAsia" w:ascii="宋体" w:hAnsi="宋体" w:eastAsia="宋体" w:cs="仿宋"/>
                <w:b w:val="0"/>
                <w:bCs/>
                <w:color w:val="auto"/>
                <w:kern w:val="0"/>
                <w:sz w:val="18"/>
                <w:szCs w:val="18"/>
                <w:lang w:val="en-US" w:eastAsia="zh-CN"/>
              </w:rPr>
              <w:t>36</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052BC624">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技术指标满足或优于招标文件技术标准要求得</w:t>
            </w:r>
            <w:r>
              <w:rPr>
                <w:rFonts w:hint="eastAsia" w:ascii="宋体" w:hAnsi="宋体" w:eastAsia="宋体" w:cs="仿宋"/>
                <w:b w:val="0"/>
                <w:bCs/>
                <w:color w:val="auto"/>
                <w:kern w:val="0"/>
                <w:sz w:val="18"/>
                <w:szCs w:val="18"/>
                <w:lang w:val="en-US" w:eastAsia="zh-CN"/>
              </w:rPr>
              <w:t>36</w:t>
            </w:r>
            <w:r>
              <w:rPr>
                <w:rFonts w:hint="eastAsia" w:ascii="宋体" w:hAnsi="宋体" w:eastAsia="宋体" w:cs="仿宋"/>
                <w:b w:val="0"/>
                <w:bCs/>
                <w:color w:val="auto"/>
                <w:kern w:val="0"/>
                <w:sz w:val="18"/>
                <w:szCs w:val="18"/>
              </w:rPr>
              <w:t>分。若一个“</w:t>
            </w:r>
            <w:r>
              <w:rPr>
                <w:rFonts w:hint="eastAsia" w:ascii="宋体" w:hAnsi="宋体" w:eastAsia="宋体" w:cs="仿宋"/>
                <w:color w:val="auto"/>
                <w:sz w:val="18"/>
                <w:szCs w:val="18"/>
              </w:rPr>
              <w:t>▲</w:t>
            </w:r>
            <w:r>
              <w:rPr>
                <w:rFonts w:hint="eastAsia" w:ascii="宋体" w:hAnsi="宋体" w:eastAsia="宋体" w:cs="仿宋"/>
                <w:b w:val="0"/>
                <w:bCs/>
                <w:color w:val="auto"/>
                <w:kern w:val="0"/>
                <w:sz w:val="18"/>
                <w:szCs w:val="18"/>
              </w:rPr>
              <w:t>”条款存在负偏离，扣减</w:t>
            </w:r>
            <w:r>
              <w:rPr>
                <w:rFonts w:hint="eastAsia" w:ascii="宋体" w:hAnsi="宋体" w:eastAsia="宋体" w:cs="仿宋"/>
                <w:b w:val="0"/>
                <w:bCs/>
                <w:color w:val="auto"/>
                <w:kern w:val="0"/>
                <w:sz w:val="18"/>
                <w:szCs w:val="18"/>
                <w:lang w:val="en-US" w:eastAsia="zh-CN"/>
              </w:rPr>
              <w:t>2</w:t>
            </w:r>
            <w:r>
              <w:rPr>
                <w:rFonts w:hint="eastAsia" w:ascii="宋体" w:hAnsi="宋体" w:eastAsia="宋体" w:cs="仿宋"/>
                <w:b w:val="0"/>
                <w:bCs/>
                <w:color w:val="auto"/>
                <w:kern w:val="0"/>
                <w:sz w:val="18"/>
                <w:szCs w:val="18"/>
              </w:rPr>
              <w:t>分，直至扣到0分为止。</w:t>
            </w:r>
          </w:p>
          <w:p w14:paraId="4A545629">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注：供应商对采购需求中标注▲号的条款应提供详细真实的证明材料（真实平台的截图或相关资质证书等，如有伪造，包括在后续交付验收阶段发现伪造证明，将根据相关法律追究其法律任），并在技术服务偏离表“备注”栏中说明此项证明资料在投标文件的具体页码。未按要求提供证明资料的，未按要求注明具体页码的，均视为负偏离。</w:t>
            </w:r>
          </w:p>
        </w:tc>
      </w:tr>
      <w:tr w14:paraId="36B1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noWrap w:val="0"/>
            <w:vAlign w:val="center"/>
          </w:tcPr>
          <w:p w14:paraId="49B287BA">
            <w:pPr>
              <w:widowControl/>
              <w:spacing w:line="276" w:lineRule="auto"/>
              <w:jc w:val="left"/>
              <w:rPr>
                <w:rFonts w:hint="eastAsia" w:ascii="宋体" w:hAnsi="宋体" w:cs="仿宋"/>
                <w:b/>
                <w:color w:val="auto"/>
                <w:kern w:val="0"/>
                <w:sz w:val="18"/>
                <w:szCs w:val="18"/>
                <w:highlight w:val="yellow"/>
              </w:rPr>
            </w:pPr>
          </w:p>
        </w:tc>
        <w:tc>
          <w:tcPr>
            <w:tcW w:w="857" w:type="dxa"/>
            <w:tcBorders>
              <w:left w:val="single" w:color="auto" w:sz="4" w:space="0"/>
              <w:right w:val="single" w:color="auto" w:sz="4" w:space="0"/>
            </w:tcBorders>
            <w:noWrap w:val="0"/>
            <w:vAlign w:val="center"/>
          </w:tcPr>
          <w:p w14:paraId="4228B18A">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系统技术及实施方案</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14D5CE85">
            <w:pPr>
              <w:pStyle w:val="203"/>
              <w:spacing w:line="276" w:lineRule="auto"/>
              <w:ind w:firstLine="0" w:firstLineChars="0"/>
              <w:rPr>
                <w:rFonts w:hint="eastAsia" w:ascii="宋体" w:hAnsi="宋体" w:eastAsia="宋体" w:cs="仿宋"/>
                <w:b w:val="0"/>
                <w:bCs/>
                <w:color w:val="auto"/>
                <w:kern w:val="0"/>
                <w:sz w:val="18"/>
                <w:szCs w:val="18"/>
                <w:lang w:eastAsia="zh-CN"/>
              </w:rPr>
            </w:pPr>
            <w:r>
              <w:rPr>
                <w:rFonts w:hint="eastAsia" w:ascii="宋体" w:hAnsi="宋体" w:eastAsia="宋体" w:cs="仿宋"/>
                <w:b w:val="0"/>
                <w:bCs/>
                <w:color w:val="auto"/>
                <w:kern w:val="0"/>
                <w:sz w:val="18"/>
                <w:szCs w:val="18"/>
                <w:lang w:val="en-US" w:eastAsia="zh-CN"/>
              </w:rPr>
              <w:t>6</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5D716297">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投标人须提供合理详实的实施方案，根据项目要求与目标，提供包含但不限于项目实施方案、业务架构说明、技术架构说明、提供安全体系说明。</w:t>
            </w:r>
          </w:p>
          <w:p w14:paraId="0EE5F243">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①方案包含上述内容，且内容阐述完整详实，符合项目实际，条理逻辑清晰，可操作性强，得 6分。</w:t>
            </w:r>
          </w:p>
          <w:p w14:paraId="5F804C09">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②方案中每缺少上述一项内容扣 2分，最多扣 6分；</w:t>
            </w:r>
          </w:p>
          <w:p w14:paraId="42C5B1F7">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③针对上述任一项内容，供应商的叙述不完整或不符合项目实际需求或不足或具有瑕疵的，扣 1 分，最多扣6 分；</w:t>
            </w:r>
          </w:p>
          <w:p w14:paraId="262384A7">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④未提供方案或方案明显与本项目不符的，得 0 分。</w:t>
            </w:r>
          </w:p>
          <w:p w14:paraId="789F2CCA">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highlight w:val="no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r w14:paraId="22E4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noWrap w:val="0"/>
            <w:vAlign w:val="center"/>
          </w:tcPr>
          <w:p w14:paraId="09B0E58F">
            <w:pPr>
              <w:widowControl/>
              <w:spacing w:line="276" w:lineRule="auto"/>
              <w:jc w:val="left"/>
              <w:rPr>
                <w:rFonts w:hint="eastAsia" w:ascii="宋体" w:hAnsi="宋体" w:cs="仿宋"/>
                <w:b/>
                <w:color w:val="auto"/>
                <w:kern w:val="0"/>
                <w:sz w:val="18"/>
                <w:szCs w:val="18"/>
                <w:highlight w:val="yellow"/>
              </w:rPr>
            </w:pPr>
          </w:p>
        </w:tc>
        <w:tc>
          <w:tcPr>
            <w:tcW w:w="857" w:type="dxa"/>
            <w:tcBorders>
              <w:left w:val="single" w:color="auto" w:sz="4" w:space="0"/>
              <w:right w:val="single" w:color="auto" w:sz="4" w:space="0"/>
            </w:tcBorders>
            <w:noWrap w:val="0"/>
            <w:vAlign w:val="center"/>
          </w:tcPr>
          <w:p w14:paraId="6C780A34">
            <w:pPr>
              <w:pStyle w:val="203"/>
              <w:spacing w:line="276" w:lineRule="auto"/>
              <w:ind w:firstLine="0" w:firstLineChars="0"/>
              <w:rPr>
                <w:rFonts w:hint="default" w:ascii="宋体" w:hAnsi="宋体" w:eastAsia="宋体" w:cs="仿宋"/>
                <w:b w:val="0"/>
                <w:bCs/>
                <w:color w:val="auto"/>
                <w:kern w:val="0"/>
                <w:sz w:val="18"/>
                <w:szCs w:val="18"/>
                <w:lang w:val="en-US" w:eastAsia="zh-CN"/>
              </w:rPr>
            </w:pPr>
            <w:r>
              <w:rPr>
                <w:rFonts w:hint="eastAsia" w:ascii="宋体" w:hAnsi="宋体" w:eastAsia="宋体" w:cs="仿宋"/>
                <w:b w:val="0"/>
                <w:bCs/>
                <w:color w:val="auto"/>
                <w:kern w:val="0"/>
                <w:sz w:val="18"/>
                <w:szCs w:val="18"/>
                <w:highlight w:val="none"/>
                <w:lang w:val="zh-CN" w:eastAsia="zh-CN"/>
              </w:rPr>
              <w:t>质量管理保证措施</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61014D3A">
            <w:pPr>
              <w:pStyle w:val="203"/>
              <w:spacing w:line="276" w:lineRule="auto"/>
              <w:ind w:firstLine="0" w:firstLineChars="0"/>
              <w:rPr>
                <w:rFonts w:hint="default" w:ascii="宋体" w:hAnsi="宋体" w:eastAsia="宋体" w:cs="仿宋"/>
                <w:b w:val="0"/>
                <w:bCs/>
                <w:color w:val="auto"/>
                <w:kern w:val="0"/>
                <w:sz w:val="18"/>
                <w:szCs w:val="18"/>
                <w:lang w:val="en-US" w:eastAsia="zh-CN"/>
              </w:rPr>
            </w:pPr>
            <w:r>
              <w:rPr>
                <w:rFonts w:hint="eastAsia" w:ascii="宋体" w:hAnsi="宋体" w:eastAsia="宋体" w:cs="仿宋"/>
                <w:b w:val="0"/>
                <w:bCs/>
                <w:color w:val="auto"/>
                <w:kern w:val="0"/>
                <w:sz w:val="18"/>
                <w:szCs w:val="18"/>
                <w:lang w:val="en-US" w:eastAsia="zh-CN"/>
              </w:rPr>
              <w:t>4</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5AB6DC27">
            <w:pPr>
              <w:pStyle w:val="203"/>
              <w:spacing w:line="240" w:lineRule="auto"/>
              <w:ind w:firstLine="0" w:firstLineChars="0"/>
              <w:jc w:val="left"/>
              <w:rPr>
                <w:rFonts w:hint="eastAsia" w:ascii="宋体" w:hAnsi="宋体" w:eastAsia="宋体" w:cs="仿宋"/>
                <w:b w:val="0"/>
                <w:bCs/>
                <w:color w:val="auto"/>
                <w:kern w:val="0"/>
                <w:sz w:val="18"/>
                <w:szCs w:val="18"/>
                <w:highlight w:val="none"/>
                <w:lang w:val="zh-CN" w:eastAsia="zh-CN"/>
              </w:rPr>
            </w:pPr>
            <w:r>
              <w:rPr>
                <w:rFonts w:hint="eastAsia" w:ascii="宋体" w:hAnsi="宋体" w:eastAsia="宋体" w:cs="仿宋"/>
                <w:b w:val="0"/>
                <w:bCs/>
                <w:color w:val="auto"/>
                <w:kern w:val="0"/>
                <w:sz w:val="18"/>
                <w:szCs w:val="18"/>
                <w:highlight w:val="none"/>
                <w:lang w:val="zh-CN" w:eastAsia="zh-CN"/>
              </w:rPr>
              <w:t>质量管理保证措施体现在：质量管理体系；控制目标</w:t>
            </w:r>
            <w:r>
              <w:rPr>
                <w:rFonts w:hint="eastAsia" w:ascii="宋体" w:hAnsi="宋体" w:eastAsia="宋体" w:cs="仿宋"/>
                <w:b w:val="0"/>
                <w:bCs/>
                <w:color w:val="auto"/>
                <w:kern w:val="0"/>
                <w:sz w:val="18"/>
                <w:szCs w:val="18"/>
                <w:highlight w:val="none"/>
                <w:lang w:val="en-US" w:eastAsia="zh-CN"/>
              </w:rPr>
              <w:t>及</w:t>
            </w:r>
            <w:r>
              <w:rPr>
                <w:rFonts w:hint="eastAsia" w:ascii="宋体" w:hAnsi="宋体" w:eastAsia="宋体" w:cs="仿宋"/>
                <w:b w:val="0"/>
                <w:bCs/>
                <w:color w:val="auto"/>
                <w:kern w:val="0"/>
                <w:sz w:val="18"/>
                <w:szCs w:val="18"/>
                <w:highlight w:val="none"/>
                <w:lang w:val="zh-CN" w:eastAsia="zh-CN"/>
              </w:rPr>
              <w:t>质量保证措施。</w:t>
            </w:r>
          </w:p>
          <w:p w14:paraId="26940236">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①</w:t>
            </w:r>
            <w:r>
              <w:rPr>
                <w:rFonts w:hint="eastAsia" w:ascii="宋体" w:hAnsi="宋体" w:eastAsia="宋体" w:cs="仿宋"/>
                <w:b w:val="0"/>
                <w:bCs/>
                <w:color w:val="auto"/>
                <w:kern w:val="0"/>
                <w:sz w:val="18"/>
                <w:szCs w:val="18"/>
                <w:highlight w:val="none"/>
                <w:lang w:val="zh-CN" w:eastAsia="zh-CN"/>
              </w:rPr>
              <w:t>保证措施</w:t>
            </w:r>
            <w:r>
              <w:rPr>
                <w:rFonts w:hint="eastAsia" w:ascii="宋体" w:hAnsi="宋体" w:eastAsia="宋体" w:cs="仿宋"/>
                <w:b w:val="0"/>
                <w:bCs/>
                <w:color w:val="auto"/>
                <w:kern w:val="0"/>
                <w:sz w:val="18"/>
                <w:szCs w:val="18"/>
                <w:highlight w:val="none"/>
                <w:lang w:val="en-US" w:eastAsia="zh-CN"/>
              </w:rPr>
              <w:t>包含上述内容，且内容阐述完整详实，符合项目实际，条理逻辑清晰，可操作性强，得4分。</w:t>
            </w:r>
          </w:p>
          <w:p w14:paraId="5032641B">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②</w:t>
            </w:r>
            <w:r>
              <w:rPr>
                <w:rFonts w:hint="eastAsia" w:ascii="宋体" w:hAnsi="宋体" w:eastAsia="宋体" w:cs="仿宋"/>
                <w:b w:val="0"/>
                <w:bCs/>
                <w:color w:val="auto"/>
                <w:kern w:val="0"/>
                <w:sz w:val="18"/>
                <w:szCs w:val="18"/>
                <w:highlight w:val="none"/>
                <w:lang w:val="zh-CN" w:eastAsia="zh-CN"/>
              </w:rPr>
              <w:t>保证措施</w:t>
            </w:r>
            <w:r>
              <w:rPr>
                <w:rFonts w:hint="eastAsia" w:ascii="宋体" w:hAnsi="宋体" w:eastAsia="宋体" w:cs="仿宋"/>
                <w:b w:val="0"/>
                <w:bCs/>
                <w:color w:val="auto"/>
                <w:kern w:val="0"/>
                <w:sz w:val="18"/>
                <w:szCs w:val="18"/>
                <w:highlight w:val="none"/>
                <w:lang w:val="en-US" w:eastAsia="zh-CN"/>
              </w:rPr>
              <w:t>中每缺少上述一项内容扣2分，最多扣4分；</w:t>
            </w:r>
          </w:p>
          <w:p w14:paraId="60B29513">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③针对上述任一项内容，供应商的叙述不完整或不符合项目实际需求或不足或具有瑕疵的，扣1分，最多扣4分；</w:t>
            </w:r>
          </w:p>
          <w:p w14:paraId="7ACEADB3">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④未提供</w:t>
            </w:r>
            <w:r>
              <w:rPr>
                <w:rFonts w:hint="eastAsia" w:ascii="宋体" w:hAnsi="宋体" w:eastAsia="宋体" w:cs="仿宋"/>
                <w:b w:val="0"/>
                <w:bCs/>
                <w:color w:val="auto"/>
                <w:kern w:val="0"/>
                <w:sz w:val="18"/>
                <w:szCs w:val="18"/>
                <w:highlight w:val="none"/>
                <w:lang w:val="zh-CN" w:eastAsia="zh-CN"/>
              </w:rPr>
              <w:t>保证措施</w:t>
            </w:r>
            <w:r>
              <w:rPr>
                <w:rFonts w:hint="eastAsia" w:ascii="宋体" w:hAnsi="宋体" w:eastAsia="宋体" w:cs="仿宋"/>
                <w:b w:val="0"/>
                <w:bCs/>
                <w:color w:val="auto"/>
                <w:kern w:val="0"/>
                <w:sz w:val="18"/>
                <w:szCs w:val="18"/>
                <w:highlight w:val="none"/>
                <w:lang w:val="en-US" w:eastAsia="zh-CN"/>
              </w:rPr>
              <w:t>或</w:t>
            </w:r>
            <w:r>
              <w:rPr>
                <w:rFonts w:hint="eastAsia" w:ascii="宋体" w:hAnsi="宋体" w:eastAsia="宋体" w:cs="仿宋"/>
                <w:b w:val="0"/>
                <w:bCs/>
                <w:color w:val="auto"/>
                <w:kern w:val="0"/>
                <w:sz w:val="18"/>
                <w:szCs w:val="18"/>
                <w:highlight w:val="none"/>
                <w:lang w:val="zh-CN" w:eastAsia="zh-CN"/>
              </w:rPr>
              <w:t>保证措施</w:t>
            </w:r>
            <w:r>
              <w:rPr>
                <w:rFonts w:hint="eastAsia" w:ascii="宋体" w:hAnsi="宋体" w:eastAsia="宋体" w:cs="仿宋"/>
                <w:b w:val="0"/>
                <w:bCs/>
                <w:color w:val="auto"/>
                <w:kern w:val="0"/>
                <w:sz w:val="18"/>
                <w:szCs w:val="18"/>
                <w:highlight w:val="none"/>
                <w:lang w:val="en-US" w:eastAsia="zh-CN"/>
              </w:rPr>
              <w:t>明显与本项目不符的，得0分。</w:t>
            </w:r>
          </w:p>
          <w:p w14:paraId="79F0A9BE">
            <w:pPr>
              <w:pStyle w:val="203"/>
              <w:spacing w:line="240" w:lineRule="auto"/>
              <w:ind w:firstLine="0" w:firstLineChars="0"/>
              <w:jc w:val="left"/>
              <w:rPr>
                <w:rFonts w:hint="eastAsia" w:ascii="宋体" w:hAnsi="宋体" w:eastAsia="宋体" w:cs="仿宋"/>
                <w:b w:val="0"/>
                <w:bCs/>
                <w:color w:val="auto"/>
                <w:kern w:val="0"/>
                <w:sz w:val="18"/>
                <w:szCs w:val="18"/>
                <w:highlight w:val="none"/>
              </w:rPr>
            </w:pPr>
            <w:r>
              <w:rPr>
                <w:rFonts w:hint="eastAsia" w:ascii="宋体" w:hAnsi="宋体" w:eastAsia="宋体" w:cs="仿宋"/>
                <w:b w:val="0"/>
                <w:bCs/>
                <w:color w:val="auto"/>
                <w:kern w:val="0"/>
                <w:sz w:val="18"/>
                <w:szCs w:val="18"/>
                <w:highlight w:val="no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r w14:paraId="075D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55" w:type="dxa"/>
            <w:vMerge w:val="continue"/>
            <w:tcBorders>
              <w:left w:val="single" w:color="auto" w:sz="4" w:space="0"/>
              <w:right w:val="single" w:color="auto" w:sz="4" w:space="0"/>
            </w:tcBorders>
            <w:noWrap w:val="0"/>
            <w:vAlign w:val="center"/>
          </w:tcPr>
          <w:p w14:paraId="35A28CFD">
            <w:pPr>
              <w:widowControl/>
              <w:spacing w:line="276" w:lineRule="auto"/>
              <w:jc w:val="left"/>
              <w:rPr>
                <w:rFonts w:hint="eastAsia" w:ascii="宋体" w:hAnsi="宋体" w:cs="仿宋"/>
                <w:b/>
                <w:color w:val="auto"/>
                <w:kern w:val="0"/>
                <w:sz w:val="18"/>
                <w:szCs w:val="18"/>
                <w:highlight w:val="yellow"/>
              </w:rPr>
            </w:pPr>
          </w:p>
        </w:tc>
        <w:tc>
          <w:tcPr>
            <w:tcW w:w="857" w:type="dxa"/>
            <w:tcBorders>
              <w:left w:val="single" w:color="auto" w:sz="4" w:space="0"/>
              <w:right w:val="single" w:color="auto" w:sz="4" w:space="0"/>
            </w:tcBorders>
            <w:shd w:val="clear" w:color="auto" w:fill="auto"/>
            <w:noWrap w:val="0"/>
            <w:vAlign w:val="center"/>
          </w:tcPr>
          <w:p w14:paraId="186D34E3">
            <w:pPr>
              <w:pStyle w:val="203"/>
              <w:spacing w:line="276" w:lineRule="auto"/>
              <w:ind w:firstLine="0" w:firstLineChars="0"/>
              <w:rPr>
                <w:rFonts w:hint="eastAsia" w:ascii="宋体" w:hAnsi="宋体" w:eastAsia="宋体" w:cs="仿宋"/>
                <w:b w:val="0"/>
                <w:bCs/>
                <w:color w:val="auto"/>
                <w:kern w:val="0"/>
                <w:sz w:val="18"/>
                <w:szCs w:val="18"/>
                <w:lang w:val="en-US" w:eastAsia="zh-CN" w:bidi="ar-SA"/>
              </w:rPr>
            </w:pPr>
            <w:r>
              <w:rPr>
                <w:rFonts w:hint="eastAsia" w:ascii="宋体" w:hAnsi="宋体" w:eastAsia="宋体" w:cs="仿宋"/>
                <w:b w:val="0"/>
                <w:bCs/>
                <w:color w:val="auto"/>
                <w:kern w:val="0"/>
                <w:sz w:val="18"/>
                <w:szCs w:val="18"/>
              </w:rPr>
              <w:t>售后服务</w:t>
            </w:r>
          </w:p>
        </w:tc>
        <w:tc>
          <w:tcPr>
            <w:tcW w:w="6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648962">
            <w:pPr>
              <w:pStyle w:val="203"/>
              <w:spacing w:line="276" w:lineRule="auto"/>
              <w:ind w:firstLine="0" w:firstLineChars="0"/>
              <w:rPr>
                <w:rFonts w:hint="eastAsia" w:ascii="宋体" w:hAnsi="宋体" w:eastAsia="宋体" w:cs="仿宋"/>
                <w:b w:val="0"/>
                <w:bCs/>
                <w:color w:val="auto"/>
                <w:kern w:val="0"/>
                <w:sz w:val="18"/>
                <w:szCs w:val="18"/>
                <w:lang w:val="en-US" w:eastAsia="zh-CN" w:bidi="ar-SA"/>
              </w:rPr>
            </w:pPr>
            <w:r>
              <w:rPr>
                <w:rFonts w:hint="eastAsia" w:ascii="宋体" w:hAnsi="宋体" w:eastAsia="宋体" w:cs="仿宋"/>
                <w:b w:val="0"/>
                <w:bCs/>
                <w:color w:val="auto"/>
                <w:kern w:val="0"/>
                <w:sz w:val="18"/>
                <w:szCs w:val="18"/>
                <w:lang w:val="en-US" w:eastAsia="zh-CN"/>
              </w:rPr>
              <w:t>4</w:t>
            </w:r>
          </w:p>
        </w:tc>
        <w:tc>
          <w:tcPr>
            <w:tcW w:w="6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16A87D">
            <w:pPr>
              <w:pStyle w:val="203"/>
              <w:spacing w:line="240" w:lineRule="auto"/>
              <w:ind w:firstLine="0" w:firstLineChars="0"/>
              <w:jc w:val="left"/>
              <w:rPr>
                <w:rFonts w:hint="eastAsia" w:ascii="宋体" w:hAnsi="宋体" w:eastAsia="宋体" w:cs="仿宋"/>
                <w:b w:val="0"/>
                <w:bCs/>
                <w:color w:val="auto"/>
                <w:kern w:val="0"/>
                <w:sz w:val="18"/>
                <w:szCs w:val="18"/>
                <w:highlight w:val="none"/>
              </w:rPr>
            </w:pPr>
            <w:r>
              <w:rPr>
                <w:rFonts w:hint="eastAsia" w:ascii="宋体" w:hAnsi="宋体" w:eastAsia="宋体" w:cs="仿宋"/>
                <w:b w:val="0"/>
                <w:bCs/>
                <w:color w:val="auto"/>
                <w:kern w:val="0"/>
                <w:sz w:val="18"/>
                <w:szCs w:val="18"/>
                <w:highlight w:val="none"/>
              </w:rPr>
              <w:t>响应文件中附有内容完整的售后服务承诺及保障措施，故障应急响应速度快，并满足招标文件中的售后服务要求，提供包含但不限于培训人员计划、售后服务承诺、售后服务响应机制、售后服务认证证书等，对以上各项指标进行综合打分。</w:t>
            </w:r>
          </w:p>
          <w:p w14:paraId="11BA7E2D">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①售后服务承诺内容阐述完整详实，符合项目实际，条理逻辑清晰，可操作性强，得 4分。</w:t>
            </w:r>
          </w:p>
          <w:p w14:paraId="7F771501">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②售后服务承诺每缺少上述一项内容扣 1 分，最多扣 4分；</w:t>
            </w:r>
          </w:p>
          <w:p w14:paraId="6E893A0F">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③针对上述任一项内容，供应商的叙述不完整或不符合项目实际需求或不足或具有瑕疵的，扣0.5分，最多扣 4分；</w:t>
            </w:r>
          </w:p>
          <w:p w14:paraId="0F4E4097">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④未提供售后服务承诺或承诺明显与本项目不符的，得 0 分。</w:t>
            </w:r>
          </w:p>
          <w:p w14:paraId="3DBE0FF7">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bidi="ar-SA"/>
              </w:rPr>
            </w:pPr>
            <w:r>
              <w:rPr>
                <w:rFonts w:hint="eastAsia" w:ascii="宋体" w:hAnsi="宋体" w:eastAsia="宋体" w:cs="仿宋"/>
                <w:b w:val="0"/>
                <w:bCs/>
                <w:color w:val="auto"/>
                <w:kern w:val="0"/>
                <w:sz w:val="18"/>
                <w:szCs w:val="18"/>
                <w:highlight w:val="no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bl>
    <w:p w14:paraId="67E05ACA">
      <w:pPr>
        <w:wordWrap w:val="0"/>
        <w:adjustRightInd w:val="0"/>
        <w:spacing w:line="360" w:lineRule="auto"/>
        <w:ind w:firstLine="420" w:firstLineChars="200"/>
        <w:rPr>
          <w:rFonts w:ascii="宋体" w:hAnsi="宋体" w:cs="宋体"/>
          <w:color w:val="auto"/>
          <w:kern w:val="0"/>
          <w:sz w:val="24"/>
          <w:highlight w:val="none"/>
        </w:rPr>
      </w:pPr>
      <w:r>
        <w:rPr>
          <w:rFonts w:hint="eastAsia" w:ascii="宋体" w:hAnsi="宋体" w:cs="宋体"/>
          <w:color w:val="auto"/>
          <w:highlight w:val="none"/>
        </w:rPr>
        <w:br w:type="page"/>
      </w:r>
    </w:p>
    <w:p w14:paraId="6A47F602">
      <w:pPr>
        <w:pStyle w:val="37"/>
        <w:wordWrap w:val="0"/>
        <w:spacing w:before="0" w:after="0"/>
        <w:rPr>
          <w:rFonts w:ascii="宋体" w:hAnsi="宋体" w:cs="宋体"/>
          <w:color w:val="auto"/>
          <w:sz w:val="36"/>
          <w:szCs w:val="36"/>
          <w:highlight w:val="none"/>
        </w:rPr>
      </w:pPr>
      <w:bookmarkStart w:id="31" w:name="_Toc529282262"/>
      <w:bookmarkStart w:id="32" w:name="_Toc14265"/>
      <w:r>
        <w:rPr>
          <w:rFonts w:hint="eastAsia" w:ascii="宋体" w:hAnsi="宋体" w:cs="宋体"/>
          <w:color w:val="auto"/>
          <w:sz w:val="36"/>
          <w:szCs w:val="36"/>
          <w:highlight w:val="none"/>
        </w:rPr>
        <w:t xml:space="preserve">第四章  </w:t>
      </w:r>
      <w:bookmarkEnd w:id="31"/>
      <w:r>
        <w:rPr>
          <w:rFonts w:hint="eastAsia" w:ascii="宋体" w:hAnsi="宋体" w:cs="宋体"/>
          <w:color w:val="auto"/>
          <w:sz w:val="36"/>
          <w:szCs w:val="36"/>
          <w:highlight w:val="none"/>
        </w:rPr>
        <w:t>采购合同主要条款</w:t>
      </w:r>
      <w:bookmarkEnd w:id="32"/>
    </w:p>
    <w:p w14:paraId="72C7A542">
      <w:pPr>
        <w:spacing w:line="360" w:lineRule="auto"/>
        <w:jc w:val="center"/>
        <w:rPr>
          <w:rFonts w:ascii="宋体" w:hAnsi="宋体" w:cs="宋体"/>
          <w:snapToGrid w:val="0"/>
          <w:color w:val="auto"/>
          <w:sz w:val="24"/>
          <w:szCs w:val="24"/>
          <w:highlight w:val="none"/>
        </w:rPr>
      </w:pPr>
      <w:r>
        <w:rPr>
          <w:rFonts w:hint="eastAsia" w:ascii="宋体" w:hAnsi="宋体" w:cs="宋体"/>
          <w:b/>
          <w:bCs/>
          <w:snapToGrid w:val="0"/>
          <w:color w:val="auto"/>
          <w:sz w:val="24"/>
          <w:szCs w:val="24"/>
          <w:highlight w:val="none"/>
        </w:rPr>
        <w:t>（本合同仅供参考，具体以签订时为准）</w:t>
      </w:r>
    </w:p>
    <w:p w14:paraId="2C6AC133">
      <w:pPr>
        <w:pStyle w:val="221"/>
        <w:jc w:val="center"/>
        <w:rPr>
          <w:rFonts w:ascii="宋体" w:hAnsi="宋体" w:cs="宋体"/>
          <w:color w:val="auto"/>
          <w:sz w:val="24"/>
          <w:szCs w:val="24"/>
          <w:highlight w:val="none"/>
        </w:rPr>
      </w:pPr>
      <w:r>
        <w:rPr>
          <w:rFonts w:hint="eastAsia" w:ascii="宋体" w:hAnsi="宋体" w:cs="宋体"/>
          <w:b/>
          <w:bCs/>
          <w:color w:val="auto"/>
          <w:sz w:val="40"/>
          <w:szCs w:val="40"/>
          <w:highlight w:val="none"/>
        </w:rPr>
        <w:t>新疆应用职业技术学院</w:t>
      </w:r>
      <w:r>
        <w:rPr>
          <w:rFonts w:hint="eastAsia" w:ascii="宋体" w:hAnsi="宋体" w:cs="宋体"/>
          <w:b/>
          <w:bCs/>
          <w:color w:val="auto"/>
          <w:sz w:val="40"/>
          <w:szCs w:val="40"/>
          <w:highlight w:val="none"/>
          <w:u w:val="single"/>
        </w:rPr>
        <w:t>XX</w:t>
      </w:r>
      <w:r>
        <w:rPr>
          <w:rFonts w:hint="eastAsia" w:ascii="宋体" w:hAnsi="宋体" w:cs="宋体"/>
          <w:b/>
          <w:bCs/>
          <w:color w:val="auto"/>
          <w:sz w:val="40"/>
          <w:szCs w:val="40"/>
          <w:highlight w:val="none"/>
        </w:rPr>
        <w:t>设备采购合同（招标文件版）</w:t>
      </w:r>
    </w:p>
    <w:p w14:paraId="77BCAA68">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甲方（买受人）：</w:t>
      </w:r>
    </w:p>
    <w:p w14:paraId="661087D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统一社会信用代码：</w:t>
      </w:r>
    </w:p>
    <w:p w14:paraId="27DBAAA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乙方（出卖人）：</w:t>
      </w:r>
    </w:p>
    <w:p w14:paraId="1929FE21">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统一社会信用代码：</w:t>
      </w:r>
    </w:p>
    <w:p w14:paraId="2598C55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上述各方经平等自愿协商，签订本合同以共同遵守。</w:t>
      </w:r>
    </w:p>
    <w:p w14:paraId="6EAF726E">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1.定义</w:t>
      </w:r>
    </w:p>
    <w:p w14:paraId="2449F4B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1.1.在本合同中（包括附件），如有下列名词及术语，除另有明确说明或上下文另有要求，均应具有本款所赋予的含义。</w:t>
      </w:r>
    </w:p>
    <w:p w14:paraId="25B3B3E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1.2.“买受人”（甲方）是指</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3817B37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1.3.“出卖人”（乙方）是指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B39A9F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1.4.“合同”是指买卖双方签署的、载明买卖双方约定权利义务的协议，包括所有的附件、上述文件所提到的构成合同的所有文件以及日后对原合同做出的任何书面更改。</w:t>
      </w:r>
    </w:p>
    <w:p w14:paraId="7ED580B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1.5.“合同价格”是指在乙方完全和适当地履行其合同义务后，甲方根据合同规定应支付给乙方的价款。</w:t>
      </w:r>
    </w:p>
    <w:p w14:paraId="686449B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1.6.“生效日期”是指本合同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款中所规定的合同的生效日期。</w:t>
      </w:r>
    </w:p>
    <w:p w14:paraId="4AB25F3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1.7.“技术资料”是指与合同设备相关的设计、制造、监造、检验、安装、调试、验收、性能验收试验和技术指导等文件（包括图纸、各种文字说明、标准、各种软件）。</w:t>
      </w:r>
    </w:p>
    <w:p w14:paraId="76D0A4D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1.8.“合同设备”是指乙方根据合同所要供应的机器、装置、材料、物品、专用工具、备品备件和所有各种物品，如合同附件所列示和规定的。</w:t>
      </w:r>
    </w:p>
    <w:p w14:paraId="399F58C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监造”是指在合同设备的制造过程中，由甲方和/或乙方委托的有资质的监造单位派出代表对乙方提供的合同设备的关键部分进行质量监督，实行文件见证和现场见证。此种质量监造不解除和减轻乙方对合同设备质量所负的责任。</w:t>
      </w:r>
    </w:p>
    <w:p w14:paraId="3F16D06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1.10.“初步验收”是</w:t>
      </w:r>
      <w:r>
        <w:rPr>
          <w:rFonts w:hint="eastAsia" w:ascii="宋体" w:hAnsi="宋体" w:cs="宋体"/>
          <w:color w:val="auto"/>
          <w:sz w:val="24"/>
          <w:szCs w:val="24"/>
          <w:highlight w:val="none"/>
          <w:u w:val="single"/>
        </w:rPr>
        <w:t>  由甲方规定   </w:t>
      </w:r>
      <w:r>
        <w:rPr>
          <w:rFonts w:hint="eastAsia" w:ascii="宋体" w:hAnsi="宋体" w:cs="宋体"/>
          <w:color w:val="auto"/>
          <w:sz w:val="24"/>
          <w:szCs w:val="24"/>
          <w:highlight w:val="none"/>
        </w:rPr>
        <w:t>。</w:t>
      </w:r>
    </w:p>
    <w:p w14:paraId="15063CE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1.11.“性能验收”是</w:t>
      </w:r>
      <w:r>
        <w:rPr>
          <w:rFonts w:hint="eastAsia" w:ascii="宋体" w:hAnsi="宋体" w:cs="宋体"/>
          <w:color w:val="auto"/>
          <w:sz w:val="24"/>
          <w:szCs w:val="24"/>
          <w:highlight w:val="none"/>
          <w:u w:val="single"/>
        </w:rPr>
        <w:t>  由甲方规定    </w:t>
      </w:r>
      <w:r>
        <w:rPr>
          <w:rFonts w:hint="eastAsia" w:ascii="宋体" w:hAnsi="宋体" w:cs="宋体"/>
          <w:color w:val="auto"/>
          <w:sz w:val="24"/>
          <w:szCs w:val="24"/>
          <w:highlight w:val="none"/>
        </w:rPr>
        <w:t>。</w:t>
      </w:r>
    </w:p>
    <w:p w14:paraId="6440DEE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1.12.“最终验收”是指甲方对合同设备保证期满后的验收。</w:t>
      </w:r>
    </w:p>
    <w:p w14:paraId="597A95A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1.13.“日、月、年”是指公历的日、月、年；“天”是指24小时；“周”是指7天。</w:t>
      </w:r>
    </w:p>
    <w:p w14:paraId="276AAD7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1.14.“技术服务”是指由乙方提供的与本合同设备有关的工程设计、设备监造、检验、土建、安装、调试、验收、性能验收试验、运行、检修时相应的技术指导、技术配合、技术培训等全过程的服务。</w:t>
      </w:r>
    </w:p>
    <w:p w14:paraId="0F241B4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1.15.“现场”是指</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，为甲方安装合同设备所在地。</w:t>
      </w:r>
    </w:p>
    <w:p w14:paraId="3636008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1.16.“备品备件”是指根据本合同提供的备用部件，包括随机（商业运行前）备品备件和3年商业运行及第一次大修用备品备件。</w:t>
      </w:r>
    </w:p>
    <w:p w14:paraId="0F02FEA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1.17.“随机备品备件”是指在安装、调试、试运阶段所需的备品备件。</w:t>
      </w:r>
    </w:p>
    <w:p w14:paraId="69091E3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1.18.“分包商”或“分供货商”是指由乙方将合同供货范围内任何部分的供货分包给的其他法人及该法人的继任方和该法人允许的受让方。</w:t>
      </w:r>
    </w:p>
    <w:p w14:paraId="067821C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1.19.“监造代表”由甲方或乙方委托的监造单位派出的对合同设备进行监造的人员。</w:t>
      </w:r>
    </w:p>
    <w:p w14:paraId="3AF2AF84">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1.20.“设备缺陷”是指乙方因设计、制造错误或疏忽所引起的本合同设备（包括部件、原材料、铸锻件、原器件等）达不到本合同规定的性能、质量标准要求的情形。</w:t>
      </w:r>
    </w:p>
    <w:p w14:paraId="4CF72C7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1.21.“运杂费”是指合同设备从乙方始发到交货地点所发生的公路、水路、铁路、航空运费、保险费及运输过程中发生的各种费用。</w:t>
      </w:r>
    </w:p>
    <w:p w14:paraId="6695D5DD">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1.22.“质保期”为设备正常运行后双方约定的期限或有关标准、规定注明的期限。</w:t>
      </w:r>
    </w:p>
    <w:p w14:paraId="3FAC159D">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2.合同标的</w:t>
      </w:r>
    </w:p>
    <w:p w14:paraId="6A88549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2.1.标的、数量、价款及交（提）货时间</w:t>
      </w:r>
    </w:p>
    <w:p w14:paraId="5F7AD3D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详见附件1</w:t>
      </w:r>
    </w:p>
    <w:p w14:paraId="4CAD33D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2.2.合同供货范围包括了所有设备、技术资料、专用工具、备品备件。在本合同履行过程中如发现有任何漏项和短缺，乙方应自费在甲方要求的时间内补齐，因此造成甲方的损失，由乙方负责赔偿。</w:t>
      </w:r>
    </w:p>
    <w:p w14:paraId="75081FF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2.3.凡乙方供应的设备应是全新的、技术先进的并且是安全的、经济的、成熟可靠的。</w:t>
      </w:r>
    </w:p>
    <w:p w14:paraId="350B7ECC">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2.4.乙方负责提供技术服务并提供设备的运输和保险。</w:t>
      </w:r>
    </w:p>
    <w:p w14:paraId="3A965EAD">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3.合同价款</w:t>
      </w:r>
    </w:p>
    <w:p w14:paraId="596B135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3.1.本合同使用货币种类为人民币。</w:t>
      </w:r>
    </w:p>
    <w:p w14:paraId="53240DA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3.2.本合同价格包括合同设备（含备品备件、专用工具）、技术资料、技术服务等费用，还包括合同设备的税费、运杂费、保险费等与本合同有关的所有费用。</w:t>
      </w:r>
    </w:p>
    <w:p w14:paraId="10B0D56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3.2.1.合同设备价格为人民币</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元。</w:t>
      </w:r>
    </w:p>
    <w:p w14:paraId="6AF413F4">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本合同设备价格包括与设备有关的技术资料费、乙方所应交纳的税费、从制造厂到始发站（车上）的运输、装卸、保险费及所有设备包装费。</w:t>
      </w:r>
    </w:p>
    <w:p w14:paraId="404A2C4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3.2.2.合同设备的技术服务费为人民币</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元。</w:t>
      </w:r>
    </w:p>
    <w:p w14:paraId="2445833E">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3.2.3.合同设备从始发站到现场交货点的运杂费为人民币</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元。</w:t>
      </w:r>
    </w:p>
    <w:p w14:paraId="1421357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3.3.合同的分项价格见附件</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17D33E8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3.4.本合同价款在合同履行期限内为不变价。</w:t>
      </w:r>
    </w:p>
    <w:p w14:paraId="377AEF6F">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4.付款</w:t>
      </w:r>
    </w:p>
    <w:p w14:paraId="0658D0D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4.1.付款方式：</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B7EA96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4.2.合同款项的支付</w:t>
      </w:r>
    </w:p>
    <w:p w14:paraId="5E9456B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4.2.1.</w:t>
      </w:r>
      <w:r>
        <w:rPr>
          <w:rFonts w:hint="eastAsia" w:ascii="宋体" w:hAnsi="宋体" w:cs="宋体"/>
          <w:b w:val="0"/>
          <w:bCs w:val="0"/>
          <w:color w:val="auto"/>
          <w:sz w:val="24"/>
        </w:rPr>
        <w:t>合同签订后，供货方先向采购方开具符合采购方财务需要的等额增值税普通发票。甲方收到上述发票后 7 日内，向供货方支付 50%合同额。系统和各类设施设备到货、调试完毕并验收合格，经采购方确认能够正常使用且内容、质量无误之后，支付剩余合同金额50%。</w:t>
      </w:r>
    </w:p>
    <w:p w14:paraId="59F3667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4.3.主要分包和外购设备的付款。</w:t>
      </w:r>
    </w:p>
    <w:p w14:paraId="134803B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由于甲方与合同分包商和外购设备供货商没有直接的合同关系，本合同设备的分包和外购设备的付款由乙方负责。如非因甲方原因，发生导致分包和外购设备有可能不被按时交货，甲方有权暂时终止向乙方付款，直至交货后继续履行付款义务。因此影响整个设备安装进度的，由乙方承担甲方受到的损失。</w:t>
      </w:r>
    </w:p>
    <w:p w14:paraId="1A758E7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4.3.2.如因乙方资金问题，未向分包商或外购设备供货商付款，导致超过</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天仍不能交货，甲方出于保障工程进度的目的，有权直接向分包商或外购设备供货商付款，此付款及相应利息（甲方存款利息）将从下一笔甲方向乙方的付款中扣除。甲方此付款行为不免除乙方对设备所承担的义务。甲方此行为不属于违约行为。</w:t>
      </w:r>
    </w:p>
    <w:p w14:paraId="7A9A6383">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5.交付和运输</w:t>
      </w:r>
    </w:p>
    <w:p w14:paraId="7C4C697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5.1.交货时间</w:t>
      </w:r>
    </w:p>
    <w:p w14:paraId="3495ABA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5.1.1.本合同设备的交货期及交货顺序应满足工程建设设备安装进度和顺序的要求。具体交货时间见附件</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4B52A5F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5.1.2.甲方保留随时调整交货日期的权利，如甲方要求推迟交货，则乙方应无条件答应并保管好合同设备，若推迟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日以上交货，甲方承担相应仓储费。如甲方要求提前交货，要根据乙方的合理生产周期。</w:t>
      </w:r>
    </w:p>
    <w:p w14:paraId="5E4DE2E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5.1.3.设备的交货以到现场后甲方签认的交接单为准。</w:t>
      </w:r>
    </w:p>
    <w:p w14:paraId="54D7646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5.2.交货地点</w:t>
      </w:r>
    </w:p>
    <w:p w14:paraId="2C39635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甲方指定地点：</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。合同设备所有权自合同设备交付时起由乙方转移给甲方。合同设备毁损、灭失的风险，在合同设备交付之前由乙方承担，交付之后由甲方承担。</w:t>
      </w:r>
    </w:p>
    <w:p w14:paraId="35BFE3F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5.3.乙方须向承运部门办理申请发运设备所需要的运输工具计划，负责合同设备从乙方到现场交货地点的运输。</w:t>
      </w:r>
    </w:p>
    <w:p w14:paraId="36B7ADE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5.4.合同生效后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日内乙方应按照本合同附件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的规定向甲方提供本合同项下的货物总清单和装箱总清单及每批货物名称、总重量、总体积和交货日期的初步交货计划。在每批货物预计启运前</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日，乙方应以书面文件将运输方式及5.5款中的各项内容通知甲方。</w:t>
      </w:r>
    </w:p>
    <w:p w14:paraId="29C8386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5.5.在每批货物备妥及装运车辆／船发出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小时内，乙方应书面将该批货物的如下内容通知甲方。通知内容包括：</w:t>
      </w:r>
    </w:p>
    <w:p w14:paraId="34B591F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（1）合同号；</w:t>
      </w:r>
    </w:p>
    <w:p w14:paraId="2A1B569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（2）机组号；</w:t>
      </w:r>
    </w:p>
    <w:p w14:paraId="473C5A6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（3）货物备妥发运日；</w:t>
      </w:r>
    </w:p>
    <w:p w14:paraId="422FA5D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（4）货物名称及编号和价格；</w:t>
      </w:r>
    </w:p>
    <w:p w14:paraId="4C4FF65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（5）货物总毛重；</w:t>
      </w:r>
    </w:p>
    <w:p w14:paraId="0910110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（6）货物总体积；</w:t>
      </w:r>
    </w:p>
    <w:p w14:paraId="1E9D020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（7）总包装件数；</w:t>
      </w:r>
    </w:p>
    <w:p w14:paraId="2CDD2C2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（8）交运车站／码头名称、车号／船号和运单号。</w:t>
      </w:r>
    </w:p>
    <w:p w14:paraId="3113E3E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5.5.1.重量超过二十吨或尺寸超过9米×3米×3米的每件货物的名称、重量、体积和件数。对每件该类设备（部件）必须标明重心和吊点位置，并附有草图。</w:t>
      </w:r>
    </w:p>
    <w:p w14:paraId="0DD2E28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5.5.2.对于特殊物品（易燃、易爆、有毒物品及其他危险品和运输过程中对温度等环境因素和震动有特殊要求的设备或物品）必须特别标明其品名、性质、特殊保护措施、保存方法以及处理意外情况的方法。</w:t>
      </w:r>
    </w:p>
    <w:p w14:paraId="0A6E79A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5.6.在质保期内和在质保期满后至第一次大修时止由于乙方的过失或疏忽造成的供应设备（或部件）的损坏或潜在缺陷，而动用了甲方库存中的备品备件以调换损坏的设备或部件，则乙方应负责免费将动用的备品备件</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日内补齐，交付该等备品备件前应通知甲方。</w:t>
      </w:r>
    </w:p>
    <w:p w14:paraId="0DAF190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5.7.乙方应按附件</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的规定的交付进度和交付数量向甲方提供设备设计、监造、施工、调试、试验、检验、培训、运行和维修所需的技术资料。所有乙方提供的技术资料均应符合双方共同确定的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标准。</w:t>
      </w:r>
    </w:p>
    <w:p w14:paraId="149FF49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5.8.技术资料一般以邮寄方式递交，每批技术资料交邮后，乙方应在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小时内将技术资料的交邮日期、邮单号、技术资料的详细清单、件数及重量、合同号等以传真或电报通知甲方。</w:t>
      </w:r>
    </w:p>
    <w:p w14:paraId="62A153E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5.9.技术资料以邮政部门提货通知单时间戳记为技术资料的实际交付日期。如果技术资料经甲方或甲方代表检查后发现有缺少、丢失或损坏，且非因甲方原因，乙方应在收到甲方通知后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日内（对急用者应在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日内）免费向现场补充提供缺少、丢失或损坏的技术资料。如因甲方原因发生缺少、丢失或损坏，乙方应在接到甲方通知后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天内（对急用者应在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天内），向现场补充提供缺少、丢失或损坏部分，费用由甲方承担。</w:t>
      </w:r>
    </w:p>
    <w:p w14:paraId="25FC011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5.10.技术资料邮寄地址。</w:t>
      </w:r>
    </w:p>
    <w:p w14:paraId="471CAED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E07D4F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471B53D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6D7B2B4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传真： </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4AE6C62D">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6.包装与标记</w:t>
      </w:r>
    </w:p>
    <w:p w14:paraId="298166C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6.1.乙方交付的所有货物要符合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的规定且适合长途运输、多次搬运和装卸的坚固包装。包装应保证在运输、装卸过程中完好无损，并有减振、防冲击的措施。包装应按设备特点，按需要分别加上防潮、防霉、防锈、防腐蚀的保护措施，以保证货物在没有任何损坏和腐蚀的情况下安全运抵合同设备安装现场。若包装无法防止运输、装卸过程中垂直、水平加速度引起的设备损坏，乙方要在设备的设计结构上予以解决。产品包装前，乙方负责按部套进行检查清理，不留异物，并保证零部件齐全。</w:t>
      </w:r>
    </w:p>
    <w:p w14:paraId="2366587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6.2.乙方对各散装部件在装配图中的部件号、零件号应标记清楚。</w:t>
      </w:r>
    </w:p>
    <w:p w14:paraId="0A15768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6.3.乙方应在每件包装箱的两个侧面上，用不褪色的油漆以明显易见的中文字样印刷以下标记。</w:t>
      </w:r>
    </w:p>
    <w:p w14:paraId="3185140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（1）合同号；</w:t>
      </w:r>
    </w:p>
    <w:p w14:paraId="02E3E67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（2）目的站／码头；</w:t>
      </w:r>
    </w:p>
    <w:p w14:paraId="2691987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（3）供货、收货单位名称；</w:t>
      </w:r>
    </w:p>
    <w:p w14:paraId="2B7872C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（4）设备名称、机组号、图号；</w:t>
      </w:r>
    </w:p>
    <w:p w14:paraId="425D988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（5）箱号／件号；</w:t>
      </w:r>
    </w:p>
    <w:p w14:paraId="24C5494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（6）毛重／净重（公斤）；</w:t>
      </w:r>
    </w:p>
    <w:p w14:paraId="34CCFB7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（7）体积（长×宽×高，以毫米表示）。</w:t>
      </w:r>
    </w:p>
    <w:p w14:paraId="081C9AE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凡重量为二吨或超过二吨的货物，应在包装箱的侧面以运输常用的标记和图案标明重心位置及起吊点，以便于装卸搬运。按照货物的特点，装卸和运输上的不同要求，包装箱上应明显地印刷有“轻放”“勿倒置”和“防雨”等字样。</w:t>
      </w:r>
    </w:p>
    <w:p w14:paraId="1816CB3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6.4.对裸装货物应以金属标签或直接在设备本身上注明上述有关内容。大件货物应带有足够的货物支架或包装垫木。</w:t>
      </w:r>
    </w:p>
    <w:p w14:paraId="0325069E">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6.5.备品备件应分别包装并按6.2款注明上述内容，专用工具也应分别包装。</w:t>
      </w:r>
    </w:p>
    <w:p w14:paraId="713320F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6.6.各种设备的松散零星部件应采用好的包装方式，装入尺寸适当的箱内，并尽可能整车发运以减少运输费用。</w:t>
      </w:r>
    </w:p>
    <w:p w14:paraId="4F3C2E9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6.7.所有管道、管件、阀门及其他设备的端口必须用保护盖或其他方式妥善防护。</w:t>
      </w:r>
    </w:p>
    <w:p w14:paraId="3878336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6.8.每件包装箱内，应附有包括分件名称、数量、价格、机组号、图号的详细装箱单、合格证。外购件包装箱内应有产品出厂质量合格证明书、技术说明各一份。另邮寄装箱清单各二份。</w:t>
      </w:r>
    </w:p>
    <w:p w14:paraId="35D5AB7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6.9.乙方和／或其分包商不得用同一箱号标明任何两个箱件。</w:t>
      </w:r>
    </w:p>
    <w:p w14:paraId="4222E3E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6.10.乙方交付的技术资料应使用适合于长途运输、多次搬运、防雨和防潮的包装。每一包资料内应附有技术资料的详细清单一式二份，标明技术资料的序号、文件项号、名称和页数。每包技术资料的封面上应注明下述内容。</w:t>
      </w:r>
    </w:p>
    <w:p w14:paraId="4B28E75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（1）合同号；</w:t>
      </w:r>
    </w:p>
    <w:p w14:paraId="06B85DD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（2）供货、收货单位名称；</w:t>
      </w:r>
    </w:p>
    <w:p w14:paraId="0193804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（3）目的站／码头；</w:t>
      </w:r>
    </w:p>
    <w:p w14:paraId="69FF53F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（4）毛重；</w:t>
      </w:r>
    </w:p>
    <w:p w14:paraId="72CED79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（5）箱号／件号。</w:t>
      </w:r>
    </w:p>
    <w:p w14:paraId="1CACA6D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6.11.甲方可派遣代表到乙方工厂及装货车站检查包装质量和监督装车情况。</w:t>
      </w:r>
    </w:p>
    <w:p w14:paraId="00FABED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6.12.甲方应对多次使用的专用铁路包装箱、包装架等，在该部件到货清点之后2个月内返乙方（费用由乙方承担）。</w:t>
      </w:r>
    </w:p>
    <w:p w14:paraId="29B6864A">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7.技术服务</w:t>
      </w:r>
    </w:p>
    <w:p w14:paraId="496D75E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7.1.乙方应及时提供与本合同设备有关的设计、检验、安装、调试、验收、性能验收试验、运行、检修等相应的技术指导、技术配合、技术培训等全过程的服务。</w:t>
      </w:r>
    </w:p>
    <w:p w14:paraId="6CB514A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7.2.乙方须派代表到现场进行技术服务，指导甲方按乙方的技术资料进行安装、调试和启动，并负责解决合同设备在安装调试、试运行中发现的制造质量及性能等有关问题。</w:t>
      </w:r>
    </w:p>
    <w:p w14:paraId="4978718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7.3.乙方应在合同生效后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日内以邮寄方式向甲方提交执行7.1和7.2款中规定的服务工作的组织计划一式两份，作为本合同技术服务附件的内容。</w:t>
      </w:r>
    </w:p>
    <w:p w14:paraId="2A1BEB3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7.4.乙方有义务在必要时邀请甲方参与乙方的技术设计，并向甲方解释技术设计。</w:t>
      </w:r>
    </w:p>
    <w:p w14:paraId="195AF5A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7.5.技术联络会的费用、次数、人数和地点，详见合同技术服务附件。如遇有重大问题需要乙方与甲方立即研究协商时，任何一方均可建议召开会议，在一般情况下，另一方应同意参加，费用各自承担。</w:t>
      </w:r>
    </w:p>
    <w:p w14:paraId="0280BA2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7.6.各次会议双方均应签订会议纪要，所签纪要双方均应执行。如涉及合同条款的修改，须经双方有权代表签署，以修改后的条款为准。</w:t>
      </w:r>
    </w:p>
    <w:p w14:paraId="2CD7A35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7.7.乙方提出并经双方在会议上确认的安装、调试和运行技术服务方案，乙方如有修改，须以书面形式通知甲方，经甲方确认后方可进行。为适应现场条件的要求，甲方有权提出变更或修改意见，并书面通知乙方，乙方应给予充分考虑，应尽量满足甲方要求。</w:t>
      </w:r>
    </w:p>
    <w:p w14:paraId="5FD56BD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7.8.乙方（包括分包与外购）须对一切与本合同有关的供货、设备及技术接口、技术服务等问题负全部责任。</w:t>
      </w:r>
    </w:p>
    <w:p w14:paraId="74223F1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7.9.凡与本合同设备相连接的其他设备装置，乙方有提供接口和技术配合的义务，并不由此而发生合同价款以外的任何费用。</w:t>
      </w:r>
    </w:p>
    <w:p w14:paraId="3F76652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7.10.乙方派到现场服务的技术人员应是有实践经验、可胜任此项工作的人员。乙方派到现场服务的技术人员在本合同生效后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提交甲方予以确认。甲方有权提出更换不符合要求的乙方现场服务人员，乙方应根据现场需要，重新选派甲方认可的服务人员，如果甲方在书面提出该项要求10天内乙方没有答复，将视为延误工期处理。乙方的分包商需要前往现场提供技术服务的，应由乙方统一组织并征得甲方同意，费用应由乙方自行负担。</w:t>
      </w:r>
    </w:p>
    <w:p w14:paraId="0756B9C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7.11.由于乙方技术服务人员对安装、调试、试运的技术指导的疏忽和错误以及乙方未按要求派人指导而造成的损失应由乙方负责。</w:t>
      </w:r>
    </w:p>
    <w:p w14:paraId="42522B59">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8.监造与检验</w:t>
      </w:r>
    </w:p>
    <w:p w14:paraId="7108181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8.1.监造</w:t>
      </w:r>
    </w:p>
    <w:p w14:paraId="0E7F65D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8.1.1.乙方应在本合同生效日期起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日内，向甲方提供本合同设备的设计、制造和检验标准的目录。设计、制造和检验标准应符合附件1和附件5的规定。</w:t>
      </w:r>
    </w:p>
    <w:p w14:paraId="55FCC9B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8.1.2.甲方将委托有监造资质的监造单位进行设备监造。在监造工作实施前，为便于监造工作的实施，甲方、乙方和监造方签订三方监造工作协议。监造工作的内容按监造协议确定，但不限于此。乙方有配合监造的义务，在监造中及时提供相应资料和标准，并不由此而发生任何费用。</w:t>
      </w:r>
    </w:p>
    <w:p w14:paraId="1B47831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8.1.3.监造的范围及具体监造检验／见证项目见监造协议。</w:t>
      </w:r>
    </w:p>
    <w:p w14:paraId="453DB76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8.1.4.乙方必须为甲方委托的驻厂代表和监造代表的监造检验提供如下便利条件：提前7天提供设备的监造内容和检验时间；提供与本合同设备监造有关的标准（包括工厂标准）、图纸、资料、工艺及实际工艺过程和检验记录（包括中间检验记录和／或不一致性报告）；向监造代表提供工作、生活方便。</w:t>
      </w:r>
    </w:p>
    <w:p w14:paraId="3EAB024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8.1.5.监造检验／见证（一般为现场见证）应尽量结合乙方工厂实际生产过程（不包括发现重大问题时的停工检验）。若监造代表不能按乙方通知时间及时到场，乙方的试验工作可正常进行，试验结果有效，但是监造代表有权事后了解、查阅、复制检查试验报告和结果（转为文件见证）。若乙方未及时通知监造代表而单独检验，甲方将不承认该检验结果，乙方应在监造代表在场的情况下再次进行该项试验。</w:t>
      </w:r>
    </w:p>
    <w:p w14:paraId="36184CF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8.1.6.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乙方不得擅自处理。</w:t>
      </w:r>
    </w:p>
    <w:p w14:paraId="342814B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8.1.7.不论监造代表是否参与监造与出厂检验或者监造代表参加了监造与检验，并且签署了监造与检验报告，均不能被视为乙方按合同规定承担的质量保证责任的解除，也不能免除乙方对设备质量应承担的责任。</w:t>
      </w:r>
    </w:p>
    <w:p w14:paraId="50E1FA4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8.2.工厂检验与现场开箱检验</w:t>
      </w:r>
    </w:p>
    <w:p w14:paraId="47CFD14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8.2.1.由乙方供应的所有合同设备／部件（包括分包与外购），在生产过程中都须进行严格的检验和试验，出厂前须进行部套和／或整机总装和试验。所有检验、试验和总装（装配）必须有正式的记录文件。以上工作完成之后，并经监造代表确认，合格的才能出厂发运。所有这些正式的记录文件及合格证作为技术资料的一部分邮寄给甲方存档。此外，乙方还应在随机文件中提供合格证、质量证明文件和原产地约定。</w:t>
      </w:r>
    </w:p>
    <w:p w14:paraId="0ACFEEB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8.2.2.货物到达目的地后，乙方在接到甲方通知后应及时到现场，与甲方一起根据运单和装箱单对货物的包装、外观及件数进行清点检验。如发现有任何不符之处经双方代表确认属乙方责任后，由乙方处理解决。当货物运到甲方现场后，甲方应尽快开箱检验，检验货物的数量，规格、质量情况。甲方应在开箱检查前7日通知乙方开箱检验日期，乙方应派遣检验人员参加现场检验工作，甲方应为乙方检验人员提供工作和生活方便。如检验时，乙方人员未按时赴现场，甲方有权自行开箱检验，检验结果和记录对双方有效，并可作为甲方向乙方提出索赔的有效证据。按照本款规定，经检验合格的货物，甲方将向乙方签发接收单，乙方在收到甲方签发的接收单并出具回执时，视为该批货物已由乙方交付。</w:t>
      </w:r>
    </w:p>
    <w:p w14:paraId="4C52BED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8.2.3.现场检验时，如发现设备由于乙方原因（包括运输）有任何损坏、缺陷、短少或不符合合同中规定的质量标准和规范时，应做好记录，并由双方代表签字，各执一份，作为甲方向乙方提出修理和／或更换和／或索赔的依据；如果乙方委托甲方修理损坏的设备，所有修理设备的费用由乙方承担；如果由于甲方原因，发现损坏或短缺，乙方在接到买方通知后，应尽快提供或替换相应的部件，但费用由甲方自负。</w:t>
      </w:r>
    </w:p>
    <w:p w14:paraId="1F83B4D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8.2.4.乙方如对上述甲方提出修理、更换、索赔的要求有异议，应在接到甲方书面通知后7日内提出，否则上述要求成立。如有异议，乙方在接到通知后半个月内，自费派代表赴现场同甲方代表共同复验。</w:t>
      </w:r>
    </w:p>
    <w:p w14:paraId="1D29533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8.2.5.如双方代表在共同检验中对检验记录不能取得一致意见时，可由双方委托权威的第三方检验机构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日内进行检验。检验结果对双方都有约束力，检验费用由责任方负担。</w:t>
      </w:r>
    </w:p>
    <w:p w14:paraId="736F6349">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9.安装、调试、试运和验收</w:t>
      </w:r>
    </w:p>
    <w:p w14:paraId="0DDF991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9.1.本合同设备由甲方根据乙方提供的技术资料、检验标准、图纸及说明书进行安装、调试、运行和维修。整个安装、调试过程须在乙方现场技术服务人员指导下进行。重要工序须经乙方现场技术服务人员签字确认，重要工序由双方在安装、调试、运行前书面确认。在安装、调试过程中，若甲方未按乙方的技术资料规定和现场技术服务人员指导、未经乙方现场技术服务人员签字确认而出现问题，甲方自行负责（设备问题除外）；若甲方按乙方技术资料规定和现场技术服务人员的指导、乙方现场技术服务人员签字确认而出现问题，由乙方承担责任。</w:t>
      </w:r>
    </w:p>
    <w:p w14:paraId="5B17FF6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9.2.合同设备的安装：</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EB9DC1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9.3.合同设备的调试：</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69160D9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9.4.验收试验：</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5F936D8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10.分包与外购</w:t>
      </w:r>
    </w:p>
    <w:p w14:paraId="05EC477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10.1.乙方未经同意不得将本合同范围内的设备/部件进行分包。乙方需分包的内容和比例应征得甲方书面同意，否则不得分包。接受分包的单位（分包商）不得再次分包。</w:t>
      </w:r>
    </w:p>
    <w:p w14:paraId="164563A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10.2.乙方将本合同范围内需分包与外购的设备／部件的内容和比例提交甲方同意后，在合同谈判时，将此部分设备／部件的分包商预选名单、分包商资质材料，提交给甲方。甲方收到乙方提交的分包商文件后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内进行审查，审查同意后，以书面形式予以答复，甲方可推荐预选名单以外的分包商。乙方须在甲方同意的分包商名单中选定分包商，并在设计联络会上确定分包与外购设备的最终厂家。分包与外购设备最终厂家的确定必须经甲方书面确认。</w:t>
      </w:r>
    </w:p>
    <w:p w14:paraId="59797EC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10.3.乙方具有独立的、自主的材料和设备采购权利，可以采取各种适合自己的采购方式，但在分包与外购的设备/部件的问题上应充分采纳甲方根据实际运行经验以及实地考察、调研所提出的意见和建议，甲方有权对部分分包与外购的设备/部件要求乙方招标采购，并确认结果。</w:t>
      </w:r>
    </w:p>
    <w:p w14:paraId="287A45AE">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10.4.分包（外购）设备／部件的技术服务、技术配合按本合同技术服务条款的约定执行。</w:t>
      </w:r>
    </w:p>
    <w:p w14:paraId="19D517C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10.5.乙方对所有分包设备、部件承担本合同项下的全部责任。</w:t>
      </w:r>
    </w:p>
    <w:p w14:paraId="6F5A438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10.6.分包与外购内容见附件。</w:t>
      </w:r>
    </w:p>
    <w:p w14:paraId="14B35BF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11.税和费</w:t>
      </w:r>
    </w:p>
    <w:p w14:paraId="664F954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本合同价格为含税价。乙方提供的设备、技术资料、服务、运输、保险、进口设备／部件等所有税和费已全部包含在合同价格内，由乙方承担。</w:t>
      </w:r>
    </w:p>
    <w:p w14:paraId="2FF840BC">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12.保险</w:t>
      </w:r>
    </w:p>
    <w:p w14:paraId="561FD5A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12.1.乙方须对合同设备，根据水运、陆运和空运等运输方式，向保险公司以甲方和乙方为共同受益人投保发运合同设备价格110％的运输一切险，保险区段为乙方仓库到甲方现场止。设备（在交货地点）交货之前乙方为保险受益人，设备（在交货地点）交货之后甲方为保险受益人。</w:t>
      </w:r>
    </w:p>
    <w:p w14:paraId="2BC3C4F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12.2.如果发生乙方未对每台/套设备进行投保，甲方有权将这部分保险费从该台/套设备的运杂费中扣除，因其发生的连带责任，将全部由乙方承担。</w:t>
      </w:r>
    </w:p>
    <w:p w14:paraId="13CEBBD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12.3.乙方应将保险合同的副本于每台/套设备交货前</w:t>
      </w:r>
      <w:r>
        <w:rPr>
          <w:rFonts w:hint="eastAsia" w:ascii="宋体" w:hAnsi="宋体" w:cs="宋体"/>
          <w:b/>
          <w:bCs/>
          <w:color w:val="auto"/>
          <w:sz w:val="24"/>
          <w:szCs w:val="24"/>
          <w:highlight w:val="none"/>
          <w:u w:val="single"/>
        </w:rPr>
        <w:t>    </w:t>
      </w:r>
      <w:r>
        <w:rPr>
          <w:rFonts w:hint="eastAsia" w:ascii="宋体" w:hAnsi="宋体" w:cs="宋体"/>
          <w:color w:val="auto"/>
          <w:sz w:val="24"/>
          <w:szCs w:val="24"/>
          <w:highlight w:val="none"/>
        </w:rPr>
        <w:t>日内提供给甲方，如果乙方未能及时提供，甲方将认为乙方未对该台/套设备投保，并按12.2款处理。</w:t>
      </w:r>
    </w:p>
    <w:p w14:paraId="53D6880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12.4.如果交付的合同设备和/或文件在运输途中发生丢失或损坏，乙方应与保险公司联系进行索赔。如果此种丢失或损坏不属于保险公司的赔偿范围，则乙方应负责对甲方进行赔偿。</w:t>
      </w:r>
    </w:p>
    <w:p w14:paraId="5498CCE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13.知识产权</w:t>
      </w:r>
    </w:p>
    <w:p w14:paraId="178D6AC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13.1.乙方应保证甲方不受由于使用了乙方提供的合同设备（包括技术）而引起的对任何第三方的设计、工艺方案、技术资料、商标、专利等知识产权产生侵权。</w:t>
      </w:r>
    </w:p>
    <w:p w14:paraId="2DC5783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13.2.如果发生任何第三方的侵权指控，甲方于上述指控之日起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个工作日内尽快通知乙方，乙方负责与第三方交涉处理此事，并承担一切由此引起的法律上和经济上的责任，从而使甲方免受由于第三方索赔从法律及经济责任上所造成的损害。</w:t>
      </w:r>
    </w:p>
    <w:p w14:paraId="1F2ED2E0">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14.保证与索赔</w:t>
      </w:r>
    </w:p>
    <w:p w14:paraId="5F2F46D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14.1.本合同设备质量保证期为设备调试完毕正常运行后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p>
    <w:p w14:paraId="1274A62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14.2.乙方保证其供应的本合同设备是全新的，技术水平是先进的、成熟的、质量优良的，设备的选型均符合安全可靠、经济运行和易于维护的要求。乙方保证根据本合同所交付的技术资料完整统一和内容正确、准确的并能满足合同设备的设计、安装、调试、运行和维修的要求。</w:t>
      </w:r>
    </w:p>
    <w:p w14:paraId="2599943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14.3.本设备合同执行期间，如果乙方提供的设备有缺陷和技术资料有错误，或者由于乙方技术人员指导错误和疏忽，造成工程返工、报废，乙方应立即无偿更换和修理。如需更换，乙方应负担由此产生的到安装现场更换的一切费用，更换或修理期限应不迟于证实属乙方责任之日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由于甲方未按乙方所提供的技术资料、图纸、说明书和乙方现场技术服务人员的指导而进行施工、安装、调试造成的设备损坏，由甲方负责修理，更换，但乙方有义务尽快提供所需更换的部件，对于甲方要求的紧急部件，乙方应安排最快的方式运输，所有费用均由甲方负担。</w:t>
      </w:r>
    </w:p>
    <w:p w14:paraId="350FFC9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14.4.合同规定的保证期满后，由甲方在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日内出具合同设备保证期满最终验收证书交给乙方。甲方出具最终验收证书的先决条件是：乙方应完成甲方在保证期满前提出的索赔。</w:t>
      </w:r>
    </w:p>
    <w:p w14:paraId="2CD7F16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14.5.在保证期内，如发现设备有缺陷，不符合本合同规定时，如属乙方责任，则甲方有权向乙方提出索赔。如乙方对此索赔有异议按8.2.5条款办理。否则乙方在接到甲方索赔文件后，应立即无偿修理、更换、赔款或委托甲方安排大型修理。包括由此产生的到安装现场的更换费用、运费及保险费由乙方负担。</w:t>
      </w:r>
    </w:p>
    <w:p w14:paraId="4AE52B9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14.6.如由于乙方责任需要更换、修理有缺陷的设备，而使合同设备停运或推迟安装时，则保证期应按实际修理或更换所延误的时间做相应的延长。</w:t>
      </w:r>
    </w:p>
    <w:p w14:paraId="53EAB52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14.7.如合同设备在保证期内发现属乙方责任的十分严重的缺陷（如设备性能达不到要求等）则其保证期将自该缺陷修正后开始计算</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p>
    <w:p w14:paraId="235037B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14.8.如果不是由于甲方原因或甲方要求推迟交货而乙方未能按本合同规定的交货期交货时（不可抗力除外），甲方有权向乙方收取违约金：每延迟一日，违约金金额为迟交货物金额的</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%；合同设备延迟交付的违约金总金额累计不超过每套合同设备总价的</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%。乙方支付违约金，并不解除乙方按照合同继续交货的义务。对安装、试运行有重大影响的设备延迟交付，甲方有权向乙方收取违约金：每延迟一日，违约金金额为迟交货物金额的</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%，合同设备延迟交付的违约金总金额累计不超过合同总价的</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%。同时，甲方有权终止部分或全部合同。如乙方未按合同或附件的规定按时向甲方提供技术资料的，甲方有权向乙方收取违约金：每延迟一日，违约金金额为合同总价的</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%，该违约金总金额累计不超过合同总价的</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%。乙方提交违约金后，仍有义务向甲方提供技术帮助，采取各种措施以使设备达到各项经济指标。如果由于乙方和/或分包商技术服务的延误，造成执行合同延误，每延误工期一日，乙方应向甲方支付合同总价</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%的违约金，该违约金总金额累计不超过合同总价的</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w:t>
      </w:r>
    </w:p>
    <w:p w14:paraId="29675AE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14.9.由于乙方责任，根据本合同及附件规定验收试验后，不能达到本合同及其附件规定的一项或多项保证指标时，乙方应向甲方支付违约金：每不能达到一项保证指标，违约金金额为合同总价的</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%，每不能达到一项关键指标；违约金金额为合同总价的</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%，该违约金总金额累计不超过合同总价的</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%。如违约金不足以弥补甲方直接损失的，乙方应赔偿甲方的直接损失。</w:t>
      </w:r>
    </w:p>
    <w:p w14:paraId="0C43B24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14.10.乙方支付全部违约金、赔偿金或者乙方提供的满意的替换件被甲方接受之日，即为甲方出具初步验收证书之日。但乙方支付迟交违约金并不解除合同规定的相应义务。</w:t>
      </w:r>
    </w:p>
    <w:p w14:paraId="47A97EB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14.11.如果由于甲方的原因，迟付货款，工期可获得相应延长。</w:t>
      </w:r>
    </w:p>
    <w:p w14:paraId="175489A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14.12.如果发生乙方的合同履行违约行为，相关款项将由乙方在接到甲方的书面通知和此类赔偿的证明文件后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日内向甲方支付，甲方也有权从履约保函和任何一笔付款中扣除；如果属于质量问题造成的甲方损失，相关款项将从质量保证金中扣除；上述金额不足扣除部分，甲方有权向乙方继续追索，乙方应予以支付。</w:t>
      </w:r>
    </w:p>
    <w:p w14:paraId="6732AB4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14.13.如果发生甲方的合同履行违约，相关款项将由甲方在接到乙方的书面通知和此类赔偿的证明文件且由甲方认可后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日内向乙方支付。</w:t>
      </w:r>
    </w:p>
    <w:p w14:paraId="3284DE4A">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15.不可抗力</w:t>
      </w:r>
    </w:p>
    <w:p w14:paraId="193436B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15.1.不可抗力是指：严重的自然灾害和灾难（如台风、洪水、地震、火灾和爆炸等）、战争（不论是否宣战）、叛乱、动乱等等，其特点是不可预见、无法避免。合同双方中的任何一方，由于不可抗力事件而影响合同义务的执行时，则延迟履行合同义务的期限相当于不可抗力事件影响的时间，但是不能因为不可抗力的延迟而调整合同价格。</w:t>
      </w:r>
    </w:p>
    <w:p w14:paraId="35D9231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15.2.受到不可抗力影响的一方应在不可抗力事故发生后，尽快将所发生的不可抗力事件的情况以传真或电报通知另一方，并在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日内将有关当局出具的证明文件提交给另一方审阅确认，受影响的一方同时应尽量设法缩小这种影响和由此而引起的延误，一旦不可抗力的影响消除后，应将此情况立即通知对方。</w:t>
      </w:r>
    </w:p>
    <w:p w14:paraId="55E455F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15.3.如双方对不可抗力事件的影响估计将延续到</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日以上时，双方应通过友好协商解决本合同的执行问题（包括交货、安装、试运行和验收等问题）。</w:t>
      </w:r>
    </w:p>
    <w:p w14:paraId="727765C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16.合同的变更、修改、中止和终止</w:t>
      </w:r>
    </w:p>
    <w:p w14:paraId="170753C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16.1.本合同一经生效，合同双方均不得擅自对本合同的内容（包括附件）作任何单方的修改。但任何一方均可以对合同内容以书面形式提出变更、修改、取消或补充的建议。该项建议应以书面形式通知对方。如果该项修改改变了合同价格和交货进度，应在收到上述修改通知书后的14个工作日内，提出影响合同价格和／或交货期的详细说明。双方一致同意变更合同内容，须经双方法定代表人或委托代理人（须经法定代表人书面授权委托）签字并加盖合同专用章后生效。</w:t>
      </w:r>
    </w:p>
    <w:p w14:paraId="11DF2AC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16.2.如果乙方有违反或拒绝执行本合同规定的行为时，甲方将用书面通知乙方，乙方在接到通知后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日内确认无误后应对违反或拒绝做出修正，如果认为在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来不及纠正时，应提出修正计划。如果得不到纠正或提不出修正计划，甲方将保留中止本合同的一部分或全部的权利。对于这种中止，甲方将不出具变更通知书，由此而发生的一切费用、损失和索赔将由乙方负担。如果乙方的违约行为本合同其他条款有明确规定，则按有关条款处理。</w:t>
      </w:r>
    </w:p>
    <w:p w14:paraId="0F61750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16.3.如果甲方行使中止权利，甲方有权停付到期应向乙方支付中止部分的款项，并有权将在执行合同中预付给乙方的中止部分款项索回。</w:t>
      </w:r>
    </w:p>
    <w:p w14:paraId="02D9A9E4">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16.4.在合同执行过程中，若因国家计划调整而引起本合同无法正常执行时，甲方和／或乙方可以向对方提出中止执行合同或修改合同有关条款的建议，与之有关的事宜双方协商办理。</w:t>
      </w:r>
    </w:p>
    <w:p w14:paraId="7C2E2B7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16.5.当在合同（附件）中注明的原材料、外购件、外协厂的厂商、规格、产地、牌号、数量由于乙方原因，发生变更，需事先书面提交甲方确认同意，对此而引起对交货期的延迟影响，由乙方承担责任。</w:t>
      </w:r>
    </w:p>
    <w:p w14:paraId="5357503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16.6.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可执行经过甲方同意的一部分合同。</w:t>
      </w:r>
    </w:p>
    <w:p w14:paraId="2593AE4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16.7.若16.6款考虑的情况确实发生，甲方有权从乙方手中将与本合同设备有关的工作接管并收归己有，并在合理期限内从乙方的现场房屋中迁出所有与本合同设备有关的设计、图纸、说明和材料，这些东西的所有权已属甲方，乙方应给甲方提供全权处理并提供一切合理的方便，使其能搬走上述这类设计、图纸、说明和材料，甲方对这种终止合同直接或间接引起的对乙方的任何索赔不承担责任。此外，双方应对乙方已经实际履行的合同部分评价达成协议，并处理合同提前结束的一切后果。</w:t>
      </w:r>
    </w:p>
    <w:p w14:paraId="46B2421C">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17.合同争议的解决</w:t>
      </w:r>
    </w:p>
    <w:p w14:paraId="2CF7921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17.1.因本合同引起的或与本合同有关的任何争议，由合同各方协商解决，也可由有关部门调解。协商或调解不成的，应向奎屯市人民法院起诉。</w:t>
      </w:r>
    </w:p>
    <w:p w14:paraId="50CC217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17.2.法院判决对双方都有约束力。</w:t>
      </w:r>
    </w:p>
    <w:p w14:paraId="6DBDDFAE">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17.3.在法院审理期间，除法院审理规定的特殊事项外，合同仍应继续履行。</w:t>
      </w:r>
    </w:p>
    <w:p w14:paraId="49B8844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17.4.如因乙方迟延交货超3日以上，甲方享有单方解除权。</w:t>
      </w:r>
    </w:p>
    <w:p w14:paraId="0CE4993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17.5.因乙方违约造成甲方损失的，乙方除赔偿甲方相应损失外，还需承担甲方因此维权而产生的财产性损失（包括但不限于律师费、诉讼费、鉴定费、交通食宿费等）。</w:t>
      </w:r>
    </w:p>
    <w:p w14:paraId="73D17D55">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18.合同生效</w:t>
      </w:r>
    </w:p>
    <w:p w14:paraId="092898BE">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18.1.本合同自</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日起生效。</w:t>
      </w:r>
    </w:p>
    <w:p w14:paraId="68D2655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18.2.本合同有效期：从合同生效之日起到质保期满并理赔完毕货款两清之日止。</w:t>
      </w:r>
    </w:p>
    <w:p w14:paraId="60173B01">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19.适用法律及其他</w:t>
      </w:r>
    </w:p>
    <w:p w14:paraId="41422BE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19.1.法律适用：本合同适用法律为中华人民共和国法律。</w:t>
      </w:r>
    </w:p>
    <w:p w14:paraId="43B0903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19.2.权利义务的转让：双方任何一方未取得另一方事先同意前，不得将本合同项下的部分或全部权利或义务转让给第三方。</w:t>
      </w:r>
    </w:p>
    <w:p w14:paraId="43006C9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19.3.保密：本合同项下双方相互提供的文件、资料，双方除为履行本合同之目的外，均不得提供给其他无关的第三方。</w:t>
      </w:r>
    </w:p>
    <w:p w14:paraId="21506DC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19.4.安全规定：乙方进入甲方厂区需遵守安全管理规定，因违反安全管理规定而造成的人身伤亡和财产损失由乙方承担责任。</w:t>
      </w:r>
    </w:p>
    <w:p w14:paraId="79DF2FF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19.5.双方代表：合同双方应指定二名授权代表，分别负责直接处理“本合同设备”的技术和商务问题。</w:t>
      </w:r>
    </w:p>
    <w:p w14:paraId="4331C7E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甲方代表：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34018C4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43C41D2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乙方代表：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151B03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3A0A23E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19.6.未尽事宜：双方未尽事宜，通过友好协商解决，双方达成一致后签订补充协议，作为本合同的附件。</w:t>
      </w:r>
      <w:r>
        <w:rPr>
          <w:rFonts w:hint="eastAsia" w:ascii="宋体" w:hAnsi="宋体" w:cs="宋体"/>
          <w:b/>
          <w:bCs/>
          <w:color w:val="auto"/>
          <w:sz w:val="24"/>
          <w:szCs w:val="24"/>
          <w:highlight w:val="none"/>
        </w:rPr>
        <w:t>土建部分参照附件</w:t>
      </w:r>
      <w:r>
        <w:rPr>
          <w:rFonts w:hint="eastAsia" w:ascii="宋体" w:hAnsi="宋体" w:cs="宋体"/>
          <w:b/>
          <w:bCs/>
          <w:color w:val="auto"/>
          <w:sz w:val="24"/>
          <w:szCs w:val="24"/>
          <w:highlight w:val="none"/>
          <w:u w:val="single"/>
        </w:rPr>
        <w:t>      </w:t>
      </w:r>
    </w:p>
    <w:p w14:paraId="4AAE417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19.7.本合同一式</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份，甲、乙双方各持</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份。</w:t>
      </w:r>
    </w:p>
    <w:p w14:paraId="4478E21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w:t>
      </w:r>
    </w:p>
    <w:p w14:paraId="02C28FE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签署时间：    年    月    日</w:t>
      </w:r>
    </w:p>
    <w:p w14:paraId="78F59BC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w:t>
      </w:r>
    </w:p>
    <w:p w14:paraId="3420CA8E">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甲方（盖章）：</w:t>
      </w:r>
    </w:p>
    <w:p w14:paraId="10543320">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法定代表人或授权代表（签字）：</w:t>
      </w:r>
    </w:p>
    <w:p w14:paraId="30BAC5CB">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 </w:t>
      </w:r>
    </w:p>
    <w:p w14:paraId="0E74480D">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乙方（盖章）：</w:t>
      </w:r>
    </w:p>
    <w:p w14:paraId="3B050A64">
      <w:pPr>
        <w:pStyle w:val="221"/>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法定代表人或授权代表（签字）：</w:t>
      </w:r>
    </w:p>
    <w:p w14:paraId="3106BDF7">
      <w:pPr>
        <w:rPr>
          <w:rFonts w:ascii="宋体" w:hAnsi="宋体" w:cs="宋体"/>
          <w:color w:val="auto"/>
          <w:sz w:val="24"/>
          <w:szCs w:val="24"/>
          <w:highlight w:val="none"/>
        </w:rPr>
      </w:pPr>
      <w:r>
        <w:rPr>
          <w:rFonts w:ascii="宋体" w:hAnsi="宋体" w:cs="宋体"/>
          <w:color w:val="auto"/>
          <w:sz w:val="24"/>
          <w:szCs w:val="24"/>
          <w:highlight w:val="none"/>
        </w:rPr>
        <w:br w:type="page"/>
      </w:r>
    </w:p>
    <w:p w14:paraId="04277584">
      <w:pPr>
        <w:pStyle w:val="221"/>
        <w:jc w:val="left"/>
        <w:rPr>
          <w:rFonts w:ascii="宋体" w:hAnsi="宋体" w:cs="宋体"/>
          <w:color w:val="auto"/>
          <w:sz w:val="24"/>
          <w:szCs w:val="24"/>
          <w:highlight w:val="none"/>
        </w:rPr>
      </w:pPr>
    </w:p>
    <w:p w14:paraId="34E7943C">
      <w:pPr>
        <w:pStyle w:val="36"/>
        <w:widowControl w:val="0"/>
        <w:spacing w:line="560" w:lineRule="exact"/>
        <w:ind w:firstLine="723" w:firstLineChars="200"/>
        <w:jc w:val="center"/>
        <w:outlineLvl w:val="0"/>
        <w:rPr>
          <w:color w:val="auto"/>
          <w:highlight w:val="none"/>
        </w:rPr>
      </w:pPr>
      <w:bookmarkStart w:id="33" w:name="_Toc12867"/>
      <w:bookmarkStart w:id="34" w:name="_Toc529282263"/>
      <w:r>
        <w:rPr>
          <w:rFonts w:hint="eastAsia"/>
          <w:b/>
          <w:color w:val="auto"/>
          <w:sz w:val="36"/>
          <w:szCs w:val="36"/>
          <w:highlight w:val="none"/>
        </w:rPr>
        <w:t>第五章  采购需求</w:t>
      </w:r>
      <w:bookmarkEnd w:id="33"/>
      <w:bookmarkEnd w:id="34"/>
    </w:p>
    <w:p w14:paraId="021142CA">
      <w:pPr>
        <w:tabs>
          <w:tab w:val="left" w:pos="2500"/>
        </w:tabs>
        <w:jc w:val="left"/>
        <w:rPr>
          <w:color w:val="auto"/>
          <w:highlight w:val="none"/>
        </w:rPr>
      </w:pPr>
    </w:p>
    <w:tbl>
      <w:tblPr>
        <w:tblStyle w:val="40"/>
        <w:tblW w:w="9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3509"/>
        <w:gridCol w:w="704"/>
        <w:gridCol w:w="766"/>
        <w:gridCol w:w="2264"/>
        <w:gridCol w:w="1391"/>
      </w:tblGrid>
      <w:tr w14:paraId="4B30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F59CDF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1CC5E94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ADC20A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DBA92">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单位</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5D4BAD6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中小企业划分标准所属行业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00DE2D66">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14FB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6D3C9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7FD6F3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智能寄包柜</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38881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FD3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69E59E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8F6E3C3">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37C4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37D2A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63AB0D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电子图书借阅机</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A071E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04D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7C71B86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35D8689">
            <w:pPr>
              <w:keepNext w:val="0"/>
              <w:keepLines w:val="0"/>
              <w:widowControl/>
              <w:suppressLineNumbers w:val="0"/>
              <w:jc w:val="center"/>
              <w:textAlignment w:val="center"/>
              <w:rPr>
                <w:rFonts w:hint="default"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核心产品</w:t>
            </w:r>
          </w:p>
        </w:tc>
      </w:tr>
      <w:tr w14:paraId="7808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93A59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3</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38A3D2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电子报刊借阅机</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908B5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33D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2D10918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1AC4133">
            <w:pPr>
              <w:keepNext w:val="0"/>
              <w:keepLines w:val="0"/>
              <w:widowControl/>
              <w:suppressLineNumbers w:val="0"/>
              <w:jc w:val="center"/>
              <w:textAlignment w:val="center"/>
              <w:rPr>
                <w:rFonts w:hint="default"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核心产品</w:t>
            </w:r>
          </w:p>
        </w:tc>
      </w:tr>
      <w:tr w14:paraId="0689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4FA50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4</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5665F8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纸电一体化管理平台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DC444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6749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63A7960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4383349">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2BAF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CAD72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5</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1FB83E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智慧门户</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632B3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F71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CD8F51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0F604F1">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4581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684A6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6</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252BD54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电子资源管理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7889E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D0A4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6CAF7A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77E07D1">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1989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E5208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7</w:t>
            </w:r>
          </w:p>
        </w:tc>
        <w:tc>
          <w:tcPr>
            <w:tcW w:w="3509" w:type="dxa"/>
            <w:tcBorders>
              <w:top w:val="single" w:color="000000" w:sz="4" w:space="0"/>
              <w:left w:val="single" w:color="000000" w:sz="4" w:space="0"/>
              <w:bottom w:val="single" w:color="000000" w:sz="4" w:space="0"/>
              <w:right w:val="single" w:color="000000" w:sz="4" w:space="0"/>
            </w:tcBorders>
            <w:noWrap/>
            <w:vAlign w:val="center"/>
          </w:tcPr>
          <w:p w14:paraId="5165F3F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智能采选</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09A8F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97E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2D17AF8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7F4CDFD">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40C6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1B869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8</w:t>
            </w:r>
          </w:p>
        </w:tc>
        <w:tc>
          <w:tcPr>
            <w:tcW w:w="3509" w:type="dxa"/>
            <w:tcBorders>
              <w:top w:val="single" w:color="000000" w:sz="4" w:space="0"/>
              <w:left w:val="single" w:color="000000" w:sz="4" w:space="0"/>
              <w:bottom w:val="single" w:color="000000" w:sz="4" w:space="0"/>
              <w:right w:val="single" w:color="000000" w:sz="4" w:space="0"/>
            </w:tcBorders>
            <w:noWrap/>
            <w:vAlign w:val="center"/>
          </w:tcPr>
          <w:p w14:paraId="57F734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座位预约系统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AAEC4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1E4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0FB114C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A8F2C73">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782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49F16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9</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3F0BDE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大数据分析展示系统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FC666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CF6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4766F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602D01E">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BE3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67A05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10</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14D517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移动图书馆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37B2A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22D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2CFA521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8DEA5EA">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2035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74521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6AEDDC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阅读学分系统</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70F6E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601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BAEEE8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B2AC390">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0C65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4F2B6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011222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图书馆</w:t>
            </w:r>
            <w:r>
              <w:rPr>
                <w:rStyle w:val="222"/>
                <w:rFonts w:eastAsia="宋体"/>
                <w:color w:val="auto"/>
                <w:lang w:val="en-US" w:eastAsia="zh-CN" w:bidi="ar"/>
              </w:rPr>
              <w:t>720</w:t>
            </w:r>
            <w:r>
              <w:rPr>
                <w:rStyle w:val="112"/>
                <w:color w:val="auto"/>
                <w:lang w:val="en-US" w:eastAsia="zh-CN" w:bidi="ar"/>
              </w:rPr>
              <w:t>度全景展示</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FB22D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65D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9B3315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D86C710">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1BE8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B65AF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13</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534FB0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阅读本自助借阅系统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1F72B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E0A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09A3094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D8121AF">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59EC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ABF0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A2A1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馆员管理终端</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B9FA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B221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台</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238B0186">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4624939">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bl>
    <w:p w14:paraId="47C2E1B7">
      <w:pPr>
        <w:rPr>
          <w:rFonts w:hint="eastAsia" w:ascii="宋体" w:hAnsi="宋体" w:eastAsia="宋体"/>
          <w:b/>
          <w:bCs/>
          <w:snapToGrid w:val="0"/>
          <w:color w:val="auto"/>
          <w:sz w:val="24"/>
          <w:szCs w:val="24"/>
          <w:highlight w:val="none"/>
          <w:lang w:val="en-US" w:eastAsia="zh-CN"/>
        </w:rPr>
      </w:pPr>
      <w:r>
        <w:rPr>
          <w:rFonts w:hint="eastAsia" w:ascii="宋体" w:hAnsi="宋体" w:eastAsia="宋体"/>
          <w:b/>
          <w:bCs/>
          <w:snapToGrid w:val="0"/>
          <w:color w:val="auto"/>
          <w:sz w:val="24"/>
          <w:szCs w:val="24"/>
          <w:highlight w:val="none"/>
          <w:lang w:val="en-US" w:eastAsia="zh-CN"/>
        </w:rPr>
        <w:br w:type="page"/>
      </w:r>
    </w:p>
    <w:tbl>
      <w:tblPr>
        <w:tblStyle w:val="40"/>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1134"/>
        <w:gridCol w:w="7060"/>
      </w:tblGrid>
      <w:tr w14:paraId="568E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59" w:type="dxa"/>
            <w:shd w:val="clear" w:color="auto" w:fill="auto"/>
            <w:noWrap w:val="0"/>
            <w:vAlign w:val="center"/>
          </w:tcPr>
          <w:p w14:paraId="3DA7C708">
            <w:pPr>
              <w:jc w:val="center"/>
              <w:rPr>
                <w:rFonts w:hint="eastAsia" w:ascii="宋体" w:hAnsi="宋体"/>
                <w:b/>
                <w:bCs/>
                <w:color w:val="auto"/>
                <w:kern w:val="0"/>
                <w:sz w:val="20"/>
                <w:szCs w:val="21"/>
                <w:highlight w:val="none"/>
              </w:rPr>
            </w:pPr>
            <w:r>
              <w:rPr>
                <w:rFonts w:hint="eastAsia" w:ascii="宋体" w:hAnsi="宋体"/>
                <w:b/>
                <w:bCs/>
                <w:color w:val="auto"/>
                <w:kern w:val="0"/>
                <w:sz w:val="20"/>
                <w:szCs w:val="21"/>
                <w:highlight w:val="none"/>
              </w:rPr>
              <w:t>序号</w:t>
            </w:r>
          </w:p>
        </w:tc>
        <w:tc>
          <w:tcPr>
            <w:tcW w:w="1134" w:type="dxa"/>
            <w:shd w:val="clear" w:color="auto" w:fill="auto"/>
            <w:noWrap w:val="0"/>
            <w:vAlign w:val="center"/>
          </w:tcPr>
          <w:p w14:paraId="62D47C5A">
            <w:pPr>
              <w:jc w:val="center"/>
              <w:rPr>
                <w:rFonts w:hint="eastAsia" w:ascii="宋体" w:hAnsi="宋体"/>
                <w:b/>
                <w:bCs/>
                <w:color w:val="auto"/>
                <w:kern w:val="0"/>
                <w:sz w:val="20"/>
                <w:szCs w:val="21"/>
                <w:highlight w:val="none"/>
              </w:rPr>
            </w:pPr>
            <w:r>
              <w:rPr>
                <w:rFonts w:hint="eastAsia" w:ascii="宋体" w:hAnsi="宋体"/>
                <w:b/>
                <w:bCs/>
                <w:color w:val="auto"/>
                <w:kern w:val="0"/>
                <w:sz w:val="20"/>
                <w:szCs w:val="21"/>
                <w:highlight w:val="none"/>
              </w:rPr>
              <w:t>项目</w:t>
            </w:r>
          </w:p>
        </w:tc>
        <w:tc>
          <w:tcPr>
            <w:tcW w:w="7060" w:type="dxa"/>
            <w:shd w:val="clear" w:color="auto" w:fill="auto"/>
            <w:noWrap w:val="0"/>
            <w:vAlign w:val="center"/>
          </w:tcPr>
          <w:p w14:paraId="0946EA81">
            <w:pPr>
              <w:jc w:val="center"/>
              <w:rPr>
                <w:rFonts w:hint="eastAsia" w:ascii="宋体" w:hAnsi="宋体"/>
                <w:b/>
                <w:bCs/>
                <w:color w:val="auto"/>
                <w:kern w:val="0"/>
                <w:sz w:val="20"/>
                <w:szCs w:val="21"/>
                <w:highlight w:val="none"/>
              </w:rPr>
            </w:pPr>
            <w:r>
              <w:rPr>
                <w:rFonts w:hint="eastAsia" w:ascii="宋体" w:hAnsi="宋体"/>
                <w:b/>
                <w:bCs/>
                <w:color w:val="auto"/>
                <w:kern w:val="0"/>
                <w:sz w:val="20"/>
                <w:szCs w:val="21"/>
                <w:highlight w:val="none"/>
              </w:rPr>
              <w:t>技术参数</w:t>
            </w:r>
          </w:p>
        </w:tc>
      </w:tr>
      <w:tr w14:paraId="72F7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4C9A8175">
            <w:pPr>
              <w:jc w:val="center"/>
              <w:rPr>
                <w:rFonts w:hint="eastAsia" w:ascii="宋体" w:hAnsi="宋体" w:eastAsia="宋体"/>
                <w:color w:val="auto"/>
                <w:kern w:val="0"/>
                <w:sz w:val="20"/>
                <w:szCs w:val="22"/>
                <w:highlight w:val="none"/>
                <w:lang w:val="en-US" w:eastAsia="zh-CN" w:bidi="ar-SA"/>
              </w:rPr>
            </w:pPr>
            <w:r>
              <w:rPr>
                <w:rFonts w:ascii="宋体" w:hAnsi="宋体"/>
                <w:color w:val="auto"/>
                <w:sz w:val="20"/>
                <w:szCs w:val="22"/>
                <w:highlight w:val="none"/>
              </w:rPr>
              <w:t>1</w:t>
            </w:r>
          </w:p>
        </w:tc>
        <w:tc>
          <w:tcPr>
            <w:tcW w:w="1134" w:type="dxa"/>
            <w:shd w:val="clear" w:color="auto" w:fill="auto"/>
            <w:noWrap w:val="0"/>
            <w:vAlign w:val="center"/>
          </w:tcPr>
          <w:p w14:paraId="2930E8CA">
            <w:pPr>
              <w:jc w:val="center"/>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智能存包柜</w:t>
            </w:r>
          </w:p>
        </w:tc>
        <w:tc>
          <w:tcPr>
            <w:tcW w:w="7060" w:type="dxa"/>
            <w:shd w:val="clear" w:color="auto" w:fill="auto"/>
            <w:noWrap w:val="0"/>
            <w:vAlign w:val="center"/>
          </w:tcPr>
          <w:p w14:paraId="7976CB80">
            <w:pPr>
              <w:jc w:val="left"/>
              <w:rPr>
                <w:rFonts w:hint="eastAsia" w:ascii="宋体" w:hAnsi="宋体"/>
                <w:b/>
                <w:bCs/>
                <w:color w:val="auto"/>
                <w:kern w:val="0"/>
                <w:sz w:val="18"/>
                <w:szCs w:val="18"/>
                <w:highlight w:val="none"/>
              </w:rPr>
            </w:pPr>
            <w:r>
              <w:rPr>
                <w:rFonts w:hint="eastAsia" w:ascii="宋体" w:hAnsi="宋体"/>
                <w:b/>
                <w:bCs/>
                <w:color w:val="auto"/>
                <w:kern w:val="0"/>
                <w:sz w:val="18"/>
                <w:szCs w:val="18"/>
                <w:highlight w:val="none"/>
              </w:rPr>
              <w:t>系统</w:t>
            </w:r>
          </w:p>
          <w:p w14:paraId="64087D9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1.支持预约系统（数据库、应用发布）本地化部署。</w:t>
            </w:r>
          </w:p>
          <w:p w14:paraId="1D344C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2.预约系统支持多校区、多分馆的寄存柜预约。</w:t>
            </w:r>
          </w:p>
          <w:p w14:paraId="5D0C03F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3.预约方式支持网页、手机端预约。</w:t>
            </w:r>
          </w:p>
          <w:p w14:paraId="736BA8D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4.预约系统用户身份认证支持与学校统一身份认证对接。</w:t>
            </w:r>
          </w:p>
          <w:p w14:paraId="22831E0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5.▲预约系统支持与本馆座位预约、空间预约系统无缝对接，实现预约统一平台，方便用户统一管理（提供同平台软件功能截图）。</w:t>
            </w:r>
          </w:p>
          <w:p w14:paraId="4C4EA8E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6.▲寄存柜预约类型及使用方式：</w:t>
            </w:r>
          </w:p>
          <w:p w14:paraId="502C6B4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6.1.日柜（使用时间为当日）</w:t>
            </w:r>
          </w:p>
          <w:p w14:paraId="0239BEB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支持所有读者进行预约使用，每次使用时间至当日闭馆，工作人员需要每天对柜子进行清理。当日未取走物品的读者，系统清场时需要记录该读者违约1次，违约满几次，禁用寄存柜预约N天。</w:t>
            </w:r>
          </w:p>
          <w:p w14:paraId="79E3D53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6.2.周柜（使用时间为1周）</w:t>
            </w:r>
          </w:p>
          <w:p w14:paraId="0D56187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周柜的使用时间为1周（周一至周日），支持对可以预约使用的读者进行有权限的设定。包括可通过读者类型来进行限制，如只有研究生可以预约使用。可通过学号的特定标识进行限制（学号开头几位），如大三以上读者可以预约使用。可通过上周的读者在馆时长进行限制，如上周在馆时间达到多少时长就拥有下周的周柜预约权限</w:t>
            </w:r>
          </w:p>
          <w:p w14:paraId="49D17A8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管理员每周日闭馆后，对周柜进行清理，未取走物品的读者，管理员可在预约系统中手动添加该读者违约1次，违约满几次，禁用寄存柜预约N天。</w:t>
            </w:r>
          </w:p>
          <w:p w14:paraId="617A0C0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6.3.▲考研柜（使用时间为1段时间）</w:t>
            </w:r>
          </w:p>
          <w:p w14:paraId="24872DA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考研柜的预约权限仅限拥有考研座位的读者，一旦考研座位由于签到原因被释放，该读者所预约的考研柜也自动失去使用权限。当读者考研柜被释放后，系统将自动通知管理员对柜子进行清理。</w:t>
            </w:r>
          </w:p>
          <w:p w14:paraId="52310287">
            <w:pPr>
              <w:jc w:val="left"/>
              <w:rPr>
                <w:rFonts w:hint="eastAsia" w:ascii="宋体" w:hAnsi="宋体"/>
                <w:b/>
                <w:bCs/>
                <w:color w:val="auto"/>
                <w:kern w:val="0"/>
                <w:sz w:val="18"/>
                <w:szCs w:val="18"/>
                <w:highlight w:val="none"/>
              </w:rPr>
            </w:pPr>
            <w:r>
              <w:rPr>
                <w:rFonts w:hint="eastAsia" w:ascii="宋体" w:hAnsi="宋体"/>
                <w:b/>
                <w:bCs/>
                <w:color w:val="auto"/>
                <w:kern w:val="0"/>
                <w:sz w:val="18"/>
                <w:szCs w:val="18"/>
                <w:highlight w:val="none"/>
              </w:rPr>
              <w:t>硬件</w:t>
            </w:r>
          </w:p>
          <w:p w14:paraId="3350F9D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1.▲具有大屏幕显示功能，屏幕可显示时间、常规故障指示、设置菜单、管理界面、工作状态显示等。（提供设备外观截图证明）。</w:t>
            </w:r>
          </w:p>
          <w:p w14:paraId="16981EB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2.具有红外检测的辅助安全措施。</w:t>
            </w:r>
          </w:p>
          <w:p w14:paraId="0F461B6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3.寄存柜的各个管理参数全部面向客户开放，客户可选择相应的菜单进行设置。设有三级管理密码，方便不同级别的管理要求。</w:t>
            </w:r>
          </w:p>
          <w:p w14:paraId="2D5396C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4.在管理模式下，管理快捷命令可应急开启箱门、清除箱门ID、查询箱门状态等操作。可设置管理员进行管理,每个管理员可根据自己的工号及管理密码进行管理操作而互不影响。</w:t>
            </w:r>
          </w:p>
          <w:p w14:paraId="1A02BDC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5.在箱门合法使用的情况下，系统自动记录操作日志，包括箱门的识别ID、存取时间、管理员操作信息、物品检测情况等记录信息。管理员可查询这些记录。</w:t>
            </w:r>
          </w:p>
          <w:p w14:paraId="1373A70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6.对于故障箱管理员可临时锁定拒绝存入该箱门的功能。</w:t>
            </w:r>
          </w:p>
          <w:p w14:paraId="0F86705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7.通过检测装置实时监测箱门开闭状态，具备非法箱门开启报警、非法存物报警拒绝、关闭箱门提示等功能。</w:t>
            </w:r>
          </w:p>
          <w:p w14:paraId="069EC66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8.门数≥24。</w:t>
            </w:r>
          </w:p>
          <w:p w14:paraId="7332324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9.柜体冷轧钢板厚度：≥1mm。</w:t>
            </w:r>
          </w:p>
          <w:p w14:paraId="4B2A672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10.显示屏尺寸：≥7寸</w:t>
            </w:r>
          </w:p>
          <w:p w14:paraId="1246B9C1">
            <w:pPr>
              <w:jc w:val="left"/>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11.▲支持一卡通刷卡、二维码联网认证。（提供功能软件截图及设备外观图证明）。</w:t>
            </w:r>
          </w:p>
        </w:tc>
      </w:tr>
      <w:tr w14:paraId="560F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65AD1D6E">
            <w:pPr>
              <w:jc w:val="center"/>
              <w:rPr>
                <w:rFonts w:hint="eastAsia" w:ascii="宋体" w:hAnsi="宋体"/>
                <w:color w:val="auto"/>
                <w:kern w:val="0"/>
                <w:sz w:val="20"/>
                <w:szCs w:val="22"/>
                <w:highlight w:val="none"/>
                <w:lang w:val="en-US" w:eastAsia="zh-CN" w:bidi="ar-SA"/>
              </w:rPr>
            </w:pPr>
            <w:r>
              <w:rPr>
                <w:rFonts w:ascii="宋体" w:hAnsi="宋体"/>
                <w:color w:val="auto"/>
                <w:sz w:val="20"/>
                <w:szCs w:val="22"/>
                <w:highlight w:val="none"/>
              </w:rPr>
              <w:t>2</w:t>
            </w:r>
          </w:p>
        </w:tc>
        <w:tc>
          <w:tcPr>
            <w:tcW w:w="1134" w:type="dxa"/>
            <w:shd w:val="clear" w:color="auto" w:fill="auto"/>
            <w:noWrap w:val="0"/>
            <w:vAlign w:val="center"/>
          </w:tcPr>
          <w:p w14:paraId="123AC74B">
            <w:pPr>
              <w:jc w:val="center"/>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电子图书借阅机</w:t>
            </w:r>
          </w:p>
        </w:tc>
        <w:tc>
          <w:tcPr>
            <w:tcW w:w="7060" w:type="dxa"/>
            <w:shd w:val="clear" w:color="auto" w:fill="auto"/>
            <w:noWrap w:val="0"/>
            <w:vAlign w:val="center"/>
          </w:tcPr>
          <w:p w14:paraId="51CEB2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1.系统 </w:t>
            </w:r>
          </w:p>
          <w:p w14:paraId="2C75551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1.1▲基于1080*1920分辨率大屏安卓触摸一体机研发，软件运行环境为Android7.1及以上系统。实现终端平台展示、图书资源管理、借阅等功能模块。</w:t>
            </w:r>
          </w:p>
          <w:p w14:paraId="0390678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 ▲必须具备手机客户端应用，手机客户端是电子书借阅机配套的手机端程序，且可与图书馆正在使用的移动图书馆客户端联机使用。</w:t>
            </w:r>
          </w:p>
          <w:p w14:paraId="6F2453B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 ▲ 通过配套的手机客户端可以直接扫描电子书借阅机上的图书二维码下载图书到手机等移动终端中阅读。手机客户端需同时支持ios、android系统。</w:t>
            </w:r>
          </w:p>
          <w:p w14:paraId="433FCE9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1.4支持远程定时更新，支持一键更新，减少管理成本。</w:t>
            </w:r>
          </w:p>
          <w:p w14:paraId="2D8963C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1.5▲通过微信等第三方扫描工具二维码扫描，可提供直接在线阅读原版文本全文，无需下载客户端，并能将图书分享至朋友圈等社交网络。也可根据读者喜好自行选择下载客户端阅读。</w:t>
            </w:r>
          </w:p>
          <w:p w14:paraId="54FB575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2.借阅机资源</w:t>
            </w:r>
          </w:p>
          <w:p w14:paraId="21706FE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 电子书借阅机内置3000册正版授权的epub格式电子图书且与原版图书保持原貌一致，如相关图片、目录等，每月定时更新不少于150册热门电子图书。支持新书、热门图书标记功能，供读者参考。</w:t>
            </w:r>
          </w:p>
          <w:p w14:paraId="66E1B6D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2.2▲内置期刊资源，期刊种类不少于200种，每月定期更新。</w:t>
            </w:r>
          </w:p>
          <w:p w14:paraId="4879298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期刊支持扫描下载至手机客户端中离线阅读。</w:t>
            </w:r>
          </w:p>
          <w:p w14:paraId="65E8892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2.3▲配套新书推荐栏目，每周更新，每月推送不低于25本。（每周新书推送，结合实事、节假日等针对不同主题，精选图书。）</w:t>
            </w:r>
          </w:p>
          <w:p w14:paraId="1BC528C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 个性化</w:t>
            </w:r>
          </w:p>
          <w:p w14:paraId="3D62E6D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3.1 ▲借阅机终端系统支持定制显示单位名称、logo、待机画面、二维码，可将购买单位的名称和logo配置到程序中。可任意修改待机画面，通过后台可进行相关待机画面修改，随时满足图书馆的通知要求。</w:t>
            </w:r>
          </w:p>
          <w:p w14:paraId="0258C4F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3.2▲提供不少于5种不同风格的模版，供用户自行选择，随时更换模版以适应不同场合的需求。</w:t>
            </w:r>
          </w:p>
          <w:p w14:paraId="4763E3A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3.3▲ 图书分类支持定制：可根据用户的需求定制一个图书分类，推荐相关的电子图书到借阅机中展示。定制的图书也可以通过扫描二维码的方式下载至手机客户端中离线阅读。</w:t>
            </w:r>
          </w:p>
          <w:p w14:paraId="7136D3C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3.4▲支持挂接单个专题，多个专题以及多个专题组。</w:t>
            </w:r>
          </w:p>
          <w:p w14:paraId="79B1CF8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4．后台管理</w:t>
            </w:r>
          </w:p>
          <w:p w14:paraId="3ABBBFE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4.1 ▲提供用户管理后台。图书馆可以自行配置借阅机的显示效果，挑选展示风格。</w:t>
            </w:r>
          </w:p>
          <w:p w14:paraId="03F052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4.2 ▲提供信息发布后台。图书馆可以自行发布文字、图片等信息，推送至指定的借阅机上显示。</w:t>
            </w:r>
          </w:p>
          <w:p w14:paraId="7F68F2F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4.3 ▲提供视频上传后台。图书馆可以自定义发布视频资源，获取播放地址；支持单个、多个视频、多个视频组的不同展示。</w:t>
            </w:r>
          </w:p>
          <w:p w14:paraId="3221CA6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4.4 ▲提供人员架构信息发布后台，单位可以自行添加信息。</w:t>
            </w:r>
          </w:p>
          <w:p w14:paraId="43E6692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4.5 ▲提供图片上传后台，用户可以自定义上传图片资源。</w:t>
            </w:r>
          </w:p>
          <w:p w14:paraId="2760798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4.6 ▲提供统一的微服务管理平台，支持PC端+移动端的多终端自主管理功能。</w:t>
            </w:r>
          </w:p>
          <w:p w14:paraId="3248107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4.7▲微服务管理后台支持对设备信息查看、在线/离线状态监控等。</w:t>
            </w:r>
          </w:p>
          <w:p w14:paraId="6052077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4.8▲微服务管理后台可以对设备进行远程管理，包括重启、关机、刷新等操作。</w:t>
            </w:r>
          </w:p>
          <w:p w14:paraId="5B41FD1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4.9▲微服务管理后台可以对设备进行内容配置，切换版式、显示名称、添加导航及调整顺序等</w:t>
            </w:r>
          </w:p>
          <w:p w14:paraId="25198BD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4.9▲微服务管理后台可以对设备进行版式修改</w:t>
            </w:r>
          </w:p>
          <w:p w14:paraId="3CD1EA3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5．配套的手机端服务</w:t>
            </w:r>
          </w:p>
          <w:p w14:paraId="7B46AD8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5.1配套的手机端应具备夜间模式转换，文字大小调整等功能。</w:t>
            </w:r>
          </w:p>
          <w:p w14:paraId="5719B90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5.2手机客户端可保留相关阅读记录。</w:t>
            </w:r>
          </w:p>
          <w:p w14:paraId="7C73B16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5.3▲手机客户端提供适合智能手机阅读的EPUB格式热门图书。图书支持全文下载，并保存在手机中。</w:t>
            </w:r>
          </w:p>
          <w:p w14:paraId="2C6FC02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5.4▲手机客户端可以观看适合智能手机播放的学术视频。</w:t>
            </w:r>
          </w:p>
          <w:p w14:paraId="07EDA57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5.5▲手机客户端支持在线听书。</w:t>
            </w:r>
          </w:p>
          <w:p w14:paraId="634E5D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5.6▲提供手机端遥控器，可实现对设备的便捷管理。</w:t>
            </w:r>
          </w:p>
          <w:p w14:paraId="5670D3C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5.7▲手机端遥控器支持对设备信息查看、在线/离线状态监控等。</w:t>
            </w:r>
          </w:p>
          <w:p w14:paraId="29B80DA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5.8▲手机端遥控器可以快速进行屏保上传、修改。</w:t>
            </w:r>
          </w:p>
          <w:p w14:paraId="5AC1507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5.9▲手机端遥控器支持信息发布（任务推送），更加高效，便捷。</w:t>
            </w:r>
          </w:p>
          <w:p w14:paraId="26E0C10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6. 其他要求： </w:t>
            </w:r>
          </w:p>
          <w:p w14:paraId="1F0767C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6.1▲需要提供平台成熟的应用案例。</w:t>
            </w:r>
          </w:p>
          <w:p w14:paraId="1F5DB7A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6.2▲需要提供借阅机系统软件著作权证书。</w:t>
            </w:r>
          </w:p>
          <w:p w14:paraId="2E71D78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6.3具备苹果客户端开发能力，具备苹果开发者账号。</w:t>
            </w:r>
          </w:p>
          <w:p w14:paraId="7AF853D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6.4 提供IOS和android主流移动操作系统客户端，提供条码扫描、订阅等功能，设计要符合用户的操作习惯。</w:t>
            </w:r>
          </w:p>
          <w:p w14:paraId="371CFA5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6.5系统具备良好的开放性，可以支持二次发。</w:t>
            </w:r>
          </w:p>
          <w:p w14:paraId="43AE02E2">
            <w:pPr>
              <w:jc w:val="left"/>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6.6提供完善的售后说明。</w:t>
            </w:r>
          </w:p>
        </w:tc>
      </w:tr>
      <w:tr w14:paraId="57BD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2FF11F71">
            <w:pPr>
              <w:jc w:val="center"/>
              <w:rPr>
                <w:rFonts w:hint="eastAsia" w:ascii="宋体" w:hAnsi="宋体"/>
                <w:color w:val="auto"/>
                <w:kern w:val="0"/>
                <w:sz w:val="20"/>
                <w:szCs w:val="22"/>
                <w:highlight w:val="none"/>
                <w:lang w:val="en-US" w:eastAsia="zh-CN" w:bidi="ar-SA"/>
              </w:rPr>
            </w:pPr>
            <w:r>
              <w:rPr>
                <w:rFonts w:ascii="宋体" w:hAnsi="宋体"/>
                <w:color w:val="auto"/>
                <w:sz w:val="20"/>
                <w:szCs w:val="22"/>
                <w:highlight w:val="none"/>
              </w:rPr>
              <w:t>3</w:t>
            </w:r>
          </w:p>
        </w:tc>
        <w:tc>
          <w:tcPr>
            <w:tcW w:w="1134" w:type="dxa"/>
            <w:shd w:val="clear" w:color="auto" w:fill="auto"/>
            <w:noWrap w:val="0"/>
            <w:vAlign w:val="center"/>
          </w:tcPr>
          <w:p w14:paraId="2132AEFE">
            <w:pPr>
              <w:jc w:val="center"/>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电子报刊借阅机</w:t>
            </w:r>
          </w:p>
        </w:tc>
        <w:tc>
          <w:tcPr>
            <w:tcW w:w="7060" w:type="dxa"/>
            <w:shd w:val="clear" w:color="auto" w:fill="auto"/>
            <w:noWrap w:val="0"/>
            <w:vAlign w:val="center"/>
          </w:tcPr>
          <w:p w14:paraId="1587CDE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1.系统 </w:t>
            </w:r>
          </w:p>
          <w:p w14:paraId="6AEDA47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1.1▲软件运行环境不低于Windows10 64位操作系统。</w:t>
            </w:r>
          </w:p>
          <w:p w14:paraId="0BC98F4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 ▲必须具备手机客户端应用，手机客户端是报刊机配套的手机端程序，且可与图书馆正在使用的移动图书馆客户端联机使用。</w:t>
            </w:r>
          </w:p>
          <w:p w14:paraId="6910067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 ▲ 通过配套的手机客户端可以直接扫描报刊机上的期刊二维码下载期刊到手机等移动终端中阅读。手机客户端需同时支持ios、android系统。</w:t>
            </w:r>
          </w:p>
          <w:p w14:paraId="2EF798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1.4支持远程定时更新，支持一键更新，减少管理成本。</w:t>
            </w:r>
          </w:p>
          <w:p w14:paraId="7564A9E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1.5▲通过微信等第三方扫描工具二维码扫描，可提供直接在线阅读原版文本全文，无需下载客户端，并能将期刊分享至朋友圈等社交网络。也可根据读者喜好自行选择下载客户端阅读。</w:t>
            </w:r>
          </w:p>
          <w:p w14:paraId="2DD4B08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2.报刊资源</w:t>
            </w:r>
          </w:p>
          <w:p w14:paraId="3AE3149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 电子书借阅机内置3000册正版授权的epub格式电子图书且与原版图书保持原貌一致，如相关图片、目录等，每月定时更新不少于150册热门电子图书。支持新书、热门图书标记功能，供读者参考。</w:t>
            </w:r>
          </w:p>
          <w:p w14:paraId="3EA82BC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2.2报刊机内置500种正版授权的epub格式电子期刊，且与原版期刊保持原貌一致，如相关图片、目录等，每月更新。</w:t>
            </w:r>
          </w:p>
          <w:p w14:paraId="018328F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 期刊可以在机器端在线阅读，同时支持扫描下载至手机客户端中离线阅读。</w:t>
            </w:r>
          </w:p>
          <w:p w14:paraId="5AA4744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2.4 报刊机内置不少于30种报纸资源，并且实现报纸的实时更新。</w:t>
            </w:r>
          </w:p>
          <w:p w14:paraId="744547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 个性化</w:t>
            </w:r>
          </w:p>
          <w:p w14:paraId="4409BA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3.1报刊机终端系统支持定制显示单位名称、logo，可将购买单位的名称和logo配置到程序中。</w:t>
            </w:r>
          </w:p>
          <w:p w14:paraId="17DA154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3.2报刊机终端系统支持轮播图片展示功能，可以通过后台远程修改。</w:t>
            </w:r>
          </w:p>
          <w:p w14:paraId="664D932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3.3提供四种首页版式，包括标准版、二合一版、card版、banner版等，版式支持随意切换，根据客户需要个性化定制首页展示内容。包括不限于图书、视频、专题、第三方外链等内容展示。</w:t>
            </w:r>
          </w:p>
          <w:p w14:paraId="316D388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3.4支持挂接单个专题，多个专题以及多个专题组。</w:t>
            </w:r>
          </w:p>
          <w:p w14:paraId="361FA81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3.5提供全屏屏保展示，屏保支持单、多张轮播展示。</w:t>
            </w:r>
          </w:p>
          <w:p w14:paraId="5FE3FDB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4．配套的手机端服务</w:t>
            </w:r>
          </w:p>
          <w:p w14:paraId="3891C05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4.1配套的手机端应具备夜间模式转换，文字大小调整等功能。</w:t>
            </w:r>
          </w:p>
          <w:p w14:paraId="330DB01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4.2手机客户端可保留相关阅读记录。</w:t>
            </w:r>
          </w:p>
          <w:p w14:paraId="4D42E08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4.3▲手机客户端提供适合智能手机阅读的EPUB格式热门图书。图书支持全文下载，并保存在手机中。</w:t>
            </w:r>
          </w:p>
          <w:p w14:paraId="2676011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4.4▲提供手机端遥控器，可实现对设备的便捷管理。</w:t>
            </w:r>
          </w:p>
          <w:p w14:paraId="5F609AC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4.5▲手机端遥控器支持对设备信息查看、在线/离线状态监控等。</w:t>
            </w:r>
          </w:p>
          <w:p w14:paraId="73A089C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4.6▲手机端遥控器可以快速进行屏保上传、修改</w:t>
            </w:r>
          </w:p>
          <w:p w14:paraId="36402EC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4.7▲手机端遥控器支持信息发布（任务推送），更加高效，便捷。</w:t>
            </w:r>
          </w:p>
          <w:p w14:paraId="5866D9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5.后台管理</w:t>
            </w:r>
          </w:p>
          <w:p w14:paraId="2C94B38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5.1▲提供统一的微服务管理平台，支持PC端+移动端的多终端自主管理功能。</w:t>
            </w:r>
          </w:p>
          <w:p w14:paraId="45EF09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5.2▲微服务管理平台支持对设备信息查看、在线/离线状态监控等。</w:t>
            </w:r>
          </w:p>
          <w:p w14:paraId="2D70DDB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5.3▲微服务管理后台可以对设备进行远程管理，包括重启、关机、刷新等操作。</w:t>
            </w:r>
          </w:p>
          <w:p w14:paraId="65759F1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5.4▲微服务管理后台可以对设备进行配置内容修改</w:t>
            </w:r>
          </w:p>
          <w:p w14:paraId="15C8A61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6. 其他要求： </w:t>
            </w:r>
          </w:p>
          <w:p w14:paraId="6BF5B9D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6.1提供完善的售后说明。</w:t>
            </w:r>
          </w:p>
          <w:p w14:paraId="068625B7">
            <w:pPr>
              <w:jc w:val="left"/>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6.2▲需要提供借阅机系统软件著作权证书。</w:t>
            </w:r>
          </w:p>
        </w:tc>
      </w:tr>
      <w:tr w14:paraId="2F5C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25F36FD2">
            <w:pPr>
              <w:jc w:val="center"/>
              <w:rPr>
                <w:rFonts w:hint="eastAsia" w:ascii="宋体" w:hAnsi="宋体" w:eastAsia="宋体"/>
                <w:color w:val="auto"/>
                <w:kern w:val="0"/>
                <w:sz w:val="20"/>
                <w:szCs w:val="22"/>
                <w:highlight w:val="none"/>
                <w:lang w:val="en-US" w:eastAsia="zh-CN"/>
              </w:rPr>
            </w:pPr>
            <w:r>
              <w:rPr>
                <w:rFonts w:hint="eastAsia" w:ascii="宋体" w:hAnsi="宋体"/>
                <w:color w:val="auto"/>
                <w:kern w:val="0"/>
                <w:sz w:val="20"/>
                <w:szCs w:val="22"/>
                <w:highlight w:val="none"/>
                <w:lang w:val="en-US" w:eastAsia="zh-CN"/>
              </w:rPr>
              <w:t>4</w:t>
            </w:r>
          </w:p>
        </w:tc>
        <w:tc>
          <w:tcPr>
            <w:tcW w:w="1134" w:type="dxa"/>
            <w:shd w:val="clear" w:color="auto" w:fill="auto"/>
            <w:noWrap w:val="0"/>
            <w:vAlign w:val="center"/>
          </w:tcPr>
          <w:p w14:paraId="3AD9722F">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纸电一体化管理平台</w:t>
            </w:r>
          </w:p>
        </w:tc>
        <w:tc>
          <w:tcPr>
            <w:tcW w:w="7060" w:type="dxa"/>
            <w:shd w:val="clear" w:color="auto" w:fill="auto"/>
            <w:noWrap w:val="0"/>
            <w:vAlign w:val="center"/>
          </w:tcPr>
          <w:p w14:paraId="1902CE4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一、资源采访</w:t>
            </w:r>
            <w:r>
              <w:rPr>
                <w:rFonts w:hint="eastAsia" w:ascii="宋体" w:hAnsi="宋体"/>
                <w:color w:val="auto"/>
                <w:kern w:val="0"/>
                <w:sz w:val="18"/>
                <w:szCs w:val="18"/>
                <w:highlight w:val="none"/>
              </w:rPr>
              <w:tab/>
            </w:r>
          </w:p>
          <w:p w14:paraId="05CD741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数据导入</w:t>
            </w:r>
          </w:p>
          <w:p w14:paraId="69F7F81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1.支持导入征订目录、导入订购记录、导入验收记录、更新订购待编记录、导入套录数据、导入批量退订等。</w:t>
            </w:r>
          </w:p>
          <w:p w14:paraId="53502F8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2.数据导入支持MARC文件和Excel文件，支持文件格式智能识别。</w:t>
            </w:r>
          </w:p>
          <w:p w14:paraId="35CA7C8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3.导入MARC文件支持GBK、UNICODE、UTF-8、MARC8等编码格式。</w:t>
            </w:r>
          </w:p>
          <w:p w14:paraId="27100CA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4.支持同一批次征订目录、订购记录，多币种、多国别、多语种数据导入。</w:t>
            </w:r>
          </w:p>
          <w:p w14:paraId="0A2DC8E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5.导入Excel文件时，支持xls和xlxs格式转换，支持Excel工作表的切换。自动识别导入Excel文件的表头，提供MARC字段匹配库，自动匹配映射MARC字段。</w:t>
            </w:r>
          </w:p>
          <w:p w14:paraId="11B6452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征订管理</w:t>
            </w:r>
          </w:p>
          <w:p w14:paraId="0348FD2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1.支持征订目录的独有或共享，支持经费的独有或共享。</w:t>
            </w:r>
          </w:p>
          <w:p w14:paraId="568B71C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2.支持总分馆之间协作采购，自由组配经费。</w:t>
            </w:r>
          </w:p>
          <w:p w14:paraId="4CA9E54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3.每一条采购流水的订购方式可追溯，包含征订目录订购、直接订购、读者推荐订购、PDA订购等。</w:t>
            </w:r>
          </w:p>
          <w:p w14:paraId="49E1DE0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4.灵活的黑名单管理，支持编辑及移除黑名单。</w:t>
            </w:r>
          </w:p>
          <w:p w14:paraId="1D7D895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5.支持批次查重及关联订购、批量删除、批量订购、批量加入黑名单等处理工作。</w:t>
            </w:r>
          </w:p>
          <w:p w14:paraId="0BFD068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6.支持按订购号、采购流水号、题名、责任者、出版社、出版年、分类号、价格等多种条件排序。</w:t>
            </w:r>
          </w:p>
          <w:p w14:paraId="3328E96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7.业务操作进行筛选书目时，可快速选用已经设置好的个人采选策略。</w:t>
            </w:r>
          </w:p>
          <w:p w14:paraId="2550E8F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8.支持根据出版年、价格、出版社、责任者、分类、币种等条件的复合筛选。</w:t>
            </w:r>
          </w:p>
          <w:p w14:paraId="70BAD0F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9.支持通过中央知识库获取作者简介、图书简介、目录、封面等信息。</w:t>
            </w:r>
          </w:p>
          <w:p w14:paraId="3B37164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荐购管理</w:t>
            </w:r>
          </w:p>
          <w:p w14:paraId="7F020FB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1.支持对采购单荐购和读者自由荐购记录的管理； </w:t>
            </w:r>
          </w:p>
          <w:p w14:paraId="659073F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2.支持对图书和电子资源库做采购申请处理和回复； </w:t>
            </w:r>
          </w:p>
          <w:p w14:paraId="7DED8F1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3.支持批量查重，针对查重结果可查看重复元数据及重复元数据下纸质馆藏、电子馆藏、数字馆藏、订购记录； </w:t>
            </w:r>
          </w:p>
          <w:p w14:paraId="0A4F76B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4.支持关联MRAC订购； </w:t>
            </w:r>
          </w:p>
          <w:p w14:paraId="77835DA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5.支持关联在订记录； </w:t>
            </w:r>
          </w:p>
          <w:p w14:paraId="192D911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6.支持自定义维护荐购回复常用语； </w:t>
            </w:r>
          </w:p>
          <w:p w14:paraId="11FD794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7.荐购记录被订购及入藏时，系统可自动通过 EMAIL 或短信自动反馈读者； </w:t>
            </w:r>
          </w:p>
          <w:p w14:paraId="2BA135E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8.支持荐购数据与馆藏资源的数据库查重功能。</w:t>
            </w:r>
          </w:p>
          <w:p w14:paraId="35870F1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资源订购</w:t>
            </w:r>
          </w:p>
          <w:p w14:paraId="35EF3DE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1.支持按订购包、按全部订购记录查看本馆订单，可在全部订单中检索订购记录。</w:t>
            </w:r>
          </w:p>
          <w:p w14:paraId="1FDE75E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2.支持检索本馆元数据、中央知识库及其他联机站点元数据，直接订购的方式。</w:t>
            </w:r>
          </w:p>
          <w:p w14:paraId="3C411C9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3.支持提供MARC或Excel文件，设置订购工作台、经费、套数，直接导入订购记录。</w:t>
            </w:r>
          </w:p>
          <w:p w14:paraId="17AEF2B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4.支持单条、批量调整订购信息、规则分配馆藏地。</w:t>
            </w:r>
          </w:p>
          <w:p w14:paraId="3E0735C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5.支持批量更新参数、调整订购、更改订购包、删除订购记录、退订；支持批量导出、打印订购记录。</w:t>
            </w:r>
          </w:p>
          <w:p w14:paraId="3847AF2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6.支持批量查重；弹窗展示重复结果。</w:t>
            </w:r>
          </w:p>
          <w:p w14:paraId="5AD4C0E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7.支持查看订购元数据的MARC详情、往年订购记录、荐购记录等。</w:t>
            </w:r>
          </w:p>
          <w:p w14:paraId="4AF915C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8.批次内支持按订购工作台筛选、导出订单。</w:t>
            </w:r>
          </w:p>
          <w:p w14:paraId="060C8A2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9.实时获取中国银行远期汇率，订购、验收时，人民币和外币价格可换算。</w:t>
            </w:r>
          </w:p>
          <w:p w14:paraId="12AB904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10.支持订单发订审核。</w:t>
            </w:r>
          </w:p>
          <w:p w14:paraId="30AFA34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供应商预警</w:t>
            </w:r>
          </w:p>
          <w:p w14:paraId="5E7DBB5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1.支持设置供应商预期交付时间，在机构参数设置预计交付周期后，按周期推算供应商单个批次的供全率、供准率、及时率。</w:t>
            </w:r>
          </w:p>
          <w:p w14:paraId="073A9EC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2.达到预计交付日期当日，若供应商存在未到记录则输出预警信息，并向订购包创建人发送通知。</w:t>
            </w:r>
          </w:p>
          <w:p w14:paraId="623112C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3.支持订购逾期未到图书的统计，其中须包含订购种数，未到商预种数，未到率，到货实洋等字段。</w:t>
            </w:r>
          </w:p>
          <w:p w14:paraId="77D7B15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一次性接受</w:t>
            </w:r>
          </w:p>
          <w:p w14:paraId="5038A36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1.图书一次性接收支持订购验收、自采验收、受赠验收等。</w:t>
            </w:r>
          </w:p>
          <w:p w14:paraId="0E64DCC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2.验收时支持检索查重。</w:t>
            </w:r>
          </w:p>
          <w:p w14:paraId="5F50EDD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3.支持总签、分签、不签多种验收方式。</w:t>
            </w:r>
          </w:p>
          <w:p w14:paraId="4628AA9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4.订购验收支持直接追加订购记录。</w:t>
            </w:r>
          </w:p>
          <w:p w14:paraId="3DAB19C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5.支持多卷册图书的验收处理。</w:t>
            </w:r>
          </w:p>
          <w:p w14:paraId="4F8E776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6.支持批量更改数据的验收包。</w:t>
            </w:r>
          </w:p>
          <w:p w14:paraId="48EE557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7.财产号、条码号支持按工作台财产账参数自动分配。支持不自动分配财产账。</w:t>
            </w:r>
          </w:p>
          <w:p w14:paraId="1220B9C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8.支持自动生成索书号。</w:t>
            </w:r>
          </w:p>
          <w:p w14:paraId="09BA865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9.支持设置馆藏地分配规则，验收时自动根据规则分配馆藏地。</w:t>
            </w:r>
          </w:p>
          <w:p w14:paraId="10D5FD2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10.支持编目验收，同时处理验收和编目。</w:t>
            </w:r>
          </w:p>
          <w:p w14:paraId="539F270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11.支持对查重结果合并元数据、移除验收等操作。</w:t>
            </w:r>
          </w:p>
          <w:p w14:paraId="7235250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12.支持批量导入验收，导入时支持设置书刊状态及元数据状态。</w:t>
            </w:r>
          </w:p>
          <w:p w14:paraId="68B02CA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13.索书号重复支持导入。</w:t>
            </w:r>
          </w:p>
          <w:p w14:paraId="0577602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14.支持导入文件完成订购数据MARC和订购价格的更新。</w:t>
            </w:r>
          </w:p>
          <w:p w14:paraId="4FA5137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支持利用手机拍照、上传图片，对图片中书脊信息进行切割并呈现，并对图书基本信息进行识别；支持对图片中识别到的图书信息，与本馆订购数据进行比对，自动匹配生成预验收列表，并支持二次确认后，添加到验收记录。</w:t>
            </w:r>
            <w:r>
              <w:rPr>
                <w:rFonts w:hint="eastAsia" w:ascii="宋体" w:hAnsi="宋体" w:cs="宋体"/>
                <w:color w:val="auto"/>
                <w:kern w:val="0"/>
                <w:sz w:val="18"/>
                <w:szCs w:val="18"/>
                <w:highlight w:val="none"/>
              </w:rPr>
              <w:t>（提供截图证明）</w:t>
            </w:r>
          </w:p>
          <w:p w14:paraId="6ED0536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受赠管理</w:t>
            </w:r>
          </w:p>
          <w:p w14:paraId="27C4DCE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1.支持受赠管理，管理、添加捐赠记录，包含OPAC读者自主提交捐赠记录以及馆员自建记录。</w:t>
            </w:r>
          </w:p>
          <w:p w14:paraId="06B22CC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2.支持对捐赠记录根据题名、责任者、ISBN等多维度组合查重、导出、不藏、入藏。</w:t>
            </w:r>
          </w:p>
          <w:p w14:paraId="6204CD4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3.支持后台发布捐赠记录的公告，便于读者在OPAC查看。</w:t>
            </w:r>
          </w:p>
          <w:p w14:paraId="3DFF4A6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送编交接</w:t>
            </w:r>
          </w:p>
          <w:p w14:paraId="4910AB0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1.支持选择多验收批次送编交接。</w:t>
            </w:r>
          </w:p>
          <w:p w14:paraId="0100FB2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2.支持按条码号或者财产号区间送编交接。</w:t>
            </w:r>
          </w:p>
          <w:p w14:paraId="489F0D6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3.支持多个验收包送交至一个编目包，支持一个验收包数据送交至多个编目包。</w:t>
            </w:r>
          </w:p>
          <w:p w14:paraId="0D9748F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经费管理</w:t>
            </w:r>
          </w:p>
          <w:p w14:paraId="4155AF2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1.支持多总分馆间的经费共享，设置订购工作台的经费使用权限。</w:t>
            </w:r>
          </w:p>
          <w:p w14:paraId="5A4B827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2.支持经费的可使用周期、总额设置。</w:t>
            </w:r>
          </w:p>
          <w:p w14:paraId="16D98A9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3.支持管理经费收支记录及预支记录。</w:t>
            </w:r>
          </w:p>
          <w:p w14:paraId="63E692B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合同管理</w:t>
            </w:r>
          </w:p>
          <w:p w14:paraId="480C93D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1.支持创建、修改、删除本馆合同，针对合同，关联不同资料采购类型资源。</w:t>
            </w:r>
          </w:p>
          <w:p w14:paraId="5FA50A9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2.支持台账格式导出，包含但不限于合同签订时间、承办单位、是否重大合同、审批情况、履行情况等字段。</w:t>
            </w:r>
          </w:p>
          <w:p w14:paraId="72D02B8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发票管理</w:t>
            </w:r>
          </w:p>
          <w:p w14:paraId="4B45CFB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1.支持创建、修改、删除本馆发票，针对不同资料采购类型关联对应订购或验收数据。</w:t>
            </w:r>
          </w:p>
          <w:p w14:paraId="1895708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2.支持对发票进行付款，生成经费支出。</w:t>
            </w:r>
          </w:p>
          <w:p w14:paraId="528AEAA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3.付款记录支持留存经办人信息；</w:t>
            </w:r>
          </w:p>
          <w:p w14:paraId="71F937A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二、连续出版物</w:t>
            </w:r>
          </w:p>
          <w:p w14:paraId="4B41C80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订购及续订</w:t>
            </w:r>
          </w:p>
          <w:p w14:paraId="422CE11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1.支持复制订购批次续订，续订时，可选择复制的期刊类型以及是否保留原订购分配信息。</w:t>
            </w:r>
          </w:p>
          <w:p w14:paraId="3E38F9D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2.可进行订购，征订记录价格、出版频率、记录差异、订购号比较。</w:t>
            </w:r>
          </w:p>
          <w:p w14:paraId="271927D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3.比较后支持批量同步记录的价格、出版频率、订购号。</w:t>
            </w:r>
          </w:p>
          <w:p w14:paraId="4525EDC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签收</w:t>
            </w:r>
          </w:p>
          <w:p w14:paraId="6CE033B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1.支持根据往年签收参数生成签到卡片。</w:t>
            </w:r>
          </w:p>
          <w:p w14:paraId="1BBAA6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2.支持期刊卷期批量签收以及退签功能。</w:t>
            </w:r>
          </w:p>
          <w:p w14:paraId="293C3E6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3.支持针对固定频率期刊，非固定频率期刊，特殊卷期期刊分别通过参数生成准确的卷期信息。</w:t>
            </w:r>
          </w:p>
          <w:p w14:paraId="588FB43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4.支持现刊分配条码自动单刊典藏。</w:t>
            </w:r>
          </w:p>
          <w:p w14:paraId="39BF179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5.支持预到日期和催缺日期的设置。</w:t>
            </w:r>
          </w:p>
          <w:p w14:paraId="2908056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现刊处理</w:t>
            </w:r>
          </w:p>
          <w:p w14:paraId="227E7C7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1.支持正常刊、增刊以及合刊等期刊类型的签收。</w:t>
            </w:r>
          </w:p>
          <w:p w14:paraId="74FE41F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2.支持多种特殊签收情况处理，包含增刊、合刊、索引刊、副刊等。</w:t>
            </w:r>
          </w:p>
          <w:p w14:paraId="315B2C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3.支持根据不同订购工作台设置不同的签收参数，各自分别签收。</w:t>
            </w:r>
          </w:p>
          <w:p w14:paraId="2DA3AC3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4.支持按照签收日期，人员，分配地筛选条件进行交接。</w:t>
            </w:r>
          </w:p>
          <w:p w14:paraId="2416A0B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5.支持取消交接功能。</w:t>
            </w:r>
          </w:p>
          <w:p w14:paraId="4CD91ED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6.支持交接期刊数据打印和导出。</w:t>
            </w:r>
          </w:p>
          <w:p w14:paraId="6ABF273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现刊催缺</w:t>
            </w:r>
          </w:p>
          <w:p w14:paraId="359F23A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1.支持按照缺刊、所有缺刊、未签刊、断刊类型进行邮件催缺。</w:t>
            </w:r>
          </w:p>
          <w:p w14:paraId="3C0520D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2.支持按照供应商、订购年度筛选检索功能。</w:t>
            </w:r>
          </w:p>
          <w:p w14:paraId="2C8EA08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排架号管理</w:t>
            </w:r>
          </w:p>
          <w:p w14:paraId="513BABC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1.支持根据订购年度，分配地以及不同选项检索期刊。</w:t>
            </w:r>
          </w:p>
          <w:p w14:paraId="255E978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2.支持根据分类号，往年排架号，文件导入方式生成新一年排架号。</w:t>
            </w:r>
          </w:p>
          <w:p w14:paraId="32403B9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过刊下架</w:t>
            </w:r>
          </w:p>
          <w:p w14:paraId="64517F4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1.支持按照出版年，分配地条件进行下架。</w:t>
            </w:r>
          </w:p>
          <w:p w14:paraId="3A96238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2.支持取回下架期刊。</w:t>
            </w:r>
          </w:p>
          <w:p w14:paraId="25A954D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3.支持对不典藏的现刊信息进行批量报废、遗失、赠送处理。</w:t>
            </w:r>
          </w:p>
          <w:p w14:paraId="363B10D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合订本装订</w:t>
            </w:r>
          </w:p>
          <w:p w14:paraId="1887218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1.支持通过检索单刊，选择装订单刊实现合订本装订。</w:t>
            </w:r>
          </w:p>
          <w:p w14:paraId="3BDE11A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2.支持自动生成起止卷期相关信息。</w:t>
            </w:r>
          </w:p>
          <w:p w14:paraId="5DA64F6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3.支持对合订本批量验收。</w:t>
            </w:r>
          </w:p>
          <w:p w14:paraId="4C02176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4.支持针对合订本批量送流通。</w:t>
            </w:r>
          </w:p>
          <w:p w14:paraId="33CA3B3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5.支持自动生成合订本条码号，财产号。</w:t>
            </w:r>
          </w:p>
          <w:p w14:paraId="4328E46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单刊典藏</w:t>
            </w:r>
          </w:p>
          <w:p w14:paraId="7EB6B66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1.支持针对现刊进行批量单刊典藏操作，单刊典藏期刊可流通借还。</w:t>
            </w:r>
          </w:p>
          <w:p w14:paraId="353CC26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2.支持自动生成单刊条码号，财产号。</w:t>
            </w:r>
          </w:p>
          <w:p w14:paraId="5965E22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三、资源管理</w:t>
            </w:r>
            <w:r>
              <w:rPr>
                <w:rFonts w:hint="eastAsia" w:ascii="宋体" w:hAnsi="宋体"/>
                <w:color w:val="auto"/>
                <w:kern w:val="0"/>
                <w:sz w:val="18"/>
                <w:szCs w:val="18"/>
                <w:highlight w:val="none"/>
              </w:rPr>
              <w:tab/>
            </w:r>
          </w:p>
          <w:p w14:paraId="42A56AF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元数据支持范围</w:t>
            </w:r>
          </w:p>
          <w:p w14:paraId="15D2D8D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1.国际国内编目标准：支持CNMARC、USMARC、RDA、DC、DCTERMS等规范。</w:t>
            </w:r>
          </w:p>
          <w:p w14:paraId="2510519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2.支持GBK、UNICODE、UTF-8字符集，实现多语种编目。</w:t>
            </w:r>
          </w:p>
          <w:p w14:paraId="252D7A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3.支持USMARC的关联数据展现。</w:t>
            </w:r>
          </w:p>
          <w:p w14:paraId="7A28EBF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4.▲支持BIBFRAME数据展示。</w:t>
            </w:r>
            <w:r>
              <w:rPr>
                <w:rFonts w:hint="eastAsia" w:ascii="宋体" w:hAnsi="宋体" w:cs="宋体"/>
                <w:color w:val="auto"/>
                <w:kern w:val="0"/>
                <w:sz w:val="18"/>
                <w:szCs w:val="18"/>
                <w:highlight w:val="none"/>
              </w:rPr>
              <w:t>（提供截图证明）</w:t>
            </w:r>
          </w:p>
          <w:p w14:paraId="0EC5CA5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元数据扩展编辑功能</w:t>
            </w:r>
          </w:p>
          <w:p w14:paraId="6B54CB9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1.需提供系统模板，同时支持自定义元数据模板功能，自定义模板可在机构内、机构间共享。</w:t>
            </w:r>
          </w:p>
          <w:p w14:paraId="07C7178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2.支持用元数据模板覆盖、补缺、添加全部字段到MARC中。</w:t>
            </w:r>
          </w:p>
          <w:p w14:paraId="4D0014B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3.支持多种自动生成MARC字段的规则，用户可自由选择配置规则。</w:t>
            </w:r>
          </w:p>
          <w:p w14:paraId="648BC36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4.支持基于中央知识库实现规则共享区下载、本地应用。</w:t>
            </w:r>
          </w:p>
          <w:p w14:paraId="3DEC0F6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5.支持MARC字段中简繁体互换，生成指定字段拼音。</w:t>
            </w:r>
          </w:p>
          <w:p w14:paraId="4713B6C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6.支持锁定元数据，锁定状态下无法编辑，防止误操作。</w:t>
            </w:r>
          </w:p>
          <w:p w14:paraId="7AD3C4E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7.支持增加中图法分类名称提示，直接根据分类号展示对应分类名称。</w:t>
            </w:r>
          </w:p>
          <w:p w14:paraId="105F3CA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元数据获取</w:t>
            </w:r>
          </w:p>
          <w:p w14:paraId="3271C19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1.联机检索支持多题名、多主题词的检索。</w:t>
            </w:r>
          </w:p>
          <w:p w14:paraId="5CA170F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2.支持转入套录数据，在套录库中按批次查看转入的套录元数据，并在编目页面可以检索套录数据。</w:t>
            </w:r>
          </w:p>
          <w:p w14:paraId="1EAC175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3.支持复制网页上MARC数据，包括美国国会图书馆、中国国家图书馆等多个中外文网站。获取MARC的过程可以设置原MARC保留字段，可以设定来源MARC过滤字段。</w:t>
            </w:r>
          </w:p>
          <w:p w14:paraId="7DD00EC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4.▲支持在书目编目时，利用手机对图书扉页拍照，识别图书CIP等信息；</w:t>
            </w:r>
            <w:r>
              <w:rPr>
                <w:rFonts w:hint="eastAsia" w:ascii="宋体" w:hAnsi="宋体" w:cs="宋体"/>
                <w:color w:val="auto"/>
                <w:kern w:val="0"/>
                <w:sz w:val="18"/>
                <w:szCs w:val="18"/>
                <w:highlight w:val="none"/>
              </w:rPr>
              <w:t>（提供截图证明）</w:t>
            </w:r>
          </w:p>
          <w:p w14:paraId="3A94231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5.▲根据识别的CIP信息，自动生成元数据、自动纠偏元数据。</w:t>
            </w:r>
            <w:r>
              <w:rPr>
                <w:rFonts w:hint="eastAsia" w:ascii="宋体" w:hAnsi="宋体" w:cs="宋体"/>
                <w:color w:val="auto"/>
                <w:kern w:val="0"/>
                <w:sz w:val="18"/>
                <w:szCs w:val="18"/>
                <w:highlight w:val="none"/>
              </w:rPr>
              <w:t>（提供截图证明）</w:t>
            </w:r>
          </w:p>
          <w:p w14:paraId="5B59FF1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元数据检索与查重</w:t>
            </w:r>
          </w:p>
          <w:p w14:paraId="2A421AB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1.支持查重、关联检索，支持元数据分屏查看、复制字段、合并、覆盖操作。</w:t>
            </w:r>
          </w:p>
          <w:p w14:paraId="6C5C3A2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2.支持按CALIS号等条件检索馆内和联机数据。</w:t>
            </w:r>
          </w:p>
          <w:p w14:paraId="465C1CC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3.▲支持元数据的查重合并功能，进行元数据统一，形成纸电一体化管理。（</w:t>
            </w:r>
            <w:r>
              <w:rPr>
                <w:rFonts w:hint="eastAsia" w:ascii="宋体" w:hAnsi="宋体" w:cs="宋体"/>
                <w:color w:val="auto"/>
                <w:kern w:val="0"/>
                <w:sz w:val="18"/>
                <w:szCs w:val="18"/>
                <w:highlight w:val="none"/>
              </w:rPr>
              <w:t>提供所投</w:t>
            </w:r>
            <w:r>
              <w:rPr>
                <w:rFonts w:hint="eastAsia" w:ascii="宋体" w:hAnsi="宋体"/>
                <w:color w:val="auto"/>
                <w:kern w:val="0"/>
                <w:sz w:val="18"/>
                <w:szCs w:val="18"/>
                <w:highlight w:val="none"/>
              </w:rPr>
              <w:t>纸电一体化管理平台</w:t>
            </w:r>
            <w:r>
              <w:rPr>
                <w:rFonts w:hint="eastAsia" w:ascii="宋体" w:hAnsi="宋体" w:cs="宋体"/>
                <w:color w:val="auto"/>
                <w:kern w:val="0"/>
                <w:sz w:val="18"/>
                <w:szCs w:val="18"/>
                <w:highlight w:val="none"/>
              </w:rPr>
              <w:t>的软件著作权证书和测试报告。</w:t>
            </w:r>
            <w:r>
              <w:rPr>
                <w:rFonts w:hint="eastAsia" w:ascii="宋体" w:hAnsi="宋体"/>
                <w:color w:val="auto"/>
                <w:kern w:val="0"/>
                <w:sz w:val="18"/>
                <w:szCs w:val="18"/>
                <w:highlight w:val="none"/>
              </w:rPr>
              <w:t>）</w:t>
            </w:r>
          </w:p>
          <w:p w14:paraId="61F6DE4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4.支持对元数据进行批量查重、批量合并功能，且批量合并时可自定义保留字段。</w:t>
            </w:r>
          </w:p>
          <w:p w14:paraId="3C2D29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5.支持设置默认查重条件；支持多种条件的查重，包括正题名、题名组、标准号等，并支持多种查重条件的自由组合。支持多题名、多主题词的检索。</w:t>
            </w:r>
          </w:p>
          <w:p w14:paraId="382010B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索书号处理</w:t>
            </w:r>
          </w:p>
          <w:p w14:paraId="3B5065A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1.支持通过著者号、卡特号、种次号、四角号码四种方式自成生成索书号，支持复分号的自动生成。</w:t>
            </w:r>
          </w:p>
          <w:p w14:paraId="5DF64D1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2.支持西文卡特号表维护。</w:t>
            </w:r>
          </w:p>
          <w:p w14:paraId="4444224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3.支持自定义四角号码生成规则。</w:t>
            </w:r>
          </w:p>
          <w:p w14:paraId="376105A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4.支持索书号管理常用快捷键，提供工作效率。</w:t>
            </w:r>
          </w:p>
          <w:p w14:paraId="2D1BEA1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5.支持用户自定义复分号初始值。</w:t>
            </w:r>
          </w:p>
          <w:p w14:paraId="3715672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复本处理</w:t>
            </w:r>
          </w:p>
          <w:p w14:paraId="16DC14C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1.支持纸质、电子、数字资源的统一管理。</w:t>
            </w:r>
          </w:p>
          <w:p w14:paraId="64E0A0B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2.支持图片、文档等多种数字资源管理，支持资源本地或远程存储（数字馆藏）。</w:t>
            </w:r>
          </w:p>
          <w:p w14:paraId="0FA827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3.▲支持在编目页面直接将现刊装订成合订本，支持同时展示现刊、过刊合订本的编目信息。</w:t>
            </w:r>
            <w:r>
              <w:rPr>
                <w:rFonts w:hint="eastAsia" w:ascii="宋体" w:hAnsi="宋体" w:cs="宋体"/>
                <w:color w:val="auto"/>
                <w:kern w:val="0"/>
                <w:sz w:val="18"/>
                <w:szCs w:val="18"/>
                <w:highlight w:val="none"/>
              </w:rPr>
              <w:t>（提供截图证明）</w:t>
            </w:r>
          </w:p>
          <w:p w14:paraId="42FE30D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4.支持附件的管理，支持附件与纸本馆藏一一关联。</w:t>
            </w:r>
          </w:p>
          <w:p w14:paraId="7B7137A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5.支持查看期刊对应的篇级数据信息，同时显示该目录下的文章信息，包含篇名、责任者、页码和对应的URL等信息。</w:t>
            </w:r>
          </w:p>
          <w:p w14:paraId="464591A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6.▲支持手动上传图书目录，目录格式为国际通用标准DCTERMS。</w:t>
            </w:r>
            <w:r>
              <w:rPr>
                <w:rFonts w:hint="eastAsia" w:ascii="宋体" w:hAnsi="宋体" w:cs="宋体"/>
                <w:color w:val="auto"/>
                <w:kern w:val="0"/>
                <w:sz w:val="18"/>
                <w:szCs w:val="18"/>
                <w:highlight w:val="none"/>
              </w:rPr>
              <w:t>（提供截图证明）</w:t>
            </w:r>
          </w:p>
          <w:p w14:paraId="4C9C69A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个人工作区</w:t>
            </w:r>
          </w:p>
          <w:p w14:paraId="408645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1.▲支持设置个人工作区，支持多种方式添加工作区数据：上传MARC文件创建个人工作区、按检索数据加入工作区、按检索规则加入个人工作区。</w:t>
            </w:r>
            <w:r>
              <w:rPr>
                <w:rFonts w:hint="eastAsia" w:ascii="宋体" w:hAnsi="宋体" w:cs="宋体"/>
                <w:color w:val="auto"/>
                <w:kern w:val="0"/>
                <w:sz w:val="18"/>
                <w:szCs w:val="18"/>
                <w:highlight w:val="none"/>
              </w:rPr>
              <w:t>（提供截图证明）</w:t>
            </w:r>
          </w:p>
          <w:p w14:paraId="51783D3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2.支持批量查找本馆无财产订购记录相关的元数据加入工作区，进行本馆冗余元数据处理。</w:t>
            </w:r>
          </w:p>
          <w:p w14:paraId="6566C89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3.▲支持MARC批量新增字段、修改子字段、删除字段、删除子字段等。</w:t>
            </w:r>
            <w:r>
              <w:rPr>
                <w:rFonts w:hint="eastAsia" w:ascii="宋体" w:hAnsi="宋体" w:cs="宋体"/>
                <w:color w:val="auto"/>
                <w:kern w:val="0"/>
                <w:sz w:val="18"/>
                <w:szCs w:val="18"/>
                <w:highlight w:val="none"/>
              </w:rPr>
              <w:t>（提供截图证明）</w:t>
            </w:r>
          </w:p>
          <w:p w14:paraId="05B734B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书标打印</w:t>
            </w:r>
          </w:p>
          <w:p w14:paraId="137B6B3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1.支持书标打印功能，可补打书标。支持根据规则限定、单种/册扫描添加及批量添加方式获取提取书标列表。</w:t>
            </w:r>
          </w:p>
          <w:p w14:paraId="7C882AE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2.支持调整书标打印格式、预览打印效果。</w:t>
            </w:r>
          </w:p>
          <w:p w14:paraId="7930CD1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3.▲支持不同编目方式下的书标打印，支持按条码、索书号等进行排序。</w:t>
            </w:r>
            <w:r>
              <w:rPr>
                <w:rFonts w:hint="eastAsia" w:ascii="宋体" w:hAnsi="宋体" w:cs="宋体"/>
                <w:color w:val="auto"/>
                <w:kern w:val="0"/>
                <w:sz w:val="18"/>
                <w:szCs w:val="18"/>
                <w:highlight w:val="none"/>
              </w:rPr>
              <w:t>（提供截图证明）</w:t>
            </w:r>
          </w:p>
          <w:p w14:paraId="504A0A3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四、资源典藏</w:t>
            </w:r>
            <w:r>
              <w:rPr>
                <w:rFonts w:hint="eastAsia" w:ascii="宋体" w:hAnsi="宋体"/>
                <w:color w:val="auto"/>
                <w:kern w:val="0"/>
                <w:sz w:val="18"/>
                <w:szCs w:val="18"/>
                <w:highlight w:val="none"/>
              </w:rPr>
              <w:tab/>
            </w:r>
          </w:p>
          <w:p w14:paraId="4FAFF26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新书分配</w:t>
            </w:r>
          </w:p>
          <w:p w14:paraId="705893C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1.新书分配支持按规则方式和条码方式分配。</w:t>
            </w:r>
          </w:p>
          <w:p w14:paraId="7AD8BD9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2.支持设置自动分配规则模板，根据分类、数量分配馆藏地。</w:t>
            </w:r>
          </w:p>
          <w:p w14:paraId="45FEBC0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馆藏调拨</w:t>
            </w:r>
          </w:p>
          <w:p w14:paraId="33E62C1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1.支持按馆藏地、当前地方式批量调拨。</w:t>
            </w:r>
          </w:p>
          <w:p w14:paraId="4BEE9E6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2.支持导入外部文件批量调拨。</w:t>
            </w:r>
          </w:p>
          <w:p w14:paraId="590C8DF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3.支持扫码单册加入调拨包。</w:t>
            </w:r>
          </w:p>
          <w:p w14:paraId="4FF8987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4.支持调拨时变更财产归属地，变更流通政策及借阅属性。</w:t>
            </w:r>
          </w:p>
          <w:p w14:paraId="47F1798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馆藏清点</w:t>
            </w:r>
          </w:p>
          <w:p w14:paraId="50708B7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1.支持取消清点功能。</w:t>
            </w:r>
          </w:p>
          <w:p w14:paraId="6E81EE7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2.支持通过清点后对比，得到未清点到、在馆异常、非本馆馆藏目录。</w:t>
            </w:r>
          </w:p>
          <w:p w14:paraId="5653302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3.支持查看清点馆藏统计。</w:t>
            </w:r>
          </w:p>
          <w:p w14:paraId="28ADAF9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4.支持对已清点批次二次清点。</w:t>
            </w:r>
          </w:p>
          <w:p w14:paraId="2AAD522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单册处理</w:t>
            </w:r>
          </w:p>
          <w:p w14:paraId="143DCD1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1.支持对单册图书扫码，进行报废、赠送、交换、丢失、送修、回验、上架处理。</w:t>
            </w:r>
          </w:p>
          <w:p w14:paraId="78B9CE2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2.支持更改单册图书的馆藏地、当前地、借阅属性、流通政策等信息。</w:t>
            </w:r>
          </w:p>
          <w:p w14:paraId="04D6B75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3.支持通过移动端处理。</w:t>
            </w:r>
          </w:p>
          <w:p w14:paraId="4594396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批量处理当前地</w:t>
            </w:r>
          </w:p>
          <w:p w14:paraId="5FEFF0A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1.支持按照馆藏地、当前地、经手人、还书日期检索查询，能够查询历史处理记录。</w:t>
            </w:r>
          </w:p>
          <w:p w14:paraId="1CED2B6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2.支持按照馆藏地恢复当前地。</w:t>
            </w:r>
          </w:p>
          <w:p w14:paraId="6EB0165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3.支持批量处理馆藏地和当前地。</w:t>
            </w:r>
          </w:p>
          <w:p w14:paraId="417B2D3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密集库管理</w:t>
            </w:r>
          </w:p>
          <w:p w14:paraId="4C4DD5F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1.支持图书的排架管理。可筛选排架号浏览图书，支持对排架号进行统计。</w:t>
            </w:r>
          </w:p>
          <w:p w14:paraId="051CFA5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2.支持用导入文件方式批量生成排架号。</w:t>
            </w:r>
          </w:p>
          <w:p w14:paraId="44DEC32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3.支持在处理过程中修改馆藏地和借阅属性。</w:t>
            </w:r>
          </w:p>
          <w:p w14:paraId="0874DE0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五、读者服务</w:t>
            </w:r>
            <w:r>
              <w:rPr>
                <w:rFonts w:hint="eastAsia" w:ascii="宋体" w:hAnsi="宋体"/>
                <w:color w:val="auto"/>
                <w:kern w:val="0"/>
                <w:sz w:val="18"/>
                <w:szCs w:val="18"/>
                <w:highlight w:val="none"/>
              </w:rPr>
              <w:tab/>
            </w:r>
          </w:p>
          <w:p w14:paraId="4A768D5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读者管理</w:t>
            </w:r>
          </w:p>
          <w:p w14:paraId="04C9245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1.支持读者新增、修改、删除功能；读者具备多种有效证件模式：借阅证、辅助证等。</w:t>
            </w:r>
          </w:p>
          <w:p w14:paraId="0E093E0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2.支持读者批量注销，冻结等功能。</w:t>
            </w:r>
          </w:p>
          <w:p w14:paraId="200BA42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3.支持根据多种条件检索导出读者；支持导出读者的借阅、违章、罚款信息。</w:t>
            </w:r>
          </w:p>
          <w:p w14:paraId="76F82C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流通管理</w:t>
            </w:r>
          </w:p>
          <w:p w14:paraId="682A0A9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1.支持借书，还书功能，借还图书后显示图书所在地。</w:t>
            </w:r>
          </w:p>
          <w:p w14:paraId="58C9562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2.支持遗失赔偿功能，遗失赔偿页面显示书目详细信息，可进行赔书，赔款，并支持遗失预处理功能。</w:t>
            </w:r>
          </w:p>
          <w:p w14:paraId="7AF4703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3.支持读者签到、图书登记、读者图书登记、现刊登记功能。</w:t>
            </w:r>
          </w:p>
          <w:p w14:paraId="18C6294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4.支持读者短期借还书功能。</w:t>
            </w:r>
          </w:p>
          <w:p w14:paraId="674A256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请求管理</w:t>
            </w:r>
          </w:p>
          <w:p w14:paraId="1F27962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1.需提供图书预约功能，支持本馆预约。</w:t>
            </w:r>
          </w:p>
          <w:p w14:paraId="136559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2.需提供图书委托功能，支持本地和跨馆委托。</w:t>
            </w:r>
          </w:p>
          <w:p w14:paraId="6575337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3.需提供新书和还书上架的物流管理，图书所在地以及状态会随物流变化而变化，支持读者在统一检索系统查询到的图书状态的准确。</w:t>
            </w:r>
          </w:p>
          <w:p w14:paraId="201F972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4.支持到书邮件提醒。</w:t>
            </w:r>
          </w:p>
          <w:p w14:paraId="37084ED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5.支持读者多次到书未取进行违约处罚。</w:t>
            </w:r>
          </w:p>
          <w:p w14:paraId="5CB8CEF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特色服务</w:t>
            </w:r>
          </w:p>
          <w:p w14:paraId="0D52C72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1.评价管理：支持读者对图书进行打分；支持读者对图书发布书评；支持批量审核发布书评；支持批量删除书评。   </w:t>
            </w:r>
          </w:p>
          <w:p w14:paraId="3C0BDB5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2.问卷调查：支持自行设计问卷调查；支持设置问题为填空题，单选题，多选题，是否必填；支持对问卷调查做批量发布；支持查看问卷调查的反馈结果。</w:t>
            </w:r>
          </w:p>
          <w:p w14:paraId="0324A6C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高级工具</w:t>
            </w:r>
          </w:p>
          <w:p w14:paraId="529ED1F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1.支持离线流通、临时延期。</w:t>
            </w:r>
          </w:p>
          <w:p w14:paraId="56C3623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2.▲支持对即将到期/已过期的图书进行邮件或短信催还。</w:t>
            </w:r>
            <w:r>
              <w:rPr>
                <w:rFonts w:hint="eastAsia" w:ascii="宋体" w:hAnsi="宋体" w:cs="宋体"/>
                <w:color w:val="auto"/>
                <w:kern w:val="0"/>
                <w:sz w:val="18"/>
                <w:szCs w:val="18"/>
                <w:highlight w:val="none"/>
              </w:rPr>
              <w:t>（提供截图证明）</w:t>
            </w:r>
          </w:p>
          <w:p w14:paraId="2BEC8E5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3.支持自定义多种读者属性，学院、系别、专业、年级、班级等。</w:t>
            </w:r>
          </w:p>
          <w:p w14:paraId="297E249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六、系统配置</w:t>
            </w:r>
            <w:r>
              <w:rPr>
                <w:rFonts w:hint="eastAsia" w:ascii="宋体" w:hAnsi="宋体"/>
                <w:color w:val="auto"/>
                <w:kern w:val="0"/>
                <w:sz w:val="18"/>
                <w:szCs w:val="18"/>
                <w:highlight w:val="none"/>
              </w:rPr>
              <w:tab/>
            </w:r>
          </w:p>
          <w:p w14:paraId="6175B47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参数配置</w:t>
            </w:r>
          </w:p>
          <w:p w14:paraId="4EC80D9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1.需提供完善的多级参数管理：机构参数-单馆参数-工作台参数-个人参数，灵活配置共性设置和个性化设置。</w:t>
            </w:r>
          </w:p>
          <w:p w14:paraId="6EFFBD5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2.需提供完善的用户角色权限管理。权限明确到菜单权限和功能权限，一个用户可拥有多个角色。</w:t>
            </w:r>
          </w:p>
          <w:p w14:paraId="4DA1C19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3.支持多样化的采购模式：统采统编、统采分编、分采分编.</w:t>
            </w:r>
          </w:p>
          <w:p w14:paraId="09EB63B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系统消息</w:t>
            </w:r>
          </w:p>
          <w:p w14:paraId="62F06B6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1.支持即时的消息提醒，在线即可接受消息推送。</w:t>
            </w:r>
          </w:p>
          <w:p w14:paraId="7808BBB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2.支持消息中心，查看任务进度、系统公告等；标记已读、未读消息。</w:t>
            </w:r>
          </w:p>
          <w:p w14:paraId="3399F40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七、统计报表</w:t>
            </w:r>
            <w:r>
              <w:rPr>
                <w:rFonts w:hint="eastAsia" w:ascii="宋体" w:hAnsi="宋体"/>
                <w:color w:val="auto"/>
                <w:kern w:val="0"/>
                <w:sz w:val="18"/>
                <w:szCs w:val="18"/>
                <w:highlight w:val="none"/>
              </w:rPr>
              <w:tab/>
            </w:r>
          </w:p>
          <w:p w14:paraId="3E34D3E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资源采购</w:t>
            </w:r>
          </w:p>
          <w:p w14:paraId="4CB13D7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需提供经费支出、订购等相关的统计，包含：经费支出统计、订购统计（征订目录订购、出版社订购、一次性接收订购、连续出版物订购、电子资源库订购）、纸质经费到书、纸质书刊来源、书商到书率、订购逾期未到、到书分类外借、连续出版物签收、资源库总览、电子资源库涨幅等统计。</w:t>
            </w:r>
          </w:p>
          <w:p w14:paraId="1DC05A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资源保障</w:t>
            </w:r>
            <w:r>
              <w:rPr>
                <w:rFonts w:hint="eastAsia" w:ascii="宋体" w:hAnsi="宋体"/>
                <w:color w:val="auto"/>
                <w:kern w:val="0"/>
                <w:sz w:val="18"/>
                <w:szCs w:val="18"/>
                <w:highlight w:val="none"/>
              </w:rPr>
              <w:tab/>
            </w:r>
          </w:p>
          <w:p w14:paraId="238CD93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需提供纸本馆藏数据分布、分类、增长统计；分类统计需提供中图法22大类以及教育部学科门类、教育部一级学科和教育部二级学科等的统计方式。</w:t>
            </w:r>
          </w:p>
          <w:p w14:paraId="517F0F7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资源利用</w:t>
            </w:r>
          </w:p>
          <w:p w14:paraId="3B97899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需提供文献分类借还、文献分类阅览、读者请求分类、文献借还周转率、文献借还利用率、文献借阅率、文献外借周期、文献热门排行、OPAC热门检索词等统计。</w:t>
            </w:r>
          </w:p>
          <w:p w14:paraId="16AB307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读者服务</w:t>
            </w:r>
          </w:p>
          <w:p w14:paraId="6D2A502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需提供读者服务相关统计，包含读者借还、读者借阅量、读者借还趋势、超期罚款、读者使用排行榜、读者成分、读者增长量，同时还支持超期罚款、遗失赔偿、借阅出版社等统计。</w:t>
            </w:r>
          </w:p>
          <w:p w14:paraId="77C391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运行日志</w:t>
            </w:r>
          </w:p>
          <w:p w14:paraId="1F8FAB7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需提供流通日志、账目收支、注册业务结算、工作人员日志、工作量（工作台、工作人员、工作类型）等相关统计。</w:t>
            </w:r>
          </w:p>
          <w:p w14:paraId="62FB46A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参数配置</w:t>
            </w:r>
          </w:p>
          <w:p w14:paraId="05DAC50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1.需提供个人统计中心，支持将统计及条件保存为模板至个人中心。</w:t>
            </w:r>
          </w:p>
          <w:p w14:paraId="2BF3CD1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2.支持自定义分类模板配置。</w:t>
            </w:r>
          </w:p>
          <w:p w14:paraId="7C50996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3.支持电子资源统计相关配置。包括：电子统计来源管理、SUSHI服务器管理、统计文件管理、统计数据状态等。</w:t>
            </w:r>
          </w:p>
          <w:p w14:paraId="51B7224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八、统一检索</w:t>
            </w:r>
            <w:r>
              <w:rPr>
                <w:rFonts w:hint="eastAsia" w:ascii="宋体" w:hAnsi="宋体"/>
                <w:color w:val="auto"/>
                <w:kern w:val="0"/>
                <w:sz w:val="18"/>
                <w:szCs w:val="18"/>
                <w:highlight w:val="none"/>
              </w:rPr>
              <w:tab/>
            </w:r>
            <w:r>
              <w:rPr>
                <w:rFonts w:hint="eastAsia" w:ascii="宋体" w:hAnsi="宋体"/>
                <w:color w:val="auto"/>
                <w:kern w:val="0"/>
                <w:sz w:val="18"/>
                <w:szCs w:val="18"/>
                <w:highlight w:val="none"/>
              </w:rPr>
              <w:tab/>
            </w:r>
          </w:p>
          <w:p w14:paraId="183FF4A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1.▲支持一站式文献检索服务，对整合的图书馆纸本与数字文献资源进行篇级检索。在检索结果列表中，同时显示包含图书、期刊、论文等文献的摘要内容。不再需要单独对每个数据库的内容进行分别检索。（</w:t>
            </w:r>
            <w:r>
              <w:rPr>
                <w:rFonts w:hint="eastAsia" w:ascii="宋体" w:hAnsi="宋体" w:cs="宋体"/>
                <w:color w:val="auto"/>
                <w:kern w:val="0"/>
                <w:sz w:val="18"/>
                <w:szCs w:val="18"/>
                <w:highlight w:val="none"/>
              </w:rPr>
              <w:t>提供纸电资源统一检索系统软件著作权证书）</w:t>
            </w:r>
          </w:p>
          <w:p w14:paraId="57E3585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2.▲支持空检索，支持显示空检条件下整体数据量，以及各文献类型包括图书、期刊、学位等数据量，各年份收录量等。</w:t>
            </w:r>
            <w:r>
              <w:rPr>
                <w:rFonts w:hint="eastAsia" w:ascii="宋体" w:hAnsi="宋体" w:cs="宋体"/>
                <w:color w:val="auto"/>
                <w:kern w:val="0"/>
                <w:sz w:val="18"/>
                <w:szCs w:val="18"/>
                <w:highlight w:val="none"/>
              </w:rPr>
              <w:t>（提供截图证明）</w:t>
            </w:r>
          </w:p>
          <w:p w14:paraId="65C82D5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3.支持切换不同的文献类型选择相应的检索入口，包括图书、期刊、学位论文等，不同的文献类型检索入口划分不同检索条件。</w:t>
            </w:r>
          </w:p>
          <w:p w14:paraId="2648FE2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4.支持智能检索，如自动匹配检索词曾用名、学名、全称等；以及检索作者、作者机构，自动匹配作者或作者机构字段。</w:t>
            </w:r>
          </w:p>
          <w:p w14:paraId="35DE358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5.支持高级检索，并支持精确、模糊、前置匹配等多种方式检索，高级检索可以根据元数据字段进行组合检索，包括标题、关键词、作者、isbn、issn、出版物名称、出版社、分类号、摘要、基金等。</w:t>
            </w:r>
          </w:p>
          <w:p w14:paraId="4C6BEB3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6.支持部分分面聚类扩展到二级分类，如作者机构、学科分类等，同时二级分类同样支持复选</w:t>
            </w:r>
          </w:p>
          <w:p w14:paraId="1EAEBC0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7.▲支持报纸导航，可显示该报纸按年代的完整导航，可限定报纸某一月某一日的所有文献。</w:t>
            </w:r>
            <w:r>
              <w:rPr>
                <w:rFonts w:hint="eastAsia" w:ascii="宋体" w:hAnsi="宋体" w:cs="宋体"/>
                <w:color w:val="auto"/>
                <w:kern w:val="0"/>
                <w:sz w:val="18"/>
                <w:szCs w:val="18"/>
                <w:highlight w:val="none"/>
              </w:rPr>
              <w:t>（提供截图证明）</w:t>
            </w:r>
          </w:p>
          <w:p w14:paraId="7B0DBDD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8.支持图书导航，可按照学科分类、主题词、热门借阅、新书速递等展示图书文献。</w:t>
            </w:r>
          </w:p>
          <w:p w14:paraId="490FC80A">
            <w:pPr>
              <w:jc w:val="left"/>
              <w:rPr>
                <w:rFonts w:hint="eastAsia" w:ascii="宋体" w:hAnsi="宋体"/>
                <w:b/>
                <w:bCs/>
                <w:color w:val="auto"/>
                <w:kern w:val="0"/>
                <w:sz w:val="18"/>
                <w:szCs w:val="18"/>
                <w:highlight w:val="none"/>
              </w:rPr>
            </w:pPr>
            <w:r>
              <w:rPr>
                <w:rFonts w:hint="eastAsia" w:ascii="宋体" w:hAnsi="宋体"/>
                <w:color w:val="auto"/>
                <w:kern w:val="0"/>
                <w:sz w:val="18"/>
                <w:szCs w:val="18"/>
                <w:highlight w:val="none"/>
              </w:rPr>
              <w:t>9.▲支持期刊刊种导航，支持对期刊进行核心收录、最新出版更新、学科导航、字母导航等方式展示期刊，支持对刊名、主办单位、ISSN、CN号等检索字段进行检索，可按照年卷期的导航方式显示刊物篇目级数据。</w:t>
            </w:r>
            <w:r>
              <w:rPr>
                <w:rFonts w:hint="eastAsia" w:ascii="宋体" w:hAnsi="宋体" w:cs="宋体"/>
                <w:color w:val="auto"/>
                <w:kern w:val="0"/>
                <w:sz w:val="18"/>
                <w:szCs w:val="18"/>
                <w:highlight w:val="none"/>
              </w:rPr>
              <w:t>（提供截图证明）</w:t>
            </w:r>
          </w:p>
          <w:p w14:paraId="3D2430C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10.支持根据检索结果，提供历年各文献类型学术文章发展分布趋势图、学科、语言、核心收录、作者、机构、基金等分布。</w:t>
            </w:r>
          </w:p>
          <w:p w14:paraId="105045C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11.支持对不同资源混合排序，如支持学术性、相关性、馆藏优先、时间升降序等排序方式；</w:t>
            </w:r>
          </w:p>
          <w:p w14:paraId="4C4E67D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12.支持图书、期刊、学位论文等文献类型多主题对比，分析其发展趋势；并支持Excel文件导出。</w:t>
            </w:r>
          </w:p>
          <w:p w14:paraId="6DB3169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13.支持通过分析图书、期刊、学位论文、会议论文等不同文献的特点，对单篇文献提供多种相关文章推送。</w:t>
            </w:r>
          </w:p>
          <w:p w14:paraId="18777BB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统一检索根据检索结果，支持提供知识点-知识点、知识点-人、人-人（学位论文作者谱系图等）、机构-机构动态的关联关系，并通过可视化方式展现。并支持图书、期刊、学位论文等文献类型多主题对比，分析其发展趋势；并支持Excel文件导出；</w:t>
            </w:r>
            <w:r>
              <w:rPr>
                <w:rFonts w:hint="eastAsia" w:ascii="宋体" w:hAnsi="宋体" w:cs="宋体"/>
                <w:color w:val="auto"/>
                <w:kern w:val="0"/>
                <w:sz w:val="18"/>
                <w:szCs w:val="18"/>
                <w:highlight w:val="none"/>
              </w:rPr>
              <w:t>（提供截图证明）</w:t>
            </w:r>
          </w:p>
          <w:p w14:paraId="47E0FAD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15.支持期刊历年影响因子趋势图谱分析；</w:t>
            </w:r>
          </w:p>
          <w:p w14:paraId="2199E9C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16支持知识关联图谱分析，通过输入中心词，可呈现相关的知识点关系图，支持按照不同属性、不同布局、不同节点数量等条件进行筛选，呈现渐进式多层图谱效果，同时提供该知识点相关文献的推荐；</w:t>
            </w:r>
          </w:p>
          <w:p w14:paraId="3A70A3C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17.支持图书-图书、图书-期刊、期刊-图书、期刊-期刊、期刊-论文、期刊-报纸等文献的引用分析，提供完整参考文献与引证文献的列表，列表中的文献具备引证关系二次拓展的功能；</w:t>
            </w:r>
          </w:p>
          <w:p w14:paraId="058B8A9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18.支持图书、期刊等文献被引用情况的年代分布曲线展示；</w:t>
            </w:r>
          </w:p>
          <w:p w14:paraId="3739F53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19.支持期刊-期刊文献的引用分析功能，中文期刊的引用分析数量不低于8000万篇文献；</w:t>
            </w:r>
          </w:p>
          <w:p w14:paraId="7485887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20.元数据可支持多条保存电子题录信息，支持以邮箱、EndNote、NoteExpress、RefWorks、NoteFirst43、BibTex等多种输出方式；且输出字段可选，同时支持选中结果直接打印；</w:t>
            </w:r>
          </w:p>
          <w:p w14:paraId="2DF21D9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21.支持检索式的保存，可定期按照已保存的检索式推送最新资源到读者邮箱；</w:t>
            </w:r>
          </w:p>
          <w:p w14:paraId="6BDF8CF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22.支持通过分析图书、期刊、学位论文、会议论文等不同文献的特点，对单篇文献提供多种相关文章推送；</w:t>
            </w:r>
          </w:p>
          <w:p w14:paraId="72C903F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23.支持与各类商业数据库无缝对接；</w:t>
            </w:r>
          </w:p>
          <w:p w14:paraId="6F39D77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24.支持与本省、本地区资源共享服务平台无缝对接，同时支持与第三方文献资源保障平台对接如calis等；</w:t>
            </w:r>
          </w:p>
          <w:p w14:paraId="4CDC7FE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25.支持与第三方系统的单点认证；</w:t>
            </w:r>
          </w:p>
          <w:p w14:paraId="47E990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26.支持首页LOGO个性化定制服务；</w:t>
            </w:r>
          </w:p>
        </w:tc>
      </w:tr>
      <w:tr w14:paraId="3502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6F8D41FD">
            <w:pPr>
              <w:jc w:val="center"/>
              <w:rPr>
                <w:rFonts w:hint="eastAsia" w:ascii="宋体" w:hAnsi="宋体" w:eastAsia="宋体"/>
                <w:color w:val="auto"/>
                <w:kern w:val="0"/>
                <w:sz w:val="20"/>
                <w:szCs w:val="22"/>
                <w:highlight w:val="none"/>
                <w:lang w:eastAsia="zh-CN"/>
              </w:rPr>
            </w:pPr>
            <w:r>
              <w:rPr>
                <w:rFonts w:hint="eastAsia" w:ascii="宋体" w:hAnsi="宋体"/>
                <w:color w:val="auto"/>
                <w:sz w:val="20"/>
                <w:szCs w:val="22"/>
                <w:highlight w:val="none"/>
                <w:lang w:val="en-US" w:eastAsia="zh-CN"/>
              </w:rPr>
              <w:t>5</w:t>
            </w:r>
          </w:p>
        </w:tc>
        <w:tc>
          <w:tcPr>
            <w:tcW w:w="1134" w:type="dxa"/>
            <w:shd w:val="clear" w:color="auto" w:fill="auto"/>
            <w:noWrap w:val="0"/>
            <w:vAlign w:val="center"/>
          </w:tcPr>
          <w:p w14:paraId="12132FFC">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智慧门户</w:t>
            </w:r>
          </w:p>
        </w:tc>
        <w:tc>
          <w:tcPr>
            <w:tcW w:w="7060" w:type="dxa"/>
            <w:shd w:val="clear" w:color="auto" w:fill="auto"/>
            <w:noWrap w:val="0"/>
            <w:vAlign w:val="top"/>
          </w:tcPr>
          <w:p w14:paraId="6C7735D3">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支持网站后台系统设置。支持管理员管理、支持网站挂接自有域名和网站访问权限设置；提供图书馆网站数据统计展示，支持查看访问统计、应用访问统计和文章访问统计。支持网页底部展示网站访问量统计数据。</w:t>
            </w:r>
          </w:p>
          <w:p w14:paraId="31D4B628">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2.网站支持响应式设计（H5）。门户网站访问页面根据读者访问设备类型自适应，支持在电脑端和移动端友好的使用。</w:t>
            </w:r>
          </w:p>
          <w:p w14:paraId="12E0188F">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支持网站主题色、网站背景的自主管理。支持按需随时一键设置切换网站主题色，各模块相关元素的颜色随主题色改变；支持自主添加多个背景，并设置背景内容、高度和位置。支持学科分馆功能、支持在页面展示所需的馆务数据。</w:t>
            </w:r>
          </w:p>
          <w:p w14:paraId="6A1D02CE">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4.▲支持可视化的页面布局管理。内嵌单栏、双栏、多栏等不少于5种通用模块容器；支持自主拖拽模块容器并调整容器尺寸完成页面布局，所见即所得。（提供截图证明）</w:t>
            </w:r>
          </w:p>
          <w:p w14:paraId="67EBFB31">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5.支持内嵌图书馆新闻公告、搜索引擎、数据库导航、期刊导航、活动管理、读者咨询、读者荐购、阅读推荐、热词词云等通用应用模块。</w:t>
            </w:r>
          </w:p>
          <w:p w14:paraId="524C1691">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6.▲各应用模块支持独立的可视化设置后台。每个应用模块提供不少于5种前端样式；支持一键自主选择、切换样式，并可对字体颜色、模块背景等做个性化设置。（提供截图证明）</w:t>
            </w:r>
          </w:p>
          <w:p w14:paraId="62D22BBC">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7.网站支持统一检索功能。支持同时对接多种搜索引擎，支持搜索创建为站内搜索工具。</w:t>
            </w:r>
          </w:p>
          <w:p w14:paraId="23ABEBCE">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8.网站支持发布信息与展示图书馆主要的读者服务。支持查看所有内容的信息与状态；支持对发布内容进行常规的新增、修改、删除等操作。支持发布的内容及时更新到门户上，实现信息传播的实效性。</w:t>
            </w:r>
          </w:p>
          <w:p w14:paraId="712FDF89">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9.自定义添加数据支持富文本编辑器。支持富文本编辑；支持图片、视频、附件、超链接等上传；支持对接云盘文件。</w:t>
            </w:r>
          </w:p>
          <w:p w14:paraId="591DA448">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支持记录详细的文章操作日志，可以记录系统中被操作文章的网站名称、操作者账号、姓名、IP地址、操作时间、操作内容、操作类型等信息，支持按照操作类型进行查看，支持查询功能，同时支持以Excel文件导出，使得每篇文章内容操作都有据可查，保障网站内容的安全。（提供截图证明）</w:t>
            </w:r>
          </w:p>
          <w:p w14:paraId="3891ACA2">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11.支持可视化审核流程配置功能。支持敏感词检测、支持增、改、删和批量导入敏感词。</w:t>
            </w:r>
          </w:p>
          <w:p w14:paraId="6170934A">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12.网站支持读者参考咨询。支持读者基于图书馆门户查看常见咨询问题记录，或提交参考咨询问题。支持图书馆馆员在后台查看到读者提交的问题并对该问题进行回复解答并分类整理。</w:t>
            </w:r>
          </w:p>
          <w:p w14:paraId="613FD2A9">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13.支持网站建设与管理系统。支持管理员新建网站，修改网站的基本信息，删除网站，预览编辑等；支持图书馆管理员创建多个网站，支持不同校区图书馆建设分站。</w:t>
            </w:r>
          </w:p>
          <w:p w14:paraId="5DFF214B">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14.支持网站模版管理。内嵌不少于30种风格网页模版；支持自主预览、选择模板，快速生成网站页面；支持单位将自己的网站设置为单位模板，便于后续网站克隆搭建。</w:t>
            </w:r>
          </w:p>
          <w:p w14:paraId="3B78BF47">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15.根据管理思想和网站设计要求，支持将所需应用模块自主拖拽到相应模块容器，并依据容器尺寸完成应用适配。</w:t>
            </w:r>
          </w:p>
          <w:p w14:paraId="24A18C29">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系统须提供图标、文本、图文、多图、轮播图、搜索和表格等个性化应用模块；支持管理员对模块内容进行手动编辑，或对接数据源（包括本地资源、外接数据源和数据中心）生成内容；每种基础模块样式不少于3种，可根据需要自由组合。</w:t>
            </w:r>
          </w:p>
          <w:p w14:paraId="72FEB78C">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17.支持轮播图的管理。网站首页轮播图支持展示图书馆重点推荐的内容，方便读者最快触达信息；内容管理支持图片跳转外链；支持自定义拖拽页面排版，提供样式不少于9种，支持一键切换样式。</w:t>
            </w:r>
          </w:p>
          <w:p w14:paraId="034A557D">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18.支持网站导航栏设置功能。支持多级网站导航标签应用；支持多种网站导航样式；网站导航栏各级标签支持自定义或跳转外部超链接；展示样式支持简介、列表的组合方式。</w:t>
            </w:r>
          </w:p>
          <w:p w14:paraId="080739A4">
            <w:pP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19.网站底部内容管理支持添加超链接、单位信息、二维码、备案信息。</w:t>
            </w:r>
          </w:p>
          <w:p w14:paraId="4E8AF3FE">
            <w:pP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w:t>
            </w:r>
            <w:r>
              <w:rPr>
                <w:rFonts w:ascii="宋体" w:hAnsi="宋体" w:cs="宋体"/>
                <w:color w:val="auto"/>
                <w:kern w:val="0"/>
                <w:sz w:val="18"/>
                <w:szCs w:val="18"/>
                <w:highlight w:val="none"/>
              </w:rPr>
              <w:t>网站程序必须是开发者独立创作的成果</w:t>
            </w:r>
            <w:r>
              <w:rPr>
                <w:rFonts w:hint="eastAsia" w:ascii="宋体" w:hAnsi="宋体" w:cs="宋体"/>
                <w:color w:val="auto"/>
                <w:kern w:val="0"/>
                <w:sz w:val="18"/>
                <w:szCs w:val="18"/>
                <w:highlight w:val="none"/>
              </w:rPr>
              <w:t>，不可涉及版权纠纷，并且需要通过严格的功能完整性，安全性以及兼容性的检测，供应商需要对产品质量提供保证。（提供智慧门户软件著作权证书和测试报告）。</w:t>
            </w:r>
          </w:p>
          <w:p w14:paraId="2944DC61">
            <w:pP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21.▲程序必须通过安全检测工具的测试，确保没有严重漏洞和安全隐患。</w:t>
            </w:r>
          </w:p>
        </w:tc>
      </w:tr>
      <w:tr w14:paraId="18F5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12A5106B">
            <w:pPr>
              <w:jc w:val="center"/>
              <w:rPr>
                <w:rFonts w:hint="eastAsia" w:ascii="宋体" w:hAnsi="宋体" w:eastAsia="宋体"/>
                <w:color w:val="auto"/>
                <w:kern w:val="0"/>
                <w:sz w:val="20"/>
                <w:szCs w:val="22"/>
                <w:highlight w:val="none"/>
                <w:lang w:eastAsia="zh-CN"/>
              </w:rPr>
            </w:pPr>
            <w:r>
              <w:rPr>
                <w:rFonts w:hint="eastAsia" w:ascii="宋体" w:hAnsi="宋体"/>
                <w:color w:val="auto"/>
                <w:sz w:val="20"/>
                <w:szCs w:val="22"/>
                <w:highlight w:val="none"/>
                <w:lang w:val="en-US" w:eastAsia="zh-CN"/>
              </w:rPr>
              <w:t>6</w:t>
            </w:r>
          </w:p>
        </w:tc>
        <w:tc>
          <w:tcPr>
            <w:tcW w:w="1134" w:type="dxa"/>
            <w:shd w:val="clear" w:color="auto" w:fill="auto"/>
            <w:noWrap w:val="0"/>
            <w:vAlign w:val="center"/>
          </w:tcPr>
          <w:p w14:paraId="26AA4584">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电子资源管理</w:t>
            </w:r>
          </w:p>
        </w:tc>
        <w:tc>
          <w:tcPr>
            <w:tcW w:w="7060" w:type="dxa"/>
            <w:shd w:val="clear" w:color="auto" w:fill="auto"/>
            <w:noWrap w:val="0"/>
            <w:vAlign w:val="center"/>
          </w:tcPr>
          <w:p w14:paraId="281392E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试用管理</w:t>
            </w:r>
            <w:r>
              <w:rPr>
                <w:rFonts w:hint="eastAsia" w:ascii="宋体" w:hAnsi="宋体"/>
                <w:color w:val="auto"/>
                <w:kern w:val="0"/>
                <w:sz w:val="18"/>
                <w:szCs w:val="18"/>
                <w:highlight w:val="none"/>
              </w:rPr>
              <w:tab/>
            </w:r>
          </w:p>
          <w:p w14:paraId="26AC0B5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1.支持通过中央知识库创建试用，或创建本地试用。</w:t>
            </w:r>
          </w:p>
          <w:p w14:paraId="6AF50CD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2.支持试用记录的编辑、查看。</w:t>
            </w:r>
          </w:p>
          <w:p w14:paraId="3B075F6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w:t>
            </w:r>
            <w:r>
              <w:rPr>
                <w:rFonts w:hint="eastAsia" w:ascii="宋体" w:hAnsi="宋体" w:cs="宋体"/>
                <w:color w:val="auto"/>
                <w:kern w:val="0"/>
                <w:sz w:val="18"/>
                <w:szCs w:val="18"/>
                <w:highlight w:val="none"/>
              </w:rPr>
              <w:t>▲</w:t>
            </w:r>
            <w:r>
              <w:rPr>
                <w:rFonts w:hint="eastAsia" w:ascii="宋体" w:hAnsi="宋体"/>
                <w:color w:val="auto"/>
                <w:kern w:val="0"/>
                <w:sz w:val="18"/>
                <w:szCs w:val="18"/>
                <w:highlight w:val="none"/>
              </w:rPr>
              <w:t>支持电子资源的试用管理，后台支持自行编辑问卷，包含满意度、是非题、单选题、多选题等，支持选择试用专家、支持上传评审文件等功能。（提供电子资源试用、采购、统计相关的软件著作权证书）。</w:t>
            </w:r>
          </w:p>
          <w:p w14:paraId="757736A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4.支持向读者发放问卷调查并查看调查结果分析。</w:t>
            </w:r>
          </w:p>
          <w:p w14:paraId="2707845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资源库推荐</w:t>
            </w:r>
          </w:p>
          <w:p w14:paraId="5E33C98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1.支持读者自由荐购数据库。</w:t>
            </w:r>
          </w:p>
          <w:p w14:paraId="4082B7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2.支持对读者荐购的数据库可以进行处理，读者可实时查看荐购处理结果。</w:t>
            </w:r>
          </w:p>
          <w:p w14:paraId="452E4C4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订购管理</w:t>
            </w:r>
          </w:p>
          <w:p w14:paraId="05CD46B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1.支持电子资源的一次性买断或订阅采购模式。</w:t>
            </w:r>
          </w:p>
          <w:p w14:paraId="509FB34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2.支持选择采购单位为数据包（子库）订购模式，支持多资源包采购；资源库采购时，支持定义外币价、汇率、手续费转化人民币价格、购买使用期限、购买合同、付款方式、发票记录等内容。</w:t>
            </w:r>
          </w:p>
          <w:p w14:paraId="393EE4A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3.支持免订购流程，采用直接激活的方式管理资源库。</w:t>
            </w:r>
          </w:p>
          <w:p w14:paraId="6B169E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4.支持试用资源库。</w:t>
            </w:r>
          </w:p>
          <w:p w14:paraId="49E93C0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5.支持查看资源库的基本信息、资源包列表及资源清单。</w:t>
            </w:r>
          </w:p>
          <w:p w14:paraId="7769539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6.从中央知识库创建的订购自动挂接到中央知识库，本地创建的支持手动挂接到中央知识库。</w:t>
            </w:r>
          </w:p>
          <w:p w14:paraId="441DD5B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7.电子资源库支持改订，修改订购年度、提供方等。</w:t>
            </w:r>
          </w:p>
          <w:p w14:paraId="0F3D3D1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续订管理</w:t>
            </w:r>
          </w:p>
          <w:p w14:paraId="6109DD8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1.支持按订购包批量续订，选择订购年度、续订期限，支持比对往年订购记录参考涨幅，或批量定义涨幅，自动计算预计续订金额。</w:t>
            </w:r>
          </w:p>
          <w:p w14:paraId="0E5BC84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2.支持对续订作业的记录进行管理，支持对往年的续订记录直接复制，创建新的续订作业。</w:t>
            </w:r>
          </w:p>
          <w:p w14:paraId="7307976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资源库管理</w:t>
            </w:r>
          </w:p>
          <w:p w14:paraId="0B1B9FB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1.支持挂接/变更挂接/取消挂接中央知识库。</w:t>
            </w:r>
          </w:p>
          <w:p w14:paraId="793CEAA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2.支持新增资源库，支持对资源库属性编辑、资源包管理、服务管理、资源列表管理。</w:t>
            </w:r>
          </w:p>
          <w:p w14:paraId="7C3CA3D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3.支持资源库更新提示。</w:t>
            </w:r>
          </w:p>
          <w:p w14:paraId="1AD820B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4.支持对资源库的直接试用。</w:t>
            </w:r>
          </w:p>
          <w:p w14:paraId="2C801BB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5.支持对同一个数据库，连续性采购管理，采用数据包下以服务的模式记录每年的采购资源量。</w:t>
            </w:r>
          </w:p>
          <w:p w14:paraId="156C144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6.支持自动生成电子馆藏，支持电子馆藏自动生成财产号。</w:t>
            </w:r>
          </w:p>
          <w:p w14:paraId="71DDF06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7.支持记录数据库电子资源的详细信息，包含对应的URL地址，支持直接跳转访问。</w:t>
            </w:r>
          </w:p>
          <w:p w14:paraId="6C3AF60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8.支持纸电数据查重和归并。</w:t>
            </w:r>
          </w:p>
          <w:p w14:paraId="09034C2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9.实现试用、服务到期提醒。</w:t>
            </w:r>
          </w:p>
          <w:p w14:paraId="5414BA6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10.支持用户反馈。</w:t>
            </w:r>
          </w:p>
          <w:p w14:paraId="392D38D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11.▲支持电子资源库对比，比对资源数量、重复数量、核心收录情况、学科覆盖情况，支持输出重复元数据清单，并可导出表格。</w:t>
            </w:r>
            <w:r>
              <w:rPr>
                <w:rFonts w:hint="eastAsia" w:ascii="宋体" w:hAnsi="宋体" w:cs="宋体"/>
                <w:color w:val="auto"/>
                <w:kern w:val="0"/>
                <w:sz w:val="18"/>
                <w:szCs w:val="18"/>
                <w:highlight w:val="none"/>
              </w:rPr>
              <w:t>（提供截图证明）</w:t>
            </w:r>
          </w:p>
          <w:p w14:paraId="19CFAD1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库网监控</w:t>
            </w:r>
          </w:p>
          <w:p w14:paraId="777644A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1.支持自定义监控访问间隔时间。</w:t>
            </w:r>
          </w:p>
          <w:p w14:paraId="7981822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2.支持手动刷新全部数据库访问。</w:t>
            </w:r>
          </w:p>
          <w:p w14:paraId="69EF297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3.支持单条刷新某个数据库的访问，也可直接访问数据库地址验证。</w:t>
            </w:r>
          </w:p>
          <w:p w14:paraId="6D8C946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4.支持本地监控和中心监控。</w:t>
            </w:r>
          </w:p>
          <w:p w14:paraId="0F4ED59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5.本地监控支持配置多地访问情况。</w:t>
            </w:r>
          </w:p>
          <w:p w14:paraId="0044EE5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6.数据库异常时，支持自动发送通知。</w:t>
            </w:r>
          </w:p>
          <w:p w14:paraId="29DF40F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资源保障分析</w:t>
            </w:r>
          </w:p>
          <w:p w14:paraId="6EAD8A2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资源保障功能，图书保障功能须包含本馆与中央知识库图书总目的差异书单详情列表，包含但不限于图书基本信息字段有书名、作者、出处、出版年、ISBN，且支持按照图书被引量、出版年对图书清单列表进行升序、降序操作。中图分类下本馆图书的保障情况支持查看到一级、二级、三级分类。可查看本馆图书馆藏结构书目清单、本馆图书馆藏年代书目清单、本馆馆藏图书出版社结构分析的多种分析统计结果。期刊保障功能须包含未保障刊种具体的资源库分布情况，支持导出资源库列表，且包含但不限于数据库名称、所含刊种总量、与馆藏重复数量、所含电子资源包情况，以及购买这个资源库对本馆提升刊种数量、提升现刊数量等指标。</w:t>
            </w:r>
            <w:r>
              <w:rPr>
                <w:rFonts w:hint="eastAsia" w:ascii="宋体" w:hAnsi="宋体" w:cs="宋体"/>
                <w:color w:val="auto"/>
                <w:kern w:val="0"/>
                <w:sz w:val="18"/>
                <w:szCs w:val="18"/>
                <w:highlight w:val="none"/>
              </w:rPr>
              <w:t>（提供截图证明）</w:t>
            </w:r>
            <w:r>
              <w:rPr>
                <w:rFonts w:hint="eastAsia" w:ascii="宋体" w:hAnsi="宋体"/>
                <w:color w:val="auto"/>
                <w:kern w:val="0"/>
                <w:sz w:val="18"/>
                <w:szCs w:val="18"/>
                <w:highlight w:val="none"/>
              </w:rPr>
              <w:t xml:space="preserve"> </w:t>
            </w:r>
          </w:p>
          <w:p w14:paraId="376FDE3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2.▲期刊保障：支持按照年份，按照 wos、esi 以及教育部学科分类，揭示相应学科刊种总量、馆藏已保障资源量、馆藏未保障资源量，查看相应学科的馆藏保障率。默认显示当面最新年份的各个分类的刊种保障情况。 </w:t>
            </w:r>
            <w:r>
              <w:rPr>
                <w:rFonts w:hint="eastAsia" w:ascii="宋体" w:hAnsi="宋体" w:cs="宋体"/>
                <w:color w:val="auto"/>
                <w:kern w:val="0"/>
                <w:sz w:val="18"/>
                <w:szCs w:val="18"/>
                <w:highlight w:val="none"/>
              </w:rPr>
              <w:t>（提供截图证明）</w:t>
            </w:r>
          </w:p>
          <w:p w14:paraId="54E9134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3.期刊保障：支持查看某分类下的刊种总量、已保障刊种和未保障刊种，其中已保障刊种和未保障刊种支持查看具体的刊种列表，且支持导出列表，包含刊名、出版社等字段信息。 </w:t>
            </w:r>
          </w:p>
          <w:p w14:paraId="649749B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4.单库分析：支持对本单位已经购买的资源库，可进行单库保障分析，其中外文期刊库包含该库所整合刊种数量、整合重要刊种数量、独有刊种数量、重复刊种数量、现刊数量以及现刊重复数量的等基本情况。 </w:t>
            </w:r>
          </w:p>
          <w:p w14:paraId="656F53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5、单库分析：支持对本馆期刊类单库的现刊、过刊进行揭示，可查看重复刊相应分析列表，包含与本馆已挂接的数据库重复情况，重复刊种，重复期刊占比，并且具体查看重复期刊具体刊种列表。 </w:t>
            </w:r>
          </w:p>
          <w:p w14:paraId="3398E59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6.▲单库分析：支持对本馆单库的重要收录情况，按照重要收录类别进行筛选，包含 SCI、EI、SCOPUS 等重要期刊类别，分别呈现现刊、独有刊被收录的数量以及占比，重复刊被收录数量以及占比等情况。同理，支持可查看重要收录的重复刊相应分析列表，包含与本馆已挂接的数据库重复情况，重复刊种，重复期刊占比，并且具体查看重复期刊具体刊种列表。 </w:t>
            </w:r>
            <w:r>
              <w:rPr>
                <w:rFonts w:hint="eastAsia" w:ascii="宋体" w:hAnsi="宋体" w:cs="宋体"/>
                <w:color w:val="auto"/>
                <w:kern w:val="0"/>
                <w:sz w:val="18"/>
                <w:szCs w:val="18"/>
                <w:highlight w:val="none"/>
              </w:rPr>
              <w:t>（提供截图证明）</w:t>
            </w:r>
          </w:p>
          <w:p w14:paraId="55EB72F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7.支持馆藏数据统计（纸质、电子），包含：纸质馆藏（分布、增长等）、电子馆藏（分布、增长等）统计，列表页面支持打印预览及 EXCLE 文件格式导出。</w:t>
            </w:r>
          </w:p>
          <w:p w14:paraId="2134E4D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涨幅管理</w:t>
            </w:r>
            <w:r>
              <w:rPr>
                <w:rFonts w:hint="eastAsia" w:ascii="宋体" w:hAnsi="宋体"/>
                <w:color w:val="auto"/>
                <w:kern w:val="0"/>
                <w:sz w:val="18"/>
                <w:szCs w:val="18"/>
                <w:highlight w:val="none"/>
              </w:rPr>
              <w:tab/>
            </w:r>
          </w:p>
          <w:p w14:paraId="6F8FE43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1.▲支持分析比对电子资源库涨幅。</w:t>
            </w:r>
            <w:r>
              <w:rPr>
                <w:rFonts w:hint="eastAsia" w:ascii="宋体" w:hAnsi="宋体" w:cs="宋体"/>
                <w:color w:val="auto"/>
                <w:kern w:val="0"/>
                <w:sz w:val="18"/>
                <w:szCs w:val="18"/>
                <w:highlight w:val="none"/>
              </w:rPr>
              <w:t>（提供截图证明）</w:t>
            </w:r>
          </w:p>
        </w:tc>
      </w:tr>
      <w:tr w14:paraId="7885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791397C5">
            <w:pPr>
              <w:jc w:val="center"/>
              <w:rPr>
                <w:rFonts w:hint="eastAsia" w:ascii="宋体" w:hAnsi="宋体" w:eastAsia="宋体"/>
                <w:color w:val="auto"/>
                <w:kern w:val="0"/>
                <w:sz w:val="20"/>
                <w:szCs w:val="22"/>
                <w:highlight w:val="none"/>
                <w:lang w:eastAsia="zh-CN"/>
              </w:rPr>
            </w:pPr>
            <w:r>
              <w:rPr>
                <w:rFonts w:hint="eastAsia" w:ascii="宋体" w:hAnsi="宋体"/>
                <w:color w:val="auto"/>
                <w:sz w:val="20"/>
                <w:szCs w:val="22"/>
                <w:highlight w:val="none"/>
                <w:lang w:val="en-US" w:eastAsia="zh-CN"/>
              </w:rPr>
              <w:t>7</w:t>
            </w:r>
          </w:p>
        </w:tc>
        <w:tc>
          <w:tcPr>
            <w:tcW w:w="1134" w:type="dxa"/>
            <w:shd w:val="clear" w:color="auto" w:fill="auto"/>
            <w:noWrap w:val="0"/>
            <w:vAlign w:val="center"/>
          </w:tcPr>
          <w:p w14:paraId="27EEC54D">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智能采选</w:t>
            </w:r>
          </w:p>
        </w:tc>
        <w:tc>
          <w:tcPr>
            <w:tcW w:w="7060" w:type="dxa"/>
            <w:shd w:val="clear" w:color="auto" w:fill="auto"/>
            <w:noWrap w:val="0"/>
            <w:vAlign w:val="center"/>
          </w:tcPr>
          <w:p w14:paraId="233E706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数据支撑</w:t>
            </w:r>
            <w:r>
              <w:rPr>
                <w:rFonts w:hint="eastAsia" w:ascii="宋体" w:hAnsi="宋体"/>
                <w:color w:val="auto"/>
                <w:kern w:val="0"/>
                <w:sz w:val="18"/>
                <w:szCs w:val="18"/>
                <w:highlight w:val="none"/>
              </w:rPr>
              <w:tab/>
            </w:r>
          </w:p>
          <w:p w14:paraId="751BB2C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1、书目数据需达到 300 万种以上，并持续更新。 </w:t>
            </w:r>
          </w:p>
          <w:p w14:paraId="446108D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2、支持及时有效的自动获取最新的新书书目数据，弥补原有书商提供数据不全的情况，有助于更好的补充馆藏。</w:t>
            </w:r>
          </w:p>
          <w:p w14:paraId="336DAA8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图书采选</w:t>
            </w:r>
          </w:p>
          <w:p w14:paraId="5196802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1.支持按学科/中图分类、出版社筛选查看数据；可设置个人采购策略。</w:t>
            </w:r>
          </w:p>
          <w:p w14:paraId="451A796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2.检索结果支持与本馆馆藏比对、查重；组织本馆订单。</w:t>
            </w:r>
          </w:p>
          <w:p w14:paraId="46DC6AF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3.支持展示元数据的扩展信息：内容简介、作者简介、作者其他专著图书和文献、目次信息、封面等。</w:t>
            </w:r>
          </w:p>
          <w:p w14:paraId="5784005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从至少5个维度（本馆偏好、内容价值、出版质量、评价信息、出版质量、作者水平）对每本图书进行深度数据挖掘，形成推荐建议，是否推荐订购、推荐订购套数以及馆藏分配建议。并展示图书同作者发表的专著情况。</w:t>
            </w:r>
            <w:r>
              <w:rPr>
                <w:rFonts w:hint="eastAsia" w:ascii="宋体" w:hAnsi="宋体" w:cs="宋体"/>
                <w:color w:val="auto"/>
                <w:kern w:val="0"/>
                <w:sz w:val="18"/>
                <w:szCs w:val="18"/>
                <w:highlight w:val="none"/>
              </w:rPr>
              <w:t>（提供截图证明）</w:t>
            </w:r>
          </w:p>
          <w:p w14:paraId="1193187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5.支持查看该图书的资源画像以及联盟馆订购情况。</w:t>
            </w:r>
          </w:p>
          <w:p w14:paraId="2CAAF13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补采建议</w:t>
            </w:r>
          </w:p>
          <w:p w14:paraId="540380C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1.支持馆藏比对，包括馆际比对，以及导入文件比对，自动生成比对结果图文及报表，并支持对重复和独有资源订购。</w:t>
            </w:r>
          </w:p>
          <w:p w14:paraId="12FE003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2.▲支持展示本馆热门收藏图书，可查看热门收藏图书的基本信息、目录信息、馆藏情况、订购记录、借阅信息、被收藏情况等等，并支持直接订购热门收藏图书。（提供智能采选软件著作权证书）。</w:t>
            </w:r>
          </w:p>
          <w:p w14:paraId="437E91D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3.支持展示本馆热门检索词，可直接在中央知识库中检索相关关键词，并订购相关图书。</w:t>
            </w:r>
          </w:p>
          <w:p w14:paraId="6EBF65F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4.支持展示本馆零命中检索词，可直接在中央知识库中检索相关关键词，并订购相关图书。</w:t>
            </w:r>
          </w:p>
          <w:p w14:paraId="11A6D0A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资源画像</w:t>
            </w:r>
          </w:p>
          <w:p w14:paraId="3A641EF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1.支持根据本馆采购偏好，制定本馆采选策略，制定本馆的反选规则、个性化指标及对应权重，按照本馆馆藏政策快速完成对征订目录的筛选。</w:t>
            </w:r>
          </w:p>
          <w:p w14:paraId="6855331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2.支持制定本馆反选规则，某一分类、某一读者对象、某一价格区间、重复资源、或指定书目清单自动过滤，不做推荐。</w:t>
            </w:r>
          </w:p>
          <w:p w14:paraId="431EEBB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3.支持利用大数据算法从多个维度（如：内容价值、作者水平、出版质量、评价信息、本馆偏好等）对每本图书进行深度数据挖掘，形成符合本馆策略的馆藏指数评分。</w:t>
            </w:r>
          </w:p>
          <w:p w14:paraId="6666C1A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4.支持形成采购建议，根据当前这本图书的基本信息、馆藏指数、相似书的利用情况形成是否推荐订购、推荐订购套数以及馆藏分配建议。</w:t>
            </w:r>
          </w:p>
          <w:p w14:paraId="31F6E2E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5.支持形成采购建议，根据当前这本图书的基本信息、馆藏 指数、相似书的利用情况形成是否推荐订购、推荐订购套数以及馆藏分配建议； </w:t>
            </w:r>
          </w:p>
          <w:p w14:paraId="670B004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6.支持生成本馆的纠偏报告，根据本馆的实际馆藏与借阅情况，生成按学科分类/按主题词的馆藏借阅分布报表，支持用户依据报告调整本馆理想馆藏。</w:t>
            </w:r>
          </w:p>
        </w:tc>
      </w:tr>
      <w:tr w14:paraId="6D4E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0F854CBF">
            <w:pPr>
              <w:jc w:val="center"/>
              <w:rPr>
                <w:rFonts w:hint="eastAsia" w:ascii="宋体" w:hAnsi="宋体" w:eastAsia="宋体"/>
                <w:color w:val="auto"/>
                <w:kern w:val="0"/>
                <w:sz w:val="20"/>
                <w:szCs w:val="22"/>
                <w:highlight w:val="none"/>
                <w:lang w:eastAsia="zh-CN"/>
              </w:rPr>
            </w:pPr>
            <w:r>
              <w:rPr>
                <w:rFonts w:hint="eastAsia" w:ascii="宋体" w:hAnsi="宋体"/>
                <w:color w:val="auto"/>
                <w:sz w:val="20"/>
                <w:szCs w:val="22"/>
                <w:highlight w:val="none"/>
                <w:lang w:val="en-US" w:eastAsia="zh-CN"/>
              </w:rPr>
              <w:t>8</w:t>
            </w:r>
          </w:p>
        </w:tc>
        <w:tc>
          <w:tcPr>
            <w:tcW w:w="1134" w:type="dxa"/>
            <w:shd w:val="clear" w:color="auto" w:fill="auto"/>
            <w:noWrap w:val="0"/>
            <w:vAlign w:val="center"/>
          </w:tcPr>
          <w:p w14:paraId="0705285F">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座位预约系统</w:t>
            </w:r>
          </w:p>
        </w:tc>
        <w:tc>
          <w:tcPr>
            <w:tcW w:w="7060" w:type="dxa"/>
            <w:shd w:val="clear" w:color="auto" w:fill="auto"/>
            <w:noWrap w:val="0"/>
            <w:vAlign w:val="center"/>
          </w:tcPr>
          <w:p w14:paraId="2C7392A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座位预约应用引擎，支持根据本单位实际情况定制、管理座位预约类应用。通过引擎生成的应用不限个数，支持根据需要创建多个如座位预约、办公柜预约、班车座位预约等预约应用。（提供座位预约系统软件著作权证书）。</w:t>
            </w:r>
          </w:p>
          <w:p w14:paraId="68DE8A0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2.支持自定义每个应用的名称、图标。管理员在后台手动添加或批量导入预约区域及座位信息</w:t>
            </w:r>
          </w:p>
          <w:p w14:paraId="13C691A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3.▲支持多种选座模式供单位自由选择，包括经典模式、自由绘图模式、网格图模式。</w:t>
            </w:r>
            <w:r>
              <w:rPr>
                <w:rFonts w:hint="eastAsia" w:ascii="宋体" w:hAnsi="宋体" w:cs="宋体"/>
                <w:color w:val="auto"/>
                <w:kern w:val="0"/>
                <w:sz w:val="18"/>
                <w:szCs w:val="18"/>
                <w:highlight w:val="none"/>
              </w:rPr>
              <w:t>（提供截图证明）</w:t>
            </w:r>
          </w:p>
          <w:p w14:paraId="60C2669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4.支持设置座位标签。单独或按座位单双号批量设置座位具备电源、电脑或暂时不可预约的状态标签</w:t>
            </w:r>
          </w:p>
          <w:p w14:paraId="45D83C0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5.支持设置每个预约区域在前台用户端的排序，以及是否显示</w:t>
            </w:r>
          </w:p>
          <w:p w14:paraId="39260F1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6.支持编辑已经创建好的区域的基本信息和座位信息</w:t>
            </w:r>
          </w:p>
          <w:p w14:paraId="779EDFD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7.支持单独某个区域，或全部区域的座位二维码。导出的二维码具有多种样式可选，并且支持在二维码图片上添加单位logo</w:t>
            </w:r>
          </w:p>
          <w:p w14:paraId="3C1E807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根据单位实际情况自定义配置各项预约相关的规则。如单次最大预约时长、单次最少预约时长、允许用户同时预约的数量、允许每日取消预约的次数、开放预约时间、弹性签到签退时间、是否允许单位外用户使用等</w:t>
            </w:r>
          </w:p>
          <w:p w14:paraId="5032561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9.▲支持多种签到方式，包括但不限于二维码签到、位置签到、二维码＋位置签到、统一二维码签到、动态二维码签到。</w:t>
            </w:r>
            <w:r>
              <w:rPr>
                <w:rFonts w:hint="eastAsia" w:ascii="宋体" w:hAnsi="宋体" w:cs="宋体"/>
                <w:color w:val="auto"/>
                <w:kern w:val="0"/>
                <w:sz w:val="18"/>
                <w:szCs w:val="18"/>
                <w:highlight w:val="none"/>
              </w:rPr>
              <w:t>（提供截图证明）</w:t>
            </w:r>
          </w:p>
          <w:p w14:paraId="1FC3D34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10.支持手动签退和到预约结束时间自动签退</w:t>
            </w:r>
          </w:p>
          <w:p w14:paraId="30C3A37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11.▲支持监督功能，管理员或用户可对正在使用状态却没有人的座位发起监督，被监督的预约人须在管理员设置的时间内再次签到或者退座，否则将被记为一次违约。</w:t>
            </w:r>
            <w:r>
              <w:rPr>
                <w:rFonts w:hint="eastAsia" w:ascii="宋体" w:hAnsi="宋体" w:cs="宋体"/>
                <w:color w:val="auto"/>
                <w:kern w:val="0"/>
                <w:sz w:val="18"/>
                <w:szCs w:val="18"/>
                <w:highlight w:val="none"/>
              </w:rPr>
              <w:t>（提供截图证明）</w:t>
            </w:r>
          </w:p>
          <w:p w14:paraId="0BA339F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12.支持暂离功能，预约人需要暂时离开座位时可选择暂离，暂离状态座位将会被保留。暂离的最大时长可由管理员自定义</w:t>
            </w:r>
          </w:p>
          <w:p w14:paraId="6C91882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13.支持设置用餐时段。在用餐时段内，允许用户暂离更长的时间</w:t>
            </w:r>
          </w:p>
          <w:p w14:paraId="46A7521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14.支持设置每周违约次数上限。用户违约达到次数限制后，系统会自动限制该用户本周不可使用预约，到期后自动解除限制。管理员也可提前将用户手动移出限制使用名单</w:t>
            </w:r>
          </w:p>
          <w:p w14:paraId="054D5E5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15.支持黑名单功能。管理员可手动添加某个用户进入黑名单，黑名单内的用户无法使用预约</w:t>
            </w:r>
          </w:p>
          <w:p w14:paraId="654213D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16.支持自定义设置预约通知公告栏目。可随时上架下架或替换内容</w:t>
            </w:r>
          </w:p>
          <w:p w14:paraId="2DF1925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17.支持自定义开启或关闭启动应用弹窗，弹窗内容可自定义编辑，弹窗可设置为每次打开弹出和仅第一次打开弹出</w:t>
            </w:r>
          </w:p>
          <w:p w14:paraId="6EFAF5E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18.支持数据管理功能，应用产生的每一条预约、违约、监督数据均在后台可查可导出。并且可以在后台进行批量取消、批量签退、批量恢复使用等操作</w:t>
            </w:r>
          </w:p>
          <w:p w14:paraId="42E16B0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19.▲支持预约使用情况展示功能，管理员在后台首页支持查看预约应用总预约人次、总预约时长、总使用时长、总座位数、预约使用趋势、区域使用排行、学习时长排行，以及当日的预约人次、预约时长、签到人次、签退人次、今日使用时长、当前可用座位等数据统计。</w:t>
            </w:r>
            <w:r>
              <w:rPr>
                <w:rFonts w:hint="eastAsia" w:ascii="宋体" w:hAnsi="宋体" w:cs="宋体"/>
                <w:color w:val="auto"/>
                <w:kern w:val="0"/>
                <w:sz w:val="18"/>
                <w:szCs w:val="18"/>
                <w:highlight w:val="none"/>
              </w:rPr>
              <w:t>（提供截图证明）</w:t>
            </w:r>
          </w:p>
          <w:p w14:paraId="5D7DBC7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20.支持数据推送功能，支持将预约产生的所有数据推送到其它服务器，实现数据的传递</w:t>
            </w:r>
          </w:p>
          <w:p w14:paraId="7F465C8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支持可预约时间设置功能。支持单独设置每天的开放时间、暂停时间、是否开放。支持设置预约的最小时间间隔单元，可选十五分钟、三十分钟、一小时、或不间隔。支持设置某个区域为特殊的开放时间。支持单独设置某个区域或全部区域的暂停开放时间</w:t>
            </w:r>
          </w:p>
          <w:p w14:paraId="634E951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22.▲支持前台用户在移动端app或微信端进行预约。支持可视化的预约页面，用户可自主选择想要的区域和座位进行预约。同时提供快速选座功能，用户选择时间和区域后，系统自动分配一个可用座位。</w:t>
            </w:r>
            <w:r>
              <w:rPr>
                <w:rFonts w:hint="eastAsia" w:ascii="宋体" w:hAnsi="宋体" w:cs="宋体"/>
                <w:color w:val="auto"/>
                <w:kern w:val="0"/>
                <w:sz w:val="18"/>
                <w:szCs w:val="18"/>
                <w:highlight w:val="none"/>
              </w:rPr>
              <w:t>（提供截图证明）</w:t>
            </w:r>
          </w:p>
          <w:p w14:paraId="6ACEE57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23.支持用户在预约开始时间前取消已预约的记录</w:t>
            </w:r>
          </w:p>
          <w:p w14:paraId="2E64603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24.用户端首页的预约卡片，支持不同状态时显示为不同的颜色和操作按钮，方便用户使用</w:t>
            </w:r>
          </w:p>
          <w:p w14:paraId="7AB9565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25.支持用户直接扫描座位二维码预约对应的座位</w:t>
            </w:r>
          </w:p>
          <w:p w14:paraId="0760AA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26.支持在预约即将开始，即将结束，发起监督，被监督时，系统会自动发通知给用户进行提醒</w:t>
            </w:r>
          </w:p>
          <w:p w14:paraId="06DFCE8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27.▲需提供管理员移动端操作界面，支持管理员在移动端查看今日预约人次、今日预约时长、今日签到人数、今日签退人数、今日学习时长、当前使用座位、当前空闲座位等数据；</w:t>
            </w:r>
            <w:r>
              <w:rPr>
                <w:rFonts w:hint="eastAsia" w:ascii="宋体" w:hAnsi="宋体" w:cs="宋体"/>
                <w:color w:val="auto"/>
                <w:kern w:val="0"/>
                <w:sz w:val="18"/>
                <w:szCs w:val="18"/>
                <w:highlight w:val="none"/>
              </w:rPr>
              <w:t>（提供截图证明）</w:t>
            </w:r>
          </w:p>
          <w:p w14:paraId="1D5CE73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28.支持管理员在移动端查看各座位的使用情况，支持在移动端查看预约记录，并可在移动端进行现场操作，如代预约、代签到、代签退、代取消、发起监督、将用户解除限制使用等，通过引擎创建应用时，支持选择长期预约模式。长期预约模式下。用户可按天、周、月进行预约，在预约时间内，用户可以无限次的进行签到签退。长期模式下无暂离、监督、记录违约。</w:t>
            </w:r>
          </w:p>
          <w:p w14:paraId="0E600F7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29.支持二维码标签的设计制作跟粘贴。</w:t>
            </w:r>
          </w:p>
        </w:tc>
      </w:tr>
      <w:tr w14:paraId="01E4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33519B97">
            <w:pPr>
              <w:jc w:val="center"/>
              <w:rPr>
                <w:rFonts w:hint="eastAsia" w:ascii="宋体" w:hAnsi="宋体" w:eastAsia="宋体"/>
                <w:color w:val="auto"/>
                <w:kern w:val="0"/>
                <w:sz w:val="20"/>
                <w:szCs w:val="22"/>
                <w:highlight w:val="none"/>
                <w:lang w:eastAsia="zh-CN"/>
              </w:rPr>
            </w:pPr>
            <w:r>
              <w:rPr>
                <w:rFonts w:hint="eastAsia" w:ascii="宋体" w:hAnsi="宋体"/>
                <w:color w:val="auto"/>
                <w:sz w:val="20"/>
                <w:szCs w:val="22"/>
                <w:highlight w:val="none"/>
                <w:lang w:val="en-US" w:eastAsia="zh-CN"/>
              </w:rPr>
              <w:t>9</w:t>
            </w:r>
          </w:p>
        </w:tc>
        <w:tc>
          <w:tcPr>
            <w:tcW w:w="1134" w:type="dxa"/>
            <w:shd w:val="clear" w:color="auto" w:fill="auto"/>
            <w:noWrap w:val="0"/>
            <w:vAlign w:val="center"/>
          </w:tcPr>
          <w:p w14:paraId="7DB0D50A">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大数据分析展示系统</w:t>
            </w:r>
          </w:p>
        </w:tc>
        <w:tc>
          <w:tcPr>
            <w:tcW w:w="7060" w:type="dxa"/>
            <w:shd w:val="clear" w:color="auto" w:fill="auto"/>
            <w:noWrap w:val="0"/>
            <w:vAlign w:val="center"/>
          </w:tcPr>
          <w:p w14:paraId="22392E2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1.系统 </w:t>
            </w:r>
          </w:p>
          <w:p w14:paraId="1AF5566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1.1系统需采用B/S架构，无需安装客户端。</w:t>
            </w:r>
          </w:p>
          <w:p w14:paraId="37AE0D3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 支持管理员通过后台修改前端内容数据，并且前端监听后台变化，做到后台修改完成，前端及时显示。</w:t>
            </w:r>
          </w:p>
          <w:p w14:paraId="0DA187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 支持所有数据在前台动态显示，给读者一个好的视觉体验。</w:t>
            </w:r>
          </w:p>
          <w:p w14:paraId="30B20FE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1.4▲支持从多源采集数据并清洗、预处理，通过多种分析方法（描述性、预测性等）挖掘数据价值，最后以直观方式（如图表等）展示分析结果的功能。（提供大数据分析展示系统软件著作权证书）</w:t>
            </w:r>
          </w:p>
          <w:p w14:paraId="7854524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2.功能模块</w:t>
            </w:r>
          </w:p>
          <w:p w14:paraId="6345162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2.1支持与本馆opac系统对接，将图书馆的借阅排行榜、借阅数量进行直观的展示。</w:t>
            </w:r>
          </w:p>
          <w:p w14:paraId="5A46EB9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 支持与图书馆提供的门禁系统对接，将图书馆今日进馆人数及昨日到馆人数等数据进行直观展示。</w:t>
            </w:r>
          </w:p>
          <w:p w14:paraId="6FD1DB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 ▲支持与馆内购买的电子书借阅机相结合，支持将机器内的图书推荐到大屏幕上，使用户可以直接扫码阅读或者下载。后台支持设置修改推荐图书。</w:t>
            </w:r>
            <w:r>
              <w:rPr>
                <w:rFonts w:hint="eastAsia" w:ascii="宋体" w:hAnsi="宋体" w:cs="宋体"/>
                <w:color w:val="auto"/>
                <w:kern w:val="0"/>
                <w:sz w:val="18"/>
                <w:szCs w:val="18"/>
                <w:highlight w:val="none"/>
              </w:rPr>
              <w:t>（提供截图证明）</w:t>
            </w:r>
          </w:p>
          <w:p w14:paraId="498019B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2.4 支持滚动播放图片、视频等电子资源，支持将本馆的图片、活动海报或者宣传视频等，通过后台上传，并且在前端进行展示。并且，支持管理员通过后台切换的方式选择图片轮播或者视频自动循环播放两种模式，以满足馆内播放需求。</w:t>
            </w:r>
          </w:p>
          <w:p w14:paraId="0CD3925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2.5 支持发布通知公告。支持通过后台指定发布的单条信息或者多条信息进行发布，多条信息时，支持前台轮换展示，以适应馆内有多种活动或者多条通知需要发布的需求。</w:t>
            </w:r>
          </w:p>
          <w:p w14:paraId="3B9BDB6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2.6 支持通过系统后台配置单位所在地以及馆名，设置显示当地天气情况等。</w:t>
            </w:r>
          </w:p>
          <w:p w14:paraId="316634F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2.7 支持将微信公众号数据、馆方网站数据等新媒体数据动态的展示。</w:t>
            </w:r>
          </w:p>
          <w:p w14:paraId="46D107F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2.8▲支持与图书馆已购买的视频库对接，支持将视频以图片介绍以及二维码的方式推送出来，供用户扫码在手机上观看，每天一段视频，每天更新推送。</w:t>
            </w:r>
            <w:r>
              <w:rPr>
                <w:rFonts w:hint="eastAsia" w:ascii="宋体" w:hAnsi="宋体" w:cs="宋体"/>
                <w:color w:val="auto"/>
                <w:kern w:val="0"/>
                <w:sz w:val="18"/>
                <w:szCs w:val="18"/>
                <w:highlight w:val="none"/>
              </w:rPr>
              <w:t>（提供截图证明）</w:t>
            </w:r>
          </w:p>
          <w:p w14:paraId="456D15A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2.9 需提供不少于2种不同风格的标准模版，供用户自行选择，以适应不同场合的展示需求。</w:t>
            </w:r>
          </w:p>
          <w:p w14:paraId="3185FCC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 后台</w:t>
            </w:r>
          </w:p>
          <w:p w14:paraId="5CE44A0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3.1 系统需采用主流的J2EE架构。通过后台，用户可以实现管理各个资源数据模块。</w:t>
            </w:r>
          </w:p>
          <w:p w14:paraId="7A23C0B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3.2 后台支持扩展，根据馆内提供的数据接口，通过后台可灵活配置新的数据内容，将内容数据接入到系统中。</w:t>
            </w:r>
          </w:p>
          <w:p w14:paraId="5842672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3.3 支持数据统计，将获取到的数据进行统一管理存入数据库。</w:t>
            </w:r>
          </w:p>
          <w:p w14:paraId="6D2A4E3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3.4 支持对馆内借还、到馆数据做系统分析，并具有报表输出。支持一键输出全年分析数据，并导出为excel表格形式。</w:t>
            </w:r>
          </w:p>
          <w:p w14:paraId="291FE0C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3.5 支持日志管理功能，支持对用户修改的模块，列出用户的操作日志，方便便管理员清晰了解对后台已经进行的操作。</w:t>
            </w:r>
          </w:p>
          <w:p w14:paraId="044CA5A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3.6支持用户通过后台，自定义页面布局，支持通过拖拽的方式，布局页面各个模块的位置，更换背景图，实现自由、灵活、多样的展现。</w:t>
            </w:r>
          </w:p>
          <w:p w14:paraId="4741A5B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3.7支持用户添加多个场地，每个场地都支持通过拖拽功能添加数据模块，实现不同场地显示不同模块内容。</w:t>
            </w:r>
          </w:p>
          <w:p w14:paraId="7EABC3B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 手机端服务</w:t>
            </w:r>
          </w:p>
          <w:p w14:paraId="51AC960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4.1▲支持手机端展示界面及电子书借阅机界面，手机端访问可自适应手机屏幕显示，基本数据与大屏端数据同步。</w:t>
            </w:r>
            <w:r>
              <w:rPr>
                <w:rFonts w:hint="eastAsia" w:ascii="宋体" w:hAnsi="宋体" w:cs="宋体"/>
                <w:color w:val="auto"/>
                <w:kern w:val="0"/>
                <w:sz w:val="18"/>
                <w:szCs w:val="18"/>
                <w:highlight w:val="none"/>
              </w:rPr>
              <w:t>（提供截图证明）</w:t>
            </w:r>
          </w:p>
          <w:p w14:paraId="57FED65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4.2▲支持手机端控制功能，支持使用手机对通知、欢迎标语、风采等模块在屏幕上进行展示。</w:t>
            </w:r>
            <w:r>
              <w:rPr>
                <w:rFonts w:hint="eastAsia" w:ascii="宋体" w:hAnsi="宋体" w:cs="宋体"/>
                <w:color w:val="auto"/>
                <w:kern w:val="0"/>
                <w:sz w:val="18"/>
                <w:szCs w:val="18"/>
                <w:highlight w:val="none"/>
              </w:rPr>
              <w:t>（提供截图证明）</w:t>
            </w:r>
          </w:p>
          <w:p w14:paraId="0C53B6D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5. 其他要求： </w:t>
            </w:r>
          </w:p>
          <w:p w14:paraId="51BA68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5.1▲</w:t>
            </w:r>
            <w:r>
              <w:rPr>
                <w:rFonts w:ascii="宋体" w:hAnsi="宋体"/>
                <w:color w:val="auto"/>
                <w:kern w:val="0"/>
                <w:sz w:val="18"/>
                <w:szCs w:val="18"/>
                <w:highlight w:val="none"/>
              </w:rPr>
              <w:t>大数据分析展示系统</w:t>
            </w:r>
            <w:r>
              <w:rPr>
                <w:rFonts w:hint="eastAsia" w:ascii="宋体" w:hAnsi="宋体"/>
                <w:color w:val="auto"/>
                <w:kern w:val="0"/>
                <w:sz w:val="18"/>
                <w:szCs w:val="18"/>
                <w:highlight w:val="none"/>
              </w:rPr>
              <w:t>展示的数据涉及方方面面，需保证系统的数据安全，不能被恶意攻击和利用，产生不良影响。（提供大数据分析展示系统3级</w:t>
            </w:r>
            <w:r>
              <w:rPr>
                <w:rFonts w:hint="eastAsia" w:ascii="宋体" w:hAnsi="宋体" w:cs="宋体"/>
                <w:color w:val="auto"/>
                <w:kern w:val="0"/>
                <w:sz w:val="18"/>
                <w:szCs w:val="18"/>
                <w:highlight w:val="none"/>
              </w:rPr>
              <w:t>及以上</w:t>
            </w:r>
            <w:r>
              <w:rPr>
                <w:rFonts w:hint="eastAsia" w:ascii="宋体" w:hAnsi="宋体"/>
                <w:color w:val="auto"/>
                <w:kern w:val="0"/>
                <w:sz w:val="18"/>
                <w:szCs w:val="18"/>
                <w:highlight w:val="none"/>
              </w:rPr>
              <w:t>信息系统安全等级保护备案证明）。</w:t>
            </w:r>
          </w:p>
        </w:tc>
      </w:tr>
      <w:tr w14:paraId="6D26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579736D1">
            <w:pPr>
              <w:jc w:val="center"/>
              <w:rPr>
                <w:rFonts w:hint="default" w:ascii="宋体" w:hAnsi="宋体" w:eastAsia="宋体"/>
                <w:color w:val="auto"/>
                <w:kern w:val="0"/>
                <w:sz w:val="20"/>
                <w:szCs w:val="22"/>
                <w:highlight w:val="none"/>
                <w:lang w:val="en-US" w:eastAsia="zh-CN"/>
              </w:rPr>
            </w:pPr>
            <w:r>
              <w:rPr>
                <w:rFonts w:hint="eastAsia" w:ascii="宋体" w:hAnsi="宋体"/>
                <w:color w:val="auto"/>
                <w:sz w:val="20"/>
                <w:szCs w:val="22"/>
                <w:highlight w:val="none"/>
                <w:lang w:val="en-US" w:eastAsia="zh-CN"/>
              </w:rPr>
              <w:t>10</w:t>
            </w:r>
          </w:p>
        </w:tc>
        <w:tc>
          <w:tcPr>
            <w:tcW w:w="1134" w:type="dxa"/>
            <w:shd w:val="clear" w:color="auto" w:fill="auto"/>
            <w:noWrap w:val="0"/>
            <w:vAlign w:val="center"/>
          </w:tcPr>
          <w:p w14:paraId="0A70A354">
            <w:pPr>
              <w:jc w:val="center"/>
              <w:rPr>
                <w:rFonts w:hint="eastAsia" w:ascii="宋体" w:hAnsi="宋体"/>
                <w:color w:val="auto"/>
                <w:kern w:val="0"/>
                <w:sz w:val="18"/>
                <w:szCs w:val="18"/>
                <w:highlight w:val="none"/>
              </w:rPr>
            </w:pPr>
            <w:r>
              <w:rPr>
                <w:rFonts w:hint="eastAsia" w:ascii="Times New Roman" w:hAnsi="Times New Roman"/>
                <w:color w:val="auto"/>
                <w:kern w:val="0"/>
                <w:sz w:val="18"/>
                <w:szCs w:val="18"/>
                <w:highlight w:val="none"/>
              </w:rPr>
              <w:t>移动图书馆</w:t>
            </w:r>
          </w:p>
        </w:tc>
        <w:tc>
          <w:tcPr>
            <w:tcW w:w="7060" w:type="dxa"/>
            <w:shd w:val="clear" w:color="auto" w:fill="auto"/>
            <w:noWrap w:val="0"/>
            <w:vAlign w:val="center"/>
          </w:tcPr>
          <w:p w14:paraId="068C535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1.移动OPAC系统 </w:t>
            </w:r>
          </w:p>
          <w:p w14:paraId="28B79F8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 要求与图书馆OPAC系统完成统一认证，无需读者重复注册账号。</w:t>
            </w:r>
          </w:p>
          <w:p w14:paraId="5DE8F50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 基于本馆opac系统功能，要求在手机终端具备馆图书馆公告浏览、热门图书预览、热门检索词展示、馆藏书目查询、馆藏复本情况、在架信息、在线预约、个人借阅信息查看、在线续借、预约取书提醒、催还信息告知、电子读者证等功能。</w:t>
            </w:r>
          </w:p>
          <w:p w14:paraId="0060DF1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 要求通过手机扫描图书馆纸质图书条形码，可实时查看对应该图书所在的馆藏架位信息和可预约、可借阅情况，并且要求直接可查看本书对应的电子版，并实现手机下载，文献传递等全文获取方式。</w:t>
            </w:r>
          </w:p>
          <w:p w14:paraId="0BB7B28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 界面要求自适应手机终端尺寸大小，符合手机用户使用习惯。除提供基于安卓、苹果系统的客户端外，还需提供wap版，微信公众号版本实现全终端覆盖。</w:t>
            </w:r>
          </w:p>
          <w:p w14:paraId="4E3675E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2.数字资源服务平台</w:t>
            </w:r>
          </w:p>
          <w:p w14:paraId="4C07C57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 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p w14:paraId="29D80C3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 提供适合手机使用的且具有完全自主知识产权的视频，支持有声读物播放，为满足读者视听需求，移动图书馆视频内嵌资源量要求不少于2万集。需提供视频目录，便于查验。</w:t>
            </w:r>
          </w:p>
          <w:p w14:paraId="5D42239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 整合的期刊、论文等摘要页面要显示相关文献来源，且能提供适合移动设备的链接访问，并提供文献传递服务。</w:t>
            </w:r>
          </w:p>
          <w:p w14:paraId="0775D9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2.4 提供图书与期刊导航，并集成在首页中显示。</w:t>
            </w:r>
          </w:p>
          <w:p w14:paraId="6B2F0CD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2.5 实现热门图书、期刊、论文等文献的推荐。</w:t>
            </w:r>
          </w:p>
          <w:p w14:paraId="4332CAE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2.6 提供多种全文获取方式，本馆有全文可直接阅读，无全文的可通过与已有的文献传递系统对接，将文献发送到读者的邮箱。</w:t>
            </w:r>
          </w:p>
          <w:p w14:paraId="7627E43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2.7 通过该系统访问本馆购买的资源，将不受IP限制，而是通过认证，直接针对每一个读者进行权限控制，只要通过随身设备连接网络，就可在全球任何地点访问，无需单独分开的登录、认证等。</w:t>
            </w:r>
          </w:p>
          <w:p w14:paraId="1903D54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2.8 支持各类型智能手机：图书馆的文献资源全文可以通过各种类型手持设备进行统一访问。自适应安卓(android)、苹果（iphone）等各类可上网手机。在全文文字展示页面可以选择字体的大小和夜间模式。</w:t>
            </w:r>
          </w:p>
          <w:p w14:paraId="3DBC889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2.9各类数据库的支持：在检索详细页面上，提示相关数据库来源，并且可以提供适合手机和平板电脑的阅读格式。</w:t>
            </w:r>
          </w:p>
          <w:p w14:paraId="14FE04D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2.10 用户在用手机查找文献时，可提出申请将检索结果直接发送到个人邮箱。</w:t>
            </w:r>
          </w:p>
          <w:p w14:paraId="388D16A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2.11 数字阅读平台需实现移动图书馆同一平台上统一检索，形成在移动图书馆上一站式检索图书馆的电子资源。电子期刊检索、图书检索、论文检索等均在一个搜索框和属性页里面切换，一体化操作。</w:t>
            </w:r>
          </w:p>
          <w:p w14:paraId="4DCFED5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2.12 输入外文单词，系统根据用户输入智能判断为外文资源，同时在得到结果后还可以查看相关的中文资源；支持按不同字段进行检索，支持二次检索；检索结果支持按照不同方式排序。</w:t>
            </w:r>
          </w:p>
          <w:p w14:paraId="5C1FE24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2.13 须支持语音搜索。</w:t>
            </w:r>
          </w:p>
          <w:p w14:paraId="4C80229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2.14 支持检索结果筛选，支持多种筛选模式，如按中外文，时间，标题等。</w:t>
            </w:r>
          </w:p>
          <w:p w14:paraId="4D05A05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2.15 需支持全文检索服务，可定位到相关图书的具体页数，支持在线阅读相关页。</w:t>
            </w:r>
          </w:p>
          <w:p w14:paraId="095C1C8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2.16 支持横屏阅读，可进行批注，标示等操作。</w:t>
            </w:r>
          </w:p>
          <w:p w14:paraId="0729ACB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2.17 可对相关文献进行收藏，分享等操作。</w:t>
            </w:r>
          </w:p>
          <w:p w14:paraId="1A350F1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3.移动阅读资源</w:t>
            </w:r>
          </w:p>
          <w:p w14:paraId="628A8D3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3.1 提供适合不同手机阅读的EPUB格式热门图书，不少于2万种。整合100万种以上原貌图书，所有图书支持全文下载，并保存在手机中。并提供相关搜索服务</w:t>
            </w:r>
          </w:p>
          <w:p w14:paraId="76C59F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3.2 提供300种以上适合移动阅读的报纸资源，并且实现报纸的当日更新。</w:t>
            </w:r>
          </w:p>
          <w:p w14:paraId="4366065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3.3 提供不少于2万集适合手机使用的学术视频。并提供相关视频作者授权。</w:t>
            </w:r>
          </w:p>
          <w:p w14:paraId="2F38795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3.4 提供文献传递服务，并且接入全国图书馆参考咨询联盟建立的云传递共享平台。中文文献传递满足率达到95%以上，外文文献传递满足率达到90%以上。传递的文献必须能够随时随地打开阅读。</w:t>
            </w:r>
          </w:p>
          <w:p w14:paraId="3FA6BA9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 个性服务系统</w:t>
            </w:r>
          </w:p>
          <w:p w14:paraId="0F0ADE4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4.1移动图书馆平台内所有功能应用要求结构灵活，支持用户根据喜好，常用度，使用习惯进行置顶操作。</w:t>
            </w:r>
          </w:p>
          <w:p w14:paraId="6249E9E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4.2 支持设置app护眼模式，清空app缓存信息，支持设置app中文英文语言设置</w:t>
            </w:r>
          </w:p>
          <w:p w14:paraId="2CA7130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4.3 系统需具备分享功能，必须具备微信好友，微信朋友圈等社交分享平台。</w:t>
            </w:r>
          </w:p>
          <w:p w14:paraId="1B64F69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5. 其他要求： </w:t>
            </w:r>
          </w:p>
          <w:p w14:paraId="2F953FA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5.1需要提供成熟的应用案例。</w:t>
            </w:r>
          </w:p>
          <w:p w14:paraId="3825F8D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5.2具备苹果客户端开发能力，具备苹果开发者账号。</w:t>
            </w:r>
          </w:p>
          <w:p w14:paraId="79AA8D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5.3无用户数以及并发用户限制。</w:t>
            </w:r>
          </w:p>
          <w:p w14:paraId="47B9264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5.4 提供iOS和android主流移动操作系统客户端，提供条码扫描、订阅等功能，设计要符合用户的操作习惯。</w:t>
            </w:r>
          </w:p>
          <w:p w14:paraId="3984B2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5.5系统具备良好的开放性，可以支持二次开发。</w:t>
            </w:r>
          </w:p>
          <w:p w14:paraId="7E21056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5.6 投标方需具备完善的产品方案，所有功能需在中标后3个工作日内搭建完成。</w:t>
            </w:r>
          </w:p>
          <w:p w14:paraId="0AF4B68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5.7针对要求，可配套提供主流服务，如微信开发，并提供相关说明。</w:t>
            </w:r>
          </w:p>
        </w:tc>
      </w:tr>
      <w:tr w14:paraId="72C6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7064F377">
            <w:pPr>
              <w:jc w:val="center"/>
              <w:rPr>
                <w:rFonts w:hint="default" w:ascii="宋体" w:hAnsi="宋体" w:eastAsia="宋体"/>
                <w:color w:val="auto"/>
                <w:kern w:val="0"/>
                <w:sz w:val="20"/>
                <w:szCs w:val="22"/>
                <w:highlight w:val="none"/>
                <w:lang w:val="en-US" w:eastAsia="zh-CN"/>
              </w:rPr>
            </w:pPr>
            <w:r>
              <w:rPr>
                <w:rFonts w:hint="eastAsia" w:ascii="宋体" w:hAnsi="宋体"/>
                <w:color w:val="auto"/>
                <w:sz w:val="20"/>
                <w:szCs w:val="22"/>
                <w:highlight w:val="none"/>
                <w:lang w:val="en-US" w:eastAsia="zh-CN"/>
              </w:rPr>
              <w:t>11</w:t>
            </w:r>
          </w:p>
        </w:tc>
        <w:tc>
          <w:tcPr>
            <w:tcW w:w="1134" w:type="dxa"/>
            <w:shd w:val="clear" w:color="auto" w:fill="auto"/>
            <w:noWrap w:val="0"/>
            <w:vAlign w:val="center"/>
          </w:tcPr>
          <w:p w14:paraId="2A59A8FD">
            <w:pPr>
              <w:jc w:val="center"/>
              <w:rPr>
                <w:rFonts w:hint="eastAsia" w:ascii="宋体" w:hAnsi="宋体"/>
                <w:color w:val="auto"/>
                <w:kern w:val="0"/>
                <w:sz w:val="18"/>
                <w:szCs w:val="18"/>
                <w:highlight w:val="none"/>
              </w:rPr>
            </w:pPr>
            <w:r>
              <w:rPr>
                <w:rFonts w:hint="eastAsia" w:ascii="Times New Roman" w:hAnsi="Times New Roman"/>
                <w:color w:val="auto"/>
                <w:kern w:val="0"/>
                <w:sz w:val="18"/>
                <w:szCs w:val="18"/>
                <w:highlight w:val="none"/>
              </w:rPr>
              <w:t>阅读学分系统</w:t>
            </w:r>
          </w:p>
        </w:tc>
        <w:tc>
          <w:tcPr>
            <w:tcW w:w="7060" w:type="dxa"/>
            <w:shd w:val="clear" w:color="auto" w:fill="auto"/>
            <w:noWrap w:val="0"/>
            <w:vAlign w:val="center"/>
          </w:tcPr>
          <w:p w14:paraId="40DC64E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提供线上阅读积分资源内容，书籍数量不少于200本，名师导读视频资源不少于50集，测试题目不少于1000条，包含国学经典、中国文学、世界文学、人类思想、历史文明、艺术审美、科学技术、经济社会等不同类型的资源目录体系。</w:t>
            </w:r>
          </w:p>
          <w:p w14:paraId="5AFE435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2.支持单位自定义学习时间及定制个性化学习内容。</w:t>
            </w:r>
          </w:p>
          <w:p w14:paraId="68969BF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3.支持根据单位要求设置积分规则和总达标积分，支持对登录、观看视频、阅读、答题、讨论、笔记各纬度的总积分下线设置，支持观看视频、阅读、答题、笔记、讨论每日积分的上线设置。</w:t>
            </w:r>
          </w:p>
          <w:p w14:paraId="4B8166A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4.支持对积分规则进行管理，配置是否开启。</w:t>
            </w:r>
          </w:p>
          <w:p w14:paraId="1CAE880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5.支持记录用户积分明细。</w:t>
            </w:r>
          </w:p>
          <w:p w14:paraId="2698F21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6.支持按类型统计用户积分，例如阅读、视频、笔记、讨论等。</w:t>
            </w:r>
          </w:p>
          <w:p w14:paraId="43166C1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7.支持视频中加入测试题目，用户必须回答后才能继续观看。</w:t>
            </w:r>
          </w:p>
          <w:p w14:paraId="33D399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8.学生在线观看视频时支持进度记录，视频支持防止拖拽，并可探测当前活动窗口，防止用户在观看视频或电子书阅读时进行其他活动，同时还支持视频取消防拖拽功能。</w:t>
            </w:r>
          </w:p>
          <w:p w14:paraId="395F51B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9.支持自主决定学习路径，系统提供知识点分类查找、筛选、按人气推荐等功能。</w:t>
            </w:r>
          </w:p>
          <w:p w14:paraId="2BA3053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10.支持手机和平板、PC设备，移动端与PC端同步学习进度和数据。</w:t>
            </w:r>
          </w:p>
          <w:p w14:paraId="527961A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11.平台支持学生信息数据与学习积分的统一导出。</w:t>
            </w:r>
          </w:p>
          <w:p w14:paraId="171899D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12.根据学生的使用和学习行为，按照预设积分规则进行积分换算，统计记录学生的学习轨迹。</w:t>
            </w:r>
          </w:p>
          <w:p w14:paraId="546B41C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13.支持对接图书馆管理系统，根据用户纸书借还数据，查询用户在一定时间段内的借还时间达到一定天数的借还明细以及有效借还数量。</w:t>
            </w:r>
          </w:p>
          <w:p w14:paraId="63001A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14.后台支持导出单位所有用户的有效借还统计数量。有效借还天数可由单位自定义设置。</w:t>
            </w:r>
          </w:p>
        </w:tc>
      </w:tr>
      <w:tr w14:paraId="4D52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18031DA2">
            <w:pPr>
              <w:jc w:val="center"/>
              <w:rPr>
                <w:rFonts w:hint="default" w:ascii="宋体" w:hAnsi="宋体" w:eastAsia="宋体"/>
                <w:color w:val="auto"/>
                <w:kern w:val="0"/>
                <w:sz w:val="20"/>
                <w:szCs w:val="22"/>
                <w:highlight w:val="none"/>
                <w:lang w:val="en-US" w:eastAsia="zh-CN"/>
              </w:rPr>
            </w:pPr>
            <w:r>
              <w:rPr>
                <w:rFonts w:hint="eastAsia" w:ascii="宋体" w:hAnsi="宋体"/>
                <w:color w:val="auto"/>
                <w:sz w:val="20"/>
                <w:szCs w:val="22"/>
                <w:highlight w:val="none"/>
                <w:lang w:val="en-US" w:eastAsia="zh-CN"/>
              </w:rPr>
              <w:t>12</w:t>
            </w:r>
          </w:p>
        </w:tc>
        <w:tc>
          <w:tcPr>
            <w:tcW w:w="1134" w:type="dxa"/>
            <w:shd w:val="clear" w:color="auto" w:fill="auto"/>
            <w:noWrap w:val="0"/>
            <w:vAlign w:val="center"/>
          </w:tcPr>
          <w:p w14:paraId="316E3F12">
            <w:pPr>
              <w:jc w:val="center"/>
              <w:rPr>
                <w:rFonts w:hint="eastAsia" w:ascii="Times New Roman" w:hAnsi="Times New Roman"/>
                <w:color w:val="auto"/>
                <w:kern w:val="0"/>
                <w:sz w:val="18"/>
                <w:szCs w:val="18"/>
                <w:highlight w:val="none"/>
              </w:rPr>
            </w:pPr>
            <w:r>
              <w:rPr>
                <w:rFonts w:hint="eastAsia" w:ascii="宋体" w:hAnsi="宋体" w:cs="Calibri"/>
                <w:color w:val="auto"/>
                <w:kern w:val="0"/>
                <w:sz w:val="18"/>
                <w:szCs w:val="18"/>
                <w:highlight w:val="none"/>
              </w:rPr>
              <w:t>图书馆720度全景展示</w:t>
            </w:r>
          </w:p>
        </w:tc>
        <w:tc>
          <w:tcPr>
            <w:tcW w:w="7060" w:type="dxa"/>
            <w:shd w:val="clear" w:color="auto" w:fill="auto"/>
            <w:noWrap w:val="0"/>
            <w:vAlign w:val="center"/>
          </w:tcPr>
          <w:p w14:paraId="3326531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 技术要求</w:t>
            </w:r>
          </w:p>
          <w:p w14:paraId="268FC97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 图像和视频质量</w:t>
            </w:r>
          </w:p>
          <w:p w14:paraId="5A1A56C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分辨率：全景照片需达到至少8K分辨率，以确保在各种显示设备上均有出色的视觉效果。</w:t>
            </w:r>
          </w:p>
          <w:p w14:paraId="597BEF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像素：根据具体图片尺寸需求</w:t>
            </w:r>
          </w:p>
          <w:p w14:paraId="4CED2A4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比例：图片比例为不低于2：1</w:t>
            </w:r>
          </w:p>
          <w:p w14:paraId="655100A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格式：照片应提供JPEG（100%质量）格式。</w:t>
            </w:r>
          </w:p>
          <w:p w14:paraId="67D714A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动态范围：使用高动态范围(HDR)技术拍摄，以确保在光照变化极大的场景中也能捕捉到细节。</w:t>
            </w:r>
          </w:p>
          <w:p w14:paraId="76C6747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全景类型：提供360°水平和360°垂直的全景覆盖，确保上至天顶，下至地面的全方位展示。</w:t>
            </w:r>
          </w:p>
          <w:p w14:paraId="6CC499C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 设备和软件要求</w:t>
            </w:r>
          </w:p>
          <w:p w14:paraId="3FF9B26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相机与镜头：适用于高质量全景拍摄的相机和镜头。</w:t>
            </w:r>
          </w:p>
          <w:p w14:paraId="0CAACEE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稳定装置：使用专业的三脚架和全景镜头，确保在拍摄过程中的稳定性，减少图像模糊和拼接错误。</w:t>
            </w:r>
          </w:p>
          <w:p w14:paraId="5FEBAB4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拼接软件：使用行业标准的图像拼接软件。</w:t>
            </w:r>
          </w:p>
          <w:p w14:paraId="786E436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 拍摄和后期处理技术</w:t>
            </w:r>
          </w:p>
          <w:p w14:paraId="52BA081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后期处理：在保持图像自然色彩的同时，进行光照调整、色彩校正、图像拼接优化等后期处理。</w:t>
            </w:r>
          </w:p>
          <w:p w14:paraId="30EAA8A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1.4▲为保证产品稳定性，所提供软件来源需正规正版，提供全景展示相关的软件著作权证书。</w:t>
            </w:r>
          </w:p>
          <w:p w14:paraId="13AC9F9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1.5功能描述</w:t>
            </w:r>
          </w:p>
          <w:p w14:paraId="7B646B3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全景VR现场拍摄 用于对场地的现场拍摄获取场地相关数据，包括考察现场、点位规划、方案设计、全景拍摄、后期修图、补拍等。 考察现场：考察现场点位规划：考察后进行点位规划方案设计：根据考察结果和点位规划，进行全景方案设计全景拍摄：考察大厅现场，规划拍摄点位，并进行各点位的拍摄后期修图：对拍摄的全景照片进行检查、修图。补拍：在检查的基础上，对不合格的进行重拍。</w:t>
            </w:r>
          </w:p>
          <w:p w14:paraId="2105643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VR素材管理 对用于构建VR的相关素材进行管理，包括全景图片管理、全景图片分页、全景图片搜索、景图片上传、全景图片重新上传、创建全景图分组、修改全景图分组、删除全景图分组、全景图分组设置等功能。</w:t>
            </w:r>
          </w:p>
          <w:p w14:paraId="700CF66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全景图片管理：列出所有的全景图全景图片分页：全景图列表支持分页全景图片搜索：全景图列表支持关键词搜索全景图片上传：上传拍摄的全景素材全景图片重新上传：对已有的全景素材，可以重新上传，覆盖旧的全景素材。</w:t>
            </w:r>
          </w:p>
          <w:p w14:paraId="37D15B4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全景图分组管理：包括全景分组的新增、修改和删除。全景图分组设置：可以对全景素材进行分组，便于归类管理。修改全景图分组：将全景图移动到新的分组封面图设置：可以对每一个全景图自定义设置封面图全景图名称设置：设置每一个全景图或全景场景的名称全景图自定义标签：设置每一个全景图的标签，为可选项。多个标签可以用逗号分隔。备注：设置每个全景图的备注信息。全景图文件信息：可以查看已上传全景图文件的尺寸、文件大小、并可以预览效果。</w:t>
            </w:r>
          </w:p>
          <w:p w14:paraId="4DA55B1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素材图片管理：对使用到的其它图片进行管理。素材图片分页：图片列表支持分页素材图片搜索：图片列表支持关键词搜索素材图片上传：上传用到的素材图片重新上传：对已有的图片，可以重新上传，覆盖替换旧的图片。素材图片重命名：对素材图片重命名，便于管理和使用。图片预览查看：可以查看图片原图及进行缩放查看。图片文件夹管理：包括对图片文件夹的新增、修改、删除等功能。设置图片所属文件夹：可以对素材图片进行分组，便于归类管理。修改图片所属文件夹：将图片移动到新的文件夹音频文件管理：对使用到的音频文件进行管理。音频文件列表分页：音频文件列表支持分页音频文件搜索：音频文件列表支持关键词搜索音频文件上传：上传用到的音频文件重新上传：对已有的音频文件，可以重新上传，覆盖替换旧的音频文件。音频文件重命名：对音频文件重命名，便于管理和使用。音频所属文件夹设置：设置音频文件所属文件夹，便于归类管理。修改音频所属文件夹：将音频文件移入一个新的文件夹中。音频文件预览：可以对音频文件预览播放。修改音频文件夹：修改音频文件夹删除音频文件夹：删除音频文件夹</w:t>
            </w:r>
          </w:p>
          <w:p w14:paraId="493DEBC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支持VR场景管理：对智能导览系统中的各种VR场景进行管理，包括创建场景、修改场景、删除场景、创建分组、修改分组、删除分组、全景作品列表、设置分组、移动分组等功能。 </w:t>
            </w:r>
          </w:p>
          <w:p w14:paraId="3F4EC34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1、支持场景管理：包括对VR场景的新增、删除、修改功能。</w:t>
            </w:r>
          </w:p>
          <w:p w14:paraId="14F1B34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2、支持分组管理：包括分组的新建、删除、修改功能。</w:t>
            </w:r>
          </w:p>
          <w:p w14:paraId="5225DA2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3、全景作品列表：列表显示VR场景，并显示基本的信息，如创建时间、最后修改时间等。</w:t>
            </w:r>
          </w:p>
          <w:p w14:paraId="4AF87ED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4、支持设置分组：将VR场景归入某个分组。</w:t>
            </w:r>
          </w:p>
          <w:p w14:paraId="40EC31A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5、支持移动分组：将VR场景从一个分组移到另一个分组。</w:t>
            </w:r>
          </w:p>
          <w:p w14:paraId="55CABAD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VR设计 提供VR场景设计能力，设计人员通过页面进行VR场景进行设计。包括VR场景名称设置、VR场景的封面设置、开场动画、场景选择、设置场景简介、修改场景简介、删除场景简介、视角切换等功能。</w:t>
            </w:r>
          </w:p>
          <w:p w14:paraId="7DA855E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1、支持VR场景名称设置：设置VR场景的名称</w:t>
            </w:r>
          </w:p>
          <w:p w14:paraId="6BE963B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2、支持VR场景的封面设置：修改VR场景的封面图</w:t>
            </w:r>
          </w:p>
          <w:p w14:paraId="4F69028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3、支持开场动画：设置开场动画场景选择：可以选择子场景进行切换查看。</w:t>
            </w:r>
          </w:p>
          <w:p w14:paraId="0C5032B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4、支持场景简介管理：包括对场景简介的新增、修改、删除等功能。</w:t>
            </w:r>
          </w:p>
          <w:p w14:paraId="1B252F6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5、支持视角切换：可以切换视角分组管理：一级分组，并可设置分组名称。包括对分组的新增、删除、修改。</w:t>
            </w:r>
          </w:p>
          <w:p w14:paraId="58228CD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6、支持添加VR场景：将VR场景添加到指定分组。设置初始视角：对每一个场景设置初始视频</w:t>
            </w:r>
          </w:p>
          <w:p w14:paraId="2B954ED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7、支持修改初始视角：对指定场景修改初始视角，设置水平视角范围：设置水平视角的最大和最小范围设置垂直视角范围：设置垂直视角最大和最小范围热点管理：对热点的添加、修改和删除等功能。</w:t>
            </w:r>
          </w:p>
          <w:p w14:paraId="41677D8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8、支持设置热点类型：设置热点的类型，如全景切换、超链接、图片热点等。</w:t>
            </w:r>
          </w:p>
          <w:p w14:paraId="68E4E73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热点标题管理：包括对热点标题的新增、修改、删除等功能。热点标题字号设置：设置热点标题的文字大小设置全景切换热点的目标全景：对全景切换类型的热点，设置目标全景。设置超链接热点的目标网址：对超链接类型的热点，设置目标地址及目标窗口。设置图片热点的目标相册：对图片类型的热点，设置要打开的目标相册。设置文本热点的文字：对文本类型的热点，设置对应的文字。设置视频热点的网址：设置视频类型的热点对应的视频地址。设置音频热点的音频：对音频类型的热点，设置音频文件。设置图文热点的图片：设置图文热点的图片电子沙盘管理：包括对电子沙盘的新增、修改和删除等功能。</w:t>
            </w:r>
          </w:p>
          <w:p w14:paraId="70C7A82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10、支持修改电子沙盘修改标记点：修改电子沙盘上的指定标记点的对应场景。</w:t>
            </w:r>
          </w:p>
        </w:tc>
      </w:tr>
      <w:tr w14:paraId="7F6A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0E1CFEE6">
            <w:pPr>
              <w:jc w:val="center"/>
              <w:rPr>
                <w:rFonts w:hint="eastAsia" w:ascii="宋体" w:hAnsi="宋体" w:eastAsia="宋体"/>
                <w:color w:val="auto"/>
                <w:kern w:val="0"/>
                <w:sz w:val="20"/>
                <w:szCs w:val="22"/>
                <w:highlight w:val="none"/>
                <w:lang w:eastAsia="zh-CN"/>
              </w:rPr>
            </w:pPr>
            <w:r>
              <w:rPr>
                <w:rFonts w:ascii="宋体" w:hAnsi="宋体"/>
                <w:color w:val="auto"/>
                <w:sz w:val="20"/>
                <w:szCs w:val="22"/>
                <w:highlight w:val="none"/>
              </w:rPr>
              <w:t>1</w:t>
            </w:r>
            <w:r>
              <w:rPr>
                <w:rFonts w:hint="eastAsia" w:ascii="宋体" w:hAnsi="宋体"/>
                <w:color w:val="auto"/>
                <w:sz w:val="20"/>
                <w:szCs w:val="22"/>
                <w:highlight w:val="none"/>
                <w:lang w:val="en-US" w:eastAsia="zh-CN"/>
              </w:rPr>
              <w:t>3</w:t>
            </w:r>
          </w:p>
        </w:tc>
        <w:tc>
          <w:tcPr>
            <w:tcW w:w="1134" w:type="dxa"/>
            <w:shd w:val="clear" w:color="auto" w:fill="auto"/>
            <w:noWrap w:val="0"/>
            <w:vAlign w:val="center"/>
          </w:tcPr>
          <w:p w14:paraId="770DFEC4">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阅读本自助借阅系统</w:t>
            </w:r>
          </w:p>
        </w:tc>
        <w:tc>
          <w:tcPr>
            <w:tcW w:w="7060" w:type="dxa"/>
            <w:shd w:val="clear" w:color="auto" w:fill="auto"/>
            <w:noWrap w:val="0"/>
            <w:vAlign w:val="center"/>
          </w:tcPr>
          <w:p w14:paraId="26C9156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一、电子阅读本系统</w:t>
            </w:r>
          </w:p>
          <w:p w14:paraId="4F963F4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1、▲需提供不少于50000册高清电子图书，图书资源针对各类年龄人群提供不同的书籍，并按照主题阅读、经典阅读、作家专栏、文学、小说、传记、艺术、等进行分类；（提供电子阅读本系统软件著作权证书）</w:t>
            </w:r>
            <w:r>
              <w:rPr>
                <w:rFonts w:ascii="宋体" w:hAnsi="宋体"/>
                <w:color w:val="auto"/>
                <w:kern w:val="0"/>
                <w:sz w:val="18"/>
                <w:szCs w:val="18"/>
                <w:highlight w:val="none"/>
              </w:rPr>
              <w:t xml:space="preserve"> </w:t>
            </w:r>
          </w:p>
          <w:p w14:paraId="677DF7E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2、▲需提供不少于2000种中文期刊，支持在线阅读阅览，整本下载阅读，支持自适应排版，支持左右翻页、字体更换、间距调整阅读。（提供电子阅读本系统软件测试报告）</w:t>
            </w:r>
          </w:p>
          <w:p w14:paraId="1DC4A07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3、在线书城支持图书馆自主建立图书书单推荐，重点书单在首页推荐，并可浏览所有推荐书单，推荐详情中展示专题图书的介绍，并可查看详情下载图书。</w:t>
            </w:r>
          </w:p>
          <w:p w14:paraId="7C9D5C8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4、支持图书资源下载，提供书架功能，可将书城资源下载在本地书架，并且能完成离线阅读，节省用户使用流量，提供检索历史、收藏等服务。</w:t>
            </w:r>
          </w:p>
          <w:p w14:paraId="55EEE32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5、支持目录功能，支持查看目录并快速跳转到目录所在章节。</w:t>
            </w:r>
          </w:p>
          <w:p w14:paraId="41B2651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6、支持书签功能，支持将感兴趣内容添加到书签，可以快速定位到关键位置。</w:t>
            </w:r>
          </w:p>
          <w:p w14:paraId="6399F03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7、支持书名云端联动搜素，快速查找所需图书，支持使用关键字快速定位关键字在图书的位置。</w:t>
            </w:r>
          </w:p>
          <w:p w14:paraId="416E103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8、支持上下翻页，支持点击、滑动翻页；支持字体切换，字体大小调整，行间距调整，调整后将自动重排版显示。</w:t>
            </w:r>
          </w:p>
          <w:p w14:paraId="5239582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使用手机端扫描阅读器上二维码登录个人账号，历史阅读记录加入书架，支持读者对图书进行整理，建立分类文件夹、移动删除图书，书架图书与阅读进度保存在云端，更换阅读器再次扫码即可自动同步。</w:t>
            </w:r>
          </w:p>
          <w:p w14:paraId="0B3423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10、▲手机客户端支持生成个人阅读报告，统计累计阅读时长、已读图书、最近阅读时长与图书，并可对阅读分类、阅读时长、阅读时段进行分析统计。</w:t>
            </w:r>
            <w:r>
              <w:rPr>
                <w:rFonts w:hint="eastAsia" w:ascii="宋体" w:hAnsi="宋体" w:cs="宋体"/>
                <w:color w:val="auto"/>
                <w:kern w:val="0"/>
                <w:sz w:val="18"/>
                <w:szCs w:val="18"/>
                <w:highlight w:val="none"/>
              </w:rPr>
              <w:t>（提供截图证明）</w:t>
            </w:r>
          </w:p>
          <w:p w14:paraId="390927A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11、支持连接电脑，将PDF,EPUB,TXT,MOBI等格式本地图书导入阅读，支持文件夹与单个文件形式的导入。</w:t>
            </w:r>
          </w:p>
          <w:p w14:paraId="267DF97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12、支持后台对图书进行分类定制，支持上传自有图书，支持创建分类并将上传的图书放入不同分类管理，并将图书发布到在线书城，供读者下载阅读。</w:t>
            </w:r>
          </w:p>
          <w:p w14:paraId="5500CAB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13、支持后台批量推送图书，将选定的图书或文件夹实时推送到阅读器上供读者阅读。</w:t>
            </w:r>
          </w:p>
          <w:p w14:paraId="6A7F237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14、支持与图书馆现有移动App打通，支持在手机App创建专题后转发到阅读本设备上阅读。</w:t>
            </w:r>
          </w:p>
          <w:p w14:paraId="681D932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15、支持pdf图书或pdf期刊在阅读本阅读，可依据读者需求进行裁剪阅读。</w:t>
            </w:r>
          </w:p>
          <w:p w14:paraId="156A8C6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二、自助借还管理系统</w:t>
            </w:r>
          </w:p>
          <w:p w14:paraId="019B148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1、支持与图书馆借还系统打通，支持读者使用读者证在智能柜上完成阅读本设备的自助借还，无需人工介入，操作流程简便并全程伴随语音提示。</w:t>
            </w:r>
          </w:p>
          <w:p w14:paraId="4A689C6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2、支持智能监测功能，支持检测归还的阅读本序列号，自动检测阅读本是否损坏，防止非阅读本设备（比如移动电源）被还入柜内，切实保障自助借还过程中设备不丢失。</w:t>
            </w:r>
          </w:p>
          <w:p w14:paraId="4550FE6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在阅读本设备上展示借阅信息，设备归属图书馆，借阅时间，借期，应还时间，设备到期前系统会进行到期提醒，提醒读者归还，备借阅到期后，支持远程关闭设备使用，锁定设备。（提供自助借还管理系统软件著作权证书）。</w:t>
            </w:r>
          </w:p>
          <w:p w14:paraId="5763AB0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4、支持设备充电，设备充满后自动断电，针对每个柜门内设备故障、设备充电中、设备充满电后充电指示灯能够相应变化指示。</w:t>
            </w:r>
          </w:p>
          <w:p w14:paraId="18F60C3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5、支持远程预置图书，通过管理后台配置图书，并通过借还柜写入阅读本设备，读者拿到阅读本时即可在书架上阅读预置图书。</w:t>
            </w:r>
          </w:p>
          <w:p w14:paraId="10E66AC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6、支持归还的设备自动进行设备初始化重置，还原到初始出厂状态，并保留图书馆定制内置图书，保障上一个读者阅读内容不会流转到下一个读者。</w:t>
            </w:r>
          </w:p>
          <w:p w14:paraId="413892C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7、支持监控，采用高清摄像头，智能柜内置存储，保存最近20天监控视频。 </w:t>
            </w:r>
          </w:p>
          <w:p w14:paraId="7E67D14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8、▲支持与图书馆已有移动App无缝对接，支持在其移动App上同步显示设备借阅时间，借期，应还时间。（提供截图证明）</w:t>
            </w:r>
          </w:p>
        </w:tc>
      </w:tr>
      <w:tr w14:paraId="221D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63A7FB0E">
            <w:pPr>
              <w:jc w:val="center"/>
              <w:rPr>
                <w:rFonts w:hint="default" w:ascii="宋体" w:hAnsi="宋体" w:eastAsia="宋体"/>
                <w:color w:val="auto"/>
                <w:sz w:val="20"/>
                <w:szCs w:val="22"/>
                <w:highlight w:val="none"/>
                <w:lang w:val="en-US" w:eastAsia="zh-CN"/>
              </w:rPr>
            </w:pPr>
            <w:r>
              <w:rPr>
                <w:rFonts w:hint="eastAsia" w:ascii="宋体" w:hAnsi="宋体"/>
                <w:color w:val="auto"/>
                <w:sz w:val="20"/>
                <w:szCs w:val="22"/>
                <w:highlight w:val="none"/>
                <w:lang w:val="en-US" w:eastAsia="zh-CN"/>
              </w:rPr>
              <w:t>14</w:t>
            </w:r>
          </w:p>
        </w:tc>
        <w:tc>
          <w:tcPr>
            <w:tcW w:w="1134" w:type="dxa"/>
            <w:shd w:val="clear" w:color="auto" w:fill="auto"/>
            <w:noWrap w:val="0"/>
            <w:vAlign w:val="center"/>
          </w:tcPr>
          <w:p w14:paraId="386B5B1A">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馆员管理终端</w:t>
            </w:r>
          </w:p>
        </w:tc>
        <w:tc>
          <w:tcPr>
            <w:tcW w:w="7060" w:type="dxa"/>
            <w:shd w:val="clear" w:color="auto" w:fill="auto"/>
            <w:noWrap w:val="0"/>
            <w:vAlign w:val="center"/>
          </w:tcPr>
          <w:p w14:paraId="0C2F1CC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CPU酷睿i5-14500</w:t>
            </w:r>
            <w:r>
              <w:rPr>
                <w:rFonts w:hint="eastAsia" w:ascii="宋体" w:hAnsi="宋体"/>
                <w:color w:val="auto"/>
                <w:kern w:val="0"/>
                <w:sz w:val="18"/>
                <w:szCs w:val="18"/>
                <w:highlight w:val="none"/>
                <w:lang w:val="en-US" w:eastAsia="zh-CN"/>
              </w:rPr>
              <w:t>及以上</w:t>
            </w:r>
            <w:r>
              <w:rPr>
                <w:rFonts w:hint="eastAsia" w:ascii="宋体" w:hAnsi="宋体"/>
                <w:color w:val="auto"/>
                <w:kern w:val="0"/>
                <w:sz w:val="18"/>
                <w:szCs w:val="18"/>
                <w:highlight w:val="none"/>
              </w:rPr>
              <w:t xml:space="preserve"> </w:t>
            </w:r>
          </w:p>
          <w:p w14:paraId="75C2A4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内存</w:t>
            </w:r>
            <w:r>
              <w:rPr>
                <w:rFonts w:hint="eastAsia" w:ascii="宋体" w:hAnsi="宋体"/>
                <w:color w:val="auto"/>
                <w:kern w:val="0"/>
                <w:sz w:val="18"/>
                <w:szCs w:val="18"/>
                <w:highlight w:val="none"/>
                <w:lang w:val="zh-TW"/>
              </w:rPr>
              <w:t>≥</w:t>
            </w:r>
            <w:r>
              <w:rPr>
                <w:rFonts w:hint="eastAsia" w:ascii="宋体" w:hAnsi="宋体"/>
                <w:color w:val="auto"/>
                <w:kern w:val="0"/>
                <w:sz w:val="18"/>
                <w:szCs w:val="18"/>
                <w:highlight w:val="none"/>
              </w:rPr>
              <w:t>32G DDR5</w:t>
            </w:r>
            <w:r>
              <w:rPr>
                <w:rFonts w:hint="eastAsia" w:ascii="宋体" w:hAnsi="宋体"/>
                <w:color w:val="auto"/>
                <w:kern w:val="0"/>
                <w:sz w:val="18"/>
                <w:szCs w:val="18"/>
                <w:highlight w:val="none"/>
                <w:lang w:val="en-US" w:eastAsia="zh-CN"/>
              </w:rPr>
              <w:t>及以上</w:t>
            </w:r>
            <w:r>
              <w:rPr>
                <w:rFonts w:hint="eastAsia" w:ascii="宋体" w:hAnsi="宋体"/>
                <w:color w:val="auto"/>
                <w:kern w:val="0"/>
                <w:sz w:val="18"/>
                <w:szCs w:val="18"/>
                <w:highlight w:val="none"/>
              </w:rPr>
              <w:t xml:space="preserve"> </w:t>
            </w:r>
          </w:p>
          <w:p w14:paraId="2B6C353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lang w:val="en-US" w:eastAsia="zh-CN"/>
              </w:rPr>
              <w:t>硬盘空间</w:t>
            </w:r>
            <w:r>
              <w:rPr>
                <w:rFonts w:hint="eastAsia" w:ascii="宋体" w:hAnsi="宋体"/>
                <w:color w:val="auto"/>
                <w:kern w:val="0"/>
                <w:sz w:val="18"/>
                <w:szCs w:val="18"/>
                <w:highlight w:val="none"/>
                <w:lang w:val="zh-TW"/>
              </w:rPr>
              <w:t>≥</w:t>
            </w:r>
            <w:r>
              <w:rPr>
                <w:rFonts w:hint="eastAsia" w:ascii="宋体" w:hAnsi="宋体"/>
                <w:color w:val="auto"/>
                <w:kern w:val="0"/>
                <w:sz w:val="18"/>
                <w:szCs w:val="18"/>
                <w:highlight w:val="none"/>
              </w:rPr>
              <w:t>1TB</w:t>
            </w:r>
            <w:r>
              <w:rPr>
                <w:rFonts w:hint="eastAsia" w:ascii="宋体" w:hAnsi="宋体"/>
                <w:color w:val="auto"/>
                <w:kern w:val="0"/>
                <w:sz w:val="18"/>
                <w:szCs w:val="18"/>
                <w:highlight w:val="none"/>
                <w:lang w:val="en-US" w:eastAsia="zh-CN"/>
              </w:rPr>
              <w:t xml:space="preserve"> </w:t>
            </w:r>
            <w:r>
              <w:rPr>
                <w:rFonts w:hint="eastAsia" w:ascii="宋体" w:hAnsi="宋体"/>
                <w:color w:val="auto"/>
                <w:kern w:val="0"/>
                <w:sz w:val="18"/>
                <w:szCs w:val="18"/>
                <w:highlight w:val="none"/>
              </w:rPr>
              <w:t>SSD</w:t>
            </w:r>
          </w:p>
          <w:p w14:paraId="0970312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显示器</w:t>
            </w:r>
            <w:r>
              <w:rPr>
                <w:rFonts w:hint="eastAsia" w:ascii="宋体" w:hAnsi="宋体"/>
                <w:color w:val="auto"/>
                <w:kern w:val="0"/>
                <w:sz w:val="18"/>
                <w:szCs w:val="18"/>
                <w:highlight w:val="none"/>
                <w:lang w:val="zh-TW"/>
              </w:rPr>
              <w:t>≥</w:t>
            </w:r>
            <w:r>
              <w:rPr>
                <w:rFonts w:hint="eastAsia" w:ascii="宋体" w:hAnsi="宋体"/>
                <w:color w:val="auto"/>
                <w:kern w:val="0"/>
                <w:sz w:val="18"/>
                <w:szCs w:val="18"/>
                <w:highlight w:val="none"/>
              </w:rPr>
              <w:t>23.8英寸</w:t>
            </w:r>
          </w:p>
          <w:p w14:paraId="30A99FB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集成显卡</w:t>
            </w:r>
          </w:p>
        </w:tc>
      </w:tr>
    </w:tbl>
    <w:p w14:paraId="26C1F603">
      <w:pPr>
        <w:spacing w:line="360" w:lineRule="auto"/>
        <w:rPr>
          <w:rFonts w:hint="eastAsia" w:ascii="宋体" w:hAnsi="宋体" w:cs="宋体"/>
          <w:b w:val="0"/>
          <w:bCs w:val="0"/>
          <w:color w:val="auto"/>
          <w:sz w:val="24"/>
        </w:rPr>
      </w:pPr>
      <w:r>
        <w:rPr>
          <w:rFonts w:hint="eastAsia" w:ascii="宋体" w:hAnsi="宋体" w:cs="宋体"/>
          <w:b/>
          <w:bCs/>
          <w:color w:val="auto"/>
          <w:sz w:val="24"/>
        </w:rPr>
        <w:t>质量要求/质保期：</w:t>
      </w:r>
      <w:r>
        <w:rPr>
          <w:rFonts w:hint="eastAsia" w:ascii="宋体" w:hAnsi="宋体" w:cs="宋体"/>
          <w:b w:val="0"/>
          <w:bCs w:val="0"/>
          <w:color w:val="auto"/>
          <w:sz w:val="24"/>
        </w:rPr>
        <w:t>自验收通过之日起，中标供应商提供所投产品和服务原厂商3年免费质保。</w:t>
      </w:r>
    </w:p>
    <w:p w14:paraId="047A9ABC">
      <w:pPr>
        <w:spacing w:line="360" w:lineRule="auto"/>
        <w:rPr>
          <w:rFonts w:hint="eastAsia"/>
          <w:b w:val="0"/>
          <w:bCs w:val="0"/>
          <w:color w:val="auto"/>
        </w:rPr>
      </w:pPr>
      <w:r>
        <w:rPr>
          <w:rFonts w:hint="eastAsia" w:ascii="宋体" w:hAnsi="宋体" w:cs="宋体"/>
          <w:b/>
          <w:bCs/>
          <w:color w:val="auto"/>
          <w:sz w:val="24"/>
        </w:rPr>
        <w:t>服务要求或标准：</w:t>
      </w:r>
      <w:r>
        <w:rPr>
          <w:rFonts w:hint="eastAsia" w:ascii="宋体" w:hAnsi="宋体" w:cs="宋体"/>
          <w:b w:val="0"/>
          <w:bCs w:val="0"/>
          <w:color w:val="auto"/>
          <w:sz w:val="24"/>
        </w:rPr>
        <w:t>免费维护期内的7天*24小时的售后服务，在接到用户故障报告后响应时间不超过2小时。</w:t>
      </w:r>
    </w:p>
    <w:p w14:paraId="112BFD9B">
      <w:pPr>
        <w:spacing w:line="360" w:lineRule="auto"/>
        <w:rPr>
          <w:rFonts w:hint="eastAsia" w:ascii="宋体" w:hAnsi="宋体" w:cs="宋体"/>
          <w:b w:val="0"/>
          <w:bCs w:val="0"/>
          <w:color w:val="auto"/>
          <w:sz w:val="24"/>
        </w:rPr>
      </w:pPr>
      <w:r>
        <w:rPr>
          <w:rFonts w:hint="eastAsia" w:ascii="宋体" w:hAnsi="宋体" w:cs="宋体"/>
          <w:b/>
          <w:bCs/>
          <w:color w:val="auto"/>
          <w:sz w:val="24"/>
        </w:rPr>
        <w:t>合同工期/服务期限/供货期限：</w:t>
      </w:r>
      <w:r>
        <w:rPr>
          <w:rFonts w:hint="eastAsia" w:ascii="宋体" w:hAnsi="宋体" w:cs="宋体"/>
          <w:b w:val="0"/>
          <w:bCs w:val="0"/>
          <w:color w:val="auto"/>
          <w:sz w:val="24"/>
        </w:rPr>
        <w:t>自合同签订之日起</w:t>
      </w:r>
      <w:r>
        <w:rPr>
          <w:rFonts w:hint="eastAsia" w:ascii="宋体" w:hAnsi="宋体" w:cs="宋体"/>
          <w:b w:val="0"/>
          <w:bCs w:val="0"/>
          <w:color w:val="auto"/>
          <w:sz w:val="24"/>
          <w:u w:val="single"/>
        </w:rPr>
        <w:t>30</w:t>
      </w:r>
      <w:r>
        <w:rPr>
          <w:rFonts w:hint="eastAsia" w:ascii="宋体" w:hAnsi="宋体" w:cs="宋体"/>
          <w:b w:val="0"/>
          <w:bCs w:val="0"/>
          <w:color w:val="auto"/>
          <w:sz w:val="24"/>
        </w:rPr>
        <w:t>日历日内交货并完成安装调试。</w:t>
      </w:r>
    </w:p>
    <w:p w14:paraId="7FD3A7BC">
      <w:pPr>
        <w:spacing w:line="360" w:lineRule="auto"/>
        <w:rPr>
          <w:rFonts w:hint="eastAsia" w:ascii="宋体" w:hAnsi="宋体" w:cs="宋体"/>
          <w:b w:val="0"/>
          <w:bCs w:val="0"/>
          <w:color w:val="auto"/>
          <w:sz w:val="24"/>
        </w:rPr>
      </w:pPr>
      <w:r>
        <w:rPr>
          <w:rFonts w:hint="eastAsia" w:ascii="宋体" w:hAnsi="宋体" w:cs="宋体"/>
          <w:b/>
          <w:bCs/>
          <w:color w:val="auto"/>
          <w:sz w:val="24"/>
        </w:rPr>
        <w:t>安装地点：</w:t>
      </w:r>
      <w:r>
        <w:rPr>
          <w:rFonts w:hint="eastAsia" w:ascii="宋体" w:hAnsi="宋体" w:cs="宋体"/>
          <w:b w:val="0"/>
          <w:bCs w:val="0"/>
          <w:color w:val="auto"/>
          <w:sz w:val="24"/>
        </w:rPr>
        <w:t>采购人指定。</w:t>
      </w:r>
    </w:p>
    <w:p w14:paraId="2D5E06B8">
      <w:pPr>
        <w:spacing w:line="360" w:lineRule="auto"/>
        <w:rPr>
          <w:rFonts w:hint="eastAsia" w:ascii="宋体" w:hAnsi="宋体" w:cs="宋体"/>
          <w:color w:val="auto"/>
          <w:sz w:val="24"/>
        </w:rPr>
      </w:pPr>
      <w:r>
        <w:rPr>
          <w:rFonts w:hint="eastAsia" w:ascii="宋体" w:hAnsi="宋体" w:cs="宋体"/>
          <w:b/>
          <w:bCs/>
          <w:color w:val="auto"/>
          <w:sz w:val="24"/>
        </w:rPr>
        <w:t>售后标准：</w:t>
      </w:r>
      <w:r>
        <w:rPr>
          <w:rFonts w:hint="eastAsia" w:ascii="宋体" w:hAnsi="宋体" w:cs="宋体"/>
          <w:b w:val="0"/>
          <w:bCs w:val="0"/>
          <w:color w:val="auto"/>
          <w:sz w:val="24"/>
        </w:rPr>
        <w:t>提供3年的免费运维服务；在免费运维期内，必须提供7*24小时热线支持，并提供紧急情况下1小时内到现场、一般情况下2小时内到现场的快速响应。特殊情况无法修复的，质保期内中标供应商应无条件更换新系统或采取使系统可正常运转的措施。</w:t>
      </w:r>
    </w:p>
    <w:p w14:paraId="5AF7658A">
      <w:pPr>
        <w:spacing w:line="360" w:lineRule="auto"/>
        <w:rPr>
          <w:rFonts w:hint="eastAsia" w:ascii="宋体" w:hAnsi="宋体" w:cs="宋体"/>
          <w:b/>
          <w:bCs/>
          <w:color w:val="auto"/>
          <w:sz w:val="24"/>
        </w:rPr>
      </w:pPr>
      <w:r>
        <w:rPr>
          <w:rFonts w:hint="eastAsia" w:ascii="宋体" w:hAnsi="宋体" w:cs="宋体"/>
          <w:b/>
          <w:bCs/>
          <w:color w:val="auto"/>
          <w:sz w:val="24"/>
        </w:rPr>
        <w:t>付款方式：</w:t>
      </w:r>
      <w:r>
        <w:rPr>
          <w:rFonts w:hint="eastAsia" w:ascii="宋体" w:hAnsi="宋体" w:cs="宋体"/>
          <w:b w:val="0"/>
          <w:bCs w:val="0"/>
          <w:color w:val="auto"/>
          <w:sz w:val="24"/>
        </w:rPr>
        <w:t>合同签订后，供货方先向采购方开具符合采购方财务需要的等额增值税普通发票。甲方收到上述发票后 7 日内，向供货方支付 50%合同额。系统和各类设施设备到货、</w:t>
      </w:r>
      <w:r>
        <w:rPr>
          <w:rFonts w:hint="eastAsia" w:ascii="宋体" w:hAnsi="宋体" w:cs="宋体"/>
          <w:b w:val="0"/>
          <w:bCs w:val="0"/>
          <w:color w:val="auto"/>
          <w:sz w:val="24"/>
          <w:lang w:val="en-US" w:eastAsia="zh-CN"/>
        </w:rPr>
        <w:t>安装</w:t>
      </w:r>
      <w:r>
        <w:rPr>
          <w:rFonts w:hint="eastAsia" w:ascii="宋体" w:hAnsi="宋体" w:cs="宋体"/>
          <w:b w:val="0"/>
          <w:bCs w:val="0"/>
          <w:color w:val="auto"/>
          <w:sz w:val="24"/>
        </w:rPr>
        <w:t>调试完毕并验收合格，经采购方确认能够正常使用且内容、质量无误之后，支付剩余合同金额50%。</w:t>
      </w:r>
    </w:p>
    <w:p w14:paraId="716E29A5">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eastAsia="宋体"/>
          <w:b/>
          <w:bCs/>
          <w:snapToGrid w:val="0"/>
          <w:color w:val="auto"/>
          <w:sz w:val="24"/>
          <w:szCs w:val="24"/>
          <w:highlight w:val="none"/>
          <w:lang w:val="en-US" w:eastAsia="zh-CN"/>
        </w:rPr>
        <w:br w:type="page"/>
      </w:r>
    </w:p>
    <w:p w14:paraId="7211797B">
      <w:pPr>
        <w:pStyle w:val="37"/>
        <w:wordWrap w:val="0"/>
        <w:spacing w:before="0" w:after="0" w:line="360" w:lineRule="auto"/>
        <w:rPr>
          <w:rFonts w:ascii="宋体" w:hAnsi="宋体" w:cs="宋体"/>
          <w:color w:val="auto"/>
          <w:sz w:val="36"/>
          <w:szCs w:val="36"/>
          <w:highlight w:val="none"/>
        </w:rPr>
      </w:pPr>
      <w:bookmarkStart w:id="35" w:name="_Toc529282264"/>
      <w:bookmarkStart w:id="36" w:name="_Toc12680"/>
      <w:r>
        <w:rPr>
          <w:rFonts w:hint="eastAsia" w:ascii="宋体" w:hAnsi="宋体" w:cs="宋体"/>
          <w:color w:val="auto"/>
          <w:sz w:val="36"/>
          <w:szCs w:val="36"/>
          <w:highlight w:val="none"/>
        </w:rPr>
        <w:t>第六章  投标文件格式</w:t>
      </w:r>
      <w:bookmarkEnd w:id="35"/>
      <w:bookmarkEnd w:id="36"/>
    </w:p>
    <w:p w14:paraId="04A0442C">
      <w:pPr>
        <w:pStyle w:val="89"/>
        <w:wordWrap w:val="0"/>
        <w:spacing w:line="360" w:lineRule="auto"/>
        <w:ind w:hanging="23"/>
        <w:jc w:val="center"/>
        <w:rPr>
          <w:rFonts w:ascii="宋体" w:hAnsi="宋体" w:cs="宋体"/>
          <w:b/>
          <w:iCs/>
          <w:color w:val="auto"/>
          <w:sz w:val="36"/>
          <w:szCs w:val="36"/>
          <w:highlight w:val="none"/>
        </w:rPr>
      </w:pPr>
    </w:p>
    <w:p w14:paraId="5365239D">
      <w:pPr>
        <w:pStyle w:val="89"/>
        <w:wordWrap w:val="0"/>
        <w:spacing w:line="360" w:lineRule="auto"/>
        <w:ind w:hanging="23"/>
        <w:jc w:val="center"/>
        <w:rPr>
          <w:rFonts w:ascii="宋体" w:hAnsi="宋体" w:cs="宋体"/>
          <w:b/>
          <w:iCs/>
          <w:color w:val="auto"/>
          <w:sz w:val="36"/>
          <w:szCs w:val="36"/>
          <w:highlight w:val="none"/>
        </w:rPr>
      </w:pPr>
    </w:p>
    <w:p w14:paraId="42E61183">
      <w:pPr>
        <w:pStyle w:val="89"/>
        <w:wordWrap w:val="0"/>
        <w:spacing w:line="360" w:lineRule="auto"/>
        <w:ind w:hanging="23"/>
        <w:jc w:val="center"/>
        <w:rPr>
          <w:rFonts w:ascii="宋体" w:hAnsi="宋体" w:cs="宋体"/>
          <w:b/>
          <w:iCs/>
          <w:color w:val="auto"/>
          <w:sz w:val="36"/>
          <w:szCs w:val="36"/>
          <w:highlight w:val="none"/>
        </w:rPr>
      </w:pPr>
    </w:p>
    <w:p w14:paraId="52EF4FA7">
      <w:pPr>
        <w:pStyle w:val="89"/>
        <w:wordWrap w:val="0"/>
        <w:spacing w:line="360" w:lineRule="auto"/>
        <w:ind w:hanging="23"/>
        <w:jc w:val="center"/>
        <w:rPr>
          <w:rFonts w:ascii="宋体" w:hAnsi="宋体" w:cs="宋体"/>
          <w:b/>
          <w:iCs/>
          <w:color w:val="auto"/>
          <w:sz w:val="36"/>
          <w:szCs w:val="36"/>
          <w:highlight w:val="none"/>
        </w:rPr>
      </w:pPr>
    </w:p>
    <w:p w14:paraId="69D9C8CD">
      <w:pPr>
        <w:pStyle w:val="89"/>
        <w:wordWrap w:val="0"/>
        <w:spacing w:line="360" w:lineRule="auto"/>
        <w:ind w:hanging="23"/>
        <w:jc w:val="center"/>
        <w:outlineLvl w:val="0"/>
        <w:rPr>
          <w:rFonts w:ascii="宋体" w:hAnsi="宋体" w:cs="宋体"/>
          <w:b/>
          <w:iCs/>
          <w:color w:val="auto"/>
          <w:sz w:val="36"/>
          <w:szCs w:val="36"/>
          <w:highlight w:val="none"/>
        </w:rPr>
      </w:pPr>
      <w:bookmarkStart w:id="37" w:name="_Toc25370"/>
      <w:r>
        <w:rPr>
          <w:rFonts w:hint="eastAsia" w:ascii="宋体" w:hAnsi="宋体" w:cs="宋体"/>
          <w:b/>
          <w:iCs/>
          <w:color w:val="auto"/>
          <w:sz w:val="36"/>
          <w:szCs w:val="36"/>
          <w:highlight w:val="none"/>
        </w:rPr>
        <w:t>XXXXX项目</w:t>
      </w:r>
      <w:bookmarkEnd w:id="37"/>
    </w:p>
    <w:p w14:paraId="1B698247">
      <w:pPr>
        <w:pStyle w:val="89"/>
        <w:wordWrap w:val="0"/>
        <w:spacing w:line="360" w:lineRule="auto"/>
        <w:jc w:val="center"/>
        <w:outlineLvl w:val="0"/>
        <w:rPr>
          <w:rFonts w:ascii="宋体" w:hAnsi="宋体" w:cs="宋体"/>
          <w:color w:val="auto"/>
          <w:sz w:val="36"/>
          <w:szCs w:val="36"/>
          <w:highlight w:val="none"/>
        </w:rPr>
      </w:pPr>
      <w:bookmarkStart w:id="38" w:name="_Toc31392"/>
      <w:r>
        <w:rPr>
          <w:rFonts w:hint="eastAsia" w:ascii="宋体" w:hAnsi="宋体" w:cs="宋体"/>
          <w:b/>
          <w:color w:val="auto"/>
          <w:sz w:val="36"/>
          <w:szCs w:val="36"/>
          <w:highlight w:val="none"/>
        </w:rPr>
        <w:t>投 标 文 件</w:t>
      </w:r>
      <w:bookmarkEnd w:id="38"/>
    </w:p>
    <w:p w14:paraId="796C37AA">
      <w:pPr>
        <w:pStyle w:val="89"/>
        <w:wordWrap w:val="0"/>
        <w:spacing w:line="360" w:lineRule="auto"/>
        <w:jc w:val="center"/>
        <w:rPr>
          <w:rFonts w:ascii="宋体" w:hAnsi="宋体" w:cs="宋体"/>
          <w:color w:val="auto"/>
          <w:highlight w:val="none"/>
        </w:rPr>
      </w:pPr>
    </w:p>
    <w:p w14:paraId="55743FD1">
      <w:pPr>
        <w:pStyle w:val="89"/>
        <w:wordWrap w:val="0"/>
        <w:spacing w:line="360" w:lineRule="auto"/>
        <w:ind w:firstLine="567"/>
        <w:jc w:val="both"/>
        <w:rPr>
          <w:rFonts w:ascii="宋体" w:hAnsi="宋体" w:cs="宋体"/>
          <w:color w:val="auto"/>
          <w:sz w:val="44"/>
          <w:highlight w:val="none"/>
        </w:rPr>
      </w:pPr>
    </w:p>
    <w:p w14:paraId="1E26C0F3">
      <w:pPr>
        <w:pStyle w:val="89"/>
        <w:wordWrap w:val="0"/>
        <w:spacing w:line="360" w:lineRule="auto"/>
        <w:ind w:firstLine="567"/>
        <w:jc w:val="both"/>
        <w:rPr>
          <w:rFonts w:ascii="宋体" w:hAnsi="宋体" w:cs="宋体"/>
          <w:color w:val="auto"/>
          <w:sz w:val="44"/>
          <w:highlight w:val="none"/>
        </w:rPr>
      </w:pPr>
    </w:p>
    <w:p w14:paraId="6D5A53DC">
      <w:pPr>
        <w:pStyle w:val="89"/>
        <w:wordWrap w:val="0"/>
        <w:spacing w:line="360" w:lineRule="auto"/>
        <w:ind w:firstLine="567"/>
        <w:jc w:val="both"/>
        <w:rPr>
          <w:rFonts w:ascii="宋体" w:hAnsi="宋体" w:cs="宋体"/>
          <w:color w:val="auto"/>
          <w:sz w:val="44"/>
          <w:highlight w:val="none"/>
        </w:rPr>
      </w:pPr>
    </w:p>
    <w:p w14:paraId="54F56A57">
      <w:pPr>
        <w:pStyle w:val="89"/>
        <w:wordWrap w:val="0"/>
        <w:spacing w:line="360" w:lineRule="auto"/>
        <w:ind w:firstLine="567"/>
        <w:jc w:val="both"/>
        <w:rPr>
          <w:rFonts w:ascii="宋体" w:hAnsi="宋体" w:cs="宋体"/>
          <w:color w:val="auto"/>
          <w:sz w:val="44"/>
          <w:highlight w:val="none"/>
        </w:rPr>
      </w:pPr>
    </w:p>
    <w:p w14:paraId="78FA07F7">
      <w:pPr>
        <w:pStyle w:val="89"/>
        <w:wordWrap w:val="0"/>
        <w:spacing w:line="360" w:lineRule="auto"/>
        <w:ind w:firstLine="567"/>
        <w:jc w:val="both"/>
        <w:rPr>
          <w:rFonts w:ascii="宋体" w:hAnsi="宋体" w:cs="宋体"/>
          <w:color w:val="auto"/>
          <w:sz w:val="44"/>
          <w:highlight w:val="none"/>
        </w:rPr>
      </w:pPr>
    </w:p>
    <w:p w14:paraId="4A98B1BC">
      <w:pPr>
        <w:wordWrap w:val="0"/>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p>
    <w:p w14:paraId="7D0E33B8">
      <w:pPr>
        <w:pStyle w:val="89"/>
        <w:wordWrap w:val="0"/>
        <w:ind w:firstLine="560" w:firstLineChars="200"/>
        <w:jc w:val="both"/>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67444F20">
      <w:pPr>
        <w:wordWrap w:val="0"/>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招标内容：                                         </w:t>
      </w:r>
    </w:p>
    <w:p w14:paraId="5592FB58">
      <w:pPr>
        <w:wordWrap w:val="0"/>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投标人名称：</w:t>
      </w:r>
      <w:r>
        <w:rPr>
          <w:rFonts w:hint="eastAsia" w:ascii="宋体" w:hAnsi="宋体" w:cs="宋体"/>
          <w:color w:val="auto"/>
          <w:kern w:val="0"/>
          <w:sz w:val="28"/>
          <w:szCs w:val="28"/>
          <w:highlight w:val="none"/>
          <w:u w:val="single"/>
        </w:rPr>
        <w:t xml:space="preserve">                             （加盖公章） </w:t>
      </w:r>
    </w:p>
    <w:p w14:paraId="28F307FB">
      <w:pPr>
        <w:wordWrap w:val="0"/>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投标人地址：                                         </w:t>
      </w:r>
    </w:p>
    <w:p w14:paraId="2D4EBCA8">
      <w:pPr>
        <w:wordWrap w:val="0"/>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投标人授权代表：                电话：                 </w:t>
      </w:r>
    </w:p>
    <w:p w14:paraId="292E9C61">
      <w:pPr>
        <w:pStyle w:val="89"/>
        <w:wordWrap w:val="0"/>
        <w:spacing w:line="360" w:lineRule="auto"/>
        <w:ind w:firstLine="567"/>
        <w:jc w:val="both"/>
        <w:rPr>
          <w:rFonts w:ascii="宋体" w:hAnsi="宋体" w:cs="宋体"/>
          <w:color w:val="auto"/>
          <w:highlight w:val="none"/>
        </w:rPr>
      </w:pPr>
    </w:p>
    <w:p w14:paraId="5200F712">
      <w:pPr>
        <w:pStyle w:val="89"/>
        <w:wordWrap w:val="0"/>
        <w:spacing w:line="360" w:lineRule="auto"/>
        <w:ind w:firstLine="4819"/>
        <w:jc w:val="both"/>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5CC94E1B">
      <w:pPr>
        <w:wordWrap w:val="0"/>
        <w:adjustRightInd w:val="0"/>
        <w:spacing w:line="360" w:lineRule="auto"/>
        <w:rPr>
          <w:rFonts w:ascii="宋体" w:hAnsi="宋体" w:cs="宋体"/>
          <w:b/>
          <w:color w:val="auto"/>
          <w:highlight w:val="none"/>
        </w:rPr>
      </w:pPr>
      <w:r>
        <w:rPr>
          <w:rFonts w:hint="eastAsia" w:ascii="宋体" w:hAnsi="宋体" w:cs="宋体"/>
          <w:b/>
          <w:color w:val="auto"/>
          <w:highlight w:val="none"/>
        </w:rPr>
        <w:br w:type="page"/>
      </w:r>
    </w:p>
    <w:p w14:paraId="541582F8">
      <w:pPr>
        <w:wordWrap w:val="0"/>
        <w:adjustRightIn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4D452AB3">
      <w:pPr>
        <w:wordWrap w:val="0"/>
        <w:adjustRightInd w:val="0"/>
        <w:spacing w:line="360" w:lineRule="auto"/>
        <w:ind w:firstLine="480" w:firstLineChars="200"/>
        <w:rPr>
          <w:rFonts w:ascii="宋体" w:hAnsi="宋体" w:cs="宋体"/>
          <w:color w:val="auto"/>
          <w:kern w:val="0"/>
          <w:sz w:val="24"/>
          <w:szCs w:val="24"/>
          <w:highlight w:val="none"/>
        </w:rPr>
      </w:pPr>
    </w:p>
    <w:p w14:paraId="57CF31D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一、投标函</w:t>
      </w:r>
    </w:p>
    <w:p w14:paraId="51F8F40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二、投标保证金</w:t>
      </w:r>
    </w:p>
    <w:p w14:paraId="08E5E9A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三、联合体协议书（本项目不适用）</w:t>
      </w:r>
    </w:p>
    <w:p w14:paraId="28286DF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四、开标一览表及投标报价明细表</w:t>
      </w:r>
    </w:p>
    <w:p w14:paraId="1A00B16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五、投标投标人基本情况表</w:t>
      </w:r>
    </w:p>
    <w:p w14:paraId="493A60E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六、资格审查资料</w:t>
      </w:r>
    </w:p>
    <w:p w14:paraId="4E803D6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七、类似项目业绩表</w:t>
      </w:r>
    </w:p>
    <w:p w14:paraId="1A02E84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八、服务承诺书</w:t>
      </w:r>
    </w:p>
    <w:p w14:paraId="7E97F10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九、技术/商务响应与偏离表</w:t>
      </w:r>
    </w:p>
    <w:p w14:paraId="725A9EF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十、投标人自行编写的技术文件</w:t>
      </w:r>
    </w:p>
    <w:p w14:paraId="2CD9AD1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十一、投标人自行编写的服务方案</w:t>
      </w:r>
    </w:p>
    <w:p w14:paraId="3FABFDB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十二、投标人认为需要提供的其他资料</w:t>
      </w:r>
    </w:p>
    <w:p w14:paraId="0A5778A4">
      <w:pPr>
        <w:pStyle w:val="89"/>
        <w:wordWrap w:val="0"/>
        <w:spacing w:line="360" w:lineRule="auto"/>
        <w:jc w:val="center"/>
        <w:outlineLvl w:val="0"/>
        <w:rPr>
          <w:rFonts w:ascii="宋体" w:hAnsi="宋体" w:cs="宋体"/>
          <w:b/>
          <w:bCs/>
          <w:color w:val="auto"/>
          <w:sz w:val="36"/>
          <w:highlight w:val="none"/>
        </w:rPr>
      </w:pPr>
      <w:r>
        <w:rPr>
          <w:rFonts w:hint="eastAsia" w:ascii="宋体" w:hAnsi="宋体" w:cs="宋体"/>
          <w:b/>
          <w:color w:val="auto"/>
          <w:highlight w:val="none"/>
        </w:rPr>
        <w:br w:type="page"/>
      </w:r>
      <w:bookmarkStart w:id="39" w:name="_Toc11409"/>
      <w:r>
        <w:rPr>
          <w:rFonts w:hint="eastAsia" w:ascii="宋体" w:hAnsi="宋体" w:cs="宋体"/>
          <w:b/>
          <w:bCs/>
          <w:color w:val="auto"/>
          <w:sz w:val="36"/>
          <w:highlight w:val="none"/>
        </w:rPr>
        <w:t>一、投 标 函</w:t>
      </w:r>
      <w:bookmarkEnd w:id="39"/>
    </w:p>
    <w:p w14:paraId="78046840">
      <w:pPr>
        <w:pStyle w:val="89"/>
        <w:wordWrap w:val="0"/>
        <w:spacing w:line="44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致              </w:t>
      </w:r>
      <w:r>
        <w:rPr>
          <w:rFonts w:hint="eastAsia" w:ascii="宋体" w:hAnsi="宋体" w:cs="宋体"/>
          <w:color w:val="auto"/>
          <w:sz w:val="21"/>
          <w:szCs w:val="21"/>
          <w:highlight w:val="none"/>
        </w:rPr>
        <w:t>（招标人名称）：</w:t>
      </w:r>
    </w:p>
    <w:p w14:paraId="547C72C9">
      <w:pPr>
        <w:wordWrap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招标采购的</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 xml:space="preserve">（项目编号：         </w:t>
      </w:r>
      <w:r>
        <w:rPr>
          <w:rFonts w:hint="eastAsia" w:ascii="宋体" w:hAnsi="宋体" w:cs="宋体"/>
          <w:color w:val="auto"/>
          <w:szCs w:val="21"/>
          <w:highlight w:val="none"/>
          <w:u w:val="single"/>
        </w:rPr>
        <w:t xml:space="preserve">）（标段号： ） </w:t>
      </w:r>
      <w:r>
        <w:rPr>
          <w:rFonts w:hint="eastAsia" w:ascii="宋体" w:hAnsi="宋体" w:cs="宋体"/>
          <w:bCs/>
          <w:color w:val="auto"/>
          <w:szCs w:val="21"/>
          <w:highlight w:val="none"/>
          <w:u w:val="single"/>
        </w:rPr>
        <w:t>招标文件</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（全名、职务），经正式授权并代表投标人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（投标人名称、地址），宣布同意如下条款：</w:t>
      </w:r>
    </w:p>
    <w:p w14:paraId="2440AD80">
      <w:pPr>
        <w:numPr>
          <w:ilvl w:val="0"/>
          <w:numId w:val="1"/>
        </w:num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按《投标人须知前附表》规定的份数提交投标文件。</w:t>
      </w:r>
    </w:p>
    <w:p w14:paraId="63A8A580">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二、确认下述条款：</w:t>
      </w:r>
    </w:p>
    <w:p w14:paraId="382B21F6">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⒈ 投标总报价为：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w:t>
      </w:r>
    </w:p>
    <w:p w14:paraId="3A1B62B1">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⒉ 提交的投标保证金金额为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w:t>
      </w:r>
    </w:p>
    <w:p w14:paraId="4D154AC4">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⒊ 我们将按招标文件的规定履行合同责任和义务。</w:t>
      </w:r>
    </w:p>
    <w:p w14:paraId="3237CA01">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⒋ 我们已详细阅读了全部招标文件，包括修改文件（如有的话）以及全部参考资料和有关附件。我们完全理解并同意放弃对这方面不明及误解的权利。</w:t>
      </w:r>
    </w:p>
    <w:p w14:paraId="58EDFFD4">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⒌ 我们同意按招标文件中的规定，此项投标自开标之日起有效期为90天。</w:t>
      </w:r>
    </w:p>
    <w:p w14:paraId="56A7A672">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⒍ 如果在上述投标文件有效期内，我们撤回投标，我们同意招标人和采购代理机构没收我们的投标保证金。</w:t>
      </w:r>
    </w:p>
    <w:p w14:paraId="5611E8A9">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⒎ 我们同意提供招标人和采购代理机构要求的与本次投标有关的一切资料。</w:t>
      </w:r>
    </w:p>
    <w:p w14:paraId="1239BFC2">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⒏ 我们完全理解并尊重招标人和采购代理机构不一定要接受最低价投标和拒绝所有投标的权利。</w:t>
      </w:r>
    </w:p>
    <w:p w14:paraId="0A64A58C">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三、需要说明的事项：</w:t>
      </w:r>
    </w:p>
    <w:p w14:paraId="0B878A2B">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（如有，由投标人自行叙述）</w:t>
      </w:r>
    </w:p>
    <w:p w14:paraId="4A3EDB02">
      <w:pPr>
        <w:numPr>
          <w:ilvl w:val="0"/>
          <w:numId w:val="2"/>
        </w:num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与本次投标有关的正式通讯地址为：</w:t>
      </w:r>
    </w:p>
    <w:p w14:paraId="6212A2D0">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单位名称：</w:t>
      </w:r>
    </w:p>
    <w:p w14:paraId="409154D4">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p>
    <w:p w14:paraId="42E92530">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w:t>
      </w:r>
    </w:p>
    <w:p w14:paraId="0C495929">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p>
    <w:p w14:paraId="64183D74">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14:paraId="0B9F55D6">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w:t>
      </w:r>
    </w:p>
    <w:p w14:paraId="75F225AF">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1510C185">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12C9EC6A">
      <w:pPr>
        <w:wordWrap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8AAFF05">
      <w:pPr>
        <w:pStyle w:val="89"/>
        <w:wordWrap w:val="0"/>
        <w:spacing w:line="360" w:lineRule="auto"/>
        <w:jc w:val="center"/>
        <w:outlineLvl w:val="0"/>
        <w:rPr>
          <w:rFonts w:ascii="宋体" w:hAnsi="宋体" w:cs="宋体"/>
          <w:b/>
          <w:color w:val="auto"/>
          <w:sz w:val="36"/>
          <w:highlight w:val="none"/>
        </w:rPr>
      </w:pPr>
      <w:r>
        <w:rPr>
          <w:rFonts w:hint="eastAsia" w:ascii="宋体" w:hAnsi="宋体" w:cs="宋体"/>
          <w:color w:val="auto"/>
          <w:highlight w:val="none"/>
        </w:rPr>
        <w:br w:type="page"/>
      </w:r>
      <w:bookmarkStart w:id="40" w:name="_Toc12964"/>
      <w:r>
        <w:rPr>
          <w:rFonts w:hint="eastAsia" w:ascii="宋体" w:hAnsi="宋体" w:cs="宋体"/>
          <w:b/>
          <w:color w:val="auto"/>
          <w:sz w:val="36"/>
          <w:highlight w:val="none"/>
        </w:rPr>
        <w:t>法定代表人身份证明</w:t>
      </w:r>
      <w:bookmarkEnd w:id="40"/>
    </w:p>
    <w:p w14:paraId="3991599C">
      <w:pPr>
        <w:pStyle w:val="89"/>
        <w:wordWrap w:val="0"/>
        <w:spacing w:line="360" w:lineRule="auto"/>
        <w:rPr>
          <w:rFonts w:ascii="宋体" w:hAnsi="宋体" w:cs="宋体"/>
          <w:b/>
          <w:bCs/>
          <w:color w:val="auto"/>
          <w:highlight w:val="none"/>
        </w:rPr>
      </w:pPr>
    </w:p>
    <w:p w14:paraId="3790435B">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u w:val="single"/>
        </w:rPr>
        <w:t xml:space="preserve">                                          </w:t>
      </w:r>
    </w:p>
    <w:p w14:paraId="22232A8E">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  册  号：</w:t>
      </w:r>
      <w:r>
        <w:rPr>
          <w:rFonts w:hint="eastAsia" w:ascii="宋体" w:hAnsi="宋体" w:cs="宋体"/>
          <w:color w:val="auto"/>
          <w:sz w:val="21"/>
          <w:szCs w:val="21"/>
          <w:highlight w:val="none"/>
          <w:u w:val="single"/>
        </w:rPr>
        <w:t xml:space="preserve">                                          </w:t>
      </w:r>
    </w:p>
    <w:p w14:paraId="3977D946">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 册 地址：</w:t>
      </w:r>
      <w:r>
        <w:rPr>
          <w:rFonts w:hint="eastAsia" w:ascii="宋体" w:hAnsi="宋体" w:cs="宋体"/>
          <w:color w:val="auto"/>
          <w:sz w:val="21"/>
          <w:szCs w:val="21"/>
          <w:highlight w:val="none"/>
          <w:u w:val="single"/>
        </w:rPr>
        <w:t xml:space="preserve">                                          </w:t>
      </w:r>
    </w:p>
    <w:p w14:paraId="3A0ADD82">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成 立 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0263379F">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经 营 期限：</w:t>
      </w:r>
      <w:r>
        <w:rPr>
          <w:rFonts w:hint="eastAsia" w:ascii="宋体" w:hAnsi="宋体" w:cs="宋体"/>
          <w:color w:val="auto"/>
          <w:sz w:val="21"/>
          <w:szCs w:val="21"/>
          <w:highlight w:val="none"/>
          <w:u w:val="single"/>
        </w:rPr>
        <w:t xml:space="preserve">                                          </w:t>
      </w:r>
    </w:p>
    <w:p w14:paraId="09EE0D56">
      <w:pPr>
        <w:pStyle w:val="89"/>
        <w:wordWrap w:val="0"/>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经营范围：   主营：</w:t>
      </w:r>
      <w:r>
        <w:rPr>
          <w:rFonts w:hint="eastAsia" w:ascii="宋体" w:hAnsi="宋体" w:cs="宋体"/>
          <w:b/>
          <w:bCs/>
          <w:i/>
          <w:iCs/>
          <w:color w:val="auto"/>
          <w:sz w:val="21"/>
          <w:szCs w:val="21"/>
          <w:highlight w:val="none"/>
          <w:u w:val="single"/>
        </w:rPr>
        <w:t xml:space="preserve">             </w:t>
      </w:r>
      <w:r>
        <w:rPr>
          <w:rFonts w:hint="eastAsia" w:ascii="宋体" w:hAnsi="宋体" w:cs="宋体"/>
          <w:color w:val="auto"/>
          <w:sz w:val="21"/>
          <w:szCs w:val="21"/>
          <w:highlight w:val="none"/>
        </w:rPr>
        <w:t>；兼营：</w:t>
      </w:r>
      <w:r>
        <w:rPr>
          <w:rFonts w:hint="eastAsia" w:ascii="宋体" w:hAnsi="宋体" w:cs="宋体"/>
          <w:color w:val="auto"/>
          <w:sz w:val="21"/>
          <w:szCs w:val="21"/>
          <w:highlight w:val="none"/>
          <w:u w:val="single"/>
        </w:rPr>
        <w:t xml:space="preserve">              </w:t>
      </w:r>
    </w:p>
    <w:p w14:paraId="5855DC49">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性别：</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系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（投标人名称）的法定代表人。</w:t>
      </w:r>
    </w:p>
    <w:p w14:paraId="03ACE4A2">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特此证明。</w:t>
      </w:r>
    </w:p>
    <w:p w14:paraId="65DFDA77">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附：法定代表人身份证复印件。</w:t>
      </w:r>
    </w:p>
    <w:p w14:paraId="1FF77163">
      <w:pPr>
        <w:pStyle w:val="89"/>
        <w:wordWrap w:val="0"/>
        <w:spacing w:line="360" w:lineRule="auto"/>
        <w:rPr>
          <w:rFonts w:ascii="宋体" w:hAnsi="宋体" w:cs="宋体"/>
          <w:color w:val="auto"/>
          <w:sz w:val="21"/>
          <w:szCs w:val="21"/>
          <w:highlight w:val="none"/>
        </w:rPr>
      </w:pPr>
    </w:p>
    <w:p w14:paraId="783F4F9F">
      <w:pPr>
        <w:pStyle w:val="89"/>
        <w:wordWrap w:val="0"/>
        <w:spacing w:line="360" w:lineRule="auto"/>
        <w:rPr>
          <w:rFonts w:ascii="宋体" w:hAnsi="宋体" w:cs="宋体"/>
          <w:color w:val="auto"/>
          <w:sz w:val="21"/>
          <w:szCs w:val="21"/>
          <w:highlight w:val="none"/>
        </w:rPr>
      </w:pPr>
    </w:p>
    <w:p w14:paraId="01B9CA34">
      <w:pPr>
        <w:pStyle w:val="89"/>
        <w:wordWrap w:val="0"/>
        <w:spacing w:line="360" w:lineRule="auto"/>
        <w:rPr>
          <w:rFonts w:ascii="宋体" w:hAnsi="宋体" w:cs="宋体"/>
          <w:color w:val="auto"/>
          <w:sz w:val="21"/>
          <w:szCs w:val="21"/>
          <w:highlight w:val="none"/>
        </w:rPr>
      </w:pPr>
    </w:p>
    <w:p w14:paraId="17D9F1C4">
      <w:pPr>
        <w:pStyle w:val="89"/>
        <w:wordWrap w:val="0"/>
        <w:spacing w:line="360" w:lineRule="auto"/>
        <w:rPr>
          <w:rFonts w:ascii="宋体" w:hAnsi="宋体" w:cs="宋体"/>
          <w:color w:val="auto"/>
          <w:sz w:val="21"/>
          <w:szCs w:val="21"/>
          <w:highlight w:val="none"/>
        </w:rPr>
      </w:pPr>
    </w:p>
    <w:p w14:paraId="61E6C933">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535D5A3E">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4A2A403D">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408BDF6">
      <w:pPr>
        <w:pStyle w:val="89"/>
        <w:wordWrap w:val="0"/>
        <w:spacing w:line="360" w:lineRule="auto"/>
        <w:rPr>
          <w:rFonts w:ascii="宋体" w:hAnsi="宋体" w:cs="宋体"/>
          <w:color w:val="auto"/>
          <w:sz w:val="21"/>
          <w:szCs w:val="21"/>
          <w:highlight w:val="none"/>
        </w:rPr>
      </w:pPr>
    </w:p>
    <w:p w14:paraId="32308456">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注：由代理人签署投标文件的无需提供此文件。</w:t>
      </w:r>
    </w:p>
    <w:p w14:paraId="657E6814">
      <w:pPr>
        <w:pStyle w:val="190"/>
        <w:wordWrap w:val="0"/>
        <w:spacing w:line="440" w:lineRule="exact"/>
        <w:ind w:firstLine="400" w:firstLineChars="200"/>
        <w:jc w:val="center"/>
        <w:rPr>
          <w:rFonts w:ascii="宋体" w:hAnsi="宋体" w:cs="宋体"/>
          <w:color w:val="auto"/>
          <w:highlight w:val="none"/>
        </w:rPr>
      </w:pPr>
    </w:p>
    <w:p w14:paraId="192045CE">
      <w:pPr>
        <w:pStyle w:val="190"/>
        <w:wordWrap w:val="0"/>
        <w:spacing w:line="440" w:lineRule="exact"/>
        <w:ind w:firstLine="400" w:firstLineChars="200"/>
        <w:jc w:val="center"/>
        <w:outlineLvl w:val="0"/>
        <w:rPr>
          <w:rFonts w:ascii="宋体" w:hAnsi="宋体" w:cs="宋体"/>
          <w:color w:val="auto"/>
          <w:sz w:val="36"/>
          <w:highlight w:val="none"/>
        </w:rPr>
      </w:pPr>
      <w:r>
        <w:rPr>
          <w:rFonts w:hint="eastAsia" w:ascii="宋体" w:hAnsi="宋体" w:cs="宋体"/>
          <w:color w:val="auto"/>
          <w:highlight w:val="none"/>
        </w:rPr>
        <w:br w:type="page"/>
      </w:r>
      <w:bookmarkStart w:id="41" w:name="_Toc31842"/>
      <w:r>
        <w:rPr>
          <w:rFonts w:hint="eastAsia" w:ascii="宋体" w:hAnsi="宋体" w:cs="宋体"/>
          <w:b/>
          <w:color w:val="auto"/>
          <w:sz w:val="36"/>
          <w:highlight w:val="none"/>
        </w:rPr>
        <w:t>法定代表人授权书</w:t>
      </w:r>
      <w:bookmarkEnd w:id="41"/>
    </w:p>
    <w:p w14:paraId="596008B2">
      <w:pPr>
        <w:pStyle w:val="89"/>
        <w:wordWrap w:val="0"/>
        <w:spacing w:line="360" w:lineRule="auto"/>
        <w:jc w:val="center"/>
        <w:rPr>
          <w:rFonts w:ascii="宋体" w:hAnsi="宋体" w:cs="宋体"/>
          <w:b/>
          <w:color w:val="auto"/>
          <w:highlight w:val="none"/>
        </w:rPr>
      </w:pPr>
    </w:p>
    <w:p w14:paraId="3D8EA6EB">
      <w:pPr>
        <w:pStyle w:val="89"/>
        <w:wordWrap w:val="0"/>
        <w:spacing w:line="360" w:lineRule="auto"/>
        <w:ind w:firstLine="560"/>
        <w:jc w:val="both"/>
        <w:rPr>
          <w:rFonts w:ascii="宋体" w:hAnsi="宋体" w:cs="宋体"/>
          <w:color w:val="auto"/>
          <w:sz w:val="21"/>
          <w:szCs w:val="21"/>
          <w:highlight w:val="none"/>
        </w:rPr>
      </w:pPr>
      <w:r>
        <w:rPr>
          <w:rFonts w:hint="eastAsia" w:ascii="宋体" w:hAnsi="宋体" w:cs="宋体"/>
          <w:color w:val="auto"/>
          <w:sz w:val="21"/>
          <w:szCs w:val="21"/>
          <w:highlight w:val="none"/>
        </w:rPr>
        <w:t>本人</w:t>
      </w:r>
      <w:r>
        <w:rPr>
          <w:rFonts w:hint="eastAsia" w:ascii="宋体" w:hAnsi="宋体" w:cs="宋体"/>
          <w:color w:val="auto"/>
          <w:sz w:val="21"/>
          <w:szCs w:val="21"/>
          <w:highlight w:val="none"/>
          <w:u w:val="single"/>
        </w:rPr>
        <w:t>（姓名、职务）</w:t>
      </w: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（投标人名称）</w:t>
      </w:r>
      <w:r>
        <w:rPr>
          <w:rFonts w:hint="eastAsia" w:ascii="宋体" w:hAnsi="宋体" w:cs="宋体"/>
          <w:color w:val="auto"/>
          <w:sz w:val="21"/>
          <w:szCs w:val="21"/>
          <w:highlight w:val="none"/>
        </w:rPr>
        <w:t>的法定代表人，现授权</w:t>
      </w:r>
      <w:r>
        <w:rPr>
          <w:rFonts w:hint="eastAsia" w:ascii="宋体" w:hAnsi="宋体" w:cs="宋体"/>
          <w:color w:val="auto"/>
          <w:sz w:val="21"/>
          <w:szCs w:val="21"/>
          <w:highlight w:val="none"/>
          <w:u w:val="single"/>
        </w:rPr>
        <w:t>（代理人姓名、职务）</w:t>
      </w:r>
      <w:r>
        <w:rPr>
          <w:rFonts w:hint="eastAsia" w:ascii="宋体" w:hAnsi="宋体" w:cs="宋体"/>
          <w:color w:val="auto"/>
          <w:sz w:val="21"/>
          <w:szCs w:val="21"/>
          <w:highlight w:val="none"/>
        </w:rPr>
        <w:t>为我方代理人。代理人根据授权，以我方名义：（1）签署、澄清、补正、修改、撤回、提交（项目名称、项目编号）投标文件及报价；（2）签订合同和处理有关事宜，其法律后果由我方承担。</w:t>
      </w:r>
    </w:p>
    <w:p w14:paraId="7CEA7D4C">
      <w:pPr>
        <w:pStyle w:val="89"/>
        <w:wordWrap w:val="0"/>
        <w:spacing w:line="360" w:lineRule="auto"/>
        <w:ind w:firstLine="560"/>
        <w:jc w:val="both"/>
        <w:rPr>
          <w:rFonts w:ascii="宋体" w:hAnsi="宋体" w:cs="宋体"/>
          <w:color w:val="auto"/>
          <w:sz w:val="21"/>
          <w:szCs w:val="21"/>
          <w:highlight w:val="none"/>
        </w:rPr>
      </w:pPr>
      <w:r>
        <w:rPr>
          <w:rFonts w:hint="eastAsia" w:ascii="宋体" w:hAnsi="宋体" w:cs="宋体"/>
          <w:color w:val="auto"/>
          <w:sz w:val="21"/>
          <w:szCs w:val="21"/>
          <w:highlight w:val="none"/>
        </w:rPr>
        <w:t>委托期限：。</w:t>
      </w:r>
    </w:p>
    <w:p w14:paraId="27F4731C">
      <w:pPr>
        <w:pStyle w:val="89"/>
        <w:wordWrap w:val="0"/>
        <w:spacing w:line="360" w:lineRule="auto"/>
        <w:ind w:firstLine="560"/>
        <w:jc w:val="both"/>
        <w:rPr>
          <w:rFonts w:ascii="宋体" w:hAnsi="宋体" w:cs="宋体"/>
          <w:color w:val="auto"/>
          <w:sz w:val="21"/>
          <w:szCs w:val="21"/>
          <w:highlight w:val="none"/>
        </w:rPr>
      </w:pPr>
      <w:r>
        <w:rPr>
          <w:rFonts w:hint="eastAsia" w:ascii="宋体" w:hAnsi="宋体" w:cs="宋体"/>
          <w:color w:val="auto"/>
          <w:sz w:val="21"/>
          <w:szCs w:val="21"/>
          <w:highlight w:val="none"/>
        </w:rPr>
        <w:t>代理人无转委托权。</w:t>
      </w:r>
    </w:p>
    <w:p w14:paraId="7D445327">
      <w:pPr>
        <w:pStyle w:val="89"/>
        <w:wordWrap w:val="0"/>
        <w:spacing w:line="360" w:lineRule="auto"/>
        <w:ind w:firstLine="560"/>
        <w:jc w:val="both"/>
        <w:rPr>
          <w:rFonts w:ascii="宋体" w:hAnsi="宋体" w:cs="宋体"/>
          <w:color w:val="auto"/>
          <w:sz w:val="21"/>
          <w:szCs w:val="21"/>
          <w:highlight w:val="none"/>
        </w:rPr>
      </w:pPr>
      <w:r>
        <w:rPr>
          <w:rFonts w:hint="eastAsia" w:ascii="宋体" w:hAnsi="宋体" w:cs="宋体"/>
          <w:color w:val="auto"/>
          <w:sz w:val="21"/>
          <w:szCs w:val="21"/>
          <w:highlight w:val="none"/>
        </w:rPr>
        <w:t>本授权书于年月日签字生效，特此声明。</w:t>
      </w:r>
    </w:p>
    <w:p w14:paraId="2677ED45">
      <w:pPr>
        <w:pStyle w:val="89"/>
        <w:wordWrap w:val="0"/>
        <w:spacing w:line="360" w:lineRule="auto"/>
        <w:ind w:firstLine="422" w:firstLineChars="200"/>
        <w:jc w:val="both"/>
        <w:rPr>
          <w:rFonts w:ascii="宋体" w:hAnsi="宋体" w:cs="宋体"/>
          <w:color w:val="auto"/>
          <w:sz w:val="21"/>
          <w:szCs w:val="21"/>
          <w:highlight w:val="none"/>
        </w:rPr>
      </w:pPr>
      <w:r>
        <w:rPr>
          <w:rFonts w:hint="eastAsia" w:ascii="宋体" w:hAnsi="宋体" w:cs="宋体"/>
          <w:b/>
          <w:bCs/>
          <w:color w:val="auto"/>
          <w:sz w:val="21"/>
          <w:szCs w:val="21"/>
          <w:highlight w:val="none"/>
        </w:rPr>
        <w:t>代理人情况</w:t>
      </w:r>
    </w:p>
    <w:p w14:paraId="0274CB5B">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姓名：        性别：        年龄：        职务：    </w:t>
      </w:r>
    </w:p>
    <w:p w14:paraId="18BB3DD0">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身份证号码：</w:t>
      </w:r>
    </w:p>
    <w:p w14:paraId="5C4C7B11">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电   话：       </w:t>
      </w:r>
    </w:p>
    <w:p w14:paraId="58A2D8F6">
      <w:pPr>
        <w:pStyle w:val="89"/>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附：代理人身份证复印件（正反面）。</w:t>
      </w:r>
    </w:p>
    <w:p w14:paraId="55174BC6">
      <w:pPr>
        <w:pStyle w:val="89"/>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法定代表人身份证复印件（正反面）。</w:t>
      </w:r>
    </w:p>
    <w:p w14:paraId="40B39A58">
      <w:pPr>
        <w:pStyle w:val="89"/>
        <w:wordWrap w:val="0"/>
        <w:spacing w:line="360" w:lineRule="auto"/>
        <w:ind w:firstLine="420" w:firstLineChars="200"/>
        <w:jc w:val="both"/>
        <w:rPr>
          <w:rFonts w:ascii="宋体" w:hAnsi="宋体" w:cs="宋体"/>
          <w:color w:val="auto"/>
          <w:sz w:val="21"/>
          <w:szCs w:val="21"/>
          <w:highlight w:val="none"/>
        </w:rPr>
      </w:pPr>
    </w:p>
    <w:p w14:paraId="7782FE85">
      <w:pPr>
        <w:pStyle w:val="89"/>
        <w:wordWrap w:val="0"/>
        <w:spacing w:line="360" w:lineRule="auto"/>
        <w:rPr>
          <w:rFonts w:ascii="宋体" w:hAnsi="宋体" w:cs="宋体"/>
          <w:b/>
          <w:bCs/>
          <w:color w:val="auto"/>
          <w:sz w:val="21"/>
          <w:szCs w:val="21"/>
          <w:highlight w:val="none"/>
        </w:rPr>
      </w:pPr>
    </w:p>
    <w:p w14:paraId="0BFC6313">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552CBCF0">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法定代表人签字：</w:t>
      </w:r>
    </w:p>
    <w:p w14:paraId="6D5566B8">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委托代理人签字或盖章：</w:t>
      </w:r>
    </w:p>
    <w:p w14:paraId="6AB83712">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3F961E99">
      <w:pPr>
        <w:pStyle w:val="89"/>
        <w:wordWrap w:val="0"/>
        <w:spacing w:line="360" w:lineRule="auto"/>
        <w:rPr>
          <w:rFonts w:ascii="宋体" w:hAnsi="宋体" w:cs="宋体"/>
          <w:color w:val="auto"/>
          <w:sz w:val="21"/>
          <w:szCs w:val="21"/>
          <w:highlight w:val="none"/>
        </w:rPr>
      </w:pPr>
    </w:p>
    <w:p w14:paraId="007B9220">
      <w:pPr>
        <w:pStyle w:val="89"/>
        <w:wordWrap w:val="0"/>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注：此授权书在投标文件正本中应附入原件。</w:t>
      </w:r>
    </w:p>
    <w:p w14:paraId="61530B6D">
      <w:pPr>
        <w:wordWrap w:val="0"/>
        <w:jc w:val="center"/>
        <w:outlineLvl w:val="0"/>
        <w:rPr>
          <w:rFonts w:ascii="宋体" w:hAnsi="宋体" w:cs="宋体"/>
          <w:color w:val="auto"/>
          <w:highlight w:val="none"/>
        </w:rPr>
      </w:pPr>
      <w:r>
        <w:rPr>
          <w:rFonts w:hint="eastAsia" w:ascii="宋体" w:hAnsi="宋体" w:cs="宋体"/>
          <w:b/>
          <w:bCs/>
          <w:color w:val="auto"/>
          <w:highlight w:val="none"/>
        </w:rPr>
        <w:br w:type="page"/>
      </w:r>
      <w:bookmarkStart w:id="42" w:name="_Toc15410"/>
      <w:r>
        <w:rPr>
          <w:rFonts w:hint="eastAsia" w:ascii="宋体" w:hAnsi="宋体" w:cs="宋体"/>
          <w:b/>
          <w:bCs/>
          <w:color w:val="auto"/>
          <w:sz w:val="36"/>
          <w:szCs w:val="36"/>
          <w:highlight w:val="none"/>
        </w:rPr>
        <w:t>二、投标保证金</w:t>
      </w:r>
      <w:bookmarkEnd w:id="42"/>
    </w:p>
    <w:p w14:paraId="41667083">
      <w:pPr>
        <w:wordWrap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投标保证金收据或汇款凭证复印件或投标保函或电子保函凭证</w:t>
      </w:r>
    </w:p>
    <w:p w14:paraId="38B4A393">
      <w:pPr>
        <w:wordWrap w:val="0"/>
        <w:spacing w:line="360" w:lineRule="auto"/>
        <w:jc w:val="left"/>
        <w:rPr>
          <w:rFonts w:ascii="宋体" w:hAnsi="宋体" w:cs="宋体"/>
          <w:b/>
          <w:bCs/>
          <w:color w:val="auto"/>
          <w:sz w:val="24"/>
          <w:szCs w:val="24"/>
          <w:highlight w:val="none"/>
        </w:rPr>
      </w:pPr>
    </w:p>
    <w:p w14:paraId="2492475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投标保证金提交方式为银行电汇或其他方式缴纳，电汇须从投标人基本帐户转出，投标保证金必须在投标截止时间前到指定的帐户，并在汇款单上注明所投项目名称。未领取招标文件、缴纳保证金的投标人不得参与投标，投标保证金以其他方式递交未按规定时间到账的，由投标人自行承担。投标保函和电子保函有关要求见投标人须知前附表。</w:t>
      </w:r>
    </w:p>
    <w:p w14:paraId="38C1E530">
      <w:pPr>
        <w:pStyle w:val="89"/>
        <w:wordWrap w:val="0"/>
        <w:spacing w:line="360" w:lineRule="auto"/>
        <w:jc w:val="center"/>
        <w:rPr>
          <w:rFonts w:ascii="宋体" w:hAnsi="宋体" w:cs="宋体"/>
          <w:b/>
          <w:bCs/>
          <w:color w:val="auto"/>
          <w:highlight w:val="none"/>
        </w:rPr>
      </w:pPr>
    </w:p>
    <w:p w14:paraId="0B5FB1BB">
      <w:pPr>
        <w:wordWrap w:val="0"/>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highlight w:val="none"/>
        </w:rPr>
        <w:br w:type="page"/>
      </w:r>
      <w:bookmarkStart w:id="43" w:name="_Toc21205"/>
      <w:r>
        <w:rPr>
          <w:rFonts w:hint="eastAsia" w:ascii="宋体" w:hAnsi="宋体" w:cs="宋体"/>
          <w:b/>
          <w:bCs/>
          <w:color w:val="auto"/>
          <w:sz w:val="36"/>
          <w:szCs w:val="36"/>
          <w:highlight w:val="none"/>
        </w:rPr>
        <w:t>三、联合体协议书</w:t>
      </w:r>
      <w:bookmarkEnd w:id="43"/>
      <w:r>
        <w:rPr>
          <w:rFonts w:hint="eastAsia" w:ascii="宋体" w:hAnsi="宋体" w:cs="宋体"/>
          <w:b/>
          <w:bCs/>
          <w:color w:val="auto"/>
          <w:sz w:val="36"/>
          <w:szCs w:val="36"/>
          <w:highlight w:val="none"/>
        </w:rPr>
        <w:t>（本项目不适用）</w:t>
      </w:r>
    </w:p>
    <w:p w14:paraId="2CC310CA">
      <w:pPr>
        <w:tabs>
          <w:tab w:val="left" w:pos="2202"/>
          <w:tab w:val="left" w:pos="7230"/>
        </w:tabs>
        <w:wordWrap w:val="0"/>
        <w:spacing w:line="360" w:lineRule="auto"/>
        <w:ind w:firstLine="420" w:firstLineChars="200"/>
        <w:rPr>
          <w:rFonts w:ascii="宋体" w:hAnsi="宋体" w:cs="宋体"/>
          <w:color w:val="auto"/>
          <w:szCs w:val="21"/>
          <w:highlight w:val="none"/>
          <w:u w:val="single"/>
        </w:rPr>
      </w:pPr>
    </w:p>
    <w:p w14:paraId="59CAA118">
      <w:pPr>
        <w:tabs>
          <w:tab w:val="left" w:pos="2202"/>
          <w:tab w:val="left" w:pos="723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（项目名称）监理招标项目投标。现就联合体投标事宜订立如下协议。</w:t>
      </w:r>
    </w:p>
    <w:p w14:paraId="246BD0AA">
      <w:pPr>
        <w:numPr>
          <w:ilvl w:val="0"/>
          <w:numId w:val="3"/>
        </w:numPr>
        <w:tabs>
          <w:tab w:val="left" w:pos="2673"/>
          <w:tab w:val="left" w:pos="5954"/>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14:paraId="7911315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联合体各成员授权牵头人代表联合体参加投标活动，签署文件，提交和接收相关的资料、信息及指示，进行合同谈判活动，负责合同实施阶段的组织和协调工作，以及处理与本招标项目有关的一切事宜。</w:t>
      </w:r>
    </w:p>
    <w:p w14:paraId="1362629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联合体牵头人在本项目中签署的一切文件和处理的一切事宜，联合体各成员均予以承认。联合体各成员将严格按照招标文件、投标文件和合同的要求全面履行义务，并向招标人承担连带责任。</w:t>
      </w:r>
    </w:p>
    <w:p w14:paraId="76AA1799">
      <w:pPr>
        <w:tabs>
          <w:tab w:val="left" w:pos="7938"/>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联合体各成员单位内部的职责分工如下：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0C684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本协议书自所有成员单位法定代表人或其委托代理人签字或盖单位章之日起生效，合同履行完毕后自动失效。</w:t>
      </w:r>
    </w:p>
    <w:p w14:paraId="22A76FC8">
      <w:pPr>
        <w:tabs>
          <w:tab w:val="left" w:pos="2464"/>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 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份，联合体成员和招标人各执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14:paraId="66ED2155">
      <w:pPr>
        <w:wordWrap w:val="0"/>
        <w:spacing w:line="360" w:lineRule="auto"/>
        <w:ind w:firstLine="420" w:firstLineChars="200"/>
        <w:rPr>
          <w:rFonts w:ascii="宋体" w:hAnsi="宋体" w:cs="宋体"/>
          <w:color w:val="auto"/>
          <w:szCs w:val="21"/>
          <w:highlight w:val="none"/>
        </w:rPr>
      </w:pPr>
    </w:p>
    <w:p w14:paraId="3E3A2B0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注：本协议书由法定代表人签字的，应附法定代表人身份证明；由委托代理人签字的，应 附授权委托书。</w:t>
      </w:r>
    </w:p>
    <w:p w14:paraId="3E4D4A29">
      <w:pPr>
        <w:wordWrap w:val="0"/>
        <w:spacing w:line="360" w:lineRule="auto"/>
        <w:rPr>
          <w:rFonts w:ascii="宋体" w:hAnsi="宋体" w:cs="宋体"/>
          <w:color w:val="auto"/>
          <w:szCs w:val="21"/>
          <w:highlight w:val="none"/>
        </w:rPr>
      </w:pPr>
    </w:p>
    <w:p w14:paraId="30E5C09E">
      <w:pPr>
        <w:tabs>
          <w:tab w:val="left" w:pos="6804"/>
        </w:tabs>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联合体牵头人名称：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52712FCE">
      <w:pPr>
        <w:tabs>
          <w:tab w:val="left" w:pos="6804"/>
        </w:tabs>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14:paraId="50506BCD">
      <w:pPr>
        <w:tabs>
          <w:tab w:val="left" w:pos="6804"/>
        </w:tabs>
        <w:wordWrap w:val="0"/>
        <w:spacing w:line="360" w:lineRule="auto"/>
        <w:jc w:val="left"/>
        <w:rPr>
          <w:rFonts w:ascii="宋体" w:hAnsi="宋体" w:cs="宋体"/>
          <w:color w:val="auto"/>
          <w:szCs w:val="21"/>
          <w:highlight w:val="none"/>
        </w:rPr>
      </w:pPr>
    </w:p>
    <w:p w14:paraId="1D80EA6F">
      <w:pPr>
        <w:tabs>
          <w:tab w:val="left" w:pos="6804"/>
        </w:tabs>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联合体成员名称：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1377B106">
      <w:pPr>
        <w:tabs>
          <w:tab w:val="left" w:pos="6804"/>
        </w:tabs>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14:paraId="2205C7CD">
      <w:pPr>
        <w:tabs>
          <w:tab w:val="left" w:pos="4538"/>
          <w:tab w:val="left" w:pos="5484"/>
          <w:tab w:val="left" w:pos="6427"/>
        </w:tabs>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AB1EB45">
      <w:pPr>
        <w:pStyle w:val="150"/>
        <w:wordWrap w:val="0"/>
        <w:spacing w:line="360" w:lineRule="auto"/>
        <w:rPr>
          <w:rFonts w:ascii="宋体" w:hAnsi="宋体" w:cs="宋体"/>
          <w:color w:val="auto"/>
          <w:highlight w:val="none"/>
        </w:rPr>
      </w:pPr>
      <w:r>
        <w:rPr>
          <w:rFonts w:hint="eastAsia" w:ascii="宋体" w:hAnsi="宋体" w:cs="宋体"/>
          <w:color w:val="auto"/>
          <w:kern w:val="0"/>
          <w:highlight w:val="none"/>
        </w:rPr>
        <w:t>附联合体成员单位（非牵头人）的</w:t>
      </w:r>
      <w:r>
        <w:rPr>
          <w:rFonts w:hint="eastAsia" w:ascii="宋体" w:hAnsi="宋体" w:cs="宋体"/>
          <w:color w:val="auto"/>
          <w:highlight w:val="none"/>
        </w:rPr>
        <w:t>营业执照。</w:t>
      </w:r>
    </w:p>
    <w:p w14:paraId="57968A33">
      <w:pPr>
        <w:wordWrap w:val="0"/>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bookmarkStart w:id="44" w:name="_Toc17700"/>
      <w:r>
        <w:rPr>
          <w:rFonts w:hint="eastAsia" w:ascii="宋体" w:hAnsi="宋体" w:cs="宋体"/>
          <w:b/>
          <w:bCs/>
          <w:color w:val="auto"/>
          <w:sz w:val="36"/>
          <w:szCs w:val="36"/>
          <w:highlight w:val="none"/>
        </w:rPr>
        <w:t>四、开标一览表及投标报价明细表</w:t>
      </w:r>
      <w:bookmarkEnd w:id="44"/>
    </w:p>
    <w:p w14:paraId="1B2F0E9B">
      <w:pPr>
        <w:wordWrap w:val="0"/>
        <w:spacing w:line="360" w:lineRule="auto"/>
        <w:jc w:val="center"/>
        <w:outlineLvl w:val="0"/>
        <w:rPr>
          <w:rFonts w:ascii="宋体" w:hAnsi="宋体" w:cs="宋体"/>
          <w:b/>
          <w:bCs/>
          <w:color w:val="auto"/>
          <w:sz w:val="36"/>
          <w:szCs w:val="36"/>
          <w:highlight w:val="none"/>
        </w:rPr>
      </w:pPr>
      <w:bookmarkStart w:id="45" w:name="_Toc25157"/>
      <w:r>
        <w:rPr>
          <w:rFonts w:hint="eastAsia" w:ascii="宋体" w:hAnsi="宋体" w:cs="宋体"/>
          <w:b/>
          <w:bCs/>
          <w:color w:val="auto"/>
          <w:sz w:val="36"/>
          <w:szCs w:val="36"/>
          <w:highlight w:val="none"/>
        </w:rPr>
        <w:t>开标一览表</w:t>
      </w:r>
      <w:bookmarkEnd w:id="45"/>
    </w:p>
    <w:p w14:paraId="334F28E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p w14:paraId="66A4905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p w14:paraId="3252920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标段号：</w:t>
      </w:r>
    </w:p>
    <w:tbl>
      <w:tblPr>
        <w:tblStyle w:val="4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470"/>
        <w:gridCol w:w="2041"/>
        <w:gridCol w:w="1605"/>
        <w:gridCol w:w="1138"/>
      </w:tblGrid>
      <w:tr w14:paraId="6112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26" w:hRule="atLeast"/>
          <w:jc w:val="center"/>
        </w:trPr>
        <w:tc>
          <w:tcPr>
            <w:tcW w:w="3470" w:type="dxa"/>
            <w:tcBorders>
              <w:top w:val="single" w:color="auto" w:sz="4" w:space="0"/>
              <w:left w:val="single" w:color="auto" w:sz="4" w:space="0"/>
              <w:bottom w:val="single" w:color="auto" w:sz="4" w:space="0"/>
              <w:right w:val="single" w:color="auto" w:sz="4" w:space="0"/>
            </w:tcBorders>
            <w:vAlign w:val="center"/>
          </w:tcPr>
          <w:p w14:paraId="7D5F93D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041" w:type="dxa"/>
            <w:tcBorders>
              <w:top w:val="single" w:color="auto" w:sz="4" w:space="0"/>
              <w:left w:val="single" w:color="auto" w:sz="4" w:space="0"/>
              <w:bottom w:val="single" w:color="auto" w:sz="4" w:space="0"/>
              <w:right w:val="single" w:color="auto" w:sz="4" w:space="0"/>
            </w:tcBorders>
            <w:vAlign w:val="center"/>
          </w:tcPr>
          <w:p w14:paraId="67F4902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投标总报价</w:t>
            </w:r>
          </w:p>
          <w:p w14:paraId="4501964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605" w:type="dxa"/>
            <w:tcBorders>
              <w:top w:val="single" w:color="auto" w:sz="4" w:space="0"/>
              <w:left w:val="single" w:color="auto" w:sz="4" w:space="0"/>
              <w:bottom w:val="single" w:color="auto" w:sz="4" w:space="0"/>
              <w:right w:val="single" w:color="auto" w:sz="4" w:space="0"/>
            </w:tcBorders>
            <w:vAlign w:val="center"/>
          </w:tcPr>
          <w:p w14:paraId="2CCC3A8B">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供货期限</w:t>
            </w:r>
          </w:p>
        </w:tc>
        <w:tc>
          <w:tcPr>
            <w:tcW w:w="1138" w:type="dxa"/>
            <w:tcBorders>
              <w:top w:val="single" w:color="auto" w:sz="4" w:space="0"/>
              <w:left w:val="single" w:color="auto" w:sz="4" w:space="0"/>
              <w:bottom w:val="single" w:color="auto" w:sz="4" w:space="0"/>
              <w:right w:val="single" w:color="auto" w:sz="4" w:space="0"/>
            </w:tcBorders>
            <w:vAlign w:val="center"/>
          </w:tcPr>
          <w:p w14:paraId="069CC44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44C0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1" w:hRule="atLeast"/>
          <w:jc w:val="center"/>
        </w:trPr>
        <w:tc>
          <w:tcPr>
            <w:tcW w:w="3470" w:type="dxa"/>
            <w:tcBorders>
              <w:top w:val="single" w:color="auto" w:sz="4" w:space="0"/>
              <w:left w:val="single" w:color="auto" w:sz="4" w:space="0"/>
              <w:bottom w:val="single" w:color="auto" w:sz="4" w:space="0"/>
              <w:right w:val="single" w:color="auto" w:sz="4" w:space="0"/>
            </w:tcBorders>
            <w:vAlign w:val="center"/>
          </w:tcPr>
          <w:p w14:paraId="5DB89477">
            <w:pPr>
              <w:pStyle w:val="31"/>
              <w:spacing w:line="360" w:lineRule="auto"/>
              <w:ind w:left="0" w:firstLine="0"/>
              <w:jc w:val="center"/>
              <w:rPr>
                <w:rFonts w:ascii="宋体" w:hAnsi="宋体" w:cs="宋体"/>
                <w:color w:val="auto"/>
                <w:szCs w:val="21"/>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52CE4856">
            <w:pPr>
              <w:wordWrap w:val="0"/>
              <w:spacing w:line="360" w:lineRule="auto"/>
              <w:jc w:val="center"/>
              <w:rPr>
                <w:rFonts w:ascii="宋体" w:hAnsi="宋体" w:cs="宋体"/>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6948DD79">
            <w:pPr>
              <w:wordWrap w:val="0"/>
              <w:spacing w:line="360" w:lineRule="auto"/>
              <w:jc w:val="center"/>
              <w:rPr>
                <w:rFonts w:ascii="宋体" w:hAnsi="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14:paraId="3B86F9D6">
            <w:pPr>
              <w:wordWrap w:val="0"/>
              <w:spacing w:line="360" w:lineRule="auto"/>
              <w:jc w:val="center"/>
              <w:rPr>
                <w:rFonts w:ascii="宋体" w:hAnsi="宋体" w:cs="宋体"/>
                <w:color w:val="auto"/>
                <w:szCs w:val="21"/>
                <w:highlight w:val="none"/>
              </w:rPr>
            </w:pPr>
          </w:p>
        </w:tc>
      </w:tr>
    </w:tbl>
    <w:p w14:paraId="39B92739">
      <w:pPr>
        <w:wordWrap w:val="0"/>
        <w:spacing w:line="360" w:lineRule="auto"/>
        <w:rPr>
          <w:rFonts w:ascii="宋体" w:hAnsi="宋体" w:cs="宋体"/>
          <w:color w:val="auto"/>
          <w:szCs w:val="21"/>
          <w:highlight w:val="none"/>
        </w:rPr>
      </w:pPr>
    </w:p>
    <w:p w14:paraId="1AB7899E">
      <w:pPr>
        <w:wordWrap w:val="0"/>
        <w:spacing w:line="360" w:lineRule="auto"/>
        <w:rPr>
          <w:rFonts w:ascii="宋体" w:hAnsi="宋体" w:cs="宋体"/>
          <w:color w:val="auto"/>
          <w:szCs w:val="21"/>
          <w:highlight w:val="none"/>
        </w:rPr>
      </w:pPr>
    </w:p>
    <w:p w14:paraId="45BB5286">
      <w:pPr>
        <w:pStyle w:val="89"/>
        <w:wordWrap w:val="0"/>
        <w:spacing w:line="360" w:lineRule="auto"/>
        <w:rPr>
          <w:rFonts w:ascii="宋体" w:hAnsi="宋体" w:cs="宋体"/>
          <w:color w:val="auto"/>
          <w:sz w:val="21"/>
          <w:szCs w:val="21"/>
          <w:highlight w:val="none"/>
        </w:rPr>
      </w:pPr>
    </w:p>
    <w:p w14:paraId="4CBD7D7E">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2CF31D3C">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685B6712">
      <w:pPr>
        <w:wordWrap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AD96C61">
      <w:pPr>
        <w:pStyle w:val="6"/>
        <w:wordWrap w:val="0"/>
        <w:spacing w:line="360" w:lineRule="auto"/>
        <w:ind w:firstLine="0"/>
        <w:rPr>
          <w:rFonts w:ascii="宋体" w:hAnsi="宋体" w:cs="宋体"/>
          <w:color w:val="auto"/>
          <w:sz w:val="24"/>
          <w:szCs w:val="24"/>
          <w:highlight w:val="none"/>
        </w:rPr>
      </w:pPr>
    </w:p>
    <w:p w14:paraId="57C94291">
      <w:pPr>
        <w:pStyle w:val="6"/>
        <w:wordWrap w:val="0"/>
        <w:spacing w:line="360" w:lineRule="auto"/>
        <w:ind w:firstLine="0"/>
        <w:rPr>
          <w:rFonts w:ascii="宋体" w:hAnsi="宋体" w:cs="宋体"/>
          <w:color w:val="auto"/>
          <w:highlight w:val="none"/>
        </w:rPr>
      </w:pPr>
    </w:p>
    <w:p w14:paraId="6A0AB147">
      <w:pPr>
        <w:wordWrap w:val="0"/>
        <w:overflowPunct w:val="0"/>
        <w:autoSpaceDE w:val="0"/>
        <w:autoSpaceDN w:val="0"/>
        <w:adjustRightInd w:val="0"/>
        <w:jc w:val="center"/>
        <w:textAlignment w:val="baseline"/>
        <w:rPr>
          <w:rFonts w:ascii="宋体" w:hAnsi="宋体" w:cs="宋体"/>
          <w:b/>
          <w:color w:val="auto"/>
          <w:kern w:val="0"/>
          <w:sz w:val="32"/>
          <w:szCs w:val="32"/>
          <w:highlight w:val="none"/>
        </w:rPr>
      </w:pPr>
      <w:r>
        <w:rPr>
          <w:rFonts w:hint="eastAsia" w:ascii="宋体" w:hAnsi="宋体" w:cs="宋体"/>
          <w:color w:val="auto"/>
          <w:kern w:val="0"/>
          <w:sz w:val="24"/>
          <w:szCs w:val="24"/>
          <w:highlight w:val="none"/>
        </w:rPr>
        <w:br w:type="page"/>
      </w:r>
      <w:r>
        <w:rPr>
          <w:rFonts w:hint="eastAsia" w:ascii="宋体" w:hAnsi="宋体" w:cs="宋体"/>
          <w:b/>
          <w:color w:val="auto"/>
          <w:kern w:val="0"/>
          <w:sz w:val="32"/>
          <w:szCs w:val="32"/>
          <w:highlight w:val="none"/>
        </w:rPr>
        <w:t>投标报价明细表</w:t>
      </w:r>
    </w:p>
    <w:p w14:paraId="07E48A5F">
      <w:pPr>
        <w:pStyle w:val="161"/>
        <w:wordWrap w:val="0"/>
        <w:spacing w:after="0" w:line="360" w:lineRule="auto"/>
        <w:ind w:left="0" w:leftChars="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标段号：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价格单位：元</w:t>
      </w:r>
    </w:p>
    <w:tbl>
      <w:tblPr>
        <w:tblStyle w:val="40"/>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7"/>
        <w:gridCol w:w="1633"/>
        <w:gridCol w:w="1276"/>
        <w:gridCol w:w="992"/>
        <w:gridCol w:w="993"/>
        <w:gridCol w:w="850"/>
        <w:gridCol w:w="1177"/>
        <w:gridCol w:w="1049"/>
        <w:gridCol w:w="1049"/>
      </w:tblGrid>
      <w:tr w14:paraId="26BE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737" w:type="dxa"/>
            <w:vAlign w:val="center"/>
          </w:tcPr>
          <w:p w14:paraId="3153DCAB">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33" w:type="dxa"/>
            <w:vAlign w:val="center"/>
          </w:tcPr>
          <w:p w14:paraId="461FFF67">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276" w:type="dxa"/>
            <w:vAlign w:val="center"/>
          </w:tcPr>
          <w:p w14:paraId="51C20216">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产品型号</w:t>
            </w:r>
          </w:p>
        </w:tc>
        <w:tc>
          <w:tcPr>
            <w:tcW w:w="992" w:type="dxa"/>
            <w:vAlign w:val="center"/>
          </w:tcPr>
          <w:p w14:paraId="653CC2BD">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p w14:paraId="279A613F">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（台套）</w:t>
            </w:r>
          </w:p>
        </w:tc>
        <w:tc>
          <w:tcPr>
            <w:tcW w:w="993" w:type="dxa"/>
            <w:vAlign w:val="center"/>
          </w:tcPr>
          <w:p w14:paraId="5D202F1A">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850" w:type="dxa"/>
            <w:vAlign w:val="center"/>
          </w:tcPr>
          <w:p w14:paraId="6C5DA60C">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w:t>
            </w:r>
          </w:p>
        </w:tc>
        <w:tc>
          <w:tcPr>
            <w:tcW w:w="1177" w:type="dxa"/>
            <w:vAlign w:val="center"/>
          </w:tcPr>
          <w:p w14:paraId="0C527B68">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制造商名称和品牌</w:t>
            </w:r>
          </w:p>
        </w:tc>
        <w:tc>
          <w:tcPr>
            <w:tcW w:w="1049" w:type="dxa"/>
            <w:vAlign w:val="center"/>
          </w:tcPr>
          <w:p w14:paraId="0BEAD60F">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企业类型</w:t>
            </w:r>
          </w:p>
        </w:tc>
        <w:tc>
          <w:tcPr>
            <w:tcW w:w="1049" w:type="dxa"/>
            <w:vAlign w:val="center"/>
          </w:tcPr>
          <w:p w14:paraId="7483BD1E">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77D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1EF7F535">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33" w:type="dxa"/>
          </w:tcPr>
          <w:p w14:paraId="48F335B6">
            <w:pPr>
              <w:pStyle w:val="174"/>
              <w:wordWrap w:val="0"/>
              <w:spacing w:line="360" w:lineRule="auto"/>
              <w:jc w:val="left"/>
              <w:rPr>
                <w:rFonts w:ascii="宋体" w:hAnsi="宋体" w:cs="宋体"/>
                <w:color w:val="auto"/>
                <w:szCs w:val="21"/>
                <w:highlight w:val="none"/>
              </w:rPr>
            </w:pPr>
          </w:p>
        </w:tc>
        <w:tc>
          <w:tcPr>
            <w:tcW w:w="1276" w:type="dxa"/>
          </w:tcPr>
          <w:p w14:paraId="5D7AAE34">
            <w:pPr>
              <w:pStyle w:val="174"/>
              <w:wordWrap w:val="0"/>
              <w:spacing w:line="360" w:lineRule="auto"/>
              <w:jc w:val="center"/>
              <w:rPr>
                <w:rFonts w:ascii="宋体" w:hAnsi="宋体" w:cs="宋体"/>
                <w:color w:val="auto"/>
                <w:szCs w:val="21"/>
                <w:highlight w:val="none"/>
              </w:rPr>
            </w:pPr>
          </w:p>
        </w:tc>
        <w:tc>
          <w:tcPr>
            <w:tcW w:w="992" w:type="dxa"/>
          </w:tcPr>
          <w:p w14:paraId="464D392B">
            <w:pPr>
              <w:pStyle w:val="174"/>
              <w:wordWrap w:val="0"/>
              <w:spacing w:line="360" w:lineRule="auto"/>
              <w:jc w:val="center"/>
              <w:rPr>
                <w:rFonts w:ascii="宋体" w:hAnsi="宋体" w:cs="宋体"/>
                <w:color w:val="auto"/>
                <w:szCs w:val="21"/>
                <w:highlight w:val="none"/>
              </w:rPr>
            </w:pPr>
          </w:p>
        </w:tc>
        <w:tc>
          <w:tcPr>
            <w:tcW w:w="993" w:type="dxa"/>
          </w:tcPr>
          <w:p w14:paraId="7057F3F3">
            <w:pPr>
              <w:pStyle w:val="174"/>
              <w:wordWrap w:val="0"/>
              <w:spacing w:line="360" w:lineRule="auto"/>
              <w:jc w:val="center"/>
              <w:rPr>
                <w:rFonts w:ascii="宋体" w:hAnsi="宋体" w:cs="宋体"/>
                <w:color w:val="auto"/>
                <w:szCs w:val="21"/>
                <w:highlight w:val="none"/>
              </w:rPr>
            </w:pPr>
          </w:p>
        </w:tc>
        <w:tc>
          <w:tcPr>
            <w:tcW w:w="850" w:type="dxa"/>
          </w:tcPr>
          <w:p w14:paraId="63473DFA">
            <w:pPr>
              <w:pStyle w:val="174"/>
              <w:wordWrap w:val="0"/>
              <w:spacing w:line="360" w:lineRule="auto"/>
              <w:jc w:val="center"/>
              <w:rPr>
                <w:rFonts w:ascii="宋体" w:hAnsi="宋体" w:cs="宋体"/>
                <w:color w:val="auto"/>
                <w:szCs w:val="21"/>
                <w:highlight w:val="none"/>
              </w:rPr>
            </w:pPr>
          </w:p>
        </w:tc>
        <w:tc>
          <w:tcPr>
            <w:tcW w:w="1177" w:type="dxa"/>
          </w:tcPr>
          <w:p w14:paraId="5736546A">
            <w:pPr>
              <w:pStyle w:val="174"/>
              <w:wordWrap w:val="0"/>
              <w:spacing w:line="360" w:lineRule="auto"/>
              <w:jc w:val="center"/>
              <w:rPr>
                <w:rFonts w:ascii="宋体" w:hAnsi="宋体" w:cs="宋体"/>
                <w:color w:val="auto"/>
                <w:szCs w:val="21"/>
                <w:highlight w:val="none"/>
              </w:rPr>
            </w:pPr>
          </w:p>
        </w:tc>
        <w:tc>
          <w:tcPr>
            <w:tcW w:w="1049" w:type="dxa"/>
            <w:vAlign w:val="center"/>
          </w:tcPr>
          <w:p w14:paraId="431BE15B">
            <w:pPr>
              <w:pStyle w:val="174"/>
              <w:wordWrap w:val="0"/>
              <w:spacing w:line="360" w:lineRule="auto"/>
              <w:jc w:val="center"/>
              <w:rPr>
                <w:rFonts w:ascii="宋体" w:hAnsi="宋体" w:cs="宋体"/>
                <w:color w:val="auto"/>
                <w:szCs w:val="21"/>
                <w:highlight w:val="none"/>
              </w:rPr>
            </w:pPr>
          </w:p>
        </w:tc>
        <w:tc>
          <w:tcPr>
            <w:tcW w:w="1049" w:type="dxa"/>
          </w:tcPr>
          <w:p w14:paraId="25DE6D00">
            <w:pPr>
              <w:pStyle w:val="174"/>
              <w:wordWrap w:val="0"/>
              <w:spacing w:line="360" w:lineRule="auto"/>
              <w:jc w:val="center"/>
              <w:rPr>
                <w:rFonts w:ascii="宋体" w:hAnsi="宋体" w:cs="宋体"/>
                <w:color w:val="auto"/>
                <w:szCs w:val="21"/>
                <w:highlight w:val="none"/>
              </w:rPr>
            </w:pPr>
          </w:p>
        </w:tc>
      </w:tr>
      <w:tr w14:paraId="2D9D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322E1028">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633" w:type="dxa"/>
          </w:tcPr>
          <w:p w14:paraId="3AC9F52C">
            <w:pPr>
              <w:pStyle w:val="174"/>
              <w:wordWrap w:val="0"/>
              <w:spacing w:line="360" w:lineRule="auto"/>
              <w:jc w:val="left"/>
              <w:rPr>
                <w:rFonts w:ascii="宋体" w:hAnsi="宋体" w:cs="宋体"/>
                <w:color w:val="auto"/>
                <w:szCs w:val="21"/>
                <w:highlight w:val="none"/>
              </w:rPr>
            </w:pPr>
          </w:p>
        </w:tc>
        <w:tc>
          <w:tcPr>
            <w:tcW w:w="1276" w:type="dxa"/>
          </w:tcPr>
          <w:p w14:paraId="6F0026BA">
            <w:pPr>
              <w:pStyle w:val="174"/>
              <w:wordWrap w:val="0"/>
              <w:spacing w:line="360" w:lineRule="auto"/>
              <w:jc w:val="center"/>
              <w:rPr>
                <w:rFonts w:ascii="宋体" w:hAnsi="宋体" w:cs="宋体"/>
                <w:color w:val="auto"/>
                <w:szCs w:val="21"/>
                <w:highlight w:val="none"/>
              </w:rPr>
            </w:pPr>
          </w:p>
        </w:tc>
        <w:tc>
          <w:tcPr>
            <w:tcW w:w="992" w:type="dxa"/>
          </w:tcPr>
          <w:p w14:paraId="6438CBFB">
            <w:pPr>
              <w:pStyle w:val="174"/>
              <w:wordWrap w:val="0"/>
              <w:spacing w:line="360" w:lineRule="auto"/>
              <w:jc w:val="center"/>
              <w:rPr>
                <w:rFonts w:ascii="宋体" w:hAnsi="宋体" w:cs="宋体"/>
                <w:color w:val="auto"/>
                <w:szCs w:val="21"/>
                <w:highlight w:val="none"/>
              </w:rPr>
            </w:pPr>
          </w:p>
        </w:tc>
        <w:tc>
          <w:tcPr>
            <w:tcW w:w="993" w:type="dxa"/>
          </w:tcPr>
          <w:p w14:paraId="70CA8C9B">
            <w:pPr>
              <w:pStyle w:val="174"/>
              <w:wordWrap w:val="0"/>
              <w:spacing w:line="360" w:lineRule="auto"/>
              <w:jc w:val="center"/>
              <w:rPr>
                <w:rFonts w:ascii="宋体" w:hAnsi="宋体" w:cs="宋体"/>
                <w:color w:val="auto"/>
                <w:szCs w:val="21"/>
                <w:highlight w:val="none"/>
              </w:rPr>
            </w:pPr>
          </w:p>
        </w:tc>
        <w:tc>
          <w:tcPr>
            <w:tcW w:w="850" w:type="dxa"/>
          </w:tcPr>
          <w:p w14:paraId="55C5D24D">
            <w:pPr>
              <w:pStyle w:val="174"/>
              <w:wordWrap w:val="0"/>
              <w:spacing w:line="360" w:lineRule="auto"/>
              <w:jc w:val="center"/>
              <w:rPr>
                <w:rFonts w:ascii="宋体" w:hAnsi="宋体" w:cs="宋体"/>
                <w:color w:val="auto"/>
                <w:szCs w:val="21"/>
                <w:highlight w:val="none"/>
              </w:rPr>
            </w:pPr>
          </w:p>
        </w:tc>
        <w:tc>
          <w:tcPr>
            <w:tcW w:w="1177" w:type="dxa"/>
          </w:tcPr>
          <w:p w14:paraId="2F11242D">
            <w:pPr>
              <w:pStyle w:val="174"/>
              <w:wordWrap w:val="0"/>
              <w:spacing w:line="360" w:lineRule="auto"/>
              <w:jc w:val="center"/>
              <w:rPr>
                <w:rFonts w:ascii="宋体" w:hAnsi="宋体" w:cs="宋体"/>
                <w:color w:val="auto"/>
                <w:szCs w:val="21"/>
                <w:highlight w:val="none"/>
              </w:rPr>
            </w:pPr>
          </w:p>
        </w:tc>
        <w:tc>
          <w:tcPr>
            <w:tcW w:w="1049" w:type="dxa"/>
            <w:vAlign w:val="center"/>
          </w:tcPr>
          <w:p w14:paraId="0CBEB754">
            <w:pPr>
              <w:pStyle w:val="174"/>
              <w:wordWrap w:val="0"/>
              <w:spacing w:line="360" w:lineRule="auto"/>
              <w:jc w:val="center"/>
              <w:rPr>
                <w:rFonts w:ascii="宋体" w:hAnsi="宋体" w:cs="宋体"/>
                <w:color w:val="auto"/>
                <w:szCs w:val="21"/>
                <w:highlight w:val="none"/>
              </w:rPr>
            </w:pPr>
          </w:p>
        </w:tc>
        <w:tc>
          <w:tcPr>
            <w:tcW w:w="1049" w:type="dxa"/>
          </w:tcPr>
          <w:p w14:paraId="2BB8274A">
            <w:pPr>
              <w:pStyle w:val="174"/>
              <w:wordWrap w:val="0"/>
              <w:spacing w:line="360" w:lineRule="auto"/>
              <w:jc w:val="center"/>
              <w:rPr>
                <w:rFonts w:ascii="宋体" w:hAnsi="宋体" w:cs="宋体"/>
                <w:color w:val="auto"/>
                <w:szCs w:val="21"/>
                <w:highlight w:val="none"/>
              </w:rPr>
            </w:pPr>
          </w:p>
        </w:tc>
      </w:tr>
      <w:tr w14:paraId="20F7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208C9837">
            <w:pPr>
              <w:pStyle w:val="174"/>
              <w:wordWrap w:val="0"/>
              <w:spacing w:line="360" w:lineRule="auto"/>
              <w:jc w:val="center"/>
              <w:rPr>
                <w:rFonts w:ascii="宋体" w:hAnsi="宋体" w:cs="宋体"/>
                <w:color w:val="auto"/>
                <w:szCs w:val="21"/>
                <w:highlight w:val="none"/>
              </w:rPr>
            </w:pPr>
          </w:p>
        </w:tc>
        <w:tc>
          <w:tcPr>
            <w:tcW w:w="1633" w:type="dxa"/>
          </w:tcPr>
          <w:p w14:paraId="5D1D351A">
            <w:pPr>
              <w:pStyle w:val="174"/>
              <w:wordWrap w:val="0"/>
              <w:spacing w:line="360" w:lineRule="auto"/>
              <w:rPr>
                <w:rFonts w:ascii="宋体" w:hAnsi="宋体" w:cs="宋体"/>
                <w:color w:val="auto"/>
                <w:szCs w:val="21"/>
                <w:highlight w:val="none"/>
              </w:rPr>
            </w:pPr>
          </w:p>
        </w:tc>
        <w:tc>
          <w:tcPr>
            <w:tcW w:w="1276" w:type="dxa"/>
          </w:tcPr>
          <w:p w14:paraId="6194E9F8">
            <w:pPr>
              <w:pStyle w:val="174"/>
              <w:wordWrap w:val="0"/>
              <w:spacing w:line="360" w:lineRule="auto"/>
              <w:jc w:val="center"/>
              <w:rPr>
                <w:rFonts w:ascii="宋体" w:hAnsi="宋体" w:cs="宋体"/>
                <w:color w:val="auto"/>
                <w:szCs w:val="21"/>
                <w:highlight w:val="none"/>
              </w:rPr>
            </w:pPr>
          </w:p>
        </w:tc>
        <w:tc>
          <w:tcPr>
            <w:tcW w:w="992" w:type="dxa"/>
          </w:tcPr>
          <w:p w14:paraId="04FF5ED7">
            <w:pPr>
              <w:pStyle w:val="174"/>
              <w:wordWrap w:val="0"/>
              <w:spacing w:line="360" w:lineRule="auto"/>
              <w:jc w:val="center"/>
              <w:rPr>
                <w:rFonts w:ascii="宋体" w:hAnsi="宋体" w:cs="宋体"/>
                <w:color w:val="auto"/>
                <w:szCs w:val="21"/>
                <w:highlight w:val="none"/>
              </w:rPr>
            </w:pPr>
          </w:p>
        </w:tc>
        <w:tc>
          <w:tcPr>
            <w:tcW w:w="993" w:type="dxa"/>
          </w:tcPr>
          <w:p w14:paraId="7B23CBA4">
            <w:pPr>
              <w:pStyle w:val="174"/>
              <w:wordWrap w:val="0"/>
              <w:spacing w:line="360" w:lineRule="auto"/>
              <w:jc w:val="center"/>
              <w:rPr>
                <w:rFonts w:ascii="宋体" w:hAnsi="宋体" w:cs="宋体"/>
                <w:color w:val="auto"/>
                <w:szCs w:val="21"/>
                <w:highlight w:val="none"/>
              </w:rPr>
            </w:pPr>
          </w:p>
        </w:tc>
        <w:tc>
          <w:tcPr>
            <w:tcW w:w="850" w:type="dxa"/>
          </w:tcPr>
          <w:p w14:paraId="3CB51664">
            <w:pPr>
              <w:pStyle w:val="174"/>
              <w:wordWrap w:val="0"/>
              <w:spacing w:line="360" w:lineRule="auto"/>
              <w:jc w:val="center"/>
              <w:rPr>
                <w:rFonts w:ascii="宋体" w:hAnsi="宋体" w:cs="宋体"/>
                <w:color w:val="auto"/>
                <w:szCs w:val="21"/>
                <w:highlight w:val="none"/>
              </w:rPr>
            </w:pPr>
          </w:p>
        </w:tc>
        <w:tc>
          <w:tcPr>
            <w:tcW w:w="1177" w:type="dxa"/>
          </w:tcPr>
          <w:p w14:paraId="579E7790">
            <w:pPr>
              <w:pStyle w:val="174"/>
              <w:wordWrap w:val="0"/>
              <w:spacing w:line="360" w:lineRule="auto"/>
              <w:jc w:val="center"/>
              <w:rPr>
                <w:rFonts w:ascii="宋体" w:hAnsi="宋体" w:cs="宋体"/>
                <w:color w:val="auto"/>
                <w:szCs w:val="21"/>
                <w:highlight w:val="none"/>
              </w:rPr>
            </w:pPr>
          </w:p>
        </w:tc>
        <w:tc>
          <w:tcPr>
            <w:tcW w:w="1049" w:type="dxa"/>
            <w:vAlign w:val="center"/>
          </w:tcPr>
          <w:p w14:paraId="4CB32590">
            <w:pPr>
              <w:pStyle w:val="174"/>
              <w:wordWrap w:val="0"/>
              <w:spacing w:line="360" w:lineRule="auto"/>
              <w:jc w:val="center"/>
              <w:rPr>
                <w:rFonts w:ascii="宋体" w:hAnsi="宋体" w:cs="宋体"/>
                <w:color w:val="auto"/>
                <w:szCs w:val="21"/>
                <w:highlight w:val="none"/>
              </w:rPr>
            </w:pPr>
          </w:p>
        </w:tc>
        <w:tc>
          <w:tcPr>
            <w:tcW w:w="1049" w:type="dxa"/>
          </w:tcPr>
          <w:p w14:paraId="1A23C5A1">
            <w:pPr>
              <w:pStyle w:val="174"/>
              <w:wordWrap w:val="0"/>
              <w:spacing w:line="360" w:lineRule="auto"/>
              <w:jc w:val="center"/>
              <w:rPr>
                <w:rFonts w:ascii="宋体" w:hAnsi="宋体" w:cs="宋体"/>
                <w:color w:val="auto"/>
                <w:szCs w:val="21"/>
                <w:highlight w:val="none"/>
              </w:rPr>
            </w:pPr>
          </w:p>
        </w:tc>
      </w:tr>
      <w:tr w14:paraId="3019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47A71464">
            <w:pPr>
              <w:pStyle w:val="174"/>
              <w:wordWrap w:val="0"/>
              <w:spacing w:line="360" w:lineRule="auto"/>
              <w:jc w:val="center"/>
              <w:rPr>
                <w:rFonts w:ascii="宋体" w:hAnsi="宋体" w:cs="宋体"/>
                <w:color w:val="auto"/>
                <w:szCs w:val="21"/>
                <w:highlight w:val="none"/>
              </w:rPr>
            </w:pPr>
          </w:p>
        </w:tc>
        <w:tc>
          <w:tcPr>
            <w:tcW w:w="1633" w:type="dxa"/>
          </w:tcPr>
          <w:p w14:paraId="29A5B4BE">
            <w:pPr>
              <w:pStyle w:val="174"/>
              <w:wordWrap w:val="0"/>
              <w:spacing w:line="360" w:lineRule="auto"/>
              <w:jc w:val="center"/>
              <w:rPr>
                <w:rFonts w:ascii="宋体" w:hAnsi="宋体" w:cs="宋体"/>
                <w:color w:val="auto"/>
                <w:szCs w:val="21"/>
                <w:highlight w:val="none"/>
              </w:rPr>
            </w:pPr>
          </w:p>
        </w:tc>
        <w:tc>
          <w:tcPr>
            <w:tcW w:w="1276" w:type="dxa"/>
          </w:tcPr>
          <w:p w14:paraId="413BCA14">
            <w:pPr>
              <w:pStyle w:val="174"/>
              <w:wordWrap w:val="0"/>
              <w:spacing w:line="360" w:lineRule="auto"/>
              <w:jc w:val="center"/>
              <w:rPr>
                <w:rFonts w:ascii="宋体" w:hAnsi="宋体" w:cs="宋体"/>
                <w:color w:val="auto"/>
                <w:szCs w:val="21"/>
                <w:highlight w:val="none"/>
              </w:rPr>
            </w:pPr>
          </w:p>
        </w:tc>
        <w:tc>
          <w:tcPr>
            <w:tcW w:w="992" w:type="dxa"/>
          </w:tcPr>
          <w:p w14:paraId="1205DA84">
            <w:pPr>
              <w:pStyle w:val="174"/>
              <w:wordWrap w:val="0"/>
              <w:spacing w:line="360" w:lineRule="auto"/>
              <w:jc w:val="center"/>
              <w:rPr>
                <w:rFonts w:ascii="宋体" w:hAnsi="宋体" w:cs="宋体"/>
                <w:color w:val="auto"/>
                <w:szCs w:val="21"/>
                <w:highlight w:val="none"/>
              </w:rPr>
            </w:pPr>
          </w:p>
        </w:tc>
        <w:tc>
          <w:tcPr>
            <w:tcW w:w="993" w:type="dxa"/>
          </w:tcPr>
          <w:p w14:paraId="212B2C7D">
            <w:pPr>
              <w:pStyle w:val="174"/>
              <w:wordWrap w:val="0"/>
              <w:spacing w:line="360" w:lineRule="auto"/>
              <w:jc w:val="center"/>
              <w:rPr>
                <w:rFonts w:ascii="宋体" w:hAnsi="宋体" w:cs="宋体"/>
                <w:color w:val="auto"/>
                <w:szCs w:val="21"/>
                <w:highlight w:val="none"/>
              </w:rPr>
            </w:pPr>
          </w:p>
        </w:tc>
        <w:tc>
          <w:tcPr>
            <w:tcW w:w="850" w:type="dxa"/>
          </w:tcPr>
          <w:p w14:paraId="121F414B">
            <w:pPr>
              <w:pStyle w:val="174"/>
              <w:wordWrap w:val="0"/>
              <w:spacing w:line="360" w:lineRule="auto"/>
              <w:jc w:val="center"/>
              <w:rPr>
                <w:rFonts w:ascii="宋体" w:hAnsi="宋体" w:cs="宋体"/>
                <w:color w:val="auto"/>
                <w:szCs w:val="21"/>
                <w:highlight w:val="none"/>
              </w:rPr>
            </w:pPr>
          </w:p>
        </w:tc>
        <w:tc>
          <w:tcPr>
            <w:tcW w:w="1177" w:type="dxa"/>
          </w:tcPr>
          <w:p w14:paraId="4BF3891B">
            <w:pPr>
              <w:pStyle w:val="174"/>
              <w:wordWrap w:val="0"/>
              <w:spacing w:line="360" w:lineRule="auto"/>
              <w:jc w:val="center"/>
              <w:rPr>
                <w:rFonts w:ascii="宋体" w:hAnsi="宋体" w:cs="宋体"/>
                <w:color w:val="auto"/>
                <w:szCs w:val="21"/>
                <w:highlight w:val="none"/>
              </w:rPr>
            </w:pPr>
          </w:p>
        </w:tc>
        <w:tc>
          <w:tcPr>
            <w:tcW w:w="1049" w:type="dxa"/>
            <w:vAlign w:val="center"/>
          </w:tcPr>
          <w:p w14:paraId="3468467B">
            <w:pPr>
              <w:pStyle w:val="174"/>
              <w:wordWrap w:val="0"/>
              <w:spacing w:line="360" w:lineRule="auto"/>
              <w:jc w:val="center"/>
              <w:rPr>
                <w:rFonts w:ascii="宋体" w:hAnsi="宋体" w:cs="宋体"/>
                <w:color w:val="auto"/>
                <w:szCs w:val="21"/>
                <w:highlight w:val="none"/>
              </w:rPr>
            </w:pPr>
          </w:p>
        </w:tc>
        <w:tc>
          <w:tcPr>
            <w:tcW w:w="1049" w:type="dxa"/>
          </w:tcPr>
          <w:p w14:paraId="5A9EB9A0">
            <w:pPr>
              <w:pStyle w:val="174"/>
              <w:wordWrap w:val="0"/>
              <w:spacing w:line="360" w:lineRule="auto"/>
              <w:jc w:val="center"/>
              <w:rPr>
                <w:rFonts w:ascii="宋体" w:hAnsi="宋体" w:cs="宋体"/>
                <w:color w:val="auto"/>
                <w:szCs w:val="21"/>
                <w:highlight w:val="none"/>
              </w:rPr>
            </w:pPr>
          </w:p>
        </w:tc>
      </w:tr>
      <w:tr w14:paraId="1D31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432B003C">
            <w:pPr>
              <w:pStyle w:val="174"/>
              <w:wordWrap w:val="0"/>
              <w:spacing w:line="360" w:lineRule="auto"/>
              <w:jc w:val="center"/>
              <w:rPr>
                <w:rFonts w:ascii="宋体" w:hAnsi="宋体" w:cs="宋体"/>
                <w:color w:val="auto"/>
                <w:szCs w:val="21"/>
                <w:highlight w:val="none"/>
              </w:rPr>
            </w:pPr>
          </w:p>
        </w:tc>
        <w:tc>
          <w:tcPr>
            <w:tcW w:w="1633" w:type="dxa"/>
          </w:tcPr>
          <w:p w14:paraId="026D66A4">
            <w:pPr>
              <w:pStyle w:val="174"/>
              <w:wordWrap w:val="0"/>
              <w:spacing w:line="360" w:lineRule="auto"/>
              <w:jc w:val="center"/>
              <w:rPr>
                <w:rFonts w:ascii="宋体" w:hAnsi="宋体" w:cs="宋体"/>
                <w:color w:val="auto"/>
                <w:szCs w:val="21"/>
                <w:highlight w:val="none"/>
              </w:rPr>
            </w:pPr>
          </w:p>
        </w:tc>
        <w:tc>
          <w:tcPr>
            <w:tcW w:w="1276" w:type="dxa"/>
          </w:tcPr>
          <w:p w14:paraId="0F00CAE0">
            <w:pPr>
              <w:pStyle w:val="174"/>
              <w:wordWrap w:val="0"/>
              <w:spacing w:line="360" w:lineRule="auto"/>
              <w:jc w:val="center"/>
              <w:rPr>
                <w:rFonts w:ascii="宋体" w:hAnsi="宋体" w:cs="宋体"/>
                <w:color w:val="auto"/>
                <w:szCs w:val="21"/>
                <w:highlight w:val="none"/>
              </w:rPr>
            </w:pPr>
          </w:p>
        </w:tc>
        <w:tc>
          <w:tcPr>
            <w:tcW w:w="992" w:type="dxa"/>
          </w:tcPr>
          <w:p w14:paraId="6B20DB30">
            <w:pPr>
              <w:pStyle w:val="174"/>
              <w:wordWrap w:val="0"/>
              <w:spacing w:line="360" w:lineRule="auto"/>
              <w:jc w:val="center"/>
              <w:rPr>
                <w:rFonts w:ascii="宋体" w:hAnsi="宋体" w:cs="宋体"/>
                <w:color w:val="auto"/>
                <w:szCs w:val="21"/>
                <w:highlight w:val="none"/>
              </w:rPr>
            </w:pPr>
          </w:p>
        </w:tc>
        <w:tc>
          <w:tcPr>
            <w:tcW w:w="993" w:type="dxa"/>
          </w:tcPr>
          <w:p w14:paraId="7E0DEE87">
            <w:pPr>
              <w:pStyle w:val="174"/>
              <w:wordWrap w:val="0"/>
              <w:spacing w:line="360" w:lineRule="auto"/>
              <w:jc w:val="center"/>
              <w:rPr>
                <w:rFonts w:ascii="宋体" w:hAnsi="宋体" w:cs="宋体"/>
                <w:color w:val="auto"/>
                <w:szCs w:val="21"/>
                <w:highlight w:val="none"/>
              </w:rPr>
            </w:pPr>
          </w:p>
        </w:tc>
        <w:tc>
          <w:tcPr>
            <w:tcW w:w="850" w:type="dxa"/>
          </w:tcPr>
          <w:p w14:paraId="34F43A78">
            <w:pPr>
              <w:pStyle w:val="174"/>
              <w:wordWrap w:val="0"/>
              <w:spacing w:line="360" w:lineRule="auto"/>
              <w:jc w:val="center"/>
              <w:rPr>
                <w:rFonts w:ascii="宋体" w:hAnsi="宋体" w:cs="宋体"/>
                <w:color w:val="auto"/>
                <w:szCs w:val="21"/>
                <w:highlight w:val="none"/>
              </w:rPr>
            </w:pPr>
          </w:p>
        </w:tc>
        <w:tc>
          <w:tcPr>
            <w:tcW w:w="1177" w:type="dxa"/>
          </w:tcPr>
          <w:p w14:paraId="5B291F16">
            <w:pPr>
              <w:pStyle w:val="174"/>
              <w:wordWrap w:val="0"/>
              <w:spacing w:line="360" w:lineRule="auto"/>
              <w:jc w:val="center"/>
              <w:rPr>
                <w:rFonts w:ascii="宋体" w:hAnsi="宋体" w:cs="宋体"/>
                <w:color w:val="auto"/>
                <w:szCs w:val="21"/>
                <w:highlight w:val="none"/>
              </w:rPr>
            </w:pPr>
          </w:p>
        </w:tc>
        <w:tc>
          <w:tcPr>
            <w:tcW w:w="1049" w:type="dxa"/>
            <w:vAlign w:val="center"/>
          </w:tcPr>
          <w:p w14:paraId="5AD09359">
            <w:pPr>
              <w:pStyle w:val="174"/>
              <w:wordWrap w:val="0"/>
              <w:spacing w:line="360" w:lineRule="auto"/>
              <w:jc w:val="center"/>
              <w:rPr>
                <w:rFonts w:ascii="宋体" w:hAnsi="宋体" w:cs="宋体"/>
                <w:color w:val="auto"/>
                <w:szCs w:val="21"/>
                <w:highlight w:val="none"/>
              </w:rPr>
            </w:pPr>
          </w:p>
        </w:tc>
        <w:tc>
          <w:tcPr>
            <w:tcW w:w="1049" w:type="dxa"/>
          </w:tcPr>
          <w:p w14:paraId="245F61F4">
            <w:pPr>
              <w:pStyle w:val="174"/>
              <w:wordWrap w:val="0"/>
              <w:spacing w:line="360" w:lineRule="auto"/>
              <w:jc w:val="center"/>
              <w:rPr>
                <w:rFonts w:ascii="宋体" w:hAnsi="宋体" w:cs="宋体"/>
                <w:color w:val="auto"/>
                <w:szCs w:val="21"/>
                <w:highlight w:val="none"/>
              </w:rPr>
            </w:pPr>
          </w:p>
        </w:tc>
      </w:tr>
      <w:tr w14:paraId="7E08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48C7587D">
            <w:pPr>
              <w:pStyle w:val="174"/>
              <w:wordWrap w:val="0"/>
              <w:spacing w:line="360" w:lineRule="auto"/>
              <w:jc w:val="center"/>
              <w:rPr>
                <w:rFonts w:ascii="宋体" w:hAnsi="宋体" w:cs="宋体"/>
                <w:color w:val="auto"/>
                <w:szCs w:val="21"/>
                <w:highlight w:val="none"/>
              </w:rPr>
            </w:pPr>
          </w:p>
        </w:tc>
        <w:tc>
          <w:tcPr>
            <w:tcW w:w="1633" w:type="dxa"/>
          </w:tcPr>
          <w:p w14:paraId="36BF9DC1">
            <w:pPr>
              <w:pStyle w:val="174"/>
              <w:wordWrap w:val="0"/>
              <w:spacing w:line="360" w:lineRule="auto"/>
              <w:jc w:val="center"/>
              <w:rPr>
                <w:rFonts w:ascii="宋体" w:hAnsi="宋体" w:cs="宋体"/>
                <w:color w:val="auto"/>
                <w:szCs w:val="21"/>
                <w:highlight w:val="none"/>
              </w:rPr>
            </w:pPr>
          </w:p>
        </w:tc>
        <w:tc>
          <w:tcPr>
            <w:tcW w:w="1276" w:type="dxa"/>
          </w:tcPr>
          <w:p w14:paraId="1576DCBF">
            <w:pPr>
              <w:pStyle w:val="174"/>
              <w:wordWrap w:val="0"/>
              <w:spacing w:line="360" w:lineRule="auto"/>
              <w:jc w:val="center"/>
              <w:rPr>
                <w:rFonts w:ascii="宋体" w:hAnsi="宋体" w:cs="宋体"/>
                <w:color w:val="auto"/>
                <w:szCs w:val="21"/>
                <w:highlight w:val="none"/>
              </w:rPr>
            </w:pPr>
          </w:p>
        </w:tc>
        <w:tc>
          <w:tcPr>
            <w:tcW w:w="992" w:type="dxa"/>
          </w:tcPr>
          <w:p w14:paraId="35B79CC1">
            <w:pPr>
              <w:pStyle w:val="174"/>
              <w:wordWrap w:val="0"/>
              <w:spacing w:line="360" w:lineRule="auto"/>
              <w:jc w:val="center"/>
              <w:rPr>
                <w:rFonts w:ascii="宋体" w:hAnsi="宋体" w:cs="宋体"/>
                <w:color w:val="auto"/>
                <w:szCs w:val="21"/>
                <w:highlight w:val="none"/>
              </w:rPr>
            </w:pPr>
          </w:p>
        </w:tc>
        <w:tc>
          <w:tcPr>
            <w:tcW w:w="993" w:type="dxa"/>
          </w:tcPr>
          <w:p w14:paraId="1D738458">
            <w:pPr>
              <w:pStyle w:val="174"/>
              <w:wordWrap w:val="0"/>
              <w:spacing w:line="360" w:lineRule="auto"/>
              <w:jc w:val="center"/>
              <w:rPr>
                <w:rFonts w:ascii="宋体" w:hAnsi="宋体" w:cs="宋体"/>
                <w:color w:val="auto"/>
                <w:szCs w:val="21"/>
                <w:highlight w:val="none"/>
              </w:rPr>
            </w:pPr>
          </w:p>
        </w:tc>
        <w:tc>
          <w:tcPr>
            <w:tcW w:w="850" w:type="dxa"/>
          </w:tcPr>
          <w:p w14:paraId="10CCB5A5">
            <w:pPr>
              <w:pStyle w:val="174"/>
              <w:wordWrap w:val="0"/>
              <w:spacing w:line="360" w:lineRule="auto"/>
              <w:jc w:val="center"/>
              <w:rPr>
                <w:rFonts w:ascii="宋体" w:hAnsi="宋体" w:cs="宋体"/>
                <w:color w:val="auto"/>
                <w:szCs w:val="21"/>
                <w:highlight w:val="none"/>
              </w:rPr>
            </w:pPr>
          </w:p>
        </w:tc>
        <w:tc>
          <w:tcPr>
            <w:tcW w:w="1177" w:type="dxa"/>
          </w:tcPr>
          <w:p w14:paraId="77087638">
            <w:pPr>
              <w:pStyle w:val="174"/>
              <w:wordWrap w:val="0"/>
              <w:spacing w:line="360" w:lineRule="auto"/>
              <w:jc w:val="center"/>
              <w:rPr>
                <w:rFonts w:ascii="宋体" w:hAnsi="宋体" w:cs="宋体"/>
                <w:color w:val="auto"/>
                <w:szCs w:val="21"/>
                <w:highlight w:val="none"/>
              </w:rPr>
            </w:pPr>
          </w:p>
        </w:tc>
        <w:tc>
          <w:tcPr>
            <w:tcW w:w="1049" w:type="dxa"/>
            <w:vAlign w:val="center"/>
          </w:tcPr>
          <w:p w14:paraId="6E72FC91">
            <w:pPr>
              <w:pStyle w:val="174"/>
              <w:wordWrap w:val="0"/>
              <w:spacing w:line="360" w:lineRule="auto"/>
              <w:jc w:val="center"/>
              <w:rPr>
                <w:rFonts w:ascii="宋体" w:hAnsi="宋体" w:cs="宋体"/>
                <w:color w:val="auto"/>
                <w:szCs w:val="21"/>
                <w:highlight w:val="none"/>
              </w:rPr>
            </w:pPr>
          </w:p>
        </w:tc>
        <w:tc>
          <w:tcPr>
            <w:tcW w:w="1049" w:type="dxa"/>
          </w:tcPr>
          <w:p w14:paraId="1BBF74C9">
            <w:pPr>
              <w:pStyle w:val="174"/>
              <w:wordWrap w:val="0"/>
              <w:spacing w:line="360" w:lineRule="auto"/>
              <w:jc w:val="center"/>
              <w:rPr>
                <w:rFonts w:ascii="宋体" w:hAnsi="宋体" w:cs="宋体"/>
                <w:color w:val="auto"/>
                <w:szCs w:val="21"/>
                <w:highlight w:val="none"/>
              </w:rPr>
            </w:pPr>
          </w:p>
        </w:tc>
      </w:tr>
      <w:tr w14:paraId="4C24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2FCB31FF">
            <w:pPr>
              <w:pStyle w:val="174"/>
              <w:wordWrap w:val="0"/>
              <w:spacing w:line="360" w:lineRule="auto"/>
              <w:jc w:val="center"/>
              <w:rPr>
                <w:rFonts w:ascii="宋体" w:hAnsi="宋体" w:cs="宋体"/>
                <w:color w:val="auto"/>
                <w:szCs w:val="21"/>
                <w:highlight w:val="none"/>
              </w:rPr>
            </w:pPr>
          </w:p>
        </w:tc>
        <w:tc>
          <w:tcPr>
            <w:tcW w:w="1633" w:type="dxa"/>
          </w:tcPr>
          <w:p w14:paraId="4E982782">
            <w:pPr>
              <w:pStyle w:val="174"/>
              <w:wordWrap w:val="0"/>
              <w:spacing w:line="360" w:lineRule="auto"/>
              <w:jc w:val="center"/>
              <w:rPr>
                <w:rFonts w:ascii="宋体" w:hAnsi="宋体" w:cs="宋体"/>
                <w:color w:val="auto"/>
                <w:szCs w:val="21"/>
                <w:highlight w:val="none"/>
              </w:rPr>
            </w:pPr>
          </w:p>
        </w:tc>
        <w:tc>
          <w:tcPr>
            <w:tcW w:w="1276" w:type="dxa"/>
          </w:tcPr>
          <w:p w14:paraId="43079701">
            <w:pPr>
              <w:pStyle w:val="174"/>
              <w:wordWrap w:val="0"/>
              <w:spacing w:line="360" w:lineRule="auto"/>
              <w:jc w:val="center"/>
              <w:rPr>
                <w:rFonts w:ascii="宋体" w:hAnsi="宋体" w:cs="宋体"/>
                <w:color w:val="auto"/>
                <w:szCs w:val="21"/>
                <w:highlight w:val="none"/>
              </w:rPr>
            </w:pPr>
          </w:p>
        </w:tc>
        <w:tc>
          <w:tcPr>
            <w:tcW w:w="992" w:type="dxa"/>
          </w:tcPr>
          <w:p w14:paraId="40AC2FF8">
            <w:pPr>
              <w:pStyle w:val="174"/>
              <w:wordWrap w:val="0"/>
              <w:spacing w:line="360" w:lineRule="auto"/>
              <w:jc w:val="center"/>
              <w:rPr>
                <w:rFonts w:ascii="宋体" w:hAnsi="宋体" w:cs="宋体"/>
                <w:color w:val="auto"/>
                <w:szCs w:val="21"/>
                <w:highlight w:val="none"/>
              </w:rPr>
            </w:pPr>
          </w:p>
        </w:tc>
        <w:tc>
          <w:tcPr>
            <w:tcW w:w="993" w:type="dxa"/>
          </w:tcPr>
          <w:p w14:paraId="0E9FC512">
            <w:pPr>
              <w:pStyle w:val="174"/>
              <w:wordWrap w:val="0"/>
              <w:spacing w:line="360" w:lineRule="auto"/>
              <w:jc w:val="center"/>
              <w:rPr>
                <w:rFonts w:ascii="宋体" w:hAnsi="宋体" w:cs="宋体"/>
                <w:color w:val="auto"/>
                <w:szCs w:val="21"/>
                <w:highlight w:val="none"/>
              </w:rPr>
            </w:pPr>
          </w:p>
        </w:tc>
        <w:tc>
          <w:tcPr>
            <w:tcW w:w="850" w:type="dxa"/>
          </w:tcPr>
          <w:p w14:paraId="6FCDA7D1">
            <w:pPr>
              <w:pStyle w:val="174"/>
              <w:wordWrap w:val="0"/>
              <w:spacing w:line="360" w:lineRule="auto"/>
              <w:jc w:val="center"/>
              <w:rPr>
                <w:rFonts w:ascii="宋体" w:hAnsi="宋体" w:cs="宋体"/>
                <w:color w:val="auto"/>
                <w:szCs w:val="21"/>
                <w:highlight w:val="none"/>
              </w:rPr>
            </w:pPr>
          </w:p>
        </w:tc>
        <w:tc>
          <w:tcPr>
            <w:tcW w:w="1177" w:type="dxa"/>
          </w:tcPr>
          <w:p w14:paraId="18D3971A">
            <w:pPr>
              <w:pStyle w:val="174"/>
              <w:wordWrap w:val="0"/>
              <w:spacing w:line="360" w:lineRule="auto"/>
              <w:jc w:val="center"/>
              <w:rPr>
                <w:rFonts w:ascii="宋体" w:hAnsi="宋体" w:cs="宋体"/>
                <w:color w:val="auto"/>
                <w:szCs w:val="21"/>
                <w:highlight w:val="none"/>
              </w:rPr>
            </w:pPr>
          </w:p>
        </w:tc>
        <w:tc>
          <w:tcPr>
            <w:tcW w:w="1049" w:type="dxa"/>
            <w:vAlign w:val="center"/>
          </w:tcPr>
          <w:p w14:paraId="19DC5D82">
            <w:pPr>
              <w:pStyle w:val="174"/>
              <w:wordWrap w:val="0"/>
              <w:spacing w:line="360" w:lineRule="auto"/>
              <w:jc w:val="center"/>
              <w:rPr>
                <w:rFonts w:ascii="宋体" w:hAnsi="宋体" w:cs="宋体"/>
                <w:color w:val="auto"/>
                <w:szCs w:val="21"/>
                <w:highlight w:val="none"/>
              </w:rPr>
            </w:pPr>
          </w:p>
        </w:tc>
        <w:tc>
          <w:tcPr>
            <w:tcW w:w="1049" w:type="dxa"/>
          </w:tcPr>
          <w:p w14:paraId="591A8A71">
            <w:pPr>
              <w:pStyle w:val="174"/>
              <w:wordWrap w:val="0"/>
              <w:spacing w:line="360" w:lineRule="auto"/>
              <w:jc w:val="center"/>
              <w:rPr>
                <w:rFonts w:ascii="宋体" w:hAnsi="宋体" w:cs="宋体"/>
                <w:color w:val="auto"/>
                <w:szCs w:val="21"/>
                <w:highlight w:val="none"/>
              </w:rPr>
            </w:pPr>
          </w:p>
        </w:tc>
      </w:tr>
      <w:tr w14:paraId="4C2E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13124528">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633" w:type="dxa"/>
          </w:tcPr>
          <w:p w14:paraId="1DCE82D6">
            <w:pPr>
              <w:pStyle w:val="174"/>
              <w:wordWrap w:val="0"/>
              <w:spacing w:line="360" w:lineRule="auto"/>
              <w:jc w:val="center"/>
              <w:rPr>
                <w:rFonts w:ascii="宋体" w:hAnsi="宋体" w:cs="宋体"/>
                <w:color w:val="auto"/>
                <w:szCs w:val="21"/>
                <w:highlight w:val="none"/>
              </w:rPr>
            </w:pPr>
          </w:p>
        </w:tc>
        <w:tc>
          <w:tcPr>
            <w:tcW w:w="1276" w:type="dxa"/>
          </w:tcPr>
          <w:p w14:paraId="4A98E62E">
            <w:pPr>
              <w:pStyle w:val="174"/>
              <w:wordWrap w:val="0"/>
              <w:spacing w:line="360" w:lineRule="auto"/>
              <w:jc w:val="center"/>
              <w:rPr>
                <w:rFonts w:ascii="宋体" w:hAnsi="宋体" w:cs="宋体"/>
                <w:color w:val="auto"/>
                <w:szCs w:val="21"/>
                <w:highlight w:val="none"/>
              </w:rPr>
            </w:pPr>
          </w:p>
        </w:tc>
        <w:tc>
          <w:tcPr>
            <w:tcW w:w="992" w:type="dxa"/>
          </w:tcPr>
          <w:p w14:paraId="4586F757">
            <w:pPr>
              <w:pStyle w:val="174"/>
              <w:wordWrap w:val="0"/>
              <w:spacing w:line="360" w:lineRule="auto"/>
              <w:jc w:val="center"/>
              <w:rPr>
                <w:rFonts w:ascii="宋体" w:hAnsi="宋体" w:cs="宋体"/>
                <w:color w:val="auto"/>
                <w:szCs w:val="21"/>
                <w:highlight w:val="none"/>
              </w:rPr>
            </w:pPr>
          </w:p>
        </w:tc>
        <w:tc>
          <w:tcPr>
            <w:tcW w:w="993" w:type="dxa"/>
          </w:tcPr>
          <w:p w14:paraId="2BD20E56">
            <w:pPr>
              <w:pStyle w:val="174"/>
              <w:wordWrap w:val="0"/>
              <w:spacing w:line="360" w:lineRule="auto"/>
              <w:jc w:val="center"/>
              <w:rPr>
                <w:rFonts w:ascii="宋体" w:hAnsi="宋体" w:cs="宋体"/>
                <w:color w:val="auto"/>
                <w:szCs w:val="21"/>
                <w:highlight w:val="none"/>
              </w:rPr>
            </w:pPr>
          </w:p>
        </w:tc>
        <w:tc>
          <w:tcPr>
            <w:tcW w:w="850" w:type="dxa"/>
          </w:tcPr>
          <w:p w14:paraId="4DFB63C5">
            <w:pPr>
              <w:pStyle w:val="174"/>
              <w:wordWrap w:val="0"/>
              <w:spacing w:line="360" w:lineRule="auto"/>
              <w:jc w:val="center"/>
              <w:rPr>
                <w:rFonts w:ascii="宋体" w:hAnsi="宋体" w:cs="宋体"/>
                <w:color w:val="auto"/>
                <w:szCs w:val="21"/>
                <w:highlight w:val="none"/>
              </w:rPr>
            </w:pPr>
          </w:p>
        </w:tc>
        <w:tc>
          <w:tcPr>
            <w:tcW w:w="1177" w:type="dxa"/>
          </w:tcPr>
          <w:p w14:paraId="6A2B7C54">
            <w:pPr>
              <w:pStyle w:val="174"/>
              <w:wordWrap w:val="0"/>
              <w:spacing w:line="360" w:lineRule="auto"/>
              <w:jc w:val="center"/>
              <w:rPr>
                <w:rFonts w:ascii="宋体" w:hAnsi="宋体" w:cs="宋体"/>
                <w:color w:val="auto"/>
                <w:szCs w:val="21"/>
                <w:highlight w:val="none"/>
              </w:rPr>
            </w:pPr>
          </w:p>
        </w:tc>
        <w:tc>
          <w:tcPr>
            <w:tcW w:w="1049" w:type="dxa"/>
            <w:vAlign w:val="center"/>
          </w:tcPr>
          <w:p w14:paraId="5A8409A4">
            <w:pPr>
              <w:pStyle w:val="174"/>
              <w:wordWrap w:val="0"/>
              <w:spacing w:line="360" w:lineRule="auto"/>
              <w:jc w:val="center"/>
              <w:rPr>
                <w:rFonts w:ascii="宋体" w:hAnsi="宋体" w:cs="宋体"/>
                <w:color w:val="auto"/>
                <w:szCs w:val="21"/>
                <w:highlight w:val="none"/>
              </w:rPr>
            </w:pPr>
          </w:p>
        </w:tc>
        <w:tc>
          <w:tcPr>
            <w:tcW w:w="1049" w:type="dxa"/>
          </w:tcPr>
          <w:p w14:paraId="66E2CC2C">
            <w:pPr>
              <w:pStyle w:val="174"/>
              <w:wordWrap w:val="0"/>
              <w:spacing w:line="360" w:lineRule="auto"/>
              <w:jc w:val="center"/>
              <w:rPr>
                <w:rFonts w:ascii="宋体" w:hAnsi="宋体" w:cs="宋体"/>
                <w:color w:val="auto"/>
                <w:szCs w:val="21"/>
                <w:highlight w:val="none"/>
              </w:rPr>
            </w:pPr>
          </w:p>
        </w:tc>
      </w:tr>
      <w:tr w14:paraId="7F10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32D4DF8F">
            <w:pPr>
              <w:pStyle w:val="174"/>
              <w:wordWrap w:val="0"/>
              <w:spacing w:line="360" w:lineRule="auto"/>
              <w:jc w:val="center"/>
              <w:rPr>
                <w:rFonts w:ascii="宋体" w:hAnsi="宋体" w:cs="宋体"/>
                <w:color w:val="auto"/>
                <w:szCs w:val="21"/>
                <w:highlight w:val="none"/>
              </w:rPr>
            </w:pPr>
          </w:p>
        </w:tc>
        <w:tc>
          <w:tcPr>
            <w:tcW w:w="1633" w:type="dxa"/>
          </w:tcPr>
          <w:p w14:paraId="3FC1389A">
            <w:pPr>
              <w:pStyle w:val="174"/>
              <w:wordWrap w:val="0"/>
              <w:spacing w:line="360" w:lineRule="auto"/>
              <w:jc w:val="center"/>
              <w:rPr>
                <w:rFonts w:ascii="宋体" w:hAnsi="宋体" w:cs="宋体"/>
                <w:color w:val="auto"/>
                <w:szCs w:val="21"/>
                <w:highlight w:val="none"/>
              </w:rPr>
            </w:pPr>
          </w:p>
        </w:tc>
        <w:tc>
          <w:tcPr>
            <w:tcW w:w="1276" w:type="dxa"/>
          </w:tcPr>
          <w:p w14:paraId="51E4CF0C">
            <w:pPr>
              <w:pStyle w:val="174"/>
              <w:wordWrap w:val="0"/>
              <w:spacing w:line="360" w:lineRule="auto"/>
              <w:jc w:val="center"/>
              <w:rPr>
                <w:rFonts w:ascii="宋体" w:hAnsi="宋体" w:cs="宋体"/>
                <w:color w:val="auto"/>
                <w:szCs w:val="21"/>
                <w:highlight w:val="none"/>
              </w:rPr>
            </w:pPr>
          </w:p>
        </w:tc>
        <w:tc>
          <w:tcPr>
            <w:tcW w:w="992" w:type="dxa"/>
          </w:tcPr>
          <w:p w14:paraId="476427E1">
            <w:pPr>
              <w:pStyle w:val="174"/>
              <w:wordWrap w:val="0"/>
              <w:spacing w:line="360" w:lineRule="auto"/>
              <w:jc w:val="center"/>
              <w:rPr>
                <w:rFonts w:ascii="宋体" w:hAnsi="宋体" w:cs="宋体"/>
                <w:color w:val="auto"/>
                <w:szCs w:val="21"/>
                <w:highlight w:val="none"/>
              </w:rPr>
            </w:pPr>
          </w:p>
        </w:tc>
        <w:tc>
          <w:tcPr>
            <w:tcW w:w="993" w:type="dxa"/>
          </w:tcPr>
          <w:p w14:paraId="55483FCF">
            <w:pPr>
              <w:pStyle w:val="174"/>
              <w:wordWrap w:val="0"/>
              <w:spacing w:line="360" w:lineRule="auto"/>
              <w:jc w:val="center"/>
              <w:rPr>
                <w:rFonts w:ascii="宋体" w:hAnsi="宋体" w:cs="宋体"/>
                <w:color w:val="auto"/>
                <w:szCs w:val="21"/>
                <w:highlight w:val="none"/>
              </w:rPr>
            </w:pPr>
          </w:p>
        </w:tc>
        <w:tc>
          <w:tcPr>
            <w:tcW w:w="850" w:type="dxa"/>
          </w:tcPr>
          <w:p w14:paraId="2A47B1E2">
            <w:pPr>
              <w:pStyle w:val="174"/>
              <w:wordWrap w:val="0"/>
              <w:spacing w:line="360" w:lineRule="auto"/>
              <w:jc w:val="center"/>
              <w:rPr>
                <w:rFonts w:ascii="宋体" w:hAnsi="宋体" w:cs="宋体"/>
                <w:color w:val="auto"/>
                <w:szCs w:val="21"/>
                <w:highlight w:val="none"/>
              </w:rPr>
            </w:pPr>
          </w:p>
        </w:tc>
        <w:tc>
          <w:tcPr>
            <w:tcW w:w="1177" w:type="dxa"/>
          </w:tcPr>
          <w:p w14:paraId="1446A370">
            <w:pPr>
              <w:pStyle w:val="174"/>
              <w:wordWrap w:val="0"/>
              <w:spacing w:line="360" w:lineRule="auto"/>
              <w:jc w:val="center"/>
              <w:rPr>
                <w:rFonts w:ascii="宋体" w:hAnsi="宋体" w:cs="宋体"/>
                <w:color w:val="auto"/>
                <w:szCs w:val="21"/>
                <w:highlight w:val="none"/>
              </w:rPr>
            </w:pPr>
          </w:p>
        </w:tc>
        <w:tc>
          <w:tcPr>
            <w:tcW w:w="1049" w:type="dxa"/>
            <w:vAlign w:val="center"/>
          </w:tcPr>
          <w:p w14:paraId="6E27F453">
            <w:pPr>
              <w:pStyle w:val="174"/>
              <w:wordWrap w:val="0"/>
              <w:spacing w:line="360" w:lineRule="auto"/>
              <w:jc w:val="center"/>
              <w:rPr>
                <w:rFonts w:ascii="宋体" w:hAnsi="宋体" w:cs="宋体"/>
                <w:color w:val="auto"/>
                <w:szCs w:val="21"/>
                <w:highlight w:val="none"/>
              </w:rPr>
            </w:pPr>
          </w:p>
        </w:tc>
        <w:tc>
          <w:tcPr>
            <w:tcW w:w="1049" w:type="dxa"/>
          </w:tcPr>
          <w:p w14:paraId="0ACECFF7">
            <w:pPr>
              <w:pStyle w:val="174"/>
              <w:wordWrap w:val="0"/>
              <w:spacing w:line="360" w:lineRule="auto"/>
              <w:jc w:val="center"/>
              <w:rPr>
                <w:rFonts w:ascii="宋体" w:hAnsi="宋体" w:cs="宋体"/>
                <w:color w:val="auto"/>
                <w:szCs w:val="21"/>
                <w:highlight w:val="none"/>
              </w:rPr>
            </w:pPr>
          </w:p>
        </w:tc>
      </w:tr>
      <w:tr w14:paraId="5A1B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54B647E9">
            <w:pPr>
              <w:pStyle w:val="174"/>
              <w:wordWrap w:val="0"/>
              <w:spacing w:line="360" w:lineRule="auto"/>
              <w:jc w:val="center"/>
              <w:rPr>
                <w:rFonts w:ascii="宋体" w:hAnsi="宋体" w:cs="宋体"/>
                <w:color w:val="auto"/>
                <w:szCs w:val="21"/>
                <w:highlight w:val="none"/>
              </w:rPr>
            </w:pPr>
          </w:p>
        </w:tc>
        <w:tc>
          <w:tcPr>
            <w:tcW w:w="1633" w:type="dxa"/>
          </w:tcPr>
          <w:p w14:paraId="43BBADDC">
            <w:pPr>
              <w:pStyle w:val="174"/>
              <w:wordWrap w:val="0"/>
              <w:spacing w:line="360" w:lineRule="auto"/>
              <w:jc w:val="center"/>
              <w:rPr>
                <w:rFonts w:ascii="宋体" w:hAnsi="宋体" w:cs="宋体"/>
                <w:color w:val="auto"/>
                <w:szCs w:val="21"/>
                <w:highlight w:val="none"/>
              </w:rPr>
            </w:pPr>
          </w:p>
        </w:tc>
        <w:tc>
          <w:tcPr>
            <w:tcW w:w="1276" w:type="dxa"/>
          </w:tcPr>
          <w:p w14:paraId="31E41F6C">
            <w:pPr>
              <w:pStyle w:val="174"/>
              <w:wordWrap w:val="0"/>
              <w:spacing w:line="360" w:lineRule="auto"/>
              <w:jc w:val="center"/>
              <w:rPr>
                <w:rFonts w:ascii="宋体" w:hAnsi="宋体" w:cs="宋体"/>
                <w:color w:val="auto"/>
                <w:szCs w:val="21"/>
                <w:highlight w:val="none"/>
              </w:rPr>
            </w:pPr>
          </w:p>
        </w:tc>
        <w:tc>
          <w:tcPr>
            <w:tcW w:w="992" w:type="dxa"/>
          </w:tcPr>
          <w:p w14:paraId="26190E07">
            <w:pPr>
              <w:pStyle w:val="174"/>
              <w:wordWrap w:val="0"/>
              <w:spacing w:line="360" w:lineRule="auto"/>
              <w:jc w:val="center"/>
              <w:rPr>
                <w:rFonts w:ascii="宋体" w:hAnsi="宋体" w:cs="宋体"/>
                <w:color w:val="auto"/>
                <w:szCs w:val="21"/>
                <w:highlight w:val="none"/>
              </w:rPr>
            </w:pPr>
          </w:p>
        </w:tc>
        <w:tc>
          <w:tcPr>
            <w:tcW w:w="993" w:type="dxa"/>
          </w:tcPr>
          <w:p w14:paraId="13E37ED6">
            <w:pPr>
              <w:pStyle w:val="174"/>
              <w:wordWrap w:val="0"/>
              <w:spacing w:line="360" w:lineRule="auto"/>
              <w:jc w:val="center"/>
              <w:rPr>
                <w:rFonts w:ascii="宋体" w:hAnsi="宋体" w:cs="宋体"/>
                <w:color w:val="auto"/>
                <w:szCs w:val="21"/>
                <w:highlight w:val="none"/>
              </w:rPr>
            </w:pPr>
          </w:p>
        </w:tc>
        <w:tc>
          <w:tcPr>
            <w:tcW w:w="850" w:type="dxa"/>
          </w:tcPr>
          <w:p w14:paraId="2311E2A4">
            <w:pPr>
              <w:pStyle w:val="174"/>
              <w:wordWrap w:val="0"/>
              <w:spacing w:line="360" w:lineRule="auto"/>
              <w:jc w:val="center"/>
              <w:rPr>
                <w:rFonts w:ascii="宋体" w:hAnsi="宋体" w:cs="宋体"/>
                <w:color w:val="auto"/>
                <w:szCs w:val="21"/>
                <w:highlight w:val="none"/>
              </w:rPr>
            </w:pPr>
          </w:p>
        </w:tc>
        <w:tc>
          <w:tcPr>
            <w:tcW w:w="1177" w:type="dxa"/>
          </w:tcPr>
          <w:p w14:paraId="4972A3C1">
            <w:pPr>
              <w:pStyle w:val="174"/>
              <w:wordWrap w:val="0"/>
              <w:spacing w:line="360" w:lineRule="auto"/>
              <w:jc w:val="center"/>
              <w:rPr>
                <w:rFonts w:ascii="宋体" w:hAnsi="宋体" w:cs="宋体"/>
                <w:color w:val="auto"/>
                <w:szCs w:val="21"/>
                <w:highlight w:val="none"/>
              </w:rPr>
            </w:pPr>
          </w:p>
        </w:tc>
        <w:tc>
          <w:tcPr>
            <w:tcW w:w="1049" w:type="dxa"/>
            <w:vAlign w:val="center"/>
          </w:tcPr>
          <w:p w14:paraId="20D381A7">
            <w:pPr>
              <w:pStyle w:val="174"/>
              <w:wordWrap w:val="0"/>
              <w:spacing w:line="360" w:lineRule="auto"/>
              <w:jc w:val="center"/>
              <w:rPr>
                <w:rFonts w:ascii="宋体" w:hAnsi="宋体" w:cs="宋体"/>
                <w:color w:val="auto"/>
                <w:szCs w:val="21"/>
                <w:highlight w:val="none"/>
              </w:rPr>
            </w:pPr>
          </w:p>
        </w:tc>
        <w:tc>
          <w:tcPr>
            <w:tcW w:w="1049" w:type="dxa"/>
          </w:tcPr>
          <w:p w14:paraId="67FA161A">
            <w:pPr>
              <w:pStyle w:val="174"/>
              <w:wordWrap w:val="0"/>
              <w:spacing w:line="360" w:lineRule="auto"/>
              <w:jc w:val="center"/>
              <w:rPr>
                <w:rFonts w:ascii="宋体" w:hAnsi="宋体" w:cs="宋体"/>
                <w:color w:val="auto"/>
                <w:szCs w:val="21"/>
                <w:highlight w:val="none"/>
              </w:rPr>
            </w:pPr>
          </w:p>
        </w:tc>
      </w:tr>
      <w:tr w14:paraId="1D03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Align w:val="center"/>
          </w:tcPr>
          <w:p w14:paraId="6566175D">
            <w:pPr>
              <w:pStyle w:val="174"/>
              <w:wordWrap w:val="0"/>
              <w:spacing w:line="360" w:lineRule="auto"/>
              <w:jc w:val="center"/>
              <w:rPr>
                <w:rFonts w:ascii="宋体" w:hAnsi="宋体" w:cs="宋体"/>
                <w:color w:val="auto"/>
                <w:szCs w:val="21"/>
                <w:highlight w:val="none"/>
              </w:rPr>
            </w:pPr>
          </w:p>
        </w:tc>
        <w:tc>
          <w:tcPr>
            <w:tcW w:w="4894" w:type="dxa"/>
            <w:gridSpan w:val="4"/>
            <w:vAlign w:val="center"/>
          </w:tcPr>
          <w:p w14:paraId="2F132A45">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850" w:type="dxa"/>
            <w:vAlign w:val="center"/>
          </w:tcPr>
          <w:p w14:paraId="1C8DC806">
            <w:pPr>
              <w:pStyle w:val="174"/>
              <w:wordWrap w:val="0"/>
              <w:spacing w:line="360" w:lineRule="auto"/>
              <w:jc w:val="center"/>
              <w:rPr>
                <w:rFonts w:ascii="宋体" w:hAnsi="宋体" w:cs="宋体"/>
                <w:color w:val="auto"/>
                <w:szCs w:val="21"/>
                <w:highlight w:val="none"/>
              </w:rPr>
            </w:pPr>
          </w:p>
        </w:tc>
        <w:tc>
          <w:tcPr>
            <w:tcW w:w="3275" w:type="dxa"/>
            <w:gridSpan w:val="3"/>
            <w:vAlign w:val="center"/>
          </w:tcPr>
          <w:p w14:paraId="6199BB35">
            <w:pPr>
              <w:pStyle w:val="15"/>
              <w:rPr>
                <w:rFonts w:ascii="宋体" w:hAnsi="宋体" w:cs="宋体"/>
                <w:color w:val="auto"/>
                <w:szCs w:val="21"/>
                <w:highlight w:val="none"/>
              </w:rPr>
            </w:pPr>
          </w:p>
        </w:tc>
      </w:tr>
    </w:tbl>
    <w:p w14:paraId="006BA049">
      <w:pPr>
        <w:pStyle w:val="174"/>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说明：1、投标人必须填写报价明细表，否则将导致投标被拒绝。</w:t>
      </w:r>
    </w:p>
    <w:p w14:paraId="1E89738B">
      <w:pPr>
        <w:pStyle w:val="174"/>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2、报价分析表中的“投标总价”应等于“开标一览表”中的“投标总价”。</w:t>
      </w:r>
    </w:p>
    <w:p w14:paraId="6D54673D">
      <w:pPr>
        <w:pStyle w:val="174"/>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3、报价项目填报不下的，可自行扩展。</w:t>
      </w:r>
    </w:p>
    <w:p w14:paraId="7F2BF43F">
      <w:pPr>
        <w:pStyle w:val="174"/>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4、上表中“企业类型”栏填写“中型/小型/微型/监狱企业/残疾人福利性单位”,划型标准见投标须知前附表。</w:t>
      </w:r>
    </w:p>
    <w:p w14:paraId="7B8DA66C">
      <w:pPr>
        <w:pStyle w:val="174"/>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根据本项目落实政府采购政策需满足的资格要求，一标段产品制造商均应为中小微企业，二标段产品制造商为中小微企业的产品金额应不低于本采购项目落实政府采购政策需满足的资格要求中规定的份额要求。</w:t>
      </w:r>
    </w:p>
    <w:p w14:paraId="6403B142">
      <w:pPr>
        <w:pStyle w:val="174"/>
        <w:wordWrap w:val="0"/>
        <w:spacing w:line="360" w:lineRule="auto"/>
        <w:rPr>
          <w:rFonts w:ascii="宋体" w:hAnsi="宋体" w:cs="宋体"/>
          <w:color w:val="auto"/>
          <w:szCs w:val="21"/>
          <w:highlight w:val="none"/>
        </w:rPr>
      </w:pPr>
    </w:p>
    <w:p w14:paraId="36E356E9">
      <w:pPr>
        <w:pStyle w:val="174"/>
        <w:ind w:firstLine="4252" w:firstLineChars="2025"/>
        <w:rPr>
          <w:rFonts w:ascii="宋体" w:hAnsi="宋体" w:cs="宋体"/>
          <w:color w:val="auto"/>
          <w:szCs w:val="21"/>
          <w:highlight w:val="none"/>
        </w:rPr>
      </w:pPr>
    </w:p>
    <w:p w14:paraId="217780DA">
      <w:pPr>
        <w:pStyle w:val="174"/>
        <w:ind w:firstLine="4252" w:firstLineChars="2025"/>
        <w:rPr>
          <w:rFonts w:ascii="宋体" w:hAnsi="宋体" w:cs="宋体"/>
          <w:color w:val="auto"/>
          <w:szCs w:val="21"/>
          <w:highlight w:val="none"/>
        </w:rPr>
      </w:pPr>
      <w:r>
        <w:rPr>
          <w:rFonts w:hint="eastAsia" w:ascii="宋体" w:hAnsi="宋体" w:cs="宋体"/>
          <w:color w:val="auto"/>
          <w:szCs w:val="21"/>
          <w:highlight w:val="none"/>
        </w:rPr>
        <w:t>投标人名称（章）：</w:t>
      </w:r>
    </w:p>
    <w:p w14:paraId="39233BC6">
      <w:pPr>
        <w:pStyle w:val="174"/>
        <w:ind w:firstLine="4252" w:firstLineChars="2025"/>
        <w:rPr>
          <w:rFonts w:ascii="宋体" w:hAnsi="宋体" w:cs="宋体"/>
          <w:color w:val="auto"/>
          <w:szCs w:val="21"/>
          <w:highlight w:val="none"/>
        </w:rPr>
      </w:pPr>
      <w:r>
        <w:rPr>
          <w:rFonts w:hint="eastAsia" w:ascii="宋体" w:hAnsi="宋体" w:cs="宋体"/>
          <w:color w:val="auto"/>
          <w:szCs w:val="21"/>
          <w:highlight w:val="none"/>
        </w:rPr>
        <w:t>法定代表人或其委托代理人：         （签字）</w:t>
      </w:r>
    </w:p>
    <w:p w14:paraId="7ECCC078">
      <w:pPr>
        <w:pStyle w:val="174"/>
        <w:wordWrap w:val="0"/>
        <w:jc w:val="right"/>
        <w:rPr>
          <w:rFonts w:ascii="宋体" w:hAnsi="宋体" w:cs="宋体"/>
          <w:color w:val="auto"/>
          <w:sz w:val="24"/>
          <w:szCs w:val="24"/>
          <w:highlight w:val="none"/>
        </w:rPr>
      </w:pPr>
      <w:r>
        <w:rPr>
          <w:rFonts w:hint="eastAsia" w:ascii="宋体" w:hAnsi="宋体" w:cs="宋体"/>
          <w:color w:val="auto"/>
          <w:szCs w:val="21"/>
          <w:highlight w:val="none"/>
        </w:rPr>
        <w:t>年   月   日</w:t>
      </w:r>
    </w:p>
    <w:p w14:paraId="0F1B0EDE">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14:paraId="5132A185">
      <w:pPr>
        <w:wordWrap w:val="0"/>
        <w:jc w:val="center"/>
        <w:rPr>
          <w:rFonts w:ascii="宋体" w:hAnsi="宋体" w:cs="宋体"/>
          <w:b/>
          <w:bCs/>
          <w:color w:val="auto"/>
          <w:kern w:val="0"/>
          <w:sz w:val="36"/>
          <w:szCs w:val="36"/>
          <w:highlight w:val="none"/>
        </w:rPr>
      </w:pPr>
      <w:bookmarkStart w:id="46" w:name="_Toc10918"/>
      <w:r>
        <w:rPr>
          <w:rFonts w:hint="eastAsia" w:ascii="宋体" w:hAnsi="宋体" w:cs="宋体"/>
          <w:b/>
          <w:bCs/>
          <w:color w:val="auto"/>
          <w:kern w:val="0"/>
          <w:sz w:val="36"/>
          <w:szCs w:val="36"/>
          <w:highlight w:val="none"/>
        </w:rPr>
        <w:t>五、投标人基本情况表</w:t>
      </w:r>
      <w:bookmarkEnd w:id="46"/>
    </w:p>
    <w:p w14:paraId="748FBB5E">
      <w:pPr>
        <w:wordWrap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盖投标人单位公章</w:t>
      </w:r>
    </w:p>
    <w:tbl>
      <w:tblPr>
        <w:tblStyle w:val="40"/>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16"/>
        <w:gridCol w:w="798"/>
        <w:gridCol w:w="782"/>
        <w:gridCol w:w="1716"/>
        <w:gridCol w:w="159"/>
        <w:gridCol w:w="781"/>
        <w:gridCol w:w="569"/>
        <w:gridCol w:w="1010"/>
        <w:gridCol w:w="465"/>
        <w:gridCol w:w="1213"/>
      </w:tblGrid>
      <w:tr w14:paraId="10A2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5" w:type="dxa"/>
            <w:gridSpan w:val="3"/>
            <w:vAlign w:val="center"/>
          </w:tcPr>
          <w:p w14:paraId="2717D1D7">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4007" w:type="dxa"/>
            <w:gridSpan w:val="5"/>
            <w:vAlign w:val="center"/>
          </w:tcPr>
          <w:p w14:paraId="0E59E416">
            <w:pPr>
              <w:wordWrap w:val="0"/>
              <w:spacing w:line="360" w:lineRule="auto"/>
              <w:jc w:val="center"/>
              <w:rPr>
                <w:rFonts w:ascii="宋体" w:hAnsi="宋体" w:cs="宋体"/>
                <w:color w:val="auto"/>
                <w:kern w:val="0"/>
                <w:szCs w:val="21"/>
                <w:highlight w:val="none"/>
              </w:rPr>
            </w:pPr>
          </w:p>
        </w:tc>
        <w:tc>
          <w:tcPr>
            <w:tcW w:w="1475" w:type="dxa"/>
            <w:gridSpan w:val="2"/>
            <w:vAlign w:val="center"/>
          </w:tcPr>
          <w:p w14:paraId="5011AB4A">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213" w:type="dxa"/>
            <w:vAlign w:val="center"/>
          </w:tcPr>
          <w:p w14:paraId="267C0BCF">
            <w:pPr>
              <w:wordWrap w:val="0"/>
              <w:spacing w:line="360" w:lineRule="auto"/>
              <w:jc w:val="center"/>
              <w:rPr>
                <w:rFonts w:ascii="宋体" w:hAnsi="宋体" w:cs="宋体"/>
                <w:color w:val="auto"/>
                <w:kern w:val="0"/>
                <w:szCs w:val="21"/>
                <w:highlight w:val="none"/>
              </w:rPr>
            </w:pPr>
          </w:p>
        </w:tc>
      </w:tr>
      <w:tr w14:paraId="0833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5" w:type="dxa"/>
            <w:gridSpan w:val="3"/>
            <w:vAlign w:val="center"/>
          </w:tcPr>
          <w:p w14:paraId="2BD31D63">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组织机构代码</w:t>
            </w:r>
          </w:p>
        </w:tc>
        <w:tc>
          <w:tcPr>
            <w:tcW w:w="4007" w:type="dxa"/>
            <w:gridSpan w:val="5"/>
            <w:vAlign w:val="center"/>
          </w:tcPr>
          <w:p w14:paraId="1DC9CE46">
            <w:pPr>
              <w:wordWrap w:val="0"/>
              <w:spacing w:line="360" w:lineRule="auto"/>
              <w:jc w:val="center"/>
              <w:rPr>
                <w:rFonts w:ascii="宋体" w:hAnsi="宋体" w:cs="宋体"/>
                <w:color w:val="auto"/>
                <w:kern w:val="0"/>
                <w:szCs w:val="21"/>
                <w:highlight w:val="none"/>
              </w:rPr>
            </w:pPr>
          </w:p>
        </w:tc>
        <w:tc>
          <w:tcPr>
            <w:tcW w:w="1475" w:type="dxa"/>
            <w:gridSpan w:val="2"/>
            <w:vAlign w:val="center"/>
          </w:tcPr>
          <w:p w14:paraId="4C6E3266">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1213" w:type="dxa"/>
            <w:vAlign w:val="center"/>
          </w:tcPr>
          <w:p w14:paraId="0487AFF9">
            <w:pPr>
              <w:wordWrap w:val="0"/>
              <w:spacing w:line="360" w:lineRule="auto"/>
              <w:jc w:val="center"/>
              <w:rPr>
                <w:rFonts w:ascii="宋体" w:hAnsi="宋体" w:cs="宋体"/>
                <w:color w:val="auto"/>
                <w:kern w:val="0"/>
                <w:szCs w:val="21"/>
                <w:highlight w:val="none"/>
              </w:rPr>
            </w:pPr>
          </w:p>
        </w:tc>
      </w:tr>
      <w:tr w14:paraId="4911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5" w:type="dxa"/>
            <w:gridSpan w:val="3"/>
            <w:vAlign w:val="center"/>
          </w:tcPr>
          <w:p w14:paraId="352BBDB7">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委托代理人</w:t>
            </w:r>
          </w:p>
        </w:tc>
        <w:tc>
          <w:tcPr>
            <w:tcW w:w="4007" w:type="dxa"/>
            <w:gridSpan w:val="5"/>
            <w:vAlign w:val="center"/>
          </w:tcPr>
          <w:p w14:paraId="6F04B14B">
            <w:pPr>
              <w:wordWrap w:val="0"/>
              <w:spacing w:line="360" w:lineRule="auto"/>
              <w:jc w:val="center"/>
              <w:rPr>
                <w:rFonts w:ascii="宋体" w:hAnsi="宋体" w:cs="宋体"/>
                <w:color w:val="auto"/>
                <w:kern w:val="0"/>
                <w:szCs w:val="21"/>
                <w:highlight w:val="none"/>
              </w:rPr>
            </w:pPr>
          </w:p>
        </w:tc>
        <w:tc>
          <w:tcPr>
            <w:tcW w:w="1475" w:type="dxa"/>
            <w:gridSpan w:val="2"/>
            <w:vAlign w:val="center"/>
          </w:tcPr>
          <w:p w14:paraId="6AAF59A2">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电子邮箱</w:t>
            </w:r>
          </w:p>
        </w:tc>
        <w:tc>
          <w:tcPr>
            <w:tcW w:w="1213" w:type="dxa"/>
            <w:vAlign w:val="center"/>
          </w:tcPr>
          <w:p w14:paraId="444B707E">
            <w:pPr>
              <w:wordWrap w:val="0"/>
              <w:spacing w:line="360" w:lineRule="auto"/>
              <w:jc w:val="center"/>
              <w:rPr>
                <w:rFonts w:ascii="宋体" w:hAnsi="宋体" w:cs="宋体"/>
                <w:color w:val="auto"/>
                <w:kern w:val="0"/>
                <w:szCs w:val="21"/>
                <w:highlight w:val="none"/>
              </w:rPr>
            </w:pPr>
          </w:p>
        </w:tc>
      </w:tr>
      <w:tr w14:paraId="2583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5" w:type="dxa"/>
            <w:gridSpan w:val="3"/>
            <w:vAlign w:val="center"/>
          </w:tcPr>
          <w:p w14:paraId="5C90C3D3">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上年营业收入</w:t>
            </w:r>
          </w:p>
        </w:tc>
        <w:tc>
          <w:tcPr>
            <w:tcW w:w="4007" w:type="dxa"/>
            <w:gridSpan w:val="5"/>
            <w:vAlign w:val="center"/>
          </w:tcPr>
          <w:p w14:paraId="56BE6F1E">
            <w:pPr>
              <w:wordWrap w:val="0"/>
              <w:spacing w:line="360" w:lineRule="auto"/>
              <w:jc w:val="center"/>
              <w:rPr>
                <w:rFonts w:ascii="宋体" w:hAnsi="宋体" w:cs="宋体"/>
                <w:color w:val="auto"/>
                <w:kern w:val="0"/>
                <w:szCs w:val="21"/>
                <w:highlight w:val="none"/>
              </w:rPr>
            </w:pPr>
          </w:p>
        </w:tc>
        <w:tc>
          <w:tcPr>
            <w:tcW w:w="1475" w:type="dxa"/>
            <w:gridSpan w:val="2"/>
            <w:vAlign w:val="center"/>
          </w:tcPr>
          <w:p w14:paraId="7E0BC735">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c>
          <w:tcPr>
            <w:tcW w:w="1213" w:type="dxa"/>
            <w:vAlign w:val="center"/>
          </w:tcPr>
          <w:p w14:paraId="7789AC10">
            <w:pPr>
              <w:wordWrap w:val="0"/>
              <w:spacing w:line="360" w:lineRule="auto"/>
              <w:jc w:val="center"/>
              <w:rPr>
                <w:rFonts w:ascii="宋体" w:hAnsi="宋体" w:cs="宋体"/>
                <w:color w:val="auto"/>
                <w:kern w:val="0"/>
                <w:szCs w:val="21"/>
                <w:highlight w:val="none"/>
              </w:rPr>
            </w:pPr>
          </w:p>
        </w:tc>
      </w:tr>
      <w:tr w14:paraId="4D51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5" w:type="dxa"/>
            <w:gridSpan w:val="3"/>
            <w:vAlign w:val="center"/>
          </w:tcPr>
          <w:p w14:paraId="04EC7F5C">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固定电话</w:t>
            </w:r>
          </w:p>
        </w:tc>
        <w:tc>
          <w:tcPr>
            <w:tcW w:w="4007" w:type="dxa"/>
            <w:gridSpan w:val="5"/>
            <w:vAlign w:val="center"/>
          </w:tcPr>
          <w:p w14:paraId="6BFE444D">
            <w:pPr>
              <w:wordWrap w:val="0"/>
              <w:spacing w:line="360" w:lineRule="auto"/>
              <w:jc w:val="center"/>
              <w:rPr>
                <w:rFonts w:ascii="宋体" w:hAnsi="宋体" w:cs="宋体"/>
                <w:color w:val="auto"/>
                <w:kern w:val="0"/>
                <w:szCs w:val="21"/>
                <w:highlight w:val="none"/>
              </w:rPr>
            </w:pPr>
          </w:p>
        </w:tc>
        <w:tc>
          <w:tcPr>
            <w:tcW w:w="1475" w:type="dxa"/>
            <w:gridSpan w:val="2"/>
            <w:vAlign w:val="center"/>
          </w:tcPr>
          <w:p w14:paraId="768CD714">
            <w:pPr>
              <w:wordWrap w:val="0"/>
              <w:spacing w:line="360" w:lineRule="auto"/>
              <w:jc w:val="center"/>
              <w:rPr>
                <w:rFonts w:ascii="宋体" w:hAnsi="宋体" w:cs="宋体"/>
                <w:color w:val="auto"/>
                <w:kern w:val="0"/>
                <w:szCs w:val="21"/>
                <w:highlight w:val="none"/>
              </w:rPr>
            </w:pPr>
          </w:p>
        </w:tc>
        <w:tc>
          <w:tcPr>
            <w:tcW w:w="1213" w:type="dxa"/>
            <w:vAlign w:val="center"/>
          </w:tcPr>
          <w:p w14:paraId="5C04B75C">
            <w:pPr>
              <w:wordWrap w:val="0"/>
              <w:spacing w:line="360" w:lineRule="auto"/>
              <w:jc w:val="center"/>
              <w:rPr>
                <w:rFonts w:ascii="宋体" w:hAnsi="宋体" w:cs="宋体"/>
                <w:color w:val="auto"/>
                <w:kern w:val="0"/>
                <w:szCs w:val="21"/>
                <w:highlight w:val="none"/>
              </w:rPr>
            </w:pPr>
          </w:p>
        </w:tc>
      </w:tr>
      <w:tr w14:paraId="635E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1" w:type="dxa"/>
            <w:vMerge w:val="restart"/>
            <w:vAlign w:val="center"/>
          </w:tcPr>
          <w:p w14:paraId="73B7DE0C">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96" w:type="dxa"/>
            <w:gridSpan w:val="3"/>
            <w:vAlign w:val="center"/>
          </w:tcPr>
          <w:p w14:paraId="121C2FF9">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注册号码</w:t>
            </w:r>
          </w:p>
        </w:tc>
        <w:tc>
          <w:tcPr>
            <w:tcW w:w="1875" w:type="dxa"/>
            <w:gridSpan w:val="2"/>
            <w:vAlign w:val="center"/>
          </w:tcPr>
          <w:p w14:paraId="7A374FEE">
            <w:pPr>
              <w:wordWrap w:val="0"/>
              <w:spacing w:line="360" w:lineRule="auto"/>
              <w:jc w:val="center"/>
              <w:rPr>
                <w:rFonts w:ascii="宋体" w:hAnsi="宋体" w:cs="宋体"/>
                <w:color w:val="auto"/>
                <w:kern w:val="0"/>
                <w:szCs w:val="21"/>
                <w:highlight w:val="none"/>
              </w:rPr>
            </w:pPr>
          </w:p>
        </w:tc>
        <w:tc>
          <w:tcPr>
            <w:tcW w:w="1350" w:type="dxa"/>
            <w:gridSpan w:val="2"/>
            <w:vAlign w:val="center"/>
          </w:tcPr>
          <w:p w14:paraId="56979BEA">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2688" w:type="dxa"/>
            <w:gridSpan w:val="3"/>
            <w:vAlign w:val="center"/>
          </w:tcPr>
          <w:p w14:paraId="33B40208">
            <w:pPr>
              <w:wordWrap w:val="0"/>
              <w:spacing w:line="360" w:lineRule="auto"/>
              <w:jc w:val="center"/>
              <w:rPr>
                <w:rFonts w:ascii="宋体" w:hAnsi="宋体" w:cs="宋体"/>
                <w:color w:val="auto"/>
                <w:kern w:val="0"/>
                <w:szCs w:val="21"/>
                <w:highlight w:val="none"/>
              </w:rPr>
            </w:pPr>
          </w:p>
        </w:tc>
      </w:tr>
      <w:tr w14:paraId="4D02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1" w:type="dxa"/>
            <w:vMerge w:val="continue"/>
            <w:vAlign w:val="center"/>
          </w:tcPr>
          <w:p w14:paraId="488BC0F0">
            <w:pPr>
              <w:wordWrap w:val="0"/>
              <w:spacing w:line="360" w:lineRule="auto"/>
              <w:jc w:val="center"/>
              <w:rPr>
                <w:rFonts w:ascii="宋体" w:hAnsi="宋体" w:cs="宋体"/>
                <w:color w:val="auto"/>
                <w:kern w:val="0"/>
                <w:szCs w:val="21"/>
                <w:highlight w:val="none"/>
              </w:rPr>
            </w:pPr>
          </w:p>
        </w:tc>
        <w:tc>
          <w:tcPr>
            <w:tcW w:w="1996" w:type="dxa"/>
            <w:gridSpan w:val="3"/>
            <w:vAlign w:val="center"/>
          </w:tcPr>
          <w:p w14:paraId="0E2D0FD8">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发证机关</w:t>
            </w:r>
          </w:p>
        </w:tc>
        <w:tc>
          <w:tcPr>
            <w:tcW w:w="1875" w:type="dxa"/>
            <w:gridSpan w:val="2"/>
            <w:vAlign w:val="center"/>
          </w:tcPr>
          <w:p w14:paraId="05CFF6D0">
            <w:pPr>
              <w:wordWrap w:val="0"/>
              <w:spacing w:line="360" w:lineRule="auto"/>
              <w:jc w:val="center"/>
              <w:rPr>
                <w:rFonts w:ascii="宋体" w:hAnsi="宋体" w:cs="宋体"/>
                <w:color w:val="auto"/>
                <w:kern w:val="0"/>
                <w:szCs w:val="21"/>
                <w:highlight w:val="none"/>
              </w:rPr>
            </w:pPr>
          </w:p>
        </w:tc>
        <w:tc>
          <w:tcPr>
            <w:tcW w:w="1350" w:type="dxa"/>
            <w:gridSpan w:val="2"/>
            <w:vAlign w:val="center"/>
          </w:tcPr>
          <w:p w14:paraId="094BCED7">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发证日期</w:t>
            </w:r>
          </w:p>
        </w:tc>
        <w:tc>
          <w:tcPr>
            <w:tcW w:w="2688" w:type="dxa"/>
            <w:gridSpan w:val="3"/>
            <w:vAlign w:val="center"/>
          </w:tcPr>
          <w:p w14:paraId="475EA7BB">
            <w:pPr>
              <w:wordWrap w:val="0"/>
              <w:spacing w:line="360" w:lineRule="auto"/>
              <w:jc w:val="center"/>
              <w:rPr>
                <w:rFonts w:ascii="宋体" w:hAnsi="宋体" w:cs="宋体"/>
                <w:color w:val="auto"/>
                <w:kern w:val="0"/>
                <w:szCs w:val="21"/>
                <w:highlight w:val="none"/>
              </w:rPr>
            </w:pPr>
          </w:p>
        </w:tc>
      </w:tr>
      <w:tr w14:paraId="48A3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1" w:type="dxa"/>
            <w:vMerge w:val="continue"/>
            <w:vAlign w:val="center"/>
          </w:tcPr>
          <w:p w14:paraId="114C3023">
            <w:pPr>
              <w:wordWrap w:val="0"/>
              <w:spacing w:line="360" w:lineRule="auto"/>
              <w:jc w:val="center"/>
              <w:rPr>
                <w:rFonts w:ascii="宋体" w:hAnsi="宋体" w:cs="宋体"/>
                <w:color w:val="auto"/>
                <w:kern w:val="0"/>
                <w:szCs w:val="21"/>
                <w:highlight w:val="none"/>
              </w:rPr>
            </w:pPr>
          </w:p>
        </w:tc>
        <w:tc>
          <w:tcPr>
            <w:tcW w:w="1996" w:type="dxa"/>
            <w:gridSpan w:val="3"/>
            <w:vAlign w:val="center"/>
          </w:tcPr>
          <w:p w14:paraId="75D35FAF">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营业范围（主营）</w:t>
            </w:r>
          </w:p>
        </w:tc>
        <w:tc>
          <w:tcPr>
            <w:tcW w:w="5913" w:type="dxa"/>
            <w:gridSpan w:val="7"/>
            <w:vAlign w:val="center"/>
          </w:tcPr>
          <w:p w14:paraId="5C1477BB">
            <w:pPr>
              <w:wordWrap w:val="0"/>
              <w:spacing w:line="360" w:lineRule="auto"/>
              <w:jc w:val="center"/>
              <w:rPr>
                <w:rFonts w:ascii="宋体" w:hAnsi="宋体" w:cs="宋体"/>
                <w:color w:val="auto"/>
                <w:kern w:val="0"/>
                <w:szCs w:val="21"/>
                <w:highlight w:val="none"/>
              </w:rPr>
            </w:pPr>
          </w:p>
        </w:tc>
      </w:tr>
      <w:tr w14:paraId="7DA5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1" w:type="dxa"/>
            <w:vMerge w:val="continue"/>
            <w:vAlign w:val="center"/>
          </w:tcPr>
          <w:p w14:paraId="78A40823">
            <w:pPr>
              <w:wordWrap w:val="0"/>
              <w:spacing w:line="360" w:lineRule="auto"/>
              <w:jc w:val="center"/>
              <w:rPr>
                <w:rFonts w:ascii="宋体" w:hAnsi="宋体" w:cs="宋体"/>
                <w:color w:val="auto"/>
                <w:kern w:val="0"/>
                <w:szCs w:val="21"/>
                <w:highlight w:val="none"/>
              </w:rPr>
            </w:pPr>
          </w:p>
        </w:tc>
        <w:tc>
          <w:tcPr>
            <w:tcW w:w="1996" w:type="dxa"/>
            <w:gridSpan w:val="3"/>
            <w:vAlign w:val="center"/>
          </w:tcPr>
          <w:p w14:paraId="4E25C68B">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营业范围（兼营）</w:t>
            </w:r>
          </w:p>
        </w:tc>
        <w:tc>
          <w:tcPr>
            <w:tcW w:w="5913" w:type="dxa"/>
            <w:gridSpan w:val="7"/>
            <w:vAlign w:val="center"/>
          </w:tcPr>
          <w:p w14:paraId="4514F388">
            <w:pPr>
              <w:wordWrap w:val="0"/>
              <w:spacing w:line="360" w:lineRule="auto"/>
              <w:jc w:val="center"/>
              <w:rPr>
                <w:rFonts w:ascii="宋体" w:hAnsi="宋体" w:cs="宋体"/>
                <w:color w:val="auto"/>
                <w:kern w:val="0"/>
                <w:szCs w:val="21"/>
                <w:highlight w:val="none"/>
              </w:rPr>
            </w:pPr>
          </w:p>
        </w:tc>
      </w:tr>
      <w:tr w14:paraId="73BD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47" w:type="dxa"/>
            <w:gridSpan w:val="4"/>
            <w:vAlign w:val="center"/>
          </w:tcPr>
          <w:p w14:paraId="000FC381">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基本账户开户行及帐号</w:t>
            </w:r>
          </w:p>
        </w:tc>
        <w:tc>
          <w:tcPr>
            <w:tcW w:w="5913" w:type="dxa"/>
            <w:gridSpan w:val="7"/>
            <w:vAlign w:val="center"/>
          </w:tcPr>
          <w:p w14:paraId="3555F921">
            <w:pPr>
              <w:wordWrap w:val="0"/>
              <w:spacing w:line="360" w:lineRule="auto"/>
              <w:jc w:val="center"/>
              <w:rPr>
                <w:rFonts w:ascii="宋体" w:hAnsi="宋体" w:cs="宋体"/>
                <w:color w:val="auto"/>
                <w:kern w:val="0"/>
                <w:szCs w:val="21"/>
                <w:highlight w:val="none"/>
              </w:rPr>
            </w:pPr>
          </w:p>
        </w:tc>
      </w:tr>
      <w:tr w14:paraId="592A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47" w:type="dxa"/>
            <w:gridSpan w:val="4"/>
            <w:vAlign w:val="center"/>
          </w:tcPr>
          <w:p w14:paraId="15A73971">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税务登记机关</w:t>
            </w:r>
          </w:p>
        </w:tc>
        <w:tc>
          <w:tcPr>
            <w:tcW w:w="5913" w:type="dxa"/>
            <w:gridSpan w:val="7"/>
            <w:vAlign w:val="center"/>
          </w:tcPr>
          <w:p w14:paraId="241D23DD">
            <w:pPr>
              <w:wordWrap w:val="0"/>
              <w:spacing w:line="360" w:lineRule="auto"/>
              <w:jc w:val="center"/>
              <w:rPr>
                <w:rFonts w:ascii="宋体" w:hAnsi="宋体" w:cs="宋体"/>
                <w:color w:val="auto"/>
                <w:kern w:val="0"/>
                <w:szCs w:val="21"/>
                <w:highlight w:val="none"/>
              </w:rPr>
            </w:pPr>
          </w:p>
        </w:tc>
      </w:tr>
      <w:tr w14:paraId="4920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463" w:type="dxa"/>
            <w:gridSpan w:val="5"/>
            <w:vAlign w:val="center"/>
          </w:tcPr>
          <w:p w14:paraId="3DDF41ED">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资质名称</w:t>
            </w:r>
          </w:p>
        </w:tc>
        <w:tc>
          <w:tcPr>
            <w:tcW w:w="940" w:type="dxa"/>
            <w:gridSpan w:val="2"/>
            <w:vAlign w:val="center"/>
          </w:tcPr>
          <w:p w14:paraId="571E295A">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等级</w:t>
            </w:r>
          </w:p>
        </w:tc>
        <w:tc>
          <w:tcPr>
            <w:tcW w:w="1579" w:type="dxa"/>
            <w:gridSpan w:val="2"/>
            <w:vAlign w:val="center"/>
          </w:tcPr>
          <w:p w14:paraId="6B1DAE99">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发证机关</w:t>
            </w:r>
          </w:p>
        </w:tc>
        <w:tc>
          <w:tcPr>
            <w:tcW w:w="1678" w:type="dxa"/>
            <w:gridSpan w:val="2"/>
            <w:vAlign w:val="center"/>
          </w:tcPr>
          <w:p w14:paraId="17BB9DB2">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有效期</w:t>
            </w:r>
          </w:p>
        </w:tc>
      </w:tr>
      <w:tr w14:paraId="0153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463" w:type="dxa"/>
            <w:gridSpan w:val="5"/>
            <w:vAlign w:val="center"/>
          </w:tcPr>
          <w:p w14:paraId="41268188">
            <w:pPr>
              <w:wordWrap w:val="0"/>
              <w:spacing w:line="360" w:lineRule="auto"/>
              <w:jc w:val="center"/>
              <w:rPr>
                <w:rFonts w:ascii="宋体" w:hAnsi="宋体" w:cs="宋体"/>
                <w:color w:val="auto"/>
                <w:kern w:val="0"/>
                <w:szCs w:val="21"/>
                <w:highlight w:val="none"/>
              </w:rPr>
            </w:pPr>
          </w:p>
        </w:tc>
        <w:tc>
          <w:tcPr>
            <w:tcW w:w="940" w:type="dxa"/>
            <w:gridSpan w:val="2"/>
            <w:vAlign w:val="center"/>
          </w:tcPr>
          <w:p w14:paraId="7E6F8A7F">
            <w:pPr>
              <w:wordWrap w:val="0"/>
              <w:spacing w:line="360" w:lineRule="auto"/>
              <w:jc w:val="center"/>
              <w:rPr>
                <w:rFonts w:ascii="宋体" w:hAnsi="宋体" w:cs="宋体"/>
                <w:color w:val="auto"/>
                <w:kern w:val="0"/>
                <w:szCs w:val="21"/>
                <w:highlight w:val="none"/>
              </w:rPr>
            </w:pPr>
          </w:p>
        </w:tc>
        <w:tc>
          <w:tcPr>
            <w:tcW w:w="1579" w:type="dxa"/>
            <w:gridSpan w:val="2"/>
            <w:vAlign w:val="center"/>
          </w:tcPr>
          <w:p w14:paraId="60B30519">
            <w:pPr>
              <w:wordWrap w:val="0"/>
              <w:spacing w:line="360" w:lineRule="auto"/>
              <w:jc w:val="center"/>
              <w:rPr>
                <w:rFonts w:ascii="宋体" w:hAnsi="宋体" w:cs="宋体"/>
                <w:color w:val="auto"/>
                <w:kern w:val="0"/>
                <w:szCs w:val="21"/>
                <w:highlight w:val="none"/>
              </w:rPr>
            </w:pPr>
          </w:p>
        </w:tc>
        <w:tc>
          <w:tcPr>
            <w:tcW w:w="1678" w:type="dxa"/>
            <w:gridSpan w:val="2"/>
            <w:vAlign w:val="center"/>
          </w:tcPr>
          <w:p w14:paraId="77747103">
            <w:pPr>
              <w:wordWrap w:val="0"/>
              <w:spacing w:line="360" w:lineRule="auto"/>
              <w:jc w:val="center"/>
              <w:rPr>
                <w:rFonts w:ascii="宋体" w:hAnsi="宋体" w:cs="宋体"/>
                <w:color w:val="auto"/>
                <w:kern w:val="0"/>
                <w:szCs w:val="21"/>
                <w:highlight w:val="none"/>
              </w:rPr>
            </w:pPr>
          </w:p>
        </w:tc>
      </w:tr>
      <w:tr w14:paraId="735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463" w:type="dxa"/>
            <w:gridSpan w:val="5"/>
            <w:vAlign w:val="center"/>
          </w:tcPr>
          <w:p w14:paraId="0CCDCC71">
            <w:pPr>
              <w:wordWrap w:val="0"/>
              <w:spacing w:line="360" w:lineRule="auto"/>
              <w:jc w:val="center"/>
              <w:rPr>
                <w:rFonts w:ascii="宋体" w:hAnsi="宋体" w:cs="宋体"/>
                <w:color w:val="auto"/>
                <w:kern w:val="0"/>
                <w:szCs w:val="21"/>
                <w:highlight w:val="none"/>
              </w:rPr>
            </w:pPr>
          </w:p>
        </w:tc>
        <w:tc>
          <w:tcPr>
            <w:tcW w:w="940" w:type="dxa"/>
            <w:gridSpan w:val="2"/>
            <w:vAlign w:val="center"/>
          </w:tcPr>
          <w:p w14:paraId="5CC1271E">
            <w:pPr>
              <w:wordWrap w:val="0"/>
              <w:spacing w:line="360" w:lineRule="auto"/>
              <w:jc w:val="center"/>
              <w:rPr>
                <w:rFonts w:ascii="宋体" w:hAnsi="宋体" w:cs="宋体"/>
                <w:color w:val="auto"/>
                <w:kern w:val="0"/>
                <w:szCs w:val="21"/>
                <w:highlight w:val="none"/>
              </w:rPr>
            </w:pPr>
          </w:p>
        </w:tc>
        <w:tc>
          <w:tcPr>
            <w:tcW w:w="1579" w:type="dxa"/>
            <w:gridSpan w:val="2"/>
            <w:vAlign w:val="center"/>
          </w:tcPr>
          <w:p w14:paraId="3BAC4CF6">
            <w:pPr>
              <w:wordWrap w:val="0"/>
              <w:spacing w:line="360" w:lineRule="auto"/>
              <w:jc w:val="center"/>
              <w:rPr>
                <w:rFonts w:ascii="宋体" w:hAnsi="宋体" w:cs="宋体"/>
                <w:color w:val="auto"/>
                <w:kern w:val="0"/>
                <w:szCs w:val="21"/>
                <w:highlight w:val="none"/>
              </w:rPr>
            </w:pPr>
          </w:p>
        </w:tc>
        <w:tc>
          <w:tcPr>
            <w:tcW w:w="1678" w:type="dxa"/>
            <w:gridSpan w:val="2"/>
            <w:vAlign w:val="center"/>
          </w:tcPr>
          <w:p w14:paraId="0C70790C">
            <w:pPr>
              <w:wordWrap w:val="0"/>
              <w:spacing w:line="360" w:lineRule="auto"/>
              <w:jc w:val="center"/>
              <w:rPr>
                <w:rFonts w:ascii="宋体" w:hAnsi="宋体" w:cs="宋体"/>
                <w:color w:val="auto"/>
                <w:kern w:val="0"/>
                <w:szCs w:val="21"/>
                <w:highlight w:val="none"/>
              </w:rPr>
            </w:pPr>
          </w:p>
        </w:tc>
      </w:tr>
      <w:tr w14:paraId="0747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167" w:type="dxa"/>
            <w:gridSpan w:val="2"/>
            <w:vAlign w:val="center"/>
          </w:tcPr>
          <w:p w14:paraId="0DDAC3F2">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7493" w:type="dxa"/>
            <w:gridSpan w:val="9"/>
            <w:vAlign w:val="center"/>
          </w:tcPr>
          <w:p w14:paraId="179ADDC0">
            <w:pPr>
              <w:wordWrap w:val="0"/>
              <w:spacing w:line="360" w:lineRule="auto"/>
              <w:jc w:val="center"/>
              <w:rPr>
                <w:rFonts w:ascii="宋体" w:hAnsi="宋体" w:cs="宋体"/>
                <w:color w:val="auto"/>
                <w:kern w:val="0"/>
                <w:szCs w:val="21"/>
                <w:highlight w:val="none"/>
              </w:rPr>
            </w:pPr>
          </w:p>
        </w:tc>
      </w:tr>
    </w:tbl>
    <w:p w14:paraId="3C5A031F">
      <w:pPr>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备注：提供营业执照（未三证合一的提供税务登记证、组织机构代码证）等资格证明材料。</w:t>
      </w:r>
    </w:p>
    <w:p w14:paraId="0D0D0A6A">
      <w:pPr>
        <w:wordWrap w:val="0"/>
        <w:spacing w:line="360" w:lineRule="auto"/>
        <w:jc w:val="center"/>
        <w:outlineLvl w:val="0"/>
        <w:rPr>
          <w:rFonts w:ascii="宋体" w:hAnsi="宋体" w:cs="宋体"/>
          <w:b/>
          <w:bCs/>
          <w:color w:val="auto"/>
          <w:kern w:val="0"/>
          <w:sz w:val="36"/>
          <w:szCs w:val="36"/>
          <w:highlight w:val="none"/>
        </w:rPr>
      </w:pPr>
      <w:r>
        <w:rPr>
          <w:rFonts w:hint="eastAsia" w:ascii="宋体" w:hAnsi="宋体" w:cs="宋体"/>
          <w:color w:val="auto"/>
          <w:kern w:val="0"/>
          <w:sz w:val="24"/>
          <w:szCs w:val="24"/>
          <w:highlight w:val="none"/>
        </w:rPr>
        <w:br w:type="page"/>
      </w:r>
      <w:bookmarkStart w:id="47" w:name="_Toc15973"/>
      <w:r>
        <w:rPr>
          <w:rFonts w:hint="eastAsia" w:ascii="宋体" w:hAnsi="宋体" w:cs="宋体"/>
          <w:b/>
          <w:bCs/>
          <w:color w:val="auto"/>
          <w:kern w:val="0"/>
          <w:sz w:val="36"/>
          <w:szCs w:val="36"/>
          <w:highlight w:val="none"/>
        </w:rPr>
        <w:t>六、资格审查资料</w:t>
      </w:r>
    </w:p>
    <w:p w14:paraId="5755D1A2">
      <w:pPr>
        <w:spacing w:line="360" w:lineRule="auto"/>
        <w:jc w:val="center"/>
        <w:outlineLvl w:val="0"/>
        <w:rPr>
          <w:rFonts w:ascii="宋体" w:hAnsi="宋体" w:cs="宋体"/>
          <w:color w:val="auto"/>
          <w:kern w:val="0"/>
          <w:sz w:val="28"/>
          <w:szCs w:val="28"/>
          <w:highlight w:val="none"/>
        </w:rPr>
      </w:pPr>
      <w:r>
        <w:rPr>
          <w:rFonts w:hint="eastAsia"/>
          <w:b/>
          <w:color w:val="auto"/>
          <w:sz w:val="28"/>
          <w:szCs w:val="28"/>
          <w:highlight w:val="none"/>
        </w:rPr>
        <w:t>（一）满足《政府采购法》第二十二条规定的证明材料</w:t>
      </w:r>
    </w:p>
    <w:p w14:paraId="07299FA1">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1）具有独立承担民事责任的能力；</w:t>
      </w:r>
    </w:p>
    <w:p w14:paraId="0E160735">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提供：法人或者其他组织的营业执照等证明文件复印件（营业执照应具有统一社会信用代码，否则应同时提供组织机构代码证和税务登记证），自然人的身份证明复印件，以证明投标人具有独立承担民事责任的能力。</w:t>
      </w:r>
    </w:p>
    <w:p w14:paraId="14BAA8A6">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2）具有良好的商业信誉和健全的财务会计制度；</w:t>
      </w:r>
    </w:p>
    <w:p w14:paraId="09A83099">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提供：2023年度财务状况报告，以证明投标人具有良好的商业信誉和健全的财务会计制度。应附经会计师事务所或审计机构审计的财务会计报表，包括资产负债表、现金流量表、利润表和财务情况说明书的复印件，自然人应附本人的银行资信证明。投标人的成立时间少于一年的，应提供成立以来的财务状况表并附相应证明文件。</w:t>
      </w:r>
    </w:p>
    <w:p w14:paraId="4B77A234">
      <w:pPr>
        <w:widowControl/>
        <w:jc w:val="left"/>
        <w:rPr>
          <w:rFonts w:ascii="宋体" w:hAnsi="宋体" w:cs="宋体"/>
          <w:color w:val="auto"/>
          <w:kern w:val="0"/>
          <w:szCs w:val="21"/>
          <w:highlight w:val="none"/>
        </w:rPr>
      </w:pPr>
      <w:r>
        <w:rPr>
          <w:rFonts w:ascii="宋体" w:hAnsi="宋体" w:cs="宋体"/>
          <w:color w:val="auto"/>
          <w:kern w:val="0"/>
          <w:szCs w:val="21"/>
          <w:highlight w:val="none"/>
        </w:rPr>
        <w:br w:type="page"/>
      </w:r>
    </w:p>
    <w:p w14:paraId="07452602">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3）具有履行合同所必需的设备和专业技术能力；</w:t>
      </w:r>
    </w:p>
    <w:p w14:paraId="1D531239">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提供：具备履行合同所必需的设备和专业技术能力的证明材料，以证明投标人具有履行合同所必需的设备和专业技术能力。</w:t>
      </w:r>
    </w:p>
    <w:p w14:paraId="325111DA">
      <w:pPr>
        <w:spacing w:line="360" w:lineRule="auto"/>
        <w:jc w:val="center"/>
        <w:rPr>
          <w:rFonts w:ascii="宋体" w:hAnsi="宋体" w:cs="宋体"/>
          <w:b/>
          <w:bCs/>
          <w:color w:val="auto"/>
          <w:kern w:val="0"/>
          <w:szCs w:val="21"/>
          <w:highlight w:val="none"/>
        </w:rPr>
      </w:pPr>
    </w:p>
    <w:p w14:paraId="2CEC8D5A">
      <w:pPr>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具备履行合同所必需的设备和专业技术能力的书面声明</w:t>
      </w:r>
    </w:p>
    <w:p w14:paraId="09F776F6">
      <w:pPr>
        <w:jc w:val="center"/>
        <w:rPr>
          <w:rFonts w:ascii="宋体" w:hAnsi="宋体" w:cs="宋体"/>
          <w:b/>
          <w:bCs/>
          <w:color w:val="auto"/>
          <w:kern w:val="0"/>
          <w:szCs w:val="21"/>
          <w:highlight w:val="none"/>
        </w:rPr>
      </w:pPr>
    </w:p>
    <w:p w14:paraId="759B76D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我单位郑重声明：</w:t>
      </w:r>
    </w:p>
    <w:p w14:paraId="682BB84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我单位具备履行本项采购合同所必需的设备和专业技术能力，为履行本项采购合同我公司具备如下主要设备和主要专业技术能力：</w:t>
      </w:r>
    </w:p>
    <w:p w14:paraId="704A4ED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主要设备有：</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6DBF8B6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主要专业技术能力有：</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6853236A">
      <w:pPr>
        <w:adjustRightInd w:val="0"/>
        <w:spacing w:line="360" w:lineRule="auto"/>
        <w:ind w:firstLine="420" w:firstLineChars="200"/>
        <w:jc w:val="left"/>
        <w:textAlignment w:val="baseline"/>
        <w:rPr>
          <w:rFonts w:ascii="宋体" w:hAnsi="宋体" w:cs="宋体"/>
          <w:bCs/>
          <w:color w:val="auto"/>
          <w:kern w:val="0"/>
          <w:szCs w:val="21"/>
          <w:highlight w:val="none"/>
        </w:rPr>
      </w:pPr>
    </w:p>
    <w:p w14:paraId="58827A3D">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供应商名称（盖单位章）：</w:t>
      </w:r>
    </w:p>
    <w:p w14:paraId="2098631C">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111EE0B2">
      <w:pPr>
        <w:pStyle w:val="219"/>
        <w:spacing w:line="360" w:lineRule="auto"/>
        <w:ind w:left="0" w:right="0"/>
        <w:rPr>
          <w:color w:val="auto"/>
          <w:sz w:val="21"/>
          <w:szCs w:val="21"/>
          <w:highlight w:val="none"/>
          <w:lang w:eastAsia="zh-CN"/>
        </w:rPr>
      </w:pPr>
      <w:r>
        <w:rPr>
          <w:rFonts w:hint="eastAsia"/>
          <w:color w:val="auto"/>
          <w:sz w:val="21"/>
          <w:szCs w:val="21"/>
          <w:highlight w:val="none"/>
          <w:lang w:eastAsia="zh-CN"/>
        </w:rPr>
        <w:t>日期：</w:t>
      </w:r>
      <w:r>
        <w:rPr>
          <w:rFonts w:hint="eastAsia"/>
          <w:color w:val="auto"/>
          <w:sz w:val="21"/>
          <w:szCs w:val="21"/>
          <w:highlight w:val="none"/>
          <w:u w:val="single"/>
          <w:lang w:eastAsia="zh-CN"/>
        </w:rPr>
        <w:t xml:space="preserve">        </w:t>
      </w:r>
      <w:r>
        <w:rPr>
          <w:rFonts w:hint="eastAsia"/>
          <w:color w:val="auto"/>
          <w:sz w:val="21"/>
          <w:szCs w:val="21"/>
          <w:highlight w:val="none"/>
          <w:lang w:eastAsia="zh-CN"/>
        </w:rPr>
        <w:t>年</w:t>
      </w:r>
      <w:r>
        <w:rPr>
          <w:rFonts w:hint="eastAsia"/>
          <w:color w:val="auto"/>
          <w:sz w:val="21"/>
          <w:szCs w:val="21"/>
          <w:highlight w:val="none"/>
          <w:u w:val="single"/>
          <w:lang w:eastAsia="zh-CN"/>
        </w:rPr>
        <w:t xml:space="preserve">    </w:t>
      </w:r>
      <w:r>
        <w:rPr>
          <w:rFonts w:hint="eastAsia"/>
          <w:color w:val="auto"/>
          <w:sz w:val="21"/>
          <w:szCs w:val="21"/>
          <w:highlight w:val="none"/>
          <w:lang w:eastAsia="zh-CN"/>
        </w:rPr>
        <w:t>月</w:t>
      </w:r>
      <w:r>
        <w:rPr>
          <w:rFonts w:hint="eastAsia"/>
          <w:color w:val="auto"/>
          <w:sz w:val="21"/>
          <w:szCs w:val="21"/>
          <w:highlight w:val="none"/>
          <w:u w:val="single"/>
          <w:lang w:eastAsia="zh-CN"/>
        </w:rPr>
        <w:t xml:space="preserve">    </w:t>
      </w:r>
      <w:r>
        <w:rPr>
          <w:rFonts w:hint="eastAsia"/>
          <w:color w:val="auto"/>
          <w:sz w:val="21"/>
          <w:szCs w:val="21"/>
          <w:highlight w:val="none"/>
          <w:lang w:eastAsia="zh-CN"/>
        </w:rPr>
        <w:t>日</w:t>
      </w:r>
    </w:p>
    <w:p w14:paraId="689ED6FE">
      <w:pPr>
        <w:pStyle w:val="219"/>
        <w:spacing w:line="360" w:lineRule="auto"/>
        <w:ind w:left="0" w:right="0" w:firstLine="420" w:firstLineChars="200"/>
        <w:rPr>
          <w:color w:val="auto"/>
          <w:sz w:val="21"/>
          <w:szCs w:val="21"/>
          <w:highlight w:val="none"/>
          <w:lang w:eastAsia="zh-CN"/>
        </w:rPr>
      </w:pPr>
    </w:p>
    <w:p w14:paraId="30AAAF4F">
      <w:pPr>
        <w:pStyle w:val="219"/>
        <w:spacing w:line="360" w:lineRule="auto"/>
        <w:ind w:left="0" w:right="0" w:firstLine="420" w:firstLineChars="200"/>
        <w:rPr>
          <w:color w:val="auto"/>
          <w:sz w:val="21"/>
          <w:szCs w:val="21"/>
          <w:highlight w:val="none"/>
          <w:lang w:eastAsia="zh-CN"/>
        </w:rPr>
      </w:pPr>
    </w:p>
    <w:p w14:paraId="1F1425CB">
      <w:pPr>
        <w:pStyle w:val="219"/>
        <w:spacing w:line="360" w:lineRule="auto"/>
        <w:ind w:left="0" w:right="-143" w:firstLine="420" w:firstLineChars="200"/>
        <w:rPr>
          <w:color w:val="auto"/>
          <w:sz w:val="21"/>
          <w:szCs w:val="21"/>
          <w:highlight w:val="none"/>
          <w:lang w:eastAsia="zh-CN"/>
        </w:rPr>
      </w:pPr>
      <w:r>
        <w:rPr>
          <w:rFonts w:hint="eastAsia"/>
          <w:color w:val="auto"/>
          <w:sz w:val="21"/>
          <w:szCs w:val="21"/>
          <w:highlight w:val="none"/>
          <w:lang w:eastAsia="zh-CN"/>
        </w:rPr>
        <w:t>附：具备履行合同所必需的设备和专业技术能力的证明材料，以证明供应商具有履行合同所必需的设备和专业技术能力（内容和格式自拟）。</w:t>
      </w:r>
    </w:p>
    <w:p w14:paraId="29E4E910">
      <w:pPr>
        <w:spacing w:line="360" w:lineRule="auto"/>
        <w:ind w:firstLine="420" w:firstLineChars="200"/>
        <w:outlineLvl w:val="0"/>
        <w:rPr>
          <w:rFonts w:ascii="宋体" w:hAnsi="宋体" w:cs="宋体"/>
          <w:color w:val="auto"/>
          <w:kern w:val="0"/>
          <w:szCs w:val="21"/>
          <w:highlight w:val="none"/>
        </w:rPr>
      </w:pPr>
    </w:p>
    <w:p w14:paraId="29E0E247">
      <w:pPr>
        <w:widowControl/>
        <w:jc w:val="left"/>
        <w:rPr>
          <w:rFonts w:ascii="宋体" w:hAnsi="宋体" w:cs="宋体"/>
          <w:color w:val="auto"/>
          <w:kern w:val="0"/>
          <w:szCs w:val="21"/>
          <w:highlight w:val="none"/>
        </w:rPr>
      </w:pPr>
      <w:r>
        <w:rPr>
          <w:rFonts w:ascii="宋体" w:hAnsi="宋体" w:cs="宋体"/>
          <w:color w:val="auto"/>
          <w:kern w:val="0"/>
          <w:szCs w:val="21"/>
          <w:highlight w:val="none"/>
        </w:rPr>
        <w:br w:type="page"/>
      </w:r>
    </w:p>
    <w:p w14:paraId="1CB9B15F">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4）有依法缴纳税收和社会保障资金的良好记录；</w:t>
      </w:r>
    </w:p>
    <w:p w14:paraId="611954BB">
      <w:pPr>
        <w:pStyle w:val="15"/>
        <w:spacing w:line="360" w:lineRule="auto"/>
        <w:ind w:firstLine="420" w:firstLineChars="200"/>
        <w:rPr>
          <w:rFonts w:ascii="宋体" w:hAnsi="宋体" w:cs="宋体"/>
          <w:color w:val="auto"/>
          <w:sz w:val="24"/>
          <w:szCs w:val="24"/>
          <w:highlight w:val="none"/>
        </w:rPr>
      </w:pPr>
      <w:r>
        <w:rPr>
          <w:rFonts w:hint="eastAsia" w:ascii="宋体" w:hAnsi="宋体" w:cs="宋体"/>
          <w:color w:val="auto"/>
          <w:sz w:val="21"/>
          <w:szCs w:val="21"/>
          <w:highlight w:val="none"/>
        </w:rPr>
        <w:t>提供：近3个月内任意一个月的完税证明（依法免缴的应提供依法免缴的相关证明文件或无欠税证明）和社保缴费证明复印件（具体要求详见评标方法），以证明投标人有依法缴纳税收和社会保障资金的良好记录。</w:t>
      </w: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5）参加政府采购活动前三年内，在经营活动中没有重大违法记录；</w:t>
      </w:r>
    </w:p>
    <w:p w14:paraId="1DA2825E">
      <w:pPr>
        <w:pStyle w:val="146"/>
        <w:spacing w:line="360" w:lineRule="auto"/>
        <w:ind w:left="0" w:right="0"/>
        <w:jc w:val="center"/>
        <w:rPr>
          <w:b/>
          <w:color w:val="auto"/>
          <w:sz w:val="21"/>
          <w:szCs w:val="21"/>
          <w:highlight w:val="none"/>
          <w:lang w:eastAsia="zh-CN"/>
        </w:rPr>
      </w:pPr>
    </w:p>
    <w:p w14:paraId="570F00E0">
      <w:pPr>
        <w:pStyle w:val="146"/>
        <w:spacing w:line="360" w:lineRule="auto"/>
        <w:ind w:left="0" w:right="0"/>
        <w:jc w:val="center"/>
        <w:rPr>
          <w:b/>
          <w:color w:val="auto"/>
          <w:highlight w:val="none"/>
          <w:lang w:eastAsia="zh-CN"/>
        </w:rPr>
      </w:pPr>
      <w:r>
        <w:rPr>
          <w:rFonts w:hint="eastAsia"/>
          <w:b/>
          <w:color w:val="auto"/>
          <w:highlight w:val="none"/>
          <w:lang w:eastAsia="zh-CN"/>
        </w:rPr>
        <w:t>声  明</w:t>
      </w:r>
    </w:p>
    <w:p w14:paraId="3116BFC4">
      <w:pPr>
        <w:pStyle w:val="146"/>
        <w:spacing w:line="360" w:lineRule="auto"/>
        <w:ind w:left="0" w:right="0" w:firstLine="420" w:firstLineChars="200"/>
        <w:jc w:val="both"/>
        <w:rPr>
          <w:color w:val="auto"/>
          <w:sz w:val="21"/>
          <w:szCs w:val="21"/>
          <w:highlight w:val="none"/>
          <w:lang w:eastAsia="zh-CN"/>
        </w:rPr>
      </w:pPr>
      <w:r>
        <w:rPr>
          <w:rFonts w:hint="eastAsia"/>
          <w:color w:val="auto"/>
          <w:sz w:val="21"/>
          <w:szCs w:val="21"/>
          <w:highlight w:val="none"/>
          <w:lang w:eastAsia="zh-CN"/>
        </w:rPr>
        <w:t>我们，</w:t>
      </w:r>
      <w:r>
        <w:rPr>
          <w:rFonts w:hint="eastAsia"/>
          <w:color w:val="auto"/>
          <w:sz w:val="21"/>
          <w:szCs w:val="21"/>
          <w:highlight w:val="none"/>
          <w:u w:val="single"/>
          <w:lang w:eastAsia="zh-CN"/>
        </w:rPr>
        <w:t xml:space="preserve">        </w:t>
      </w:r>
      <w:r>
        <w:rPr>
          <w:rFonts w:hint="eastAsia"/>
          <w:color w:val="auto"/>
          <w:sz w:val="21"/>
          <w:szCs w:val="21"/>
          <w:highlight w:val="none"/>
          <w:lang w:eastAsia="zh-CN"/>
        </w:rPr>
        <w:t>（投标人名称）己认真阅读《中华人民共和国政府采购法》、《中华人民共和国政府采购法实施条例》及</w:t>
      </w:r>
      <w:r>
        <w:rPr>
          <w:rFonts w:hint="eastAsia"/>
          <w:color w:val="auto"/>
          <w:sz w:val="21"/>
          <w:szCs w:val="21"/>
          <w:highlight w:val="none"/>
          <w:u w:val="single"/>
          <w:lang w:eastAsia="zh-CN"/>
        </w:rPr>
        <w:t xml:space="preserve">       </w:t>
      </w:r>
      <w:r>
        <w:rPr>
          <w:rFonts w:hint="eastAsia"/>
          <w:color w:val="auto"/>
          <w:sz w:val="21"/>
          <w:szCs w:val="21"/>
          <w:highlight w:val="none"/>
          <w:lang w:eastAsia="zh-CN"/>
        </w:rPr>
        <w:t>（招标项目名称）（项目编号：</w:t>
      </w:r>
      <w:r>
        <w:rPr>
          <w:rFonts w:hint="eastAsia"/>
          <w:color w:val="auto"/>
          <w:sz w:val="21"/>
          <w:szCs w:val="21"/>
          <w:highlight w:val="none"/>
          <w:u w:val="single"/>
          <w:lang w:eastAsia="zh-CN"/>
        </w:rPr>
        <w:t xml:space="preserve">                </w:t>
      </w:r>
      <w:r>
        <w:rPr>
          <w:rFonts w:hint="eastAsia"/>
          <w:color w:val="auto"/>
          <w:sz w:val="21"/>
          <w:szCs w:val="21"/>
          <w:highlight w:val="none"/>
          <w:lang w:eastAsia="zh-CN"/>
        </w:rPr>
        <w:t>）的招标文件相关内容，知悉投标人参加政府采购活动应当具备的条件。此次按招标文件要求提交的投标人资格证明材料，已经认真核对和检查，全部内容真实、合法、准确和完整，我们对此负责，并愿承担由此引起的法律责任。</w:t>
      </w:r>
    </w:p>
    <w:p w14:paraId="2A227D04">
      <w:pPr>
        <w:pStyle w:val="146"/>
        <w:spacing w:line="360" w:lineRule="auto"/>
        <w:ind w:left="0" w:right="0" w:firstLine="420" w:firstLineChars="200"/>
        <w:jc w:val="both"/>
        <w:rPr>
          <w:color w:val="auto"/>
          <w:sz w:val="21"/>
          <w:szCs w:val="21"/>
          <w:highlight w:val="none"/>
          <w:lang w:eastAsia="zh-CN"/>
        </w:rPr>
      </w:pPr>
      <w:r>
        <w:rPr>
          <w:rFonts w:hint="eastAsia"/>
          <w:color w:val="auto"/>
          <w:sz w:val="21"/>
          <w:szCs w:val="21"/>
          <w:highlight w:val="none"/>
          <w:lang w:eastAsia="zh-CN"/>
        </w:rPr>
        <w:t>我方在此郑重声明，我方在参加本政府采购项目投标近3年内：</w:t>
      </w:r>
    </w:p>
    <w:p w14:paraId="142BB869">
      <w:pPr>
        <w:pStyle w:val="146"/>
        <w:spacing w:line="360" w:lineRule="auto"/>
        <w:ind w:left="0" w:right="0" w:firstLine="420" w:firstLineChars="200"/>
        <w:jc w:val="both"/>
        <w:rPr>
          <w:color w:val="auto"/>
          <w:sz w:val="21"/>
          <w:szCs w:val="21"/>
          <w:highlight w:val="none"/>
          <w:lang w:eastAsia="zh-CN"/>
        </w:rPr>
      </w:pPr>
      <w:r>
        <w:rPr>
          <w:rFonts w:hint="eastAsia"/>
          <w:color w:val="auto"/>
          <w:sz w:val="21"/>
          <w:szCs w:val="21"/>
          <w:highlight w:val="none"/>
          <w:lang w:eastAsia="zh-CN"/>
        </w:rPr>
        <w:t>1、我方依法缴纳了各项税费及各项社会保障资金，没有偷税、漏税及欠缴行为。</w:t>
      </w:r>
    </w:p>
    <w:p w14:paraId="60AC1F7B">
      <w:pPr>
        <w:pStyle w:val="146"/>
        <w:spacing w:line="360" w:lineRule="auto"/>
        <w:ind w:left="0" w:right="0" w:firstLine="420" w:firstLineChars="200"/>
        <w:jc w:val="both"/>
        <w:rPr>
          <w:color w:val="auto"/>
          <w:sz w:val="21"/>
          <w:szCs w:val="21"/>
          <w:highlight w:val="none"/>
          <w:lang w:eastAsia="zh-CN"/>
        </w:rPr>
      </w:pPr>
      <w:r>
        <w:rPr>
          <w:rFonts w:hint="eastAsia"/>
          <w:color w:val="auto"/>
          <w:sz w:val="21"/>
          <w:szCs w:val="21"/>
          <w:highlight w:val="none"/>
          <w:lang w:eastAsia="zh-CN"/>
        </w:rPr>
        <w:t>2、我方在经营活动中没有因违法经营受到刑事处罚或者责令停产停业、者吊销许可证或者执照、200万元以上罚款的行政处罚。</w:t>
      </w:r>
    </w:p>
    <w:p w14:paraId="6CFC6D71">
      <w:pPr>
        <w:rPr>
          <w:color w:val="auto"/>
          <w:highlight w:val="none"/>
        </w:rPr>
      </w:pPr>
    </w:p>
    <w:p w14:paraId="79EE27C8">
      <w:pPr>
        <w:rPr>
          <w:color w:val="auto"/>
          <w:highlight w:val="none"/>
        </w:rPr>
      </w:pPr>
    </w:p>
    <w:p w14:paraId="036DDB41">
      <w:pPr>
        <w:rPr>
          <w:color w:val="auto"/>
          <w:highlight w:val="none"/>
        </w:rPr>
      </w:pPr>
    </w:p>
    <w:p w14:paraId="19B6BEF8">
      <w:pPr>
        <w:pStyle w:val="146"/>
        <w:spacing w:line="360" w:lineRule="auto"/>
        <w:ind w:left="0" w:right="0"/>
        <w:jc w:val="both"/>
        <w:rPr>
          <w:color w:val="auto"/>
          <w:sz w:val="21"/>
          <w:szCs w:val="21"/>
          <w:highlight w:val="none"/>
          <w:lang w:eastAsia="zh-CN"/>
        </w:rPr>
      </w:pPr>
      <w:r>
        <w:rPr>
          <w:rFonts w:hint="eastAsia"/>
          <w:color w:val="auto"/>
          <w:sz w:val="21"/>
          <w:szCs w:val="21"/>
          <w:highlight w:val="none"/>
          <w:lang w:eastAsia="zh-CN"/>
        </w:rPr>
        <w:t>投标人名称（盖单位章）：</w:t>
      </w:r>
    </w:p>
    <w:p w14:paraId="059DC1E2">
      <w:pPr>
        <w:rPr>
          <w:color w:val="auto"/>
          <w:highlight w:val="none"/>
        </w:rPr>
      </w:pPr>
    </w:p>
    <w:p w14:paraId="2C0A2C48">
      <w:pPr>
        <w:pStyle w:val="146"/>
        <w:spacing w:line="360" w:lineRule="auto"/>
        <w:ind w:left="0" w:right="0"/>
        <w:jc w:val="both"/>
        <w:rPr>
          <w:color w:val="auto"/>
          <w:sz w:val="21"/>
          <w:szCs w:val="21"/>
          <w:highlight w:val="none"/>
          <w:lang w:eastAsia="zh-CN"/>
        </w:rPr>
      </w:pPr>
      <w:r>
        <w:rPr>
          <w:rFonts w:hint="eastAsia"/>
          <w:color w:val="auto"/>
          <w:sz w:val="21"/>
          <w:szCs w:val="21"/>
          <w:highlight w:val="none"/>
          <w:lang w:eastAsia="zh-CN"/>
        </w:rPr>
        <w:t>法定代表人或其委托代理人签字：</w:t>
      </w:r>
    </w:p>
    <w:p w14:paraId="6A5C1C2E">
      <w:pPr>
        <w:rPr>
          <w:color w:val="auto"/>
          <w:highlight w:val="none"/>
        </w:rPr>
      </w:pPr>
    </w:p>
    <w:p w14:paraId="17901098">
      <w:pPr>
        <w:pStyle w:val="146"/>
        <w:spacing w:line="360" w:lineRule="auto"/>
        <w:ind w:left="0" w:right="0"/>
        <w:jc w:val="both"/>
        <w:rPr>
          <w:color w:val="auto"/>
          <w:sz w:val="21"/>
          <w:szCs w:val="21"/>
          <w:highlight w:val="none"/>
          <w:lang w:eastAsia="zh-CN"/>
        </w:rPr>
      </w:pPr>
      <w:r>
        <w:rPr>
          <w:rFonts w:hint="eastAsia"/>
          <w:color w:val="auto"/>
          <w:sz w:val="21"/>
          <w:szCs w:val="21"/>
          <w:highlight w:val="none"/>
          <w:lang w:eastAsia="zh-CN"/>
        </w:rPr>
        <w:t>日期：      年   月   日</w:t>
      </w:r>
    </w:p>
    <w:p w14:paraId="191D14D2">
      <w:pPr>
        <w:rPr>
          <w:color w:val="auto"/>
          <w:highlight w:val="none"/>
        </w:rPr>
      </w:pPr>
    </w:p>
    <w:p w14:paraId="3E65F180">
      <w:pPr>
        <w:pStyle w:val="146"/>
        <w:spacing w:line="360" w:lineRule="auto"/>
        <w:ind w:left="0" w:right="0"/>
        <w:jc w:val="both"/>
        <w:rPr>
          <w:color w:val="auto"/>
          <w:sz w:val="21"/>
          <w:szCs w:val="21"/>
          <w:highlight w:val="none"/>
          <w:lang w:eastAsia="zh-CN"/>
        </w:rPr>
      </w:pPr>
      <w:r>
        <w:rPr>
          <w:rFonts w:hint="eastAsia"/>
          <w:color w:val="auto"/>
          <w:sz w:val="21"/>
          <w:szCs w:val="21"/>
          <w:highlight w:val="none"/>
          <w:lang w:eastAsia="zh-CN"/>
        </w:rPr>
        <w:t>注：1、近3年：成立3年以上的，为投标截止时间前3年内；成立不足3年的，为实际时间。</w:t>
      </w:r>
    </w:p>
    <w:p w14:paraId="762EB8F2">
      <w:pPr>
        <w:pStyle w:val="146"/>
        <w:spacing w:line="360" w:lineRule="auto"/>
        <w:ind w:left="0" w:right="0" w:firstLine="420" w:firstLineChars="200"/>
        <w:jc w:val="both"/>
        <w:rPr>
          <w:color w:val="auto"/>
          <w:sz w:val="21"/>
          <w:szCs w:val="21"/>
          <w:highlight w:val="none"/>
          <w:lang w:eastAsia="zh-CN"/>
        </w:rPr>
      </w:pPr>
      <w:r>
        <w:rPr>
          <w:rFonts w:hint="eastAsia"/>
          <w:color w:val="auto"/>
          <w:sz w:val="21"/>
          <w:szCs w:val="21"/>
          <w:highlight w:val="none"/>
          <w:lang w:eastAsia="zh-CN"/>
        </w:rPr>
        <w:t>2、投标人在参加政府采购活动前3年内因违法经营被禁止在一定期限内参加政府采购活动，期限届满的，可以参加政府采购活动。有前述情形的，投标人应附相应的证明材料。</w:t>
      </w:r>
    </w:p>
    <w:p w14:paraId="4EEF1C4D">
      <w:pPr>
        <w:spacing w:line="360" w:lineRule="auto"/>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r>
        <w:rPr>
          <w:rFonts w:hint="eastAsia" w:ascii="宋体" w:hAnsi="宋体" w:cs="宋体"/>
          <w:color w:val="auto"/>
          <w:kern w:val="0"/>
          <w:sz w:val="24"/>
          <w:szCs w:val="24"/>
          <w:highlight w:val="none"/>
        </w:rPr>
        <w:t>6）法律、行政法规规定的其他条件。</w:t>
      </w:r>
    </w:p>
    <w:p w14:paraId="3AFC8C71">
      <w:pPr>
        <w:rPr>
          <w:color w:val="auto"/>
          <w:highlight w:val="none"/>
        </w:rPr>
      </w:pPr>
    </w:p>
    <w:p w14:paraId="57AD1BBF">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针对本次项目的反商业贿赂承诺书（格式自拟）。</w:t>
      </w:r>
    </w:p>
    <w:p w14:paraId="6BB5E074">
      <w:pPr>
        <w:rPr>
          <w:color w:val="auto"/>
          <w:highlight w:val="none"/>
        </w:rPr>
      </w:pPr>
    </w:p>
    <w:p w14:paraId="6843FDA6">
      <w:pPr>
        <w:pStyle w:val="146"/>
        <w:spacing w:line="360" w:lineRule="auto"/>
        <w:ind w:left="0" w:right="0"/>
        <w:jc w:val="center"/>
        <w:rPr>
          <w:b/>
          <w:color w:val="auto"/>
          <w:highlight w:val="none"/>
          <w:lang w:eastAsia="zh-CN"/>
        </w:rPr>
      </w:pPr>
      <w:r>
        <w:rPr>
          <w:color w:val="auto"/>
          <w:sz w:val="24"/>
          <w:szCs w:val="24"/>
          <w:highlight w:val="none"/>
          <w:lang w:eastAsia="zh-CN"/>
        </w:rPr>
        <w:br w:type="page"/>
      </w:r>
      <w:r>
        <w:rPr>
          <w:rFonts w:hint="eastAsia"/>
          <w:b/>
          <w:color w:val="auto"/>
          <w:highlight w:val="none"/>
          <w:lang w:eastAsia="zh-CN"/>
        </w:rPr>
        <w:t>（二）落实政府采购政策需满足的资格要求</w:t>
      </w:r>
    </w:p>
    <w:p w14:paraId="1BEB6496">
      <w:pPr>
        <w:pStyle w:val="17"/>
        <w:tabs>
          <w:tab w:val="left" w:pos="2291"/>
          <w:tab w:val="left" w:pos="2395"/>
          <w:tab w:val="left" w:pos="6538"/>
          <w:tab w:val="left" w:pos="6658"/>
          <w:tab w:val="left" w:pos="7481"/>
          <w:tab w:val="left" w:pos="8506"/>
        </w:tabs>
        <w:spacing w:line="360" w:lineRule="auto"/>
        <w:rPr>
          <w:color w:val="auto"/>
          <w:highlight w:val="none"/>
        </w:rPr>
      </w:pPr>
    </w:p>
    <w:p w14:paraId="78BE42C1">
      <w:pPr>
        <w:pStyle w:val="17"/>
        <w:tabs>
          <w:tab w:val="left" w:pos="2291"/>
          <w:tab w:val="left" w:pos="2395"/>
          <w:tab w:val="left" w:pos="6538"/>
          <w:tab w:val="left" w:pos="6658"/>
          <w:tab w:val="left" w:pos="7481"/>
          <w:tab w:val="left" w:pos="8506"/>
        </w:tabs>
        <w:spacing w:line="360" w:lineRule="auto"/>
        <w:ind w:firstLine="420" w:firstLineChars="200"/>
        <w:rPr>
          <w:b/>
          <w:bCs/>
          <w:color w:val="auto"/>
          <w:sz w:val="21"/>
          <w:szCs w:val="21"/>
          <w:highlight w:val="none"/>
        </w:rPr>
      </w:pPr>
      <w:r>
        <w:rPr>
          <w:rFonts w:hint="eastAsia"/>
          <w:color w:val="auto"/>
          <w:sz w:val="21"/>
          <w:szCs w:val="21"/>
          <w:highlight w:val="none"/>
        </w:rPr>
        <w:t>属于专门面向中小或小微企业采购的项目或部分预留份额专门面向中小企业采购项目，提供：《中小企业声明函》（或《残疾人福利性单位声明函》、或由省级以上监狱管理局、戒毒管理局（含新疆生产建设兵团）出具的属于监狱企业的证明文件（格式附后）。</w:t>
      </w:r>
    </w:p>
    <w:p w14:paraId="460EC79A">
      <w:pPr>
        <w:pStyle w:val="6"/>
        <w:ind w:firstLine="0"/>
        <w:rPr>
          <w:rFonts w:ascii="宋体" w:hAnsi="宋体"/>
          <w:color w:val="auto"/>
          <w:highlight w:val="none"/>
        </w:rPr>
      </w:pPr>
      <w:r>
        <w:rPr>
          <w:b/>
          <w:color w:val="auto"/>
          <w:sz w:val="24"/>
          <w:szCs w:val="24"/>
          <w:highlight w:val="none"/>
        </w:rPr>
        <w:br w:type="page"/>
      </w:r>
      <w:r>
        <w:rPr>
          <w:rFonts w:hint="eastAsia" w:ascii="宋体" w:hAnsi="宋体"/>
          <w:color w:val="auto"/>
          <w:highlight w:val="none"/>
        </w:rPr>
        <w:t>附件</w:t>
      </w:r>
      <w:r>
        <w:rPr>
          <w:rFonts w:ascii="宋体" w:hAnsi="宋体"/>
          <w:color w:val="auto"/>
          <w:highlight w:val="none"/>
        </w:rPr>
        <w:t>1</w:t>
      </w:r>
      <w:r>
        <w:rPr>
          <w:rFonts w:hint="eastAsia" w:ascii="宋体" w:hAnsi="宋体"/>
          <w:color w:val="auto"/>
          <w:highlight w:val="none"/>
        </w:rPr>
        <w:t>：</w:t>
      </w:r>
    </w:p>
    <w:p w14:paraId="7CE59007">
      <w:pPr>
        <w:pStyle w:val="6"/>
        <w:ind w:firstLine="0"/>
        <w:rPr>
          <w:rFonts w:ascii="宋体" w:hAnsi="宋体"/>
          <w:color w:val="auto"/>
          <w:highlight w:val="none"/>
        </w:rPr>
      </w:pPr>
    </w:p>
    <w:p w14:paraId="3CB778EB">
      <w:pPr>
        <w:jc w:val="center"/>
        <w:rPr>
          <w:rFonts w:ascii="宋体" w:hAnsi="宋体" w:cs="宋体"/>
          <w:b/>
          <w:bCs/>
          <w:color w:val="auto"/>
          <w:sz w:val="36"/>
          <w:szCs w:val="36"/>
          <w:highlight w:val="none"/>
        </w:rPr>
      </w:pPr>
      <w:r>
        <w:rPr>
          <w:rFonts w:hint="eastAsia" w:ascii="宋体" w:hAnsi="宋体" w:cs="宋体"/>
          <w:b/>
          <w:bCs/>
          <w:color w:val="auto"/>
          <w:sz w:val="28"/>
          <w:szCs w:val="28"/>
          <w:highlight w:val="none"/>
        </w:rPr>
        <w:t>中小企业声明函（货物）</w:t>
      </w:r>
    </w:p>
    <w:p w14:paraId="77F2E8D0">
      <w:pPr>
        <w:spacing w:line="360" w:lineRule="auto"/>
        <w:ind w:firstLine="420" w:firstLineChars="200"/>
        <w:rPr>
          <w:rFonts w:ascii="宋体" w:hAnsi="宋体" w:cs="宋体"/>
          <w:color w:val="auto"/>
          <w:kern w:val="0"/>
          <w:szCs w:val="21"/>
          <w:highlight w:val="none"/>
        </w:rPr>
      </w:pPr>
    </w:p>
    <w:p w14:paraId="2707A3C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采购活动，提供的货物全部由符合政策要求的中小企业制造。相关企业（含联合体中的中小企业、签订分包意向协议的中小企业）的具体情况如下：</w:t>
      </w:r>
    </w:p>
    <w:p w14:paraId="4E24126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（标的名称）</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Cs w:val="21"/>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w:t>
      </w:r>
      <w:r>
        <w:rPr>
          <w:rFonts w:hint="eastAsia" w:ascii="宋体" w:hAnsi="宋体" w:cs="宋体"/>
          <w:color w:val="auto"/>
          <w:kern w:val="0"/>
          <w:szCs w:val="21"/>
          <w:highlight w:val="none"/>
          <w:vertAlign w:val="superscript"/>
        </w:rPr>
        <w:t>1</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w:t>
      </w:r>
    </w:p>
    <w:p w14:paraId="284BE4FB">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（标的名称）</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Cs w:val="21"/>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w:t>
      </w:r>
    </w:p>
    <w:p w14:paraId="32FB9A0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p>
    <w:p w14:paraId="6317441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14:paraId="19FFACB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1B28510B">
      <w:pPr>
        <w:spacing w:line="360" w:lineRule="auto"/>
        <w:ind w:firstLine="420" w:firstLineChars="200"/>
        <w:rPr>
          <w:rFonts w:ascii="宋体" w:hAnsi="宋体" w:cs="宋体"/>
          <w:color w:val="auto"/>
          <w:kern w:val="0"/>
          <w:szCs w:val="21"/>
          <w:highlight w:val="none"/>
        </w:rPr>
      </w:pPr>
    </w:p>
    <w:p w14:paraId="05B1833C">
      <w:pPr>
        <w:spacing w:line="360" w:lineRule="auto"/>
        <w:ind w:firstLine="420" w:firstLineChars="200"/>
        <w:rPr>
          <w:rFonts w:ascii="宋体" w:hAnsi="宋体" w:cs="宋体"/>
          <w:color w:val="auto"/>
          <w:kern w:val="0"/>
          <w:szCs w:val="21"/>
          <w:highlight w:val="none"/>
        </w:rPr>
      </w:pPr>
    </w:p>
    <w:p w14:paraId="16C6992E">
      <w:pPr>
        <w:spacing w:line="360" w:lineRule="auto"/>
        <w:ind w:firstLine="420" w:firstLineChars="200"/>
        <w:rPr>
          <w:rFonts w:ascii="宋体" w:hAnsi="宋体" w:cs="宋体"/>
          <w:color w:val="auto"/>
          <w:kern w:val="0"/>
          <w:szCs w:val="21"/>
          <w:highlight w:val="none"/>
        </w:rPr>
      </w:pPr>
    </w:p>
    <w:p w14:paraId="0B8C871A">
      <w:pPr>
        <w:pStyle w:val="17"/>
        <w:tabs>
          <w:tab w:val="left" w:pos="7321"/>
        </w:tabs>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0A961116">
      <w:pPr>
        <w:pStyle w:val="17"/>
        <w:jc w:val="right"/>
        <w:rPr>
          <w:color w:val="auto"/>
          <w:highlight w:val="none"/>
        </w:rPr>
      </w:pPr>
    </w:p>
    <w:p w14:paraId="3CC09F33">
      <w:pPr>
        <w:pStyle w:val="17"/>
        <w:jc w:val="righ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00022E60">
      <w:pPr>
        <w:spacing w:line="360" w:lineRule="auto"/>
        <w:ind w:firstLine="420" w:firstLineChars="200"/>
        <w:jc w:val="right"/>
        <w:rPr>
          <w:rFonts w:ascii="宋体" w:hAnsi="宋体" w:cs="宋体"/>
          <w:color w:val="auto"/>
          <w:kern w:val="0"/>
          <w:szCs w:val="21"/>
          <w:highlight w:val="none"/>
        </w:rPr>
      </w:pPr>
    </w:p>
    <w:p w14:paraId="01E3210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vertAlign w:val="superscript"/>
        </w:rPr>
        <w:t>1</w:t>
      </w:r>
      <w:r>
        <w:rPr>
          <w:rFonts w:hint="eastAsia" w:ascii="宋体" w:hAnsi="宋体" w:cs="宋体"/>
          <w:color w:val="auto"/>
          <w:kern w:val="0"/>
          <w:szCs w:val="21"/>
          <w:highlight w:val="none"/>
        </w:rPr>
        <w:t>从业人员、营业收入、资产总额填报上一年度数据，无上一年度数据的新成立企业可不填报。</w:t>
      </w:r>
    </w:p>
    <w:p w14:paraId="5A2060C6">
      <w:pPr>
        <w:pStyle w:val="6"/>
        <w:ind w:firstLine="0"/>
        <w:rPr>
          <w:color w:val="auto"/>
          <w:highlight w:val="none"/>
        </w:rPr>
      </w:pPr>
    </w:p>
    <w:p w14:paraId="16C5AC92">
      <w:pPr>
        <w:pStyle w:val="6"/>
        <w:ind w:firstLine="0"/>
        <w:rPr>
          <w:b/>
          <w:color w:val="auto"/>
          <w:highlight w:val="none"/>
        </w:rPr>
      </w:pPr>
      <w:r>
        <w:rPr>
          <w:rFonts w:hint="eastAsia"/>
          <w:b/>
          <w:color w:val="auto"/>
          <w:highlight w:val="none"/>
        </w:rPr>
        <w:t>注：</w:t>
      </w:r>
      <w:r>
        <w:rPr>
          <w:rFonts w:hint="eastAsia" w:ascii="宋体" w:hAnsi="宋体"/>
          <w:b/>
          <w:color w:val="auto"/>
          <w:highlight w:val="none"/>
        </w:rPr>
        <w:t>*</w:t>
      </w:r>
      <w:r>
        <w:rPr>
          <w:rFonts w:hint="eastAsia"/>
          <w:b/>
          <w:color w:val="auto"/>
          <w:highlight w:val="none"/>
        </w:rPr>
        <w:t>“标的名称”应填写投标产品的名称，不得填写项目名称，否则将做无效投标处理。</w:t>
      </w:r>
    </w:p>
    <w:p w14:paraId="5E9527E3">
      <w:pPr>
        <w:pStyle w:val="6"/>
        <w:ind w:firstLine="0"/>
        <w:rPr>
          <w:rFonts w:ascii="宋体" w:hAnsi="宋体"/>
          <w:color w:val="auto"/>
          <w:highlight w:val="none"/>
        </w:rPr>
      </w:pPr>
      <w:r>
        <w:rPr>
          <w:color w:val="auto"/>
          <w:highlight w:val="none"/>
        </w:rPr>
        <w:br w:type="page"/>
      </w:r>
      <w:bookmarkStart w:id="48" w:name="OLE_LINK14"/>
      <w:bookmarkStart w:id="49" w:name="OLE_LINK13"/>
      <w:r>
        <w:rPr>
          <w:rFonts w:hint="eastAsia" w:ascii="宋体" w:hAnsi="宋体"/>
          <w:color w:val="auto"/>
          <w:highlight w:val="none"/>
        </w:rPr>
        <w:t>附件</w:t>
      </w:r>
      <w:r>
        <w:rPr>
          <w:rFonts w:ascii="宋体" w:hAnsi="宋体"/>
          <w:color w:val="auto"/>
          <w:highlight w:val="none"/>
        </w:rPr>
        <w:t>2</w:t>
      </w:r>
      <w:r>
        <w:rPr>
          <w:rFonts w:hint="eastAsia" w:ascii="宋体" w:hAnsi="宋体"/>
          <w:color w:val="auto"/>
          <w:highlight w:val="none"/>
        </w:rPr>
        <w:t>：</w:t>
      </w:r>
    </w:p>
    <w:p w14:paraId="346A6046">
      <w:pPr>
        <w:pStyle w:val="6"/>
        <w:ind w:firstLine="0"/>
        <w:rPr>
          <w:rFonts w:ascii="宋体" w:hAnsi="宋体"/>
          <w:color w:val="auto"/>
          <w:highlight w:val="none"/>
        </w:rPr>
      </w:pPr>
    </w:p>
    <w:p w14:paraId="630DC84E">
      <w:pPr>
        <w:spacing w:line="588" w:lineRule="exact"/>
        <w:jc w:val="center"/>
        <w:rPr>
          <w:rFonts w:ascii="宋体" w:hAnsi="宋体" w:cs="仿宋"/>
          <w:b/>
          <w:color w:val="auto"/>
          <w:spacing w:val="6"/>
          <w:sz w:val="28"/>
          <w:szCs w:val="28"/>
          <w:highlight w:val="none"/>
        </w:rPr>
      </w:pPr>
      <w:r>
        <w:rPr>
          <w:rFonts w:hint="eastAsia" w:ascii="宋体" w:hAnsi="宋体" w:cs="仿宋"/>
          <w:b/>
          <w:color w:val="auto"/>
          <w:spacing w:val="6"/>
          <w:sz w:val="28"/>
          <w:szCs w:val="28"/>
          <w:highlight w:val="none"/>
        </w:rPr>
        <w:t>残疾人福利性单位声明函</w:t>
      </w:r>
    </w:p>
    <w:bookmarkEnd w:id="48"/>
    <w:bookmarkEnd w:id="49"/>
    <w:p w14:paraId="492A9DEA">
      <w:pPr>
        <w:spacing w:line="360" w:lineRule="auto"/>
        <w:rPr>
          <w:rFonts w:ascii="宋体" w:hAnsi="宋体" w:cs="仿宋"/>
          <w:b/>
          <w:color w:val="auto"/>
          <w:szCs w:val="21"/>
          <w:highlight w:val="none"/>
        </w:rPr>
      </w:pPr>
    </w:p>
    <w:p w14:paraId="0B106122">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390408">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本单位对上述声明的真实性负责。如有虚假，将依法承担相应责任。</w:t>
      </w:r>
    </w:p>
    <w:p w14:paraId="7BDE66AA">
      <w:pPr>
        <w:spacing w:line="360" w:lineRule="auto"/>
        <w:ind w:firstLine="420" w:firstLineChars="200"/>
        <w:rPr>
          <w:rFonts w:ascii="宋体" w:hAnsi="宋体" w:cs="仿宋"/>
          <w:color w:val="auto"/>
          <w:szCs w:val="21"/>
          <w:highlight w:val="none"/>
        </w:rPr>
      </w:pPr>
    </w:p>
    <w:p w14:paraId="0F7D2A03">
      <w:pPr>
        <w:spacing w:line="360" w:lineRule="auto"/>
        <w:ind w:firstLine="420" w:firstLineChars="200"/>
        <w:rPr>
          <w:rFonts w:ascii="宋体" w:hAnsi="宋体" w:cs="仿宋"/>
          <w:color w:val="auto"/>
          <w:szCs w:val="21"/>
          <w:highlight w:val="none"/>
        </w:rPr>
      </w:pPr>
    </w:p>
    <w:p w14:paraId="39823B9A">
      <w:pPr>
        <w:spacing w:line="360" w:lineRule="auto"/>
        <w:ind w:firstLine="420" w:firstLineChars="200"/>
        <w:rPr>
          <w:rFonts w:ascii="宋体" w:hAnsi="宋体" w:cs="仿宋"/>
          <w:color w:val="auto"/>
          <w:szCs w:val="21"/>
          <w:highlight w:val="none"/>
        </w:rPr>
      </w:pPr>
    </w:p>
    <w:p w14:paraId="43E457C9">
      <w:pPr>
        <w:pStyle w:val="17"/>
        <w:tabs>
          <w:tab w:val="left" w:pos="7321"/>
        </w:tabs>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59560AB3">
      <w:pPr>
        <w:pStyle w:val="17"/>
        <w:jc w:val="right"/>
        <w:rPr>
          <w:color w:val="auto"/>
          <w:highlight w:val="none"/>
        </w:rPr>
      </w:pPr>
    </w:p>
    <w:p w14:paraId="4DBEDDEE">
      <w:pPr>
        <w:pStyle w:val="17"/>
        <w:ind w:firstLine="5400" w:firstLineChars="27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55588BA0">
      <w:pPr>
        <w:spacing w:line="360" w:lineRule="auto"/>
        <w:rPr>
          <w:rFonts w:ascii="宋体" w:hAnsi="宋体" w:cs="宋体"/>
          <w:color w:val="auto"/>
          <w:kern w:val="0"/>
          <w:szCs w:val="21"/>
          <w:highlight w:val="none"/>
        </w:rPr>
      </w:pPr>
      <w:r>
        <w:rPr>
          <w:b/>
          <w:color w:val="auto"/>
          <w:sz w:val="24"/>
          <w:szCs w:val="24"/>
          <w:highlight w:val="none"/>
        </w:rPr>
        <w:br w:type="page"/>
      </w:r>
      <w:r>
        <w:rPr>
          <w:rFonts w:hint="eastAsia" w:ascii="宋体" w:hAnsi="宋体" w:cs="宋体"/>
          <w:color w:val="auto"/>
          <w:kern w:val="0"/>
          <w:szCs w:val="21"/>
          <w:highlight w:val="none"/>
        </w:rPr>
        <w:t>附件3：</w:t>
      </w:r>
    </w:p>
    <w:p w14:paraId="0EB11BC3">
      <w:pPr>
        <w:spacing w:line="588" w:lineRule="exact"/>
        <w:jc w:val="center"/>
        <w:rPr>
          <w:rFonts w:ascii="宋体" w:hAnsi="宋体" w:cs="仿宋"/>
          <w:b/>
          <w:color w:val="auto"/>
          <w:spacing w:val="6"/>
          <w:sz w:val="28"/>
          <w:szCs w:val="28"/>
          <w:highlight w:val="none"/>
        </w:rPr>
      </w:pPr>
      <w:r>
        <w:rPr>
          <w:rFonts w:hint="eastAsia" w:ascii="宋体" w:hAnsi="宋体" w:cs="仿宋"/>
          <w:b/>
          <w:color w:val="auto"/>
          <w:spacing w:val="6"/>
          <w:sz w:val="28"/>
          <w:szCs w:val="28"/>
          <w:highlight w:val="none"/>
        </w:rPr>
        <w:t>属于监狱企业的证明文件</w:t>
      </w:r>
    </w:p>
    <w:p w14:paraId="4061A7BE">
      <w:pPr>
        <w:spacing w:line="360" w:lineRule="auto"/>
        <w:ind w:firstLine="420" w:firstLineChars="200"/>
        <w:rPr>
          <w:rFonts w:ascii="宋体" w:hAnsi="宋体" w:cs="宋体"/>
          <w:color w:val="auto"/>
          <w:kern w:val="0"/>
          <w:szCs w:val="21"/>
          <w:highlight w:val="none"/>
        </w:rPr>
      </w:pPr>
    </w:p>
    <w:p w14:paraId="444066D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由省级以上监狱管理局、戒毒管理局（含新疆生产建设兵团）出具。</w:t>
      </w:r>
    </w:p>
    <w:p w14:paraId="37CBA5C5">
      <w:pPr>
        <w:rPr>
          <w:color w:val="auto"/>
          <w:highlight w:val="none"/>
        </w:rPr>
      </w:pPr>
    </w:p>
    <w:p w14:paraId="48FB19CD">
      <w:pPr>
        <w:widowControl/>
        <w:jc w:val="left"/>
        <w:rPr>
          <w:rFonts w:ascii="宋体" w:hAnsi="宋体" w:cs="宋体"/>
          <w:color w:val="auto"/>
          <w:kern w:val="0"/>
          <w:sz w:val="24"/>
          <w:szCs w:val="24"/>
          <w:highlight w:val="none"/>
        </w:rPr>
      </w:pPr>
      <w:r>
        <w:rPr>
          <w:color w:val="auto"/>
          <w:sz w:val="24"/>
          <w:szCs w:val="24"/>
          <w:highlight w:val="none"/>
        </w:rPr>
        <w:br w:type="page"/>
      </w:r>
    </w:p>
    <w:p w14:paraId="6446756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附件</w:t>
      </w:r>
      <w:r>
        <w:rPr>
          <w:rFonts w:ascii="宋体" w:hAnsi="宋体" w:cs="宋体"/>
          <w:color w:val="auto"/>
          <w:kern w:val="0"/>
          <w:szCs w:val="21"/>
          <w:highlight w:val="none"/>
        </w:rPr>
        <w:t>4</w:t>
      </w:r>
      <w:r>
        <w:rPr>
          <w:rFonts w:hint="eastAsia" w:ascii="宋体" w:hAnsi="宋体" w:cs="宋体"/>
          <w:color w:val="auto"/>
          <w:kern w:val="0"/>
          <w:szCs w:val="21"/>
          <w:highlight w:val="none"/>
        </w:rPr>
        <w:t>：</w:t>
      </w:r>
    </w:p>
    <w:p w14:paraId="4827B34F">
      <w:pPr>
        <w:spacing w:line="360" w:lineRule="auto"/>
        <w:jc w:val="center"/>
        <w:rPr>
          <w:rFonts w:ascii="宋体" w:hAnsi="宋体" w:cs="仿宋"/>
          <w:b/>
          <w:bCs/>
          <w:color w:val="auto"/>
          <w:kern w:val="0"/>
          <w:sz w:val="28"/>
          <w:szCs w:val="28"/>
          <w:highlight w:val="none"/>
        </w:rPr>
      </w:pPr>
      <w:r>
        <w:rPr>
          <w:rFonts w:hint="eastAsia" w:ascii="宋体" w:hAnsi="宋体" w:cs="仿宋"/>
          <w:b/>
          <w:bCs/>
          <w:color w:val="auto"/>
          <w:kern w:val="0"/>
          <w:sz w:val="28"/>
          <w:szCs w:val="28"/>
          <w:highlight w:val="none"/>
        </w:rPr>
        <w:t>中小微企业制造产品明细表</w:t>
      </w:r>
    </w:p>
    <w:p w14:paraId="3616C6D3">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（适用于二标段）</w:t>
      </w:r>
    </w:p>
    <w:tbl>
      <w:tblPr>
        <w:tblStyle w:val="40"/>
        <w:tblW w:w="9109"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90"/>
        <w:gridCol w:w="45"/>
        <w:gridCol w:w="890"/>
        <w:gridCol w:w="1405"/>
        <w:gridCol w:w="2199"/>
        <w:gridCol w:w="1559"/>
      </w:tblGrid>
      <w:tr w14:paraId="5066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22D6606D">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序号</w:t>
            </w:r>
          </w:p>
        </w:tc>
        <w:tc>
          <w:tcPr>
            <w:tcW w:w="2190" w:type="dxa"/>
            <w:vAlign w:val="center"/>
          </w:tcPr>
          <w:p w14:paraId="153DEBE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产品名称、规格型号</w:t>
            </w:r>
          </w:p>
        </w:tc>
        <w:tc>
          <w:tcPr>
            <w:tcW w:w="935" w:type="dxa"/>
            <w:gridSpan w:val="2"/>
            <w:vAlign w:val="center"/>
          </w:tcPr>
          <w:p w14:paraId="168EAC7B">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数量</w:t>
            </w:r>
          </w:p>
        </w:tc>
        <w:tc>
          <w:tcPr>
            <w:tcW w:w="1405" w:type="dxa"/>
            <w:vAlign w:val="center"/>
          </w:tcPr>
          <w:p w14:paraId="03908AAA">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金额（元）</w:t>
            </w:r>
          </w:p>
        </w:tc>
        <w:tc>
          <w:tcPr>
            <w:tcW w:w="2199" w:type="dxa"/>
            <w:vAlign w:val="center"/>
          </w:tcPr>
          <w:p w14:paraId="5B244BA3">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制造商名称</w:t>
            </w:r>
          </w:p>
        </w:tc>
        <w:tc>
          <w:tcPr>
            <w:tcW w:w="1559" w:type="dxa"/>
            <w:vAlign w:val="center"/>
          </w:tcPr>
          <w:p w14:paraId="1A7688AE">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企业类型</w:t>
            </w:r>
          </w:p>
        </w:tc>
      </w:tr>
      <w:tr w14:paraId="6385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3826C51">
            <w:pPr>
              <w:jc w:val="cente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一</w:t>
            </w:r>
          </w:p>
        </w:tc>
        <w:tc>
          <w:tcPr>
            <w:tcW w:w="8288" w:type="dxa"/>
            <w:gridSpan w:val="6"/>
            <w:vAlign w:val="center"/>
          </w:tcPr>
          <w:p w14:paraId="34134D31">
            <w:pP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制造商为中型企业产品列表</w:t>
            </w:r>
          </w:p>
        </w:tc>
      </w:tr>
      <w:tr w14:paraId="247E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BEE9E09">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1</w:t>
            </w:r>
          </w:p>
        </w:tc>
        <w:tc>
          <w:tcPr>
            <w:tcW w:w="2235" w:type="dxa"/>
            <w:gridSpan w:val="2"/>
            <w:vAlign w:val="center"/>
          </w:tcPr>
          <w:p w14:paraId="0C31C0F9">
            <w:pPr>
              <w:jc w:val="center"/>
              <w:rPr>
                <w:rFonts w:ascii="宋体" w:hAnsi="宋体" w:cs="仿宋"/>
                <w:b/>
                <w:bCs/>
                <w:color w:val="auto"/>
                <w:kern w:val="0"/>
                <w:szCs w:val="21"/>
                <w:highlight w:val="none"/>
              </w:rPr>
            </w:pPr>
          </w:p>
        </w:tc>
        <w:tc>
          <w:tcPr>
            <w:tcW w:w="890" w:type="dxa"/>
            <w:vAlign w:val="center"/>
          </w:tcPr>
          <w:p w14:paraId="6634F186">
            <w:pPr>
              <w:jc w:val="center"/>
              <w:rPr>
                <w:rFonts w:ascii="宋体" w:hAnsi="宋体" w:cs="仿宋"/>
                <w:b/>
                <w:bCs/>
                <w:color w:val="auto"/>
                <w:kern w:val="0"/>
                <w:szCs w:val="21"/>
                <w:highlight w:val="none"/>
              </w:rPr>
            </w:pPr>
          </w:p>
        </w:tc>
        <w:tc>
          <w:tcPr>
            <w:tcW w:w="1405" w:type="dxa"/>
            <w:vAlign w:val="center"/>
          </w:tcPr>
          <w:p w14:paraId="6BC4D41D">
            <w:pPr>
              <w:jc w:val="center"/>
              <w:rPr>
                <w:rFonts w:ascii="宋体" w:hAnsi="宋体" w:cs="仿宋"/>
                <w:b/>
                <w:bCs/>
                <w:color w:val="auto"/>
                <w:kern w:val="0"/>
                <w:szCs w:val="21"/>
                <w:highlight w:val="none"/>
              </w:rPr>
            </w:pPr>
          </w:p>
        </w:tc>
        <w:tc>
          <w:tcPr>
            <w:tcW w:w="2199" w:type="dxa"/>
            <w:vAlign w:val="center"/>
          </w:tcPr>
          <w:p w14:paraId="790A5D8F">
            <w:pPr>
              <w:jc w:val="center"/>
              <w:rPr>
                <w:rFonts w:ascii="宋体" w:hAnsi="宋体" w:cs="仿宋"/>
                <w:b/>
                <w:bCs/>
                <w:color w:val="auto"/>
                <w:kern w:val="0"/>
                <w:szCs w:val="21"/>
                <w:highlight w:val="none"/>
              </w:rPr>
            </w:pPr>
          </w:p>
        </w:tc>
        <w:tc>
          <w:tcPr>
            <w:tcW w:w="1559" w:type="dxa"/>
            <w:vAlign w:val="center"/>
          </w:tcPr>
          <w:p w14:paraId="1DB42F10">
            <w:pPr>
              <w:jc w:val="center"/>
              <w:rPr>
                <w:rFonts w:ascii="宋体" w:hAnsi="宋体" w:cs="仿宋"/>
                <w:b/>
                <w:bCs/>
                <w:color w:val="auto"/>
                <w:kern w:val="0"/>
                <w:szCs w:val="21"/>
                <w:highlight w:val="none"/>
              </w:rPr>
            </w:pPr>
          </w:p>
        </w:tc>
      </w:tr>
      <w:tr w14:paraId="09B5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872D92D">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2</w:t>
            </w:r>
          </w:p>
        </w:tc>
        <w:tc>
          <w:tcPr>
            <w:tcW w:w="2235" w:type="dxa"/>
            <w:gridSpan w:val="2"/>
            <w:vAlign w:val="center"/>
          </w:tcPr>
          <w:p w14:paraId="09025B5C">
            <w:pPr>
              <w:jc w:val="center"/>
              <w:rPr>
                <w:rFonts w:ascii="宋体" w:hAnsi="宋体" w:cs="仿宋"/>
                <w:b/>
                <w:bCs/>
                <w:color w:val="auto"/>
                <w:kern w:val="0"/>
                <w:szCs w:val="21"/>
                <w:highlight w:val="none"/>
              </w:rPr>
            </w:pPr>
          </w:p>
        </w:tc>
        <w:tc>
          <w:tcPr>
            <w:tcW w:w="890" w:type="dxa"/>
            <w:vAlign w:val="center"/>
          </w:tcPr>
          <w:p w14:paraId="219B02C8">
            <w:pPr>
              <w:jc w:val="center"/>
              <w:rPr>
                <w:rFonts w:ascii="宋体" w:hAnsi="宋体" w:cs="仿宋"/>
                <w:b/>
                <w:bCs/>
                <w:color w:val="auto"/>
                <w:kern w:val="0"/>
                <w:szCs w:val="21"/>
                <w:highlight w:val="none"/>
              </w:rPr>
            </w:pPr>
          </w:p>
        </w:tc>
        <w:tc>
          <w:tcPr>
            <w:tcW w:w="1405" w:type="dxa"/>
            <w:vAlign w:val="center"/>
          </w:tcPr>
          <w:p w14:paraId="3A777AE4">
            <w:pPr>
              <w:jc w:val="center"/>
              <w:rPr>
                <w:rFonts w:ascii="宋体" w:hAnsi="宋体" w:cs="仿宋"/>
                <w:b/>
                <w:bCs/>
                <w:color w:val="auto"/>
                <w:kern w:val="0"/>
                <w:szCs w:val="21"/>
                <w:highlight w:val="none"/>
              </w:rPr>
            </w:pPr>
          </w:p>
        </w:tc>
        <w:tc>
          <w:tcPr>
            <w:tcW w:w="2199" w:type="dxa"/>
            <w:vAlign w:val="center"/>
          </w:tcPr>
          <w:p w14:paraId="14B24596">
            <w:pPr>
              <w:jc w:val="center"/>
              <w:rPr>
                <w:rFonts w:ascii="宋体" w:hAnsi="宋体" w:cs="仿宋"/>
                <w:b/>
                <w:bCs/>
                <w:color w:val="auto"/>
                <w:kern w:val="0"/>
                <w:szCs w:val="21"/>
                <w:highlight w:val="none"/>
              </w:rPr>
            </w:pPr>
          </w:p>
        </w:tc>
        <w:tc>
          <w:tcPr>
            <w:tcW w:w="1559" w:type="dxa"/>
            <w:vAlign w:val="center"/>
          </w:tcPr>
          <w:p w14:paraId="16244D48">
            <w:pPr>
              <w:jc w:val="center"/>
              <w:rPr>
                <w:rFonts w:ascii="宋体" w:hAnsi="宋体" w:cs="仿宋"/>
                <w:b/>
                <w:bCs/>
                <w:color w:val="auto"/>
                <w:kern w:val="0"/>
                <w:szCs w:val="21"/>
                <w:highlight w:val="none"/>
              </w:rPr>
            </w:pPr>
          </w:p>
        </w:tc>
      </w:tr>
      <w:tr w14:paraId="0F09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45816B6">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3</w:t>
            </w:r>
          </w:p>
        </w:tc>
        <w:tc>
          <w:tcPr>
            <w:tcW w:w="2235" w:type="dxa"/>
            <w:gridSpan w:val="2"/>
            <w:vAlign w:val="center"/>
          </w:tcPr>
          <w:p w14:paraId="126C0D2D">
            <w:pPr>
              <w:jc w:val="center"/>
              <w:rPr>
                <w:rFonts w:ascii="宋体" w:hAnsi="宋体" w:cs="仿宋"/>
                <w:b/>
                <w:bCs/>
                <w:color w:val="auto"/>
                <w:kern w:val="0"/>
                <w:szCs w:val="21"/>
                <w:highlight w:val="none"/>
              </w:rPr>
            </w:pPr>
          </w:p>
        </w:tc>
        <w:tc>
          <w:tcPr>
            <w:tcW w:w="890" w:type="dxa"/>
            <w:vAlign w:val="center"/>
          </w:tcPr>
          <w:p w14:paraId="580CD6E6">
            <w:pPr>
              <w:jc w:val="center"/>
              <w:rPr>
                <w:rFonts w:ascii="宋体" w:hAnsi="宋体" w:cs="仿宋"/>
                <w:b/>
                <w:bCs/>
                <w:color w:val="auto"/>
                <w:kern w:val="0"/>
                <w:szCs w:val="21"/>
                <w:highlight w:val="none"/>
              </w:rPr>
            </w:pPr>
          </w:p>
        </w:tc>
        <w:tc>
          <w:tcPr>
            <w:tcW w:w="1405" w:type="dxa"/>
            <w:vAlign w:val="center"/>
          </w:tcPr>
          <w:p w14:paraId="56422EA5">
            <w:pPr>
              <w:jc w:val="center"/>
              <w:rPr>
                <w:rFonts w:ascii="宋体" w:hAnsi="宋体" w:cs="仿宋"/>
                <w:b/>
                <w:bCs/>
                <w:color w:val="auto"/>
                <w:kern w:val="0"/>
                <w:szCs w:val="21"/>
                <w:highlight w:val="none"/>
              </w:rPr>
            </w:pPr>
          </w:p>
        </w:tc>
        <w:tc>
          <w:tcPr>
            <w:tcW w:w="2199" w:type="dxa"/>
            <w:vAlign w:val="center"/>
          </w:tcPr>
          <w:p w14:paraId="44044BBB">
            <w:pPr>
              <w:jc w:val="center"/>
              <w:rPr>
                <w:rFonts w:ascii="宋体" w:hAnsi="宋体" w:cs="仿宋"/>
                <w:b/>
                <w:bCs/>
                <w:color w:val="auto"/>
                <w:kern w:val="0"/>
                <w:szCs w:val="21"/>
                <w:highlight w:val="none"/>
              </w:rPr>
            </w:pPr>
          </w:p>
        </w:tc>
        <w:tc>
          <w:tcPr>
            <w:tcW w:w="1559" w:type="dxa"/>
            <w:vAlign w:val="center"/>
          </w:tcPr>
          <w:p w14:paraId="73DA0BF6">
            <w:pPr>
              <w:jc w:val="center"/>
              <w:rPr>
                <w:rFonts w:ascii="宋体" w:hAnsi="宋体" w:cs="仿宋"/>
                <w:b/>
                <w:bCs/>
                <w:color w:val="auto"/>
                <w:kern w:val="0"/>
                <w:szCs w:val="21"/>
                <w:highlight w:val="none"/>
              </w:rPr>
            </w:pPr>
          </w:p>
        </w:tc>
      </w:tr>
      <w:tr w14:paraId="4293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E5D242A">
            <w:pPr>
              <w:jc w:val="cente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235" w:type="dxa"/>
            <w:gridSpan w:val="2"/>
            <w:vAlign w:val="center"/>
          </w:tcPr>
          <w:p w14:paraId="56416D0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890" w:type="dxa"/>
            <w:vAlign w:val="center"/>
          </w:tcPr>
          <w:p w14:paraId="740A2B24">
            <w:pPr>
              <w:jc w:val="center"/>
              <w:rPr>
                <w:rFonts w:ascii="宋体" w:hAnsi="宋体" w:cs="仿宋"/>
                <w:b/>
                <w:bCs/>
                <w:color w:val="auto"/>
                <w:kern w:val="0"/>
                <w:szCs w:val="21"/>
                <w:highlight w:val="none"/>
              </w:rPr>
            </w:pPr>
          </w:p>
        </w:tc>
        <w:tc>
          <w:tcPr>
            <w:tcW w:w="1405" w:type="dxa"/>
            <w:vAlign w:val="center"/>
          </w:tcPr>
          <w:p w14:paraId="27004C22">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51757CBB">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233EFD9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r>
      <w:tr w14:paraId="4E5C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AD99EDE">
            <w:pPr>
              <w:jc w:val="center"/>
              <w:rPr>
                <w:rFonts w:hint="eastAsia" w:ascii="宋体" w:hAnsi="宋体" w:cs="仿宋"/>
                <w:b/>
                <w:bCs/>
                <w:color w:val="auto"/>
                <w:kern w:val="0"/>
                <w:szCs w:val="21"/>
                <w:highlight w:val="none"/>
              </w:rPr>
            </w:pPr>
          </w:p>
        </w:tc>
        <w:tc>
          <w:tcPr>
            <w:tcW w:w="3125" w:type="dxa"/>
            <w:gridSpan w:val="3"/>
            <w:vAlign w:val="center"/>
          </w:tcPr>
          <w:p w14:paraId="29B064F2">
            <w:pPr>
              <w:jc w:val="cente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小计</w:t>
            </w:r>
          </w:p>
        </w:tc>
        <w:tc>
          <w:tcPr>
            <w:tcW w:w="1405" w:type="dxa"/>
            <w:vAlign w:val="center"/>
          </w:tcPr>
          <w:p w14:paraId="6F1D5787">
            <w:pPr>
              <w:jc w:val="center"/>
              <w:rPr>
                <w:rFonts w:hint="eastAsia" w:ascii="宋体" w:hAnsi="宋体" w:cs="仿宋"/>
                <w:b/>
                <w:bCs/>
                <w:color w:val="auto"/>
                <w:kern w:val="0"/>
                <w:szCs w:val="21"/>
                <w:highlight w:val="none"/>
              </w:rPr>
            </w:pPr>
          </w:p>
        </w:tc>
        <w:tc>
          <w:tcPr>
            <w:tcW w:w="2199" w:type="dxa"/>
            <w:vAlign w:val="center"/>
          </w:tcPr>
          <w:p w14:paraId="53B3B80C">
            <w:pPr>
              <w:jc w:val="center"/>
              <w:rPr>
                <w:rFonts w:hint="eastAsia" w:ascii="宋体" w:hAnsi="宋体" w:cs="仿宋"/>
                <w:b/>
                <w:bCs/>
                <w:color w:val="auto"/>
                <w:kern w:val="0"/>
                <w:szCs w:val="21"/>
                <w:highlight w:val="none"/>
              </w:rPr>
            </w:pPr>
          </w:p>
        </w:tc>
        <w:tc>
          <w:tcPr>
            <w:tcW w:w="1559" w:type="dxa"/>
            <w:vAlign w:val="center"/>
          </w:tcPr>
          <w:p w14:paraId="30A894AE">
            <w:pPr>
              <w:jc w:val="center"/>
              <w:rPr>
                <w:rFonts w:ascii="宋体" w:hAnsi="宋体" w:cs="仿宋"/>
                <w:b/>
                <w:bCs/>
                <w:color w:val="auto"/>
                <w:kern w:val="0"/>
                <w:szCs w:val="21"/>
                <w:highlight w:val="none"/>
              </w:rPr>
            </w:pPr>
          </w:p>
        </w:tc>
      </w:tr>
      <w:tr w14:paraId="3621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5C0E120">
            <w:pPr>
              <w:jc w:val="cente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二</w:t>
            </w:r>
          </w:p>
        </w:tc>
        <w:tc>
          <w:tcPr>
            <w:tcW w:w="8288" w:type="dxa"/>
            <w:gridSpan w:val="6"/>
            <w:vAlign w:val="center"/>
          </w:tcPr>
          <w:p w14:paraId="3F658EB8">
            <w:pP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制造商为小型或微型企业产品列表（含监狱企业、残疾人福利性单位）</w:t>
            </w:r>
          </w:p>
        </w:tc>
      </w:tr>
      <w:tr w14:paraId="61A1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97F11DB">
            <w:pPr>
              <w:jc w:val="center"/>
              <w:rPr>
                <w:rFonts w:ascii="宋体" w:hAnsi="宋体" w:cs="仿宋"/>
                <w:b/>
                <w:bCs/>
                <w:color w:val="auto"/>
                <w:kern w:val="0"/>
                <w:szCs w:val="21"/>
                <w:highlight w:val="none"/>
              </w:rPr>
            </w:pPr>
            <w:r>
              <w:rPr>
                <w:rFonts w:ascii="宋体" w:hAnsi="宋体" w:cs="仿宋"/>
                <w:b/>
                <w:bCs/>
                <w:color w:val="auto"/>
                <w:kern w:val="0"/>
                <w:szCs w:val="21"/>
                <w:highlight w:val="none"/>
              </w:rPr>
              <w:t>1</w:t>
            </w:r>
          </w:p>
        </w:tc>
        <w:tc>
          <w:tcPr>
            <w:tcW w:w="2235" w:type="dxa"/>
            <w:gridSpan w:val="2"/>
            <w:vAlign w:val="center"/>
          </w:tcPr>
          <w:p w14:paraId="6ADCC271">
            <w:pPr>
              <w:jc w:val="center"/>
              <w:rPr>
                <w:rFonts w:ascii="宋体" w:hAnsi="宋体" w:cs="仿宋"/>
                <w:b/>
                <w:bCs/>
                <w:color w:val="auto"/>
                <w:kern w:val="0"/>
                <w:szCs w:val="21"/>
                <w:highlight w:val="none"/>
              </w:rPr>
            </w:pPr>
          </w:p>
        </w:tc>
        <w:tc>
          <w:tcPr>
            <w:tcW w:w="890" w:type="dxa"/>
            <w:vAlign w:val="center"/>
          </w:tcPr>
          <w:p w14:paraId="591422A8">
            <w:pPr>
              <w:jc w:val="center"/>
              <w:rPr>
                <w:rFonts w:ascii="宋体" w:hAnsi="宋体" w:cs="仿宋"/>
                <w:b/>
                <w:bCs/>
                <w:color w:val="auto"/>
                <w:kern w:val="0"/>
                <w:szCs w:val="21"/>
                <w:highlight w:val="none"/>
              </w:rPr>
            </w:pPr>
          </w:p>
        </w:tc>
        <w:tc>
          <w:tcPr>
            <w:tcW w:w="1405" w:type="dxa"/>
            <w:vAlign w:val="center"/>
          </w:tcPr>
          <w:p w14:paraId="321C589F">
            <w:pPr>
              <w:jc w:val="center"/>
              <w:rPr>
                <w:rFonts w:ascii="宋体" w:hAnsi="宋体" w:cs="仿宋"/>
                <w:b/>
                <w:bCs/>
                <w:color w:val="auto"/>
                <w:kern w:val="0"/>
                <w:szCs w:val="21"/>
                <w:highlight w:val="none"/>
              </w:rPr>
            </w:pPr>
          </w:p>
        </w:tc>
        <w:tc>
          <w:tcPr>
            <w:tcW w:w="2199" w:type="dxa"/>
            <w:vAlign w:val="center"/>
          </w:tcPr>
          <w:p w14:paraId="04809113">
            <w:pPr>
              <w:jc w:val="center"/>
              <w:rPr>
                <w:rFonts w:ascii="宋体" w:hAnsi="宋体" w:cs="仿宋"/>
                <w:b/>
                <w:bCs/>
                <w:color w:val="auto"/>
                <w:kern w:val="0"/>
                <w:szCs w:val="21"/>
                <w:highlight w:val="none"/>
              </w:rPr>
            </w:pPr>
          </w:p>
        </w:tc>
        <w:tc>
          <w:tcPr>
            <w:tcW w:w="1559" w:type="dxa"/>
            <w:vAlign w:val="center"/>
          </w:tcPr>
          <w:p w14:paraId="534A3A0D">
            <w:pPr>
              <w:jc w:val="center"/>
              <w:rPr>
                <w:rFonts w:ascii="宋体" w:hAnsi="宋体" w:cs="仿宋"/>
                <w:b/>
                <w:bCs/>
                <w:color w:val="auto"/>
                <w:kern w:val="0"/>
                <w:szCs w:val="21"/>
                <w:highlight w:val="none"/>
              </w:rPr>
            </w:pPr>
          </w:p>
        </w:tc>
      </w:tr>
      <w:tr w14:paraId="73C8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C50F00D">
            <w:pPr>
              <w:jc w:val="center"/>
              <w:rPr>
                <w:rFonts w:ascii="宋体" w:hAnsi="宋体" w:cs="仿宋"/>
                <w:b/>
                <w:bCs/>
                <w:color w:val="auto"/>
                <w:kern w:val="0"/>
                <w:szCs w:val="21"/>
                <w:highlight w:val="none"/>
              </w:rPr>
            </w:pPr>
            <w:r>
              <w:rPr>
                <w:rFonts w:ascii="宋体" w:hAnsi="宋体" w:cs="仿宋"/>
                <w:b/>
                <w:bCs/>
                <w:color w:val="auto"/>
                <w:kern w:val="0"/>
                <w:szCs w:val="21"/>
                <w:highlight w:val="none"/>
              </w:rPr>
              <w:t>2</w:t>
            </w:r>
          </w:p>
        </w:tc>
        <w:tc>
          <w:tcPr>
            <w:tcW w:w="2235" w:type="dxa"/>
            <w:gridSpan w:val="2"/>
            <w:vAlign w:val="center"/>
          </w:tcPr>
          <w:p w14:paraId="6815F451">
            <w:pPr>
              <w:jc w:val="center"/>
              <w:rPr>
                <w:rFonts w:ascii="宋体" w:hAnsi="宋体" w:cs="仿宋"/>
                <w:b/>
                <w:bCs/>
                <w:color w:val="auto"/>
                <w:kern w:val="0"/>
                <w:szCs w:val="21"/>
                <w:highlight w:val="none"/>
              </w:rPr>
            </w:pPr>
          </w:p>
        </w:tc>
        <w:tc>
          <w:tcPr>
            <w:tcW w:w="890" w:type="dxa"/>
            <w:vAlign w:val="center"/>
          </w:tcPr>
          <w:p w14:paraId="13FA8AFA">
            <w:pPr>
              <w:jc w:val="center"/>
              <w:rPr>
                <w:rFonts w:ascii="宋体" w:hAnsi="宋体" w:cs="仿宋"/>
                <w:b/>
                <w:bCs/>
                <w:color w:val="auto"/>
                <w:kern w:val="0"/>
                <w:szCs w:val="21"/>
                <w:highlight w:val="none"/>
              </w:rPr>
            </w:pPr>
          </w:p>
        </w:tc>
        <w:tc>
          <w:tcPr>
            <w:tcW w:w="1405" w:type="dxa"/>
            <w:vAlign w:val="center"/>
          </w:tcPr>
          <w:p w14:paraId="2D4AC036">
            <w:pPr>
              <w:jc w:val="center"/>
              <w:rPr>
                <w:rFonts w:ascii="宋体" w:hAnsi="宋体" w:cs="仿宋"/>
                <w:b/>
                <w:bCs/>
                <w:color w:val="auto"/>
                <w:kern w:val="0"/>
                <w:szCs w:val="21"/>
                <w:highlight w:val="none"/>
              </w:rPr>
            </w:pPr>
          </w:p>
        </w:tc>
        <w:tc>
          <w:tcPr>
            <w:tcW w:w="2199" w:type="dxa"/>
            <w:vAlign w:val="center"/>
          </w:tcPr>
          <w:p w14:paraId="27BCA9F7">
            <w:pPr>
              <w:jc w:val="center"/>
              <w:rPr>
                <w:rFonts w:ascii="宋体" w:hAnsi="宋体" w:cs="仿宋"/>
                <w:b/>
                <w:bCs/>
                <w:color w:val="auto"/>
                <w:kern w:val="0"/>
                <w:szCs w:val="21"/>
                <w:highlight w:val="none"/>
              </w:rPr>
            </w:pPr>
          </w:p>
        </w:tc>
        <w:tc>
          <w:tcPr>
            <w:tcW w:w="1559" w:type="dxa"/>
            <w:vAlign w:val="center"/>
          </w:tcPr>
          <w:p w14:paraId="0BD1341D">
            <w:pPr>
              <w:jc w:val="center"/>
              <w:rPr>
                <w:rFonts w:ascii="宋体" w:hAnsi="宋体" w:cs="仿宋"/>
                <w:b/>
                <w:bCs/>
                <w:color w:val="auto"/>
                <w:kern w:val="0"/>
                <w:szCs w:val="21"/>
                <w:highlight w:val="none"/>
              </w:rPr>
            </w:pPr>
          </w:p>
        </w:tc>
      </w:tr>
      <w:tr w14:paraId="7D20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D1FC69B">
            <w:pPr>
              <w:jc w:val="center"/>
              <w:rPr>
                <w:rFonts w:ascii="宋体" w:hAnsi="宋体" w:cs="仿宋"/>
                <w:b/>
                <w:bCs/>
                <w:color w:val="auto"/>
                <w:kern w:val="0"/>
                <w:szCs w:val="21"/>
                <w:highlight w:val="none"/>
              </w:rPr>
            </w:pPr>
            <w:r>
              <w:rPr>
                <w:rFonts w:ascii="宋体" w:hAnsi="宋体" w:cs="仿宋"/>
                <w:b/>
                <w:bCs/>
                <w:color w:val="auto"/>
                <w:kern w:val="0"/>
                <w:szCs w:val="21"/>
                <w:highlight w:val="none"/>
              </w:rPr>
              <w:t>3</w:t>
            </w:r>
          </w:p>
        </w:tc>
        <w:tc>
          <w:tcPr>
            <w:tcW w:w="2235" w:type="dxa"/>
            <w:gridSpan w:val="2"/>
            <w:vAlign w:val="center"/>
          </w:tcPr>
          <w:p w14:paraId="47132151">
            <w:pPr>
              <w:jc w:val="center"/>
              <w:rPr>
                <w:rFonts w:ascii="宋体" w:hAnsi="宋体" w:cs="仿宋"/>
                <w:b/>
                <w:bCs/>
                <w:color w:val="auto"/>
                <w:kern w:val="0"/>
                <w:szCs w:val="21"/>
                <w:highlight w:val="none"/>
              </w:rPr>
            </w:pPr>
          </w:p>
        </w:tc>
        <w:tc>
          <w:tcPr>
            <w:tcW w:w="890" w:type="dxa"/>
            <w:vAlign w:val="center"/>
          </w:tcPr>
          <w:p w14:paraId="4D8994A7">
            <w:pPr>
              <w:jc w:val="center"/>
              <w:rPr>
                <w:rFonts w:ascii="宋体" w:hAnsi="宋体" w:cs="仿宋"/>
                <w:b/>
                <w:bCs/>
                <w:color w:val="auto"/>
                <w:kern w:val="0"/>
                <w:szCs w:val="21"/>
                <w:highlight w:val="none"/>
              </w:rPr>
            </w:pPr>
          </w:p>
        </w:tc>
        <w:tc>
          <w:tcPr>
            <w:tcW w:w="1405" w:type="dxa"/>
            <w:vAlign w:val="center"/>
          </w:tcPr>
          <w:p w14:paraId="43F207C1">
            <w:pPr>
              <w:jc w:val="center"/>
              <w:rPr>
                <w:rFonts w:ascii="宋体" w:hAnsi="宋体" w:cs="仿宋"/>
                <w:b/>
                <w:bCs/>
                <w:color w:val="auto"/>
                <w:kern w:val="0"/>
                <w:szCs w:val="21"/>
                <w:highlight w:val="none"/>
              </w:rPr>
            </w:pPr>
          </w:p>
        </w:tc>
        <w:tc>
          <w:tcPr>
            <w:tcW w:w="2199" w:type="dxa"/>
            <w:vAlign w:val="center"/>
          </w:tcPr>
          <w:p w14:paraId="37203D19">
            <w:pPr>
              <w:jc w:val="center"/>
              <w:rPr>
                <w:rFonts w:ascii="宋体" w:hAnsi="宋体" w:cs="仿宋"/>
                <w:b/>
                <w:bCs/>
                <w:color w:val="auto"/>
                <w:kern w:val="0"/>
                <w:szCs w:val="21"/>
                <w:highlight w:val="none"/>
              </w:rPr>
            </w:pPr>
          </w:p>
        </w:tc>
        <w:tc>
          <w:tcPr>
            <w:tcW w:w="1559" w:type="dxa"/>
            <w:vAlign w:val="center"/>
          </w:tcPr>
          <w:p w14:paraId="6AD4B495">
            <w:pPr>
              <w:jc w:val="center"/>
              <w:rPr>
                <w:rFonts w:ascii="宋体" w:hAnsi="宋体" w:cs="仿宋"/>
                <w:b/>
                <w:bCs/>
                <w:color w:val="auto"/>
                <w:kern w:val="0"/>
                <w:szCs w:val="21"/>
                <w:highlight w:val="none"/>
              </w:rPr>
            </w:pPr>
          </w:p>
        </w:tc>
      </w:tr>
      <w:tr w14:paraId="5CF6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682A6AA1">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235" w:type="dxa"/>
            <w:gridSpan w:val="2"/>
            <w:vAlign w:val="center"/>
          </w:tcPr>
          <w:p w14:paraId="3E49A131">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890" w:type="dxa"/>
            <w:vAlign w:val="center"/>
          </w:tcPr>
          <w:p w14:paraId="0475A343">
            <w:pPr>
              <w:jc w:val="center"/>
              <w:rPr>
                <w:rFonts w:ascii="宋体" w:hAnsi="宋体" w:cs="仿宋"/>
                <w:b/>
                <w:bCs/>
                <w:color w:val="auto"/>
                <w:kern w:val="0"/>
                <w:szCs w:val="21"/>
                <w:highlight w:val="none"/>
              </w:rPr>
            </w:pPr>
          </w:p>
        </w:tc>
        <w:tc>
          <w:tcPr>
            <w:tcW w:w="1405" w:type="dxa"/>
            <w:vAlign w:val="center"/>
          </w:tcPr>
          <w:p w14:paraId="29B9B490">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5450B108">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36A46D01">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r>
      <w:tr w14:paraId="61A6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85254BC">
            <w:pPr>
              <w:jc w:val="center"/>
              <w:rPr>
                <w:rFonts w:ascii="宋体" w:hAnsi="宋体" w:cs="仿宋"/>
                <w:b/>
                <w:bCs/>
                <w:color w:val="auto"/>
                <w:kern w:val="0"/>
                <w:szCs w:val="21"/>
                <w:highlight w:val="none"/>
              </w:rPr>
            </w:pPr>
          </w:p>
        </w:tc>
        <w:tc>
          <w:tcPr>
            <w:tcW w:w="3125" w:type="dxa"/>
            <w:gridSpan w:val="3"/>
            <w:vAlign w:val="center"/>
          </w:tcPr>
          <w:p w14:paraId="0989B872">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小计</w:t>
            </w:r>
          </w:p>
        </w:tc>
        <w:tc>
          <w:tcPr>
            <w:tcW w:w="1405" w:type="dxa"/>
            <w:vAlign w:val="center"/>
          </w:tcPr>
          <w:p w14:paraId="0375A28B">
            <w:pPr>
              <w:jc w:val="center"/>
              <w:rPr>
                <w:rFonts w:ascii="宋体" w:hAnsi="宋体" w:cs="仿宋"/>
                <w:b/>
                <w:bCs/>
                <w:color w:val="auto"/>
                <w:kern w:val="0"/>
                <w:szCs w:val="21"/>
                <w:highlight w:val="none"/>
              </w:rPr>
            </w:pPr>
          </w:p>
        </w:tc>
        <w:tc>
          <w:tcPr>
            <w:tcW w:w="2199" w:type="dxa"/>
            <w:vAlign w:val="center"/>
          </w:tcPr>
          <w:p w14:paraId="52E959A7">
            <w:pPr>
              <w:jc w:val="center"/>
              <w:rPr>
                <w:rFonts w:ascii="宋体" w:hAnsi="宋体" w:cs="仿宋"/>
                <w:b/>
                <w:bCs/>
                <w:color w:val="auto"/>
                <w:kern w:val="0"/>
                <w:szCs w:val="21"/>
                <w:highlight w:val="none"/>
              </w:rPr>
            </w:pPr>
          </w:p>
        </w:tc>
        <w:tc>
          <w:tcPr>
            <w:tcW w:w="1559" w:type="dxa"/>
            <w:vAlign w:val="center"/>
          </w:tcPr>
          <w:p w14:paraId="5D214D7C">
            <w:pPr>
              <w:jc w:val="center"/>
              <w:rPr>
                <w:rFonts w:ascii="宋体" w:hAnsi="宋体" w:cs="仿宋"/>
                <w:b/>
                <w:bCs/>
                <w:color w:val="auto"/>
                <w:kern w:val="0"/>
                <w:szCs w:val="21"/>
                <w:highlight w:val="none"/>
              </w:rPr>
            </w:pPr>
          </w:p>
        </w:tc>
      </w:tr>
      <w:tr w14:paraId="7E07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6" w:type="dxa"/>
            <w:gridSpan w:val="4"/>
            <w:vAlign w:val="center"/>
          </w:tcPr>
          <w:p w14:paraId="476AE6F5">
            <w:pPr>
              <w:ind w:right="-143"/>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合计</w:t>
            </w:r>
          </w:p>
        </w:tc>
        <w:tc>
          <w:tcPr>
            <w:tcW w:w="1405" w:type="dxa"/>
            <w:vAlign w:val="center"/>
          </w:tcPr>
          <w:p w14:paraId="6B2B1806">
            <w:pPr>
              <w:jc w:val="center"/>
              <w:rPr>
                <w:rFonts w:ascii="宋体" w:hAnsi="宋体" w:cs="仿宋"/>
                <w:b/>
                <w:bCs/>
                <w:color w:val="auto"/>
                <w:kern w:val="0"/>
                <w:szCs w:val="21"/>
                <w:highlight w:val="none"/>
              </w:rPr>
            </w:pPr>
          </w:p>
        </w:tc>
        <w:tc>
          <w:tcPr>
            <w:tcW w:w="2199" w:type="dxa"/>
            <w:vAlign w:val="center"/>
          </w:tcPr>
          <w:p w14:paraId="6F4581E8">
            <w:pPr>
              <w:jc w:val="center"/>
              <w:rPr>
                <w:rFonts w:ascii="宋体" w:hAnsi="宋体" w:cs="仿宋"/>
                <w:b/>
                <w:bCs/>
                <w:color w:val="auto"/>
                <w:kern w:val="0"/>
                <w:szCs w:val="21"/>
                <w:highlight w:val="none"/>
              </w:rPr>
            </w:pPr>
          </w:p>
        </w:tc>
        <w:tc>
          <w:tcPr>
            <w:tcW w:w="1559" w:type="dxa"/>
            <w:vAlign w:val="center"/>
          </w:tcPr>
          <w:p w14:paraId="5895987E">
            <w:pPr>
              <w:jc w:val="center"/>
              <w:rPr>
                <w:rFonts w:ascii="宋体" w:hAnsi="宋体" w:cs="仿宋"/>
                <w:b/>
                <w:bCs/>
                <w:color w:val="auto"/>
                <w:kern w:val="0"/>
                <w:szCs w:val="21"/>
                <w:highlight w:val="none"/>
              </w:rPr>
            </w:pPr>
          </w:p>
        </w:tc>
      </w:tr>
    </w:tbl>
    <w:p w14:paraId="120E203A">
      <w:pPr>
        <w:spacing w:line="360" w:lineRule="auto"/>
        <w:rPr>
          <w:rFonts w:ascii="宋体" w:hAnsi="宋体" w:cs="仿宋"/>
          <w:b/>
          <w:bCs/>
          <w:color w:val="auto"/>
          <w:kern w:val="0"/>
          <w:szCs w:val="21"/>
          <w:highlight w:val="none"/>
        </w:rPr>
      </w:pPr>
    </w:p>
    <w:p w14:paraId="42F714BB">
      <w:pPr>
        <w:spacing w:line="360" w:lineRule="auto"/>
        <w:rPr>
          <w:rFonts w:ascii="宋体" w:hAnsi="宋体" w:cs="仿宋"/>
          <w:b/>
          <w:bCs/>
          <w:color w:val="auto"/>
          <w:kern w:val="0"/>
          <w:szCs w:val="21"/>
          <w:highlight w:val="none"/>
        </w:rPr>
      </w:pPr>
      <w:r>
        <w:rPr>
          <w:rFonts w:hint="eastAsia" w:ascii="宋体" w:hAnsi="宋体" w:cs="仿宋"/>
          <w:b/>
          <w:bCs/>
          <w:color w:val="auto"/>
          <w:kern w:val="0"/>
          <w:szCs w:val="21"/>
          <w:highlight w:val="none"/>
        </w:rPr>
        <w:t>注：</w:t>
      </w:r>
    </w:p>
    <w:p w14:paraId="1BE32499">
      <w:pPr>
        <w:spacing w:line="360" w:lineRule="auto"/>
        <w:rPr>
          <w:rFonts w:ascii="宋体" w:hAnsi="宋体" w:cs="仿宋"/>
          <w:b/>
          <w:color w:val="auto"/>
          <w:kern w:val="0"/>
          <w:szCs w:val="21"/>
          <w:highlight w:val="none"/>
        </w:rPr>
      </w:pPr>
      <w:r>
        <w:rPr>
          <w:rFonts w:ascii="宋体" w:hAnsi="宋体" w:cs="仿宋"/>
          <w:b/>
          <w:color w:val="auto"/>
          <w:kern w:val="0"/>
          <w:szCs w:val="21"/>
          <w:highlight w:val="none"/>
        </w:rPr>
        <w:t xml:space="preserve">  1</w:t>
      </w:r>
      <w:r>
        <w:rPr>
          <w:rFonts w:hint="eastAsia" w:ascii="宋体" w:hAnsi="宋体" w:cs="仿宋"/>
          <w:b/>
          <w:color w:val="auto"/>
          <w:kern w:val="0"/>
          <w:szCs w:val="21"/>
          <w:highlight w:val="none"/>
        </w:rPr>
        <w:t>、*本采购项目二标段必须填报此表。</w:t>
      </w:r>
    </w:p>
    <w:p w14:paraId="38555E22">
      <w:pPr>
        <w:spacing w:line="360" w:lineRule="auto"/>
        <w:rPr>
          <w:rFonts w:hint="eastAsia"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2</w:t>
      </w:r>
      <w:r>
        <w:rPr>
          <w:rFonts w:hint="eastAsia" w:ascii="宋体" w:hAnsi="宋体" w:cs="仿宋"/>
          <w:color w:val="auto"/>
          <w:kern w:val="0"/>
          <w:szCs w:val="21"/>
          <w:highlight w:val="none"/>
        </w:rPr>
        <w:t>、上表中的金额须与分项报价表中的金额一致，否则投标将被否决。中小微企业的产品金额应不低于本采购项目落实政府采购政策需满足的资格要求中规定的份额要求（详见投标须知前附表）。</w:t>
      </w:r>
    </w:p>
    <w:p w14:paraId="6D0B1D5B">
      <w:pPr>
        <w:spacing w:line="360" w:lineRule="auto"/>
        <w:ind w:firstLine="210" w:firstLineChars="100"/>
        <w:rPr>
          <w:rFonts w:hint="eastAsia" w:ascii="宋体" w:hAnsi="宋体" w:cs="仿宋"/>
          <w:color w:val="auto"/>
          <w:kern w:val="0"/>
          <w:szCs w:val="21"/>
          <w:highlight w:val="none"/>
        </w:rPr>
      </w:pPr>
      <w:r>
        <w:rPr>
          <w:rFonts w:hint="eastAsia" w:ascii="宋体" w:hAnsi="宋体" w:cs="仿宋"/>
          <w:color w:val="auto"/>
          <w:kern w:val="0"/>
          <w:szCs w:val="21"/>
          <w:highlight w:val="none"/>
        </w:rPr>
        <w:t>3、上表中“企业类型”栏填写“中型/小型/微型/监狱企业/残疾人福利性单位”,划型标准见投标须知前附表。</w:t>
      </w:r>
    </w:p>
    <w:p w14:paraId="3E0910B3">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4</w:t>
      </w:r>
      <w:r>
        <w:rPr>
          <w:rFonts w:hint="eastAsia" w:ascii="宋体" w:hAnsi="宋体" w:cs="仿宋"/>
          <w:color w:val="auto"/>
          <w:kern w:val="0"/>
          <w:szCs w:val="21"/>
          <w:highlight w:val="none"/>
        </w:rPr>
        <w:t>、本采购项目一标段不填报此表。</w:t>
      </w:r>
    </w:p>
    <w:p w14:paraId="7CD26E67">
      <w:pPr>
        <w:spacing w:line="360" w:lineRule="auto"/>
        <w:rPr>
          <w:rFonts w:ascii="宋体" w:hAnsi="宋体" w:cs="仿宋"/>
          <w:color w:val="auto"/>
          <w:kern w:val="0"/>
          <w:szCs w:val="21"/>
          <w:highlight w:val="none"/>
        </w:rPr>
      </w:pPr>
    </w:p>
    <w:p w14:paraId="2FE25B48">
      <w:pPr>
        <w:pStyle w:val="17"/>
        <w:tabs>
          <w:tab w:val="left" w:pos="7321"/>
        </w:tabs>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19D4A85C">
      <w:pPr>
        <w:pStyle w:val="17"/>
        <w:tabs>
          <w:tab w:val="left" w:pos="6481"/>
        </w:tabs>
        <w:jc w:val="right"/>
        <w:rPr>
          <w:color w:val="auto"/>
          <w:highlight w:val="none"/>
        </w:rPr>
      </w:pPr>
      <w:r>
        <w:rPr>
          <w:color w:val="auto"/>
          <w:highlight w:val="none"/>
        </w:rPr>
        <w:t>法定代表人或其委托代理人：</w:t>
      </w:r>
      <w:r>
        <w:rPr>
          <w:color w:val="auto"/>
          <w:highlight w:val="none"/>
          <w:u w:val="single"/>
        </w:rPr>
        <w:t xml:space="preserve"> </w:t>
      </w:r>
      <w:r>
        <w:rPr>
          <w:rFonts w:hint="eastAsia"/>
          <w:color w:val="auto"/>
          <w:highlight w:val="none"/>
          <w:u w:val="single"/>
        </w:rPr>
        <w:t xml:space="preserve">        </w:t>
      </w:r>
      <w:r>
        <w:rPr>
          <w:color w:val="auto"/>
          <w:highlight w:val="none"/>
        </w:rPr>
        <w:t>（签字）</w:t>
      </w:r>
    </w:p>
    <w:p w14:paraId="0E4B84AD">
      <w:pPr>
        <w:pStyle w:val="17"/>
        <w:jc w:val="righ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5A05FF87">
      <w:pPr>
        <w:pStyle w:val="146"/>
        <w:spacing w:line="360" w:lineRule="auto"/>
        <w:ind w:left="0" w:right="0"/>
        <w:jc w:val="center"/>
        <w:rPr>
          <w:color w:val="auto"/>
          <w:sz w:val="24"/>
          <w:szCs w:val="24"/>
          <w:highlight w:val="none"/>
          <w:lang w:eastAsia="zh-CN"/>
        </w:rPr>
      </w:pPr>
    </w:p>
    <w:p w14:paraId="7CED6418">
      <w:pPr>
        <w:pStyle w:val="146"/>
        <w:spacing w:line="360" w:lineRule="auto"/>
        <w:ind w:left="0" w:right="0"/>
        <w:jc w:val="center"/>
        <w:rPr>
          <w:b/>
          <w:color w:val="auto"/>
          <w:highlight w:val="none"/>
          <w:lang w:eastAsia="zh-CN"/>
        </w:rPr>
      </w:pPr>
      <w:r>
        <w:rPr>
          <w:color w:val="auto"/>
          <w:sz w:val="24"/>
          <w:szCs w:val="24"/>
          <w:highlight w:val="none"/>
          <w:lang w:eastAsia="zh-CN"/>
        </w:rPr>
        <w:br w:type="page"/>
      </w:r>
      <w:r>
        <w:rPr>
          <w:rFonts w:hint="eastAsia"/>
          <w:b/>
          <w:color w:val="auto"/>
          <w:highlight w:val="none"/>
          <w:lang w:eastAsia="zh-CN"/>
        </w:rPr>
        <w:t>（三）满足特定资格要求的证明文件</w:t>
      </w:r>
    </w:p>
    <w:p w14:paraId="353BA8C5">
      <w:pPr>
        <w:pStyle w:val="17"/>
        <w:tabs>
          <w:tab w:val="left" w:pos="2291"/>
          <w:tab w:val="left" w:pos="2395"/>
          <w:tab w:val="left" w:pos="6538"/>
          <w:tab w:val="left" w:pos="6658"/>
          <w:tab w:val="left" w:pos="7481"/>
          <w:tab w:val="left" w:pos="8506"/>
        </w:tabs>
        <w:spacing w:line="360" w:lineRule="auto"/>
        <w:rPr>
          <w:color w:val="auto"/>
          <w:highlight w:val="none"/>
        </w:rPr>
      </w:pPr>
    </w:p>
    <w:p w14:paraId="52209EFE">
      <w:pPr>
        <w:spacing w:line="360" w:lineRule="auto"/>
        <w:ind w:firstLine="420" w:firstLineChars="200"/>
        <w:outlineLvl w:val="0"/>
        <w:rPr>
          <w:color w:val="auto"/>
          <w:highlight w:val="none"/>
        </w:rPr>
      </w:pPr>
      <w:r>
        <w:rPr>
          <w:rFonts w:hint="eastAsia"/>
          <w:color w:val="auto"/>
          <w:highlight w:val="none"/>
        </w:rPr>
        <w:t>提供：投标人满足第二章〈投标须知〉投标须知前附表规定的本项目特定资格要求的证明文件，应附投标人及其制造商（适用于代理经销商投标的情形）资格或者资质证书副本或制造许可证或投标货物检测报告或认证证书复印件等材料或政府强制采购节能产品认证证书复印件。</w:t>
      </w:r>
    </w:p>
    <w:p w14:paraId="72BA67DE">
      <w:pPr>
        <w:spacing w:line="360" w:lineRule="auto"/>
        <w:ind w:firstLine="480" w:firstLineChars="200"/>
        <w:jc w:val="center"/>
        <w:outlineLvl w:val="0"/>
        <w:rPr>
          <w:rFonts w:ascii="宋体" w:hAnsi="宋体" w:cs="宋体"/>
          <w:b/>
          <w:bCs/>
          <w:color w:val="auto"/>
          <w:kern w:val="0"/>
          <w:sz w:val="36"/>
          <w:szCs w:val="36"/>
          <w:highlight w:val="none"/>
        </w:rPr>
      </w:pPr>
      <w:r>
        <w:rPr>
          <w:rFonts w:hint="eastAsia" w:ascii="宋体" w:hAnsi="宋体" w:cs="宋体"/>
          <w:color w:val="auto"/>
          <w:kern w:val="0"/>
          <w:sz w:val="24"/>
          <w:szCs w:val="24"/>
          <w:highlight w:val="none"/>
        </w:rPr>
        <w:br w:type="page"/>
      </w:r>
      <w:r>
        <w:rPr>
          <w:rFonts w:hint="eastAsia" w:ascii="宋体" w:hAnsi="宋体" w:cs="宋体"/>
          <w:b/>
          <w:bCs/>
          <w:color w:val="auto"/>
          <w:kern w:val="0"/>
          <w:sz w:val="36"/>
          <w:szCs w:val="36"/>
          <w:highlight w:val="none"/>
        </w:rPr>
        <w:t>七、类似项目业绩表</w:t>
      </w:r>
      <w:bookmarkEnd w:id="47"/>
    </w:p>
    <w:p w14:paraId="5FFBF4C5">
      <w:pPr>
        <w:pStyle w:val="152"/>
        <w:wordWrap w:val="0"/>
        <w:adjustRightInd w:val="0"/>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p>
    <w:p w14:paraId="3E2F7379">
      <w:pPr>
        <w:pStyle w:val="152"/>
        <w:wordWrap w:val="0"/>
        <w:adjustRightInd w:val="0"/>
        <w:spacing w:line="5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p>
    <w:tbl>
      <w:tblPr>
        <w:tblStyle w:val="40"/>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6602"/>
      </w:tblGrid>
      <w:tr w14:paraId="6C6B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97" w:type="dxa"/>
            <w:vAlign w:val="center"/>
          </w:tcPr>
          <w:p w14:paraId="6CF73FB5">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6602" w:type="dxa"/>
          </w:tcPr>
          <w:p w14:paraId="788FBBB0">
            <w:pPr>
              <w:pStyle w:val="152"/>
              <w:tabs>
                <w:tab w:val="left" w:pos="2265"/>
              </w:tabs>
              <w:wordWrap w:val="0"/>
              <w:spacing w:line="360" w:lineRule="auto"/>
              <w:jc w:val="center"/>
              <w:rPr>
                <w:rFonts w:ascii="宋体" w:hAnsi="宋体" w:cs="宋体"/>
                <w:color w:val="auto"/>
                <w:sz w:val="21"/>
                <w:szCs w:val="21"/>
                <w:highlight w:val="none"/>
              </w:rPr>
            </w:pPr>
          </w:p>
        </w:tc>
      </w:tr>
      <w:tr w14:paraId="44CB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97" w:type="dxa"/>
            <w:vAlign w:val="center"/>
          </w:tcPr>
          <w:p w14:paraId="03D4ECA5">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采购人名称</w:t>
            </w:r>
          </w:p>
        </w:tc>
        <w:tc>
          <w:tcPr>
            <w:tcW w:w="6602" w:type="dxa"/>
          </w:tcPr>
          <w:p w14:paraId="2019E935">
            <w:pPr>
              <w:pStyle w:val="152"/>
              <w:wordWrap w:val="0"/>
              <w:spacing w:line="360" w:lineRule="auto"/>
              <w:jc w:val="center"/>
              <w:rPr>
                <w:rFonts w:ascii="宋体" w:hAnsi="宋体" w:cs="宋体"/>
                <w:color w:val="auto"/>
                <w:sz w:val="21"/>
                <w:szCs w:val="21"/>
                <w:highlight w:val="none"/>
              </w:rPr>
            </w:pPr>
          </w:p>
        </w:tc>
      </w:tr>
      <w:tr w14:paraId="2DA4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897" w:type="dxa"/>
            <w:vAlign w:val="center"/>
          </w:tcPr>
          <w:p w14:paraId="162FC1CA">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采购联系人姓名及联系方式</w:t>
            </w:r>
          </w:p>
        </w:tc>
        <w:tc>
          <w:tcPr>
            <w:tcW w:w="6602" w:type="dxa"/>
          </w:tcPr>
          <w:p w14:paraId="2FFA04ED">
            <w:pPr>
              <w:pStyle w:val="152"/>
              <w:wordWrap w:val="0"/>
              <w:spacing w:line="360" w:lineRule="auto"/>
              <w:jc w:val="center"/>
              <w:rPr>
                <w:rFonts w:ascii="宋体" w:hAnsi="宋体" w:cs="宋体"/>
                <w:color w:val="auto"/>
                <w:sz w:val="21"/>
                <w:szCs w:val="21"/>
                <w:highlight w:val="none"/>
              </w:rPr>
            </w:pPr>
          </w:p>
        </w:tc>
      </w:tr>
      <w:tr w14:paraId="2809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97" w:type="dxa"/>
            <w:vAlign w:val="center"/>
          </w:tcPr>
          <w:p w14:paraId="25F41968">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合同金额</w:t>
            </w:r>
          </w:p>
        </w:tc>
        <w:tc>
          <w:tcPr>
            <w:tcW w:w="6602" w:type="dxa"/>
          </w:tcPr>
          <w:p w14:paraId="514D284C">
            <w:pPr>
              <w:pStyle w:val="152"/>
              <w:wordWrap w:val="0"/>
              <w:spacing w:line="360" w:lineRule="auto"/>
              <w:jc w:val="center"/>
              <w:rPr>
                <w:rFonts w:ascii="宋体" w:hAnsi="宋体" w:cs="宋体"/>
                <w:color w:val="auto"/>
                <w:sz w:val="21"/>
                <w:szCs w:val="21"/>
                <w:highlight w:val="none"/>
              </w:rPr>
            </w:pPr>
          </w:p>
        </w:tc>
      </w:tr>
      <w:tr w14:paraId="1263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897" w:type="dxa"/>
            <w:vAlign w:val="center"/>
          </w:tcPr>
          <w:p w14:paraId="6DD59D95">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项目负责人姓名</w:t>
            </w:r>
          </w:p>
        </w:tc>
        <w:tc>
          <w:tcPr>
            <w:tcW w:w="6602" w:type="dxa"/>
          </w:tcPr>
          <w:p w14:paraId="05069F92">
            <w:pPr>
              <w:pStyle w:val="152"/>
              <w:wordWrap w:val="0"/>
              <w:spacing w:line="360" w:lineRule="auto"/>
              <w:jc w:val="center"/>
              <w:rPr>
                <w:rFonts w:ascii="宋体" w:hAnsi="宋体" w:cs="宋体"/>
                <w:color w:val="auto"/>
                <w:sz w:val="21"/>
                <w:szCs w:val="21"/>
                <w:highlight w:val="none"/>
              </w:rPr>
            </w:pPr>
          </w:p>
        </w:tc>
      </w:tr>
      <w:tr w14:paraId="6B42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897" w:type="dxa"/>
            <w:vAlign w:val="center"/>
          </w:tcPr>
          <w:p w14:paraId="418B3D9F">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交付时间</w:t>
            </w:r>
          </w:p>
        </w:tc>
        <w:tc>
          <w:tcPr>
            <w:tcW w:w="6602" w:type="dxa"/>
          </w:tcPr>
          <w:p w14:paraId="287A3A1A">
            <w:pPr>
              <w:pStyle w:val="152"/>
              <w:wordWrap w:val="0"/>
              <w:spacing w:line="360" w:lineRule="auto"/>
              <w:jc w:val="center"/>
              <w:rPr>
                <w:rFonts w:ascii="宋体" w:hAnsi="宋体" w:cs="宋体"/>
                <w:color w:val="auto"/>
                <w:sz w:val="21"/>
                <w:szCs w:val="21"/>
                <w:highlight w:val="none"/>
              </w:rPr>
            </w:pPr>
          </w:p>
        </w:tc>
      </w:tr>
      <w:tr w14:paraId="407C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jc w:val="center"/>
        </w:trPr>
        <w:tc>
          <w:tcPr>
            <w:tcW w:w="1897" w:type="dxa"/>
            <w:vAlign w:val="center"/>
          </w:tcPr>
          <w:p w14:paraId="2BDF019A">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项目内容说明</w:t>
            </w:r>
          </w:p>
        </w:tc>
        <w:tc>
          <w:tcPr>
            <w:tcW w:w="6602" w:type="dxa"/>
          </w:tcPr>
          <w:p w14:paraId="2A14B29F">
            <w:pPr>
              <w:pStyle w:val="152"/>
              <w:wordWrap w:val="0"/>
              <w:spacing w:line="360" w:lineRule="auto"/>
              <w:jc w:val="center"/>
              <w:rPr>
                <w:rFonts w:ascii="宋体" w:hAnsi="宋体" w:cs="宋体"/>
                <w:color w:val="auto"/>
                <w:sz w:val="21"/>
                <w:szCs w:val="21"/>
                <w:highlight w:val="none"/>
              </w:rPr>
            </w:pPr>
          </w:p>
        </w:tc>
      </w:tr>
    </w:tbl>
    <w:p w14:paraId="689CEA87">
      <w:pPr>
        <w:pStyle w:val="152"/>
        <w:wordWrap w:val="0"/>
        <w:autoSpaceDE w:val="0"/>
        <w:autoSpaceDN w:val="0"/>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说明：1．投标人应结合评标办法提供，每个合同须单独附表，并附相关证明材料（合同或中标/成交通知书复印件），否则专家在评审时将不予认可；</w:t>
      </w:r>
    </w:p>
    <w:p w14:paraId="156907C0">
      <w:pPr>
        <w:pStyle w:val="152"/>
        <w:wordWrap w:val="0"/>
        <w:spacing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2．项目内容请详细说明所承担的具体工作内容；</w:t>
      </w:r>
    </w:p>
    <w:p w14:paraId="6ADBB0BE">
      <w:pPr>
        <w:pStyle w:val="152"/>
        <w:wordWrap w:val="0"/>
        <w:spacing w:line="360" w:lineRule="auto"/>
        <w:ind w:firstLine="630" w:firstLineChars="300"/>
        <w:rPr>
          <w:rFonts w:ascii="宋体" w:hAnsi="宋体" w:cs="宋体"/>
          <w:color w:val="auto"/>
          <w:sz w:val="21"/>
          <w:szCs w:val="21"/>
          <w:highlight w:val="none"/>
        </w:rPr>
      </w:pPr>
    </w:p>
    <w:p w14:paraId="4BF2F0E6">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687C8AF1">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164BBC2C">
      <w:pPr>
        <w:pStyle w:val="152"/>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06AFE7E1">
      <w:pPr>
        <w:wordWrap w:val="0"/>
        <w:spacing w:line="360" w:lineRule="auto"/>
        <w:jc w:val="center"/>
        <w:outlineLvl w:val="0"/>
        <w:rPr>
          <w:rFonts w:ascii="宋体" w:hAnsi="宋体" w:cs="宋体"/>
          <w:b/>
          <w:bCs/>
          <w:color w:val="auto"/>
          <w:kern w:val="0"/>
          <w:sz w:val="36"/>
          <w:szCs w:val="36"/>
          <w:highlight w:val="none"/>
        </w:rPr>
      </w:pPr>
      <w:r>
        <w:rPr>
          <w:rFonts w:hint="eastAsia" w:ascii="宋体" w:hAnsi="宋体" w:cs="宋体"/>
          <w:color w:val="auto"/>
          <w:kern w:val="0"/>
          <w:sz w:val="24"/>
          <w:szCs w:val="24"/>
          <w:highlight w:val="none"/>
        </w:rPr>
        <w:br w:type="page"/>
      </w:r>
      <w:bookmarkStart w:id="50" w:name="_Toc6134"/>
      <w:r>
        <w:rPr>
          <w:rFonts w:hint="eastAsia" w:ascii="宋体" w:hAnsi="宋体" w:cs="宋体"/>
          <w:b/>
          <w:bCs/>
          <w:color w:val="auto"/>
          <w:kern w:val="0"/>
          <w:sz w:val="36"/>
          <w:szCs w:val="36"/>
          <w:highlight w:val="none"/>
        </w:rPr>
        <w:t>八、服务承诺书</w:t>
      </w:r>
      <w:bookmarkEnd w:id="50"/>
    </w:p>
    <w:p w14:paraId="3F22B1B2">
      <w:pPr>
        <w:wordWrap w:val="0"/>
        <w:spacing w:line="360" w:lineRule="auto"/>
        <w:jc w:val="center"/>
        <w:rPr>
          <w:rFonts w:ascii="宋体" w:hAnsi="宋体" w:cs="宋体"/>
          <w:color w:val="auto"/>
          <w:kern w:val="0"/>
          <w:sz w:val="24"/>
          <w:szCs w:val="24"/>
          <w:highlight w:val="none"/>
        </w:rPr>
      </w:pPr>
    </w:p>
    <w:p w14:paraId="6C623890">
      <w:pPr>
        <w:wordWrap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提供的增值服务承诺、售后服务承诺等，格式自拟。</w:t>
      </w:r>
    </w:p>
    <w:p w14:paraId="571B3455">
      <w:pPr>
        <w:wordWrap w:val="0"/>
        <w:spacing w:line="360" w:lineRule="auto"/>
        <w:jc w:val="center"/>
        <w:outlineLvl w:val="0"/>
        <w:rPr>
          <w:rFonts w:ascii="宋体" w:hAnsi="宋体" w:cs="宋体"/>
          <w:b/>
          <w:color w:val="auto"/>
          <w:sz w:val="24"/>
          <w:highlight w:val="none"/>
        </w:rPr>
      </w:pPr>
      <w:r>
        <w:rPr>
          <w:rFonts w:hint="eastAsia" w:ascii="宋体" w:hAnsi="宋体" w:cs="宋体"/>
          <w:color w:val="auto"/>
          <w:kern w:val="0"/>
          <w:sz w:val="24"/>
          <w:szCs w:val="24"/>
          <w:highlight w:val="none"/>
        </w:rPr>
        <w:br w:type="page"/>
      </w:r>
      <w:bookmarkStart w:id="51" w:name="_Toc31365"/>
      <w:r>
        <w:rPr>
          <w:rFonts w:hint="eastAsia" w:ascii="宋体" w:hAnsi="宋体" w:cs="宋体"/>
          <w:b/>
          <w:bCs/>
          <w:color w:val="auto"/>
          <w:kern w:val="0"/>
          <w:sz w:val="36"/>
          <w:szCs w:val="36"/>
          <w:highlight w:val="none"/>
        </w:rPr>
        <w:t>九、技术/商务响应与偏离表</w:t>
      </w:r>
      <w:bookmarkEnd w:id="51"/>
    </w:p>
    <w:p w14:paraId="7DCA3E41">
      <w:pPr>
        <w:pStyle w:val="190"/>
        <w:wordWrap w:val="0"/>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商务偏离表</w:t>
      </w:r>
    </w:p>
    <w:tbl>
      <w:tblPr>
        <w:tblStyle w:val="40"/>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38"/>
        <w:gridCol w:w="2154"/>
        <w:gridCol w:w="1921"/>
        <w:gridCol w:w="1694"/>
        <w:gridCol w:w="911"/>
      </w:tblGrid>
      <w:tr w14:paraId="5BC1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99" w:type="dxa"/>
            <w:vAlign w:val="center"/>
          </w:tcPr>
          <w:p w14:paraId="3B0D51D7">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38" w:type="dxa"/>
            <w:vAlign w:val="center"/>
          </w:tcPr>
          <w:p w14:paraId="24581F83">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2154" w:type="dxa"/>
            <w:vAlign w:val="center"/>
          </w:tcPr>
          <w:p w14:paraId="58B392A0">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招标文件要求</w:t>
            </w:r>
          </w:p>
        </w:tc>
        <w:tc>
          <w:tcPr>
            <w:tcW w:w="1921" w:type="dxa"/>
            <w:vAlign w:val="center"/>
          </w:tcPr>
          <w:p w14:paraId="4F66DF0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投标响应内容</w:t>
            </w:r>
          </w:p>
        </w:tc>
        <w:tc>
          <w:tcPr>
            <w:tcW w:w="1694" w:type="dxa"/>
            <w:vAlign w:val="center"/>
          </w:tcPr>
          <w:p w14:paraId="0B7645D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偏离情况</w:t>
            </w:r>
          </w:p>
        </w:tc>
        <w:tc>
          <w:tcPr>
            <w:tcW w:w="911" w:type="dxa"/>
            <w:vAlign w:val="center"/>
          </w:tcPr>
          <w:p w14:paraId="3E070313">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68EF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5D9ED0FA">
            <w:pPr>
              <w:adjustRightInd w:val="0"/>
              <w:snapToGrid w:val="0"/>
              <w:jc w:val="center"/>
              <w:rPr>
                <w:rFonts w:ascii="宋体" w:hAnsi="宋体" w:cs="宋体"/>
                <w:color w:val="auto"/>
                <w:szCs w:val="21"/>
                <w:highlight w:val="none"/>
              </w:rPr>
            </w:pPr>
          </w:p>
        </w:tc>
        <w:tc>
          <w:tcPr>
            <w:tcW w:w="1338" w:type="dxa"/>
            <w:vAlign w:val="center"/>
          </w:tcPr>
          <w:p w14:paraId="0EF0005C">
            <w:pPr>
              <w:adjustRightInd w:val="0"/>
              <w:snapToGrid w:val="0"/>
              <w:jc w:val="center"/>
              <w:rPr>
                <w:rFonts w:ascii="宋体" w:hAnsi="宋体" w:cs="宋体"/>
                <w:color w:val="auto"/>
                <w:szCs w:val="21"/>
                <w:highlight w:val="none"/>
              </w:rPr>
            </w:pPr>
          </w:p>
        </w:tc>
        <w:tc>
          <w:tcPr>
            <w:tcW w:w="2154" w:type="dxa"/>
            <w:vAlign w:val="center"/>
          </w:tcPr>
          <w:p w14:paraId="2924F471">
            <w:pPr>
              <w:adjustRightInd w:val="0"/>
              <w:snapToGrid w:val="0"/>
              <w:jc w:val="center"/>
              <w:rPr>
                <w:rFonts w:ascii="宋体" w:hAnsi="宋体" w:cs="宋体"/>
                <w:color w:val="auto"/>
                <w:szCs w:val="21"/>
                <w:highlight w:val="none"/>
              </w:rPr>
            </w:pPr>
          </w:p>
        </w:tc>
        <w:tc>
          <w:tcPr>
            <w:tcW w:w="1921" w:type="dxa"/>
            <w:vAlign w:val="center"/>
          </w:tcPr>
          <w:p w14:paraId="40D22F42">
            <w:pPr>
              <w:adjustRightInd w:val="0"/>
              <w:snapToGrid w:val="0"/>
              <w:jc w:val="center"/>
              <w:rPr>
                <w:rFonts w:ascii="宋体" w:hAnsi="宋体" w:cs="宋体"/>
                <w:color w:val="auto"/>
                <w:szCs w:val="21"/>
                <w:highlight w:val="none"/>
              </w:rPr>
            </w:pPr>
          </w:p>
        </w:tc>
        <w:tc>
          <w:tcPr>
            <w:tcW w:w="1694" w:type="dxa"/>
            <w:vAlign w:val="center"/>
          </w:tcPr>
          <w:p w14:paraId="3448B3A0">
            <w:pPr>
              <w:adjustRightInd w:val="0"/>
              <w:snapToGrid w:val="0"/>
              <w:jc w:val="center"/>
              <w:rPr>
                <w:rFonts w:ascii="宋体" w:hAnsi="宋体" w:cs="宋体"/>
                <w:color w:val="auto"/>
                <w:szCs w:val="21"/>
                <w:highlight w:val="none"/>
              </w:rPr>
            </w:pPr>
          </w:p>
        </w:tc>
        <w:tc>
          <w:tcPr>
            <w:tcW w:w="911" w:type="dxa"/>
            <w:vAlign w:val="center"/>
          </w:tcPr>
          <w:p w14:paraId="785F5EA3">
            <w:pPr>
              <w:adjustRightInd w:val="0"/>
              <w:snapToGrid w:val="0"/>
              <w:jc w:val="center"/>
              <w:rPr>
                <w:rFonts w:ascii="宋体" w:hAnsi="宋体" w:cs="宋体"/>
                <w:color w:val="auto"/>
                <w:szCs w:val="21"/>
                <w:highlight w:val="none"/>
              </w:rPr>
            </w:pPr>
          </w:p>
        </w:tc>
      </w:tr>
      <w:tr w14:paraId="530F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039E67D8">
            <w:pPr>
              <w:adjustRightInd w:val="0"/>
              <w:snapToGrid w:val="0"/>
              <w:jc w:val="center"/>
              <w:rPr>
                <w:rFonts w:ascii="宋体" w:hAnsi="宋体" w:cs="宋体"/>
                <w:color w:val="auto"/>
                <w:szCs w:val="21"/>
                <w:highlight w:val="none"/>
              </w:rPr>
            </w:pPr>
          </w:p>
        </w:tc>
        <w:tc>
          <w:tcPr>
            <w:tcW w:w="1338" w:type="dxa"/>
            <w:vAlign w:val="center"/>
          </w:tcPr>
          <w:p w14:paraId="508BC19F">
            <w:pPr>
              <w:adjustRightInd w:val="0"/>
              <w:snapToGrid w:val="0"/>
              <w:jc w:val="center"/>
              <w:rPr>
                <w:rFonts w:ascii="宋体" w:hAnsi="宋体" w:cs="宋体"/>
                <w:color w:val="auto"/>
                <w:szCs w:val="21"/>
                <w:highlight w:val="none"/>
              </w:rPr>
            </w:pPr>
          </w:p>
        </w:tc>
        <w:tc>
          <w:tcPr>
            <w:tcW w:w="2154" w:type="dxa"/>
            <w:vAlign w:val="center"/>
          </w:tcPr>
          <w:p w14:paraId="7E50D288">
            <w:pPr>
              <w:adjustRightInd w:val="0"/>
              <w:snapToGrid w:val="0"/>
              <w:jc w:val="center"/>
              <w:rPr>
                <w:rFonts w:ascii="宋体" w:hAnsi="宋体" w:cs="宋体"/>
                <w:color w:val="auto"/>
                <w:szCs w:val="21"/>
                <w:highlight w:val="none"/>
              </w:rPr>
            </w:pPr>
          </w:p>
        </w:tc>
        <w:tc>
          <w:tcPr>
            <w:tcW w:w="1921" w:type="dxa"/>
            <w:vAlign w:val="center"/>
          </w:tcPr>
          <w:p w14:paraId="4B07A5CB">
            <w:pPr>
              <w:adjustRightInd w:val="0"/>
              <w:snapToGrid w:val="0"/>
              <w:jc w:val="center"/>
              <w:rPr>
                <w:rFonts w:ascii="宋体" w:hAnsi="宋体" w:cs="宋体"/>
                <w:color w:val="auto"/>
                <w:szCs w:val="21"/>
                <w:highlight w:val="none"/>
              </w:rPr>
            </w:pPr>
          </w:p>
        </w:tc>
        <w:tc>
          <w:tcPr>
            <w:tcW w:w="1694" w:type="dxa"/>
            <w:vAlign w:val="center"/>
          </w:tcPr>
          <w:p w14:paraId="312DED9C">
            <w:pPr>
              <w:adjustRightInd w:val="0"/>
              <w:snapToGrid w:val="0"/>
              <w:jc w:val="center"/>
              <w:rPr>
                <w:rFonts w:ascii="宋体" w:hAnsi="宋体" w:cs="宋体"/>
                <w:color w:val="auto"/>
                <w:szCs w:val="21"/>
                <w:highlight w:val="none"/>
              </w:rPr>
            </w:pPr>
          </w:p>
        </w:tc>
        <w:tc>
          <w:tcPr>
            <w:tcW w:w="911" w:type="dxa"/>
            <w:vAlign w:val="center"/>
          </w:tcPr>
          <w:p w14:paraId="285AF6BD">
            <w:pPr>
              <w:adjustRightInd w:val="0"/>
              <w:snapToGrid w:val="0"/>
              <w:jc w:val="center"/>
              <w:rPr>
                <w:rFonts w:ascii="宋体" w:hAnsi="宋体" w:cs="宋体"/>
                <w:color w:val="auto"/>
                <w:szCs w:val="21"/>
                <w:highlight w:val="none"/>
              </w:rPr>
            </w:pPr>
          </w:p>
        </w:tc>
      </w:tr>
      <w:tr w14:paraId="4FDE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5697882B">
            <w:pPr>
              <w:adjustRightInd w:val="0"/>
              <w:snapToGrid w:val="0"/>
              <w:jc w:val="center"/>
              <w:rPr>
                <w:rFonts w:ascii="宋体" w:hAnsi="宋体" w:cs="宋体"/>
                <w:color w:val="auto"/>
                <w:szCs w:val="21"/>
                <w:highlight w:val="none"/>
              </w:rPr>
            </w:pPr>
          </w:p>
        </w:tc>
        <w:tc>
          <w:tcPr>
            <w:tcW w:w="1338" w:type="dxa"/>
            <w:vAlign w:val="center"/>
          </w:tcPr>
          <w:p w14:paraId="4E5D00AB">
            <w:pPr>
              <w:adjustRightInd w:val="0"/>
              <w:snapToGrid w:val="0"/>
              <w:jc w:val="center"/>
              <w:rPr>
                <w:rFonts w:ascii="宋体" w:hAnsi="宋体" w:cs="宋体"/>
                <w:color w:val="auto"/>
                <w:szCs w:val="21"/>
                <w:highlight w:val="none"/>
              </w:rPr>
            </w:pPr>
          </w:p>
        </w:tc>
        <w:tc>
          <w:tcPr>
            <w:tcW w:w="2154" w:type="dxa"/>
            <w:vAlign w:val="center"/>
          </w:tcPr>
          <w:p w14:paraId="55744666">
            <w:pPr>
              <w:adjustRightInd w:val="0"/>
              <w:snapToGrid w:val="0"/>
              <w:jc w:val="center"/>
              <w:rPr>
                <w:rFonts w:ascii="宋体" w:hAnsi="宋体" w:cs="宋体"/>
                <w:color w:val="auto"/>
                <w:szCs w:val="21"/>
                <w:highlight w:val="none"/>
              </w:rPr>
            </w:pPr>
          </w:p>
        </w:tc>
        <w:tc>
          <w:tcPr>
            <w:tcW w:w="1921" w:type="dxa"/>
            <w:vAlign w:val="center"/>
          </w:tcPr>
          <w:p w14:paraId="67BF5144">
            <w:pPr>
              <w:adjustRightInd w:val="0"/>
              <w:snapToGrid w:val="0"/>
              <w:jc w:val="center"/>
              <w:rPr>
                <w:rFonts w:ascii="宋体" w:hAnsi="宋体" w:cs="宋体"/>
                <w:color w:val="auto"/>
                <w:szCs w:val="21"/>
                <w:highlight w:val="none"/>
              </w:rPr>
            </w:pPr>
          </w:p>
        </w:tc>
        <w:tc>
          <w:tcPr>
            <w:tcW w:w="1694" w:type="dxa"/>
            <w:vAlign w:val="center"/>
          </w:tcPr>
          <w:p w14:paraId="048AC67E">
            <w:pPr>
              <w:adjustRightInd w:val="0"/>
              <w:snapToGrid w:val="0"/>
              <w:jc w:val="center"/>
              <w:rPr>
                <w:rFonts w:ascii="宋体" w:hAnsi="宋体" w:cs="宋体"/>
                <w:color w:val="auto"/>
                <w:szCs w:val="21"/>
                <w:highlight w:val="none"/>
              </w:rPr>
            </w:pPr>
          </w:p>
        </w:tc>
        <w:tc>
          <w:tcPr>
            <w:tcW w:w="911" w:type="dxa"/>
            <w:vAlign w:val="center"/>
          </w:tcPr>
          <w:p w14:paraId="73A326F9">
            <w:pPr>
              <w:adjustRightInd w:val="0"/>
              <w:snapToGrid w:val="0"/>
              <w:jc w:val="center"/>
              <w:rPr>
                <w:rFonts w:ascii="宋体" w:hAnsi="宋体" w:cs="宋体"/>
                <w:color w:val="auto"/>
                <w:szCs w:val="21"/>
                <w:highlight w:val="none"/>
              </w:rPr>
            </w:pPr>
          </w:p>
        </w:tc>
      </w:tr>
      <w:tr w14:paraId="5D3B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2086F939">
            <w:pPr>
              <w:adjustRightInd w:val="0"/>
              <w:snapToGrid w:val="0"/>
              <w:jc w:val="center"/>
              <w:rPr>
                <w:rFonts w:ascii="宋体" w:hAnsi="宋体" w:cs="宋体"/>
                <w:color w:val="auto"/>
                <w:szCs w:val="21"/>
                <w:highlight w:val="none"/>
              </w:rPr>
            </w:pPr>
          </w:p>
        </w:tc>
        <w:tc>
          <w:tcPr>
            <w:tcW w:w="1338" w:type="dxa"/>
            <w:vAlign w:val="center"/>
          </w:tcPr>
          <w:p w14:paraId="2D11CF08">
            <w:pPr>
              <w:adjustRightInd w:val="0"/>
              <w:snapToGrid w:val="0"/>
              <w:jc w:val="center"/>
              <w:rPr>
                <w:rFonts w:ascii="宋体" w:hAnsi="宋体" w:cs="宋体"/>
                <w:color w:val="auto"/>
                <w:szCs w:val="21"/>
                <w:highlight w:val="none"/>
              </w:rPr>
            </w:pPr>
          </w:p>
        </w:tc>
        <w:tc>
          <w:tcPr>
            <w:tcW w:w="2154" w:type="dxa"/>
            <w:vAlign w:val="center"/>
          </w:tcPr>
          <w:p w14:paraId="03E64874">
            <w:pPr>
              <w:adjustRightInd w:val="0"/>
              <w:snapToGrid w:val="0"/>
              <w:jc w:val="center"/>
              <w:rPr>
                <w:rFonts w:ascii="宋体" w:hAnsi="宋体" w:cs="宋体"/>
                <w:color w:val="auto"/>
                <w:szCs w:val="21"/>
                <w:highlight w:val="none"/>
              </w:rPr>
            </w:pPr>
          </w:p>
        </w:tc>
        <w:tc>
          <w:tcPr>
            <w:tcW w:w="1921" w:type="dxa"/>
            <w:vAlign w:val="center"/>
          </w:tcPr>
          <w:p w14:paraId="05BCF7EE">
            <w:pPr>
              <w:adjustRightInd w:val="0"/>
              <w:snapToGrid w:val="0"/>
              <w:jc w:val="center"/>
              <w:rPr>
                <w:rFonts w:ascii="宋体" w:hAnsi="宋体" w:cs="宋体"/>
                <w:color w:val="auto"/>
                <w:szCs w:val="21"/>
                <w:highlight w:val="none"/>
              </w:rPr>
            </w:pPr>
          </w:p>
        </w:tc>
        <w:tc>
          <w:tcPr>
            <w:tcW w:w="1694" w:type="dxa"/>
            <w:vAlign w:val="center"/>
          </w:tcPr>
          <w:p w14:paraId="337A52D6">
            <w:pPr>
              <w:adjustRightInd w:val="0"/>
              <w:snapToGrid w:val="0"/>
              <w:jc w:val="center"/>
              <w:rPr>
                <w:rFonts w:ascii="宋体" w:hAnsi="宋体" w:cs="宋体"/>
                <w:color w:val="auto"/>
                <w:szCs w:val="21"/>
                <w:highlight w:val="none"/>
              </w:rPr>
            </w:pPr>
          </w:p>
        </w:tc>
        <w:tc>
          <w:tcPr>
            <w:tcW w:w="911" w:type="dxa"/>
            <w:vAlign w:val="center"/>
          </w:tcPr>
          <w:p w14:paraId="6B9619A0">
            <w:pPr>
              <w:adjustRightInd w:val="0"/>
              <w:snapToGrid w:val="0"/>
              <w:jc w:val="center"/>
              <w:rPr>
                <w:rFonts w:ascii="宋体" w:hAnsi="宋体" w:cs="宋体"/>
                <w:color w:val="auto"/>
                <w:szCs w:val="21"/>
                <w:highlight w:val="none"/>
              </w:rPr>
            </w:pPr>
          </w:p>
        </w:tc>
      </w:tr>
      <w:tr w14:paraId="3167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4EB4AD9E">
            <w:pPr>
              <w:adjustRightInd w:val="0"/>
              <w:snapToGrid w:val="0"/>
              <w:jc w:val="center"/>
              <w:rPr>
                <w:rFonts w:ascii="宋体" w:hAnsi="宋体" w:cs="宋体"/>
                <w:color w:val="auto"/>
                <w:szCs w:val="21"/>
                <w:highlight w:val="none"/>
              </w:rPr>
            </w:pPr>
          </w:p>
        </w:tc>
        <w:tc>
          <w:tcPr>
            <w:tcW w:w="1338" w:type="dxa"/>
            <w:vAlign w:val="center"/>
          </w:tcPr>
          <w:p w14:paraId="0363B88C">
            <w:pPr>
              <w:adjustRightInd w:val="0"/>
              <w:snapToGrid w:val="0"/>
              <w:jc w:val="center"/>
              <w:rPr>
                <w:rFonts w:ascii="宋体" w:hAnsi="宋体" w:cs="宋体"/>
                <w:color w:val="auto"/>
                <w:szCs w:val="21"/>
                <w:highlight w:val="none"/>
              </w:rPr>
            </w:pPr>
          </w:p>
        </w:tc>
        <w:tc>
          <w:tcPr>
            <w:tcW w:w="2154" w:type="dxa"/>
            <w:vAlign w:val="center"/>
          </w:tcPr>
          <w:p w14:paraId="282C4623">
            <w:pPr>
              <w:adjustRightInd w:val="0"/>
              <w:snapToGrid w:val="0"/>
              <w:jc w:val="center"/>
              <w:rPr>
                <w:rFonts w:ascii="宋体" w:hAnsi="宋体" w:cs="宋体"/>
                <w:color w:val="auto"/>
                <w:szCs w:val="21"/>
                <w:highlight w:val="none"/>
              </w:rPr>
            </w:pPr>
          </w:p>
        </w:tc>
        <w:tc>
          <w:tcPr>
            <w:tcW w:w="1921" w:type="dxa"/>
            <w:vAlign w:val="center"/>
          </w:tcPr>
          <w:p w14:paraId="32BB0BC9">
            <w:pPr>
              <w:adjustRightInd w:val="0"/>
              <w:snapToGrid w:val="0"/>
              <w:jc w:val="center"/>
              <w:rPr>
                <w:rFonts w:ascii="宋体" w:hAnsi="宋体" w:cs="宋体"/>
                <w:color w:val="auto"/>
                <w:szCs w:val="21"/>
                <w:highlight w:val="none"/>
              </w:rPr>
            </w:pPr>
          </w:p>
        </w:tc>
        <w:tc>
          <w:tcPr>
            <w:tcW w:w="1694" w:type="dxa"/>
            <w:vAlign w:val="center"/>
          </w:tcPr>
          <w:p w14:paraId="19D3A7FE">
            <w:pPr>
              <w:adjustRightInd w:val="0"/>
              <w:snapToGrid w:val="0"/>
              <w:jc w:val="center"/>
              <w:rPr>
                <w:rFonts w:ascii="宋体" w:hAnsi="宋体" w:cs="宋体"/>
                <w:color w:val="auto"/>
                <w:szCs w:val="21"/>
                <w:highlight w:val="none"/>
              </w:rPr>
            </w:pPr>
          </w:p>
        </w:tc>
        <w:tc>
          <w:tcPr>
            <w:tcW w:w="911" w:type="dxa"/>
            <w:vAlign w:val="center"/>
          </w:tcPr>
          <w:p w14:paraId="41651FB7">
            <w:pPr>
              <w:adjustRightInd w:val="0"/>
              <w:snapToGrid w:val="0"/>
              <w:jc w:val="center"/>
              <w:rPr>
                <w:rFonts w:ascii="宋体" w:hAnsi="宋体" w:cs="宋体"/>
                <w:color w:val="auto"/>
                <w:szCs w:val="21"/>
                <w:highlight w:val="none"/>
              </w:rPr>
            </w:pPr>
          </w:p>
        </w:tc>
      </w:tr>
      <w:tr w14:paraId="7C1B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3B25FB7D">
            <w:pPr>
              <w:adjustRightInd w:val="0"/>
              <w:snapToGrid w:val="0"/>
              <w:jc w:val="center"/>
              <w:rPr>
                <w:rFonts w:ascii="宋体" w:hAnsi="宋体" w:cs="宋体"/>
                <w:color w:val="auto"/>
                <w:szCs w:val="21"/>
                <w:highlight w:val="none"/>
              </w:rPr>
            </w:pPr>
          </w:p>
        </w:tc>
        <w:tc>
          <w:tcPr>
            <w:tcW w:w="1338" w:type="dxa"/>
            <w:vAlign w:val="center"/>
          </w:tcPr>
          <w:p w14:paraId="39749D55">
            <w:pPr>
              <w:adjustRightInd w:val="0"/>
              <w:snapToGrid w:val="0"/>
              <w:jc w:val="center"/>
              <w:rPr>
                <w:rFonts w:ascii="宋体" w:hAnsi="宋体" w:cs="宋体"/>
                <w:color w:val="auto"/>
                <w:szCs w:val="21"/>
                <w:highlight w:val="none"/>
              </w:rPr>
            </w:pPr>
          </w:p>
        </w:tc>
        <w:tc>
          <w:tcPr>
            <w:tcW w:w="2154" w:type="dxa"/>
            <w:vAlign w:val="center"/>
          </w:tcPr>
          <w:p w14:paraId="6893644A">
            <w:pPr>
              <w:adjustRightInd w:val="0"/>
              <w:snapToGrid w:val="0"/>
              <w:jc w:val="center"/>
              <w:rPr>
                <w:rFonts w:ascii="宋体" w:hAnsi="宋体" w:cs="宋体"/>
                <w:color w:val="auto"/>
                <w:szCs w:val="21"/>
                <w:highlight w:val="none"/>
              </w:rPr>
            </w:pPr>
          </w:p>
        </w:tc>
        <w:tc>
          <w:tcPr>
            <w:tcW w:w="1921" w:type="dxa"/>
            <w:vAlign w:val="center"/>
          </w:tcPr>
          <w:p w14:paraId="57CF5D28">
            <w:pPr>
              <w:adjustRightInd w:val="0"/>
              <w:snapToGrid w:val="0"/>
              <w:jc w:val="center"/>
              <w:rPr>
                <w:rFonts w:ascii="宋体" w:hAnsi="宋体" w:cs="宋体"/>
                <w:color w:val="auto"/>
                <w:szCs w:val="21"/>
                <w:highlight w:val="none"/>
              </w:rPr>
            </w:pPr>
          </w:p>
        </w:tc>
        <w:tc>
          <w:tcPr>
            <w:tcW w:w="1694" w:type="dxa"/>
            <w:vAlign w:val="center"/>
          </w:tcPr>
          <w:p w14:paraId="4D1E80B5">
            <w:pPr>
              <w:adjustRightInd w:val="0"/>
              <w:snapToGrid w:val="0"/>
              <w:jc w:val="center"/>
              <w:rPr>
                <w:rFonts w:ascii="宋体" w:hAnsi="宋体" w:cs="宋体"/>
                <w:color w:val="auto"/>
                <w:szCs w:val="21"/>
                <w:highlight w:val="none"/>
              </w:rPr>
            </w:pPr>
          </w:p>
        </w:tc>
        <w:tc>
          <w:tcPr>
            <w:tcW w:w="911" w:type="dxa"/>
            <w:vAlign w:val="center"/>
          </w:tcPr>
          <w:p w14:paraId="4C02642A">
            <w:pPr>
              <w:adjustRightInd w:val="0"/>
              <w:snapToGrid w:val="0"/>
              <w:jc w:val="center"/>
              <w:rPr>
                <w:rFonts w:ascii="宋体" w:hAnsi="宋体" w:cs="宋体"/>
                <w:color w:val="auto"/>
                <w:szCs w:val="21"/>
                <w:highlight w:val="none"/>
              </w:rPr>
            </w:pPr>
          </w:p>
        </w:tc>
      </w:tr>
    </w:tbl>
    <w:p w14:paraId="624B974A">
      <w:pPr>
        <w:pStyle w:val="190"/>
        <w:wordWrap w:val="0"/>
        <w:spacing w:line="360" w:lineRule="auto"/>
        <w:jc w:val="center"/>
        <w:rPr>
          <w:rFonts w:ascii="宋体" w:hAnsi="宋体" w:cs="宋体"/>
          <w:bCs/>
          <w:color w:val="auto"/>
          <w:sz w:val="21"/>
          <w:szCs w:val="21"/>
          <w:highlight w:val="none"/>
        </w:rPr>
      </w:pPr>
    </w:p>
    <w:p w14:paraId="081D5DFC">
      <w:pPr>
        <w:wordWrap w:val="0"/>
        <w:adjustRightInd w:val="0"/>
        <w:spacing w:line="360" w:lineRule="auto"/>
        <w:rPr>
          <w:rFonts w:ascii="宋体" w:hAnsi="宋体" w:cs="宋体"/>
          <w:color w:val="auto"/>
          <w:szCs w:val="21"/>
          <w:highlight w:val="none"/>
        </w:rPr>
      </w:pPr>
    </w:p>
    <w:p w14:paraId="596E3544">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62E5A3E3">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2447AA56">
      <w:pPr>
        <w:wordWrap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201697F">
      <w:pPr>
        <w:wordWrap w:val="0"/>
        <w:adjustRightInd w:val="0"/>
        <w:spacing w:line="360" w:lineRule="auto"/>
        <w:jc w:val="right"/>
        <w:rPr>
          <w:rFonts w:ascii="宋体" w:hAnsi="宋体" w:cs="宋体"/>
          <w:color w:val="auto"/>
          <w:szCs w:val="21"/>
          <w:highlight w:val="none"/>
        </w:rPr>
      </w:pPr>
    </w:p>
    <w:p w14:paraId="2B2D556B">
      <w:pPr>
        <w:wordWrap w:val="0"/>
        <w:adjustRightInd w:val="0"/>
        <w:spacing w:line="360" w:lineRule="auto"/>
        <w:jc w:val="right"/>
        <w:rPr>
          <w:rFonts w:ascii="宋体" w:hAnsi="宋体" w:cs="宋体"/>
          <w:color w:val="auto"/>
          <w:szCs w:val="21"/>
          <w:highlight w:val="none"/>
        </w:rPr>
      </w:pPr>
    </w:p>
    <w:p w14:paraId="2C873DA3">
      <w:pPr>
        <w:wordWrap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6A7F43EE">
      <w:pPr>
        <w:wordWrap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1.投标人要将投标文件和招标文件在商务部分的差异之处汇集成表。此表中若无任何文字说明，内容为空白，投标无效。</w:t>
      </w:r>
    </w:p>
    <w:p w14:paraId="32263B18">
      <w:pPr>
        <w:wordWrap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2.“偏离情况”列应据实填写“正偏离”或“负偏离”或“无偏离”。</w:t>
      </w:r>
    </w:p>
    <w:p w14:paraId="1917A1B1">
      <w:pPr>
        <w:pStyle w:val="6"/>
        <w:wordWrap w:val="0"/>
        <w:spacing w:line="360" w:lineRule="auto"/>
        <w:ind w:firstLine="0"/>
        <w:rPr>
          <w:rFonts w:ascii="宋体" w:hAnsi="宋体" w:cs="宋体"/>
          <w:color w:val="auto"/>
          <w:sz w:val="21"/>
          <w:szCs w:val="21"/>
          <w:highlight w:val="none"/>
        </w:rPr>
      </w:pPr>
    </w:p>
    <w:p w14:paraId="16407906">
      <w:pPr>
        <w:pStyle w:val="190"/>
        <w:wordWrap w:val="0"/>
        <w:spacing w:line="360" w:lineRule="auto"/>
        <w:jc w:val="center"/>
        <w:rPr>
          <w:rFonts w:ascii="宋体" w:hAnsi="宋体" w:cs="宋体"/>
          <w:bCs/>
          <w:color w:val="auto"/>
          <w:sz w:val="21"/>
          <w:szCs w:val="21"/>
          <w:highlight w:val="none"/>
        </w:rPr>
      </w:pPr>
      <w:r>
        <w:rPr>
          <w:rFonts w:hint="eastAsia" w:ascii="宋体" w:hAnsi="宋体" w:cs="宋体"/>
          <w:bCs/>
          <w:color w:val="auto"/>
          <w:sz w:val="32"/>
          <w:szCs w:val="32"/>
          <w:highlight w:val="none"/>
        </w:rPr>
        <w:br w:type="page"/>
      </w:r>
      <w:r>
        <w:rPr>
          <w:rFonts w:hint="eastAsia" w:ascii="宋体" w:hAnsi="宋体" w:cs="宋体"/>
          <w:bCs/>
          <w:color w:val="auto"/>
          <w:sz w:val="21"/>
          <w:szCs w:val="21"/>
          <w:highlight w:val="none"/>
        </w:rPr>
        <w:t>技术条款偏离表</w:t>
      </w:r>
    </w:p>
    <w:tbl>
      <w:tblPr>
        <w:tblStyle w:val="40"/>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38"/>
        <w:gridCol w:w="2154"/>
        <w:gridCol w:w="1921"/>
        <w:gridCol w:w="1694"/>
        <w:gridCol w:w="911"/>
      </w:tblGrid>
      <w:tr w14:paraId="3F9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99" w:type="dxa"/>
            <w:vAlign w:val="center"/>
          </w:tcPr>
          <w:p w14:paraId="1346329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38" w:type="dxa"/>
            <w:vAlign w:val="center"/>
          </w:tcPr>
          <w:p w14:paraId="6761B25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2154" w:type="dxa"/>
            <w:vAlign w:val="center"/>
          </w:tcPr>
          <w:p w14:paraId="2BCAD5EE">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招标文件要求</w:t>
            </w:r>
          </w:p>
        </w:tc>
        <w:tc>
          <w:tcPr>
            <w:tcW w:w="1921" w:type="dxa"/>
            <w:vAlign w:val="center"/>
          </w:tcPr>
          <w:p w14:paraId="08CB312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投标响应内容</w:t>
            </w:r>
          </w:p>
        </w:tc>
        <w:tc>
          <w:tcPr>
            <w:tcW w:w="1694" w:type="dxa"/>
            <w:vAlign w:val="center"/>
          </w:tcPr>
          <w:p w14:paraId="49D51777">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偏离情况</w:t>
            </w:r>
          </w:p>
        </w:tc>
        <w:tc>
          <w:tcPr>
            <w:tcW w:w="911" w:type="dxa"/>
            <w:vAlign w:val="center"/>
          </w:tcPr>
          <w:p w14:paraId="468F325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21E4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533ACF10">
            <w:pPr>
              <w:adjustRightInd w:val="0"/>
              <w:snapToGrid w:val="0"/>
              <w:jc w:val="center"/>
              <w:rPr>
                <w:rFonts w:ascii="宋体" w:hAnsi="宋体" w:cs="宋体"/>
                <w:color w:val="auto"/>
                <w:szCs w:val="21"/>
                <w:highlight w:val="none"/>
              </w:rPr>
            </w:pPr>
          </w:p>
        </w:tc>
        <w:tc>
          <w:tcPr>
            <w:tcW w:w="1338" w:type="dxa"/>
            <w:vAlign w:val="center"/>
          </w:tcPr>
          <w:p w14:paraId="69398D0B">
            <w:pPr>
              <w:adjustRightInd w:val="0"/>
              <w:snapToGrid w:val="0"/>
              <w:jc w:val="center"/>
              <w:rPr>
                <w:rFonts w:ascii="宋体" w:hAnsi="宋体" w:cs="宋体"/>
                <w:color w:val="auto"/>
                <w:szCs w:val="21"/>
                <w:highlight w:val="none"/>
              </w:rPr>
            </w:pPr>
          </w:p>
        </w:tc>
        <w:tc>
          <w:tcPr>
            <w:tcW w:w="2154" w:type="dxa"/>
            <w:vAlign w:val="center"/>
          </w:tcPr>
          <w:p w14:paraId="27F87153">
            <w:pPr>
              <w:adjustRightInd w:val="0"/>
              <w:snapToGrid w:val="0"/>
              <w:jc w:val="center"/>
              <w:rPr>
                <w:rFonts w:ascii="宋体" w:hAnsi="宋体" w:cs="宋体"/>
                <w:color w:val="auto"/>
                <w:szCs w:val="21"/>
                <w:highlight w:val="none"/>
              </w:rPr>
            </w:pPr>
          </w:p>
        </w:tc>
        <w:tc>
          <w:tcPr>
            <w:tcW w:w="1921" w:type="dxa"/>
            <w:vAlign w:val="center"/>
          </w:tcPr>
          <w:p w14:paraId="11B6DE9A">
            <w:pPr>
              <w:adjustRightInd w:val="0"/>
              <w:snapToGrid w:val="0"/>
              <w:jc w:val="center"/>
              <w:rPr>
                <w:rFonts w:ascii="宋体" w:hAnsi="宋体" w:cs="宋体"/>
                <w:color w:val="auto"/>
                <w:szCs w:val="21"/>
                <w:highlight w:val="none"/>
              </w:rPr>
            </w:pPr>
          </w:p>
        </w:tc>
        <w:tc>
          <w:tcPr>
            <w:tcW w:w="1694" w:type="dxa"/>
            <w:vAlign w:val="center"/>
          </w:tcPr>
          <w:p w14:paraId="5058BDB7">
            <w:pPr>
              <w:adjustRightInd w:val="0"/>
              <w:snapToGrid w:val="0"/>
              <w:jc w:val="center"/>
              <w:rPr>
                <w:rFonts w:ascii="宋体" w:hAnsi="宋体" w:cs="宋体"/>
                <w:color w:val="auto"/>
                <w:szCs w:val="21"/>
                <w:highlight w:val="none"/>
              </w:rPr>
            </w:pPr>
          </w:p>
        </w:tc>
        <w:tc>
          <w:tcPr>
            <w:tcW w:w="911" w:type="dxa"/>
            <w:vAlign w:val="center"/>
          </w:tcPr>
          <w:p w14:paraId="0E9C0745">
            <w:pPr>
              <w:adjustRightInd w:val="0"/>
              <w:snapToGrid w:val="0"/>
              <w:jc w:val="center"/>
              <w:rPr>
                <w:rFonts w:ascii="宋体" w:hAnsi="宋体" w:cs="宋体"/>
                <w:color w:val="auto"/>
                <w:szCs w:val="21"/>
                <w:highlight w:val="none"/>
              </w:rPr>
            </w:pPr>
          </w:p>
        </w:tc>
      </w:tr>
      <w:tr w14:paraId="3DAA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703D606D">
            <w:pPr>
              <w:adjustRightInd w:val="0"/>
              <w:snapToGrid w:val="0"/>
              <w:jc w:val="center"/>
              <w:rPr>
                <w:rFonts w:ascii="宋体" w:hAnsi="宋体" w:cs="宋体"/>
                <w:color w:val="auto"/>
                <w:szCs w:val="21"/>
                <w:highlight w:val="none"/>
              </w:rPr>
            </w:pPr>
          </w:p>
        </w:tc>
        <w:tc>
          <w:tcPr>
            <w:tcW w:w="1338" w:type="dxa"/>
            <w:vAlign w:val="center"/>
          </w:tcPr>
          <w:p w14:paraId="43099B90">
            <w:pPr>
              <w:adjustRightInd w:val="0"/>
              <w:snapToGrid w:val="0"/>
              <w:jc w:val="center"/>
              <w:rPr>
                <w:rFonts w:ascii="宋体" w:hAnsi="宋体" w:cs="宋体"/>
                <w:color w:val="auto"/>
                <w:szCs w:val="21"/>
                <w:highlight w:val="none"/>
              </w:rPr>
            </w:pPr>
          </w:p>
        </w:tc>
        <w:tc>
          <w:tcPr>
            <w:tcW w:w="2154" w:type="dxa"/>
            <w:vAlign w:val="center"/>
          </w:tcPr>
          <w:p w14:paraId="30748B26">
            <w:pPr>
              <w:adjustRightInd w:val="0"/>
              <w:snapToGrid w:val="0"/>
              <w:jc w:val="center"/>
              <w:rPr>
                <w:rFonts w:ascii="宋体" w:hAnsi="宋体" w:cs="宋体"/>
                <w:color w:val="auto"/>
                <w:szCs w:val="21"/>
                <w:highlight w:val="none"/>
              </w:rPr>
            </w:pPr>
          </w:p>
        </w:tc>
        <w:tc>
          <w:tcPr>
            <w:tcW w:w="1921" w:type="dxa"/>
            <w:vAlign w:val="center"/>
          </w:tcPr>
          <w:p w14:paraId="44E2FF79">
            <w:pPr>
              <w:adjustRightInd w:val="0"/>
              <w:snapToGrid w:val="0"/>
              <w:jc w:val="center"/>
              <w:rPr>
                <w:rFonts w:ascii="宋体" w:hAnsi="宋体" w:cs="宋体"/>
                <w:color w:val="auto"/>
                <w:szCs w:val="21"/>
                <w:highlight w:val="none"/>
              </w:rPr>
            </w:pPr>
          </w:p>
        </w:tc>
        <w:tc>
          <w:tcPr>
            <w:tcW w:w="1694" w:type="dxa"/>
            <w:vAlign w:val="center"/>
          </w:tcPr>
          <w:p w14:paraId="11863D8C">
            <w:pPr>
              <w:adjustRightInd w:val="0"/>
              <w:snapToGrid w:val="0"/>
              <w:jc w:val="center"/>
              <w:rPr>
                <w:rFonts w:ascii="宋体" w:hAnsi="宋体" w:cs="宋体"/>
                <w:color w:val="auto"/>
                <w:szCs w:val="21"/>
                <w:highlight w:val="none"/>
              </w:rPr>
            </w:pPr>
          </w:p>
        </w:tc>
        <w:tc>
          <w:tcPr>
            <w:tcW w:w="911" w:type="dxa"/>
            <w:vAlign w:val="center"/>
          </w:tcPr>
          <w:p w14:paraId="6944C526">
            <w:pPr>
              <w:adjustRightInd w:val="0"/>
              <w:snapToGrid w:val="0"/>
              <w:jc w:val="center"/>
              <w:rPr>
                <w:rFonts w:ascii="宋体" w:hAnsi="宋体" w:cs="宋体"/>
                <w:color w:val="auto"/>
                <w:szCs w:val="21"/>
                <w:highlight w:val="none"/>
              </w:rPr>
            </w:pPr>
          </w:p>
        </w:tc>
      </w:tr>
      <w:tr w14:paraId="4F6A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78F89523">
            <w:pPr>
              <w:adjustRightInd w:val="0"/>
              <w:snapToGrid w:val="0"/>
              <w:jc w:val="center"/>
              <w:rPr>
                <w:rFonts w:ascii="宋体" w:hAnsi="宋体" w:cs="宋体"/>
                <w:color w:val="auto"/>
                <w:szCs w:val="21"/>
                <w:highlight w:val="none"/>
              </w:rPr>
            </w:pPr>
          </w:p>
        </w:tc>
        <w:tc>
          <w:tcPr>
            <w:tcW w:w="1338" w:type="dxa"/>
            <w:vAlign w:val="center"/>
          </w:tcPr>
          <w:p w14:paraId="41B4CF9A">
            <w:pPr>
              <w:adjustRightInd w:val="0"/>
              <w:snapToGrid w:val="0"/>
              <w:jc w:val="center"/>
              <w:rPr>
                <w:rFonts w:ascii="宋体" w:hAnsi="宋体" w:cs="宋体"/>
                <w:color w:val="auto"/>
                <w:szCs w:val="21"/>
                <w:highlight w:val="none"/>
              </w:rPr>
            </w:pPr>
          </w:p>
        </w:tc>
        <w:tc>
          <w:tcPr>
            <w:tcW w:w="2154" w:type="dxa"/>
            <w:vAlign w:val="center"/>
          </w:tcPr>
          <w:p w14:paraId="53BE8F61">
            <w:pPr>
              <w:adjustRightInd w:val="0"/>
              <w:snapToGrid w:val="0"/>
              <w:jc w:val="center"/>
              <w:rPr>
                <w:rFonts w:ascii="宋体" w:hAnsi="宋体" w:cs="宋体"/>
                <w:color w:val="auto"/>
                <w:szCs w:val="21"/>
                <w:highlight w:val="none"/>
              </w:rPr>
            </w:pPr>
          </w:p>
        </w:tc>
        <w:tc>
          <w:tcPr>
            <w:tcW w:w="1921" w:type="dxa"/>
            <w:vAlign w:val="center"/>
          </w:tcPr>
          <w:p w14:paraId="3CCB87A4">
            <w:pPr>
              <w:adjustRightInd w:val="0"/>
              <w:snapToGrid w:val="0"/>
              <w:jc w:val="center"/>
              <w:rPr>
                <w:rFonts w:ascii="宋体" w:hAnsi="宋体" w:cs="宋体"/>
                <w:color w:val="auto"/>
                <w:szCs w:val="21"/>
                <w:highlight w:val="none"/>
              </w:rPr>
            </w:pPr>
          </w:p>
        </w:tc>
        <w:tc>
          <w:tcPr>
            <w:tcW w:w="1694" w:type="dxa"/>
            <w:vAlign w:val="center"/>
          </w:tcPr>
          <w:p w14:paraId="50906204">
            <w:pPr>
              <w:adjustRightInd w:val="0"/>
              <w:snapToGrid w:val="0"/>
              <w:jc w:val="center"/>
              <w:rPr>
                <w:rFonts w:ascii="宋体" w:hAnsi="宋体" w:cs="宋体"/>
                <w:color w:val="auto"/>
                <w:szCs w:val="21"/>
                <w:highlight w:val="none"/>
              </w:rPr>
            </w:pPr>
          </w:p>
        </w:tc>
        <w:tc>
          <w:tcPr>
            <w:tcW w:w="911" w:type="dxa"/>
            <w:vAlign w:val="center"/>
          </w:tcPr>
          <w:p w14:paraId="327188A0">
            <w:pPr>
              <w:adjustRightInd w:val="0"/>
              <w:snapToGrid w:val="0"/>
              <w:jc w:val="center"/>
              <w:rPr>
                <w:rFonts w:ascii="宋体" w:hAnsi="宋体" w:cs="宋体"/>
                <w:color w:val="auto"/>
                <w:szCs w:val="21"/>
                <w:highlight w:val="none"/>
              </w:rPr>
            </w:pPr>
          </w:p>
        </w:tc>
      </w:tr>
      <w:tr w14:paraId="00BC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023DB500">
            <w:pPr>
              <w:adjustRightInd w:val="0"/>
              <w:snapToGrid w:val="0"/>
              <w:jc w:val="center"/>
              <w:rPr>
                <w:rFonts w:ascii="宋体" w:hAnsi="宋体" w:cs="宋体"/>
                <w:color w:val="auto"/>
                <w:szCs w:val="21"/>
                <w:highlight w:val="none"/>
              </w:rPr>
            </w:pPr>
          </w:p>
        </w:tc>
        <w:tc>
          <w:tcPr>
            <w:tcW w:w="1338" w:type="dxa"/>
            <w:vAlign w:val="center"/>
          </w:tcPr>
          <w:p w14:paraId="4751928C">
            <w:pPr>
              <w:adjustRightInd w:val="0"/>
              <w:snapToGrid w:val="0"/>
              <w:jc w:val="center"/>
              <w:rPr>
                <w:rFonts w:ascii="宋体" w:hAnsi="宋体" w:cs="宋体"/>
                <w:color w:val="auto"/>
                <w:szCs w:val="21"/>
                <w:highlight w:val="none"/>
              </w:rPr>
            </w:pPr>
          </w:p>
        </w:tc>
        <w:tc>
          <w:tcPr>
            <w:tcW w:w="2154" w:type="dxa"/>
            <w:vAlign w:val="center"/>
          </w:tcPr>
          <w:p w14:paraId="54A61385">
            <w:pPr>
              <w:adjustRightInd w:val="0"/>
              <w:snapToGrid w:val="0"/>
              <w:jc w:val="center"/>
              <w:rPr>
                <w:rFonts w:ascii="宋体" w:hAnsi="宋体" w:cs="宋体"/>
                <w:color w:val="auto"/>
                <w:szCs w:val="21"/>
                <w:highlight w:val="none"/>
              </w:rPr>
            </w:pPr>
          </w:p>
        </w:tc>
        <w:tc>
          <w:tcPr>
            <w:tcW w:w="1921" w:type="dxa"/>
            <w:vAlign w:val="center"/>
          </w:tcPr>
          <w:p w14:paraId="63E9813A">
            <w:pPr>
              <w:adjustRightInd w:val="0"/>
              <w:snapToGrid w:val="0"/>
              <w:jc w:val="center"/>
              <w:rPr>
                <w:rFonts w:ascii="宋体" w:hAnsi="宋体" w:cs="宋体"/>
                <w:color w:val="auto"/>
                <w:szCs w:val="21"/>
                <w:highlight w:val="none"/>
              </w:rPr>
            </w:pPr>
          </w:p>
        </w:tc>
        <w:tc>
          <w:tcPr>
            <w:tcW w:w="1694" w:type="dxa"/>
            <w:vAlign w:val="center"/>
          </w:tcPr>
          <w:p w14:paraId="28F78DBC">
            <w:pPr>
              <w:adjustRightInd w:val="0"/>
              <w:snapToGrid w:val="0"/>
              <w:jc w:val="center"/>
              <w:rPr>
                <w:rFonts w:ascii="宋体" w:hAnsi="宋体" w:cs="宋体"/>
                <w:color w:val="auto"/>
                <w:szCs w:val="21"/>
                <w:highlight w:val="none"/>
              </w:rPr>
            </w:pPr>
          </w:p>
        </w:tc>
        <w:tc>
          <w:tcPr>
            <w:tcW w:w="911" w:type="dxa"/>
            <w:vAlign w:val="center"/>
          </w:tcPr>
          <w:p w14:paraId="2B4811CD">
            <w:pPr>
              <w:adjustRightInd w:val="0"/>
              <w:snapToGrid w:val="0"/>
              <w:jc w:val="center"/>
              <w:rPr>
                <w:rFonts w:ascii="宋体" w:hAnsi="宋体" w:cs="宋体"/>
                <w:color w:val="auto"/>
                <w:szCs w:val="21"/>
                <w:highlight w:val="none"/>
              </w:rPr>
            </w:pPr>
          </w:p>
        </w:tc>
      </w:tr>
      <w:tr w14:paraId="4165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2D98B2C4">
            <w:pPr>
              <w:adjustRightInd w:val="0"/>
              <w:snapToGrid w:val="0"/>
              <w:jc w:val="center"/>
              <w:rPr>
                <w:rFonts w:ascii="宋体" w:hAnsi="宋体" w:cs="宋体"/>
                <w:color w:val="auto"/>
                <w:szCs w:val="21"/>
                <w:highlight w:val="none"/>
              </w:rPr>
            </w:pPr>
          </w:p>
        </w:tc>
        <w:tc>
          <w:tcPr>
            <w:tcW w:w="1338" w:type="dxa"/>
            <w:vAlign w:val="center"/>
          </w:tcPr>
          <w:p w14:paraId="5B64D22B">
            <w:pPr>
              <w:adjustRightInd w:val="0"/>
              <w:snapToGrid w:val="0"/>
              <w:jc w:val="center"/>
              <w:rPr>
                <w:rFonts w:ascii="宋体" w:hAnsi="宋体" w:cs="宋体"/>
                <w:color w:val="auto"/>
                <w:szCs w:val="21"/>
                <w:highlight w:val="none"/>
              </w:rPr>
            </w:pPr>
          </w:p>
        </w:tc>
        <w:tc>
          <w:tcPr>
            <w:tcW w:w="2154" w:type="dxa"/>
            <w:vAlign w:val="center"/>
          </w:tcPr>
          <w:p w14:paraId="0012A868">
            <w:pPr>
              <w:adjustRightInd w:val="0"/>
              <w:snapToGrid w:val="0"/>
              <w:jc w:val="center"/>
              <w:rPr>
                <w:rFonts w:ascii="宋体" w:hAnsi="宋体" w:cs="宋体"/>
                <w:color w:val="auto"/>
                <w:szCs w:val="21"/>
                <w:highlight w:val="none"/>
              </w:rPr>
            </w:pPr>
          </w:p>
        </w:tc>
        <w:tc>
          <w:tcPr>
            <w:tcW w:w="1921" w:type="dxa"/>
            <w:vAlign w:val="center"/>
          </w:tcPr>
          <w:p w14:paraId="12496EF7">
            <w:pPr>
              <w:adjustRightInd w:val="0"/>
              <w:snapToGrid w:val="0"/>
              <w:jc w:val="center"/>
              <w:rPr>
                <w:rFonts w:ascii="宋体" w:hAnsi="宋体" w:cs="宋体"/>
                <w:color w:val="auto"/>
                <w:szCs w:val="21"/>
                <w:highlight w:val="none"/>
              </w:rPr>
            </w:pPr>
          </w:p>
        </w:tc>
        <w:tc>
          <w:tcPr>
            <w:tcW w:w="1694" w:type="dxa"/>
            <w:vAlign w:val="center"/>
          </w:tcPr>
          <w:p w14:paraId="57255A6F">
            <w:pPr>
              <w:adjustRightInd w:val="0"/>
              <w:snapToGrid w:val="0"/>
              <w:jc w:val="center"/>
              <w:rPr>
                <w:rFonts w:ascii="宋体" w:hAnsi="宋体" w:cs="宋体"/>
                <w:color w:val="auto"/>
                <w:szCs w:val="21"/>
                <w:highlight w:val="none"/>
              </w:rPr>
            </w:pPr>
          </w:p>
        </w:tc>
        <w:tc>
          <w:tcPr>
            <w:tcW w:w="911" w:type="dxa"/>
            <w:vAlign w:val="center"/>
          </w:tcPr>
          <w:p w14:paraId="6169972E">
            <w:pPr>
              <w:adjustRightInd w:val="0"/>
              <w:snapToGrid w:val="0"/>
              <w:jc w:val="center"/>
              <w:rPr>
                <w:rFonts w:ascii="宋体" w:hAnsi="宋体" w:cs="宋体"/>
                <w:color w:val="auto"/>
                <w:szCs w:val="21"/>
                <w:highlight w:val="none"/>
              </w:rPr>
            </w:pPr>
          </w:p>
        </w:tc>
      </w:tr>
      <w:tr w14:paraId="1AC3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27F0E881">
            <w:pPr>
              <w:adjustRightInd w:val="0"/>
              <w:snapToGrid w:val="0"/>
              <w:jc w:val="center"/>
              <w:rPr>
                <w:rFonts w:ascii="宋体" w:hAnsi="宋体" w:cs="宋体"/>
                <w:color w:val="auto"/>
                <w:szCs w:val="21"/>
                <w:highlight w:val="none"/>
              </w:rPr>
            </w:pPr>
          </w:p>
        </w:tc>
        <w:tc>
          <w:tcPr>
            <w:tcW w:w="1338" w:type="dxa"/>
            <w:vAlign w:val="center"/>
          </w:tcPr>
          <w:p w14:paraId="30939A21">
            <w:pPr>
              <w:adjustRightInd w:val="0"/>
              <w:snapToGrid w:val="0"/>
              <w:jc w:val="center"/>
              <w:rPr>
                <w:rFonts w:ascii="宋体" w:hAnsi="宋体" w:cs="宋体"/>
                <w:color w:val="auto"/>
                <w:szCs w:val="21"/>
                <w:highlight w:val="none"/>
              </w:rPr>
            </w:pPr>
          </w:p>
        </w:tc>
        <w:tc>
          <w:tcPr>
            <w:tcW w:w="2154" w:type="dxa"/>
            <w:vAlign w:val="center"/>
          </w:tcPr>
          <w:p w14:paraId="65E834C7">
            <w:pPr>
              <w:adjustRightInd w:val="0"/>
              <w:snapToGrid w:val="0"/>
              <w:jc w:val="center"/>
              <w:rPr>
                <w:rFonts w:ascii="宋体" w:hAnsi="宋体" w:cs="宋体"/>
                <w:color w:val="auto"/>
                <w:szCs w:val="21"/>
                <w:highlight w:val="none"/>
              </w:rPr>
            </w:pPr>
          </w:p>
        </w:tc>
        <w:tc>
          <w:tcPr>
            <w:tcW w:w="1921" w:type="dxa"/>
            <w:vAlign w:val="center"/>
          </w:tcPr>
          <w:p w14:paraId="1E88BC45">
            <w:pPr>
              <w:adjustRightInd w:val="0"/>
              <w:snapToGrid w:val="0"/>
              <w:jc w:val="center"/>
              <w:rPr>
                <w:rFonts w:ascii="宋体" w:hAnsi="宋体" w:cs="宋体"/>
                <w:color w:val="auto"/>
                <w:szCs w:val="21"/>
                <w:highlight w:val="none"/>
              </w:rPr>
            </w:pPr>
          </w:p>
        </w:tc>
        <w:tc>
          <w:tcPr>
            <w:tcW w:w="1694" w:type="dxa"/>
            <w:vAlign w:val="center"/>
          </w:tcPr>
          <w:p w14:paraId="036629EE">
            <w:pPr>
              <w:adjustRightInd w:val="0"/>
              <w:snapToGrid w:val="0"/>
              <w:jc w:val="center"/>
              <w:rPr>
                <w:rFonts w:ascii="宋体" w:hAnsi="宋体" w:cs="宋体"/>
                <w:color w:val="auto"/>
                <w:szCs w:val="21"/>
                <w:highlight w:val="none"/>
              </w:rPr>
            </w:pPr>
          </w:p>
        </w:tc>
        <w:tc>
          <w:tcPr>
            <w:tcW w:w="911" w:type="dxa"/>
            <w:vAlign w:val="center"/>
          </w:tcPr>
          <w:p w14:paraId="4AFC50BC">
            <w:pPr>
              <w:adjustRightInd w:val="0"/>
              <w:snapToGrid w:val="0"/>
              <w:jc w:val="center"/>
              <w:rPr>
                <w:rFonts w:ascii="宋体" w:hAnsi="宋体" w:cs="宋体"/>
                <w:color w:val="auto"/>
                <w:szCs w:val="21"/>
                <w:highlight w:val="none"/>
              </w:rPr>
            </w:pPr>
          </w:p>
        </w:tc>
      </w:tr>
    </w:tbl>
    <w:p w14:paraId="72607DA9">
      <w:pPr>
        <w:wordWrap w:val="0"/>
        <w:adjustRightInd w:val="0"/>
        <w:spacing w:line="360" w:lineRule="auto"/>
        <w:rPr>
          <w:rFonts w:ascii="宋体" w:hAnsi="宋体" w:cs="宋体"/>
          <w:color w:val="auto"/>
          <w:szCs w:val="21"/>
          <w:highlight w:val="none"/>
        </w:rPr>
      </w:pPr>
    </w:p>
    <w:p w14:paraId="695533B1">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10EF9015">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4BED6E17">
      <w:pPr>
        <w:wordWrap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BD1D758">
      <w:pPr>
        <w:wordWrap w:val="0"/>
        <w:adjustRightInd w:val="0"/>
        <w:spacing w:line="360" w:lineRule="auto"/>
        <w:jc w:val="right"/>
        <w:rPr>
          <w:rFonts w:ascii="宋体" w:hAnsi="宋体" w:cs="宋体"/>
          <w:color w:val="auto"/>
          <w:szCs w:val="21"/>
          <w:highlight w:val="none"/>
        </w:rPr>
      </w:pPr>
    </w:p>
    <w:p w14:paraId="311954E3">
      <w:pPr>
        <w:wordWrap w:val="0"/>
        <w:spacing w:line="360" w:lineRule="auto"/>
        <w:rPr>
          <w:rFonts w:ascii="仿宋" w:hAnsi="仿宋" w:eastAsia="仿宋" w:cs="仿宋"/>
          <w:color w:val="auto"/>
          <w:sz w:val="24"/>
          <w:highlight w:val="none"/>
        </w:rPr>
      </w:pPr>
      <w:r>
        <w:rPr>
          <w:rFonts w:hint="eastAsia" w:ascii="宋体" w:hAnsi="宋体" w:cs="宋体"/>
          <w:color w:val="auto"/>
          <w:szCs w:val="21"/>
          <w:highlight w:val="none"/>
        </w:rPr>
        <w:t>注：</w:t>
      </w:r>
    </w:p>
    <w:p w14:paraId="64A105F7">
      <w:pPr>
        <w:wordWrap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1.投标人要将投标文件和招标文件在技术部分的差异之处汇集成表。此表中若无任何文字说明，内容为空白，投标无效。</w:t>
      </w:r>
    </w:p>
    <w:p w14:paraId="5FC57094">
      <w:pPr>
        <w:wordWrap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2.“偏离情况”列应据实填写“正偏离”或“负偏离”或“无偏离”。</w:t>
      </w:r>
    </w:p>
    <w:p w14:paraId="5D132A88">
      <w:pPr>
        <w:pStyle w:val="50"/>
        <w:rPr>
          <w:color w:val="auto"/>
          <w:highlight w:val="none"/>
        </w:rPr>
      </w:pPr>
    </w:p>
    <w:p w14:paraId="58B28EAD">
      <w:pPr>
        <w:widowControl/>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br w:type="page"/>
      </w:r>
    </w:p>
    <w:p w14:paraId="4BC7D93E">
      <w:pPr>
        <w:spacing w:line="360" w:lineRule="auto"/>
        <w:jc w:val="center"/>
        <w:rPr>
          <w:rFonts w:ascii="宋体" w:hAnsi="宋体" w:cs="仿宋"/>
          <w:color w:val="auto"/>
          <w:kern w:val="0"/>
          <w:szCs w:val="21"/>
          <w:highlight w:val="none"/>
        </w:rPr>
      </w:pPr>
      <w:r>
        <w:rPr>
          <w:rFonts w:hint="eastAsia" w:ascii="宋体" w:hAnsi="宋体" w:cs="仿宋"/>
          <w:b/>
          <w:bCs/>
          <w:color w:val="auto"/>
          <w:kern w:val="0"/>
          <w:sz w:val="28"/>
          <w:szCs w:val="28"/>
          <w:highlight w:val="none"/>
        </w:rPr>
        <w:t>政府强制采购节能产品明细表</w:t>
      </w:r>
    </w:p>
    <w:tbl>
      <w:tblPr>
        <w:tblStyle w:val="40"/>
        <w:tblW w:w="9109"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125"/>
        <w:gridCol w:w="1405"/>
        <w:gridCol w:w="2199"/>
        <w:gridCol w:w="1559"/>
      </w:tblGrid>
      <w:tr w14:paraId="6FAF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4CE5F11F">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序号</w:t>
            </w:r>
          </w:p>
        </w:tc>
        <w:tc>
          <w:tcPr>
            <w:tcW w:w="3125" w:type="dxa"/>
            <w:vAlign w:val="center"/>
          </w:tcPr>
          <w:p w14:paraId="2C6004AF">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清单产品名称</w:t>
            </w:r>
          </w:p>
        </w:tc>
        <w:tc>
          <w:tcPr>
            <w:tcW w:w="1405" w:type="dxa"/>
            <w:vAlign w:val="center"/>
          </w:tcPr>
          <w:p w14:paraId="7AA07FEB">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金额（元）</w:t>
            </w:r>
          </w:p>
        </w:tc>
        <w:tc>
          <w:tcPr>
            <w:tcW w:w="2199" w:type="dxa"/>
            <w:vAlign w:val="center"/>
          </w:tcPr>
          <w:p w14:paraId="7A584C1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清单页数及序号</w:t>
            </w:r>
          </w:p>
        </w:tc>
        <w:tc>
          <w:tcPr>
            <w:tcW w:w="1559" w:type="dxa"/>
            <w:vAlign w:val="center"/>
          </w:tcPr>
          <w:p w14:paraId="286CC430">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备注</w:t>
            </w:r>
          </w:p>
        </w:tc>
      </w:tr>
      <w:tr w14:paraId="768F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2BDA14FE">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1</w:t>
            </w:r>
          </w:p>
        </w:tc>
        <w:tc>
          <w:tcPr>
            <w:tcW w:w="3125" w:type="dxa"/>
            <w:vAlign w:val="center"/>
          </w:tcPr>
          <w:p w14:paraId="686411F0">
            <w:pPr>
              <w:jc w:val="center"/>
              <w:rPr>
                <w:rFonts w:ascii="宋体" w:hAnsi="宋体" w:cs="仿宋"/>
                <w:b/>
                <w:bCs/>
                <w:color w:val="auto"/>
                <w:kern w:val="0"/>
                <w:szCs w:val="21"/>
                <w:highlight w:val="none"/>
              </w:rPr>
            </w:pPr>
          </w:p>
        </w:tc>
        <w:tc>
          <w:tcPr>
            <w:tcW w:w="1405" w:type="dxa"/>
            <w:vAlign w:val="center"/>
          </w:tcPr>
          <w:p w14:paraId="621110D5">
            <w:pPr>
              <w:jc w:val="center"/>
              <w:rPr>
                <w:rFonts w:ascii="宋体" w:hAnsi="宋体" w:cs="仿宋"/>
                <w:b/>
                <w:bCs/>
                <w:color w:val="auto"/>
                <w:kern w:val="0"/>
                <w:szCs w:val="21"/>
                <w:highlight w:val="none"/>
              </w:rPr>
            </w:pPr>
          </w:p>
        </w:tc>
        <w:tc>
          <w:tcPr>
            <w:tcW w:w="2199" w:type="dxa"/>
            <w:vAlign w:val="center"/>
          </w:tcPr>
          <w:p w14:paraId="43BFA3C1">
            <w:pPr>
              <w:jc w:val="center"/>
              <w:rPr>
                <w:rFonts w:ascii="宋体" w:hAnsi="宋体" w:cs="仿宋"/>
                <w:b/>
                <w:bCs/>
                <w:color w:val="auto"/>
                <w:kern w:val="0"/>
                <w:szCs w:val="21"/>
                <w:highlight w:val="none"/>
              </w:rPr>
            </w:pPr>
          </w:p>
        </w:tc>
        <w:tc>
          <w:tcPr>
            <w:tcW w:w="1559" w:type="dxa"/>
            <w:vAlign w:val="center"/>
          </w:tcPr>
          <w:p w14:paraId="29F9FDEE">
            <w:pPr>
              <w:jc w:val="center"/>
              <w:rPr>
                <w:rFonts w:ascii="宋体" w:hAnsi="宋体" w:cs="仿宋"/>
                <w:b/>
                <w:bCs/>
                <w:color w:val="auto"/>
                <w:kern w:val="0"/>
                <w:szCs w:val="21"/>
                <w:highlight w:val="none"/>
              </w:rPr>
            </w:pPr>
          </w:p>
        </w:tc>
      </w:tr>
      <w:tr w14:paraId="5EDB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27BAD07">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2</w:t>
            </w:r>
          </w:p>
        </w:tc>
        <w:tc>
          <w:tcPr>
            <w:tcW w:w="3125" w:type="dxa"/>
            <w:vAlign w:val="center"/>
          </w:tcPr>
          <w:p w14:paraId="0DA9DF28">
            <w:pPr>
              <w:jc w:val="center"/>
              <w:rPr>
                <w:rFonts w:ascii="宋体" w:hAnsi="宋体" w:cs="仿宋"/>
                <w:b/>
                <w:bCs/>
                <w:color w:val="auto"/>
                <w:kern w:val="0"/>
                <w:szCs w:val="21"/>
                <w:highlight w:val="none"/>
              </w:rPr>
            </w:pPr>
          </w:p>
        </w:tc>
        <w:tc>
          <w:tcPr>
            <w:tcW w:w="1405" w:type="dxa"/>
            <w:vAlign w:val="center"/>
          </w:tcPr>
          <w:p w14:paraId="48E2AD84">
            <w:pPr>
              <w:jc w:val="center"/>
              <w:rPr>
                <w:rFonts w:ascii="宋体" w:hAnsi="宋体" w:cs="仿宋"/>
                <w:b/>
                <w:bCs/>
                <w:color w:val="auto"/>
                <w:kern w:val="0"/>
                <w:szCs w:val="21"/>
                <w:highlight w:val="none"/>
              </w:rPr>
            </w:pPr>
          </w:p>
        </w:tc>
        <w:tc>
          <w:tcPr>
            <w:tcW w:w="2199" w:type="dxa"/>
            <w:vAlign w:val="center"/>
          </w:tcPr>
          <w:p w14:paraId="3B276C55">
            <w:pPr>
              <w:jc w:val="center"/>
              <w:rPr>
                <w:rFonts w:ascii="宋体" w:hAnsi="宋体" w:cs="仿宋"/>
                <w:b/>
                <w:bCs/>
                <w:color w:val="auto"/>
                <w:kern w:val="0"/>
                <w:szCs w:val="21"/>
                <w:highlight w:val="none"/>
              </w:rPr>
            </w:pPr>
          </w:p>
        </w:tc>
        <w:tc>
          <w:tcPr>
            <w:tcW w:w="1559" w:type="dxa"/>
            <w:vAlign w:val="center"/>
          </w:tcPr>
          <w:p w14:paraId="7273C860">
            <w:pPr>
              <w:jc w:val="center"/>
              <w:rPr>
                <w:rFonts w:ascii="宋体" w:hAnsi="宋体" w:cs="仿宋"/>
                <w:b/>
                <w:bCs/>
                <w:color w:val="auto"/>
                <w:kern w:val="0"/>
                <w:szCs w:val="21"/>
                <w:highlight w:val="none"/>
              </w:rPr>
            </w:pPr>
          </w:p>
        </w:tc>
      </w:tr>
      <w:tr w14:paraId="5904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2A9C26F">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3</w:t>
            </w:r>
          </w:p>
        </w:tc>
        <w:tc>
          <w:tcPr>
            <w:tcW w:w="3125" w:type="dxa"/>
            <w:vAlign w:val="center"/>
          </w:tcPr>
          <w:p w14:paraId="1594DD37">
            <w:pPr>
              <w:jc w:val="center"/>
              <w:rPr>
                <w:rFonts w:ascii="宋体" w:hAnsi="宋体" w:cs="仿宋"/>
                <w:b/>
                <w:bCs/>
                <w:color w:val="auto"/>
                <w:kern w:val="0"/>
                <w:szCs w:val="21"/>
                <w:highlight w:val="none"/>
              </w:rPr>
            </w:pPr>
          </w:p>
        </w:tc>
        <w:tc>
          <w:tcPr>
            <w:tcW w:w="1405" w:type="dxa"/>
            <w:vAlign w:val="center"/>
          </w:tcPr>
          <w:p w14:paraId="0AF74600">
            <w:pPr>
              <w:jc w:val="center"/>
              <w:rPr>
                <w:rFonts w:ascii="宋体" w:hAnsi="宋体" w:cs="仿宋"/>
                <w:b/>
                <w:bCs/>
                <w:color w:val="auto"/>
                <w:kern w:val="0"/>
                <w:szCs w:val="21"/>
                <w:highlight w:val="none"/>
              </w:rPr>
            </w:pPr>
          </w:p>
        </w:tc>
        <w:tc>
          <w:tcPr>
            <w:tcW w:w="2199" w:type="dxa"/>
            <w:vAlign w:val="center"/>
          </w:tcPr>
          <w:p w14:paraId="4B451842">
            <w:pPr>
              <w:jc w:val="center"/>
              <w:rPr>
                <w:rFonts w:ascii="宋体" w:hAnsi="宋体" w:cs="仿宋"/>
                <w:b/>
                <w:bCs/>
                <w:color w:val="auto"/>
                <w:kern w:val="0"/>
                <w:szCs w:val="21"/>
                <w:highlight w:val="none"/>
              </w:rPr>
            </w:pPr>
          </w:p>
        </w:tc>
        <w:tc>
          <w:tcPr>
            <w:tcW w:w="1559" w:type="dxa"/>
            <w:vAlign w:val="center"/>
          </w:tcPr>
          <w:p w14:paraId="34C086E6">
            <w:pPr>
              <w:jc w:val="center"/>
              <w:rPr>
                <w:rFonts w:ascii="宋体" w:hAnsi="宋体" w:cs="仿宋"/>
                <w:b/>
                <w:bCs/>
                <w:color w:val="auto"/>
                <w:kern w:val="0"/>
                <w:szCs w:val="21"/>
                <w:highlight w:val="none"/>
              </w:rPr>
            </w:pPr>
          </w:p>
        </w:tc>
      </w:tr>
      <w:tr w14:paraId="4D8B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A91AA0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4</w:t>
            </w:r>
          </w:p>
        </w:tc>
        <w:tc>
          <w:tcPr>
            <w:tcW w:w="3125" w:type="dxa"/>
            <w:vAlign w:val="center"/>
          </w:tcPr>
          <w:p w14:paraId="11353EEB">
            <w:pPr>
              <w:jc w:val="center"/>
              <w:rPr>
                <w:rFonts w:ascii="宋体" w:hAnsi="宋体" w:cs="仿宋"/>
                <w:b/>
                <w:bCs/>
                <w:color w:val="auto"/>
                <w:kern w:val="0"/>
                <w:szCs w:val="21"/>
                <w:highlight w:val="none"/>
              </w:rPr>
            </w:pPr>
          </w:p>
        </w:tc>
        <w:tc>
          <w:tcPr>
            <w:tcW w:w="1405" w:type="dxa"/>
            <w:vAlign w:val="center"/>
          </w:tcPr>
          <w:p w14:paraId="42BB6575">
            <w:pPr>
              <w:jc w:val="center"/>
              <w:rPr>
                <w:rFonts w:ascii="宋体" w:hAnsi="宋体" w:cs="仿宋"/>
                <w:b/>
                <w:bCs/>
                <w:color w:val="auto"/>
                <w:kern w:val="0"/>
                <w:szCs w:val="21"/>
                <w:highlight w:val="none"/>
              </w:rPr>
            </w:pPr>
          </w:p>
        </w:tc>
        <w:tc>
          <w:tcPr>
            <w:tcW w:w="2199" w:type="dxa"/>
            <w:vAlign w:val="center"/>
          </w:tcPr>
          <w:p w14:paraId="2A301A2A">
            <w:pPr>
              <w:jc w:val="center"/>
              <w:rPr>
                <w:rFonts w:ascii="宋体" w:hAnsi="宋体" w:cs="仿宋"/>
                <w:b/>
                <w:bCs/>
                <w:color w:val="auto"/>
                <w:kern w:val="0"/>
                <w:szCs w:val="21"/>
                <w:highlight w:val="none"/>
              </w:rPr>
            </w:pPr>
          </w:p>
        </w:tc>
        <w:tc>
          <w:tcPr>
            <w:tcW w:w="1559" w:type="dxa"/>
            <w:vAlign w:val="center"/>
          </w:tcPr>
          <w:p w14:paraId="12687CE0">
            <w:pPr>
              <w:jc w:val="center"/>
              <w:rPr>
                <w:rFonts w:ascii="宋体" w:hAnsi="宋体" w:cs="仿宋"/>
                <w:b/>
                <w:bCs/>
                <w:color w:val="auto"/>
                <w:kern w:val="0"/>
                <w:szCs w:val="21"/>
                <w:highlight w:val="none"/>
              </w:rPr>
            </w:pPr>
          </w:p>
        </w:tc>
      </w:tr>
      <w:tr w14:paraId="17D5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5E2DEC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5</w:t>
            </w:r>
          </w:p>
        </w:tc>
        <w:tc>
          <w:tcPr>
            <w:tcW w:w="3125" w:type="dxa"/>
            <w:vAlign w:val="center"/>
          </w:tcPr>
          <w:p w14:paraId="1B89101F">
            <w:pPr>
              <w:jc w:val="center"/>
              <w:rPr>
                <w:rFonts w:ascii="宋体" w:hAnsi="宋体" w:cs="仿宋"/>
                <w:b/>
                <w:bCs/>
                <w:color w:val="auto"/>
                <w:kern w:val="0"/>
                <w:szCs w:val="21"/>
                <w:highlight w:val="none"/>
              </w:rPr>
            </w:pPr>
          </w:p>
        </w:tc>
        <w:tc>
          <w:tcPr>
            <w:tcW w:w="1405" w:type="dxa"/>
            <w:vAlign w:val="center"/>
          </w:tcPr>
          <w:p w14:paraId="743C461B">
            <w:pPr>
              <w:jc w:val="center"/>
              <w:rPr>
                <w:rFonts w:ascii="宋体" w:hAnsi="宋体" w:cs="仿宋"/>
                <w:b/>
                <w:bCs/>
                <w:color w:val="auto"/>
                <w:kern w:val="0"/>
                <w:szCs w:val="21"/>
                <w:highlight w:val="none"/>
              </w:rPr>
            </w:pPr>
          </w:p>
        </w:tc>
        <w:tc>
          <w:tcPr>
            <w:tcW w:w="2199" w:type="dxa"/>
            <w:vAlign w:val="center"/>
          </w:tcPr>
          <w:p w14:paraId="475A79A3">
            <w:pPr>
              <w:jc w:val="center"/>
              <w:rPr>
                <w:rFonts w:ascii="宋体" w:hAnsi="宋体" w:cs="仿宋"/>
                <w:b/>
                <w:bCs/>
                <w:color w:val="auto"/>
                <w:kern w:val="0"/>
                <w:szCs w:val="21"/>
                <w:highlight w:val="none"/>
              </w:rPr>
            </w:pPr>
          </w:p>
        </w:tc>
        <w:tc>
          <w:tcPr>
            <w:tcW w:w="1559" w:type="dxa"/>
            <w:vAlign w:val="center"/>
          </w:tcPr>
          <w:p w14:paraId="74F9378E">
            <w:pPr>
              <w:jc w:val="center"/>
              <w:rPr>
                <w:rFonts w:ascii="宋体" w:hAnsi="宋体" w:cs="仿宋"/>
                <w:b/>
                <w:bCs/>
                <w:color w:val="auto"/>
                <w:kern w:val="0"/>
                <w:szCs w:val="21"/>
                <w:highlight w:val="none"/>
              </w:rPr>
            </w:pPr>
          </w:p>
        </w:tc>
      </w:tr>
      <w:tr w14:paraId="20A3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6ACC3893">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6</w:t>
            </w:r>
          </w:p>
        </w:tc>
        <w:tc>
          <w:tcPr>
            <w:tcW w:w="3125" w:type="dxa"/>
            <w:vAlign w:val="center"/>
          </w:tcPr>
          <w:p w14:paraId="37A34B73">
            <w:pPr>
              <w:jc w:val="center"/>
              <w:rPr>
                <w:rFonts w:ascii="宋体" w:hAnsi="宋体" w:cs="仿宋"/>
                <w:b/>
                <w:bCs/>
                <w:color w:val="auto"/>
                <w:kern w:val="0"/>
                <w:szCs w:val="21"/>
                <w:highlight w:val="none"/>
              </w:rPr>
            </w:pPr>
          </w:p>
        </w:tc>
        <w:tc>
          <w:tcPr>
            <w:tcW w:w="1405" w:type="dxa"/>
            <w:vAlign w:val="center"/>
          </w:tcPr>
          <w:p w14:paraId="0E9251EC">
            <w:pPr>
              <w:jc w:val="center"/>
              <w:rPr>
                <w:rFonts w:ascii="宋体" w:hAnsi="宋体" w:cs="仿宋"/>
                <w:b/>
                <w:bCs/>
                <w:color w:val="auto"/>
                <w:kern w:val="0"/>
                <w:szCs w:val="21"/>
                <w:highlight w:val="none"/>
              </w:rPr>
            </w:pPr>
          </w:p>
        </w:tc>
        <w:tc>
          <w:tcPr>
            <w:tcW w:w="2199" w:type="dxa"/>
            <w:vAlign w:val="center"/>
          </w:tcPr>
          <w:p w14:paraId="1E5D87BA">
            <w:pPr>
              <w:jc w:val="center"/>
              <w:rPr>
                <w:rFonts w:ascii="宋体" w:hAnsi="宋体" w:cs="仿宋"/>
                <w:b/>
                <w:bCs/>
                <w:color w:val="auto"/>
                <w:kern w:val="0"/>
                <w:szCs w:val="21"/>
                <w:highlight w:val="none"/>
              </w:rPr>
            </w:pPr>
          </w:p>
        </w:tc>
        <w:tc>
          <w:tcPr>
            <w:tcW w:w="1559" w:type="dxa"/>
            <w:vAlign w:val="center"/>
          </w:tcPr>
          <w:p w14:paraId="052CBEDE">
            <w:pPr>
              <w:jc w:val="center"/>
              <w:rPr>
                <w:rFonts w:ascii="宋体" w:hAnsi="宋体" w:cs="仿宋"/>
                <w:b/>
                <w:bCs/>
                <w:color w:val="auto"/>
                <w:kern w:val="0"/>
                <w:szCs w:val="21"/>
                <w:highlight w:val="none"/>
              </w:rPr>
            </w:pPr>
          </w:p>
        </w:tc>
      </w:tr>
      <w:tr w14:paraId="6A30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29F8AC68">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3125" w:type="dxa"/>
            <w:vAlign w:val="center"/>
          </w:tcPr>
          <w:p w14:paraId="43FAEAA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405" w:type="dxa"/>
            <w:vAlign w:val="center"/>
          </w:tcPr>
          <w:p w14:paraId="0C08A61E">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42D98F23">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2F54FB12">
            <w:pPr>
              <w:jc w:val="center"/>
              <w:rPr>
                <w:rFonts w:ascii="宋体" w:hAnsi="宋体" w:cs="仿宋"/>
                <w:b/>
                <w:bCs/>
                <w:color w:val="auto"/>
                <w:kern w:val="0"/>
                <w:szCs w:val="21"/>
                <w:highlight w:val="none"/>
              </w:rPr>
            </w:pPr>
          </w:p>
        </w:tc>
      </w:tr>
      <w:tr w14:paraId="7E02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6991756B">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3125" w:type="dxa"/>
            <w:vAlign w:val="center"/>
          </w:tcPr>
          <w:p w14:paraId="0C5278C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405" w:type="dxa"/>
            <w:vAlign w:val="center"/>
          </w:tcPr>
          <w:p w14:paraId="52EFCA73">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5436700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47756722">
            <w:pPr>
              <w:jc w:val="center"/>
              <w:rPr>
                <w:rFonts w:ascii="宋体" w:hAnsi="宋体" w:cs="仿宋"/>
                <w:b/>
                <w:bCs/>
                <w:color w:val="auto"/>
                <w:kern w:val="0"/>
                <w:szCs w:val="21"/>
                <w:highlight w:val="none"/>
              </w:rPr>
            </w:pPr>
          </w:p>
        </w:tc>
      </w:tr>
      <w:tr w14:paraId="146E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6" w:type="dxa"/>
            <w:gridSpan w:val="2"/>
            <w:vAlign w:val="center"/>
          </w:tcPr>
          <w:p w14:paraId="3ACF5D35">
            <w:pPr>
              <w:ind w:right="-143"/>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合计</w:t>
            </w:r>
          </w:p>
        </w:tc>
        <w:tc>
          <w:tcPr>
            <w:tcW w:w="1405" w:type="dxa"/>
            <w:vAlign w:val="center"/>
          </w:tcPr>
          <w:p w14:paraId="4037907F">
            <w:pPr>
              <w:jc w:val="center"/>
              <w:rPr>
                <w:rFonts w:ascii="宋体" w:hAnsi="宋体" w:cs="仿宋"/>
                <w:b/>
                <w:bCs/>
                <w:color w:val="auto"/>
                <w:kern w:val="0"/>
                <w:szCs w:val="21"/>
                <w:highlight w:val="none"/>
              </w:rPr>
            </w:pPr>
          </w:p>
        </w:tc>
        <w:tc>
          <w:tcPr>
            <w:tcW w:w="2199" w:type="dxa"/>
            <w:vAlign w:val="center"/>
          </w:tcPr>
          <w:p w14:paraId="2EAF349A">
            <w:pPr>
              <w:jc w:val="center"/>
              <w:rPr>
                <w:rFonts w:ascii="宋体" w:hAnsi="宋体" w:cs="仿宋"/>
                <w:b/>
                <w:bCs/>
                <w:color w:val="auto"/>
                <w:kern w:val="0"/>
                <w:szCs w:val="21"/>
                <w:highlight w:val="none"/>
              </w:rPr>
            </w:pPr>
          </w:p>
        </w:tc>
        <w:tc>
          <w:tcPr>
            <w:tcW w:w="1559" w:type="dxa"/>
            <w:vAlign w:val="center"/>
          </w:tcPr>
          <w:p w14:paraId="1281B0F8">
            <w:pPr>
              <w:jc w:val="center"/>
              <w:rPr>
                <w:rFonts w:ascii="宋体" w:hAnsi="宋体" w:cs="仿宋"/>
                <w:b/>
                <w:bCs/>
                <w:color w:val="auto"/>
                <w:kern w:val="0"/>
                <w:szCs w:val="21"/>
                <w:highlight w:val="none"/>
              </w:rPr>
            </w:pPr>
          </w:p>
        </w:tc>
      </w:tr>
    </w:tbl>
    <w:p w14:paraId="7B217C94">
      <w:pPr>
        <w:spacing w:line="360" w:lineRule="auto"/>
        <w:rPr>
          <w:rFonts w:ascii="宋体" w:hAnsi="宋体" w:cs="仿宋"/>
          <w:b/>
          <w:bCs/>
          <w:color w:val="auto"/>
          <w:kern w:val="0"/>
          <w:szCs w:val="21"/>
          <w:highlight w:val="none"/>
        </w:rPr>
      </w:pPr>
    </w:p>
    <w:p w14:paraId="4EB523B7">
      <w:pPr>
        <w:spacing w:line="360" w:lineRule="auto"/>
        <w:rPr>
          <w:rFonts w:ascii="宋体" w:hAnsi="宋体" w:cs="仿宋"/>
          <w:b/>
          <w:bCs/>
          <w:color w:val="auto"/>
          <w:kern w:val="0"/>
          <w:szCs w:val="21"/>
          <w:highlight w:val="none"/>
        </w:rPr>
      </w:pPr>
      <w:r>
        <w:rPr>
          <w:rFonts w:hint="eastAsia" w:ascii="宋体" w:hAnsi="宋体" w:cs="仿宋"/>
          <w:b/>
          <w:bCs/>
          <w:color w:val="auto"/>
          <w:kern w:val="0"/>
          <w:szCs w:val="21"/>
          <w:highlight w:val="none"/>
        </w:rPr>
        <w:t>注：</w:t>
      </w:r>
    </w:p>
    <w:p w14:paraId="1627F754">
      <w:pPr>
        <w:spacing w:line="360" w:lineRule="auto"/>
        <w:rPr>
          <w:rFonts w:ascii="宋体" w:hAnsi="宋体" w:cs="仿宋"/>
          <w:b/>
          <w:color w:val="auto"/>
          <w:kern w:val="0"/>
          <w:szCs w:val="21"/>
          <w:highlight w:val="none"/>
        </w:rPr>
      </w:pPr>
      <w:r>
        <w:rPr>
          <w:rFonts w:ascii="宋体" w:hAnsi="宋体" w:cs="仿宋"/>
          <w:b/>
          <w:color w:val="auto"/>
          <w:kern w:val="0"/>
          <w:szCs w:val="21"/>
          <w:highlight w:val="none"/>
        </w:rPr>
        <w:t xml:space="preserve">  1</w:t>
      </w:r>
      <w:r>
        <w:rPr>
          <w:rFonts w:hint="eastAsia" w:ascii="宋体" w:hAnsi="宋体" w:cs="仿宋"/>
          <w:b/>
          <w:color w:val="auto"/>
          <w:kern w:val="0"/>
          <w:szCs w:val="21"/>
          <w:highlight w:val="none"/>
        </w:rPr>
        <w:t>、*本项目采购需求中规定的政府强制采购节能产品应当在上表中填列并提供产品认证证书，否则投标将被否决。</w:t>
      </w:r>
    </w:p>
    <w:p w14:paraId="16480ECF">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2</w:t>
      </w:r>
      <w:r>
        <w:rPr>
          <w:rFonts w:hint="eastAsia" w:ascii="宋体" w:hAnsi="宋体" w:cs="仿宋"/>
          <w:color w:val="auto"/>
          <w:kern w:val="0"/>
          <w:szCs w:val="21"/>
          <w:highlight w:val="none"/>
        </w:rPr>
        <w:t>、投标人须在本表后附国家确定的认证机构出具的、处于有效期之内的节能产品产品认证证书复印件。</w:t>
      </w:r>
    </w:p>
    <w:p w14:paraId="1D9A2DFC">
      <w:pPr>
        <w:spacing w:line="360" w:lineRule="auto"/>
        <w:rPr>
          <w:rFonts w:ascii="宋体" w:hAnsi="宋体" w:cs="仿宋"/>
          <w:color w:val="auto"/>
          <w:kern w:val="0"/>
          <w:szCs w:val="21"/>
          <w:highlight w:val="none"/>
        </w:rPr>
      </w:pPr>
    </w:p>
    <w:p w14:paraId="3EE2CF20">
      <w:pPr>
        <w:spacing w:line="360" w:lineRule="auto"/>
        <w:rPr>
          <w:rFonts w:ascii="宋体" w:hAnsi="宋体" w:cs="仿宋"/>
          <w:color w:val="auto"/>
          <w:kern w:val="0"/>
          <w:szCs w:val="21"/>
          <w:highlight w:val="none"/>
        </w:rPr>
      </w:pPr>
    </w:p>
    <w:p w14:paraId="1E30C968">
      <w:pPr>
        <w:pStyle w:val="17"/>
        <w:tabs>
          <w:tab w:val="left" w:pos="7321"/>
        </w:tabs>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587E3948">
      <w:pPr>
        <w:pStyle w:val="17"/>
        <w:tabs>
          <w:tab w:val="left" w:pos="6481"/>
        </w:tabs>
        <w:jc w:val="right"/>
        <w:rPr>
          <w:color w:val="auto"/>
          <w:highlight w:val="none"/>
        </w:rPr>
      </w:pPr>
      <w:r>
        <w:rPr>
          <w:color w:val="auto"/>
          <w:highlight w:val="none"/>
        </w:rPr>
        <w:t>法定代表人或其委托代理人：</w:t>
      </w:r>
      <w:r>
        <w:rPr>
          <w:color w:val="auto"/>
          <w:highlight w:val="none"/>
          <w:u w:val="single"/>
        </w:rPr>
        <w:t xml:space="preserve"> </w:t>
      </w:r>
      <w:r>
        <w:rPr>
          <w:rFonts w:hint="eastAsia"/>
          <w:color w:val="auto"/>
          <w:highlight w:val="none"/>
          <w:u w:val="single"/>
        </w:rPr>
        <w:t xml:space="preserve">        </w:t>
      </w:r>
      <w:r>
        <w:rPr>
          <w:color w:val="auto"/>
          <w:highlight w:val="none"/>
        </w:rPr>
        <w:t>（签字）</w:t>
      </w:r>
    </w:p>
    <w:p w14:paraId="2B63CFAF">
      <w:pPr>
        <w:pStyle w:val="17"/>
        <w:jc w:val="righ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290DF103">
      <w:pPr>
        <w:widowControl/>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br w:type="page"/>
      </w:r>
    </w:p>
    <w:p w14:paraId="0090DB8E">
      <w:pPr>
        <w:spacing w:line="360" w:lineRule="auto"/>
        <w:jc w:val="center"/>
        <w:rPr>
          <w:rFonts w:ascii="宋体" w:hAnsi="宋体" w:cs="仿宋"/>
          <w:b/>
          <w:bCs/>
          <w:color w:val="auto"/>
          <w:kern w:val="0"/>
          <w:sz w:val="28"/>
          <w:szCs w:val="28"/>
          <w:highlight w:val="none"/>
        </w:rPr>
      </w:pPr>
      <w:r>
        <w:rPr>
          <w:rFonts w:hint="eastAsia" w:ascii="宋体" w:hAnsi="宋体" w:cs="仿宋"/>
          <w:b/>
          <w:bCs/>
          <w:color w:val="auto"/>
          <w:kern w:val="0"/>
          <w:sz w:val="28"/>
          <w:szCs w:val="28"/>
          <w:highlight w:val="none"/>
        </w:rPr>
        <w:t>节能、环境标志产品明细表（评审加分用）</w:t>
      </w:r>
    </w:p>
    <w:p w14:paraId="50437827">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（若有，请如实填写）</w:t>
      </w:r>
    </w:p>
    <w:tbl>
      <w:tblPr>
        <w:tblStyle w:val="40"/>
        <w:tblW w:w="9109"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125"/>
        <w:gridCol w:w="1405"/>
        <w:gridCol w:w="2199"/>
        <w:gridCol w:w="1559"/>
      </w:tblGrid>
      <w:tr w14:paraId="6AA9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4765586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序号</w:t>
            </w:r>
          </w:p>
        </w:tc>
        <w:tc>
          <w:tcPr>
            <w:tcW w:w="3125" w:type="dxa"/>
            <w:vAlign w:val="center"/>
          </w:tcPr>
          <w:p w14:paraId="15FCF309">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清单产品名称</w:t>
            </w:r>
          </w:p>
        </w:tc>
        <w:tc>
          <w:tcPr>
            <w:tcW w:w="1405" w:type="dxa"/>
            <w:vAlign w:val="center"/>
          </w:tcPr>
          <w:p w14:paraId="240459AB">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金额（元）</w:t>
            </w:r>
          </w:p>
        </w:tc>
        <w:tc>
          <w:tcPr>
            <w:tcW w:w="2199" w:type="dxa"/>
            <w:vAlign w:val="center"/>
          </w:tcPr>
          <w:p w14:paraId="55F0ADD7">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清单页数及序号</w:t>
            </w:r>
          </w:p>
        </w:tc>
        <w:tc>
          <w:tcPr>
            <w:tcW w:w="1559" w:type="dxa"/>
            <w:vAlign w:val="center"/>
          </w:tcPr>
          <w:p w14:paraId="0D49FE34">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备注</w:t>
            </w:r>
          </w:p>
        </w:tc>
      </w:tr>
      <w:tr w14:paraId="563D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090FCC9">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1</w:t>
            </w:r>
          </w:p>
        </w:tc>
        <w:tc>
          <w:tcPr>
            <w:tcW w:w="3125" w:type="dxa"/>
            <w:vAlign w:val="center"/>
          </w:tcPr>
          <w:p w14:paraId="253E6671">
            <w:pPr>
              <w:jc w:val="center"/>
              <w:rPr>
                <w:rFonts w:ascii="宋体" w:hAnsi="宋体" w:cs="仿宋"/>
                <w:b/>
                <w:bCs/>
                <w:color w:val="auto"/>
                <w:kern w:val="0"/>
                <w:szCs w:val="21"/>
                <w:highlight w:val="none"/>
              </w:rPr>
            </w:pPr>
          </w:p>
        </w:tc>
        <w:tc>
          <w:tcPr>
            <w:tcW w:w="1405" w:type="dxa"/>
            <w:vAlign w:val="center"/>
          </w:tcPr>
          <w:p w14:paraId="65ECB219">
            <w:pPr>
              <w:jc w:val="center"/>
              <w:rPr>
                <w:rFonts w:ascii="宋体" w:hAnsi="宋体" w:cs="仿宋"/>
                <w:b/>
                <w:bCs/>
                <w:color w:val="auto"/>
                <w:kern w:val="0"/>
                <w:szCs w:val="21"/>
                <w:highlight w:val="none"/>
              </w:rPr>
            </w:pPr>
          </w:p>
        </w:tc>
        <w:tc>
          <w:tcPr>
            <w:tcW w:w="2199" w:type="dxa"/>
            <w:vAlign w:val="center"/>
          </w:tcPr>
          <w:p w14:paraId="44795A00">
            <w:pPr>
              <w:jc w:val="center"/>
              <w:rPr>
                <w:rFonts w:ascii="宋体" w:hAnsi="宋体" w:cs="仿宋"/>
                <w:b/>
                <w:bCs/>
                <w:color w:val="auto"/>
                <w:kern w:val="0"/>
                <w:szCs w:val="21"/>
                <w:highlight w:val="none"/>
              </w:rPr>
            </w:pPr>
          </w:p>
        </w:tc>
        <w:tc>
          <w:tcPr>
            <w:tcW w:w="1559" w:type="dxa"/>
            <w:vAlign w:val="center"/>
          </w:tcPr>
          <w:p w14:paraId="7E7E8192">
            <w:pPr>
              <w:jc w:val="center"/>
              <w:rPr>
                <w:rFonts w:ascii="宋体" w:hAnsi="宋体" w:cs="仿宋"/>
                <w:b/>
                <w:bCs/>
                <w:color w:val="auto"/>
                <w:kern w:val="0"/>
                <w:szCs w:val="21"/>
                <w:highlight w:val="none"/>
              </w:rPr>
            </w:pPr>
          </w:p>
        </w:tc>
      </w:tr>
      <w:tr w14:paraId="3EFB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92868BD">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2</w:t>
            </w:r>
          </w:p>
        </w:tc>
        <w:tc>
          <w:tcPr>
            <w:tcW w:w="3125" w:type="dxa"/>
            <w:vAlign w:val="center"/>
          </w:tcPr>
          <w:p w14:paraId="3E46E2E4">
            <w:pPr>
              <w:jc w:val="center"/>
              <w:rPr>
                <w:rFonts w:ascii="宋体" w:hAnsi="宋体" w:cs="仿宋"/>
                <w:b/>
                <w:bCs/>
                <w:color w:val="auto"/>
                <w:kern w:val="0"/>
                <w:szCs w:val="21"/>
                <w:highlight w:val="none"/>
              </w:rPr>
            </w:pPr>
          </w:p>
        </w:tc>
        <w:tc>
          <w:tcPr>
            <w:tcW w:w="1405" w:type="dxa"/>
            <w:vAlign w:val="center"/>
          </w:tcPr>
          <w:p w14:paraId="407B2290">
            <w:pPr>
              <w:jc w:val="center"/>
              <w:rPr>
                <w:rFonts w:ascii="宋体" w:hAnsi="宋体" w:cs="仿宋"/>
                <w:b/>
                <w:bCs/>
                <w:color w:val="auto"/>
                <w:kern w:val="0"/>
                <w:szCs w:val="21"/>
                <w:highlight w:val="none"/>
              </w:rPr>
            </w:pPr>
          </w:p>
        </w:tc>
        <w:tc>
          <w:tcPr>
            <w:tcW w:w="2199" w:type="dxa"/>
            <w:vAlign w:val="center"/>
          </w:tcPr>
          <w:p w14:paraId="4EE9D111">
            <w:pPr>
              <w:jc w:val="center"/>
              <w:rPr>
                <w:rFonts w:ascii="宋体" w:hAnsi="宋体" w:cs="仿宋"/>
                <w:b/>
                <w:bCs/>
                <w:color w:val="auto"/>
                <w:kern w:val="0"/>
                <w:szCs w:val="21"/>
                <w:highlight w:val="none"/>
              </w:rPr>
            </w:pPr>
          </w:p>
        </w:tc>
        <w:tc>
          <w:tcPr>
            <w:tcW w:w="1559" w:type="dxa"/>
            <w:vAlign w:val="center"/>
          </w:tcPr>
          <w:p w14:paraId="7B066272">
            <w:pPr>
              <w:jc w:val="center"/>
              <w:rPr>
                <w:rFonts w:ascii="宋体" w:hAnsi="宋体" w:cs="仿宋"/>
                <w:b/>
                <w:bCs/>
                <w:color w:val="auto"/>
                <w:kern w:val="0"/>
                <w:szCs w:val="21"/>
                <w:highlight w:val="none"/>
              </w:rPr>
            </w:pPr>
          </w:p>
        </w:tc>
      </w:tr>
      <w:tr w14:paraId="5FF6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59BAE47D">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3</w:t>
            </w:r>
          </w:p>
        </w:tc>
        <w:tc>
          <w:tcPr>
            <w:tcW w:w="3125" w:type="dxa"/>
            <w:vAlign w:val="center"/>
          </w:tcPr>
          <w:p w14:paraId="71DC8472">
            <w:pPr>
              <w:jc w:val="center"/>
              <w:rPr>
                <w:rFonts w:ascii="宋体" w:hAnsi="宋体" w:cs="仿宋"/>
                <w:b/>
                <w:bCs/>
                <w:color w:val="auto"/>
                <w:kern w:val="0"/>
                <w:szCs w:val="21"/>
                <w:highlight w:val="none"/>
              </w:rPr>
            </w:pPr>
          </w:p>
        </w:tc>
        <w:tc>
          <w:tcPr>
            <w:tcW w:w="1405" w:type="dxa"/>
            <w:vAlign w:val="center"/>
          </w:tcPr>
          <w:p w14:paraId="33D1FEFA">
            <w:pPr>
              <w:jc w:val="center"/>
              <w:rPr>
                <w:rFonts w:ascii="宋体" w:hAnsi="宋体" w:cs="仿宋"/>
                <w:b/>
                <w:bCs/>
                <w:color w:val="auto"/>
                <w:kern w:val="0"/>
                <w:szCs w:val="21"/>
                <w:highlight w:val="none"/>
              </w:rPr>
            </w:pPr>
          </w:p>
        </w:tc>
        <w:tc>
          <w:tcPr>
            <w:tcW w:w="2199" w:type="dxa"/>
            <w:vAlign w:val="center"/>
          </w:tcPr>
          <w:p w14:paraId="1A2F9683">
            <w:pPr>
              <w:jc w:val="center"/>
              <w:rPr>
                <w:rFonts w:ascii="宋体" w:hAnsi="宋体" w:cs="仿宋"/>
                <w:b/>
                <w:bCs/>
                <w:color w:val="auto"/>
                <w:kern w:val="0"/>
                <w:szCs w:val="21"/>
                <w:highlight w:val="none"/>
              </w:rPr>
            </w:pPr>
          </w:p>
        </w:tc>
        <w:tc>
          <w:tcPr>
            <w:tcW w:w="1559" w:type="dxa"/>
            <w:vAlign w:val="center"/>
          </w:tcPr>
          <w:p w14:paraId="2EADE354">
            <w:pPr>
              <w:jc w:val="center"/>
              <w:rPr>
                <w:rFonts w:ascii="宋体" w:hAnsi="宋体" w:cs="仿宋"/>
                <w:b/>
                <w:bCs/>
                <w:color w:val="auto"/>
                <w:kern w:val="0"/>
                <w:szCs w:val="21"/>
                <w:highlight w:val="none"/>
              </w:rPr>
            </w:pPr>
          </w:p>
        </w:tc>
      </w:tr>
      <w:tr w14:paraId="341E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9819480">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4</w:t>
            </w:r>
          </w:p>
        </w:tc>
        <w:tc>
          <w:tcPr>
            <w:tcW w:w="3125" w:type="dxa"/>
            <w:vAlign w:val="center"/>
          </w:tcPr>
          <w:p w14:paraId="1B2A9EEF">
            <w:pPr>
              <w:jc w:val="center"/>
              <w:rPr>
                <w:rFonts w:ascii="宋体" w:hAnsi="宋体" w:cs="仿宋"/>
                <w:b/>
                <w:bCs/>
                <w:color w:val="auto"/>
                <w:kern w:val="0"/>
                <w:szCs w:val="21"/>
                <w:highlight w:val="none"/>
              </w:rPr>
            </w:pPr>
          </w:p>
        </w:tc>
        <w:tc>
          <w:tcPr>
            <w:tcW w:w="1405" w:type="dxa"/>
            <w:vAlign w:val="center"/>
          </w:tcPr>
          <w:p w14:paraId="4D2005A6">
            <w:pPr>
              <w:jc w:val="center"/>
              <w:rPr>
                <w:rFonts w:ascii="宋体" w:hAnsi="宋体" w:cs="仿宋"/>
                <w:b/>
                <w:bCs/>
                <w:color w:val="auto"/>
                <w:kern w:val="0"/>
                <w:szCs w:val="21"/>
                <w:highlight w:val="none"/>
              </w:rPr>
            </w:pPr>
          </w:p>
        </w:tc>
        <w:tc>
          <w:tcPr>
            <w:tcW w:w="2199" w:type="dxa"/>
            <w:vAlign w:val="center"/>
          </w:tcPr>
          <w:p w14:paraId="60858E70">
            <w:pPr>
              <w:jc w:val="center"/>
              <w:rPr>
                <w:rFonts w:ascii="宋体" w:hAnsi="宋体" w:cs="仿宋"/>
                <w:b/>
                <w:bCs/>
                <w:color w:val="auto"/>
                <w:kern w:val="0"/>
                <w:szCs w:val="21"/>
                <w:highlight w:val="none"/>
              </w:rPr>
            </w:pPr>
          </w:p>
        </w:tc>
        <w:tc>
          <w:tcPr>
            <w:tcW w:w="1559" w:type="dxa"/>
            <w:vAlign w:val="center"/>
          </w:tcPr>
          <w:p w14:paraId="7EB6566B">
            <w:pPr>
              <w:jc w:val="center"/>
              <w:rPr>
                <w:rFonts w:ascii="宋体" w:hAnsi="宋体" w:cs="仿宋"/>
                <w:b/>
                <w:bCs/>
                <w:color w:val="auto"/>
                <w:kern w:val="0"/>
                <w:szCs w:val="21"/>
                <w:highlight w:val="none"/>
              </w:rPr>
            </w:pPr>
          </w:p>
        </w:tc>
      </w:tr>
      <w:tr w14:paraId="22A9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A1AA453">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5</w:t>
            </w:r>
          </w:p>
        </w:tc>
        <w:tc>
          <w:tcPr>
            <w:tcW w:w="3125" w:type="dxa"/>
            <w:vAlign w:val="center"/>
          </w:tcPr>
          <w:p w14:paraId="3B1EAF03">
            <w:pPr>
              <w:jc w:val="center"/>
              <w:rPr>
                <w:rFonts w:ascii="宋体" w:hAnsi="宋体" w:cs="仿宋"/>
                <w:b/>
                <w:bCs/>
                <w:color w:val="auto"/>
                <w:kern w:val="0"/>
                <w:szCs w:val="21"/>
                <w:highlight w:val="none"/>
              </w:rPr>
            </w:pPr>
          </w:p>
        </w:tc>
        <w:tc>
          <w:tcPr>
            <w:tcW w:w="1405" w:type="dxa"/>
            <w:vAlign w:val="center"/>
          </w:tcPr>
          <w:p w14:paraId="232CDC09">
            <w:pPr>
              <w:jc w:val="center"/>
              <w:rPr>
                <w:rFonts w:ascii="宋体" w:hAnsi="宋体" w:cs="仿宋"/>
                <w:b/>
                <w:bCs/>
                <w:color w:val="auto"/>
                <w:kern w:val="0"/>
                <w:szCs w:val="21"/>
                <w:highlight w:val="none"/>
              </w:rPr>
            </w:pPr>
          </w:p>
        </w:tc>
        <w:tc>
          <w:tcPr>
            <w:tcW w:w="2199" w:type="dxa"/>
            <w:vAlign w:val="center"/>
          </w:tcPr>
          <w:p w14:paraId="0B0205DC">
            <w:pPr>
              <w:jc w:val="center"/>
              <w:rPr>
                <w:rFonts w:ascii="宋体" w:hAnsi="宋体" w:cs="仿宋"/>
                <w:b/>
                <w:bCs/>
                <w:color w:val="auto"/>
                <w:kern w:val="0"/>
                <w:szCs w:val="21"/>
                <w:highlight w:val="none"/>
              </w:rPr>
            </w:pPr>
          </w:p>
        </w:tc>
        <w:tc>
          <w:tcPr>
            <w:tcW w:w="1559" w:type="dxa"/>
            <w:vAlign w:val="center"/>
          </w:tcPr>
          <w:p w14:paraId="67A7926D">
            <w:pPr>
              <w:jc w:val="center"/>
              <w:rPr>
                <w:rFonts w:ascii="宋体" w:hAnsi="宋体" w:cs="仿宋"/>
                <w:b/>
                <w:bCs/>
                <w:color w:val="auto"/>
                <w:kern w:val="0"/>
                <w:szCs w:val="21"/>
                <w:highlight w:val="none"/>
              </w:rPr>
            </w:pPr>
          </w:p>
        </w:tc>
      </w:tr>
      <w:tr w14:paraId="4711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522422D0">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6</w:t>
            </w:r>
          </w:p>
        </w:tc>
        <w:tc>
          <w:tcPr>
            <w:tcW w:w="3125" w:type="dxa"/>
            <w:vAlign w:val="center"/>
          </w:tcPr>
          <w:p w14:paraId="4F587534">
            <w:pPr>
              <w:jc w:val="center"/>
              <w:rPr>
                <w:rFonts w:ascii="宋体" w:hAnsi="宋体" w:cs="仿宋"/>
                <w:b/>
                <w:bCs/>
                <w:color w:val="auto"/>
                <w:kern w:val="0"/>
                <w:szCs w:val="21"/>
                <w:highlight w:val="none"/>
              </w:rPr>
            </w:pPr>
          </w:p>
        </w:tc>
        <w:tc>
          <w:tcPr>
            <w:tcW w:w="1405" w:type="dxa"/>
            <w:vAlign w:val="center"/>
          </w:tcPr>
          <w:p w14:paraId="0F953E76">
            <w:pPr>
              <w:jc w:val="center"/>
              <w:rPr>
                <w:rFonts w:ascii="宋体" w:hAnsi="宋体" w:cs="仿宋"/>
                <w:b/>
                <w:bCs/>
                <w:color w:val="auto"/>
                <w:kern w:val="0"/>
                <w:szCs w:val="21"/>
                <w:highlight w:val="none"/>
              </w:rPr>
            </w:pPr>
          </w:p>
        </w:tc>
        <w:tc>
          <w:tcPr>
            <w:tcW w:w="2199" w:type="dxa"/>
            <w:vAlign w:val="center"/>
          </w:tcPr>
          <w:p w14:paraId="6B89DDED">
            <w:pPr>
              <w:jc w:val="center"/>
              <w:rPr>
                <w:rFonts w:ascii="宋体" w:hAnsi="宋体" w:cs="仿宋"/>
                <w:b/>
                <w:bCs/>
                <w:color w:val="auto"/>
                <w:kern w:val="0"/>
                <w:szCs w:val="21"/>
                <w:highlight w:val="none"/>
              </w:rPr>
            </w:pPr>
          </w:p>
        </w:tc>
        <w:tc>
          <w:tcPr>
            <w:tcW w:w="1559" w:type="dxa"/>
            <w:vAlign w:val="center"/>
          </w:tcPr>
          <w:p w14:paraId="2313BB9E">
            <w:pPr>
              <w:jc w:val="center"/>
              <w:rPr>
                <w:rFonts w:ascii="宋体" w:hAnsi="宋体" w:cs="仿宋"/>
                <w:b/>
                <w:bCs/>
                <w:color w:val="auto"/>
                <w:kern w:val="0"/>
                <w:szCs w:val="21"/>
                <w:highlight w:val="none"/>
              </w:rPr>
            </w:pPr>
          </w:p>
        </w:tc>
      </w:tr>
      <w:tr w14:paraId="1B0C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37ED902">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3125" w:type="dxa"/>
            <w:vAlign w:val="center"/>
          </w:tcPr>
          <w:p w14:paraId="3457E02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405" w:type="dxa"/>
            <w:vAlign w:val="center"/>
          </w:tcPr>
          <w:p w14:paraId="2A3EAAAF">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4126BABD">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05D6C339">
            <w:pPr>
              <w:jc w:val="center"/>
              <w:rPr>
                <w:rFonts w:ascii="宋体" w:hAnsi="宋体" w:cs="仿宋"/>
                <w:b/>
                <w:bCs/>
                <w:color w:val="auto"/>
                <w:kern w:val="0"/>
                <w:szCs w:val="21"/>
                <w:highlight w:val="none"/>
              </w:rPr>
            </w:pPr>
          </w:p>
        </w:tc>
      </w:tr>
      <w:tr w14:paraId="5235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3AE8AE7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3125" w:type="dxa"/>
            <w:vAlign w:val="center"/>
          </w:tcPr>
          <w:p w14:paraId="0B7AB0E1">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405" w:type="dxa"/>
            <w:vAlign w:val="center"/>
          </w:tcPr>
          <w:p w14:paraId="7CE05571">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453AC89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7B2EEC8C">
            <w:pPr>
              <w:jc w:val="center"/>
              <w:rPr>
                <w:rFonts w:ascii="宋体" w:hAnsi="宋体" w:cs="仿宋"/>
                <w:b/>
                <w:bCs/>
                <w:color w:val="auto"/>
                <w:kern w:val="0"/>
                <w:szCs w:val="21"/>
                <w:highlight w:val="none"/>
              </w:rPr>
            </w:pPr>
          </w:p>
        </w:tc>
      </w:tr>
      <w:tr w14:paraId="26EC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6" w:type="dxa"/>
            <w:gridSpan w:val="2"/>
            <w:vAlign w:val="center"/>
          </w:tcPr>
          <w:p w14:paraId="72778A13">
            <w:pPr>
              <w:ind w:right="-143"/>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合计</w:t>
            </w:r>
          </w:p>
        </w:tc>
        <w:tc>
          <w:tcPr>
            <w:tcW w:w="1405" w:type="dxa"/>
            <w:vAlign w:val="center"/>
          </w:tcPr>
          <w:p w14:paraId="6EF8FB54">
            <w:pPr>
              <w:jc w:val="center"/>
              <w:rPr>
                <w:rFonts w:ascii="宋体" w:hAnsi="宋体" w:cs="仿宋"/>
                <w:b/>
                <w:bCs/>
                <w:color w:val="auto"/>
                <w:kern w:val="0"/>
                <w:szCs w:val="21"/>
                <w:highlight w:val="none"/>
              </w:rPr>
            </w:pPr>
          </w:p>
        </w:tc>
        <w:tc>
          <w:tcPr>
            <w:tcW w:w="2199" w:type="dxa"/>
            <w:vAlign w:val="center"/>
          </w:tcPr>
          <w:p w14:paraId="60CEAC3E">
            <w:pPr>
              <w:jc w:val="center"/>
              <w:rPr>
                <w:rFonts w:ascii="宋体" w:hAnsi="宋体" w:cs="仿宋"/>
                <w:b/>
                <w:bCs/>
                <w:color w:val="auto"/>
                <w:kern w:val="0"/>
                <w:szCs w:val="21"/>
                <w:highlight w:val="none"/>
              </w:rPr>
            </w:pPr>
          </w:p>
        </w:tc>
        <w:tc>
          <w:tcPr>
            <w:tcW w:w="1559" w:type="dxa"/>
            <w:vAlign w:val="center"/>
          </w:tcPr>
          <w:p w14:paraId="73B2A18F">
            <w:pPr>
              <w:jc w:val="center"/>
              <w:rPr>
                <w:rFonts w:ascii="宋体" w:hAnsi="宋体" w:cs="仿宋"/>
                <w:b/>
                <w:bCs/>
                <w:color w:val="auto"/>
                <w:kern w:val="0"/>
                <w:szCs w:val="21"/>
                <w:highlight w:val="none"/>
              </w:rPr>
            </w:pPr>
          </w:p>
        </w:tc>
      </w:tr>
    </w:tbl>
    <w:p w14:paraId="6842BD4B">
      <w:pPr>
        <w:spacing w:line="360" w:lineRule="auto"/>
        <w:rPr>
          <w:rFonts w:ascii="宋体" w:hAnsi="宋体" w:cs="仿宋"/>
          <w:b/>
          <w:bCs/>
          <w:color w:val="auto"/>
          <w:kern w:val="0"/>
          <w:szCs w:val="21"/>
          <w:highlight w:val="none"/>
        </w:rPr>
      </w:pPr>
    </w:p>
    <w:p w14:paraId="6364C866">
      <w:pPr>
        <w:spacing w:line="360" w:lineRule="auto"/>
        <w:rPr>
          <w:rFonts w:ascii="宋体" w:hAnsi="宋体" w:cs="仿宋"/>
          <w:b/>
          <w:bCs/>
          <w:color w:val="auto"/>
          <w:kern w:val="0"/>
          <w:szCs w:val="21"/>
          <w:highlight w:val="none"/>
        </w:rPr>
      </w:pPr>
      <w:r>
        <w:rPr>
          <w:rFonts w:hint="eastAsia" w:ascii="宋体" w:hAnsi="宋体" w:cs="仿宋"/>
          <w:b/>
          <w:bCs/>
          <w:color w:val="auto"/>
          <w:kern w:val="0"/>
          <w:szCs w:val="21"/>
          <w:highlight w:val="none"/>
        </w:rPr>
        <w:t>注：</w:t>
      </w:r>
    </w:p>
    <w:p w14:paraId="2C68EF4F">
      <w:pPr>
        <w:spacing w:line="360" w:lineRule="auto"/>
        <w:rPr>
          <w:rFonts w:ascii="宋体" w:hAnsi="宋体" w:cs="仿宋"/>
          <w:b/>
          <w:color w:val="auto"/>
          <w:kern w:val="0"/>
          <w:szCs w:val="21"/>
          <w:highlight w:val="none"/>
        </w:rPr>
      </w:pPr>
      <w:r>
        <w:rPr>
          <w:rFonts w:ascii="宋体" w:hAnsi="宋体" w:cs="仿宋"/>
          <w:b/>
          <w:color w:val="auto"/>
          <w:kern w:val="0"/>
          <w:szCs w:val="21"/>
          <w:highlight w:val="none"/>
        </w:rPr>
        <w:t xml:space="preserve">  1</w:t>
      </w:r>
      <w:r>
        <w:rPr>
          <w:rFonts w:hint="eastAsia" w:ascii="宋体" w:hAnsi="宋体" w:cs="仿宋"/>
          <w:b/>
          <w:color w:val="auto"/>
          <w:kern w:val="0"/>
          <w:szCs w:val="21"/>
          <w:highlight w:val="none"/>
        </w:rPr>
        <w:t>、*本项目采购需求中规定的政府强制采购节能产品不得在上表中填列。</w:t>
      </w:r>
    </w:p>
    <w:p w14:paraId="50B18603">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2</w:t>
      </w:r>
      <w:r>
        <w:rPr>
          <w:rFonts w:hint="eastAsia" w:ascii="宋体" w:hAnsi="宋体" w:cs="仿宋"/>
          <w:color w:val="auto"/>
          <w:kern w:val="0"/>
          <w:szCs w:val="21"/>
          <w:highlight w:val="none"/>
        </w:rPr>
        <w:t>、上表中填报的节能、环境标志产品必须属于《节能产品、环境标志产品政府采购品目清单》（最新版）范围内，投标人须在本表后附国家确定的认证机构出具的、处于有效期之内的节能产品、环境标志产品认证证书复印件。</w:t>
      </w:r>
    </w:p>
    <w:p w14:paraId="456EF289">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 xml:space="preserve"> 3</w:t>
      </w:r>
      <w:r>
        <w:rPr>
          <w:rFonts w:hint="eastAsia" w:ascii="宋体" w:hAnsi="宋体" w:cs="仿宋"/>
          <w:color w:val="auto"/>
          <w:kern w:val="0"/>
          <w:szCs w:val="21"/>
          <w:highlight w:val="none"/>
        </w:rPr>
        <w:t>、上表中的金额须与分项报价表中的金额一致，否则不予认定。</w:t>
      </w:r>
    </w:p>
    <w:p w14:paraId="4C5B5C9E">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4</w:t>
      </w:r>
      <w:r>
        <w:rPr>
          <w:rFonts w:hint="eastAsia" w:ascii="宋体" w:hAnsi="宋体" w:cs="仿宋"/>
          <w:color w:val="auto"/>
          <w:kern w:val="0"/>
          <w:szCs w:val="21"/>
          <w:highlight w:val="none"/>
        </w:rPr>
        <w:t>、若无产品属于节能、环境标志产品的，则不填报此表。</w:t>
      </w:r>
    </w:p>
    <w:p w14:paraId="67FCF3FC">
      <w:pPr>
        <w:spacing w:line="360" w:lineRule="auto"/>
        <w:rPr>
          <w:rFonts w:ascii="宋体" w:hAnsi="宋体" w:cs="仿宋"/>
          <w:color w:val="auto"/>
          <w:kern w:val="0"/>
          <w:szCs w:val="21"/>
          <w:highlight w:val="none"/>
        </w:rPr>
      </w:pPr>
    </w:p>
    <w:p w14:paraId="6E28FB89">
      <w:pPr>
        <w:pStyle w:val="17"/>
        <w:tabs>
          <w:tab w:val="left" w:pos="7321"/>
        </w:tabs>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7467C5E4">
      <w:pPr>
        <w:pStyle w:val="17"/>
        <w:tabs>
          <w:tab w:val="left" w:pos="6481"/>
        </w:tabs>
        <w:jc w:val="right"/>
        <w:rPr>
          <w:color w:val="auto"/>
          <w:highlight w:val="none"/>
        </w:rPr>
      </w:pPr>
      <w:r>
        <w:rPr>
          <w:color w:val="auto"/>
          <w:highlight w:val="none"/>
        </w:rPr>
        <w:t>法定代表人或其委托代理人：</w:t>
      </w:r>
      <w:r>
        <w:rPr>
          <w:color w:val="auto"/>
          <w:highlight w:val="none"/>
          <w:u w:val="single"/>
        </w:rPr>
        <w:t xml:space="preserve"> </w:t>
      </w:r>
      <w:r>
        <w:rPr>
          <w:rFonts w:hint="eastAsia"/>
          <w:color w:val="auto"/>
          <w:highlight w:val="none"/>
          <w:u w:val="single"/>
        </w:rPr>
        <w:t xml:space="preserve">        </w:t>
      </w:r>
      <w:r>
        <w:rPr>
          <w:color w:val="auto"/>
          <w:highlight w:val="none"/>
        </w:rPr>
        <w:t>（签字）</w:t>
      </w:r>
    </w:p>
    <w:p w14:paraId="77E4F794">
      <w:pPr>
        <w:pStyle w:val="17"/>
        <w:jc w:val="righ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574051FD">
      <w:pPr>
        <w:wordWrap w:val="0"/>
        <w:spacing w:line="360" w:lineRule="auto"/>
        <w:jc w:val="center"/>
        <w:outlineLvl w:val="0"/>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bookmarkStart w:id="52" w:name="_Toc15364"/>
      <w:r>
        <w:rPr>
          <w:rFonts w:hint="eastAsia" w:ascii="宋体" w:hAnsi="宋体" w:cs="宋体"/>
          <w:b/>
          <w:bCs/>
          <w:color w:val="auto"/>
          <w:kern w:val="0"/>
          <w:sz w:val="36"/>
          <w:szCs w:val="36"/>
          <w:highlight w:val="none"/>
        </w:rPr>
        <w:t>十、投标人自行编写的技术文件</w:t>
      </w:r>
      <w:bookmarkEnd w:id="52"/>
    </w:p>
    <w:p w14:paraId="72B43D70">
      <w:pPr>
        <w:wordWrap w:val="0"/>
        <w:spacing w:line="360" w:lineRule="auto"/>
        <w:ind w:firstLine="560"/>
        <w:jc w:val="left"/>
        <w:rPr>
          <w:rFonts w:ascii="宋体" w:hAnsi="宋体" w:cs="宋体"/>
          <w:color w:val="auto"/>
          <w:kern w:val="0"/>
          <w:sz w:val="24"/>
          <w:szCs w:val="24"/>
          <w:highlight w:val="none"/>
        </w:rPr>
      </w:pPr>
    </w:p>
    <w:p w14:paraId="322752F2">
      <w:pPr>
        <w:wordWrap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 技术指标（自拟）；</w:t>
      </w:r>
    </w:p>
    <w:p w14:paraId="7D941F28">
      <w:pPr>
        <w:wordWrap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 实施方案（自拟）；</w:t>
      </w:r>
    </w:p>
    <w:p w14:paraId="02DE9598">
      <w:pPr>
        <w:wordWrap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③ 培训方案（自拟）；</w:t>
      </w:r>
    </w:p>
    <w:p w14:paraId="744F26B2">
      <w:pPr>
        <w:wordWrap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④ 投标人认为应提供的其他资料或说明（自拟）。</w:t>
      </w:r>
    </w:p>
    <w:p w14:paraId="2A886756">
      <w:pPr>
        <w:pStyle w:val="208"/>
        <w:widowControl w:val="0"/>
        <w:wordWrap w:val="0"/>
        <w:spacing w:line="360" w:lineRule="auto"/>
        <w:jc w:val="center"/>
        <w:outlineLvl w:val="0"/>
        <w:rPr>
          <w:rFonts w:ascii="宋体" w:hAnsi="宋体" w:cs="宋体"/>
          <w:b/>
          <w:bCs/>
          <w:color w:val="auto"/>
          <w:sz w:val="36"/>
          <w:szCs w:val="36"/>
          <w:highlight w:val="none"/>
        </w:rPr>
      </w:pPr>
      <w:r>
        <w:rPr>
          <w:rFonts w:hint="eastAsia" w:ascii="宋体" w:hAnsi="宋体" w:cs="宋体"/>
          <w:b/>
          <w:color w:val="auto"/>
          <w:highlight w:val="none"/>
        </w:rPr>
        <w:br w:type="page"/>
      </w:r>
      <w:bookmarkStart w:id="53" w:name="_Toc22321"/>
      <w:r>
        <w:rPr>
          <w:rFonts w:hint="eastAsia" w:ascii="宋体" w:hAnsi="宋体" w:cs="宋体"/>
          <w:b/>
          <w:bCs/>
          <w:color w:val="auto"/>
          <w:sz w:val="36"/>
          <w:szCs w:val="36"/>
          <w:highlight w:val="none"/>
        </w:rPr>
        <w:t>十一、投标人自行编写的服务</w:t>
      </w:r>
      <w:bookmarkEnd w:id="53"/>
      <w:r>
        <w:rPr>
          <w:rFonts w:hint="eastAsia" w:ascii="宋体" w:hAnsi="宋体" w:cs="宋体"/>
          <w:b/>
          <w:bCs/>
          <w:color w:val="auto"/>
          <w:sz w:val="36"/>
          <w:szCs w:val="36"/>
          <w:highlight w:val="none"/>
        </w:rPr>
        <w:t>方案</w:t>
      </w:r>
    </w:p>
    <w:p w14:paraId="44D85EA1">
      <w:pPr>
        <w:pStyle w:val="208"/>
        <w:widowControl w:val="0"/>
        <w:wordWrap w:val="0"/>
        <w:spacing w:line="360" w:lineRule="auto"/>
        <w:ind w:firstLine="480" w:firstLineChars="200"/>
        <w:jc w:val="both"/>
        <w:rPr>
          <w:rFonts w:ascii="宋体" w:hAnsi="宋体" w:cs="宋体"/>
          <w:bCs/>
          <w:color w:val="auto"/>
          <w:highlight w:val="none"/>
        </w:rPr>
      </w:pPr>
    </w:p>
    <w:p w14:paraId="207E9A15">
      <w:pPr>
        <w:pStyle w:val="208"/>
        <w:widowControl w:val="0"/>
        <w:wordWrap w:val="0"/>
        <w:spacing w:line="360" w:lineRule="auto"/>
        <w:ind w:firstLine="480" w:firstLineChars="200"/>
        <w:jc w:val="both"/>
        <w:rPr>
          <w:rFonts w:ascii="宋体" w:hAnsi="宋体" w:cs="宋体"/>
          <w:bCs/>
          <w:color w:val="auto"/>
          <w:highlight w:val="none"/>
        </w:rPr>
      </w:pPr>
      <w:r>
        <w:rPr>
          <w:rFonts w:hint="eastAsia" w:ascii="宋体" w:hAnsi="宋体" w:cs="宋体"/>
          <w:bCs/>
          <w:color w:val="auto"/>
          <w:highlight w:val="none"/>
        </w:rPr>
        <w:t>①后续服务:</w:t>
      </w:r>
    </w:p>
    <w:p w14:paraId="5D75DA04">
      <w:pPr>
        <w:pStyle w:val="208"/>
        <w:widowControl w:val="0"/>
        <w:wordWrap w:val="0"/>
        <w:spacing w:line="360" w:lineRule="auto"/>
        <w:ind w:firstLine="480" w:firstLineChars="200"/>
        <w:jc w:val="both"/>
        <w:rPr>
          <w:rFonts w:ascii="宋体" w:hAnsi="宋体" w:cs="宋体"/>
          <w:bCs/>
          <w:color w:val="auto"/>
          <w:highlight w:val="none"/>
        </w:rPr>
      </w:pPr>
      <w:r>
        <w:rPr>
          <w:rFonts w:hint="eastAsia" w:ascii="宋体" w:hAnsi="宋体" w:cs="宋体"/>
          <w:bCs/>
          <w:color w:val="auto"/>
          <w:highlight w:val="none"/>
        </w:rPr>
        <w:t>&lt;1&gt;后续服务的程序、内容、措施以及合理化建议；</w:t>
      </w:r>
    </w:p>
    <w:p w14:paraId="3D2C6F40">
      <w:pPr>
        <w:pStyle w:val="208"/>
        <w:widowControl w:val="0"/>
        <w:wordWrap w:val="0"/>
        <w:spacing w:line="360" w:lineRule="auto"/>
        <w:ind w:firstLine="480" w:firstLineChars="200"/>
        <w:jc w:val="both"/>
        <w:rPr>
          <w:rFonts w:ascii="宋体" w:hAnsi="宋体" w:cs="宋体"/>
          <w:bCs/>
          <w:color w:val="auto"/>
          <w:highlight w:val="none"/>
        </w:rPr>
      </w:pPr>
      <w:r>
        <w:rPr>
          <w:rFonts w:hint="eastAsia" w:ascii="宋体" w:hAnsi="宋体" w:cs="宋体"/>
          <w:bCs/>
          <w:color w:val="auto"/>
          <w:highlight w:val="none"/>
        </w:rPr>
        <w:t>&lt;2&gt;响应时间和技术支持情况；</w:t>
      </w:r>
    </w:p>
    <w:p w14:paraId="6B05546C">
      <w:pPr>
        <w:wordWrap w:val="0"/>
        <w:spacing w:line="360" w:lineRule="auto"/>
        <w:jc w:val="center"/>
        <w:outlineLvl w:val="0"/>
        <w:rPr>
          <w:rFonts w:ascii="宋体" w:hAnsi="宋体" w:cs="宋体"/>
          <w:b/>
          <w:bCs/>
          <w:color w:val="auto"/>
          <w:kern w:val="0"/>
          <w:sz w:val="36"/>
          <w:szCs w:val="36"/>
          <w:highlight w:val="none"/>
        </w:rPr>
      </w:pPr>
      <w:r>
        <w:rPr>
          <w:rFonts w:hint="eastAsia" w:ascii="宋体" w:hAnsi="宋体" w:cs="宋体"/>
          <w:color w:val="auto"/>
          <w:sz w:val="28"/>
          <w:szCs w:val="28"/>
          <w:highlight w:val="none"/>
        </w:rPr>
        <w:br w:type="page"/>
      </w:r>
      <w:bookmarkStart w:id="54" w:name="_Toc2846"/>
      <w:r>
        <w:rPr>
          <w:rFonts w:hint="eastAsia" w:ascii="宋体" w:hAnsi="宋体" w:cs="宋体"/>
          <w:b/>
          <w:bCs/>
          <w:color w:val="auto"/>
          <w:kern w:val="0"/>
          <w:sz w:val="36"/>
          <w:szCs w:val="36"/>
          <w:highlight w:val="none"/>
        </w:rPr>
        <w:t>十二、投标人认为需要提供的其他资料</w:t>
      </w:r>
      <w:bookmarkEnd w:id="54"/>
    </w:p>
    <w:p w14:paraId="38E4DC44">
      <w:pPr>
        <w:pStyle w:val="172"/>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格式自拟</w:t>
      </w:r>
    </w:p>
    <w:sectPr>
      <w:headerReference r:id="rId4" w:type="default"/>
      <w:footerReference r:id="rId5" w:type="default"/>
      <w:pgSz w:w="11906" w:h="16838"/>
      <w:pgMar w:top="1417" w:right="1701" w:bottom="1417"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DFHeiW9-GB">
    <w:altName w:val="宋体"/>
    <w:panose1 w:val="00000000000000000000"/>
    <w:charset w:val="86"/>
    <w:family w:val="swiss"/>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16D5">
    <w:pPr>
      <w:pStyle w:val="28"/>
      <w:pBdr>
        <w:top w:val="single" w:color="auto" w:sz="4" w:space="1"/>
      </w:pBdr>
      <w:jc w:val="left"/>
      <w:rPr>
        <w:rFonts w:hint="default" w:ascii="宋体" w:hAnsi="宋体" w:eastAsia="宋体" w:cs="宋体"/>
        <w:lang w:val="en-US" w:eastAsia="zh-CN"/>
      </w:rPr>
    </w:pPr>
    <w:r>
      <w:rPr>
        <w:rFonts w:hint="eastAsia" w:ascii="宋体" w:hAnsi="宋体" w:cs="宋体"/>
        <w:lang w:eastAsia="zh-CN"/>
      </w:rPr>
      <w:t>新疆新建联项目管理咨询有限公司</w:t>
    </w: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109</w:t>
    </w:r>
    <w:r>
      <w:rPr>
        <w:rFonts w:hint="eastAsia" w:ascii="宋体" w:hAnsi="宋体" w:cs="宋体"/>
      </w:rPr>
      <w:fldChar w:fldCharType="end"/>
    </w:r>
  </w:p>
  <w:p w14:paraId="44A94A6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77B1">
    <w:pPr>
      <w:pStyle w:val="29"/>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56C4">
    <w:pPr>
      <w:pStyle w:val="29"/>
      <w:jc w:val="right"/>
      <w:rPr>
        <w:sz w:val="15"/>
        <w:szCs w:val="15"/>
      </w:rPr>
    </w:pPr>
    <w:r>
      <w:rPr>
        <w:rFonts w:hint="eastAsia"/>
        <w:sz w:val="15"/>
        <w:szCs w:val="15"/>
        <w:lang w:eastAsia="zh-CN"/>
      </w:rPr>
      <w:t>新疆应用职业技术学院新图书馆智慧阅读设备采购项目</w:t>
    </w:r>
    <w:r>
      <w:rPr>
        <w:rFonts w:hint="eastAsia"/>
        <w:sz w:val="15"/>
        <w:szCs w:val="15"/>
      </w:rPr>
      <w:t>招标文件</w:t>
    </w:r>
  </w:p>
  <w:p w14:paraId="459D92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53208E"/>
    <w:multiLevelType w:val="singleLevel"/>
    <w:tmpl w:val="0053208E"/>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GFiMDI4MzIxM2FmZGYxZjc3YWE0NDc0OGE0YmQifQ=="/>
  </w:docVars>
  <w:rsids>
    <w:rsidRoot w:val="0014181E"/>
    <w:rsid w:val="0000062C"/>
    <w:rsid w:val="00027DBE"/>
    <w:rsid w:val="00062A86"/>
    <w:rsid w:val="0009187F"/>
    <w:rsid w:val="000A7773"/>
    <w:rsid w:val="000B1F39"/>
    <w:rsid w:val="00106483"/>
    <w:rsid w:val="001113BD"/>
    <w:rsid w:val="0014181E"/>
    <w:rsid w:val="00155309"/>
    <w:rsid w:val="00175060"/>
    <w:rsid w:val="00195CC6"/>
    <w:rsid w:val="001A47A2"/>
    <w:rsid w:val="001E5BD5"/>
    <w:rsid w:val="00226971"/>
    <w:rsid w:val="00230B79"/>
    <w:rsid w:val="002C35F4"/>
    <w:rsid w:val="002F629D"/>
    <w:rsid w:val="003173F8"/>
    <w:rsid w:val="00387DE3"/>
    <w:rsid w:val="003B658E"/>
    <w:rsid w:val="003E7D18"/>
    <w:rsid w:val="00407371"/>
    <w:rsid w:val="004245C3"/>
    <w:rsid w:val="00455B07"/>
    <w:rsid w:val="00474689"/>
    <w:rsid w:val="004C39A2"/>
    <w:rsid w:val="004D5885"/>
    <w:rsid w:val="005C2C37"/>
    <w:rsid w:val="005D02B1"/>
    <w:rsid w:val="00623B4C"/>
    <w:rsid w:val="00637124"/>
    <w:rsid w:val="00641D96"/>
    <w:rsid w:val="006903B8"/>
    <w:rsid w:val="00733CAC"/>
    <w:rsid w:val="007378DE"/>
    <w:rsid w:val="00744930"/>
    <w:rsid w:val="007E63BE"/>
    <w:rsid w:val="00816589"/>
    <w:rsid w:val="00844B41"/>
    <w:rsid w:val="00876AFF"/>
    <w:rsid w:val="008B74E0"/>
    <w:rsid w:val="008E42E2"/>
    <w:rsid w:val="008E7B57"/>
    <w:rsid w:val="009114A7"/>
    <w:rsid w:val="00942B4E"/>
    <w:rsid w:val="009516D8"/>
    <w:rsid w:val="00960F40"/>
    <w:rsid w:val="00971AC6"/>
    <w:rsid w:val="009E3DEC"/>
    <w:rsid w:val="00A06781"/>
    <w:rsid w:val="00A123ED"/>
    <w:rsid w:val="00A70161"/>
    <w:rsid w:val="00AB4641"/>
    <w:rsid w:val="00AE3FC1"/>
    <w:rsid w:val="00AF2AA4"/>
    <w:rsid w:val="00B41C43"/>
    <w:rsid w:val="00B474EF"/>
    <w:rsid w:val="00B87A2D"/>
    <w:rsid w:val="00BA6862"/>
    <w:rsid w:val="00BC13EC"/>
    <w:rsid w:val="00C50B26"/>
    <w:rsid w:val="00C7462A"/>
    <w:rsid w:val="00D72B7D"/>
    <w:rsid w:val="00DE0FF6"/>
    <w:rsid w:val="00DE42C2"/>
    <w:rsid w:val="00E06172"/>
    <w:rsid w:val="00E7768E"/>
    <w:rsid w:val="00E96C75"/>
    <w:rsid w:val="00EA1851"/>
    <w:rsid w:val="00F27723"/>
    <w:rsid w:val="00F72358"/>
    <w:rsid w:val="00F760E2"/>
    <w:rsid w:val="00F95A32"/>
    <w:rsid w:val="00FF31FA"/>
    <w:rsid w:val="01347A59"/>
    <w:rsid w:val="01872D4D"/>
    <w:rsid w:val="01A050EF"/>
    <w:rsid w:val="01C54B55"/>
    <w:rsid w:val="02187D66"/>
    <w:rsid w:val="02783976"/>
    <w:rsid w:val="02BA3C5C"/>
    <w:rsid w:val="02FD46F3"/>
    <w:rsid w:val="030E7E36"/>
    <w:rsid w:val="03A52548"/>
    <w:rsid w:val="04806B11"/>
    <w:rsid w:val="049363E3"/>
    <w:rsid w:val="04B334F0"/>
    <w:rsid w:val="04D31337"/>
    <w:rsid w:val="04E72EC7"/>
    <w:rsid w:val="0543016B"/>
    <w:rsid w:val="06B15C3E"/>
    <w:rsid w:val="06DC2725"/>
    <w:rsid w:val="0721282E"/>
    <w:rsid w:val="075C5614"/>
    <w:rsid w:val="076D5A73"/>
    <w:rsid w:val="07DE158D"/>
    <w:rsid w:val="07F60D53"/>
    <w:rsid w:val="08277A0D"/>
    <w:rsid w:val="089259BF"/>
    <w:rsid w:val="08DA108E"/>
    <w:rsid w:val="091C4DAE"/>
    <w:rsid w:val="093F5C33"/>
    <w:rsid w:val="09A82D92"/>
    <w:rsid w:val="0AC0410C"/>
    <w:rsid w:val="0B4765DB"/>
    <w:rsid w:val="0B5331D2"/>
    <w:rsid w:val="0BDB744F"/>
    <w:rsid w:val="0C1C7A68"/>
    <w:rsid w:val="0CE642FD"/>
    <w:rsid w:val="0D803A6B"/>
    <w:rsid w:val="0D8A3AA9"/>
    <w:rsid w:val="0DA47D15"/>
    <w:rsid w:val="0DCD726B"/>
    <w:rsid w:val="0E3377EA"/>
    <w:rsid w:val="0E72571D"/>
    <w:rsid w:val="0E795D11"/>
    <w:rsid w:val="0F040A6B"/>
    <w:rsid w:val="0F4277E5"/>
    <w:rsid w:val="0F6C4862"/>
    <w:rsid w:val="0FCC5343"/>
    <w:rsid w:val="0FF22FB9"/>
    <w:rsid w:val="10463305"/>
    <w:rsid w:val="10935BDB"/>
    <w:rsid w:val="110C1E59"/>
    <w:rsid w:val="12E61811"/>
    <w:rsid w:val="13C85275"/>
    <w:rsid w:val="13D10778"/>
    <w:rsid w:val="144F7614"/>
    <w:rsid w:val="14580650"/>
    <w:rsid w:val="149208C7"/>
    <w:rsid w:val="14A56265"/>
    <w:rsid w:val="14A979BF"/>
    <w:rsid w:val="14FE3C2B"/>
    <w:rsid w:val="15542020"/>
    <w:rsid w:val="166965AD"/>
    <w:rsid w:val="16A14DF1"/>
    <w:rsid w:val="17343EB7"/>
    <w:rsid w:val="17435EA8"/>
    <w:rsid w:val="177F276C"/>
    <w:rsid w:val="17E01949"/>
    <w:rsid w:val="18207EBB"/>
    <w:rsid w:val="1830723B"/>
    <w:rsid w:val="18F5792F"/>
    <w:rsid w:val="190B0D39"/>
    <w:rsid w:val="19241D82"/>
    <w:rsid w:val="197902A7"/>
    <w:rsid w:val="199473F6"/>
    <w:rsid w:val="1A1151F4"/>
    <w:rsid w:val="1A3366A8"/>
    <w:rsid w:val="1A7432DC"/>
    <w:rsid w:val="1AB8095B"/>
    <w:rsid w:val="1B3A2A7C"/>
    <w:rsid w:val="1C147666"/>
    <w:rsid w:val="1C6F60A3"/>
    <w:rsid w:val="1C9378D2"/>
    <w:rsid w:val="1CBB2985"/>
    <w:rsid w:val="1CD6156D"/>
    <w:rsid w:val="1CD87093"/>
    <w:rsid w:val="1D8E4214"/>
    <w:rsid w:val="1F81136B"/>
    <w:rsid w:val="1FAD1567"/>
    <w:rsid w:val="1FCF6E73"/>
    <w:rsid w:val="1FED3D79"/>
    <w:rsid w:val="2015302D"/>
    <w:rsid w:val="204F3B10"/>
    <w:rsid w:val="23152DEF"/>
    <w:rsid w:val="233A4603"/>
    <w:rsid w:val="234B4A63"/>
    <w:rsid w:val="23B32608"/>
    <w:rsid w:val="23CE7442"/>
    <w:rsid w:val="23D80925"/>
    <w:rsid w:val="26236D27"/>
    <w:rsid w:val="26D938E3"/>
    <w:rsid w:val="27027B2E"/>
    <w:rsid w:val="279E24F4"/>
    <w:rsid w:val="285C6DCA"/>
    <w:rsid w:val="28634556"/>
    <w:rsid w:val="288D3427"/>
    <w:rsid w:val="291E4B5E"/>
    <w:rsid w:val="294837F2"/>
    <w:rsid w:val="29F030B0"/>
    <w:rsid w:val="2A2C6FE2"/>
    <w:rsid w:val="2B8E352A"/>
    <w:rsid w:val="2B8E4F5D"/>
    <w:rsid w:val="2BE5357A"/>
    <w:rsid w:val="2D3F1499"/>
    <w:rsid w:val="2D546C0A"/>
    <w:rsid w:val="2D8A262B"/>
    <w:rsid w:val="2E047BD1"/>
    <w:rsid w:val="2E3D31FA"/>
    <w:rsid w:val="2E6961E1"/>
    <w:rsid w:val="2F130AF1"/>
    <w:rsid w:val="2F5B77BD"/>
    <w:rsid w:val="2FF85B5B"/>
    <w:rsid w:val="30044C0D"/>
    <w:rsid w:val="30393E95"/>
    <w:rsid w:val="304545E8"/>
    <w:rsid w:val="306C426A"/>
    <w:rsid w:val="30A65DD3"/>
    <w:rsid w:val="30DB49B0"/>
    <w:rsid w:val="30F54260"/>
    <w:rsid w:val="310B5831"/>
    <w:rsid w:val="31B77767"/>
    <w:rsid w:val="31E247E4"/>
    <w:rsid w:val="32773A5E"/>
    <w:rsid w:val="32790F3E"/>
    <w:rsid w:val="328C0BF4"/>
    <w:rsid w:val="32AC4DF2"/>
    <w:rsid w:val="32AE2918"/>
    <w:rsid w:val="32B63365"/>
    <w:rsid w:val="32F32A21"/>
    <w:rsid w:val="332638F5"/>
    <w:rsid w:val="34081789"/>
    <w:rsid w:val="34692F9B"/>
    <w:rsid w:val="349D2B1B"/>
    <w:rsid w:val="34B33D14"/>
    <w:rsid w:val="354935B5"/>
    <w:rsid w:val="35F31D7F"/>
    <w:rsid w:val="364F060F"/>
    <w:rsid w:val="36796765"/>
    <w:rsid w:val="367F4CF7"/>
    <w:rsid w:val="36CD0C78"/>
    <w:rsid w:val="37421881"/>
    <w:rsid w:val="3750483D"/>
    <w:rsid w:val="377D0BAA"/>
    <w:rsid w:val="37CF580A"/>
    <w:rsid w:val="38495DBD"/>
    <w:rsid w:val="38594718"/>
    <w:rsid w:val="385C27C6"/>
    <w:rsid w:val="386B53F3"/>
    <w:rsid w:val="387A35DA"/>
    <w:rsid w:val="393D2C48"/>
    <w:rsid w:val="395D0BF4"/>
    <w:rsid w:val="398264E4"/>
    <w:rsid w:val="3ABB02C8"/>
    <w:rsid w:val="3AD66F18"/>
    <w:rsid w:val="3ADC0CA4"/>
    <w:rsid w:val="3AEC222F"/>
    <w:rsid w:val="3B2C6AD0"/>
    <w:rsid w:val="3B7010B2"/>
    <w:rsid w:val="3BAA7239"/>
    <w:rsid w:val="3BEE647B"/>
    <w:rsid w:val="3C8B6ACE"/>
    <w:rsid w:val="3CD75FE7"/>
    <w:rsid w:val="3CF25AF7"/>
    <w:rsid w:val="3D6469F5"/>
    <w:rsid w:val="3D687F70"/>
    <w:rsid w:val="3DB86D41"/>
    <w:rsid w:val="3DF27240"/>
    <w:rsid w:val="3E1D4DF6"/>
    <w:rsid w:val="3E284351"/>
    <w:rsid w:val="3E740EBA"/>
    <w:rsid w:val="3EA20190"/>
    <w:rsid w:val="3ED41958"/>
    <w:rsid w:val="3F686171"/>
    <w:rsid w:val="408D1BA0"/>
    <w:rsid w:val="40EF6511"/>
    <w:rsid w:val="40F6635A"/>
    <w:rsid w:val="41811B86"/>
    <w:rsid w:val="41881F15"/>
    <w:rsid w:val="41AF0F4C"/>
    <w:rsid w:val="41C00D60"/>
    <w:rsid w:val="41F556ED"/>
    <w:rsid w:val="426C261F"/>
    <w:rsid w:val="42B73ACE"/>
    <w:rsid w:val="42BC5173"/>
    <w:rsid w:val="42DE0FF8"/>
    <w:rsid w:val="43670FED"/>
    <w:rsid w:val="438E72DF"/>
    <w:rsid w:val="444441E2"/>
    <w:rsid w:val="444D10F4"/>
    <w:rsid w:val="448B4867"/>
    <w:rsid w:val="45575091"/>
    <w:rsid w:val="4595204F"/>
    <w:rsid w:val="45CF626D"/>
    <w:rsid w:val="469E38B2"/>
    <w:rsid w:val="46A523F5"/>
    <w:rsid w:val="47365A97"/>
    <w:rsid w:val="479652DD"/>
    <w:rsid w:val="48147269"/>
    <w:rsid w:val="482C45B3"/>
    <w:rsid w:val="48B2102B"/>
    <w:rsid w:val="48E32378"/>
    <w:rsid w:val="493556E9"/>
    <w:rsid w:val="499B3971"/>
    <w:rsid w:val="4A342B9D"/>
    <w:rsid w:val="4AD11442"/>
    <w:rsid w:val="4B012120"/>
    <w:rsid w:val="4B313C8F"/>
    <w:rsid w:val="4B595424"/>
    <w:rsid w:val="4B744390"/>
    <w:rsid w:val="4B9755E4"/>
    <w:rsid w:val="4BBD7B76"/>
    <w:rsid w:val="4BD74836"/>
    <w:rsid w:val="4D64659D"/>
    <w:rsid w:val="4EAC1363"/>
    <w:rsid w:val="4F204AAA"/>
    <w:rsid w:val="4F3C1F8D"/>
    <w:rsid w:val="4F915466"/>
    <w:rsid w:val="4FE6773D"/>
    <w:rsid w:val="50416722"/>
    <w:rsid w:val="50BC224C"/>
    <w:rsid w:val="50F57EE6"/>
    <w:rsid w:val="513B7615"/>
    <w:rsid w:val="5244074B"/>
    <w:rsid w:val="52443D8B"/>
    <w:rsid w:val="539A31ED"/>
    <w:rsid w:val="53A913E3"/>
    <w:rsid w:val="53B67427"/>
    <w:rsid w:val="54482775"/>
    <w:rsid w:val="545C3B2A"/>
    <w:rsid w:val="547C0F99"/>
    <w:rsid w:val="54A97595"/>
    <w:rsid w:val="55793D5E"/>
    <w:rsid w:val="558C5CB4"/>
    <w:rsid w:val="55AC0EDD"/>
    <w:rsid w:val="55E62245"/>
    <w:rsid w:val="56C836F9"/>
    <w:rsid w:val="570312CD"/>
    <w:rsid w:val="58AD36D9"/>
    <w:rsid w:val="58D6470F"/>
    <w:rsid w:val="58F76517"/>
    <w:rsid w:val="593C2AAE"/>
    <w:rsid w:val="59417793"/>
    <w:rsid w:val="59633BAD"/>
    <w:rsid w:val="5A1153B7"/>
    <w:rsid w:val="5A38583A"/>
    <w:rsid w:val="5A533C21"/>
    <w:rsid w:val="5A772246"/>
    <w:rsid w:val="5B97034A"/>
    <w:rsid w:val="5C64411C"/>
    <w:rsid w:val="5C806824"/>
    <w:rsid w:val="5CBD1826"/>
    <w:rsid w:val="5CE46DB3"/>
    <w:rsid w:val="5D395350"/>
    <w:rsid w:val="5D831735"/>
    <w:rsid w:val="5DF61B05"/>
    <w:rsid w:val="5DFA418A"/>
    <w:rsid w:val="5ED74E21"/>
    <w:rsid w:val="5EF64B7B"/>
    <w:rsid w:val="5F454E6A"/>
    <w:rsid w:val="5FDC5406"/>
    <w:rsid w:val="60E43825"/>
    <w:rsid w:val="61025A59"/>
    <w:rsid w:val="61471E39"/>
    <w:rsid w:val="62AB1C6F"/>
    <w:rsid w:val="62DD22DA"/>
    <w:rsid w:val="63352116"/>
    <w:rsid w:val="634A4428"/>
    <w:rsid w:val="635B76A3"/>
    <w:rsid w:val="63D74F7B"/>
    <w:rsid w:val="63E45E6C"/>
    <w:rsid w:val="641461CF"/>
    <w:rsid w:val="64607667"/>
    <w:rsid w:val="64D7109F"/>
    <w:rsid w:val="65A6554D"/>
    <w:rsid w:val="65BF660F"/>
    <w:rsid w:val="65E24358"/>
    <w:rsid w:val="66163CF5"/>
    <w:rsid w:val="663D12E2"/>
    <w:rsid w:val="66C421B2"/>
    <w:rsid w:val="670D6F06"/>
    <w:rsid w:val="68EF4B15"/>
    <w:rsid w:val="68F760C0"/>
    <w:rsid w:val="69823BDB"/>
    <w:rsid w:val="6A154A4F"/>
    <w:rsid w:val="6A433CC0"/>
    <w:rsid w:val="6BBB272C"/>
    <w:rsid w:val="6C0C15B8"/>
    <w:rsid w:val="6C1A6CF7"/>
    <w:rsid w:val="6C472EBA"/>
    <w:rsid w:val="6C8C02B4"/>
    <w:rsid w:val="6CC17369"/>
    <w:rsid w:val="6CF57B7D"/>
    <w:rsid w:val="6D321474"/>
    <w:rsid w:val="6DAA1953"/>
    <w:rsid w:val="6E3A3A96"/>
    <w:rsid w:val="6F106C53"/>
    <w:rsid w:val="6FB940CF"/>
    <w:rsid w:val="707D6B5C"/>
    <w:rsid w:val="71500A63"/>
    <w:rsid w:val="71EF202A"/>
    <w:rsid w:val="71F061CA"/>
    <w:rsid w:val="72274BA4"/>
    <w:rsid w:val="729D1A86"/>
    <w:rsid w:val="72A72905"/>
    <w:rsid w:val="750A7ABF"/>
    <w:rsid w:val="76300180"/>
    <w:rsid w:val="76A63283"/>
    <w:rsid w:val="78014865"/>
    <w:rsid w:val="780467C2"/>
    <w:rsid w:val="78796F49"/>
    <w:rsid w:val="78D41F79"/>
    <w:rsid w:val="792C7754"/>
    <w:rsid w:val="79F301DD"/>
    <w:rsid w:val="7A31152D"/>
    <w:rsid w:val="7B0467C8"/>
    <w:rsid w:val="7B3955EF"/>
    <w:rsid w:val="7B755DC4"/>
    <w:rsid w:val="7BDF6C6B"/>
    <w:rsid w:val="7C0E458B"/>
    <w:rsid w:val="7C340BE4"/>
    <w:rsid w:val="7C4B60AF"/>
    <w:rsid w:val="7CC0084B"/>
    <w:rsid w:val="7CCD11BA"/>
    <w:rsid w:val="7D0A1462"/>
    <w:rsid w:val="7D3B0ED6"/>
    <w:rsid w:val="7DCE343B"/>
    <w:rsid w:val="7E1259C9"/>
    <w:rsid w:val="7E543940"/>
    <w:rsid w:val="7E7C751E"/>
    <w:rsid w:val="7EDC1B88"/>
    <w:rsid w:val="7F195760"/>
    <w:rsid w:val="7F1E0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1"/>
    <w:autoRedefine/>
    <w:qFormat/>
    <w:uiPriority w:val="9"/>
    <w:pPr>
      <w:keepNext/>
      <w:jc w:val="center"/>
      <w:outlineLvl w:val="0"/>
    </w:pPr>
    <w:rPr>
      <w:rFonts w:ascii="仿宋_GB2312" w:eastAsia="仿宋_GB2312"/>
      <w:kern w:val="0"/>
      <w:sz w:val="28"/>
    </w:rPr>
  </w:style>
  <w:style w:type="paragraph" w:styleId="2">
    <w:name w:val="heading 2"/>
    <w:basedOn w:val="1"/>
    <w:next w:val="1"/>
    <w:link w:val="52"/>
    <w:qFormat/>
    <w:uiPriority w:val="9"/>
    <w:pPr>
      <w:keepNext/>
      <w:tabs>
        <w:tab w:val="left" w:pos="420"/>
      </w:tabs>
      <w:spacing w:line="360" w:lineRule="auto"/>
      <w:ind w:left="330" w:hanging="330"/>
      <w:outlineLvl w:val="1"/>
    </w:pPr>
    <w:rPr>
      <w:b/>
      <w:kern w:val="0"/>
      <w:sz w:val="24"/>
      <w:szCs w:val="24"/>
    </w:rPr>
  </w:style>
  <w:style w:type="paragraph" w:styleId="4">
    <w:name w:val="heading 3"/>
    <w:basedOn w:val="1"/>
    <w:next w:val="1"/>
    <w:link w:val="53"/>
    <w:qFormat/>
    <w:uiPriority w:val="9"/>
    <w:pPr>
      <w:keepNext/>
      <w:tabs>
        <w:tab w:val="left" w:pos="468"/>
      </w:tabs>
      <w:ind w:left="468" w:hanging="468"/>
      <w:outlineLvl w:val="2"/>
    </w:pPr>
    <w:rPr>
      <w:b/>
      <w:bCs/>
      <w:kern w:val="0"/>
      <w:sz w:val="28"/>
      <w:szCs w:val="24"/>
    </w:rPr>
  </w:style>
  <w:style w:type="paragraph" w:styleId="5">
    <w:name w:val="heading 4"/>
    <w:basedOn w:val="1"/>
    <w:next w:val="6"/>
    <w:link w:val="54"/>
    <w:autoRedefine/>
    <w:qFormat/>
    <w:uiPriority w:val="9"/>
    <w:pPr>
      <w:keepNext/>
      <w:tabs>
        <w:tab w:val="left" w:pos="435"/>
      </w:tabs>
      <w:ind w:left="435" w:hanging="435"/>
      <w:outlineLvl w:val="3"/>
    </w:pPr>
    <w:rPr>
      <w:b/>
      <w:color w:val="000000"/>
      <w:kern w:val="0"/>
      <w:sz w:val="28"/>
      <w:szCs w:val="24"/>
      <w:u w:val="single"/>
    </w:rPr>
  </w:style>
  <w:style w:type="paragraph" w:styleId="8">
    <w:name w:val="heading 5"/>
    <w:basedOn w:val="1"/>
    <w:next w:val="1"/>
    <w:link w:val="56"/>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57"/>
    <w:qFormat/>
    <w:uiPriority w:val="0"/>
    <w:pPr>
      <w:keepNext/>
      <w:keepLines/>
      <w:spacing w:before="240" w:after="64" w:line="320" w:lineRule="auto"/>
      <w:outlineLvl w:val="5"/>
    </w:pPr>
    <w:rPr>
      <w:rFonts w:ascii="Arial" w:hAnsi="Arial" w:eastAsia="黑体"/>
      <w:b/>
      <w:bCs/>
      <w:kern w:val="0"/>
      <w:sz w:val="24"/>
      <w:szCs w:val="24"/>
    </w:rPr>
  </w:style>
  <w:style w:type="paragraph" w:styleId="10">
    <w:name w:val="heading 7"/>
    <w:basedOn w:val="1"/>
    <w:next w:val="1"/>
    <w:link w:val="58"/>
    <w:qFormat/>
    <w:uiPriority w:val="0"/>
    <w:pPr>
      <w:keepNext/>
      <w:tabs>
        <w:tab w:val="left" w:pos="900"/>
      </w:tabs>
      <w:ind w:left="900" w:hanging="300"/>
      <w:outlineLvl w:val="6"/>
    </w:pPr>
    <w:rPr>
      <w:rFonts w:ascii="宋体" w:hAnsi="宋体"/>
      <w:b/>
      <w:kern w:val="0"/>
      <w:sz w:val="28"/>
      <w:szCs w:val="24"/>
    </w:rPr>
  </w:style>
  <w:style w:type="paragraph" w:styleId="11">
    <w:name w:val="heading 8"/>
    <w:basedOn w:val="1"/>
    <w:next w:val="1"/>
    <w:link w:val="59"/>
    <w:autoRedefine/>
    <w:qFormat/>
    <w:uiPriority w:val="0"/>
    <w:pPr>
      <w:keepNext/>
      <w:widowControl/>
      <w:tabs>
        <w:tab w:val="left" w:pos="1260"/>
        <w:tab w:val="left" w:pos="1995"/>
        <w:tab w:val="left" w:pos="2520"/>
        <w:tab w:val="left" w:pos="2730"/>
      </w:tabs>
      <w:spacing w:before="100" w:after="100" w:line="400" w:lineRule="exact"/>
      <w:ind w:left="600" w:hanging="600"/>
      <w:jc w:val="left"/>
      <w:outlineLvl w:val="7"/>
    </w:pPr>
    <w:rPr>
      <w:b/>
      <w:kern w:val="0"/>
      <w:sz w:val="28"/>
      <w:szCs w:val="24"/>
      <w:u w:val="single"/>
    </w:rPr>
  </w:style>
  <w:style w:type="paragraph" w:styleId="12">
    <w:name w:val="heading 9"/>
    <w:basedOn w:val="1"/>
    <w:next w:val="1"/>
    <w:link w:val="60"/>
    <w:qFormat/>
    <w:uiPriority w:val="0"/>
    <w:pPr>
      <w:keepNext/>
      <w:keepLines/>
      <w:adjustRightInd w:val="0"/>
      <w:spacing w:line="360" w:lineRule="atLeast"/>
      <w:ind w:left="3780" w:hanging="420"/>
      <w:textAlignment w:val="baseline"/>
      <w:outlineLvl w:val="8"/>
    </w:pPr>
    <w:rPr>
      <w:kern w:val="0"/>
      <w:sz w:val="24"/>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55"/>
    <w:qFormat/>
    <w:uiPriority w:val="0"/>
    <w:pPr>
      <w:ind w:firstLine="420"/>
    </w:pPr>
    <w:rPr>
      <w:kern w:val="0"/>
      <w:sz w:val="20"/>
    </w:rPr>
  </w:style>
  <w:style w:type="paragraph" w:styleId="7">
    <w:name w:val="toc 4"/>
    <w:basedOn w:val="1"/>
    <w:next w:val="1"/>
    <w:qFormat/>
    <w:uiPriority w:val="39"/>
    <w:pPr>
      <w:ind w:left="630"/>
      <w:jc w:val="left"/>
    </w:pPr>
    <w:rPr>
      <w:sz w:val="18"/>
      <w:szCs w:val="18"/>
    </w:rPr>
  </w:style>
  <w:style w:type="paragraph" w:styleId="13">
    <w:name w:val="toc 7"/>
    <w:basedOn w:val="1"/>
    <w:next w:val="1"/>
    <w:qFormat/>
    <w:uiPriority w:val="39"/>
    <w:pPr>
      <w:ind w:left="1260"/>
      <w:jc w:val="left"/>
    </w:pPr>
    <w:rPr>
      <w:sz w:val="18"/>
      <w:szCs w:val="18"/>
    </w:rPr>
  </w:style>
  <w:style w:type="paragraph" w:styleId="14">
    <w:name w:val="Document Map"/>
    <w:basedOn w:val="1"/>
    <w:link w:val="61"/>
    <w:qFormat/>
    <w:uiPriority w:val="0"/>
    <w:pPr>
      <w:shd w:val="clear" w:color="auto" w:fill="000080"/>
    </w:pPr>
    <w:rPr>
      <w:kern w:val="0"/>
      <w:sz w:val="20"/>
    </w:rPr>
  </w:style>
  <w:style w:type="paragraph" w:styleId="15">
    <w:name w:val="annotation text"/>
    <w:basedOn w:val="1"/>
    <w:link w:val="62"/>
    <w:autoRedefine/>
    <w:qFormat/>
    <w:uiPriority w:val="0"/>
    <w:pPr>
      <w:jc w:val="left"/>
    </w:pPr>
    <w:rPr>
      <w:kern w:val="0"/>
      <w:sz w:val="20"/>
    </w:rPr>
  </w:style>
  <w:style w:type="paragraph" w:styleId="16">
    <w:name w:val="Body Text 3"/>
    <w:basedOn w:val="1"/>
    <w:link w:val="63"/>
    <w:autoRedefine/>
    <w:qFormat/>
    <w:uiPriority w:val="0"/>
    <w:pPr>
      <w:spacing w:after="120"/>
    </w:pPr>
    <w:rPr>
      <w:kern w:val="0"/>
      <w:sz w:val="16"/>
      <w:szCs w:val="16"/>
    </w:rPr>
  </w:style>
  <w:style w:type="paragraph" w:styleId="17">
    <w:name w:val="Body Text"/>
    <w:basedOn w:val="1"/>
    <w:link w:val="64"/>
    <w:autoRedefine/>
    <w:qFormat/>
    <w:uiPriority w:val="0"/>
    <w:pPr>
      <w:spacing w:after="120"/>
    </w:pPr>
    <w:rPr>
      <w:kern w:val="0"/>
      <w:sz w:val="20"/>
    </w:rPr>
  </w:style>
  <w:style w:type="paragraph" w:styleId="18">
    <w:name w:val="Body Text Indent"/>
    <w:basedOn w:val="1"/>
    <w:next w:val="19"/>
    <w:link w:val="65"/>
    <w:qFormat/>
    <w:uiPriority w:val="0"/>
    <w:pPr>
      <w:spacing w:line="800" w:lineRule="exact"/>
      <w:ind w:left="315" w:leftChars="150" w:firstLine="664" w:firstLineChars="237"/>
    </w:pPr>
    <w:rPr>
      <w:rFonts w:ascii="仿宋_GB2312" w:eastAsia="仿宋_GB2312"/>
      <w:kern w:val="0"/>
      <w:sz w:val="28"/>
    </w:rPr>
  </w:style>
  <w:style w:type="paragraph" w:styleId="19">
    <w:name w:val="Body Text First Indent 2"/>
    <w:basedOn w:val="18"/>
    <w:next w:val="1"/>
    <w:qFormat/>
    <w:uiPriority w:val="0"/>
    <w:pPr>
      <w:ind w:firstLine="420" w:firstLineChars="200"/>
    </w:pPr>
  </w:style>
  <w:style w:type="paragraph" w:styleId="20">
    <w:name w:val="Block Text"/>
    <w:basedOn w:val="1"/>
    <w:qFormat/>
    <w:uiPriority w:val="0"/>
    <w:pPr>
      <w:spacing w:after="120"/>
      <w:ind w:left="1440" w:leftChars="700" w:right="1440" w:rightChars="700" w:firstLine="480" w:firstLineChars="200"/>
    </w:pPr>
    <w:rPr>
      <w:rFonts w:ascii="微软雅黑" w:hAnsi="微软雅黑" w:eastAsia="微软雅黑" w:cs="微软雅黑"/>
      <w:kern w:val="0"/>
      <w:szCs w:val="21"/>
    </w:rPr>
  </w:style>
  <w:style w:type="paragraph" w:styleId="21">
    <w:name w:val="toc 5"/>
    <w:basedOn w:val="1"/>
    <w:next w:val="1"/>
    <w:qFormat/>
    <w:uiPriority w:val="39"/>
    <w:pPr>
      <w:ind w:left="840"/>
      <w:jc w:val="left"/>
    </w:pPr>
    <w:rPr>
      <w:sz w:val="18"/>
      <w:szCs w:val="18"/>
    </w:rPr>
  </w:style>
  <w:style w:type="paragraph" w:styleId="22">
    <w:name w:val="toc 3"/>
    <w:basedOn w:val="1"/>
    <w:next w:val="1"/>
    <w:autoRedefine/>
    <w:qFormat/>
    <w:uiPriority w:val="39"/>
    <w:pPr>
      <w:ind w:left="840" w:leftChars="400"/>
    </w:pPr>
  </w:style>
  <w:style w:type="paragraph" w:styleId="23">
    <w:name w:val="Plain Text"/>
    <w:basedOn w:val="1"/>
    <w:link w:val="66"/>
    <w:autoRedefine/>
    <w:qFormat/>
    <w:uiPriority w:val="0"/>
    <w:rPr>
      <w:rFonts w:ascii="宋体" w:hAnsi="宋体"/>
      <w:kern w:val="0"/>
      <w:sz w:val="20"/>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67"/>
    <w:autoRedefine/>
    <w:qFormat/>
    <w:uiPriority w:val="0"/>
    <w:rPr>
      <w:color w:val="000000"/>
      <w:kern w:val="0"/>
      <w:sz w:val="30"/>
    </w:rPr>
  </w:style>
  <w:style w:type="paragraph" w:styleId="26">
    <w:name w:val="Body Text Indent 2"/>
    <w:basedOn w:val="1"/>
    <w:link w:val="68"/>
    <w:autoRedefine/>
    <w:qFormat/>
    <w:uiPriority w:val="0"/>
    <w:pPr>
      <w:spacing w:line="360" w:lineRule="auto"/>
      <w:ind w:firstLine="555"/>
    </w:pPr>
    <w:rPr>
      <w:rFonts w:ascii="仿宋_GB2312" w:eastAsia="仿宋_GB2312"/>
      <w:kern w:val="0"/>
      <w:sz w:val="28"/>
    </w:rPr>
  </w:style>
  <w:style w:type="paragraph" w:styleId="27">
    <w:name w:val="Balloon Text"/>
    <w:basedOn w:val="1"/>
    <w:link w:val="69"/>
    <w:autoRedefine/>
    <w:qFormat/>
    <w:uiPriority w:val="99"/>
    <w:rPr>
      <w:kern w:val="0"/>
      <w:sz w:val="18"/>
      <w:szCs w:val="18"/>
    </w:rPr>
  </w:style>
  <w:style w:type="paragraph" w:styleId="28">
    <w:name w:val="footer"/>
    <w:basedOn w:val="1"/>
    <w:link w:val="70"/>
    <w:autoRedefine/>
    <w:qFormat/>
    <w:uiPriority w:val="99"/>
    <w:pPr>
      <w:tabs>
        <w:tab w:val="center" w:pos="4153"/>
        <w:tab w:val="right" w:pos="8306"/>
      </w:tabs>
      <w:snapToGrid w:val="0"/>
      <w:jc w:val="left"/>
    </w:pPr>
    <w:rPr>
      <w:kern w:val="0"/>
      <w:sz w:val="18"/>
      <w:szCs w:val="18"/>
    </w:rPr>
  </w:style>
  <w:style w:type="paragraph" w:styleId="29">
    <w:name w:val="header"/>
    <w:basedOn w:val="1"/>
    <w:link w:val="71"/>
    <w:qFormat/>
    <w:uiPriority w:val="99"/>
    <w:pPr>
      <w:pBdr>
        <w:bottom w:val="single" w:color="auto" w:sz="6" w:space="1"/>
      </w:pBdr>
      <w:tabs>
        <w:tab w:val="center" w:pos="4153"/>
        <w:tab w:val="right" w:pos="8306"/>
      </w:tabs>
      <w:snapToGrid w:val="0"/>
      <w:jc w:val="center"/>
    </w:pPr>
    <w:rPr>
      <w:kern w:val="0"/>
      <w:sz w:val="18"/>
    </w:rPr>
  </w:style>
  <w:style w:type="paragraph" w:styleId="30">
    <w:name w:val="toc 1"/>
    <w:basedOn w:val="1"/>
    <w:next w:val="1"/>
    <w:autoRedefine/>
    <w:qFormat/>
    <w:uiPriority w:val="39"/>
    <w:pPr>
      <w:tabs>
        <w:tab w:val="right" w:leader="dot" w:pos="9016"/>
      </w:tabs>
    </w:pPr>
    <w:rPr>
      <w:rFonts w:ascii="宋体" w:hAnsi="宋体"/>
    </w:rPr>
  </w:style>
  <w:style w:type="paragraph" w:styleId="31">
    <w:name w:val="List"/>
    <w:autoRedefine/>
    <w:qFormat/>
    <w:uiPriority w:val="0"/>
    <w:pPr>
      <w:widowControl w:val="0"/>
      <w:ind w:left="420" w:hanging="420"/>
      <w:jc w:val="both"/>
    </w:pPr>
    <w:rPr>
      <w:rFonts w:ascii="Times New Roman" w:hAnsi="Times New Roman" w:eastAsia="宋体" w:cs="Times New Roman"/>
      <w:kern w:val="2"/>
      <w:sz w:val="21"/>
      <w:szCs w:val="24"/>
      <w:lang w:val="en-US" w:eastAsia="zh-CN" w:bidi="ar-SA"/>
    </w:rPr>
  </w:style>
  <w:style w:type="paragraph" w:styleId="32">
    <w:name w:val="footnote text"/>
    <w:basedOn w:val="1"/>
    <w:link w:val="72"/>
    <w:autoRedefine/>
    <w:qFormat/>
    <w:uiPriority w:val="0"/>
    <w:pPr>
      <w:snapToGrid w:val="0"/>
      <w:jc w:val="left"/>
    </w:pPr>
    <w:rPr>
      <w:sz w:val="18"/>
      <w:szCs w:val="18"/>
    </w:rPr>
  </w:style>
  <w:style w:type="paragraph" w:styleId="33">
    <w:name w:val="toc 6"/>
    <w:basedOn w:val="1"/>
    <w:next w:val="1"/>
    <w:autoRedefine/>
    <w:qFormat/>
    <w:uiPriority w:val="39"/>
    <w:pPr>
      <w:ind w:left="1050"/>
      <w:jc w:val="left"/>
    </w:pPr>
    <w:rPr>
      <w:sz w:val="18"/>
      <w:szCs w:val="18"/>
    </w:rPr>
  </w:style>
  <w:style w:type="paragraph" w:styleId="34">
    <w:name w:val="toc 2"/>
    <w:basedOn w:val="1"/>
    <w:next w:val="1"/>
    <w:autoRedefine/>
    <w:qFormat/>
    <w:uiPriority w:val="39"/>
    <w:pPr>
      <w:ind w:left="420" w:leftChars="200"/>
    </w:pPr>
  </w:style>
  <w:style w:type="paragraph" w:styleId="35">
    <w:name w:val="toc 9"/>
    <w:basedOn w:val="1"/>
    <w:next w:val="1"/>
    <w:autoRedefine/>
    <w:qFormat/>
    <w:uiPriority w:val="39"/>
    <w:pPr>
      <w:ind w:left="1680"/>
      <w:jc w:val="left"/>
    </w:pPr>
    <w:rPr>
      <w:sz w:val="18"/>
      <w:szCs w:val="18"/>
    </w:rPr>
  </w:style>
  <w:style w:type="paragraph" w:styleId="36">
    <w:name w:val="Normal (Web)"/>
    <w:basedOn w:val="1"/>
    <w:qFormat/>
    <w:uiPriority w:val="99"/>
    <w:pPr>
      <w:widowControl/>
      <w:jc w:val="left"/>
    </w:pPr>
    <w:rPr>
      <w:rFonts w:ascii="宋体" w:hAnsi="宋体" w:cs="宋体"/>
      <w:kern w:val="0"/>
      <w:sz w:val="24"/>
      <w:szCs w:val="24"/>
    </w:rPr>
  </w:style>
  <w:style w:type="paragraph" w:styleId="37">
    <w:name w:val="Title"/>
    <w:basedOn w:val="1"/>
    <w:next w:val="1"/>
    <w:link w:val="73"/>
    <w:qFormat/>
    <w:uiPriority w:val="10"/>
    <w:pPr>
      <w:spacing w:before="240" w:after="60"/>
      <w:jc w:val="center"/>
      <w:outlineLvl w:val="0"/>
    </w:pPr>
    <w:rPr>
      <w:rFonts w:ascii="Cambria" w:hAnsi="Cambria"/>
      <w:b/>
      <w:bCs/>
      <w:kern w:val="0"/>
      <w:sz w:val="32"/>
      <w:szCs w:val="32"/>
    </w:rPr>
  </w:style>
  <w:style w:type="paragraph" w:styleId="38">
    <w:name w:val="annotation subject"/>
    <w:basedOn w:val="15"/>
    <w:next w:val="15"/>
    <w:link w:val="74"/>
    <w:autoRedefine/>
    <w:qFormat/>
    <w:uiPriority w:val="0"/>
    <w:rPr>
      <w:b/>
      <w:bCs/>
    </w:rPr>
  </w:style>
  <w:style w:type="paragraph" w:styleId="39">
    <w:name w:val="Body Text First Indent"/>
    <w:basedOn w:val="17"/>
    <w:link w:val="75"/>
    <w:qFormat/>
    <w:uiPriority w:val="0"/>
    <w:pPr>
      <w:ind w:firstLine="420" w:firstLineChars="100"/>
    </w:pPr>
    <w:rPr>
      <w:rFonts w:ascii="Calibri" w:hAnsi="Calibri"/>
      <w:kern w:val="2"/>
      <w:sz w:val="21"/>
      <w:szCs w:val="22"/>
    </w:rPr>
  </w:style>
  <w:style w:type="table" w:styleId="41">
    <w:name w:val="Table Grid"/>
    <w:basedOn w:val="4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0"/>
    <w:rPr>
      <w:b/>
      <w:bCs/>
    </w:rPr>
  </w:style>
  <w:style w:type="character" w:styleId="44">
    <w:name w:val="page number"/>
    <w:autoRedefine/>
    <w:qFormat/>
    <w:uiPriority w:val="0"/>
  </w:style>
  <w:style w:type="character" w:styleId="45">
    <w:name w:val="FollowedHyperlink"/>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autoRedefine/>
    <w:qFormat/>
    <w:uiPriority w:val="0"/>
    <w:rPr>
      <w:sz w:val="21"/>
      <w:szCs w:val="21"/>
    </w:rPr>
  </w:style>
  <w:style w:type="character" w:styleId="48">
    <w:name w:val="HTML Sample"/>
    <w:basedOn w:val="42"/>
    <w:qFormat/>
    <w:uiPriority w:val="0"/>
    <w:rPr>
      <w:rFonts w:ascii="Courier New" w:hAnsi="Courier New"/>
    </w:rPr>
  </w:style>
  <w:style w:type="paragraph" w:customStyle="1" w:styleId="49">
    <w:name w:val="样式 正文首行缩进 2 + 首行缩进:  2 字符"/>
    <w:autoRedefine/>
    <w:qFormat/>
    <w:uiPriority w:val="0"/>
    <w:pPr>
      <w:widowControl w:val="0"/>
      <w:spacing w:after="120"/>
      <w:ind w:left="200" w:leftChars="200" w:firstLine="357" w:firstLineChars="170"/>
      <w:jc w:val="both"/>
    </w:pPr>
    <w:rPr>
      <w:rFonts w:ascii="Calibri" w:hAnsi="Calibri" w:eastAsia="宋体" w:cs="Arial"/>
      <w:kern w:val="2"/>
      <w:sz w:val="21"/>
      <w:lang w:val="en-US" w:eastAsia="zh-CN" w:bidi="ar-SA"/>
    </w:rPr>
  </w:style>
  <w:style w:type="paragraph" w:customStyle="1" w:styleId="50">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标题 1 字符"/>
    <w:link w:val="3"/>
    <w:autoRedefine/>
    <w:qFormat/>
    <w:uiPriority w:val="9"/>
    <w:rPr>
      <w:rFonts w:ascii="仿宋_GB2312" w:hAnsi="Times New Roman" w:eastAsia="仿宋_GB2312" w:cs="Times New Roman"/>
      <w:sz w:val="28"/>
      <w:szCs w:val="20"/>
    </w:rPr>
  </w:style>
  <w:style w:type="character" w:customStyle="1" w:styleId="52">
    <w:name w:val="标题 2 字符"/>
    <w:link w:val="2"/>
    <w:autoRedefine/>
    <w:qFormat/>
    <w:uiPriority w:val="9"/>
    <w:rPr>
      <w:rFonts w:ascii="Times New Roman" w:hAnsi="Times New Roman" w:eastAsia="宋体" w:cs="Times New Roman"/>
      <w:b/>
      <w:sz w:val="24"/>
      <w:szCs w:val="24"/>
    </w:rPr>
  </w:style>
  <w:style w:type="character" w:customStyle="1" w:styleId="53">
    <w:name w:val="标题 3 字符"/>
    <w:link w:val="4"/>
    <w:autoRedefine/>
    <w:qFormat/>
    <w:uiPriority w:val="9"/>
    <w:rPr>
      <w:rFonts w:ascii="Times New Roman" w:hAnsi="Times New Roman" w:eastAsia="宋体" w:cs="Times New Roman"/>
      <w:b/>
      <w:bCs/>
      <w:sz w:val="28"/>
      <w:szCs w:val="24"/>
    </w:rPr>
  </w:style>
  <w:style w:type="character" w:customStyle="1" w:styleId="54">
    <w:name w:val="标题 4 字符"/>
    <w:link w:val="5"/>
    <w:autoRedefine/>
    <w:qFormat/>
    <w:uiPriority w:val="9"/>
    <w:rPr>
      <w:rFonts w:ascii="Times New Roman" w:hAnsi="Times New Roman" w:eastAsia="宋体" w:cs="Times New Roman"/>
      <w:b/>
      <w:color w:val="000000"/>
      <w:sz w:val="28"/>
      <w:szCs w:val="24"/>
      <w:u w:val="single"/>
    </w:rPr>
  </w:style>
  <w:style w:type="character" w:customStyle="1" w:styleId="55">
    <w:name w:val="正文缩进 字符"/>
    <w:link w:val="6"/>
    <w:autoRedefine/>
    <w:qFormat/>
    <w:uiPriority w:val="0"/>
    <w:rPr>
      <w:rFonts w:eastAsia="宋体"/>
    </w:rPr>
  </w:style>
  <w:style w:type="character" w:customStyle="1" w:styleId="56">
    <w:name w:val="标题 5 字符"/>
    <w:link w:val="8"/>
    <w:autoRedefine/>
    <w:qFormat/>
    <w:uiPriority w:val="0"/>
    <w:rPr>
      <w:rFonts w:ascii="Times New Roman" w:hAnsi="Times New Roman" w:eastAsia="宋体" w:cs="Times New Roman"/>
      <w:b/>
      <w:bCs/>
      <w:sz w:val="28"/>
      <w:szCs w:val="28"/>
    </w:rPr>
  </w:style>
  <w:style w:type="character" w:customStyle="1" w:styleId="57">
    <w:name w:val="标题 6 字符"/>
    <w:link w:val="9"/>
    <w:autoRedefine/>
    <w:qFormat/>
    <w:uiPriority w:val="0"/>
    <w:rPr>
      <w:rFonts w:ascii="Arial" w:hAnsi="Arial" w:eastAsia="黑体" w:cs="Times New Roman"/>
      <w:b/>
      <w:bCs/>
      <w:sz w:val="24"/>
      <w:szCs w:val="24"/>
    </w:rPr>
  </w:style>
  <w:style w:type="character" w:customStyle="1" w:styleId="58">
    <w:name w:val="标题 7 字符"/>
    <w:link w:val="10"/>
    <w:autoRedefine/>
    <w:qFormat/>
    <w:uiPriority w:val="0"/>
    <w:rPr>
      <w:rFonts w:ascii="宋体" w:hAnsi="宋体" w:eastAsia="宋体" w:cs="Times New Roman"/>
      <w:b/>
      <w:sz w:val="28"/>
      <w:szCs w:val="24"/>
    </w:rPr>
  </w:style>
  <w:style w:type="character" w:customStyle="1" w:styleId="59">
    <w:name w:val="标题 8 字符"/>
    <w:link w:val="11"/>
    <w:autoRedefine/>
    <w:qFormat/>
    <w:uiPriority w:val="0"/>
    <w:rPr>
      <w:rFonts w:ascii="Times New Roman" w:hAnsi="Times New Roman" w:eastAsia="宋体" w:cs="Times New Roman"/>
      <w:b/>
      <w:sz w:val="28"/>
      <w:szCs w:val="24"/>
      <w:u w:val="single"/>
    </w:rPr>
  </w:style>
  <w:style w:type="character" w:customStyle="1" w:styleId="60">
    <w:name w:val="标题 9 字符"/>
    <w:link w:val="12"/>
    <w:autoRedefine/>
    <w:qFormat/>
    <w:uiPriority w:val="0"/>
    <w:rPr>
      <w:sz w:val="24"/>
    </w:rPr>
  </w:style>
  <w:style w:type="character" w:customStyle="1" w:styleId="61">
    <w:name w:val="文档结构图 字符"/>
    <w:link w:val="14"/>
    <w:qFormat/>
    <w:uiPriority w:val="0"/>
    <w:rPr>
      <w:rFonts w:ascii="Times New Roman" w:hAnsi="Times New Roman" w:eastAsia="宋体" w:cs="Times New Roman"/>
      <w:szCs w:val="20"/>
      <w:shd w:val="clear" w:color="auto" w:fill="000080"/>
    </w:rPr>
  </w:style>
  <w:style w:type="character" w:customStyle="1" w:styleId="62">
    <w:name w:val="批注文字 字符"/>
    <w:link w:val="15"/>
    <w:qFormat/>
    <w:uiPriority w:val="0"/>
    <w:rPr>
      <w:rFonts w:ascii="Times New Roman" w:hAnsi="Times New Roman" w:eastAsia="宋体" w:cs="Times New Roman"/>
      <w:szCs w:val="20"/>
    </w:rPr>
  </w:style>
  <w:style w:type="character" w:customStyle="1" w:styleId="63">
    <w:name w:val="正文文本 3 字符"/>
    <w:link w:val="16"/>
    <w:autoRedefine/>
    <w:qFormat/>
    <w:uiPriority w:val="0"/>
    <w:rPr>
      <w:rFonts w:ascii="Times New Roman" w:hAnsi="Times New Roman" w:eastAsia="宋体" w:cs="Times New Roman"/>
      <w:sz w:val="16"/>
      <w:szCs w:val="16"/>
    </w:rPr>
  </w:style>
  <w:style w:type="character" w:customStyle="1" w:styleId="64">
    <w:name w:val="正文文本 字符"/>
    <w:link w:val="17"/>
    <w:autoRedefine/>
    <w:qFormat/>
    <w:uiPriority w:val="0"/>
    <w:rPr>
      <w:rFonts w:ascii="Times New Roman" w:hAnsi="Times New Roman" w:eastAsia="宋体" w:cs="Times New Roman"/>
      <w:szCs w:val="20"/>
    </w:rPr>
  </w:style>
  <w:style w:type="character" w:customStyle="1" w:styleId="65">
    <w:name w:val="正文文本缩进 字符"/>
    <w:link w:val="18"/>
    <w:qFormat/>
    <w:uiPriority w:val="0"/>
    <w:rPr>
      <w:rFonts w:ascii="仿宋_GB2312" w:hAnsi="Times New Roman" w:eastAsia="仿宋_GB2312" w:cs="Times New Roman"/>
      <w:sz w:val="28"/>
      <w:szCs w:val="20"/>
    </w:rPr>
  </w:style>
  <w:style w:type="character" w:customStyle="1" w:styleId="66">
    <w:name w:val="纯文本 字符"/>
    <w:link w:val="23"/>
    <w:autoRedefine/>
    <w:qFormat/>
    <w:uiPriority w:val="0"/>
    <w:rPr>
      <w:rFonts w:ascii="宋体" w:hAnsi="宋体" w:eastAsia="宋体" w:cs="Times New Roman"/>
      <w:szCs w:val="20"/>
    </w:rPr>
  </w:style>
  <w:style w:type="character" w:customStyle="1" w:styleId="67">
    <w:name w:val="日期 字符"/>
    <w:link w:val="25"/>
    <w:autoRedefine/>
    <w:qFormat/>
    <w:uiPriority w:val="0"/>
    <w:rPr>
      <w:rFonts w:ascii="Times New Roman" w:hAnsi="Times New Roman" w:eastAsia="宋体" w:cs="Times New Roman"/>
      <w:color w:val="000000"/>
      <w:kern w:val="0"/>
      <w:sz w:val="30"/>
      <w:szCs w:val="20"/>
    </w:rPr>
  </w:style>
  <w:style w:type="character" w:customStyle="1" w:styleId="68">
    <w:name w:val="正文文本缩进 2 字符"/>
    <w:link w:val="26"/>
    <w:autoRedefine/>
    <w:qFormat/>
    <w:uiPriority w:val="0"/>
    <w:rPr>
      <w:rFonts w:ascii="仿宋_GB2312" w:hAnsi="Times New Roman" w:eastAsia="仿宋_GB2312" w:cs="Times New Roman"/>
      <w:sz w:val="28"/>
      <w:szCs w:val="20"/>
    </w:rPr>
  </w:style>
  <w:style w:type="character" w:customStyle="1" w:styleId="69">
    <w:name w:val="批注框文本 字符"/>
    <w:link w:val="27"/>
    <w:autoRedefine/>
    <w:qFormat/>
    <w:uiPriority w:val="99"/>
    <w:rPr>
      <w:rFonts w:ascii="Times New Roman" w:hAnsi="Times New Roman" w:eastAsia="宋体" w:cs="Times New Roman"/>
      <w:sz w:val="18"/>
      <w:szCs w:val="18"/>
    </w:rPr>
  </w:style>
  <w:style w:type="character" w:customStyle="1" w:styleId="70">
    <w:name w:val="页脚 字符"/>
    <w:link w:val="28"/>
    <w:autoRedefine/>
    <w:qFormat/>
    <w:uiPriority w:val="99"/>
    <w:rPr>
      <w:rFonts w:ascii="Times New Roman" w:hAnsi="Times New Roman" w:eastAsia="宋体" w:cs="Times New Roman"/>
      <w:sz w:val="18"/>
      <w:szCs w:val="18"/>
    </w:rPr>
  </w:style>
  <w:style w:type="character" w:customStyle="1" w:styleId="71">
    <w:name w:val="页眉 字符"/>
    <w:link w:val="29"/>
    <w:autoRedefine/>
    <w:qFormat/>
    <w:uiPriority w:val="99"/>
    <w:rPr>
      <w:rFonts w:eastAsia="宋体"/>
      <w:sz w:val="18"/>
    </w:rPr>
  </w:style>
  <w:style w:type="character" w:customStyle="1" w:styleId="72">
    <w:name w:val="脚注文本 字符"/>
    <w:link w:val="32"/>
    <w:autoRedefine/>
    <w:qFormat/>
    <w:uiPriority w:val="0"/>
    <w:rPr>
      <w:kern w:val="2"/>
      <w:sz w:val="18"/>
      <w:szCs w:val="18"/>
    </w:rPr>
  </w:style>
  <w:style w:type="character" w:customStyle="1" w:styleId="73">
    <w:name w:val="标题 字符"/>
    <w:link w:val="37"/>
    <w:autoRedefine/>
    <w:qFormat/>
    <w:uiPriority w:val="10"/>
    <w:rPr>
      <w:rFonts w:ascii="Cambria" w:hAnsi="Cambria" w:eastAsia="宋体" w:cs="Times New Roman"/>
      <w:b/>
      <w:bCs/>
      <w:sz w:val="32"/>
      <w:szCs w:val="32"/>
    </w:rPr>
  </w:style>
  <w:style w:type="character" w:customStyle="1" w:styleId="74">
    <w:name w:val="批注主题 字符"/>
    <w:link w:val="38"/>
    <w:autoRedefine/>
    <w:qFormat/>
    <w:uiPriority w:val="0"/>
    <w:rPr>
      <w:rFonts w:ascii="Times New Roman" w:hAnsi="Times New Roman" w:eastAsia="宋体" w:cs="Times New Roman"/>
      <w:b/>
      <w:bCs/>
      <w:szCs w:val="20"/>
    </w:rPr>
  </w:style>
  <w:style w:type="character" w:customStyle="1" w:styleId="75">
    <w:name w:val="正文首行缩进 字符"/>
    <w:link w:val="39"/>
    <w:autoRedefine/>
    <w:qFormat/>
    <w:uiPriority w:val="0"/>
    <w:rPr>
      <w:kern w:val="2"/>
      <w:sz w:val="21"/>
      <w:szCs w:val="22"/>
    </w:rPr>
  </w:style>
  <w:style w:type="paragraph" w:customStyle="1" w:styleId="76">
    <w:name w:val="Heading4"/>
    <w:basedOn w:val="1"/>
    <w:next w:val="1"/>
    <w:autoRedefine/>
    <w:qFormat/>
    <w:uiPriority w:val="0"/>
    <w:pPr>
      <w:keepNext/>
      <w:keepLines/>
      <w:spacing w:before="280" w:after="290" w:line="376" w:lineRule="atLeast"/>
      <w:ind w:left="-120"/>
      <w:jc w:val="left"/>
      <w:textAlignment w:val="baseline"/>
    </w:pPr>
    <w:rPr>
      <w:rFonts w:ascii="Arial" w:hAnsi="Arial" w:eastAsia="黑体"/>
      <w:b/>
      <w:bCs/>
      <w:kern w:val="0"/>
      <w:sz w:val="28"/>
      <w:szCs w:val="28"/>
    </w:rPr>
  </w:style>
  <w:style w:type="character" w:customStyle="1" w:styleId="77">
    <w:name w:val="页眉 Char1"/>
    <w:autoRedefine/>
    <w:qFormat/>
    <w:uiPriority w:val="99"/>
    <w:rPr>
      <w:rFonts w:ascii="Times New Roman" w:hAnsi="Times New Roman" w:eastAsia="宋体" w:cs="Times New Roman"/>
      <w:sz w:val="18"/>
      <w:szCs w:val="18"/>
    </w:rPr>
  </w:style>
  <w:style w:type="character" w:customStyle="1" w:styleId="78">
    <w:name w:val="THTF-BS-缩进两字正文 Char"/>
    <w:link w:val="79"/>
    <w:qFormat/>
    <w:uiPriority w:val="0"/>
    <w:rPr>
      <w:rFonts w:ascii="宋体"/>
      <w:sz w:val="24"/>
      <w:szCs w:val="24"/>
    </w:rPr>
  </w:style>
  <w:style w:type="paragraph" w:customStyle="1" w:styleId="79">
    <w:name w:val="THTF-BS-缩进两字正文"/>
    <w:basedOn w:val="1"/>
    <w:link w:val="78"/>
    <w:autoRedefine/>
    <w:qFormat/>
    <w:uiPriority w:val="0"/>
    <w:pPr>
      <w:wordWrap w:val="0"/>
      <w:topLinePunct/>
      <w:spacing w:line="360" w:lineRule="auto"/>
      <w:jc w:val="left"/>
    </w:pPr>
    <w:rPr>
      <w:rFonts w:ascii="宋体"/>
      <w:kern w:val="0"/>
      <w:sz w:val="24"/>
      <w:szCs w:val="24"/>
    </w:rPr>
  </w:style>
  <w:style w:type="character" w:customStyle="1" w:styleId="80">
    <w:name w:val="font31"/>
    <w:autoRedefine/>
    <w:qFormat/>
    <w:uiPriority w:val="0"/>
    <w:rPr>
      <w:rFonts w:hint="eastAsia" w:ascii="宋体" w:hAnsi="宋体" w:eastAsia="宋体" w:cs="宋体"/>
      <w:color w:val="000000"/>
      <w:sz w:val="20"/>
      <w:szCs w:val="20"/>
      <w:u w:val="none"/>
    </w:rPr>
  </w:style>
  <w:style w:type="character" w:customStyle="1" w:styleId="81">
    <w:name w:val="sub"/>
    <w:autoRedefine/>
    <w:qFormat/>
    <w:uiPriority w:val="0"/>
  </w:style>
  <w:style w:type="character" w:customStyle="1" w:styleId="82">
    <w:name w:val="标题 2 Char1"/>
    <w:qFormat/>
    <w:uiPriority w:val="0"/>
    <w:rPr>
      <w:rFonts w:ascii="黑体" w:hAnsi="Arial" w:eastAsia="黑体"/>
      <w:b/>
      <w:kern w:val="2"/>
      <w:sz w:val="28"/>
      <w:lang w:val="en-US" w:eastAsia="zh-CN"/>
    </w:rPr>
  </w:style>
  <w:style w:type="character" w:customStyle="1" w:styleId="83">
    <w:name w:val="Default Text Char Char"/>
    <w:autoRedefine/>
    <w:qFormat/>
    <w:uiPriority w:val="0"/>
    <w:rPr>
      <w:color w:val="000000"/>
      <w:sz w:val="24"/>
      <w:szCs w:val="24"/>
      <w:lang w:val="en-US" w:eastAsia="zh-CN" w:bidi="ar-SA"/>
    </w:rPr>
  </w:style>
  <w:style w:type="character" w:customStyle="1" w:styleId="84">
    <w:name w:val="一级缩进 Char"/>
    <w:link w:val="85"/>
    <w:autoRedefine/>
    <w:qFormat/>
    <w:uiPriority w:val="0"/>
    <w:rPr>
      <w:rFonts w:eastAsia="仿宋_GB2312"/>
      <w:kern w:val="2"/>
      <w:sz w:val="24"/>
      <w:szCs w:val="24"/>
      <w:lang w:val="en-US" w:eastAsia="zh-CN" w:bidi="ar-SA"/>
    </w:rPr>
  </w:style>
  <w:style w:type="paragraph" w:customStyle="1" w:styleId="85">
    <w:name w:val="一级缩进"/>
    <w:link w:val="84"/>
    <w:autoRedefine/>
    <w:qFormat/>
    <w:uiPriority w:val="0"/>
    <w:pPr>
      <w:tabs>
        <w:tab w:val="left" w:pos="720"/>
      </w:tabs>
      <w:adjustRightInd w:val="0"/>
      <w:snapToGrid w:val="0"/>
      <w:spacing w:before="120" w:after="120" w:line="360" w:lineRule="auto"/>
      <w:ind w:left="970" w:hanging="250"/>
      <w:jc w:val="both"/>
    </w:pPr>
    <w:rPr>
      <w:rFonts w:ascii="Times New Roman" w:hAnsi="Times New Roman" w:eastAsia="仿宋_GB2312" w:cs="Times New Roman"/>
      <w:kern w:val="2"/>
      <w:sz w:val="24"/>
      <w:szCs w:val="24"/>
      <w:lang w:val="en-US" w:eastAsia="zh-CN" w:bidi="ar-SA"/>
    </w:rPr>
  </w:style>
  <w:style w:type="character" w:customStyle="1" w:styleId="86">
    <w:name w:val="样式1 Char"/>
    <w:link w:val="87"/>
    <w:qFormat/>
    <w:uiPriority w:val="0"/>
    <w:rPr>
      <w:rFonts w:ascii="宋体"/>
      <w:b/>
      <w:color w:val="0000FF"/>
      <w:spacing w:val="4"/>
      <w:sz w:val="24"/>
    </w:rPr>
  </w:style>
  <w:style w:type="paragraph" w:customStyle="1" w:styleId="87">
    <w:name w:val="样式1"/>
    <w:basedOn w:val="1"/>
    <w:link w:val="86"/>
    <w:autoRedefine/>
    <w:qFormat/>
    <w:uiPriority w:val="0"/>
    <w:pPr>
      <w:tabs>
        <w:tab w:val="left" w:pos="425"/>
      </w:tabs>
      <w:adjustRightInd w:val="0"/>
      <w:spacing w:line="480" w:lineRule="exact"/>
      <w:ind w:left="330" w:hanging="330"/>
      <w:textAlignment w:val="baseline"/>
    </w:pPr>
    <w:rPr>
      <w:rFonts w:ascii="宋体"/>
      <w:b/>
      <w:color w:val="0000FF"/>
      <w:spacing w:val="4"/>
      <w:kern w:val="0"/>
      <w:sz w:val="24"/>
    </w:rPr>
  </w:style>
  <w:style w:type="character" w:customStyle="1" w:styleId="88">
    <w:name w:val="Default Text Char"/>
    <w:link w:val="89"/>
    <w:qFormat/>
    <w:uiPriority w:val="0"/>
    <w:rPr>
      <w:color w:val="000000"/>
      <w:kern w:val="2"/>
      <w:sz w:val="24"/>
      <w:szCs w:val="24"/>
      <w:lang w:val="en-US" w:eastAsia="zh-CN" w:bidi="ar-SA"/>
    </w:rPr>
  </w:style>
  <w:style w:type="paragraph" w:customStyle="1" w:styleId="89">
    <w:name w:val="Default Text"/>
    <w:link w:val="88"/>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90">
    <w:name w:val="列出段落 Char"/>
    <w:link w:val="91"/>
    <w:autoRedefine/>
    <w:qFormat/>
    <w:uiPriority w:val="0"/>
    <w:rPr>
      <w:rFonts w:eastAsia="宋体"/>
      <w:szCs w:val="24"/>
    </w:rPr>
  </w:style>
  <w:style w:type="paragraph" w:customStyle="1" w:styleId="91">
    <w:name w:val="列出段落1"/>
    <w:basedOn w:val="1"/>
    <w:link w:val="90"/>
    <w:autoRedefine/>
    <w:qFormat/>
    <w:uiPriority w:val="0"/>
    <w:pPr>
      <w:ind w:firstLine="420" w:firstLineChars="200"/>
    </w:pPr>
    <w:rPr>
      <w:kern w:val="0"/>
      <w:sz w:val="20"/>
      <w:szCs w:val="24"/>
    </w:rPr>
  </w:style>
  <w:style w:type="character" w:customStyle="1" w:styleId="92">
    <w:name w:val="二级大纲 Char Char"/>
    <w:link w:val="93"/>
    <w:autoRedefine/>
    <w:qFormat/>
    <w:uiPriority w:val="0"/>
    <w:rPr>
      <w:rFonts w:ascii="黑体" w:hAnsi="黑体" w:eastAsia="黑体"/>
      <w:b/>
      <w:bCs/>
      <w:sz w:val="30"/>
      <w:szCs w:val="30"/>
    </w:rPr>
  </w:style>
  <w:style w:type="paragraph" w:customStyle="1" w:styleId="93">
    <w:name w:val="二级大纲"/>
    <w:basedOn w:val="2"/>
    <w:link w:val="92"/>
    <w:autoRedefine/>
    <w:qFormat/>
    <w:uiPriority w:val="0"/>
    <w:pPr>
      <w:keepLines/>
      <w:tabs>
        <w:tab w:val="clear" w:pos="420"/>
      </w:tabs>
      <w:spacing w:before="260" w:after="260" w:line="416" w:lineRule="auto"/>
      <w:ind w:left="747" w:hanging="567"/>
    </w:pPr>
    <w:rPr>
      <w:rFonts w:ascii="黑体" w:hAnsi="黑体" w:eastAsia="黑体"/>
      <w:bCs/>
      <w:sz w:val="30"/>
      <w:szCs w:val="30"/>
    </w:rPr>
  </w:style>
  <w:style w:type="character" w:customStyle="1" w:styleId="94">
    <w:name w:val="font01"/>
    <w:autoRedefine/>
    <w:qFormat/>
    <w:uiPriority w:val="0"/>
    <w:rPr>
      <w:rFonts w:hint="default" w:ascii="Calibri" w:hAnsi="Calibri" w:cs="Calibri"/>
      <w:color w:val="000000"/>
      <w:sz w:val="21"/>
      <w:szCs w:val="21"/>
      <w:u w:val="none"/>
    </w:rPr>
  </w:style>
  <w:style w:type="character" w:customStyle="1" w:styleId="95">
    <w:name w:val="A5"/>
    <w:autoRedefine/>
    <w:qFormat/>
    <w:uiPriority w:val="0"/>
    <w:rPr>
      <w:rFonts w:cs="DFHeiW9-GB"/>
      <w:color w:val="000000"/>
      <w:sz w:val="22"/>
      <w:szCs w:val="22"/>
    </w:rPr>
  </w:style>
  <w:style w:type="character" w:customStyle="1" w:styleId="96">
    <w:name w:val="SF正文 Char"/>
    <w:link w:val="97"/>
    <w:autoRedefine/>
    <w:qFormat/>
    <w:uiPriority w:val="0"/>
    <w:rPr>
      <w:rFonts w:ascii="Century Gothic" w:hAnsi="Century Gothic" w:eastAsia="宋体"/>
      <w:sz w:val="24"/>
      <w:szCs w:val="24"/>
    </w:rPr>
  </w:style>
  <w:style w:type="paragraph" w:customStyle="1" w:styleId="97">
    <w:name w:val="SF正文"/>
    <w:basedOn w:val="1"/>
    <w:link w:val="96"/>
    <w:autoRedefine/>
    <w:qFormat/>
    <w:uiPriority w:val="0"/>
    <w:pPr>
      <w:spacing w:line="460" w:lineRule="exact"/>
      <w:ind w:firstLine="200" w:firstLineChars="200"/>
    </w:pPr>
    <w:rPr>
      <w:rFonts w:ascii="Century Gothic" w:hAnsi="Century Gothic"/>
      <w:kern w:val="0"/>
      <w:sz w:val="24"/>
      <w:szCs w:val="24"/>
    </w:rPr>
  </w:style>
  <w:style w:type="character" w:customStyle="1" w:styleId="98">
    <w:name w:val="书籍标题1"/>
    <w:autoRedefine/>
    <w:qFormat/>
    <w:uiPriority w:val="0"/>
    <w:rPr>
      <w:b/>
      <w:bCs/>
      <w:smallCaps/>
      <w:spacing w:val="5"/>
    </w:rPr>
  </w:style>
  <w:style w:type="character" w:customStyle="1" w:styleId="99">
    <w:name w:val="正文格式 Char"/>
    <w:link w:val="100"/>
    <w:autoRedefine/>
    <w:qFormat/>
    <w:uiPriority w:val="0"/>
    <w:rPr>
      <w:sz w:val="24"/>
    </w:rPr>
  </w:style>
  <w:style w:type="paragraph" w:customStyle="1" w:styleId="100">
    <w:name w:val="正文格式"/>
    <w:basedOn w:val="1"/>
    <w:link w:val="99"/>
    <w:autoRedefine/>
    <w:qFormat/>
    <w:uiPriority w:val="0"/>
    <w:pPr>
      <w:widowControl/>
      <w:adjustRightInd w:val="0"/>
      <w:snapToGrid w:val="0"/>
      <w:spacing w:line="360" w:lineRule="atLeast"/>
      <w:ind w:firstLine="482"/>
      <w:textAlignment w:val="baseline"/>
    </w:pPr>
    <w:rPr>
      <w:kern w:val="0"/>
      <w:sz w:val="24"/>
    </w:rPr>
  </w:style>
  <w:style w:type="character" w:customStyle="1" w:styleId="101">
    <w:name w:val="标题 Char1"/>
    <w:autoRedefine/>
    <w:qFormat/>
    <w:uiPriority w:val="0"/>
    <w:rPr>
      <w:rFonts w:ascii="Cambria" w:hAnsi="Cambria" w:cs="Times New Roman"/>
      <w:b/>
      <w:bCs/>
      <w:kern w:val="2"/>
      <w:sz w:val="32"/>
      <w:szCs w:val="32"/>
    </w:rPr>
  </w:style>
  <w:style w:type="character" w:customStyle="1" w:styleId="102">
    <w:name w:val="正文首行缩进 Char1"/>
    <w:autoRedefine/>
    <w:qFormat/>
    <w:uiPriority w:val="99"/>
    <w:rPr>
      <w:rFonts w:ascii="Times New Roman" w:hAnsi="Times New Roman" w:eastAsia="宋体" w:cs="Times New Roman"/>
      <w:kern w:val="2"/>
      <w:sz w:val="21"/>
      <w:szCs w:val="20"/>
    </w:rPr>
  </w:style>
  <w:style w:type="character" w:customStyle="1" w:styleId="103">
    <w:name w:val="样式 正文格式 + Tahoma 行距: 多倍行距 1.25 字行 Char"/>
    <w:link w:val="104"/>
    <w:autoRedefine/>
    <w:qFormat/>
    <w:uiPriority w:val="0"/>
    <w:rPr>
      <w:rFonts w:cs="宋体"/>
      <w:kern w:val="2"/>
      <w:sz w:val="24"/>
    </w:rPr>
  </w:style>
  <w:style w:type="paragraph" w:customStyle="1" w:styleId="104">
    <w:name w:val="样式 正文格式 + Tahoma 行距: 多倍行距 1.25 字行"/>
    <w:basedOn w:val="1"/>
    <w:link w:val="103"/>
    <w:autoRedefine/>
    <w:qFormat/>
    <w:uiPriority w:val="0"/>
    <w:pPr>
      <w:widowControl/>
      <w:adjustRightInd w:val="0"/>
      <w:snapToGrid w:val="0"/>
      <w:spacing w:line="300" w:lineRule="auto"/>
      <w:ind w:firstLine="482"/>
      <w:jc w:val="left"/>
      <w:textAlignment w:val="baseline"/>
    </w:pPr>
    <w:rPr>
      <w:sz w:val="24"/>
    </w:rPr>
  </w:style>
  <w:style w:type="character" w:customStyle="1" w:styleId="105">
    <w:name w:val="bookmark-item"/>
    <w:autoRedefine/>
    <w:qFormat/>
    <w:uiPriority w:val="0"/>
  </w:style>
  <w:style w:type="character" w:customStyle="1" w:styleId="106">
    <w:name w:val="outputtext"/>
    <w:autoRedefine/>
    <w:qFormat/>
    <w:uiPriority w:val="0"/>
  </w:style>
  <w:style w:type="character" w:customStyle="1" w:styleId="107">
    <w:name w:val="font51"/>
    <w:autoRedefine/>
    <w:qFormat/>
    <w:uiPriority w:val="0"/>
    <w:rPr>
      <w:rFonts w:hint="eastAsia" w:ascii="宋体" w:hAnsi="宋体" w:eastAsia="宋体" w:cs="宋体"/>
      <w:b/>
      <w:color w:val="000000"/>
      <w:sz w:val="21"/>
      <w:szCs w:val="21"/>
      <w:u w:val="none"/>
    </w:rPr>
  </w:style>
  <w:style w:type="character" w:customStyle="1" w:styleId="108">
    <w:name w:val="正文缩进 Char"/>
    <w:autoRedefine/>
    <w:qFormat/>
    <w:uiPriority w:val="0"/>
    <w:rPr>
      <w:rFonts w:eastAsia="宋体"/>
    </w:rPr>
  </w:style>
  <w:style w:type="character" w:customStyle="1" w:styleId="109">
    <w:name w:val="未处理的提及"/>
    <w:qFormat/>
    <w:uiPriority w:val="99"/>
    <w:rPr>
      <w:color w:val="605E5C"/>
      <w:shd w:val="clear" w:color="auto" w:fill="E1DFDD"/>
    </w:rPr>
  </w:style>
  <w:style w:type="character" w:customStyle="1" w:styleId="110">
    <w:name w:val="自定义正文 Char Char"/>
    <w:link w:val="111"/>
    <w:autoRedefine/>
    <w:qFormat/>
    <w:uiPriority w:val="0"/>
    <w:rPr>
      <w:rFonts w:ascii="Times New Roman" w:hAnsi="Times New Roman"/>
      <w:kern w:val="2"/>
      <w:sz w:val="24"/>
      <w:szCs w:val="24"/>
    </w:rPr>
  </w:style>
  <w:style w:type="paragraph" w:customStyle="1" w:styleId="111">
    <w:name w:val="自定义正文"/>
    <w:basedOn w:val="1"/>
    <w:link w:val="110"/>
    <w:autoRedefine/>
    <w:qFormat/>
    <w:uiPriority w:val="0"/>
    <w:pPr>
      <w:spacing w:afterLines="50" w:line="360" w:lineRule="auto"/>
      <w:ind w:firstLine="200" w:firstLineChars="200"/>
      <w:jc w:val="left"/>
    </w:pPr>
    <w:rPr>
      <w:sz w:val="24"/>
      <w:szCs w:val="24"/>
    </w:rPr>
  </w:style>
  <w:style w:type="character" w:customStyle="1" w:styleId="112">
    <w:name w:val="font61"/>
    <w:basedOn w:val="42"/>
    <w:qFormat/>
    <w:uiPriority w:val="0"/>
    <w:rPr>
      <w:rFonts w:hint="eastAsia" w:ascii="宋体" w:hAnsi="宋体" w:eastAsia="宋体" w:cs="宋体"/>
      <w:color w:val="000000"/>
      <w:sz w:val="21"/>
      <w:szCs w:val="21"/>
      <w:u w:val="none"/>
    </w:rPr>
  </w:style>
  <w:style w:type="character" w:customStyle="1" w:styleId="113">
    <w:name w:val="NormalCharacter"/>
    <w:qFormat/>
    <w:uiPriority w:val="0"/>
  </w:style>
  <w:style w:type="character" w:customStyle="1" w:styleId="114">
    <w:name w:val="三级大纲 Char Char"/>
    <w:link w:val="115"/>
    <w:autoRedefine/>
    <w:qFormat/>
    <w:uiPriority w:val="0"/>
    <w:rPr>
      <w:rFonts w:ascii="黑体" w:hAnsi="黑体" w:eastAsia="黑体"/>
      <w:b/>
      <w:bCs/>
      <w:sz w:val="28"/>
      <w:szCs w:val="28"/>
    </w:rPr>
  </w:style>
  <w:style w:type="paragraph" w:customStyle="1" w:styleId="115">
    <w:name w:val="三级大纲"/>
    <w:basedOn w:val="4"/>
    <w:link w:val="114"/>
    <w:qFormat/>
    <w:uiPriority w:val="0"/>
    <w:pPr>
      <w:keepLines/>
      <w:tabs>
        <w:tab w:val="clear" w:pos="468"/>
      </w:tabs>
      <w:spacing w:before="260" w:after="260" w:line="416" w:lineRule="auto"/>
      <w:ind w:left="709" w:hanging="709"/>
    </w:pPr>
    <w:rPr>
      <w:rFonts w:ascii="黑体" w:hAnsi="黑体" w:eastAsia="黑体"/>
      <w:szCs w:val="28"/>
    </w:rPr>
  </w:style>
  <w:style w:type="character" w:customStyle="1" w:styleId="116">
    <w:name w:val="脚注文本 Char1"/>
    <w:autoRedefine/>
    <w:qFormat/>
    <w:uiPriority w:val="99"/>
    <w:rPr>
      <w:kern w:val="2"/>
      <w:sz w:val="18"/>
      <w:szCs w:val="18"/>
    </w:rPr>
  </w:style>
  <w:style w:type="character" w:customStyle="1" w:styleId="117">
    <w:name w:val="UserStyle_25"/>
    <w:autoRedefine/>
    <w:qFormat/>
    <w:uiPriority w:val="0"/>
    <w:rPr>
      <w:rFonts w:eastAsia="宋体"/>
      <w:kern w:val="2"/>
      <w:sz w:val="24"/>
      <w:lang w:val="en-US" w:eastAsia="zh-CN" w:bidi="ar-SA"/>
    </w:rPr>
  </w:style>
  <w:style w:type="character" w:customStyle="1" w:styleId="118">
    <w:name w:val="批注框文本 Char1"/>
    <w:autoRedefine/>
    <w:qFormat/>
    <w:uiPriority w:val="99"/>
    <w:rPr>
      <w:kern w:val="2"/>
      <w:sz w:val="18"/>
      <w:szCs w:val="18"/>
    </w:rPr>
  </w:style>
  <w:style w:type="character" w:customStyle="1" w:styleId="119">
    <w:name w:val="链接"/>
    <w:autoRedefine/>
    <w:qFormat/>
    <w:uiPriority w:val="0"/>
    <w:rPr>
      <w:rFonts w:ascii="Times New Roman" w:eastAsia="宋体"/>
      <w:color w:val="0000FF"/>
      <w:sz w:val="21"/>
      <w:u w:val="single" w:color="0000FF"/>
      <w:vertAlign w:val="baseline"/>
      <w:lang w:val="en-US" w:eastAsia="zh-CN"/>
    </w:rPr>
  </w:style>
  <w:style w:type="character" w:customStyle="1" w:styleId="120">
    <w:name w:val="正文文本 Char1"/>
    <w:autoRedefine/>
    <w:qFormat/>
    <w:uiPriority w:val="0"/>
    <w:rPr>
      <w:kern w:val="2"/>
      <w:sz w:val="21"/>
    </w:rPr>
  </w:style>
  <w:style w:type="character" w:customStyle="1" w:styleId="121">
    <w:name w:val="apple-converted-space"/>
    <w:qFormat/>
    <w:uiPriority w:val="0"/>
  </w:style>
  <w:style w:type="character" w:customStyle="1" w:styleId="122">
    <w:name w:val="bg1"/>
    <w:autoRedefine/>
    <w:qFormat/>
    <w:uiPriority w:val="0"/>
    <w:rPr>
      <w:rFonts w:hint="default"/>
      <w:color w:val="000000"/>
      <w:sz w:val="23"/>
      <w:szCs w:val="23"/>
      <w:shd w:val="clear" w:color="auto" w:fill="EC0101"/>
    </w:rPr>
  </w:style>
  <w:style w:type="paragraph" w:customStyle="1" w:styleId="123">
    <w:name w:val="WPSOffice手动目录 1"/>
    <w:autoRedefine/>
    <w:qFormat/>
    <w:uiPriority w:val="0"/>
    <w:rPr>
      <w:rFonts w:ascii="Times New Roman" w:hAnsi="Times New Roman" w:eastAsia="宋体" w:cs="Times New Roman"/>
      <w:lang w:val="en-US" w:eastAsia="zh-CN" w:bidi="ar-SA"/>
    </w:rPr>
  </w:style>
  <w:style w:type="paragraph" w:customStyle="1" w:styleId="124">
    <w:name w:val="彩色列表 - 着色 11"/>
    <w:basedOn w:val="1"/>
    <w:autoRedefine/>
    <w:qFormat/>
    <w:uiPriority w:val="34"/>
    <w:pPr>
      <w:ind w:firstLine="420" w:firstLineChars="200"/>
    </w:pPr>
    <w:rPr>
      <w:szCs w:val="24"/>
    </w:rPr>
  </w:style>
  <w:style w:type="paragraph" w:customStyle="1" w:styleId="125">
    <w:name w:val="正文缩进1"/>
    <w:basedOn w:val="1"/>
    <w:autoRedefine/>
    <w:qFormat/>
    <w:uiPriority w:val="0"/>
    <w:pPr>
      <w:ind w:firstLine="420" w:firstLineChars="200"/>
    </w:pPr>
  </w:style>
  <w:style w:type="paragraph" w:customStyle="1" w:styleId="126">
    <w:name w:val="font10"/>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27">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128">
    <w:name w:val="_Style 3"/>
    <w:basedOn w:val="1"/>
    <w:autoRedefine/>
    <w:qFormat/>
    <w:uiPriority w:val="34"/>
    <w:pPr>
      <w:widowControl/>
      <w:ind w:firstLine="420" w:firstLineChars="200"/>
      <w:jc w:val="left"/>
    </w:pPr>
    <w:rPr>
      <w:rFonts w:ascii="Times" w:hAnsi="Times"/>
      <w:kern w:val="0"/>
      <w:sz w:val="20"/>
    </w:rPr>
  </w:style>
  <w:style w:type="paragraph" w:customStyle="1" w:styleId="1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30">
    <w:name w:val="*正文"/>
    <w:basedOn w:val="1"/>
    <w:autoRedefine/>
    <w:qFormat/>
    <w:uiPriority w:val="0"/>
    <w:pPr>
      <w:widowControl/>
      <w:spacing w:line="360" w:lineRule="auto"/>
      <w:jc w:val="left"/>
    </w:pPr>
    <w:rPr>
      <w:rFonts w:ascii="仿宋_GB2312" w:eastAsia="仿宋_GB2312"/>
      <w:sz w:val="24"/>
      <w:szCs w:val="28"/>
    </w:rPr>
  </w:style>
  <w:style w:type="paragraph" w:customStyle="1" w:styleId="131">
    <w:name w:val="THTF-BS-二级标题"/>
    <w:next w:val="79"/>
    <w:autoRedefine/>
    <w:qFormat/>
    <w:uiPriority w:val="0"/>
    <w:pPr>
      <w:widowControl w:val="0"/>
      <w:spacing w:line="360" w:lineRule="auto"/>
      <w:outlineLvl w:val="1"/>
    </w:pPr>
    <w:rPr>
      <w:rFonts w:ascii="宋体" w:hAnsi="Times New Roman" w:eastAsia="宋体" w:cs="Times New Roman"/>
      <w:b/>
      <w:kern w:val="2"/>
      <w:sz w:val="32"/>
      <w:szCs w:val="32"/>
      <w:lang w:val="en-US" w:eastAsia="zh-CN" w:bidi="ar-SA"/>
    </w:rPr>
  </w:style>
  <w:style w:type="paragraph" w:customStyle="1" w:styleId="132">
    <w:name w:val="正文_2_0"/>
    <w:qFormat/>
    <w:uiPriority w:val="0"/>
    <w:pPr>
      <w:widowControl w:val="0"/>
      <w:autoSpaceDE w:val="0"/>
      <w:autoSpaceDN w:val="0"/>
      <w:adjustRightInd w:val="0"/>
      <w:spacing w:line="360" w:lineRule="atLeast"/>
      <w:ind w:left="425" w:hanging="425"/>
      <w:textAlignment w:val="bottom"/>
    </w:pPr>
    <w:rPr>
      <w:rFonts w:ascii="Times New Roman" w:hAnsi="Times New Roman" w:eastAsia="Times New Roman" w:cs="Times New Roman"/>
      <w:position w:val="-6"/>
      <w:sz w:val="24"/>
      <w:szCs w:val="24"/>
      <w:lang w:val="en-US" w:eastAsia="zh-CN" w:bidi="ar-SA"/>
    </w:rPr>
  </w:style>
  <w:style w:type="paragraph" w:customStyle="1" w:styleId="133">
    <w:name w:val="默认段落字体 Para Char Char Char Char Char Char Char"/>
    <w:basedOn w:val="1"/>
    <w:qFormat/>
    <w:uiPriority w:val="0"/>
  </w:style>
  <w:style w:type="paragraph" w:customStyle="1" w:styleId="134">
    <w:name w:val="xl44"/>
    <w:basedOn w:val="1"/>
    <w:qFormat/>
    <w:uiPriority w:val="0"/>
    <w:pPr>
      <w:widowControl/>
      <w:spacing w:before="100" w:beforeAutospacing="1" w:after="100" w:afterAutospacing="1"/>
      <w:jc w:val="center"/>
      <w:textAlignment w:val="center"/>
    </w:pPr>
    <w:rPr>
      <w:rFonts w:ascii="宋体" w:hAnsi="宋体"/>
      <w:b/>
      <w:bCs/>
      <w:color w:val="0000FF"/>
      <w:kern w:val="0"/>
      <w:sz w:val="20"/>
    </w:rPr>
  </w:style>
  <w:style w:type="paragraph" w:customStyle="1" w:styleId="135">
    <w:name w:val="No Spacing_41cd8c3e-a436-449f-8a0d-18eef016dad0"/>
    <w:qFormat/>
    <w:uiPriority w:val="0"/>
    <w:pPr>
      <w:widowControl w:val="0"/>
    </w:pPr>
    <w:rPr>
      <w:rFonts w:ascii="Times New Roman" w:hAnsi="Times New Roman" w:eastAsia="宋体" w:cs="Times New Roman"/>
      <w:sz w:val="22"/>
      <w:szCs w:val="22"/>
      <w:lang w:val="en-US" w:eastAsia="en-US" w:bidi="ar-SA"/>
    </w:rPr>
  </w:style>
  <w:style w:type="paragraph" w:customStyle="1" w:styleId="13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37">
    <w:name w:val="列出段落2"/>
    <w:basedOn w:val="1"/>
    <w:qFormat/>
    <w:uiPriority w:val="34"/>
    <w:pPr>
      <w:ind w:firstLine="420"/>
    </w:pPr>
    <w:rPr>
      <w:szCs w:val="24"/>
    </w:rPr>
  </w:style>
  <w:style w:type="paragraph" w:customStyle="1" w:styleId="138">
    <w:name w:val="_Style 134"/>
    <w:autoRedefine/>
    <w:qFormat/>
    <w:uiPriority w:val="99"/>
    <w:rPr>
      <w:rFonts w:ascii="Times New Roman" w:hAnsi="Times New Roman" w:eastAsia="宋体" w:cs="Times New Roman"/>
      <w:kern w:val="2"/>
      <w:sz w:val="21"/>
      <w:lang w:val="en-US" w:eastAsia="zh-CN" w:bidi="ar-SA"/>
    </w:rPr>
  </w:style>
  <w:style w:type="paragraph" w:customStyle="1" w:styleId="139">
    <w:name w:val="TOC 标题1"/>
    <w:basedOn w:val="3"/>
    <w:next w:val="1"/>
    <w:autoRedefine/>
    <w:qFormat/>
    <w:uiPriority w:val="39"/>
    <w:pPr>
      <w:keepLines/>
      <w:widowControl/>
      <w:spacing w:before="480" w:line="276" w:lineRule="auto"/>
      <w:jc w:val="left"/>
      <w:outlineLvl w:val="9"/>
    </w:pPr>
    <w:rPr>
      <w:rFonts w:ascii="Cambria" w:hAnsi="Cambria" w:eastAsia="宋体"/>
      <w:b/>
      <w:bCs/>
      <w:color w:val="365F91"/>
      <w:szCs w:val="28"/>
    </w:rPr>
  </w:style>
  <w:style w:type="paragraph" w:customStyle="1" w:styleId="140">
    <w:name w:val="Normal_0"/>
    <w:qFormat/>
    <w:uiPriority w:val="0"/>
    <w:pPr>
      <w:widowControl w:val="0"/>
      <w:autoSpaceDE w:val="0"/>
      <w:autoSpaceDN w:val="0"/>
      <w:adjustRightInd w:val="0"/>
      <w:spacing w:line="360" w:lineRule="atLeast"/>
      <w:ind w:left="425" w:hanging="425"/>
      <w:textAlignment w:val="bottom"/>
    </w:pPr>
    <w:rPr>
      <w:rFonts w:ascii="宋体" w:hAnsi="Times New Roman" w:eastAsia="Times New Roman" w:cs="Times New Roman"/>
      <w:position w:val="-6"/>
      <w:sz w:val="24"/>
      <w:szCs w:val="24"/>
      <w:lang w:val="en-US" w:eastAsia="zh-CN" w:bidi="ar-SA"/>
    </w:rPr>
  </w:style>
  <w:style w:type="paragraph" w:customStyle="1" w:styleId="141">
    <w:name w:val="Normal_710fe4ab-e00e-4e25-9ee7-8c733dde7b28"/>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2">
    <w:name w:val="首行缩进"/>
    <w:autoRedefine/>
    <w:qFormat/>
    <w:uiPriority w:val="0"/>
    <w:pPr>
      <w:widowControl w:val="0"/>
      <w:spacing w:line="360" w:lineRule="auto"/>
      <w:ind w:firstLine="480" w:firstLineChars="200"/>
      <w:jc w:val="both"/>
    </w:pPr>
    <w:rPr>
      <w:rFonts w:ascii="Calibri" w:hAnsi="Calibri" w:eastAsia="宋体" w:cs="Times New Roman"/>
      <w:kern w:val="2"/>
      <w:sz w:val="24"/>
      <w:szCs w:val="22"/>
      <w:lang w:val="zh-CN" w:eastAsia="zh-CN" w:bidi="ar-SA"/>
    </w:rPr>
  </w:style>
  <w:style w:type="paragraph" w:customStyle="1" w:styleId="143">
    <w:name w:val="font8"/>
    <w:basedOn w:val="1"/>
    <w:autoRedefine/>
    <w:qFormat/>
    <w:uiPriority w:val="0"/>
    <w:pPr>
      <w:widowControl/>
      <w:spacing w:before="100" w:beforeAutospacing="1" w:after="100" w:afterAutospacing="1"/>
      <w:jc w:val="left"/>
    </w:pPr>
    <w:rPr>
      <w:rFonts w:hint="eastAsia" w:ascii="宋体" w:hAnsi="宋体"/>
      <w:b/>
      <w:bCs/>
      <w:color w:val="0000FF"/>
      <w:kern w:val="0"/>
      <w:sz w:val="20"/>
    </w:rPr>
  </w:style>
  <w:style w:type="paragraph" w:customStyle="1" w:styleId="1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45">
    <w:name w:val="Table Text"/>
    <w:basedOn w:val="1"/>
    <w:autoRedefine/>
    <w:qFormat/>
    <w:uiPriority w:val="0"/>
    <w:rPr>
      <w:rFonts w:ascii="仿宋" w:hAnsi="仿宋" w:eastAsia="仿宋" w:cs="仿宋"/>
      <w:sz w:val="24"/>
      <w:szCs w:val="24"/>
      <w:lang w:eastAsia="en-US"/>
    </w:rPr>
  </w:style>
  <w:style w:type="paragraph" w:customStyle="1" w:styleId="146">
    <w:name w:val="标题 31"/>
    <w:basedOn w:val="1"/>
    <w:qFormat/>
    <w:uiPriority w:val="1"/>
    <w:pPr>
      <w:ind w:left="237" w:right="102"/>
      <w:jc w:val="left"/>
      <w:outlineLvl w:val="3"/>
    </w:pPr>
    <w:rPr>
      <w:rFonts w:ascii="宋体" w:hAnsi="宋体" w:cs="宋体"/>
      <w:kern w:val="0"/>
      <w:sz w:val="28"/>
      <w:szCs w:val="28"/>
      <w:lang w:eastAsia="en-US"/>
    </w:rPr>
  </w:style>
  <w:style w:type="paragraph" w:customStyle="1" w:styleId="147">
    <w:name w:val="Char Char"/>
    <w:basedOn w:val="1"/>
    <w:autoRedefine/>
    <w:qFormat/>
    <w:uiPriority w:val="0"/>
    <w:rPr>
      <w:szCs w:val="24"/>
    </w:rPr>
  </w:style>
  <w:style w:type="paragraph" w:customStyle="1" w:styleId="148">
    <w:name w:val="表格"/>
    <w:autoRedefine/>
    <w:qFormat/>
    <w:uiPriority w:val="0"/>
    <w:pPr>
      <w:jc w:val="center"/>
    </w:pPr>
    <w:rPr>
      <w:rFonts w:ascii="Times New Roman" w:hAnsi="Times New Roman" w:eastAsia="宋体" w:cs="Tahoma"/>
      <w:color w:val="000000"/>
      <w:sz w:val="21"/>
      <w:szCs w:val="24"/>
      <w:lang w:val="en-US" w:eastAsia="zh-CN" w:bidi="ar-SA"/>
    </w:rPr>
  </w:style>
  <w:style w:type="paragraph" w:customStyle="1" w:styleId="1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50">
    <w:name w:val="正文_2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
    <w:name w:val="文头字"/>
    <w:basedOn w:val="1"/>
    <w:autoRedefine/>
    <w:qFormat/>
    <w:uiPriority w:val="0"/>
    <w:pPr>
      <w:widowControl/>
      <w:adjustRightInd w:val="0"/>
      <w:snapToGrid w:val="0"/>
      <w:spacing w:before="200" w:line="360" w:lineRule="auto"/>
      <w:jc w:val="center"/>
      <w:textAlignment w:val="baseline"/>
    </w:pPr>
    <w:rPr>
      <w:rFonts w:ascii="宋体"/>
      <w:b/>
      <w:snapToGrid w:val="0"/>
      <w:color w:val="FF0000"/>
      <w:spacing w:val="100"/>
      <w:kern w:val="0"/>
      <w:sz w:val="48"/>
    </w:rPr>
  </w:style>
  <w:style w:type="paragraph" w:customStyle="1" w:styleId="152">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153">
    <w:name w:val="Text"/>
    <w:basedOn w:val="1"/>
    <w:autoRedefine/>
    <w:qFormat/>
    <w:uiPriority w:val="0"/>
    <w:pPr>
      <w:widowControl/>
      <w:jc w:val="left"/>
    </w:pPr>
    <w:rPr>
      <w:rFonts w:ascii="Arial" w:hAnsi="Arial" w:cs="Courier New"/>
      <w:kern w:val="0"/>
      <w:szCs w:val="21"/>
    </w:rPr>
  </w:style>
  <w:style w:type="paragraph" w:customStyle="1" w:styleId="15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FF"/>
      <w:kern w:val="0"/>
      <w:sz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157">
    <w:name w:val="font11"/>
    <w:basedOn w:val="1"/>
    <w:autoRedefine/>
    <w:qFormat/>
    <w:uiPriority w:val="0"/>
    <w:pPr>
      <w:widowControl/>
      <w:spacing w:before="100" w:beforeAutospacing="1" w:after="100" w:afterAutospacing="1"/>
      <w:jc w:val="left"/>
    </w:pPr>
    <w:rPr>
      <w:kern w:val="0"/>
      <w:sz w:val="22"/>
      <w:szCs w:val="22"/>
    </w:rPr>
  </w:style>
  <w:style w:type="paragraph" w:customStyle="1" w:styleId="15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5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60">
    <w:name w:val="THTF-BS-三级标题"/>
    <w:basedOn w:val="1"/>
    <w:next w:val="79"/>
    <w:qFormat/>
    <w:uiPriority w:val="0"/>
    <w:pPr>
      <w:spacing w:line="360" w:lineRule="auto"/>
      <w:outlineLvl w:val="2"/>
    </w:pPr>
    <w:rPr>
      <w:rFonts w:ascii="宋体"/>
      <w:b/>
      <w:sz w:val="30"/>
      <w:szCs w:val="30"/>
    </w:rPr>
  </w:style>
  <w:style w:type="paragraph" w:customStyle="1" w:styleId="161">
    <w:name w:val="正文文本缩进_1_0"/>
    <w:qFormat/>
    <w:uiPriority w:val="99"/>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customStyle="1" w:styleId="16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800000"/>
      <w:kern w:val="0"/>
      <w:sz w:val="20"/>
    </w:rPr>
  </w:style>
  <w:style w:type="paragraph" w:customStyle="1" w:styleId="16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64">
    <w:name w:val="1级大纲"/>
    <w:basedOn w:val="3"/>
    <w:autoRedefine/>
    <w:qFormat/>
    <w:uiPriority w:val="0"/>
    <w:pPr>
      <w:keepLines/>
      <w:spacing w:before="340" w:after="330" w:line="578" w:lineRule="auto"/>
      <w:ind w:left="425" w:hanging="425"/>
      <w:jc w:val="both"/>
    </w:pPr>
    <w:rPr>
      <w:rFonts w:ascii="黑体" w:hAnsi="黑体" w:eastAsia="黑体"/>
      <w:b/>
      <w:kern w:val="44"/>
      <w:sz w:val="32"/>
    </w:rPr>
  </w:style>
  <w:style w:type="paragraph" w:customStyle="1" w:styleId="165">
    <w:name w:val="Char1 Char Char Char"/>
    <w:basedOn w:val="1"/>
    <w:autoRedefine/>
    <w:qFormat/>
    <w:uiPriority w:val="0"/>
    <w:rPr>
      <w:rFonts w:ascii="Tahoma" w:hAnsi="Tahoma"/>
      <w:sz w:val="24"/>
    </w:rPr>
  </w:style>
  <w:style w:type="paragraph" w:customStyle="1" w:styleId="16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rPr>
  </w:style>
  <w:style w:type="paragraph" w:customStyle="1" w:styleId="16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68">
    <w:name w:val="reader-word-layer reader-word-s1-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Default"/>
    <w:autoRedefine/>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customStyle="1" w:styleId="170">
    <w:name w:val="样式 标题 3-ok"/>
    <w:basedOn w:val="1"/>
    <w:next w:val="1"/>
    <w:autoRedefine/>
    <w:qFormat/>
    <w:uiPriority w:val="0"/>
    <w:pPr>
      <w:keepNext/>
      <w:keepLines/>
      <w:tabs>
        <w:tab w:val="left" w:pos="680"/>
      </w:tabs>
      <w:spacing w:line="300" w:lineRule="auto"/>
      <w:ind w:left="680" w:hanging="680"/>
      <w:jc w:val="left"/>
      <w:outlineLvl w:val="2"/>
    </w:pPr>
    <w:rPr>
      <w:rFonts w:eastAsia="黑体" w:cs="宋体"/>
      <w:kern w:val="0"/>
      <w:sz w:val="24"/>
    </w:rPr>
  </w:style>
  <w:style w:type="paragraph" w:customStyle="1" w:styleId="17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4">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76">
    <w:name w:val="Char Char Char"/>
    <w:basedOn w:val="1"/>
    <w:autoRedefine/>
    <w:qFormat/>
    <w:uiPriority w:val="0"/>
    <w:pPr>
      <w:widowControl/>
      <w:spacing w:after="160" w:line="240" w:lineRule="exact"/>
      <w:jc w:val="left"/>
    </w:pPr>
    <w:rPr>
      <w:rFonts w:ascii="Verdana" w:hAnsi="Verdana"/>
      <w:kern w:val="0"/>
      <w:sz w:val="20"/>
      <w:lang w:eastAsia="en-US"/>
    </w:rPr>
  </w:style>
  <w:style w:type="paragraph" w:styleId="177">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79">
    <w:name w:val="Char"/>
    <w:basedOn w:val="1"/>
    <w:qFormat/>
    <w:uiPriority w:val="0"/>
    <w:pPr>
      <w:spacing w:line="360" w:lineRule="auto"/>
    </w:pPr>
    <w:rPr>
      <w:rFonts w:ascii="新宋体" w:hAnsi="新宋体" w:eastAsia="新宋体"/>
      <w:b/>
      <w:sz w:val="24"/>
      <w:szCs w:val="24"/>
    </w:rPr>
  </w:style>
  <w:style w:type="paragraph" w:customStyle="1" w:styleId="180">
    <w:name w:val="xl50"/>
    <w:basedOn w:val="1"/>
    <w:qFormat/>
    <w:uiPriority w:val="0"/>
    <w:pPr>
      <w:widowControl/>
      <w:spacing w:before="100" w:beforeAutospacing="1" w:after="100" w:afterAutospacing="1"/>
      <w:jc w:val="left"/>
      <w:textAlignment w:val="center"/>
    </w:pPr>
    <w:rPr>
      <w:rFonts w:ascii="宋体" w:hAnsi="宋体"/>
      <w:b/>
      <w:bCs/>
      <w:color w:val="0000FF"/>
      <w:kern w:val="0"/>
      <w:sz w:val="32"/>
      <w:szCs w:val="32"/>
    </w:rPr>
  </w:style>
  <w:style w:type="paragraph" w:customStyle="1" w:styleId="181">
    <w:name w:val="Char Char1 Char Char Char"/>
    <w:basedOn w:val="1"/>
    <w:next w:val="1"/>
    <w:qFormat/>
    <w:uiPriority w:val="0"/>
    <w:pPr>
      <w:widowControl/>
      <w:spacing w:after="160" w:line="320" w:lineRule="exact"/>
      <w:ind w:left="504" w:hanging="504"/>
      <w:jc w:val="left"/>
    </w:pPr>
    <w:rPr>
      <w:rFonts w:ascii="宋体" w:hAnsi="宋体"/>
      <w:b/>
      <w:color w:val="000000"/>
      <w:kern w:val="0"/>
      <w:szCs w:val="21"/>
    </w:rPr>
  </w:style>
  <w:style w:type="paragraph" w:customStyle="1" w:styleId="182">
    <w:name w:val="xl43"/>
    <w:basedOn w:val="1"/>
    <w:autoRedefine/>
    <w:qFormat/>
    <w:uiPriority w:val="0"/>
    <w:pPr>
      <w:widowControl/>
      <w:spacing w:before="100" w:beforeAutospacing="1" w:after="100" w:afterAutospacing="1"/>
      <w:jc w:val="left"/>
    </w:pPr>
    <w:rPr>
      <w:rFonts w:ascii="宋体" w:hAnsi="宋体"/>
      <w:kern w:val="0"/>
      <w:sz w:val="20"/>
    </w:rPr>
  </w:style>
  <w:style w:type="paragraph" w:customStyle="1" w:styleId="18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4">
    <w:name w:val="正文11"/>
    <w:basedOn w:val="1"/>
    <w:qFormat/>
    <w:uiPriority w:val="0"/>
    <w:pPr>
      <w:adjustRightInd w:val="0"/>
      <w:ind w:firstLine="560" w:firstLineChars="200"/>
    </w:pPr>
    <w:rPr>
      <w:rFonts w:ascii="宋体" w:hAnsi="宋体"/>
      <w:sz w:val="28"/>
      <w:szCs w:val="24"/>
    </w:rPr>
  </w:style>
  <w:style w:type="paragraph" w:customStyle="1" w:styleId="185">
    <w:name w:val="_Style 2"/>
    <w:basedOn w:val="1"/>
    <w:autoRedefine/>
    <w:qFormat/>
    <w:uiPriority w:val="0"/>
    <w:pPr>
      <w:widowControl/>
      <w:ind w:firstLine="420" w:firstLineChars="200"/>
      <w:jc w:val="left"/>
    </w:pPr>
    <w:rPr>
      <w:rFonts w:ascii="Times" w:hAnsi="Times"/>
      <w:kern w:val="0"/>
      <w:sz w:val="20"/>
    </w:rPr>
  </w:style>
  <w:style w:type="paragraph" w:customStyle="1" w:styleId="186">
    <w:name w:val="Table Paragraph"/>
    <w:basedOn w:val="1"/>
    <w:autoRedefine/>
    <w:qFormat/>
    <w:uiPriority w:val="1"/>
    <w:pPr>
      <w:jc w:val="left"/>
    </w:pPr>
    <w:rPr>
      <w:rFonts w:ascii="宋体" w:hAnsi="宋体" w:cs="宋体"/>
      <w:kern w:val="0"/>
      <w:sz w:val="22"/>
      <w:lang w:eastAsia="en-US"/>
    </w:rPr>
  </w:style>
  <w:style w:type="paragraph" w:customStyle="1" w:styleId="187">
    <w:name w:val="日期1"/>
    <w:basedOn w:val="1"/>
    <w:next w:val="1"/>
    <w:autoRedefine/>
    <w:qFormat/>
    <w:uiPriority w:val="0"/>
    <w:pPr>
      <w:adjustRightInd w:val="0"/>
      <w:textAlignment w:val="baseline"/>
    </w:pPr>
    <w:rPr>
      <w:rFonts w:ascii="宋体"/>
      <w:kern w:val="0"/>
      <w:sz w:val="24"/>
    </w:rPr>
  </w:style>
  <w:style w:type="paragraph" w:customStyle="1" w:styleId="188">
    <w:name w:val="xl45"/>
    <w:basedOn w:val="1"/>
    <w:autoRedefine/>
    <w:qFormat/>
    <w:uiPriority w:val="0"/>
    <w:pPr>
      <w:widowControl/>
      <w:spacing w:before="100" w:beforeAutospacing="1" w:after="100" w:afterAutospacing="1"/>
      <w:jc w:val="left"/>
      <w:textAlignment w:val="center"/>
    </w:pPr>
    <w:rPr>
      <w:rFonts w:ascii="宋体" w:hAnsi="宋体"/>
      <w:kern w:val="0"/>
      <w:sz w:val="20"/>
    </w:rPr>
  </w:style>
  <w:style w:type="paragraph" w:customStyle="1" w:styleId="189">
    <w:name w:val="xl51"/>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19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1">
    <w:name w:val="正文1"/>
    <w:qFormat/>
    <w:uiPriority w:val="0"/>
    <w:rPr>
      <w:rFonts w:ascii="Times New Roman" w:hAnsi="Times New Roman" w:eastAsia="Times New Roman" w:cs="Times New Roman"/>
      <w:sz w:val="24"/>
      <w:szCs w:val="24"/>
      <w:lang w:val="en-US" w:eastAsia="zh-CN" w:bidi="ar-SA"/>
    </w:rPr>
  </w:style>
  <w:style w:type="paragraph" w:customStyle="1" w:styleId="192">
    <w:name w:val="标准小四"/>
    <w:basedOn w:val="1"/>
    <w:autoRedefine/>
    <w:qFormat/>
    <w:uiPriority w:val="0"/>
    <w:pPr>
      <w:widowControl/>
      <w:spacing w:line="360" w:lineRule="auto"/>
      <w:ind w:firstLine="480" w:firstLineChars="200"/>
      <w:jc w:val="left"/>
    </w:pPr>
    <w:rPr>
      <w:rFonts w:ascii="Arial" w:hAnsi="Arial"/>
      <w:sz w:val="24"/>
      <w:szCs w:val="24"/>
    </w:rPr>
  </w:style>
  <w:style w:type="paragraph" w:customStyle="1" w:styleId="193">
    <w:name w:val="_Style 1"/>
    <w:basedOn w:val="1"/>
    <w:autoRedefine/>
    <w:qFormat/>
    <w:uiPriority w:val="0"/>
    <w:pPr>
      <w:widowControl/>
      <w:ind w:firstLine="420" w:firstLineChars="200"/>
      <w:jc w:val="left"/>
    </w:pPr>
    <w:rPr>
      <w:rFonts w:ascii="Times" w:hAnsi="Times"/>
      <w:kern w:val="0"/>
      <w:sz w:val="20"/>
    </w:rPr>
  </w:style>
  <w:style w:type="paragraph" w:customStyle="1" w:styleId="194">
    <w:name w:val="font7"/>
    <w:basedOn w:val="1"/>
    <w:autoRedefine/>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19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96">
    <w:name w:val="font6"/>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197">
    <w:name w:val="font12"/>
    <w:basedOn w:val="1"/>
    <w:autoRedefine/>
    <w:qFormat/>
    <w:uiPriority w:val="0"/>
    <w:pPr>
      <w:widowControl/>
      <w:spacing w:before="100" w:beforeAutospacing="1" w:after="100" w:afterAutospacing="1"/>
      <w:jc w:val="left"/>
    </w:pPr>
    <w:rPr>
      <w:rFonts w:hint="eastAsia" w:ascii="楷体_GB2312" w:hAnsi="宋体" w:eastAsia="楷体_GB2312"/>
      <w:b/>
      <w:bCs/>
      <w:color w:val="FF0000"/>
      <w:kern w:val="0"/>
      <w:sz w:val="22"/>
      <w:szCs w:val="22"/>
    </w:rPr>
  </w:style>
  <w:style w:type="paragraph" w:customStyle="1" w:styleId="198">
    <w:name w:val="font13"/>
    <w:basedOn w:val="1"/>
    <w:autoRedefine/>
    <w:qFormat/>
    <w:uiPriority w:val="0"/>
    <w:pPr>
      <w:widowControl/>
      <w:spacing w:before="100" w:beforeAutospacing="1" w:after="100" w:afterAutospacing="1"/>
      <w:jc w:val="left"/>
    </w:pPr>
    <w:rPr>
      <w:b/>
      <w:bCs/>
      <w:color w:val="FF0000"/>
      <w:kern w:val="0"/>
      <w:sz w:val="22"/>
      <w:szCs w:val="22"/>
    </w:rPr>
  </w:style>
  <w:style w:type="paragraph" w:customStyle="1" w:styleId="19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20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202">
    <w:name w:val="正文_0_1_0"/>
    <w:qFormat/>
    <w:uiPriority w:val="0"/>
    <w:pPr>
      <w:widowControl w:val="0"/>
      <w:jc w:val="both"/>
    </w:pPr>
    <w:rPr>
      <w:rFonts w:ascii="Calibri" w:hAnsi="Calibri" w:eastAsia="宋体" w:cs="Times New Roman"/>
      <w:lang w:val="en-US" w:eastAsia="zh-CN" w:bidi="ar-SA"/>
    </w:rPr>
  </w:style>
  <w:style w:type="paragraph" w:customStyle="1" w:styleId="203">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204">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FF"/>
      <w:kern w:val="0"/>
      <w:sz w:val="20"/>
    </w:rPr>
  </w:style>
  <w:style w:type="paragraph" w:customStyle="1" w:styleId="205">
    <w:name w:val="ÕýÎÄ"/>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zh-CN" w:bidi="ar-SA"/>
    </w:rPr>
  </w:style>
  <w:style w:type="paragraph" w:customStyle="1" w:styleId="206">
    <w:name w:val="标题 21"/>
    <w:basedOn w:val="1"/>
    <w:autoRedefine/>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20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208">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209">
    <w:name w:val="正文4编0"/>
    <w:basedOn w:val="1"/>
    <w:autoRedefine/>
    <w:qFormat/>
    <w:uiPriority w:val="0"/>
    <w:pPr>
      <w:tabs>
        <w:tab w:val="left" w:pos="567"/>
        <w:tab w:val="left" w:pos="1134"/>
      </w:tabs>
      <w:spacing w:line="560" w:lineRule="exact"/>
      <w:ind w:left="1134" w:hanging="1134"/>
    </w:pPr>
    <w:rPr>
      <w:sz w:val="28"/>
    </w:rPr>
  </w:style>
  <w:style w:type="paragraph" w:customStyle="1" w:styleId="210">
    <w:name w:val="标题1"/>
    <w:basedOn w:val="1"/>
    <w:qFormat/>
    <w:uiPriority w:val="0"/>
    <w:pPr>
      <w:tabs>
        <w:tab w:val="left" w:pos="6237"/>
      </w:tabs>
      <w:adjustRightInd w:val="0"/>
      <w:snapToGrid w:val="0"/>
      <w:spacing w:line="360" w:lineRule="auto"/>
      <w:ind w:left="420" w:hanging="420"/>
      <w:jc w:val="center"/>
    </w:pPr>
    <w:rPr>
      <w:rFonts w:ascii="黑体" w:eastAsia="黑体"/>
      <w:color w:val="000000"/>
      <w:sz w:val="32"/>
      <w:szCs w:val="32"/>
    </w:rPr>
  </w:style>
  <w:style w:type="paragraph" w:customStyle="1" w:styleId="211">
    <w:name w:val="font9"/>
    <w:basedOn w:val="1"/>
    <w:autoRedefine/>
    <w:qFormat/>
    <w:uiPriority w:val="0"/>
    <w:pPr>
      <w:widowControl/>
      <w:spacing w:before="100" w:beforeAutospacing="1" w:after="100" w:afterAutospacing="1"/>
      <w:jc w:val="left"/>
    </w:pPr>
    <w:rPr>
      <w:rFonts w:hint="eastAsia" w:ascii="宋体" w:hAnsi="宋体"/>
      <w:b/>
      <w:bCs/>
      <w:color w:val="FF0000"/>
      <w:kern w:val="0"/>
      <w:sz w:val="20"/>
    </w:rPr>
  </w:style>
  <w:style w:type="paragraph" w:customStyle="1" w:styleId="212">
    <w:name w:val="多级符号"/>
    <w:basedOn w:val="1"/>
    <w:autoRedefine/>
    <w:qFormat/>
    <w:uiPriority w:val="0"/>
    <w:pPr>
      <w:tabs>
        <w:tab w:val="left" w:pos="1077"/>
      </w:tabs>
      <w:adjustRightInd w:val="0"/>
      <w:spacing w:line="360" w:lineRule="auto"/>
      <w:ind w:left="1272" w:hanging="705"/>
      <w:jc w:val="left"/>
      <w:textAlignment w:val="baseline"/>
    </w:pPr>
    <w:rPr>
      <w:rFonts w:ascii="宋体"/>
      <w:color w:val="0000FF"/>
      <w:kern w:val="0"/>
      <w:sz w:val="24"/>
    </w:rPr>
  </w:style>
  <w:style w:type="paragraph" w:customStyle="1" w:styleId="213">
    <w:name w:val="File1"/>
    <w:autoRedefine/>
    <w:qFormat/>
    <w:uiPriority w:val="0"/>
    <w:pPr>
      <w:tabs>
        <w:tab w:val="left" w:pos="1134"/>
      </w:tabs>
      <w:spacing w:line="360" w:lineRule="exact"/>
      <w:ind w:left="540" w:leftChars="540"/>
    </w:pPr>
    <w:rPr>
      <w:rFonts w:ascii="Arial" w:hAnsi="Arial" w:eastAsia="宋体" w:cs="Times New Roman"/>
      <w:spacing w:val="10"/>
      <w:sz w:val="24"/>
      <w:lang w:val="en-US" w:eastAsia="zh-CN" w:bidi="ar-SA"/>
    </w:rPr>
  </w:style>
  <w:style w:type="paragraph" w:customStyle="1" w:styleId="21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8000"/>
      <w:kern w:val="0"/>
      <w:sz w:val="20"/>
    </w:rPr>
  </w:style>
  <w:style w:type="paragraph" w:customStyle="1" w:styleId="215">
    <w:name w:val="UserStyle_146"/>
    <w:basedOn w:val="1"/>
    <w:autoRedefine/>
    <w:qFormat/>
    <w:uiPriority w:val="0"/>
    <w:pPr>
      <w:widowControl/>
      <w:jc w:val="left"/>
      <w:textAlignment w:val="baseline"/>
    </w:pPr>
    <w:rPr>
      <w:rFonts w:ascii="宋体" w:hAnsi="宋体"/>
      <w:kern w:val="0"/>
      <w:sz w:val="22"/>
      <w:szCs w:val="22"/>
      <w:lang w:eastAsia="en-US"/>
    </w:rPr>
  </w:style>
  <w:style w:type="paragraph" w:customStyle="1" w:styleId="21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2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218">
    <w:name w:val="列出段落11"/>
    <w:basedOn w:val="1"/>
    <w:autoRedefine/>
    <w:qFormat/>
    <w:uiPriority w:val="0"/>
    <w:pPr>
      <w:ind w:firstLine="420" w:firstLineChars="200"/>
    </w:pPr>
    <w:rPr>
      <w:szCs w:val="22"/>
    </w:rPr>
  </w:style>
  <w:style w:type="paragraph" w:customStyle="1" w:styleId="219">
    <w:name w:val="标题 32"/>
    <w:qFormat/>
    <w:uiPriority w:val="1"/>
    <w:pPr>
      <w:widowControl w:val="0"/>
      <w:ind w:left="237" w:right="102"/>
      <w:outlineLvl w:val="3"/>
    </w:pPr>
    <w:rPr>
      <w:rFonts w:ascii="宋体" w:hAnsi="宋体" w:eastAsia="宋体" w:cs="宋体"/>
      <w:sz w:val="28"/>
      <w:szCs w:val="28"/>
      <w:lang w:val="en-US" w:eastAsia="en-US" w:bidi="ar-SA"/>
    </w:rPr>
  </w:style>
  <w:style w:type="paragraph" w:customStyle="1" w:styleId="220">
    <w:name w:val="CL表格正文"/>
    <w:qFormat/>
    <w:uiPriority w:val="0"/>
    <w:pPr>
      <w:widowControl w:val="0"/>
      <w:spacing w:line="240" w:lineRule="atLeast"/>
    </w:pPr>
    <w:rPr>
      <w:rFonts w:ascii="Arial" w:hAnsi="Arial" w:eastAsia="宋体" w:cs="Arial Unicode MS"/>
      <w:color w:val="000000"/>
      <w:kern w:val="2"/>
      <w:sz w:val="21"/>
      <w:szCs w:val="21"/>
      <w:lang w:val="en-US" w:eastAsia="zh-CN" w:bidi="ar-SA"/>
    </w:rPr>
  </w:style>
  <w:style w:type="paragraph" w:customStyle="1" w:styleId="221">
    <w:name w:val="p0"/>
    <w:basedOn w:val="1"/>
    <w:qFormat/>
    <w:uiPriority w:val="0"/>
    <w:rPr>
      <w:szCs w:val="21"/>
    </w:rPr>
  </w:style>
  <w:style w:type="character" w:customStyle="1" w:styleId="222">
    <w:name w:val="font91"/>
    <w:basedOn w:val="42"/>
    <w:qFormat/>
    <w:uiPriority w:val="0"/>
    <w:rPr>
      <w:rFonts w:ascii="Calibri" w:hAnsi="Calibri" w:cs="Calibri"/>
      <w:color w:val="000000"/>
      <w:sz w:val="18"/>
      <w:szCs w:val="18"/>
      <w:u w:val="none"/>
    </w:rPr>
  </w:style>
  <w:style w:type="paragraph" w:customStyle="1" w:styleId="223">
    <w:name w:val="正文缩进2"/>
    <w:basedOn w:val="1"/>
    <w:autoRedefine/>
    <w:qFormat/>
    <w:uiPriority w:val="0"/>
    <w:pPr>
      <w:wordWrap w:val="0"/>
      <w:ind w:firstLine="480"/>
    </w:pPr>
    <w:rPr>
      <w:iCs/>
      <w:shd w:val="clear" w:color="auto" w:fill="FFFFFF" w:themeFill="background1"/>
      <w:lang w:val="zh-CN"/>
    </w:rPr>
  </w:style>
  <w:style w:type="paragraph" w:styleId="224">
    <w:name w:val="No Spacing"/>
    <w:autoRedefine/>
    <w:qFormat/>
    <w:uiPriority w:val="1"/>
    <w:pPr>
      <w:widowControl w:val="0"/>
    </w:pPr>
    <w:rPr>
      <w:rFonts w:ascii="宋体" w:hAnsi="宋体" w:eastAsia="宋体" w:cstheme="minorBidi"/>
      <w:kern w:val="2"/>
      <w:sz w:val="24"/>
      <w:szCs w:val="22"/>
      <w:lang w:val="en-US" w:eastAsia="zh-CN" w:bidi="ar-SA"/>
    </w:rPr>
  </w:style>
  <w:style w:type="paragraph" w:customStyle="1" w:styleId="225">
    <w:name w:val="正文_2"/>
    <w:autoRedefine/>
    <w:qFormat/>
    <w:uiPriority w:val="0"/>
    <w:pPr>
      <w:widowControl w:val="0"/>
      <w:jc w:val="both"/>
    </w:pPr>
    <w:rPr>
      <w:rFonts w:ascii="Calibri" w:hAnsi="Calibri" w:eastAsia="宋体" w:cs="Times New Roman"/>
      <w:lang w:val="en-US" w:eastAsia="zh-CN" w:bidi="ar-SA"/>
    </w:rPr>
  </w:style>
  <w:style w:type="paragraph" w:customStyle="1" w:styleId="226">
    <w:name w:val="正文_1_1"/>
    <w:autoRedefine/>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A8E1-ACF8-4732-88CF-185D696D10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111</Pages>
  <Words>146</Words>
  <Characters>164</Characters>
  <Lines>685</Lines>
  <Paragraphs>192</Paragraphs>
  <TotalTime>31</TotalTime>
  <ScaleCrop>false</ScaleCrop>
  <LinksUpToDate>false</LinksUpToDate>
  <CharactersWithSpaces>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2021-07-09T01:27:00Z</dcterms:created>
  <dc:creator>lenovo</dc:creator>
  <cp:lastModifiedBy>明晓佳</cp:lastModifiedBy>
  <cp:lastPrinted>2023-10-12T12:22:00Z</cp:lastPrinted>
  <dcterms:modified xsi:type="dcterms:W3CDTF">2025-07-12T03:31:19Z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218B4CD6FE134968BD0BE68FC5C69603_13</vt:lpwstr>
  </property>
  <property fmtid="{D5CDD505-2E9C-101B-9397-08002B2CF9AE}" pid="4" name="KSOTemplateDocerSaveRecord">
    <vt:lpwstr>eyJoZGlkIjoiNWI3YWI2MDE2MjUxZDA0ZTJlMjkyOWE4ZjNkNDNkOGIiLCJ1c2VySWQiOiIxNjEwNjkwODY1In0=</vt:lpwstr>
  </property>
</Properties>
</file>